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B03FD" w14:textId="3B95D0D7" w:rsidR="002746D5" w:rsidRDefault="009F6510">
      <w:r w:rsidRPr="009F6510">
        <w:t xml:space="preserve">A </w:t>
      </w:r>
      <w:hyperlink r:id="rId4" w:history="1">
        <w:r w:rsidRPr="009F6510">
          <w:rPr>
            <w:rStyle w:val="Hyperlink"/>
          </w:rPr>
          <w:t>dualistic interpretation</w:t>
        </w:r>
      </w:hyperlink>
      <w:r w:rsidRPr="009F6510">
        <w:t xml:space="preserve"> of humanity was offered in parts of the ancient Jewish </w:t>
      </w:r>
      <w:hyperlink r:id="rId5" w:history="1">
        <w:r w:rsidRPr="009F6510">
          <w:rPr>
            <w:rStyle w:val="Hyperlink"/>
          </w:rPr>
          <w:t>community</w:t>
        </w:r>
      </w:hyperlink>
      <w:r w:rsidRPr="009F6510">
        <w:t xml:space="preserve"> that were deeply influenced by Greek philosophical ideas. In this understanding, the divine likeness is identified with the immortal, </w:t>
      </w:r>
      <w:hyperlink r:id="rId6" w:history="1">
        <w:r w:rsidRPr="009F6510">
          <w:rPr>
            <w:rStyle w:val="Hyperlink"/>
          </w:rPr>
          <w:t>intellectual</w:t>
        </w:r>
      </w:hyperlink>
      <w:r w:rsidRPr="009F6510">
        <w:t xml:space="preserve"> soul as contrasted to the body. Other ancient and modern thinkers have understood the likeness as </w:t>
      </w:r>
      <w:hyperlink r:id="rId7" w:history="1">
        <w:r w:rsidRPr="009F6510">
          <w:rPr>
            <w:rStyle w:val="Hyperlink"/>
          </w:rPr>
          <w:t>ethical</w:t>
        </w:r>
      </w:hyperlink>
      <w:r w:rsidRPr="009F6510">
        <w:t xml:space="preserve">, placing particular emphasis on freedom of the will. Clearly, no doctrine of humanity can be erected </w:t>
      </w:r>
      <w:proofErr w:type="gramStart"/>
      <w:r w:rsidRPr="009F6510">
        <w:t>on the basis of</w:t>
      </w:r>
      <w:proofErr w:type="gramEnd"/>
      <w:r w:rsidRPr="009F6510">
        <w:t xml:space="preserve"> these several verses alone—a broader view must be taken. A careful examination of the biblical material, particularly the words </w:t>
      </w:r>
      <w:hyperlink r:id="rId8" w:history="1">
        <w:proofErr w:type="spellStart"/>
        <w:r w:rsidRPr="009F6510">
          <w:rPr>
            <w:rStyle w:val="Hyperlink"/>
            <w:i/>
            <w:iCs/>
          </w:rPr>
          <w:t>nefesh</w:t>
        </w:r>
        <w:proofErr w:type="spellEnd"/>
      </w:hyperlink>
      <w:r w:rsidRPr="009F6510">
        <w:t xml:space="preserve">, </w:t>
      </w:r>
      <w:proofErr w:type="spellStart"/>
      <w:r w:rsidRPr="009F6510">
        <w:rPr>
          <w:i/>
          <w:iCs/>
        </w:rPr>
        <w:t>neshama</w:t>
      </w:r>
      <w:proofErr w:type="spellEnd"/>
      <w:r w:rsidRPr="009F6510">
        <w:t xml:space="preserve">, and </w:t>
      </w:r>
      <w:proofErr w:type="spellStart"/>
      <w:r w:rsidRPr="009F6510">
        <w:rPr>
          <w:i/>
          <w:iCs/>
        </w:rPr>
        <w:t>rua</w:t>
      </w:r>
      <w:r w:rsidRPr="009F6510">
        <w:rPr>
          <w:rFonts w:ascii="Calibri" w:hAnsi="Calibri" w:cs="Calibri"/>
          <w:i/>
          <w:iCs/>
        </w:rPr>
        <w:t>ḥ</w:t>
      </w:r>
      <w:proofErr w:type="spellEnd"/>
      <w:r w:rsidRPr="009F6510">
        <w:t>—which are often too broadly translated as “</w:t>
      </w:r>
      <w:hyperlink r:id="rId9" w:history="1">
        <w:r w:rsidRPr="009F6510">
          <w:rPr>
            <w:rStyle w:val="Hyperlink"/>
          </w:rPr>
          <w:t>soul</w:t>
        </w:r>
      </w:hyperlink>
      <w:r w:rsidRPr="009F6510">
        <w:t xml:space="preserve">” and “spirit”—indicates that these terms must not be understood as referring to the psychical side of a psychophysical pair. A </w:t>
      </w:r>
      <w:hyperlink r:id="rId10" w:history="1">
        <w:r w:rsidRPr="009F6510">
          <w:rPr>
            <w:rStyle w:val="Hyperlink"/>
          </w:rPr>
          <w:t>human being</w:t>
        </w:r>
      </w:hyperlink>
      <w:r w:rsidRPr="009F6510">
        <w:t xml:space="preserve"> does not possess a </w:t>
      </w:r>
      <w:proofErr w:type="spellStart"/>
      <w:r w:rsidRPr="009F6510">
        <w:rPr>
          <w:i/>
          <w:iCs/>
        </w:rPr>
        <w:t>nefesh</w:t>
      </w:r>
      <w:proofErr w:type="spellEnd"/>
      <w:r w:rsidRPr="009F6510">
        <w:t xml:space="preserve"> but rather is a </w:t>
      </w:r>
      <w:proofErr w:type="spellStart"/>
      <w:r w:rsidRPr="009F6510">
        <w:rPr>
          <w:i/>
          <w:iCs/>
        </w:rPr>
        <w:t>nefesh</w:t>
      </w:r>
      <w:proofErr w:type="spellEnd"/>
      <w:r w:rsidRPr="009F6510">
        <w:t>, as Genesis 2:7 says, “</w:t>
      </w:r>
      <w:proofErr w:type="spellStart"/>
      <w:r w:rsidRPr="009F6510">
        <w:t>wayehi</w:t>
      </w:r>
      <w:proofErr w:type="spellEnd"/>
      <w:r w:rsidRPr="009F6510">
        <w:t xml:space="preserve"> ha-</w:t>
      </w:r>
      <w:proofErr w:type="spellStart"/>
      <w:r w:rsidRPr="009F6510">
        <w:t>adam</w:t>
      </w:r>
      <w:proofErr w:type="spellEnd"/>
      <w:r w:rsidRPr="009F6510">
        <w:t xml:space="preserve"> le-</w:t>
      </w:r>
      <w:proofErr w:type="spellStart"/>
      <w:r w:rsidRPr="009F6510">
        <w:t>nefesh</w:t>
      </w:r>
      <w:proofErr w:type="spellEnd"/>
      <w:r w:rsidRPr="009F6510">
        <w:t xml:space="preserve"> </w:t>
      </w:r>
      <w:proofErr w:type="spellStart"/>
      <w:r w:rsidRPr="009F6510">
        <w:rPr>
          <w:rFonts w:ascii="Calibri" w:hAnsi="Calibri" w:cs="Calibri"/>
        </w:rPr>
        <w:t>ḥ</w:t>
      </w:r>
      <w:r w:rsidRPr="009F6510">
        <w:t>ayya</w:t>
      </w:r>
      <w:proofErr w:type="spellEnd"/>
      <w:r w:rsidRPr="009F6510">
        <w:t xml:space="preserve">” (“…and the man became a living being”). Humans are, for most of the biblical writers, “a unit of vital power,” not a dual creature separable into two distinct parts of unequal importance and value. While this understanding of </w:t>
      </w:r>
      <w:hyperlink r:id="rId11" w:history="1">
        <w:r w:rsidRPr="009F6510">
          <w:rPr>
            <w:rStyle w:val="Hyperlink"/>
          </w:rPr>
          <w:t>human nature</w:t>
        </w:r>
      </w:hyperlink>
      <w:r w:rsidRPr="009F6510">
        <w:t xml:space="preserve"> dominated biblical thought, in </w:t>
      </w:r>
      <w:hyperlink r:id="rId12" w:history="1">
        <w:r w:rsidRPr="009F6510">
          <w:rPr>
            <w:rStyle w:val="Hyperlink"/>
          </w:rPr>
          <w:t>apocalyptic literature</w:t>
        </w:r>
      </w:hyperlink>
      <w:r w:rsidRPr="009F6510">
        <w:t xml:space="preserve"> (2nd century </w:t>
      </w:r>
      <w:proofErr w:type="spellStart"/>
      <w:r w:rsidRPr="009F6510">
        <w:t>bce</w:t>
      </w:r>
      <w:proofErr w:type="spellEnd"/>
      <w:r w:rsidRPr="009F6510">
        <w:t xml:space="preserve">–2nd century </w:t>
      </w:r>
      <w:proofErr w:type="spellStart"/>
      <w:r w:rsidRPr="009F6510">
        <w:t>ce</w:t>
      </w:r>
      <w:proofErr w:type="spellEnd"/>
      <w:r w:rsidRPr="009F6510">
        <w:t xml:space="preserve">) the term </w:t>
      </w:r>
      <w:proofErr w:type="spellStart"/>
      <w:r w:rsidRPr="009F6510">
        <w:rPr>
          <w:i/>
          <w:iCs/>
        </w:rPr>
        <w:t>nefesh</w:t>
      </w:r>
      <w:proofErr w:type="spellEnd"/>
      <w:r w:rsidRPr="009F6510">
        <w:t xml:space="preserve"> was viewed as a separable psychical entity with existence apart from the body. This </w:t>
      </w:r>
      <w:hyperlink r:id="rId13" w:history="1">
        <w:r w:rsidRPr="009F6510">
          <w:rPr>
            <w:rStyle w:val="Hyperlink"/>
          </w:rPr>
          <w:t>conception</w:t>
        </w:r>
      </w:hyperlink>
      <w:r w:rsidRPr="009F6510">
        <w:t xml:space="preserve"> of human nature was not entirely divorced from the unitary biblical view, but a body-soul </w:t>
      </w:r>
      <w:hyperlink r:id="rId14" w:history="1">
        <w:r w:rsidRPr="009F6510">
          <w:rPr>
            <w:rStyle w:val="Hyperlink"/>
          </w:rPr>
          <w:t>dualism</w:t>
        </w:r>
      </w:hyperlink>
      <w:r w:rsidRPr="009F6510">
        <w:t xml:space="preserve"> (</w:t>
      </w:r>
      <w:r w:rsidRPr="009F6510">
        <w:rPr>
          <w:i/>
          <w:iCs/>
        </w:rPr>
        <w:t>see</w:t>
      </w:r>
      <w:r w:rsidRPr="009F6510">
        <w:t xml:space="preserve"> </w:t>
      </w:r>
      <w:hyperlink r:id="rId15" w:history="1">
        <w:r w:rsidRPr="009F6510">
          <w:rPr>
            <w:rStyle w:val="Hyperlink"/>
          </w:rPr>
          <w:t>mind-body dualism</w:t>
        </w:r>
      </w:hyperlink>
      <w:r w:rsidRPr="009F6510">
        <w:t xml:space="preserve">) was effectively present in such literature. In the Alexandrian version of </w:t>
      </w:r>
      <w:hyperlink r:id="rId16" w:history="1">
        <w:r w:rsidRPr="009F6510">
          <w:rPr>
            <w:rStyle w:val="Hyperlink"/>
          </w:rPr>
          <w:t>Hellenistic Judaism</w:t>
        </w:r>
      </w:hyperlink>
      <w:r w:rsidRPr="009F6510">
        <w:t xml:space="preserve">, the orientation toward Greek </w:t>
      </w:r>
      <w:hyperlink r:id="rId17" w:history="1">
        <w:r w:rsidRPr="009F6510">
          <w:rPr>
            <w:rStyle w:val="Hyperlink"/>
          </w:rPr>
          <w:t>philosophy</w:t>
        </w:r>
      </w:hyperlink>
      <w:r w:rsidRPr="009F6510">
        <w:t xml:space="preserve">, particularly the </w:t>
      </w:r>
      <w:hyperlink r:id="rId18" w:history="1">
        <w:r w:rsidRPr="009F6510">
          <w:rPr>
            <w:rStyle w:val="Hyperlink"/>
          </w:rPr>
          <w:t>Platonic</w:t>
        </w:r>
      </w:hyperlink>
      <w:r w:rsidRPr="009F6510">
        <w:t xml:space="preserve"> view of the soul imprisoned in the flesh, led to a clear-cut dualism with a negative attitude toward the body. Rabbinic thought remained closer to the biblical position, at least in its understanding of the human being as a psychosomatic unit, even though the temporary separation of the components after </w:t>
      </w:r>
      <w:hyperlink r:id="rId19" w:history="1">
        <w:r w:rsidRPr="009F6510">
          <w:rPr>
            <w:rStyle w:val="Hyperlink"/>
          </w:rPr>
          <w:t>death</w:t>
        </w:r>
      </w:hyperlink>
      <w:r w:rsidRPr="009F6510">
        <w:t xml:space="preserve"> was an accepted position.</w:t>
      </w:r>
    </w:p>
    <w:p w14:paraId="3303BF4B" w14:textId="77777777" w:rsidR="009F6510" w:rsidRDefault="009F6510"/>
    <w:p w14:paraId="19609746" w14:textId="77777777" w:rsidR="009F6510" w:rsidRPr="009F6510" w:rsidRDefault="009F6510" w:rsidP="009F6510">
      <w:r w:rsidRPr="009F6510">
        <w:t xml:space="preserve">The biblical view of the human as an inseparable </w:t>
      </w:r>
      <w:hyperlink r:id="rId20" w:history="1">
        <w:r w:rsidRPr="009F6510">
          <w:rPr>
            <w:rStyle w:val="Hyperlink"/>
          </w:rPr>
          <w:t>psychosomatic</w:t>
        </w:r>
      </w:hyperlink>
      <w:r w:rsidRPr="009F6510">
        <w:t xml:space="preserve"> unit meant that death was understood to be human dissolution. Although </w:t>
      </w:r>
      <w:proofErr w:type="gramStart"/>
      <w:r w:rsidRPr="009F6510">
        <w:t>a human being</w:t>
      </w:r>
      <w:proofErr w:type="gramEnd"/>
      <w:r w:rsidRPr="009F6510">
        <w:t xml:space="preserve"> ceased to be, this dissolution was not utter extinction. Some of the power that functioned in the unit may have continued to exist, but it was not to be understood any longer as life. The existence of the dead in </w:t>
      </w:r>
      <w:proofErr w:type="spellStart"/>
      <w:r w:rsidRPr="009F6510">
        <w:t>sheol</w:t>
      </w:r>
      <w:proofErr w:type="spellEnd"/>
      <w:r w:rsidRPr="009F6510">
        <w:t xml:space="preserve">, the netherworld, was not living but the shadow or echo of living. For most biblical writers this existence was without experience, either of God or of anything else; it was unrelated to events. To call it </w:t>
      </w:r>
      <w:hyperlink r:id="rId21" w:history="1">
        <w:r w:rsidRPr="009F6510">
          <w:rPr>
            <w:rStyle w:val="Hyperlink"/>
          </w:rPr>
          <w:t>immortality</w:t>
        </w:r>
      </w:hyperlink>
      <w:r w:rsidRPr="009F6510">
        <w:t xml:space="preserve"> is to empty that term of any vital significance. The concept of </w:t>
      </w:r>
      <w:proofErr w:type="spellStart"/>
      <w:r w:rsidRPr="009F6510">
        <w:t>sheol</w:t>
      </w:r>
      <w:proofErr w:type="spellEnd"/>
      <w:r w:rsidRPr="009F6510">
        <w:t xml:space="preserve">, however, along with belief in the possibility of the </w:t>
      </w:r>
      <w:hyperlink r:id="rId22" w:history="1">
        <w:r w:rsidRPr="009F6510">
          <w:rPr>
            <w:rStyle w:val="Hyperlink"/>
          </w:rPr>
          <w:t>miraculous</w:t>
        </w:r>
      </w:hyperlink>
      <w:r w:rsidRPr="009F6510">
        <w:t xml:space="preserve"> restoration of dead individuals to life and even the idea of the revival of the people of </w:t>
      </w:r>
      <w:hyperlink r:id="rId23" w:history="1">
        <w:r w:rsidRPr="009F6510">
          <w:rPr>
            <w:rStyle w:val="Hyperlink"/>
          </w:rPr>
          <w:t>Israel</w:t>
        </w:r>
      </w:hyperlink>
      <w:r w:rsidRPr="009F6510">
        <w:t xml:space="preserve"> from the “death” of exile, provided a foothold for the development of belief in the </w:t>
      </w:r>
      <w:hyperlink r:id="rId24" w:history="1">
        <w:r w:rsidRPr="009F6510">
          <w:rPr>
            <w:rStyle w:val="Hyperlink"/>
          </w:rPr>
          <w:t>resurrection</w:t>
        </w:r>
      </w:hyperlink>
      <w:r w:rsidRPr="009F6510">
        <w:t xml:space="preserve"> of the dead body at some time in the future. The stimulus for this may have come from ancient </w:t>
      </w:r>
      <w:hyperlink r:id="rId25" w:history="1">
        <w:r w:rsidRPr="009F6510">
          <w:rPr>
            <w:rStyle w:val="Hyperlink"/>
          </w:rPr>
          <w:t>Iranian religion</w:t>
        </w:r>
      </w:hyperlink>
      <w:r w:rsidRPr="009F6510">
        <w:t xml:space="preserve">, in which the dualistic cosmic struggle is eventually won by life through the resurrection of the dead. This idea appeared in sketchy form in postexilic writings (Isaiah 26:19; Daniel 12:2). In this view there is life only in the psychosomatic unit now restored. This restoration was bound up with the eschatological hope of Israel and was limited to the righteous. In subsequent apocalyptic literature, a sharper distinction between body and soul was entertained, and the latter was conceived of as existing separately in a disembodied state after death. Although at this point the doctrine of the resurrection of the body was not put aside, the direction of thinking changed. The shades of </w:t>
      </w:r>
      <w:proofErr w:type="spellStart"/>
      <w:r w:rsidRPr="009F6510">
        <w:t>sheol</w:t>
      </w:r>
      <w:proofErr w:type="spellEnd"/>
      <w:r w:rsidRPr="009F6510">
        <w:t xml:space="preserve"> were now thought of as souls, and real personal survival—with </w:t>
      </w:r>
      <w:hyperlink r:id="rId26" w:history="1">
        <w:r w:rsidRPr="009F6510">
          <w:rPr>
            <w:rStyle w:val="Hyperlink"/>
          </w:rPr>
          <w:t>continuity</w:t>
        </w:r>
      </w:hyperlink>
      <w:r w:rsidRPr="009F6510">
        <w:t xml:space="preserve"> between life on earth and in </w:t>
      </w:r>
      <w:proofErr w:type="spellStart"/>
      <w:r w:rsidRPr="009F6510">
        <w:t>sheol</w:t>
      </w:r>
      <w:proofErr w:type="spellEnd"/>
      <w:r w:rsidRPr="009F6510">
        <w:t xml:space="preserve">—was posited. Greek ideas, with their individualistic bent, influenced Jewish thought, so that the idea of a resurrection that was in some way related to a final historical consummation began to recede. True </w:t>
      </w:r>
      <w:hyperlink r:id="rId27" w:history="1">
        <w:r w:rsidRPr="009F6510">
          <w:rPr>
            <w:rStyle w:val="Hyperlink"/>
          </w:rPr>
          <w:t>life after death</w:t>
        </w:r>
      </w:hyperlink>
      <w:r w:rsidRPr="009F6510">
        <w:t xml:space="preserve"> was now seen as release from </w:t>
      </w:r>
      <w:r w:rsidRPr="009F6510">
        <w:lastRenderedPageBreak/>
        <w:t>the bondage of the body, so that in place of or alongside of the afterlife of physical resurrection was set the afterlife of the immortal soul.</w:t>
      </w:r>
    </w:p>
    <w:p w14:paraId="299823A9" w14:textId="77777777" w:rsidR="009F6510" w:rsidRPr="009F6510" w:rsidRDefault="009F6510" w:rsidP="009F6510">
      <w:r w:rsidRPr="009F6510">
        <w:t xml:space="preserve">It was not the status of the soul, however, that concerned the biblical and rabbinic thinkers. Instead, the latter’s discussions of biblical themes emphasized the </w:t>
      </w:r>
      <w:hyperlink r:id="rId28" w:history="1">
        <w:r w:rsidRPr="009F6510">
          <w:rPr>
            <w:rStyle w:val="Hyperlink"/>
          </w:rPr>
          <w:t>ethical</w:t>
        </w:r>
      </w:hyperlink>
      <w:r w:rsidRPr="009F6510">
        <w:t xml:space="preserve"> import of the composite nature of human beings. Humans are in a state of tension or </w:t>
      </w:r>
      <w:hyperlink r:id="rId29" w:history="1">
        <w:r w:rsidRPr="009F6510">
          <w:rPr>
            <w:rStyle w:val="Hyperlink"/>
          </w:rPr>
          <w:t>equilibrium</w:t>
        </w:r>
      </w:hyperlink>
      <w:r w:rsidRPr="009F6510">
        <w:t xml:space="preserve"> between the two foci of creation, the “heavenly” and the “earthly.” They necessarily participate in both. But this means that they are the only creatures who can truly serve their creator, for they alone, partaking of both sides of creation, may choose between them. It is this ability to make an ethical choice that is the distinguishing mark of humans. It is not derived from the “heavenly” side but resides in the dual nature of human existence. This view is clearly not a type of body-soul dualism in which the soul is the source of good and the body the basis of evil. Such an attitude, however, did appear in some rabbinic material and was often affirmed in </w:t>
      </w:r>
      <w:hyperlink r:id="rId30" w:history="1">
        <w:r w:rsidRPr="009F6510">
          <w:rPr>
            <w:rStyle w:val="Hyperlink"/>
          </w:rPr>
          <w:t>medieval</w:t>
        </w:r>
      </w:hyperlink>
      <w:r w:rsidRPr="009F6510">
        <w:t xml:space="preserve"> philosophical and mystical speculations and by some of the later moralists. An important development of biblical-rabbinic ideas, these later commentaries represent authentic attempts to come to terms with other currents of thought and with the problems and uncertainties </w:t>
      </w:r>
      <w:hyperlink r:id="rId31" w:history="1">
        <w:r w:rsidRPr="009F6510">
          <w:rPr>
            <w:rStyle w:val="Hyperlink"/>
          </w:rPr>
          <w:t>inherent</w:t>
        </w:r>
      </w:hyperlink>
      <w:r w:rsidRPr="009F6510">
        <w:t xml:space="preserve"> within the earlier materials themselves.</w:t>
      </w:r>
    </w:p>
    <w:p w14:paraId="4C9CCBF5" w14:textId="77777777" w:rsidR="009F6510" w:rsidRPr="009F6510" w:rsidRDefault="009F6510" w:rsidP="009F6510">
      <w:pPr>
        <w:rPr>
          <w:b/>
          <w:bCs/>
        </w:rPr>
      </w:pPr>
      <w:r w:rsidRPr="009F6510">
        <w:rPr>
          <w:b/>
          <w:bCs/>
        </w:rPr>
        <w:t>The ethically bound creature</w:t>
      </w:r>
    </w:p>
    <w:p w14:paraId="36494D5F" w14:textId="77777777" w:rsidR="009F6510" w:rsidRPr="009F6510" w:rsidRDefault="009F6510" w:rsidP="009F6510">
      <w:r w:rsidRPr="009F6510">
        <w:t xml:space="preserve">Humankind is then viewed as ethically involved. The central theme of the first 11 chapters of Genesis focuses on this responsibility, for the </w:t>
      </w:r>
      <w:hyperlink r:id="rId32" w:history="1">
        <w:r w:rsidRPr="009F6510">
          <w:rPr>
            <w:rStyle w:val="Hyperlink"/>
          </w:rPr>
          <w:t>implicit</w:t>
        </w:r>
      </w:hyperlink>
      <w:r w:rsidRPr="009F6510">
        <w:t xml:space="preserve"> assumption of the pre-patriarchal stories is the human ability to choose between obedience and disobedience. </w:t>
      </w:r>
      <w:hyperlink r:id="rId33" w:history="1">
        <w:r w:rsidRPr="009F6510">
          <w:rPr>
            <w:rStyle w:val="Hyperlink"/>
          </w:rPr>
          <w:t>Rabbinic Judaism</w:t>
        </w:r>
      </w:hyperlink>
      <w:r w:rsidRPr="009F6510">
        <w:t xml:space="preserve">, taking up the covenant-making episode between God and </w:t>
      </w:r>
      <w:hyperlink r:id="rId34" w:history="1">
        <w:r w:rsidRPr="009F6510">
          <w:rPr>
            <w:rStyle w:val="Hyperlink"/>
          </w:rPr>
          <w:t>Noah</w:t>
        </w:r>
      </w:hyperlink>
      <w:r w:rsidRPr="009F6510">
        <w:t xml:space="preserve"> (Genesis 9:8–17), developed it as the basis of humanity’s ethical obligation. All humanity, not merely Israel, is engaged in a </w:t>
      </w:r>
      <w:hyperlink r:id="rId35" w:history="1">
        <w:r w:rsidRPr="009F6510">
          <w:rPr>
            <w:rStyle w:val="Hyperlink"/>
          </w:rPr>
          <w:t>covenant</w:t>
        </w:r>
      </w:hyperlink>
      <w:r w:rsidRPr="009F6510">
        <w:t xml:space="preserve"> relationship with God, which was spelled out in explicit precepts—variously enumerated as 6, 7, or even 10 and occasionally as many as 30—that reflect general humanitarian </w:t>
      </w:r>
      <w:proofErr w:type="spellStart"/>
      <w:r w:rsidRPr="009F6510">
        <w:t>behaviour</w:t>
      </w:r>
      <w:proofErr w:type="spellEnd"/>
      <w:r w:rsidRPr="009F6510">
        <w:t xml:space="preserve"> and are intended to assure the maintenance of the natural order by the establishment of a proper human society. The covenant with Israel was meant to bring into being a community that would advance the development of this society through its own obedience and witness.</w:t>
      </w:r>
    </w:p>
    <w:p w14:paraId="352A0769" w14:textId="77777777" w:rsidR="009F6510" w:rsidRPr="009F6510" w:rsidRDefault="009F6510" w:rsidP="009F6510">
      <w:r w:rsidRPr="009F6510">
        <w:t xml:space="preserve">Human nature, viewed ethically, was explained in Rabbinic Judaism not only as a tension between the “heavenly” and “earthly” components but as a tension between two “impulses.” Here again, fragmentary and allusive biblical materials were developed into more-comprehensive statements. The biblical word </w:t>
      </w:r>
      <w:hyperlink r:id="rId36" w:history="1">
        <w:r w:rsidRPr="009F6510">
          <w:rPr>
            <w:rStyle w:val="Hyperlink"/>
            <w:i/>
            <w:iCs/>
          </w:rPr>
          <w:t>yetzer</w:t>
        </w:r>
      </w:hyperlink>
      <w:r w:rsidRPr="009F6510">
        <w:t xml:space="preserve">, for example, means “plan,” that which is formed in human minds. In the two occurrences of the word in Genesis (6:5; 8:21), the plan or formation of the human mind is described as </w:t>
      </w:r>
      <w:proofErr w:type="spellStart"/>
      <w:r w:rsidRPr="009F6510">
        <w:rPr>
          <w:i/>
          <w:iCs/>
        </w:rPr>
        <w:t>ra</w:t>
      </w:r>
      <w:r w:rsidRPr="009F6510">
        <w:rPr>
          <w:rFonts w:ascii="Arial" w:hAnsi="Arial" w:cs="Arial"/>
          <w:i/>
          <w:iCs/>
        </w:rPr>
        <w:t>ʿ</w:t>
      </w:r>
      <w:proofErr w:type="spellEnd"/>
      <w:r w:rsidRPr="009F6510">
        <w:t xml:space="preserve">, perhaps “evil” in the </w:t>
      </w:r>
      <w:hyperlink r:id="rId37" w:history="1">
        <w:r w:rsidRPr="009F6510">
          <w:rPr>
            <w:rStyle w:val="Hyperlink"/>
          </w:rPr>
          <w:t>moral</w:t>
        </w:r>
      </w:hyperlink>
      <w:r w:rsidRPr="009F6510">
        <w:t xml:space="preserve"> sense or maybe no more than “disorderly,” “confused,” “undisciplined.” Other occurrences in the </w:t>
      </w:r>
      <w:hyperlink r:id="rId38" w:history="1">
        <w:r w:rsidRPr="009F6510">
          <w:rPr>
            <w:rStyle w:val="Hyperlink"/>
          </w:rPr>
          <w:t>Bible</w:t>
        </w:r>
      </w:hyperlink>
      <w:r w:rsidRPr="009F6510">
        <w:t xml:space="preserve"> do not have this modifier. Nonetheless, the </w:t>
      </w:r>
      <w:hyperlink r:id="rId39" w:history="1">
        <w:r w:rsidRPr="009F6510">
          <w:rPr>
            <w:rStyle w:val="Hyperlink"/>
          </w:rPr>
          <w:t>Aramaic</w:t>
        </w:r>
      </w:hyperlink>
      <w:r w:rsidRPr="009F6510">
        <w:t xml:space="preserve"> translations (</w:t>
      </w:r>
      <w:proofErr w:type="spellStart"/>
      <w:r w:rsidRPr="009F6510">
        <w:t>Targumim</w:t>
      </w:r>
      <w:proofErr w:type="spellEnd"/>
      <w:r w:rsidRPr="009F6510">
        <w:t xml:space="preserve">) invariably replaced it with </w:t>
      </w:r>
      <w:proofErr w:type="spellStart"/>
      <w:r w:rsidRPr="009F6510">
        <w:rPr>
          <w:i/>
          <w:iCs/>
        </w:rPr>
        <w:t>bisha</w:t>
      </w:r>
      <w:proofErr w:type="spellEnd"/>
      <w:r w:rsidRPr="009F6510">
        <w:rPr>
          <w:i/>
          <w:iCs/>
        </w:rPr>
        <w:t xml:space="preserve"> </w:t>
      </w:r>
      <w:r w:rsidRPr="009F6510">
        <w:t xml:space="preserve">(“wicked”) wherever it occurred. Rabbinic literature created a technical term, </w:t>
      </w:r>
      <w:r w:rsidRPr="009F6510">
        <w:rPr>
          <w:i/>
          <w:iCs/>
        </w:rPr>
        <w:t>ha-</w:t>
      </w:r>
      <w:proofErr w:type="spellStart"/>
      <w:r w:rsidRPr="009F6510">
        <w:rPr>
          <w:i/>
          <w:iCs/>
        </w:rPr>
        <w:t>ra</w:t>
      </w:r>
      <w:r w:rsidRPr="009F6510">
        <w:rPr>
          <w:rFonts w:ascii="Arial" w:hAnsi="Arial" w:cs="Arial"/>
          <w:i/>
          <w:iCs/>
        </w:rPr>
        <w:t>ʿ</w:t>
      </w:r>
      <w:proofErr w:type="spellEnd"/>
      <w:r w:rsidRPr="009F6510">
        <w:t xml:space="preserve"> (“the evil impulse”), to denote the source within humans of their disobedience, and subsequently the counter-term </w:t>
      </w:r>
      <w:hyperlink r:id="rId40" w:history="1">
        <w:r w:rsidRPr="009F6510">
          <w:rPr>
            <w:rStyle w:val="Hyperlink"/>
            <w:i/>
            <w:iCs/>
          </w:rPr>
          <w:t>yetzer ha-</w:t>
        </w:r>
        <w:proofErr w:type="spellStart"/>
        <w:r w:rsidRPr="009F6510">
          <w:rPr>
            <w:rStyle w:val="Hyperlink"/>
            <w:rFonts w:ascii="Calibri" w:hAnsi="Calibri" w:cs="Calibri"/>
            <w:i/>
            <w:iCs/>
          </w:rPr>
          <w:t>ṭ</w:t>
        </w:r>
        <w:r w:rsidRPr="009F6510">
          <w:rPr>
            <w:rStyle w:val="Hyperlink"/>
            <w:i/>
            <w:iCs/>
          </w:rPr>
          <w:t>ov</w:t>
        </w:r>
        <w:proofErr w:type="spellEnd"/>
      </w:hyperlink>
      <w:r w:rsidRPr="009F6510">
        <w:t xml:space="preserve"> (“the good impulse”) was used to indicate humans’ obedience. These terms more clearly suggest the ethical quality of human duality, while their opposition and conflict point to human freedom and the ethical choices humans must make. Indeed, it is primarily within the realm of the ethical that Judaism posits freedom, recognizing the bound, or determined, quality of much of humans’ natural </w:t>
      </w:r>
      <w:hyperlink r:id="rId41" w:history="1">
        <w:r w:rsidRPr="009F6510">
          <w:rPr>
            <w:rStyle w:val="Hyperlink"/>
          </w:rPr>
          <w:t>environment</w:t>
        </w:r>
      </w:hyperlink>
      <w:r w:rsidRPr="009F6510">
        <w:t xml:space="preserve"> or physiological makeup.</w:t>
      </w:r>
    </w:p>
    <w:p w14:paraId="286B0F14" w14:textId="77777777" w:rsidR="009F6510" w:rsidRDefault="009F6510" w:rsidP="009F6510">
      <w:r w:rsidRPr="009F6510">
        <w:lastRenderedPageBreak/>
        <w:t xml:space="preserve">This ethically free creature stands within the covenant relationship and may choose to be obedient or disobedient. </w:t>
      </w:r>
      <w:hyperlink r:id="rId42" w:history="1">
        <w:r w:rsidRPr="009F6510">
          <w:rPr>
            <w:rStyle w:val="Hyperlink"/>
          </w:rPr>
          <w:t>Sin</w:t>
        </w:r>
      </w:hyperlink>
      <w:r w:rsidRPr="009F6510">
        <w:t xml:space="preserve">, then, is ultimately deliberate disobedience or rebellion against the divine </w:t>
      </w:r>
      <w:hyperlink r:id="rId43" w:history="1">
        <w:r w:rsidRPr="009F6510">
          <w:rPr>
            <w:rStyle w:val="Hyperlink"/>
          </w:rPr>
          <w:t>sovereign</w:t>
        </w:r>
      </w:hyperlink>
      <w:r w:rsidRPr="009F6510">
        <w:t xml:space="preserve">. This is more easily observed in relation to Israel, for it is in this connection that the central concern of Judaism is most evident and discussed in greatest detail. The covenant relationship is not limited to Israel, because, according to Judaic tradition, all humankind stands within a covenant relation to God and is commanded to be moral and just; therefore, the same choice is made universally. In technical language, the acceptance of divine </w:t>
      </w:r>
      <w:hyperlink r:id="rId44" w:history="1">
        <w:r w:rsidRPr="009F6510">
          <w:rPr>
            <w:rStyle w:val="Hyperlink"/>
          </w:rPr>
          <w:t>sovereignty</w:t>
        </w:r>
      </w:hyperlink>
      <w:r w:rsidRPr="009F6510">
        <w:t xml:space="preserve"> by the people of Israel and by individuals within that community is called “receiving the yoke of the kingship.” This involves intellectual commitment to a basic belief, as expressed by the Deuteronomic proclamation: “Hear, O Israel, the Lord, our God, the Lord is one!” It also imposes obligations regarding communal and individual </w:t>
      </w:r>
      <w:proofErr w:type="spellStart"/>
      <w:r w:rsidRPr="009F6510">
        <w:t>behaviour</w:t>
      </w:r>
      <w:proofErr w:type="spellEnd"/>
      <w:r w:rsidRPr="009F6510">
        <w:t xml:space="preserve">. These two responses are understood to be inextricably bound, so that rejection of the divine sovereign is </w:t>
      </w:r>
      <w:hyperlink r:id="rId45" w:history="1">
        <w:r w:rsidRPr="009F6510">
          <w:rPr>
            <w:rStyle w:val="Hyperlink"/>
          </w:rPr>
          <w:t>manifest</w:t>
        </w:r>
      </w:hyperlink>
      <w:r w:rsidRPr="009F6510">
        <w:t xml:space="preserve"> as denial of God both intellectually and practically. It amounts to “breaking the yoke of the kingship.” In more specific terms, sin is sometimes summed up under three interrelated headings: idolatry, murder, and illicit sexual </w:t>
      </w:r>
      <w:proofErr w:type="spellStart"/>
      <w:r w:rsidRPr="009F6510">
        <w:t>behaviour</w:t>
      </w:r>
      <w:proofErr w:type="spellEnd"/>
      <w:r w:rsidRPr="009F6510">
        <w:t xml:space="preserve">, each of which involves rebellion, for it involves activities that deny—if not God’s existence—his commanding relationship and the requirement of human response. Such </w:t>
      </w:r>
      <w:proofErr w:type="spellStart"/>
      <w:r w:rsidRPr="009F6510">
        <w:t>behaviour</w:t>
      </w:r>
      <w:proofErr w:type="spellEnd"/>
      <w:r w:rsidRPr="009F6510">
        <w:t xml:space="preserve"> destroys the </w:t>
      </w:r>
      <w:hyperlink r:id="rId46" w:history="1">
        <w:r w:rsidRPr="009F6510">
          <w:rPr>
            <w:rStyle w:val="Hyperlink"/>
          </w:rPr>
          <w:t>community</w:t>
        </w:r>
      </w:hyperlink>
      <w:r w:rsidRPr="009F6510">
        <w:t xml:space="preserve"> and sets individual against individual, thus thwarting the ultimate purpose of God, the perfected human society.</w:t>
      </w:r>
    </w:p>
    <w:p w14:paraId="4192FC30" w14:textId="77777777" w:rsidR="009F6510" w:rsidRDefault="009F6510" w:rsidP="009F6510"/>
    <w:p w14:paraId="7C504A8F" w14:textId="77777777" w:rsidR="009F6510" w:rsidRPr="009F6510" w:rsidRDefault="009F6510" w:rsidP="009F6510">
      <w:r w:rsidRPr="009F6510">
        <w:t xml:space="preserve">If humans are free to choose rebellion and to suffer its </w:t>
      </w:r>
      <w:hyperlink r:id="rId47" w:history="1">
        <w:r w:rsidRPr="009F6510">
          <w:rPr>
            <w:rStyle w:val="Hyperlink"/>
          </w:rPr>
          <w:t>consequences</w:t>
        </w:r>
      </w:hyperlink>
      <w:r w:rsidRPr="009F6510">
        <w:t xml:space="preserve">, they are also able to turn back to God and to become </w:t>
      </w:r>
      <w:hyperlink r:id="rId48" w:history="1">
        <w:r w:rsidRPr="009F6510">
          <w:rPr>
            <w:rStyle w:val="Hyperlink"/>
          </w:rPr>
          <w:t>reconciled</w:t>
        </w:r>
      </w:hyperlink>
      <w:r w:rsidRPr="009F6510">
        <w:t xml:space="preserve"> with him. The Bible—particularly the prophetic writings—is filled with this idea, even though the term </w:t>
      </w:r>
      <w:r w:rsidRPr="009F6510">
        <w:rPr>
          <w:i/>
          <w:iCs/>
        </w:rPr>
        <w:t>teshuva</w:t>
      </w:r>
      <w:r w:rsidRPr="009F6510">
        <w:t xml:space="preserve"> (“turning”) came into use only in rabbinic sources. Basically, the idea grows out of the covenant: the opportunity to return to God is the result of God’s unwillingness—despite human failures—to break off the covenant relationship. Rabbinic thought assumed that even the direst warnings of utter disaster and rejection imply the possibility of turning back to God, motivated by remorse and the desire for restoration. Divine readiness and human openness are the two sides of the process of reconciliation. What was expressed in </w:t>
      </w:r>
      <w:hyperlink r:id="rId49" w:history="1">
        <w:r w:rsidRPr="009F6510">
          <w:rPr>
            <w:rStyle w:val="Hyperlink"/>
          </w:rPr>
          <w:t>prophetic</w:t>
        </w:r>
      </w:hyperlink>
      <w:r w:rsidRPr="009F6510">
        <w:t xml:space="preserve"> literature in relation to the immediate historical and political situation was stated in the synagogal liturgy in connection with </w:t>
      </w:r>
      <w:proofErr w:type="spellStart"/>
      <w:r w:rsidRPr="009F6510">
        <w:t>pentateuchal</w:t>
      </w:r>
      <w:proofErr w:type="spellEnd"/>
      <w:r w:rsidRPr="009F6510">
        <w:t xml:space="preserve"> and prophetic lessons and the homilies developed from them. Thus, the divine invitation was constantly being offered. Humans are called upon to atone for their rebellion by positive action in the other direction and are summoned to reconstitute wholeness in their individual and communal life.</w:t>
      </w:r>
    </w:p>
    <w:p w14:paraId="2F493B53" w14:textId="77777777" w:rsidR="009F6510" w:rsidRPr="009F6510" w:rsidRDefault="009F6510" w:rsidP="009F6510">
      <w:r w:rsidRPr="009F6510">
        <w:t xml:space="preserve">Jewish existence, as it developed under rabbinic leadership following the two disastrous rebellions against Rome, was an attempt to reconstitute a community of </w:t>
      </w:r>
      <w:hyperlink r:id="rId50" w:history="1">
        <w:r w:rsidRPr="009F6510">
          <w:rPr>
            <w:rStyle w:val="Hyperlink"/>
          </w:rPr>
          <w:t>faith</w:t>
        </w:r>
      </w:hyperlink>
      <w:r w:rsidRPr="009F6510">
        <w:t xml:space="preserve"> expressed in </w:t>
      </w:r>
      <w:hyperlink r:id="rId51" w:history="1">
        <w:r w:rsidRPr="009F6510">
          <w:rPr>
            <w:rStyle w:val="Hyperlink"/>
          </w:rPr>
          <w:t>worship</w:t>
        </w:r>
      </w:hyperlink>
      <w:r w:rsidRPr="009F6510">
        <w:t xml:space="preserve"> in an ordered society in which the individual would live a hallowed life of response to the divine will. Although this plan was not spelled out in detail, it was probably understood to be the </w:t>
      </w:r>
      <w:hyperlink r:id="rId52" w:history="1">
        <w:r w:rsidRPr="009F6510">
          <w:rPr>
            <w:rStyle w:val="Hyperlink"/>
          </w:rPr>
          <w:t>paradigm</w:t>
        </w:r>
      </w:hyperlink>
      <w:r w:rsidRPr="009F6510">
        <w:t xml:space="preserve"> for the eventual reconstruction of humanity.</w:t>
      </w:r>
    </w:p>
    <w:p w14:paraId="27759DDF" w14:textId="77777777" w:rsidR="009F6510" w:rsidRPr="009F6510" w:rsidRDefault="009F6510" w:rsidP="009F6510">
      <w:pPr>
        <w:rPr>
          <w:b/>
          <w:bCs/>
        </w:rPr>
      </w:pPr>
      <w:r w:rsidRPr="009F6510">
        <w:rPr>
          <w:b/>
          <w:bCs/>
        </w:rPr>
        <w:t>Medieval and modern views of man</w:t>
      </w:r>
    </w:p>
    <w:p w14:paraId="663628C2" w14:textId="77777777" w:rsidR="009F6510" w:rsidRPr="009F6510" w:rsidRDefault="009F6510" w:rsidP="009F6510">
      <w:r w:rsidRPr="009F6510">
        <w:t xml:space="preserve">Although the Jewish view of human nature was centrally concerned with </w:t>
      </w:r>
      <w:hyperlink r:id="rId53" w:history="1">
        <w:r w:rsidRPr="009F6510">
          <w:rPr>
            <w:rStyle w:val="Hyperlink"/>
          </w:rPr>
          <w:t>ethics</w:t>
        </w:r>
      </w:hyperlink>
      <w:r w:rsidRPr="009F6510">
        <w:t xml:space="preserve">, </w:t>
      </w:r>
      <w:hyperlink r:id="rId54" w:history="1">
        <w:r w:rsidRPr="009F6510">
          <w:rPr>
            <w:rStyle w:val="Hyperlink"/>
          </w:rPr>
          <w:t>metaphysical</w:t>
        </w:r>
      </w:hyperlink>
      <w:r w:rsidRPr="009F6510">
        <w:t xml:space="preserve"> issues, however </w:t>
      </w:r>
      <w:hyperlink r:id="rId55" w:history="1">
        <w:r w:rsidRPr="009F6510">
          <w:rPr>
            <w:rStyle w:val="Hyperlink"/>
          </w:rPr>
          <w:t>rudimentary</w:t>
        </w:r>
      </w:hyperlink>
      <w:r w:rsidRPr="009F6510">
        <w:t xml:space="preserve"> in the beginning, were also included in the developing discussion. Medieval philosophers, for example, sought an accommodation between the doctrine of the </w:t>
      </w:r>
      <w:hyperlink r:id="rId56" w:history="1">
        <w:r w:rsidRPr="009F6510">
          <w:rPr>
            <w:rStyle w:val="Hyperlink"/>
          </w:rPr>
          <w:t>resurrection</w:t>
        </w:r>
      </w:hyperlink>
      <w:r w:rsidRPr="009F6510">
        <w:t xml:space="preserve"> of the body and the concept of the immortality of the </w:t>
      </w:r>
      <w:hyperlink r:id="rId57" w:history="1">
        <w:r w:rsidRPr="009F6510">
          <w:rPr>
            <w:rStyle w:val="Hyperlink"/>
          </w:rPr>
          <w:t>soul</w:t>
        </w:r>
      </w:hyperlink>
      <w:r w:rsidRPr="009F6510">
        <w:t xml:space="preserve">. The greatest of them, </w:t>
      </w:r>
      <w:hyperlink r:id="rId58" w:history="1">
        <w:r w:rsidRPr="009F6510">
          <w:rPr>
            <w:rStyle w:val="Hyperlink"/>
          </w:rPr>
          <w:t>Moses Maimonides</w:t>
        </w:r>
      </w:hyperlink>
      <w:r w:rsidRPr="009F6510">
        <w:t xml:space="preserve"> (1135–1204), propounded an extremely subtle position that equated </w:t>
      </w:r>
      <w:hyperlink r:id="rId59" w:history="1">
        <w:r w:rsidRPr="009F6510">
          <w:rPr>
            <w:rStyle w:val="Hyperlink"/>
          </w:rPr>
          <w:t>immortality</w:t>
        </w:r>
      </w:hyperlink>
      <w:r w:rsidRPr="009F6510">
        <w:t xml:space="preserve"> with the </w:t>
      </w:r>
      <w:hyperlink r:id="rId60" w:history="1">
        <w:r w:rsidRPr="009F6510">
          <w:rPr>
            <w:rStyle w:val="Hyperlink"/>
          </w:rPr>
          <w:t>cleaving</w:t>
        </w:r>
      </w:hyperlink>
      <w:r w:rsidRPr="009F6510">
        <w:t xml:space="preserve"> of the human intellect to the active intellect of the universe, thus limiting it to philosophers or to those who accepted a suitable philosophical </w:t>
      </w:r>
      <w:hyperlink r:id="rId61" w:history="1">
        <w:r w:rsidRPr="009F6510">
          <w:rPr>
            <w:rStyle w:val="Hyperlink"/>
          </w:rPr>
          <w:t>theology</w:t>
        </w:r>
      </w:hyperlink>
      <w:r w:rsidRPr="009F6510">
        <w:t xml:space="preserve"> on faith. Little or no </w:t>
      </w:r>
      <w:hyperlink r:id="rId62" w:history="1">
        <w:r w:rsidRPr="009F6510">
          <w:rPr>
            <w:rStyle w:val="Hyperlink"/>
          </w:rPr>
          <w:t>consensus</w:t>
        </w:r>
      </w:hyperlink>
      <w:r w:rsidRPr="009F6510">
        <w:t xml:space="preserve"> was evident in the modern period, though the language of resurrection or immortality was still used, even when its content was uncertain. Alongside this lack of agreement, however, Judaism’s basic affirmation about human nature remained the same: a human being is to be understood, however else, as a creature who makes free ethical choices for which he is responsible.</w:t>
      </w:r>
    </w:p>
    <w:p w14:paraId="46C695E2" w14:textId="77777777" w:rsidR="009F6510" w:rsidRPr="009F6510" w:rsidRDefault="009F6510" w:rsidP="009F6510">
      <w:pPr>
        <w:rPr>
          <w:b/>
          <w:bCs/>
        </w:rPr>
      </w:pPr>
      <w:hyperlink r:id="rId63" w:history="1">
        <w:r w:rsidRPr="009F6510">
          <w:rPr>
            <w:rStyle w:val="Hyperlink"/>
            <w:b/>
            <w:bCs/>
          </w:rPr>
          <w:t>Ethics</w:t>
        </w:r>
      </w:hyperlink>
      <w:r w:rsidRPr="009F6510">
        <w:rPr>
          <w:b/>
          <w:bCs/>
        </w:rPr>
        <w:t xml:space="preserve"> and society</w:t>
      </w:r>
    </w:p>
    <w:p w14:paraId="4B70DF29" w14:textId="77777777" w:rsidR="009F6510" w:rsidRPr="009F6510" w:rsidRDefault="009F6510" w:rsidP="009F6510">
      <w:pPr>
        <w:rPr>
          <w:b/>
          <w:bCs/>
        </w:rPr>
      </w:pPr>
      <w:r w:rsidRPr="009F6510">
        <w:rPr>
          <w:b/>
          <w:bCs/>
        </w:rPr>
        <w:t>The ethical emphasis of Judaism</w:t>
      </w:r>
    </w:p>
    <w:p w14:paraId="442DFC7D" w14:textId="77777777" w:rsidR="009F6510" w:rsidRPr="009F6510" w:rsidRDefault="009F6510" w:rsidP="009F6510">
      <w:r w:rsidRPr="009F6510">
        <w:t xml:space="preserve">Jewish affirmations about God and humans intersect in the concept of Torah as the ordering of human existence in the direction of the </w:t>
      </w:r>
      <w:hyperlink r:id="rId64" w:history="1">
        <w:r w:rsidRPr="009F6510">
          <w:rPr>
            <w:rStyle w:val="Hyperlink"/>
          </w:rPr>
          <w:t>divine</w:t>
        </w:r>
      </w:hyperlink>
      <w:r w:rsidRPr="009F6510">
        <w:t xml:space="preserve">. Humans are ethically responsible creatures who are responsive to the presence of God in nature and in history. Although this responsiveness is expressed on many levels, it is most explicitly called for within interpersonal relationships. The </w:t>
      </w:r>
      <w:proofErr w:type="spellStart"/>
      <w:r w:rsidRPr="009F6510">
        <w:t>pentateuchal</w:t>
      </w:r>
      <w:proofErr w:type="spellEnd"/>
      <w:r w:rsidRPr="009F6510">
        <w:t xml:space="preserve"> legislation sets down, </w:t>
      </w:r>
      <w:hyperlink r:id="rId65" w:history="1">
        <w:r w:rsidRPr="009F6510">
          <w:rPr>
            <w:rStyle w:val="Hyperlink"/>
          </w:rPr>
          <w:t>albeit</w:t>
        </w:r>
      </w:hyperlink>
      <w:r w:rsidRPr="009F6510">
        <w:t xml:space="preserve"> within the limitations of the structures of the </w:t>
      </w:r>
      <w:hyperlink r:id="rId66" w:history="1">
        <w:r w:rsidRPr="009F6510">
          <w:rPr>
            <w:rStyle w:val="Hyperlink"/>
          </w:rPr>
          <w:t>ancient Middle East</w:t>
        </w:r>
      </w:hyperlink>
      <w:r w:rsidRPr="009F6510">
        <w:t xml:space="preserve">, the basic patterns of these relationships. The prophetic messages maintain that the failure to </w:t>
      </w:r>
      <w:proofErr w:type="spellStart"/>
      <w:r w:rsidRPr="009F6510">
        <w:t>honour</w:t>
      </w:r>
      <w:proofErr w:type="spellEnd"/>
      <w:r w:rsidRPr="009F6510">
        <w:t xml:space="preserve"> these demands is the source of social and individual disorder. Even the most exalted members of society are not free of </w:t>
      </w:r>
      <w:hyperlink r:id="rId67" w:history="1">
        <w:r w:rsidRPr="009F6510">
          <w:rPr>
            <w:rStyle w:val="Hyperlink"/>
          </w:rPr>
          <w:t>ethical</w:t>
        </w:r>
      </w:hyperlink>
      <w:r w:rsidRPr="009F6510">
        <w:t xml:space="preserve"> obligations, as is seen in the ethical confrontation of </w:t>
      </w:r>
      <w:hyperlink r:id="rId68" w:history="1">
        <w:r w:rsidRPr="009F6510">
          <w:rPr>
            <w:rStyle w:val="Hyperlink"/>
          </w:rPr>
          <w:t>David</w:t>
        </w:r>
      </w:hyperlink>
      <w:r w:rsidRPr="009F6510">
        <w:t xml:space="preserve"> by Nathan (“Thou art the man”) for seducing </w:t>
      </w:r>
      <w:hyperlink r:id="rId69" w:history="1">
        <w:r w:rsidRPr="009F6510">
          <w:rPr>
            <w:rStyle w:val="Hyperlink"/>
          </w:rPr>
          <w:t>Bathsheba</w:t>
        </w:r>
      </w:hyperlink>
      <w:r w:rsidRPr="009F6510">
        <w:t xml:space="preserve"> and arranging to have her husband killed (2 </w:t>
      </w:r>
      <w:hyperlink r:id="rId70" w:history="1">
        <w:r w:rsidRPr="009F6510">
          <w:rPr>
            <w:rStyle w:val="Hyperlink"/>
          </w:rPr>
          <w:t>Samuel</w:t>
        </w:r>
      </w:hyperlink>
      <w:r w:rsidRPr="009F6510">
        <w:t xml:space="preserve"> 12).</w:t>
      </w:r>
    </w:p>
    <w:p w14:paraId="333C2406" w14:textId="77777777" w:rsidR="009F6510" w:rsidRPr="009F6510" w:rsidRDefault="009F6510" w:rsidP="009F6510">
      <w:r w:rsidRPr="009F6510">
        <w:t xml:space="preserve">What is particularly striking about Jewish ethical concerns is the affirmation that God is not only the source of ethical obligation but is himself the </w:t>
      </w:r>
      <w:hyperlink r:id="rId71" w:history="1">
        <w:r w:rsidRPr="009F6510">
          <w:rPr>
            <w:rStyle w:val="Hyperlink"/>
          </w:rPr>
          <w:t>paradigm</w:t>
        </w:r>
      </w:hyperlink>
      <w:r w:rsidRPr="009F6510">
        <w:t xml:space="preserve"> of it. In the so-called </w:t>
      </w:r>
      <w:hyperlink r:id="rId72" w:history="1">
        <w:r w:rsidRPr="009F6510">
          <w:rPr>
            <w:rStyle w:val="Hyperlink"/>
          </w:rPr>
          <w:t>Code of Holiness</w:t>
        </w:r>
      </w:hyperlink>
      <w:r w:rsidRPr="009F6510">
        <w:t xml:space="preserve"> (</w:t>
      </w:r>
      <w:hyperlink r:id="rId73" w:history="1">
        <w:r w:rsidRPr="009F6510">
          <w:rPr>
            <w:rStyle w:val="Hyperlink"/>
          </w:rPr>
          <w:t>Leviticus</w:t>
        </w:r>
      </w:hyperlink>
      <w:r w:rsidRPr="009F6510">
        <w:t xml:space="preserve"> 19), imitation of divine holiness is offered as the basis of </w:t>
      </w:r>
      <w:hyperlink r:id="rId74" w:history="1">
        <w:r w:rsidRPr="009F6510">
          <w:rPr>
            <w:rStyle w:val="Hyperlink"/>
          </w:rPr>
          <w:t xml:space="preserve">human </w:t>
        </w:r>
        <w:proofErr w:type="spellStart"/>
        <w:r w:rsidRPr="009F6510">
          <w:rPr>
            <w:rStyle w:val="Hyperlink"/>
          </w:rPr>
          <w:t>behaviour</w:t>
        </w:r>
        <w:proofErr w:type="spellEnd"/>
      </w:hyperlink>
      <w:r w:rsidRPr="009F6510">
        <w:t xml:space="preserve"> in both the cultic-ceremonial and ethical spheres. The basic injunction, “You shall be holy, for I, the Lord your God, am Holy,” underlay the concern for economically </w:t>
      </w:r>
      <w:hyperlink r:id="rId75" w:history="1">
        <w:r w:rsidRPr="009F6510">
          <w:rPr>
            <w:rStyle w:val="Hyperlink"/>
          </w:rPr>
          <w:t>vulnerable</w:t>
        </w:r>
      </w:hyperlink>
      <w:r w:rsidRPr="009F6510">
        <w:t xml:space="preserve"> members of the </w:t>
      </w:r>
      <w:hyperlink r:id="rId76" w:history="1">
        <w:r w:rsidRPr="009F6510">
          <w:rPr>
            <w:rStyle w:val="Hyperlink"/>
          </w:rPr>
          <w:t>community</w:t>
        </w:r>
      </w:hyperlink>
      <w:r w:rsidRPr="009F6510">
        <w:t xml:space="preserve">; obligations toward </w:t>
      </w:r>
      <w:proofErr w:type="spellStart"/>
      <w:r w:rsidRPr="009F6510">
        <w:t>neighbours</w:t>
      </w:r>
      <w:proofErr w:type="spellEnd"/>
      <w:r w:rsidRPr="009F6510">
        <w:t xml:space="preserve">, hired </w:t>
      </w:r>
      <w:proofErr w:type="spellStart"/>
      <w:r w:rsidRPr="009F6510">
        <w:t>labourers</w:t>
      </w:r>
      <w:proofErr w:type="spellEnd"/>
      <w:r w:rsidRPr="009F6510">
        <w:t xml:space="preserve">, and the physically handicapped; interfamilial relationships; and attitudes toward strangers (i.e., non-Israelites). Acceptable human </w:t>
      </w:r>
      <w:proofErr w:type="spellStart"/>
      <w:r w:rsidRPr="009F6510">
        <w:t>behaviour</w:t>
      </w:r>
      <w:proofErr w:type="spellEnd"/>
      <w:r w:rsidRPr="009F6510">
        <w:t xml:space="preserve"> was therefore “walking in all His ways” (Deuteronomy 11:22). The dialectical relation between God and man in the literary prophets also exhibits divine righteousness and divine compassion as patterns to be emulated in the life of the community.</w:t>
      </w:r>
    </w:p>
    <w:p w14:paraId="253EC124" w14:textId="77777777" w:rsidR="009F6510" w:rsidRPr="009F6510" w:rsidRDefault="009F6510" w:rsidP="009F6510">
      <w:r w:rsidRPr="009F6510">
        <w:t xml:space="preserve">This theme, </w:t>
      </w:r>
      <w:proofErr w:type="spellStart"/>
      <w:r w:rsidRPr="009F6510">
        <w:rPr>
          <w:i/>
          <w:iCs/>
        </w:rPr>
        <w:t>imitatio</w:t>
      </w:r>
      <w:proofErr w:type="spellEnd"/>
      <w:r w:rsidRPr="009F6510">
        <w:rPr>
          <w:i/>
          <w:iCs/>
        </w:rPr>
        <w:t xml:space="preserve"> Dei</w:t>
      </w:r>
      <w:r w:rsidRPr="009F6510">
        <w:t xml:space="preserve"> (“imitation of God”), is expressed succinctly in a commentary on Deuteronomy 11:22 that answers the question of how it is possible to walk “in all His ways”: “As He is merciful and gracious, so be you merciful and gracious. As He is </w:t>
      </w:r>
      <w:hyperlink r:id="rId77" w:history="1">
        <w:r w:rsidRPr="009F6510">
          <w:rPr>
            <w:rStyle w:val="Hyperlink"/>
          </w:rPr>
          <w:t>righteous</w:t>
        </w:r>
      </w:hyperlink>
      <w:r w:rsidRPr="009F6510">
        <w:t xml:space="preserve"> so be you righteous. As He is holy, strive to be holy” (</w:t>
      </w:r>
      <w:r w:rsidRPr="009F6510">
        <w:rPr>
          <w:i/>
          <w:iCs/>
        </w:rPr>
        <w:t>Sifre</w:t>
      </w:r>
      <w:r w:rsidRPr="009F6510">
        <w:t xml:space="preserve"> Deuteronomy 85a). Even more daringly, God is described as clothing the naked, nursing the sick, comforting the mourners, and burying the dead, so that human beings may recognize their own obligations.</w:t>
      </w:r>
    </w:p>
    <w:p w14:paraId="73843613" w14:textId="77777777" w:rsidR="009F6510" w:rsidRPr="009F6510" w:rsidRDefault="009F6510" w:rsidP="009F6510">
      <w:pPr>
        <w:rPr>
          <w:b/>
          <w:bCs/>
        </w:rPr>
      </w:pPr>
      <w:r w:rsidRPr="009F6510">
        <w:rPr>
          <w:b/>
          <w:bCs/>
        </w:rPr>
        <w:t>Interpenetration of communal and individual ethics</w:t>
      </w:r>
    </w:p>
    <w:p w14:paraId="321B795B" w14:textId="77777777" w:rsidR="009F6510" w:rsidRPr="009F6510" w:rsidRDefault="009F6510" w:rsidP="009F6510">
      <w:r w:rsidRPr="009F6510">
        <w:t xml:space="preserve">What stands out in the entire development of Jewish ethical formulations is the constant interpenetration of communal and individual obligations and concerns. A just society requires just people, and a just person functions within a just society. The concrete expression of ethical </w:t>
      </w:r>
      <w:r w:rsidRPr="009F6510">
        <w:lastRenderedPageBreak/>
        <w:t xml:space="preserve">requirements in legal precepts takes place with both ends in view, so that the process of beginning the holy community and the process of forming the </w:t>
      </w:r>
      <w:proofErr w:type="spellStart"/>
      <w:r w:rsidRPr="009F6510">
        <w:rPr>
          <w:rFonts w:ascii="Calibri" w:hAnsi="Calibri" w:cs="Calibri"/>
          <w:i/>
          <w:iCs/>
        </w:rPr>
        <w:t>ḥ</w:t>
      </w:r>
      <w:r w:rsidRPr="009F6510">
        <w:rPr>
          <w:i/>
          <w:iCs/>
        </w:rPr>
        <w:t>asid</w:t>
      </w:r>
      <w:proofErr w:type="spellEnd"/>
      <w:r w:rsidRPr="009F6510">
        <w:t xml:space="preserve"> (“pious”), the person of steadfast devotion to God, are </w:t>
      </w:r>
      <w:hyperlink r:id="rId78" w:history="1">
        <w:r w:rsidRPr="009F6510">
          <w:rPr>
            <w:rStyle w:val="Hyperlink"/>
          </w:rPr>
          <w:t>concomitant</w:t>
        </w:r>
      </w:hyperlink>
      <w:r w:rsidRPr="009F6510">
        <w:t xml:space="preserve">. The relationship between the two is, of course, often mediated by the historical situation, so that in some periods one or the other moves to the </w:t>
      </w:r>
      <w:proofErr w:type="spellStart"/>
      <w:r w:rsidRPr="009F6510">
        <w:t>centre</w:t>
      </w:r>
      <w:proofErr w:type="spellEnd"/>
      <w:r w:rsidRPr="009F6510">
        <w:t xml:space="preserve"> of practical interest. In particular, the end of the </w:t>
      </w:r>
      <w:hyperlink r:id="rId79" w:history="1">
        <w:r w:rsidRPr="009F6510">
          <w:rPr>
            <w:rStyle w:val="Hyperlink"/>
          </w:rPr>
          <w:t>Judaean state</w:t>
        </w:r>
      </w:hyperlink>
      <w:r w:rsidRPr="009F6510">
        <w:t xml:space="preserve"> (70–135 </w:t>
      </w:r>
      <w:proofErr w:type="spellStart"/>
      <w:r w:rsidRPr="009F6510">
        <w:t>ce</w:t>
      </w:r>
      <w:proofErr w:type="spellEnd"/>
      <w:r w:rsidRPr="009F6510">
        <w:t xml:space="preserve">) truncated the communal aspect of ethical obligations, often limiting discussion to apolitical responsibilities rather than to the full range of social involvements. The reestablishment of the </w:t>
      </w:r>
      <w:hyperlink r:id="rId80" w:history="1">
        <w:r w:rsidRPr="009F6510">
          <w:rPr>
            <w:rStyle w:val="Hyperlink"/>
          </w:rPr>
          <w:t>State of Israel</w:t>
        </w:r>
      </w:hyperlink>
      <w:r w:rsidRPr="009F6510">
        <w:t xml:space="preserve"> in the 20th century therefore reopened for discussion areas that for millennia were either ignored or treated as mere abstractions. This implies that the full ethical responsibility of Jews cannot be carried out solely within the realm of individual relationships but must include involvement in the life of a fully </w:t>
      </w:r>
      <w:hyperlink r:id="rId81" w:history="1">
        <w:r w:rsidRPr="009F6510">
          <w:rPr>
            <w:rStyle w:val="Hyperlink"/>
          </w:rPr>
          <w:t>articulated</w:t>
        </w:r>
      </w:hyperlink>
      <w:r w:rsidRPr="009F6510">
        <w:t xml:space="preserve"> community.</w:t>
      </w:r>
    </w:p>
    <w:p w14:paraId="630B54AC" w14:textId="77777777" w:rsidR="009F6510" w:rsidRPr="009F6510" w:rsidRDefault="009F6510" w:rsidP="009F6510">
      <w:r w:rsidRPr="009F6510">
        <w:t xml:space="preserve">This double involvement is most vividly apparent in the biblical period, when both were equally present as divine command and demand. In the rabbinic period, because of the new political </w:t>
      </w:r>
      <w:hyperlink r:id="rId82" w:history="1">
        <w:r w:rsidRPr="009F6510">
          <w:rPr>
            <w:rStyle w:val="Hyperlink"/>
          </w:rPr>
          <w:t>context</w:t>
        </w:r>
      </w:hyperlink>
      <w:r w:rsidRPr="009F6510">
        <w:t xml:space="preserve">, the communal aspect receded, so that discussion was mainly oriented toward relationships between members of the Jewish community or between individuals as such and away from political responsibilities. Nonetheless, the virtues that were understood to govern these relationships were, in their biblical setting, communal as well. Righteousness and compassion had been obligations of the state, governing the relationship between political units, as the first two chapters of </w:t>
      </w:r>
      <w:hyperlink r:id="rId83" w:history="1">
        <w:r w:rsidRPr="009F6510">
          <w:rPr>
            <w:rStyle w:val="Hyperlink"/>
          </w:rPr>
          <w:t>Amos</w:t>
        </w:r>
      </w:hyperlink>
      <w:r w:rsidRPr="009F6510">
        <w:t xml:space="preserve"> make evident. At the same time, as </w:t>
      </w:r>
      <w:hyperlink r:id="rId84" w:history="1">
        <w:r w:rsidRPr="009F6510">
          <w:rPr>
            <w:rStyle w:val="Hyperlink"/>
          </w:rPr>
          <w:t>Micah</w:t>
        </w:r>
      </w:hyperlink>
      <w:r w:rsidRPr="009F6510">
        <w:t xml:space="preserve"> 6:8 shows, doing justly, loving mercy, and walking humbly with God were obligations of the individual as well. Given the situation of the </w:t>
      </w:r>
      <w:hyperlink r:id="rId85" w:history="1">
        <w:r w:rsidRPr="009F6510">
          <w:rPr>
            <w:rStyle w:val="Hyperlink"/>
          </w:rPr>
          <w:t>Jewish Diaspora</w:t>
        </w:r>
      </w:hyperlink>
      <w:r w:rsidRPr="009F6510">
        <w:t xml:space="preserve"> following the revolts against Rome in the 1st and 2nd centuries </w:t>
      </w:r>
      <w:proofErr w:type="spellStart"/>
      <w:r w:rsidRPr="009F6510">
        <w:t>ce</w:t>
      </w:r>
      <w:proofErr w:type="spellEnd"/>
      <w:r w:rsidRPr="009F6510">
        <w:t xml:space="preserve">, the individual pattern became the primary object of concern. Theoretical ethical systems were not developed until the </w:t>
      </w:r>
      <w:hyperlink r:id="rId86" w:history="1">
        <w:r w:rsidRPr="009F6510">
          <w:rPr>
            <w:rStyle w:val="Hyperlink"/>
          </w:rPr>
          <w:t>Middle Ages</w:t>
        </w:r>
      </w:hyperlink>
      <w:r w:rsidRPr="009F6510">
        <w:t xml:space="preserve">, but even in the early period it was understood that the </w:t>
      </w:r>
      <w:hyperlink r:id="rId87" w:history="1">
        <w:r w:rsidRPr="009F6510">
          <w:rPr>
            <w:rStyle w:val="Hyperlink"/>
          </w:rPr>
          <w:t>dynamic</w:t>
        </w:r>
      </w:hyperlink>
      <w:r w:rsidRPr="009F6510">
        <w:t xml:space="preserve"> of ethical theory stood behind the practical system of </w:t>
      </w:r>
      <w:hyperlink r:id="rId88" w:history="1">
        <w:r w:rsidRPr="009F6510">
          <w:rPr>
            <w:rStyle w:val="Hyperlink"/>
          </w:rPr>
          <w:t>Halakhah</w:t>
        </w:r>
      </w:hyperlink>
      <w:r w:rsidRPr="009F6510">
        <w:t xml:space="preserve">, the enumeration of legal precepts. This meant that the law assumed an ethical core that existed prior to </w:t>
      </w:r>
      <w:hyperlink r:id="rId89" w:history="1">
        <w:r w:rsidRPr="009F6510">
          <w:rPr>
            <w:rStyle w:val="Hyperlink"/>
          </w:rPr>
          <w:t>revelation</w:t>
        </w:r>
      </w:hyperlink>
      <w:r w:rsidRPr="009F6510">
        <w:t xml:space="preserve"> and that the laws were just and merciful because God was just and merciful. </w:t>
      </w:r>
      <w:proofErr w:type="gramStart"/>
      <w:r w:rsidRPr="009F6510">
        <w:t>Thus</w:t>
      </w:r>
      <w:proofErr w:type="gramEnd"/>
      <w:r w:rsidRPr="009F6510">
        <w:t xml:space="preserve"> an attempt was made to reduce the hundreds of precepts to a small number expressing the ethical essence of Torah.</w:t>
      </w:r>
    </w:p>
    <w:p w14:paraId="44BC48AA" w14:textId="77777777" w:rsidR="009F6510" w:rsidRPr="009F6510" w:rsidRDefault="009F6510" w:rsidP="009F6510">
      <w:pPr>
        <w:rPr>
          <w:b/>
          <w:bCs/>
        </w:rPr>
      </w:pPr>
      <w:r w:rsidRPr="009F6510">
        <w:rPr>
          <w:b/>
          <w:bCs/>
        </w:rPr>
        <w:t>The key moral virtues</w:t>
      </w:r>
    </w:p>
    <w:p w14:paraId="063C771B" w14:textId="77777777" w:rsidR="009F6510" w:rsidRPr="009F6510" w:rsidRDefault="009F6510" w:rsidP="009F6510">
      <w:r w:rsidRPr="009F6510">
        <w:t xml:space="preserve">In keeping with the rabbinic understanding of </w:t>
      </w:r>
      <w:hyperlink r:id="rId90" w:history="1">
        <w:r w:rsidRPr="009F6510">
          <w:rPr>
            <w:rStyle w:val="Hyperlink"/>
          </w:rPr>
          <w:t>Torah</w:t>
        </w:r>
      </w:hyperlink>
      <w:r w:rsidRPr="009F6510">
        <w:t xml:space="preserve">, study also was viewed as an ethical virtue. Passages from the </w:t>
      </w:r>
      <w:hyperlink r:id="rId91" w:history="1">
        <w:r w:rsidRPr="009F6510">
          <w:rPr>
            <w:rStyle w:val="Hyperlink"/>
          </w:rPr>
          <w:t>Mishna</w:t>
        </w:r>
      </w:hyperlink>
      <w:r w:rsidRPr="009F6510">
        <w:t xml:space="preserve">, which are repeated in the traditional prayer book, </w:t>
      </w:r>
      <w:hyperlink r:id="rId92" w:history="1">
        <w:r w:rsidRPr="009F6510">
          <w:rPr>
            <w:rStyle w:val="Hyperlink"/>
          </w:rPr>
          <w:t>enumerate</w:t>
        </w:r>
      </w:hyperlink>
      <w:r w:rsidRPr="009F6510">
        <w:t xml:space="preserve"> a series of virtuous acts—</w:t>
      </w:r>
      <w:proofErr w:type="spellStart"/>
      <w:r w:rsidRPr="009F6510">
        <w:t>honouring</w:t>
      </w:r>
      <w:proofErr w:type="spellEnd"/>
      <w:r w:rsidRPr="009F6510">
        <w:t xml:space="preserve"> parents, deeds of steadfast love, attendance twice daily at </w:t>
      </w:r>
      <w:hyperlink r:id="rId93" w:history="1">
        <w:r w:rsidRPr="009F6510">
          <w:rPr>
            <w:rStyle w:val="Hyperlink"/>
          </w:rPr>
          <w:t>worship</w:t>
        </w:r>
      </w:hyperlink>
      <w:r w:rsidRPr="009F6510">
        <w:t xml:space="preserve">, hospitality to wayfarers, visiting the sick, dowering brides, accompanying the dead to the grave, devotion in </w:t>
      </w:r>
      <w:hyperlink r:id="rId94" w:history="1">
        <w:r w:rsidRPr="009F6510">
          <w:rPr>
            <w:rStyle w:val="Hyperlink"/>
          </w:rPr>
          <w:t>prayer</w:t>
        </w:r>
      </w:hyperlink>
      <w:r w:rsidRPr="009F6510">
        <w:t xml:space="preserve">, peacemaking in the community and in family life—and conclude by declaring that the study of Torah is the premier virtue. The extracts enumerated in the Mishna and the prayer book exhibit the complex variety of ethical </w:t>
      </w:r>
      <w:proofErr w:type="spellStart"/>
      <w:r w:rsidRPr="009F6510">
        <w:t>behaviour</w:t>
      </w:r>
      <w:proofErr w:type="spellEnd"/>
      <w:r w:rsidRPr="009F6510">
        <w:t xml:space="preserve"> called for within the Jewish tradition. To parental respect and family </w:t>
      </w:r>
      <w:proofErr w:type="spellStart"/>
      <w:r w:rsidRPr="009F6510">
        <w:t>tranquillity</w:t>
      </w:r>
      <w:proofErr w:type="spellEnd"/>
      <w:r w:rsidRPr="009F6510">
        <w:t xml:space="preserve"> are added the responsibility of parents for children, the duties of husband and wife in the establishment and maintenance of a family, and ethical </w:t>
      </w:r>
      <w:hyperlink r:id="rId95" w:history="1">
        <w:r w:rsidRPr="009F6510">
          <w:rPr>
            <w:rStyle w:val="Hyperlink"/>
          </w:rPr>
          <w:t>obligations</w:t>
        </w:r>
      </w:hyperlink>
      <w:r w:rsidRPr="009F6510">
        <w:t xml:space="preserve"> that extend from the conjugal rights of each to the protection of the wife if the marriage is dissolved. The biblical description of God as upholding the cause of the fatherless and the widow and befriending strangers, providing them with food and clothing (Deuteronomy 10:18), remained a factor in the structure of the community. Ethical requirements in economic life are expressed concretely in passages such as Leviticus 19:35–36: “You shall do no wrong in judgment, in measures of length or weight or quantity. You shall have just balances, just weights, a just </w:t>
      </w:r>
      <w:r w:rsidRPr="009F6510">
        <w:rPr>
          <w:i/>
          <w:iCs/>
        </w:rPr>
        <w:t>ephah</w:t>
      </w:r>
      <w:r w:rsidRPr="009F6510">
        <w:t xml:space="preserve">, </w:t>
      </w:r>
      <w:r w:rsidRPr="009F6510">
        <w:lastRenderedPageBreak/>
        <w:t xml:space="preserve">and a just </w:t>
      </w:r>
      <w:proofErr w:type="spellStart"/>
      <w:r w:rsidRPr="009F6510">
        <w:rPr>
          <w:i/>
          <w:iCs/>
        </w:rPr>
        <w:t>hin</w:t>
      </w:r>
      <w:proofErr w:type="spellEnd"/>
      <w:r w:rsidRPr="009F6510">
        <w:t>” (</w:t>
      </w:r>
      <w:r w:rsidRPr="009F6510">
        <w:rPr>
          <w:i/>
          <w:iCs/>
        </w:rPr>
        <w:t>ephah</w:t>
      </w:r>
      <w:r w:rsidRPr="009F6510">
        <w:t xml:space="preserve"> and </w:t>
      </w:r>
      <w:proofErr w:type="spellStart"/>
      <w:r w:rsidRPr="009F6510">
        <w:rPr>
          <w:i/>
          <w:iCs/>
        </w:rPr>
        <w:t>hin</w:t>
      </w:r>
      <w:proofErr w:type="spellEnd"/>
      <w:r w:rsidRPr="009F6510">
        <w:t xml:space="preserve"> are units of measure); another example is </w:t>
      </w:r>
      <w:hyperlink r:id="rId96" w:history="1">
        <w:r w:rsidRPr="009F6510">
          <w:rPr>
            <w:rStyle w:val="Hyperlink"/>
          </w:rPr>
          <w:t>Amos</w:t>
        </w:r>
      </w:hyperlink>
      <w:r w:rsidRPr="009F6510">
        <w:t xml:space="preserve">’s bitter </w:t>
      </w:r>
      <w:hyperlink r:id="rId97" w:history="1">
        <w:r w:rsidRPr="009F6510">
          <w:rPr>
            <w:rStyle w:val="Hyperlink"/>
          </w:rPr>
          <w:t>condemnation</w:t>
        </w:r>
      </w:hyperlink>
      <w:r w:rsidRPr="009F6510">
        <w:t xml:space="preserve"> of those who “sell the righteous for silver, and the needy for a pair of shoes” (Amos 2:6). Such injunctions, together with many other specific precepts and </w:t>
      </w:r>
      <w:hyperlink r:id="rId98" w:history="1">
        <w:r w:rsidRPr="009F6510">
          <w:rPr>
            <w:rStyle w:val="Hyperlink"/>
          </w:rPr>
          <w:t>moral</w:t>
        </w:r>
      </w:hyperlink>
      <w:r w:rsidRPr="009F6510">
        <w:t xml:space="preserve"> requirements, established the basis for a wide-ranging program that sought to govern, both in detail and in general, the economic life of the individual and the community.</w:t>
      </w:r>
    </w:p>
    <w:p w14:paraId="58B1F603" w14:textId="77777777" w:rsidR="009F6510" w:rsidRPr="009F6510" w:rsidRDefault="009F6510" w:rsidP="009F6510">
      <w:r w:rsidRPr="009F6510">
        <w:t xml:space="preserve">Relations within the human sphere are not the only object of ethical concern; nature also is so regarded. The </w:t>
      </w:r>
      <w:hyperlink r:id="rId99" w:history="1">
        <w:r w:rsidRPr="009F6510">
          <w:rPr>
            <w:rStyle w:val="Hyperlink"/>
          </w:rPr>
          <w:t>animal</w:t>
        </w:r>
      </w:hyperlink>
      <w:r w:rsidRPr="009F6510">
        <w:t xml:space="preserve"> world, in the biblical view, requires merciful consideration, so that on the </w:t>
      </w:r>
      <w:hyperlink r:id="rId100" w:history="1">
        <w:r w:rsidRPr="009F6510">
          <w:rPr>
            <w:rStyle w:val="Hyperlink"/>
          </w:rPr>
          <w:t>Sabbath</w:t>
        </w:r>
      </w:hyperlink>
      <w:r w:rsidRPr="009F6510">
        <w:t xml:space="preserve"> not only humans but also their domestic animals are required to rest (Exodus 20:10; 23:12). Mistreatment of beasts of burden is prohibited (Deuteronomy 22:4), and wanton destruction of animal life falls under the ban (Deuteronomy 6–7). In the rabbinic attitude toward creation, all of nature is the object of human solicitude. Thus, the food-yielding </w:t>
      </w:r>
      <w:hyperlink r:id="rId101" w:history="1">
        <w:r w:rsidRPr="009F6510">
          <w:rPr>
            <w:rStyle w:val="Hyperlink"/>
          </w:rPr>
          <w:t>trees</w:t>
        </w:r>
      </w:hyperlink>
      <w:r w:rsidRPr="009F6510">
        <w:t xml:space="preserve"> of a city under siege may not be destroyed, according to Deuteronomic legislation (Deuteronomy 20:14–20). The enlargement of this and other biblical precepts resulted in the generalized rabbinic prohibition, “You shall not destroy,” which governs human use of the </w:t>
      </w:r>
      <w:hyperlink r:id="rId102" w:history="1">
        <w:r w:rsidRPr="009F6510">
          <w:rPr>
            <w:rStyle w:val="Hyperlink"/>
          </w:rPr>
          <w:t>environment</w:t>
        </w:r>
      </w:hyperlink>
      <w:r w:rsidRPr="009F6510">
        <w:t>.</w:t>
      </w:r>
    </w:p>
    <w:p w14:paraId="7A25B5E0" w14:textId="77777777" w:rsidR="009F6510" w:rsidRPr="009F6510" w:rsidRDefault="009F6510" w:rsidP="009F6510">
      <w:pPr>
        <w:rPr>
          <w:b/>
          <w:bCs/>
        </w:rPr>
      </w:pPr>
      <w:r w:rsidRPr="009F6510">
        <w:rPr>
          <w:b/>
          <w:bCs/>
        </w:rPr>
        <w:t>Humanity’s place in the universe</w:t>
      </w:r>
    </w:p>
    <w:p w14:paraId="13BF3D4D" w14:textId="77777777" w:rsidR="009F6510" w:rsidRPr="009F6510" w:rsidRDefault="009F6510" w:rsidP="009F6510">
      <w:r w:rsidRPr="009F6510">
        <w:t xml:space="preserve">The human creature is, of course, subject to the natural order. Humans carry on their relationship with God in the world and through the world. The commandments of </w:t>
      </w:r>
      <w:hyperlink r:id="rId103" w:history="1">
        <w:r w:rsidRPr="009F6510">
          <w:rPr>
            <w:rStyle w:val="Hyperlink"/>
          </w:rPr>
          <w:t>Torah</w:t>
        </w:r>
      </w:hyperlink>
      <w:r w:rsidRPr="009F6510">
        <w:t xml:space="preserve"> are obeyed not solely as observances between humans and God but as actions between humans themselves and between humans and the world. The creation story describes the human as ruler over the earth and its inhabitants (Genesis 1:26–28; </w:t>
      </w:r>
      <w:hyperlink r:id="rId104" w:history="1">
        <w:r w:rsidRPr="009F6510">
          <w:rPr>
            <w:rStyle w:val="Hyperlink"/>
          </w:rPr>
          <w:t>Psalms</w:t>
        </w:r>
      </w:hyperlink>
      <w:r w:rsidRPr="009F6510">
        <w:t xml:space="preserve"> 8:5–9); nonetheless, far from being an arbitrary master, human dominion is limited by Torah. The regulations in the Torah are concerned not only with transactions between humans but also with human responsibilities to </w:t>
      </w:r>
      <w:hyperlink r:id="rId105" w:history="1">
        <w:r w:rsidRPr="009F6510">
          <w:rPr>
            <w:rStyle w:val="Hyperlink"/>
          </w:rPr>
          <w:t>cultivated</w:t>
        </w:r>
      </w:hyperlink>
      <w:r w:rsidRPr="009F6510">
        <w:t xml:space="preserve"> land, to the produce of the soil, and to domesticated animals. Bound in the network of existence, humans as </w:t>
      </w:r>
      <w:hyperlink r:id="rId106" w:history="1">
        <w:r w:rsidRPr="009F6510">
          <w:rPr>
            <w:rStyle w:val="Hyperlink"/>
          </w:rPr>
          <w:t>moral</w:t>
        </w:r>
      </w:hyperlink>
      <w:r w:rsidRPr="009F6510">
        <w:t xml:space="preserve"> creatures are responsible for creation in all its parts.</w:t>
      </w:r>
    </w:p>
    <w:p w14:paraId="2A9F6E3E" w14:textId="77777777" w:rsidR="009F6510" w:rsidRPr="009F6510" w:rsidRDefault="009F6510" w:rsidP="009F6510">
      <w:r w:rsidRPr="009F6510">
        <w:t xml:space="preserve">Even the destruction of the Jewish commonwealth in the 1st and 2nd centuries </w:t>
      </w:r>
      <w:proofErr w:type="spellStart"/>
      <w:r w:rsidRPr="009F6510">
        <w:t>ce</w:t>
      </w:r>
      <w:proofErr w:type="spellEnd"/>
      <w:r w:rsidRPr="009F6510">
        <w:t xml:space="preserve"> did not alienate Jews from these responsibilities, as the elaborate system of </w:t>
      </w:r>
      <w:hyperlink r:id="rId107" w:history="1">
        <w:r w:rsidRPr="009F6510">
          <w:rPr>
            <w:rStyle w:val="Hyperlink"/>
          </w:rPr>
          <w:t>Mishna</w:t>
        </w:r>
      </w:hyperlink>
      <w:r w:rsidRPr="009F6510">
        <w:t xml:space="preserve"> and </w:t>
      </w:r>
      <w:hyperlink r:id="rId108" w:history="1">
        <w:proofErr w:type="spellStart"/>
        <w:r w:rsidRPr="009F6510">
          <w:rPr>
            <w:rStyle w:val="Hyperlink"/>
          </w:rPr>
          <w:t>Gemara</w:t>
        </w:r>
        <w:proofErr w:type="spellEnd"/>
      </w:hyperlink>
      <w:r w:rsidRPr="009F6510">
        <w:t xml:space="preserve"> reveals. The gradual but consistent exclusion of the Jews from immediate connection with large segments of the natural world, through legislation in </w:t>
      </w:r>
      <w:hyperlink r:id="rId109" w:history="1">
        <w:r w:rsidRPr="009F6510">
          <w:rPr>
            <w:rStyle w:val="Hyperlink"/>
          </w:rPr>
          <w:t>Christendom</w:t>
        </w:r>
      </w:hyperlink>
      <w:r w:rsidRPr="009F6510">
        <w:t xml:space="preserve"> and </w:t>
      </w:r>
      <w:hyperlink r:id="rId110" w:history="1">
        <w:r w:rsidRPr="009F6510">
          <w:rPr>
            <w:rStyle w:val="Hyperlink"/>
          </w:rPr>
          <w:t>Islam</w:t>
        </w:r>
      </w:hyperlink>
      <w:r w:rsidRPr="009F6510">
        <w:t xml:space="preserve">, tended to dull their awareness of it. The recurring references to the natural world in the religious calendar, however, and the observation of harvest festivals even by city dwellers continued to remind the </w:t>
      </w:r>
      <w:hyperlink r:id="rId111" w:history="1">
        <w:r w:rsidRPr="009F6510">
          <w:rPr>
            <w:rStyle w:val="Hyperlink"/>
          </w:rPr>
          <w:t>community</w:t>
        </w:r>
      </w:hyperlink>
      <w:r w:rsidRPr="009F6510">
        <w:t xml:space="preserve"> of its ties. Thus, at the end of the 19th century, the </w:t>
      </w:r>
      <w:hyperlink r:id="rId112" w:history="1">
        <w:r w:rsidRPr="009F6510">
          <w:rPr>
            <w:rStyle w:val="Hyperlink"/>
          </w:rPr>
          <w:t>nascent</w:t>
        </w:r>
      </w:hyperlink>
      <w:r w:rsidRPr="009F6510">
        <w:t xml:space="preserve"> Zionist movement recognized that the regeneration of the Jewish people involved, among other requirements, a responsible relation to the natural order expressed in its attitude toward and treatment of the land.</w:t>
      </w:r>
    </w:p>
    <w:p w14:paraId="41550E00" w14:textId="77777777" w:rsidR="009F6510" w:rsidRPr="009F6510" w:rsidRDefault="009F6510" w:rsidP="009F6510">
      <w:r w:rsidRPr="009F6510">
        <w:t xml:space="preserve">If nature as the place of </w:t>
      </w:r>
      <w:hyperlink r:id="rId113" w:history="1">
        <w:r w:rsidRPr="009F6510">
          <w:rPr>
            <w:rStyle w:val="Hyperlink"/>
          </w:rPr>
          <w:t>divine</w:t>
        </w:r>
      </w:hyperlink>
      <w:r w:rsidRPr="009F6510">
        <w:t xml:space="preserve"> disclosure has, during long periods of Jewish existence, assumed a somewhat subordinate role, it has never been rejected or been seen to be irrelevant to the divine purpose. Indeed, in Jewish </w:t>
      </w:r>
      <w:hyperlink r:id="rId114" w:history="1">
        <w:r w:rsidRPr="009F6510">
          <w:rPr>
            <w:rStyle w:val="Hyperlink"/>
          </w:rPr>
          <w:t>eschatology</w:t>
        </w:r>
      </w:hyperlink>
      <w:r w:rsidRPr="009F6510">
        <w:t>, its restoration is part of the goal of history.</w:t>
      </w:r>
    </w:p>
    <w:p w14:paraId="7706E8CB" w14:textId="77777777" w:rsidR="009F6510" w:rsidRPr="009F6510" w:rsidRDefault="009F6510" w:rsidP="009F6510">
      <w:pPr>
        <w:rPr>
          <w:b/>
          <w:bCs/>
        </w:rPr>
      </w:pPr>
      <w:r w:rsidRPr="009F6510">
        <w:rPr>
          <w:b/>
          <w:bCs/>
        </w:rPr>
        <w:t xml:space="preserve">Intermediary beings: </w:t>
      </w:r>
      <w:hyperlink r:id="rId115" w:history="1">
        <w:r w:rsidRPr="009F6510">
          <w:rPr>
            <w:rStyle w:val="Hyperlink"/>
            <w:b/>
            <w:bCs/>
          </w:rPr>
          <w:t>angels</w:t>
        </w:r>
      </w:hyperlink>
      <w:r w:rsidRPr="009F6510">
        <w:rPr>
          <w:b/>
          <w:bCs/>
        </w:rPr>
        <w:t xml:space="preserve"> and </w:t>
      </w:r>
      <w:hyperlink r:id="rId116" w:history="1">
        <w:r w:rsidRPr="009F6510">
          <w:rPr>
            <w:rStyle w:val="Hyperlink"/>
            <w:b/>
            <w:bCs/>
          </w:rPr>
          <w:t>demons</w:t>
        </w:r>
      </w:hyperlink>
    </w:p>
    <w:p w14:paraId="5F1DA8EF" w14:textId="77777777" w:rsidR="009F6510" w:rsidRPr="009F6510" w:rsidRDefault="009F6510" w:rsidP="009F6510">
      <w:r w:rsidRPr="009F6510">
        <w:t>The exact nature of nonhuman beings mentioned in Scripture—angels, or messengers (</w:t>
      </w:r>
      <w:r w:rsidRPr="009F6510">
        <w:rPr>
          <w:i/>
          <w:iCs/>
        </w:rPr>
        <w:t>angel</w:t>
      </w:r>
      <w:r w:rsidRPr="009F6510">
        <w:t xml:space="preserve"> is derived from the Greek word </w:t>
      </w:r>
      <w:proofErr w:type="spellStart"/>
      <w:r w:rsidRPr="009F6510">
        <w:rPr>
          <w:i/>
          <w:iCs/>
        </w:rPr>
        <w:t>angelos</w:t>
      </w:r>
      <w:proofErr w:type="spellEnd"/>
      <w:r w:rsidRPr="009F6510">
        <w:t xml:space="preserve">, which is the equivalent of the </w:t>
      </w:r>
      <w:hyperlink r:id="rId117" w:history="1">
        <w:r w:rsidRPr="009F6510">
          <w:rPr>
            <w:rStyle w:val="Hyperlink"/>
          </w:rPr>
          <w:t>Hebrew</w:t>
        </w:r>
      </w:hyperlink>
      <w:r w:rsidRPr="009F6510">
        <w:t xml:space="preserve"> word </w:t>
      </w:r>
      <w:proofErr w:type="spellStart"/>
      <w:r w:rsidRPr="009F6510">
        <w:rPr>
          <w:i/>
          <w:iCs/>
        </w:rPr>
        <w:t>mal’akh</w:t>
      </w:r>
      <w:proofErr w:type="spellEnd"/>
      <w:r w:rsidRPr="009F6510">
        <w:t xml:space="preserve">, “messenger”)—is not altogether clear, and their roles seem </w:t>
      </w:r>
      <w:hyperlink r:id="rId118" w:history="1">
        <w:r w:rsidRPr="009F6510">
          <w:rPr>
            <w:rStyle w:val="Hyperlink"/>
          </w:rPr>
          <w:t>ephemeral</w:t>
        </w:r>
      </w:hyperlink>
      <w:r w:rsidRPr="009F6510">
        <w:t xml:space="preserve"> (</w:t>
      </w:r>
      <w:r w:rsidRPr="009F6510">
        <w:rPr>
          <w:i/>
          <w:iCs/>
        </w:rPr>
        <w:t>see</w:t>
      </w:r>
      <w:r w:rsidRPr="009F6510">
        <w:t xml:space="preserve"> </w:t>
      </w:r>
      <w:hyperlink r:id="rId119" w:history="1">
        <w:r w:rsidRPr="009F6510">
          <w:rPr>
            <w:rStyle w:val="Hyperlink"/>
          </w:rPr>
          <w:t>angel and demon</w:t>
        </w:r>
      </w:hyperlink>
      <w:r w:rsidRPr="009F6510">
        <w:t xml:space="preserve">). In </w:t>
      </w:r>
      <w:r w:rsidRPr="009F6510">
        <w:lastRenderedPageBreak/>
        <w:t xml:space="preserve">the postexilic period, perhaps under Iranian influence, and in the late biblical and postbiblical literature, these beings emerge as more complete and often as clearly identifiable individuals with their own personal names. The unfocused biblical view gave way to an elaborate </w:t>
      </w:r>
      <w:hyperlink r:id="rId120" w:history="1">
        <w:r w:rsidRPr="009F6510">
          <w:rPr>
            <w:rStyle w:val="Hyperlink"/>
          </w:rPr>
          <w:t>hierarchy</w:t>
        </w:r>
      </w:hyperlink>
      <w:r w:rsidRPr="009F6510">
        <w:t xml:space="preserve"> of functionaries who acted, in some apocalyptic visions, as a veritable heavenly </w:t>
      </w:r>
      <w:hyperlink r:id="rId121" w:history="1">
        <w:r w:rsidRPr="009F6510">
          <w:rPr>
            <w:rStyle w:val="Hyperlink"/>
          </w:rPr>
          <w:t>bureaucracy</w:t>
        </w:r>
      </w:hyperlink>
      <w:r w:rsidRPr="009F6510">
        <w:t xml:space="preserve">. Despite a </w:t>
      </w:r>
      <w:hyperlink r:id="rId122" w:history="1">
        <w:r w:rsidRPr="009F6510">
          <w:rPr>
            <w:rStyle w:val="Hyperlink"/>
          </w:rPr>
          <w:t>consensus</w:t>
        </w:r>
      </w:hyperlink>
      <w:r w:rsidRPr="009F6510">
        <w:t xml:space="preserve"> concerning their existence, there was little agreement about their role or importance. In some </w:t>
      </w:r>
      <w:hyperlink r:id="rId123" w:history="1">
        <w:r w:rsidRPr="009F6510">
          <w:rPr>
            <w:rStyle w:val="Hyperlink"/>
          </w:rPr>
          <w:t>Midrashim</w:t>
        </w:r>
      </w:hyperlink>
      <w:r w:rsidRPr="009F6510">
        <w:t xml:space="preserve">, God takes </w:t>
      </w:r>
      <w:hyperlink r:id="rId124" w:history="1">
        <w:r w:rsidRPr="009F6510">
          <w:rPr>
            <w:rStyle w:val="Hyperlink"/>
          </w:rPr>
          <w:t>counsel</w:t>
        </w:r>
      </w:hyperlink>
      <w:r w:rsidRPr="009F6510">
        <w:t xml:space="preserve"> with them; in other sources, the rabbis urge Jews not to involve them but to approach God directly.</w:t>
      </w:r>
    </w:p>
    <w:p w14:paraId="0FE6B5F7" w14:textId="77777777" w:rsidR="009F6510" w:rsidRPr="009F6510" w:rsidRDefault="009F6510" w:rsidP="009F6510">
      <w:r w:rsidRPr="009F6510">
        <w:t xml:space="preserve">Like their counter-figures the demons, angels have a residual existence rooted in various layers of the Jewish experience and interpretation of the universe. At some times they are highly individualized and sharply realized; at others they are much more imaginary. The </w:t>
      </w:r>
      <w:hyperlink r:id="rId125" w:history="1">
        <w:r w:rsidRPr="009F6510">
          <w:rPr>
            <w:rStyle w:val="Hyperlink"/>
          </w:rPr>
          <w:t>medieval</w:t>
        </w:r>
      </w:hyperlink>
      <w:r w:rsidRPr="009F6510">
        <w:t xml:space="preserve"> philosophers and the early mystics saw them through </w:t>
      </w:r>
      <w:hyperlink r:id="rId126" w:history="1">
        <w:r w:rsidRPr="009F6510">
          <w:rPr>
            <w:rStyle w:val="Hyperlink"/>
          </w:rPr>
          <w:t>Aristotelian</w:t>
        </w:r>
      </w:hyperlink>
      <w:r w:rsidRPr="009F6510">
        <w:t xml:space="preserve"> or </w:t>
      </w:r>
      <w:hyperlink r:id="rId127" w:history="1">
        <w:r w:rsidRPr="009F6510">
          <w:rPr>
            <w:rStyle w:val="Hyperlink"/>
          </w:rPr>
          <w:t>Neoplatonic</w:t>
        </w:r>
      </w:hyperlink>
      <w:r w:rsidRPr="009F6510">
        <w:t xml:space="preserve"> categories. The </w:t>
      </w:r>
      <w:hyperlink r:id="rId128" w:history="1">
        <w:r w:rsidRPr="009F6510">
          <w:rPr>
            <w:rStyle w:val="Hyperlink"/>
          </w:rPr>
          <w:t>Kabbalists</w:t>
        </w:r>
      </w:hyperlink>
      <w:r w:rsidRPr="009F6510">
        <w:t xml:space="preserve"> continually invented new angels and fitted them into their complicated network of cosmic existence. Their role, however, even in periods of considerable emphasis, was </w:t>
      </w:r>
      <w:hyperlink r:id="rId129" w:history="1">
        <w:r w:rsidRPr="009F6510">
          <w:rPr>
            <w:rStyle w:val="Hyperlink"/>
          </w:rPr>
          <w:t>peripheral</w:t>
        </w:r>
      </w:hyperlink>
      <w:r w:rsidRPr="009F6510">
        <w:t>, and they were outside the great movements and meanings of Jewish thought.</w:t>
      </w:r>
    </w:p>
    <w:p w14:paraId="20DF6FBE" w14:textId="77777777" w:rsidR="009F6510" w:rsidRPr="009F6510" w:rsidRDefault="009F6510" w:rsidP="009F6510">
      <w:r w:rsidRPr="009F6510">
        <w:t xml:space="preserve">Contemporary philosophical speculation about the nature of the universe has, of course, required a response from Jewish thinkers. But, given the particular temper of a period in which </w:t>
      </w:r>
      <w:hyperlink r:id="rId130" w:history="1">
        <w:r w:rsidRPr="009F6510">
          <w:rPr>
            <w:rStyle w:val="Hyperlink"/>
          </w:rPr>
          <w:t>metaphysics</w:t>
        </w:r>
      </w:hyperlink>
      <w:r w:rsidRPr="009F6510">
        <w:t xml:space="preserve"> has not been central to much of theological discussion, no major statement has developed that has taken hold of the dominant positions and attempted to view them from the Jewish creationist perspective. The attempt within </w:t>
      </w:r>
      <w:hyperlink r:id="rId131" w:history="1">
        <w:r w:rsidRPr="009F6510">
          <w:rPr>
            <w:rStyle w:val="Hyperlink"/>
          </w:rPr>
          <w:t>Reconstructionism</w:t>
        </w:r>
      </w:hyperlink>
      <w:r w:rsidRPr="009F6510">
        <w:t xml:space="preserve"> to provide a naturalistic framework for Judaism, while courageous, seems to be based on a philosophical naturalism that many consider outmoded.</w:t>
      </w:r>
    </w:p>
    <w:p w14:paraId="36CE898A" w14:textId="77777777" w:rsidR="009F6510" w:rsidRPr="009F6510" w:rsidRDefault="009F6510" w:rsidP="009F6510">
      <w:pPr>
        <w:rPr>
          <w:b/>
          <w:bCs/>
        </w:rPr>
      </w:pPr>
      <w:hyperlink r:id="rId132" w:history="1">
        <w:r w:rsidRPr="009F6510">
          <w:rPr>
            <w:rStyle w:val="Hyperlink"/>
            <w:b/>
            <w:bCs/>
          </w:rPr>
          <w:t>Eschatology</w:t>
        </w:r>
      </w:hyperlink>
    </w:p>
    <w:p w14:paraId="2C7F51D8" w14:textId="77777777" w:rsidR="009F6510" w:rsidRPr="009F6510" w:rsidRDefault="009F6510" w:rsidP="009F6510">
      <w:pPr>
        <w:rPr>
          <w:b/>
          <w:bCs/>
        </w:rPr>
      </w:pPr>
      <w:r w:rsidRPr="009F6510">
        <w:rPr>
          <w:b/>
          <w:bCs/>
        </w:rPr>
        <w:t>The future age of humankind and the world</w:t>
      </w:r>
    </w:p>
    <w:p w14:paraId="2B7395B9" w14:textId="77777777" w:rsidR="009F6510" w:rsidRPr="009F6510" w:rsidRDefault="009F6510" w:rsidP="009F6510">
      <w:r w:rsidRPr="009F6510">
        <w:t xml:space="preserve">The choice of </w:t>
      </w:r>
      <w:hyperlink r:id="rId133" w:history="1">
        <w:r w:rsidRPr="009F6510">
          <w:rPr>
            <w:rStyle w:val="Hyperlink"/>
          </w:rPr>
          <w:t>Israel</w:t>
        </w:r>
      </w:hyperlink>
      <w:r w:rsidRPr="009F6510">
        <w:t xml:space="preserve">, according to the </w:t>
      </w:r>
      <w:hyperlink r:id="rId134" w:history="1">
        <w:r w:rsidRPr="009F6510">
          <w:rPr>
            <w:rStyle w:val="Hyperlink"/>
          </w:rPr>
          <w:t>Bible</w:t>
        </w:r>
      </w:hyperlink>
      <w:r w:rsidRPr="009F6510">
        <w:t xml:space="preserve">, occurred because of humankind’s continual failure, by rebellion against its creator, to fulfill its divine potential. The subsequent inability of Israel to become the holy community and thereby a witness to the nations gave rise to the prophetic movement that summoned the people to obedience. An </w:t>
      </w:r>
      <w:hyperlink r:id="rId135" w:history="1">
        <w:r w:rsidRPr="009F6510">
          <w:rPr>
            <w:rStyle w:val="Hyperlink"/>
          </w:rPr>
          <w:t>integral</w:t>
        </w:r>
      </w:hyperlink>
      <w:r w:rsidRPr="009F6510">
        <w:t xml:space="preserve"> part of prophetic summoning, side by side with threats of punishment and warnings of disaster, was the vision of a truly holy community, a society fully responding to the divine </w:t>
      </w:r>
      <w:hyperlink r:id="rId136" w:history="1">
        <w:r w:rsidRPr="009F6510">
          <w:rPr>
            <w:rStyle w:val="Hyperlink"/>
          </w:rPr>
          <w:t>imperative</w:t>
        </w:r>
      </w:hyperlink>
      <w:r w:rsidRPr="009F6510">
        <w:t xml:space="preserve">. This </w:t>
      </w:r>
      <w:hyperlink r:id="rId137" w:history="1">
        <w:r w:rsidRPr="009F6510">
          <w:rPr>
            <w:rStyle w:val="Hyperlink"/>
          </w:rPr>
          <w:t>kingdom</w:t>
        </w:r>
      </w:hyperlink>
      <w:r w:rsidRPr="009F6510">
        <w:t xml:space="preserve"> of the future was conceived of as entirely natural, functioning as any normal social and political unit. The future kingdom would be governed by a human ruler, who would carry out his tasks within the sphere of divine </w:t>
      </w:r>
      <w:hyperlink r:id="rId138" w:history="1">
        <w:r w:rsidRPr="009F6510">
          <w:rPr>
            <w:rStyle w:val="Hyperlink"/>
          </w:rPr>
          <w:t>sovereignty</w:t>
        </w:r>
      </w:hyperlink>
      <w:r w:rsidRPr="009F6510">
        <w:t xml:space="preserve">, serving primarily to exhibit his own obedience and thus to stimulate the obedience of the entire people. This future monarch was often, though not always, portrayed in terms of an idealized </w:t>
      </w:r>
      <w:hyperlink r:id="rId139" w:history="1">
        <w:r w:rsidRPr="009F6510">
          <w:rPr>
            <w:rStyle w:val="Hyperlink"/>
          </w:rPr>
          <w:t>David</w:t>
        </w:r>
      </w:hyperlink>
      <w:r w:rsidRPr="009F6510">
        <w:t>, using features of his life and reign that would emphasize submission to God, social stability, economic satisfaction, and peace. During the period of the monarchy, the prophetic demand was directed toward each succeeding king, with the hope—or even the expectation—that he would be or become the new David, the ideal ruler.</w:t>
      </w:r>
    </w:p>
    <w:p w14:paraId="0C43B446" w14:textId="77777777" w:rsidR="009F6510" w:rsidRPr="009F6510" w:rsidRDefault="009F6510" w:rsidP="009F6510">
      <w:r w:rsidRPr="009F6510">
        <w:t xml:space="preserve">The </w:t>
      </w:r>
      <w:hyperlink r:id="rId140" w:history="1">
        <w:r w:rsidRPr="009F6510">
          <w:rPr>
            <w:rStyle w:val="Hyperlink"/>
          </w:rPr>
          <w:t>Babylonian Exile</w:t>
        </w:r>
      </w:hyperlink>
      <w:r w:rsidRPr="009F6510">
        <w:t xml:space="preserve"> added a new measure of urgency to this expectation, but it was not expressed in any uniform fashion. The later chapters of the </w:t>
      </w:r>
      <w:hyperlink r:id="rId141" w:history="1">
        <w:r w:rsidRPr="009F6510">
          <w:rPr>
            <w:rStyle w:val="Hyperlink"/>
          </w:rPr>
          <w:t>Book of Ezekiel</w:t>
        </w:r>
      </w:hyperlink>
      <w:r w:rsidRPr="009F6510">
        <w:t xml:space="preserve"> provide the constitution for the new </w:t>
      </w:r>
      <w:hyperlink r:id="rId142" w:history="1">
        <w:r w:rsidRPr="009F6510">
          <w:rPr>
            <w:rStyle w:val="Hyperlink"/>
          </w:rPr>
          <w:t>commonwealth</w:t>
        </w:r>
      </w:hyperlink>
      <w:r w:rsidRPr="009F6510">
        <w:t xml:space="preserve"> but do not describe the peculiar characteristics of the ruler, while the later chapters of the </w:t>
      </w:r>
      <w:hyperlink r:id="rId143" w:history="1">
        <w:r w:rsidRPr="009F6510">
          <w:rPr>
            <w:rStyle w:val="Hyperlink"/>
          </w:rPr>
          <w:t>Book of Isaiah</w:t>
        </w:r>
      </w:hyperlink>
      <w:r w:rsidRPr="009F6510">
        <w:t xml:space="preserve"> focus on several figures—including </w:t>
      </w:r>
      <w:hyperlink r:id="rId144" w:history="1">
        <w:r w:rsidRPr="009F6510">
          <w:rPr>
            <w:rStyle w:val="Hyperlink"/>
          </w:rPr>
          <w:t>Cyrus II</w:t>
        </w:r>
      </w:hyperlink>
      <w:r w:rsidRPr="009F6510">
        <w:t xml:space="preserve"> the Mede, who conquered the Babylonian Empire and freed the Jews from Babylonian captivity—who are seen as </w:t>
      </w:r>
      <w:r w:rsidRPr="009F6510">
        <w:lastRenderedPageBreak/>
        <w:t xml:space="preserve">the divine instruments ushering in a new era. Although the virtues ascribed to these figures are extraordinary, they are neither superhuman nor </w:t>
      </w:r>
      <w:proofErr w:type="spellStart"/>
      <w:r w:rsidRPr="009F6510">
        <w:t>suprahuman</w:t>
      </w:r>
      <w:proofErr w:type="spellEnd"/>
      <w:r w:rsidRPr="009F6510">
        <w:t xml:space="preserve">; indeed, they are required of all Israel and of all humanity. The frustrations of the postexilic period, when several attempts to bring the holy community into being were largely thwarted by the imperial designs of the great powers—as they had been in the preexilic period—led to an emphasis on the futuristic quality of messianic hope. This was abetted undoubtedly by external influences, such as </w:t>
      </w:r>
      <w:hyperlink r:id="rId145" w:history="1">
        <w:r w:rsidRPr="009F6510">
          <w:rPr>
            <w:rStyle w:val="Hyperlink"/>
          </w:rPr>
          <w:t>Iranian thought</w:t>
        </w:r>
      </w:hyperlink>
      <w:r w:rsidRPr="009F6510">
        <w:t xml:space="preserve">, in which the cosmic rather than the historic aspect of a future era dominated. Because ancient cosmic </w:t>
      </w:r>
      <w:hyperlink r:id="rId146" w:history="1">
        <w:r w:rsidRPr="009F6510">
          <w:rPr>
            <w:rStyle w:val="Hyperlink"/>
          </w:rPr>
          <w:t>myths</w:t>
        </w:r>
      </w:hyperlink>
      <w:r w:rsidRPr="009F6510">
        <w:t xml:space="preserve"> had been part of the </w:t>
      </w:r>
      <w:hyperlink r:id="rId147" w:history="1">
        <w:r w:rsidRPr="009F6510">
          <w:rPr>
            <w:rStyle w:val="Hyperlink"/>
          </w:rPr>
          <w:t>Israelite</w:t>
        </w:r>
      </w:hyperlink>
      <w:r w:rsidRPr="009F6510">
        <w:t xml:space="preserve"> </w:t>
      </w:r>
      <w:hyperlink r:id="rId148" w:history="1">
        <w:r w:rsidRPr="009F6510">
          <w:rPr>
            <w:rStyle w:val="Hyperlink"/>
          </w:rPr>
          <w:t>intellectual</w:t>
        </w:r>
      </w:hyperlink>
      <w:r w:rsidRPr="009F6510">
        <w:t xml:space="preserve"> inheritance, as seen in literary usages throughout Scriptures, the impact of such ideas was to reinvigorate the mythic elements in Judaism. Thus, hopes for the future at the end of the Persian period and through the Hellenistic period </w:t>
      </w:r>
      <w:hyperlink r:id="rId149" w:history="1">
        <w:r w:rsidRPr="009F6510">
          <w:rPr>
            <w:rStyle w:val="Hyperlink"/>
          </w:rPr>
          <w:t>comprised</w:t>
        </w:r>
      </w:hyperlink>
      <w:r w:rsidRPr="009F6510">
        <w:t xml:space="preserve"> both historical expectations focused upon an earthly community and cosmic-mythic visions that moved on a broader stage. The latter were, of course, never entirely absent from historical expectations, for a renewal of nature was viewed as integral to the functioning of true society. The obedient community required, and was to be granted, a natural world in which true human relations could exist. In its most vivid form, the </w:t>
      </w:r>
      <w:hyperlink r:id="rId150" w:history="1">
        <w:r w:rsidRPr="009F6510">
          <w:rPr>
            <w:rStyle w:val="Hyperlink"/>
          </w:rPr>
          <w:t>apocalypse</w:t>
        </w:r>
      </w:hyperlink>
      <w:r w:rsidRPr="009F6510">
        <w:t xml:space="preserve"> (i.e., a visionary disclosure of the future), the literature of the period affords a remarkable insight into the agonies and urgencies of the people (</w:t>
      </w:r>
      <w:r w:rsidRPr="009F6510">
        <w:rPr>
          <w:i/>
          <w:iCs/>
        </w:rPr>
        <w:t>see</w:t>
      </w:r>
      <w:r w:rsidRPr="009F6510">
        <w:t xml:space="preserve"> </w:t>
      </w:r>
      <w:hyperlink r:id="rId151" w:history="1">
        <w:r w:rsidRPr="009F6510">
          <w:rPr>
            <w:rStyle w:val="Hyperlink"/>
          </w:rPr>
          <w:t>apocalyptic literature</w:t>
        </w:r>
      </w:hyperlink>
      <w:r w:rsidRPr="009F6510">
        <w:t xml:space="preserve">). After the disappointments of the past are recounted, the present, in transparent disguise, is portrayed, and the </w:t>
      </w:r>
      <w:hyperlink r:id="rId152" w:history="1">
        <w:r w:rsidRPr="009F6510">
          <w:rPr>
            <w:rStyle w:val="Hyperlink"/>
          </w:rPr>
          <w:t>imminent</w:t>
        </w:r>
      </w:hyperlink>
      <w:r w:rsidRPr="009F6510">
        <w:t xml:space="preserve"> and desired intervention of God is described in awesome detail as a means of affirming and confirming the </w:t>
      </w:r>
      <w:hyperlink r:id="rId153" w:history="1">
        <w:r w:rsidRPr="009F6510">
          <w:rPr>
            <w:rStyle w:val="Hyperlink"/>
          </w:rPr>
          <w:t>faith</w:t>
        </w:r>
      </w:hyperlink>
      <w:r w:rsidRPr="009F6510">
        <w:t xml:space="preserve"> of those who saw themselves as the remnant, or perhaps the promise, of the holy community.</w:t>
      </w:r>
    </w:p>
    <w:p w14:paraId="5E849171" w14:textId="77777777" w:rsidR="009F6510" w:rsidRPr="009F6510" w:rsidRDefault="009F6510" w:rsidP="009F6510">
      <w:r w:rsidRPr="009F6510">
        <w:t xml:space="preserve">Systematic presentations of the affirmations of the Jewish </w:t>
      </w:r>
      <w:hyperlink r:id="rId154" w:history="1">
        <w:r w:rsidRPr="009F6510">
          <w:rPr>
            <w:rStyle w:val="Hyperlink"/>
          </w:rPr>
          <w:t>community</w:t>
        </w:r>
      </w:hyperlink>
      <w:r w:rsidRPr="009F6510">
        <w:t xml:space="preserve"> were never the sole mode of expressing the beliefs of the people. Maintaining an equal importance with speculation—Haggadic, philosophic, mystical, or ethical—was </w:t>
      </w:r>
      <w:hyperlink r:id="rId155" w:history="1">
        <w:r w:rsidRPr="009F6510">
          <w:rPr>
            <w:rStyle w:val="Hyperlink"/>
          </w:rPr>
          <w:t>Halakhah</w:t>
        </w:r>
      </w:hyperlink>
      <w:r w:rsidRPr="009F6510">
        <w:t xml:space="preserve"> (Oral Law), the paradigmatic statement of the individual and communal </w:t>
      </w:r>
      <w:proofErr w:type="spellStart"/>
      <w:r w:rsidRPr="009F6510">
        <w:t>behaviour</w:t>
      </w:r>
      <w:proofErr w:type="spellEnd"/>
      <w:r w:rsidRPr="009F6510">
        <w:t xml:space="preserve"> that embodied the beliefs conceptualized in speculation. Life in the </w:t>
      </w:r>
      <w:hyperlink r:id="rId156" w:history="1">
        <w:r w:rsidRPr="009F6510">
          <w:rPr>
            <w:rStyle w:val="Hyperlink"/>
          </w:rPr>
          <w:t>holy</w:t>
        </w:r>
      </w:hyperlink>
      <w:r w:rsidRPr="009F6510">
        <w:t xml:space="preserve"> community was understood to embrace every level of human existence. The prophets vigorously resisted attempts to limit the </w:t>
      </w:r>
      <w:hyperlink r:id="rId157" w:history="1">
        <w:r w:rsidRPr="009F6510">
          <w:rPr>
            <w:rStyle w:val="Hyperlink"/>
          </w:rPr>
          <w:t>sovereignty</w:t>
        </w:r>
      </w:hyperlink>
      <w:r w:rsidRPr="009F6510">
        <w:t xml:space="preserve"> of the God of </w:t>
      </w:r>
      <w:hyperlink r:id="rId158" w:history="1">
        <w:r w:rsidRPr="009F6510">
          <w:rPr>
            <w:rStyle w:val="Hyperlink"/>
          </w:rPr>
          <w:t>Israel</w:t>
        </w:r>
      </w:hyperlink>
      <w:r w:rsidRPr="009F6510">
        <w:t xml:space="preserve"> to organized </w:t>
      </w:r>
      <w:hyperlink r:id="rId159" w:history="1">
        <w:r w:rsidRPr="009F6510">
          <w:rPr>
            <w:rStyle w:val="Hyperlink"/>
          </w:rPr>
          <w:t>worship</w:t>
        </w:r>
      </w:hyperlink>
      <w:r w:rsidRPr="009F6510">
        <w:t xml:space="preserve"> and </w:t>
      </w:r>
      <w:hyperlink r:id="rId160" w:history="1">
        <w:r w:rsidRPr="009F6510">
          <w:rPr>
            <w:rStyle w:val="Hyperlink"/>
          </w:rPr>
          <w:t>ritual</w:t>
        </w:r>
      </w:hyperlink>
      <w:r w:rsidRPr="009F6510">
        <w:t xml:space="preserve">. The Pharisees, even while the cult of the </w:t>
      </w:r>
      <w:hyperlink r:id="rId161" w:history="1">
        <w:r w:rsidRPr="009F6510">
          <w:rPr>
            <w:rStyle w:val="Hyperlink"/>
          </w:rPr>
          <w:t>Jerusalem Temple</w:t>
        </w:r>
      </w:hyperlink>
      <w:r w:rsidRPr="009F6510">
        <w:t xml:space="preserve"> was still in existence, sought to reduce priestly exclusiveness by enlarging the scope of sacral rules to include, as far as possible, all the people. </w:t>
      </w:r>
      <w:hyperlink r:id="rId162" w:history="1">
        <w:r w:rsidRPr="009F6510">
          <w:rPr>
            <w:rStyle w:val="Hyperlink"/>
          </w:rPr>
          <w:t>Rabbinic Judaism</w:t>
        </w:r>
      </w:hyperlink>
      <w:r w:rsidRPr="009F6510">
        <w:t xml:space="preserve">, Pharisaism’s descendant, continued the process of democratization and sought to find </w:t>
      </w:r>
      <w:proofErr w:type="gramStart"/>
      <w:r w:rsidRPr="009F6510">
        <w:t>in</w:t>
      </w:r>
      <w:proofErr w:type="gramEnd"/>
      <w:r w:rsidRPr="009F6510">
        <w:t xml:space="preserve"> every occasion of life a means of affirming the presence of the divine. Some critics of Rabbinic Judaism, however, have seen the legal aspect of Jewish life as stifling. Although legalism is always a danger, </w:t>
      </w:r>
      <w:hyperlink r:id="rId163" w:history="1">
        <w:r w:rsidRPr="009F6510">
          <w:rPr>
            <w:rStyle w:val="Hyperlink"/>
          </w:rPr>
          <w:t>spontaneity</w:t>
        </w:r>
      </w:hyperlink>
      <w:r w:rsidRPr="009F6510">
        <w:t xml:space="preserve"> is not necessarily lacking in a world governed by Halakhah. Moreover, the intention of the Halakhic attitude is to remind Jews that every occasion of life is a locus of divine disclosure. This is most clearly seen in the </w:t>
      </w:r>
      <w:hyperlink r:id="rId164" w:history="1">
        <w:proofErr w:type="spellStart"/>
        <w:r w:rsidRPr="009F6510">
          <w:rPr>
            <w:rStyle w:val="Hyperlink"/>
            <w:i/>
            <w:iCs/>
          </w:rPr>
          <w:t>berakhot</w:t>
        </w:r>
        <w:proofErr w:type="spellEnd"/>
      </w:hyperlink>
      <w:r w:rsidRPr="009F6510">
        <w:rPr>
          <w:i/>
          <w:iCs/>
        </w:rPr>
        <w:t>,</w:t>
      </w:r>
      <w:r w:rsidRPr="009F6510">
        <w:t xml:space="preserve"> the “blessings,” that are prescribed to accompany the performance of a broad spectrum of human actions, from the routines of daily life to the restricted gestures of the cultic-liturgical year. In these God is addressed directly in the second person singular, his sovereignty is affirmed, and his activity as creator, giver of </w:t>
      </w:r>
      <w:hyperlink r:id="rId165" w:history="1">
        <w:r w:rsidRPr="009F6510">
          <w:rPr>
            <w:rStyle w:val="Hyperlink"/>
          </w:rPr>
          <w:t>Torah</w:t>
        </w:r>
      </w:hyperlink>
      <w:r w:rsidRPr="009F6510">
        <w:t xml:space="preserve">, or redeemer—expressed in a wide variety of eulogies—is proclaimed. There are no areas of </w:t>
      </w:r>
      <w:hyperlink r:id="rId166" w:history="1">
        <w:r w:rsidRPr="009F6510">
          <w:rPr>
            <w:rStyle w:val="Hyperlink"/>
          </w:rPr>
          <w:t xml:space="preserve">human </w:t>
        </w:r>
        <w:proofErr w:type="spellStart"/>
        <w:r w:rsidRPr="009F6510">
          <w:rPr>
            <w:rStyle w:val="Hyperlink"/>
          </w:rPr>
          <w:t>behaviour</w:t>
        </w:r>
        <w:proofErr w:type="spellEnd"/>
      </w:hyperlink>
      <w:r w:rsidRPr="009F6510">
        <w:t xml:space="preserve"> in which God cannot be met, and the Halakhic pattern is intended to make such possibilities realities. The situation of the Jewish community, however, determines how this intention is realized. On more than one occasion, the Halakhic pattern has served as a defense against a hostile </w:t>
      </w:r>
      <w:hyperlink r:id="rId167" w:history="1">
        <w:r w:rsidRPr="009F6510">
          <w:rPr>
            <w:rStyle w:val="Hyperlink"/>
          </w:rPr>
          <w:t>environment</w:t>
        </w:r>
      </w:hyperlink>
      <w:r w:rsidRPr="009F6510">
        <w:t xml:space="preserve">, thus becoming a kind of scrupulousness (an obsessive concern with minute details), but, just as often, the </w:t>
      </w:r>
      <w:hyperlink r:id="rId168" w:history="1">
        <w:r w:rsidRPr="009F6510">
          <w:rPr>
            <w:rStyle w:val="Hyperlink"/>
          </w:rPr>
          <w:t>dynamic</w:t>
        </w:r>
      </w:hyperlink>
      <w:r w:rsidRPr="009F6510">
        <w:t xml:space="preserve"> of the intention has broken through to reestablish its </w:t>
      </w:r>
      <w:hyperlink r:id="rId169" w:history="1">
        <w:r w:rsidRPr="009F6510">
          <w:rPr>
            <w:rStyle w:val="Hyperlink"/>
          </w:rPr>
          <w:t>integrity</w:t>
        </w:r>
      </w:hyperlink>
      <w:r w:rsidRPr="009F6510">
        <w:t xml:space="preserve"> and to hallow life in its wholeness.</w:t>
      </w:r>
    </w:p>
    <w:p w14:paraId="1ECC9177" w14:textId="77777777" w:rsidR="009F6510" w:rsidRPr="009F6510" w:rsidRDefault="009F6510" w:rsidP="009F6510">
      <w:pPr>
        <w:rPr>
          <w:b/>
          <w:bCs/>
        </w:rPr>
      </w:pPr>
      <w:r w:rsidRPr="009F6510">
        <w:rPr>
          <w:b/>
          <w:bCs/>
        </w:rPr>
        <w:lastRenderedPageBreak/>
        <w:t>The traditional pattern of individual and familial practices</w:t>
      </w:r>
    </w:p>
    <w:p w14:paraId="28F54DE9" w14:textId="77777777" w:rsidR="009F6510" w:rsidRPr="009F6510" w:rsidRDefault="009F6510" w:rsidP="009F6510">
      <w:r w:rsidRPr="009F6510">
        <w:t xml:space="preserve">The traditional pattern of an individual’s life can be discerned by examining a passage from the Babylonian </w:t>
      </w:r>
      <w:hyperlink r:id="rId170" w:history="1">
        <w:r w:rsidRPr="009F6510">
          <w:rPr>
            <w:rStyle w:val="Hyperlink"/>
          </w:rPr>
          <w:t>Talmud</w:t>
        </w:r>
      </w:hyperlink>
      <w:r w:rsidRPr="009F6510">
        <w:t xml:space="preserve"> (tractate </w:t>
      </w:r>
      <w:proofErr w:type="spellStart"/>
      <w:r w:rsidRPr="009F6510">
        <w:rPr>
          <w:i/>
          <w:iCs/>
        </w:rPr>
        <w:t>Berakhot</w:t>
      </w:r>
      <w:proofErr w:type="spellEnd"/>
      <w:r w:rsidRPr="009F6510">
        <w:t xml:space="preserve"> 60b) that was reworked into a liturgical structure but which in its original form exhibits the intention discussed above. In this passage, the blessings accompanying one’s waking and returning to the routines of life are prescribed. There is a brief thanksgiving on awakening for being restored to conscious life; then a </w:t>
      </w:r>
      <w:hyperlink r:id="rId171" w:history="1">
        <w:r w:rsidRPr="009F6510">
          <w:rPr>
            <w:rStyle w:val="Hyperlink"/>
          </w:rPr>
          <w:t>benediction</w:t>
        </w:r>
      </w:hyperlink>
      <w:r w:rsidRPr="009F6510">
        <w:t xml:space="preserve"> is offered over the cock’s crowing; following this, each ordinary act—opening one’s eyes, stretching and sitting up, dressing, standing up, walking, tying one’s shoes, fastening one’s belt, covering one’s head, washing one’s hands and face—has its accompanying blessing, reminding one that the world and the life to which he has returned exist in the presence of God. These are followed by a supplication in which the petitioner asks that his life during the day may be worthy in </w:t>
      </w:r>
      <w:proofErr w:type="gramStart"/>
      <w:r w:rsidRPr="009F6510">
        <w:t>all of</w:t>
      </w:r>
      <w:proofErr w:type="gramEnd"/>
      <w:r w:rsidRPr="009F6510">
        <w:t xml:space="preserve"> its relationships. Then, as the first order of daily business, Torah, both written (</w:t>
      </w:r>
      <w:hyperlink r:id="rId172" w:history="1">
        <w:r w:rsidRPr="009F6510">
          <w:rPr>
            <w:rStyle w:val="Hyperlink"/>
          </w:rPr>
          <w:t>Bible</w:t>
        </w:r>
      </w:hyperlink>
      <w:r w:rsidRPr="009F6510">
        <w:t>) and oral (</w:t>
      </w:r>
      <w:hyperlink r:id="rId173" w:history="1">
        <w:r w:rsidRPr="009F6510">
          <w:rPr>
            <w:rStyle w:val="Hyperlink"/>
          </w:rPr>
          <w:t>Mishna</w:t>
        </w:r>
      </w:hyperlink>
      <w:r w:rsidRPr="009F6510">
        <w:t xml:space="preserve">), is briefly studied, introduced by </w:t>
      </w:r>
      <w:hyperlink r:id="rId174" w:history="1">
        <w:r w:rsidRPr="009F6510">
          <w:rPr>
            <w:rStyle w:val="Hyperlink"/>
          </w:rPr>
          <w:t>doxologies</w:t>
        </w:r>
      </w:hyperlink>
      <w:r w:rsidRPr="009F6510">
        <w:t xml:space="preserve"> to God as Giver of Torah. Finally, there is a </w:t>
      </w:r>
      <w:hyperlink r:id="rId175" w:history="1">
        <w:r w:rsidRPr="009F6510">
          <w:rPr>
            <w:rStyle w:val="Hyperlink"/>
          </w:rPr>
          <w:t>prayer</w:t>
        </w:r>
      </w:hyperlink>
      <w:r w:rsidRPr="009F6510">
        <w:t xml:space="preserve"> for the establishment of the kingdom of God, for each day contains within itself the possibility of ultimate fulfillment. As indicated, this was originally not a part of public </w:t>
      </w:r>
      <w:hyperlink r:id="rId176" w:history="1">
        <w:r w:rsidRPr="009F6510">
          <w:rPr>
            <w:rStyle w:val="Hyperlink"/>
          </w:rPr>
          <w:t>worship</w:t>
        </w:r>
      </w:hyperlink>
      <w:r w:rsidRPr="009F6510">
        <w:t xml:space="preserve"> but rather was personal preparation for a life to be lived in the presence of God (even today it is not, strictly speaking, part of the </w:t>
      </w:r>
      <w:hyperlink r:id="rId177" w:history="1">
        <w:r w:rsidRPr="009F6510">
          <w:rPr>
            <w:rStyle w:val="Hyperlink"/>
          </w:rPr>
          <w:t>synagogue</w:t>
        </w:r>
      </w:hyperlink>
      <w:r w:rsidRPr="009F6510">
        <w:t xml:space="preserve"> service, though it is frequently recited there).</w:t>
      </w:r>
    </w:p>
    <w:p w14:paraId="71F6539F" w14:textId="2ED4870D" w:rsidR="009F6510" w:rsidRPr="009F6510" w:rsidRDefault="009F6510" w:rsidP="009F6510">
      <w:r w:rsidRPr="009F6510">
        <w:t xml:space="preserve">Such individual responsibility marks much of Jewish observance, so that the synagogue—far from being the focus of observance—shares with the home and the workaday world the opportunities for divine-human encounter. The table blessings, </w:t>
      </w:r>
      <w:hyperlink r:id="rId178" w:history="1">
        <w:r w:rsidRPr="009F6510">
          <w:rPr>
            <w:rStyle w:val="Hyperlink"/>
          </w:rPr>
          <w:t>Kiddush</w:t>
        </w:r>
      </w:hyperlink>
      <w:r w:rsidRPr="009F6510">
        <w:t xml:space="preserve"> (the “sanctification” of the </w:t>
      </w:r>
      <w:hyperlink r:id="rId179" w:history="1">
        <w:r w:rsidRPr="009F6510">
          <w:rPr>
            <w:rStyle w:val="Hyperlink"/>
          </w:rPr>
          <w:t>Sabbath</w:t>
        </w:r>
      </w:hyperlink>
      <w:r w:rsidRPr="009F6510">
        <w:t xml:space="preserve"> and festivals), the erection of the booth (</w:t>
      </w:r>
      <w:proofErr w:type="spellStart"/>
      <w:r w:rsidRPr="009F6510">
        <w:rPr>
          <w:i/>
          <w:iCs/>
        </w:rPr>
        <w:t>sukka</w:t>
      </w:r>
      <w:proofErr w:type="spellEnd"/>
      <w:r w:rsidRPr="009F6510">
        <w:t xml:space="preserve">) for </w:t>
      </w:r>
      <w:hyperlink r:id="rId180" w:history="1">
        <w:r w:rsidRPr="009F6510">
          <w:rPr>
            <w:rStyle w:val="Hyperlink"/>
          </w:rPr>
          <w:t xml:space="preserve">Sukkoth </w:t>
        </w:r>
      </w:hyperlink>
      <w:r w:rsidRPr="009F6510">
        <w:t xml:space="preserve">(the Feast of Tabernacles), the </w:t>
      </w:r>
      <w:hyperlink r:id="rId181" w:history="1">
        <w:r w:rsidRPr="009F6510">
          <w:rPr>
            <w:rStyle w:val="Hyperlink"/>
          </w:rPr>
          <w:t>seder</w:t>
        </w:r>
      </w:hyperlink>
      <w:r w:rsidRPr="009F6510">
        <w:t xml:space="preserve"> (the festive </w:t>
      </w:r>
      <w:hyperlink r:id="rId182" w:history="1">
        <w:r w:rsidRPr="009F6510">
          <w:rPr>
            <w:rStyle w:val="Hyperlink"/>
          </w:rPr>
          <w:t>Passover</w:t>
        </w:r>
      </w:hyperlink>
      <w:r w:rsidRPr="009F6510">
        <w:t xml:space="preserve"> meal) with its symbols and narration of the </w:t>
      </w:r>
      <w:hyperlink r:id="rId183" w:history="1">
        <w:r w:rsidRPr="009F6510">
          <w:rPr>
            <w:rStyle w:val="Hyperlink"/>
          </w:rPr>
          <w:t>Exodus</w:t>
        </w:r>
      </w:hyperlink>
      <w:r w:rsidRPr="009F6510">
        <w:t xml:space="preserve">, and the lighting of the lamps during the eight days of </w:t>
      </w:r>
      <w:hyperlink r:id="rId184" w:history="1">
        <w:r w:rsidRPr="009F6510">
          <w:rPr>
            <w:rStyle w:val="Hyperlink"/>
          </w:rPr>
          <w:t>Hanukkah</w:t>
        </w:r>
      </w:hyperlink>
      <w:r w:rsidRPr="009F6510">
        <w:t xml:space="preserve"> (the Feast of Dedication) are all the obligation of the individual and the family and have their place in the home. It is here too where the </w:t>
      </w:r>
      <w:hyperlink r:id="rId185" w:history="1">
        <w:r w:rsidRPr="009F6510">
          <w:rPr>
            <w:rStyle w:val="Hyperlink"/>
          </w:rPr>
          <w:t>woman</w:t>
        </w:r>
      </w:hyperlink>
      <w:r w:rsidRPr="009F6510">
        <w:t xml:space="preserve">’s role is defined and where, as contrasted with the synagogue, she functions centrally. Given the traditional dietary </w:t>
      </w:r>
      <w:hyperlink r:id="rId186" w:history="1">
        <w:r w:rsidRPr="009F6510">
          <w:rPr>
            <w:rStyle w:val="Hyperlink"/>
          </w:rPr>
          <w:t>regimen</w:t>
        </w:r>
      </w:hyperlink>
      <w:r w:rsidRPr="009F6510">
        <w:t xml:space="preserve"> of the Jewish community—the exclusion of swine, carrion eaters, </w:t>
      </w:r>
      <w:hyperlink r:id="rId187" w:history="1">
        <w:r w:rsidRPr="009F6510">
          <w:rPr>
            <w:rStyle w:val="Hyperlink"/>
          </w:rPr>
          <w:t>shellfish</w:t>
        </w:r>
      </w:hyperlink>
      <w:r w:rsidRPr="009F6510">
        <w:t xml:space="preserve">, and certain other creatures, the separation of meat and </w:t>
      </w:r>
      <w:hyperlink r:id="rId188" w:history="1">
        <w:r w:rsidRPr="009F6510">
          <w:rPr>
            <w:rStyle w:val="Hyperlink"/>
          </w:rPr>
          <w:t>dairy products</w:t>
        </w:r>
      </w:hyperlink>
      <w:r w:rsidRPr="009F6510">
        <w:t>, the ritual slaughtering of animals, the required separation and burning of a small portion of dough (</w:t>
      </w:r>
      <w:proofErr w:type="spellStart"/>
      <w:r w:rsidRPr="009F6510">
        <w:rPr>
          <w:rFonts w:ascii="Calibri" w:hAnsi="Calibri" w:cs="Calibri"/>
          <w:i/>
          <w:iCs/>
        </w:rPr>
        <w:t>ḥ</w:t>
      </w:r>
      <w:r w:rsidRPr="009F6510">
        <w:rPr>
          <w:i/>
          <w:iCs/>
        </w:rPr>
        <w:t>alla</w:t>
      </w:r>
      <w:proofErr w:type="spellEnd"/>
      <w:r w:rsidRPr="009F6510">
        <w:t xml:space="preserve">) when baking, the supervision of the Passover food requirements, and many other stipulations—there exists a large and meticulously governed area in the home that is the sphere of woman’s </w:t>
      </w:r>
      <w:hyperlink r:id="rId189" w:history="1">
        <w:r w:rsidRPr="009F6510">
          <w:rPr>
            <w:rStyle w:val="Hyperlink"/>
          </w:rPr>
          <w:t>religion</w:t>
        </w:r>
      </w:hyperlink>
      <w:r w:rsidRPr="009F6510">
        <w:t xml:space="preserve">. There seems not to have been a </w:t>
      </w:r>
      <w:hyperlink r:id="rId190" w:history="1">
        <w:r w:rsidRPr="009F6510">
          <w:rPr>
            <w:rStyle w:val="Hyperlink"/>
          </w:rPr>
          <w:t>hierarchy</w:t>
        </w:r>
      </w:hyperlink>
      <w:r w:rsidRPr="009F6510">
        <w:t xml:space="preserve"> of values in which the home-</w:t>
      </w:r>
      <w:proofErr w:type="spellStart"/>
      <w:r w:rsidRPr="009F6510">
        <w:t>centred</w:t>
      </w:r>
      <w:proofErr w:type="spellEnd"/>
      <w:r w:rsidRPr="009F6510">
        <w:t xml:space="preserve">—as contrasted with the synagogue-oriented—practices were given an inferior status. In modern times, however—particularly in Western societies, where the pervasiveness of religious obligation has been replaced by </w:t>
      </w:r>
      <w:hyperlink r:id="rId191" w:history="1">
        <w:r w:rsidRPr="009F6510">
          <w:rPr>
            <w:rStyle w:val="Hyperlink"/>
          </w:rPr>
          <w:t>ecclesiastical</w:t>
        </w:r>
      </w:hyperlink>
      <w:r w:rsidRPr="009F6510">
        <w:t xml:space="preserve"> institutionalism on the prevailing Christian model—this whole crucial area has lost much of its meaning as a place of divine-human meeting. Thus, for many it is only the synagogue that provides such an opportunity, and the individual act has been reduced on the scale of values. With this downgrading, </w:t>
      </w:r>
      <w:proofErr w:type="gramStart"/>
      <w:r w:rsidRPr="009F6510">
        <w:t>woman’s</w:t>
      </w:r>
      <w:proofErr w:type="gramEnd"/>
      <w:r w:rsidRPr="009F6510">
        <w:t xml:space="preserve"> religion has lost much of its significance. However </w:t>
      </w:r>
      <w:hyperlink r:id="rId192" w:history="1">
        <w:r w:rsidRPr="009F6510">
          <w:rPr>
            <w:rStyle w:val="Hyperlink"/>
          </w:rPr>
          <w:t>attenuated</w:t>
        </w:r>
      </w:hyperlink>
      <w:r w:rsidRPr="009F6510">
        <w:t xml:space="preserve"> personal religious responsibility may have become, the intention of the Halakhic structure, the hallowing of the individual’s total existence, remains a potent force within the Jewish community.</w:t>
      </w:r>
    </w:p>
    <w:p w14:paraId="568DCDED" w14:textId="77777777" w:rsidR="009F6510" w:rsidRDefault="009F6510"/>
    <w:sectPr w:rsidR="009F65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510"/>
    <w:rsid w:val="0023181C"/>
    <w:rsid w:val="002746D5"/>
    <w:rsid w:val="005C7F41"/>
    <w:rsid w:val="009F6510"/>
    <w:rsid w:val="00C85473"/>
    <w:rsid w:val="00CA7748"/>
    <w:rsid w:val="00D44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00FF8"/>
  <w15:chartTrackingRefBased/>
  <w15:docId w15:val="{79876AA1-2B2F-496D-8D4F-87201043E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5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5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5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5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5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5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5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5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5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5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65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5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5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5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510"/>
    <w:rPr>
      <w:rFonts w:eastAsiaTheme="majorEastAsia" w:cstheme="majorBidi"/>
      <w:color w:val="272727" w:themeColor="text1" w:themeTint="D8"/>
    </w:rPr>
  </w:style>
  <w:style w:type="paragraph" w:styleId="Title">
    <w:name w:val="Title"/>
    <w:basedOn w:val="Normal"/>
    <w:next w:val="Normal"/>
    <w:link w:val="TitleChar"/>
    <w:uiPriority w:val="10"/>
    <w:qFormat/>
    <w:rsid w:val="009F65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5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510"/>
    <w:pPr>
      <w:spacing w:before="160"/>
      <w:jc w:val="center"/>
    </w:pPr>
    <w:rPr>
      <w:i/>
      <w:iCs/>
      <w:color w:val="404040" w:themeColor="text1" w:themeTint="BF"/>
    </w:rPr>
  </w:style>
  <w:style w:type="character" w:customStyle="1" w:styleId="QuoteChar">
    <w:name w:val="Quote Char"/>
    <w:basedOn w:val="DefaultParagraphFont"/>
    <w:link w:val="Quote"/>
    <w:uiPriority w:val="29"/>
    <w:rsid w:val="009F6510"/>
    <w:rPr>
      <w:i/>
      <w:iCs/>
      <w:color w:val="404040" w:themeColor="text1" w:themeTint="BF"/>
    </w:rPr>
  </w:style>
  <w:style w:type="paragraph" w:styleId="ListParagraph">
    <w:name w:val="List Paragraph"/>
    <w:basedOn w:val="Normal"/>
    <w:uiPriority w:val="34"/>
    <w:qFormat/>
    <w:rsid w:val="009F6510"/>
    <w:pPr>
      <w:ind w:left="720"/>
      <w:contextualSpacing/>
    </w:pPr>
  </w:style>
  <w:style w:type="character" w:styleId="IntenseEmphasis">
    <w:name w:val="Intense Emphasis"/>
    <w:basedOn w:val="DefaultParagraphFont"/>
    <w:uiPriority w:val="21"/>
    <w:qFormat/>
    <w:rsid w:val="009F6510"/>
    <w:rPr>
      <w:i/>
      <w:iCs/>
      <w:color w:val="0F4761" w:themeColor="accent1" w:themeShade="BF"/>
    </w:rPr>
  </w:style>
  <w:style w:type="paragraph" w:styleId="IntenseQuote">
    <w:name w:val="Intense Quote"/>
    <w:basedOn w:val="Normal"/>
    <w:next w:val="Normal"/>
    <w:link w:val="IntenseQuoteChar"/>
    <w:uiPriority w:val="30"/>
    <w:qFormat/>
    <w:rsid w:val="009F65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510"/>
    <w:rPr>
      <w:i/>
      <w:iCs/>
      <w:color w:val="0F4761" w:themeColor="accent1" w:themeShade="BF"/>
    </w:rPr>
  </w:style>
  <w:style w:type="character" w:styleId="IntenseReference">
    <w:name w:val="Intense Reference"/>
    <w:basedOn w:val="DefaultParagraphFont"/>
    <w:uiPriority w:val="32"/>
    <w:qFormat/>
    <w:rsid w:val="009F6510"/>
    <w:rPr>
      <w:b/>
      <w:bCs/>
      <w:smallCaps/>
      <w:color w:val="0F4761" w:themeColor="accent1" w:themeShade="BF"/>
      <w:spacing w:val="5"/>
    </w:rPr>
  </w:style>
  <w:style w:type="character" w:styleId="Hyperlink">
    <w:name w:val="Hyperlink"/>
    <w:basedOn w:val="DefaultParagraphFont"/>
    <w:uiPriority w:val="99"/>
    <w:unhideWhenUsed/>
    <w:rsid w:val="009F6510"/>
    <w:rPr>
      <w:color w:val="467886" w:themeColor="hyperlink"/>
      <w:u w:val="single"/>
    </w:rPr>
  </w:style>
  <w:style w:type="character" w:styleId="UnresolvedMention">
    <w:name w:val="Unresolved Mention"/>
    <w:basedOn w:val="DefaultParagraphFont"/>
    <w:uiPriority w:val="99"/>
    <w:semiHidden/>
    <w:unhideWhenUsed/>
    <w:rsid w:val="009F65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970085">
      <w:bodyDiv w:val="1"/>
      <w:marLeft w:val="0"/>
      <w:marRight w:val="0"/>
      <w:marTop w:val="0"/>
      <w:marBottom w:val="0"/>
      <w:divBdr>
        <w:top w:val="none" w:sz="0" w:space="0" w:color="auto"/>
        <w:left w:val="none" w:sz="0" w:space="0" w:color="auto"/>
        <w:bottom w:val="none" w:sz="0" w:space="0" w:color="auto"/>
        <w:right w:val="none" w:sz="0" w:space="0" w:color="auto"/>
      </w:divBdr>
    </w:div>
    <w:div w:id="922648478">
      <w:bodyDiv w:val="1"/>
      <w:marLeft w:val="0"/>
      <w:marRight w:val="0"/>
      <w:marTop w:val="0"/>
      <w:marBottom w:val="0"/>
      <w:divBdr>
        <w:top w:val="none" w:sz="0" w:space="0" w:color="auto"/>
        <w:left w:val="none" w:sz="0" w:space="0" w:color="auto"/>
        <w:bottom w:val="none" w:sz="0" w:space="0" w:color="auto"/>
        <w:right w:val="none" w:sz="0" w:space="0" w:color="auto"/>
      </w:divBdr>
    </w:div>
    <w:div w:id="1096949913">
      <w:bodyDiv w:val="1"/>
      <w:marLeft w:val="0"/>
      <w:marRight w:val="0"/>
      <w:marTop w:val="0"/>
      <w:marBottom w:val="0"/>
      <w:divBdr>
        <w:top w:val="none" w:sz="0" w:space="0" w:color="auto"/>
        <w:left w:val="none" w:sz="0" w:space="0" w:color="auto"/>
        <w:bottom w:val="none" w:sz="0" w:space="0" w:color="auto"/>
        <w:right w:val="none" w:sz="0" w:space="0" w:color="auto"/>
      </w:divBdr>
    </w:div>
    <w:div w:id="1224101007">
      <w:bodyDiv w:val="1"/>
      <w:marLeft w:val="0"/>
      <w:marRight w:val="0"/>
      <w:marTop w:val="0"/>
      <w:marBottom w:val="0"/>
      <w:divBdr>
        <w:top w:val="none" w:sz="0" w:space="0" w:color="auto"/>
        <w:left w:val="none" w:sz="0" w:space="0" w:color="auto"/>
        <w:bottom w:val="none" w:sz="0" w:space="0" w:color="auto"/>
        <w:right w:val="none" w:sz="0" w:space="0" w:color="auto"/>
      </w:divBdr>
      <w:divsChild>
        <w:div w:id="1894390920">
          <w:marLeft w:val="0"/>
          <w:marRight w:val="0"/>
          <w:marTop w:val="0"/>
          <w:marBottom w:val="0"/>
          <w:divBdr>
            <w:top w:val="none" w:sz="0" w:space="0" w:color="auto"/>
            <w:left w:val="none" w:sz="0" w:space="0" w:color="auto"/>
            <w:bottom w:val="none" w:sz="0" w:space="0" w:color="auto"/>
            <w:right w:val="none" w:sz="0" w:space="0" w:color="auto"/>
          </w:divBdr>
          <w:divsChild>
            <w:div w:id="992564446">
              <w:marLeft w:val="0"/>
              <w:marRight w:val="0"/>
              <w:marTop w:val="0"/>
              <w:marBottom w:val="0"/>
              <w:divBdr>
                <w:top w:val="none" w:sz="0" w:space="0" w:color="auto"/>
                <w:left w:val="none" w:sz="0" w:space="0" w:color="auto"/>
                <w:bottom w:val="none" w:sz="0" w:space="0" w:color="auto"/>
                <w:right w:val="none" w:sz="0" w:space="0" w:color="auto"/>
              </w:divBdr>
              <w:divsChild>
                <w:div w:id="2109277513">
                  <w:marLeft w:val="0"/>
                  <w:marRight w:val="0"/>
                  <w:marTop w:val="0"/>
                  <w:marBottom w:val="0"/>
                  <w:divBdr>
                    <w:top w:val="none" w:sz="0" w:space="0" w:color="auto"/>
                    <w:left w:val="none" w:sz="0" w:space="0" w:color="auto"/>
                    <w:bottom w:val="none" w:sz="0" w:space="0" w:color="auto"/>
                    <w:right w:val="none" w:sz="0" w:space="0" w:color="auto"/>
                  </w:divBdr>
                  <w:divsChild>
                    <w:div w:id="88664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3539">
          <w:marLeft w:val="0"/>
          <w:marRight w:val="0"/>
          <w:marTop w:val="0"/>
          <w:marBottom w:val="0"/>
          <w:divBdr>
            <w:top w:val="none" w:sz="0" w:space="0" w:color="auto"/>
            <w:left w:val="none" w:sz="0" w:space="0" w:color="auto"/>
            <w:bottom w:val="none" w:sz="0" w:space="0" w:color="auto"/>
            <w:right w:val="none" w:sz="0" w:space="0" w:color="auto"/>
          </w:divBdr>
          <w:divsChild>
            <w:div w:id="1683897125">
              <w:marLeft w:val="0"/>
              <w:marRight w:val="0"/>
              <w:marTop w:val="0"/>
              <w:marBottom w:val="0"/>
              <w:divBdr>
                <w:top w:val="none" w:sz="0" w:space="0" w:color="auto"/>
                <w:left w:val="none" w:sz="0" w:space="0" w:color="auto"/>
                <w:bottom w:val="none" w:sz="0" w:space="0" w:color="auto"/>
                <w:right w:val="none" w:sz="0" w:space="0" w:color="auto"/>
              </w:divBdr>
              <w:divsChild>
                <w:div w:id="555092365">
                  <w:marLeft w:val="0"/>
                  <w:marRight w:val="0"/>
                  <w:marTop w:val="0"/>
                  <w:marBottom w:val="0"/>
                  <w:divBdr>
                    <w:top w:val="none" w:sz="0" w:space="0" w:color="auto"/>
                    <w:left w:val="none" w:sz="0" w:space="0" w:color="auto"/>
                    <w:bottom w:val="none" w:sz="0" w:space="0" w:color="auto"/>
                    <w:right w:val="none" w:sz="0" w:space="0" w:color="auto"/>
                  </w:divBdr>
                  <w:divsChild>
                    <w:div w:id="856389064">
                      <w:marLeft w:val="0"/>
                      <w:marRight w:val="0"/>
                      <w:marTop w:val="0"/>
                      <w:marBottom w:val="0"/>
                      <w:divBdr>
                        <w:top w:val="none" w:sz="0" w:space="0" w:color="auto"/>
                        <w:left w:val="none" w:sz="0" w:space="0" w:color="auto"/>
                        <w:bottom w:val="none" w:sz="0" w:space="0" w:color="auto"/>
                        <w:right w:val="none" w:sz="0" w:space="0" w:color="auto"/>
                      </w:divBdr>
                      <w:divsChild>
                        <w:div w:id="3055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047376">
      <w:bodyDiv w:val="1"/>
      <w:marLeft w:val="0"/>
      <w:marRight w:val="0"/>
      <w:marTop w:val="0"/>
      <w:marBottom w:val="0"/>
      <w:divBdr>
        <w:top w:val="none" w:sz="0" w:space="0" w:color="auto"/>
        <w:left w:val="none" w:sz="0" w:space="0" w:color="auto"/>
        <w:bottom w:val="none" w:sz="0" w:space="0" w:color="auto"/>
        <w:right w:val="none" w:sz="0" w:space="0" w:color="auto"/>
      </w:divBdr>
    </w:div>
    <w:div w:id="1643659224">
      <w:bodyDiv w:val="1"/>
      <w:marLeft w:val="0"/>
      <w:marRight w:val="0"/>
      <w:marTop w:val="0"/>
      <w:marBottom w:val="0"/>
      <w:divBdr>
        <w:top w:val="none" w:sz="0" w:space="0" w:color="auto"/>
        <w:left w:val="none" w:sz="0" w:space="0" w:color="auto"/>
        <w:bottom w:val="none" w:sz="0" w:space="0" w:color="auto"/>
        <w:right w:val="none" w:sz="0" w:space="0" w:color="auto"/>
      </w:divBdr>
    </w:div>
    <w:div w:id="1969357240">
      <w:bodyDiv w:val="1"/>
      <w:marLeft w:val="0"/>
      <w:marRight w:val="0"/>
      <w:marTop w:val="0"/>
      <w:marBottom w:val="0"/>
      <w:divBdr>
        <w:top w:val="none" w:sz="0" w:space="0" w:color="auto"/>
        <w:left w:val="none" w:sz="0" w:space="0" w:color="auto"/>
        <w:bottom w:val="none" w:sz="0" w:space="0" w:color="auto"/>
        <w:right w:val="none" w:sz="0" w:space="0" w:color="auto"/>
      </w:divBdr>
      <w:divsChild>
        <w:div w:id="1248685510">
          <w:marLeft w:val="0"/>
          <w:marRight w:val="0"/>
          <w:marTop w:val="0"/>
          <w:marBottom w:val="0"/>
          <w:divBdr>
            <w:top w:val="none" w:sz="0" w:space="0" w:color="auto"/>
            <w:left w:val="none" w:sz="0" w:space="0" w:color="auto"/>
            <w:bottom w:val="none" w:sz="0" w:space="0" w:color="auto"/>
            <w:right w:val="none" w:sz="0" w:space="0" w:color="auto"/>
          </w:divBdr>
          <w:divsChild>
            <w:div w:id="824784304">
              <w:marLeft w:val="0"/>
              <w:marRight w:val="0"/>
              <w:marTop w:val="0"/>
              <w:marBottom w:val="0"/>
              <w:divBdr>
                <w:top w:val="none" w:sz="0" w:space="0" w:color="auto"/>
                <w:left w:val="none" w:sz="0" w:space="0" w:color="auto"/>
                <w:bottom w:val="none" w:sz="0" w:space="0" w:color="auto"/>
                <w:right w:val="none" w:sz="0" w:space="0" w:color="auto"/>
              </w:divBdr>
              <w:divsChild>
                <w:div w:id="1791318771">
                  <w:marLeft w:val="0"/>
                  <w:marRight w:val="0"/>
                  <w:marTop w:val="0"/>
                  <w:marBottom w:val="0"/>
                  <w:divBdr>
                    <w:top w:val="none" w:sz="0" w:space="0" w:color="auto"/>
                    <w:left w:val="none" w:sz="0" w:space="0" w:color="auto"/>
                    <w:bottom w:val="none" w:sz="0" w:space="0" w:color="auto"/>
                    <w:right w:val="none" w:sz="0" w:space="0" w:color="auto"/>
                  </w:divBdr>
                  <w:divsChild>
                    <w:div w:id="178561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94307">
          <w:marLeft w:val="0"/>
          <w:marRight w:val="0"/>
          <w:marTop w:val="0"/>
          <w:marBottom w:val="0"/>
          <w:divBdr>
            <w:top w:val="none" w:sz="0" w:space="0" w:color="auto"/>
            <w:left w:val="none" w:sz="0" w:space="0" w:color="auto"/>
            <w:bottom w:val="none" w:sz="0" w:space="0" w:color="auto"/>
            <w:right w:val="none" w:sz="0" w:space="0" w:color="auto"/>
          </w:divBdr>
          <w:divsChild>
            <w:div w:id="1251282212">
              <w:marLeft w:val="0"/>
              <w:marRight w:val="0"/>
              <w:marTop w:val="0"/>
              <w:marBottom w:val="0"/>
              <w:divBdr>
                <w:top w:val="none" w:sz="0" w:space="0" w:color="auto"/>
                <w:left w:val="none" w:sz="0" w:space="0" w:color="auto"/>
                <w:bottom w:val="none" w:sz="0" w:space="0" w:color="auto"/>
                <w:right w:val="none" w:sz="0" w:space="0" w:color="auto"/>
              </w:divBdr>
              <w:divsChild>
                <w:div w:id="1108890682">
                  <w:marLeft w:val="0"/>
                  <w:marRight w:val="0"/>
                  <w:marTop w:val="0"/>
                  <w:marBottom w:val="0"/>
                  <w:divBdr>
                    <w:top w:val="none" w:sz="0" w:space="0" w:color="auto"/>
                    <w:left w:val="none" w:sz="0" w:space="0" w:color="auto"/>
                    <w:bottom w:val="none" w:sz="0" w:space="0" w:color="auto"/>
                    <w:right w:val="none" w:sz="0" w:space="0" w:color="auto"/>
                  </w:divBdr>
                  <w:divsChild>
                    <w:div w:id="1989944114">
                      <w:marLeft w:val="0"/>
                      <w:marRight w:val="0"/>
                      <w:marTop w:val="0"/>
                      <w:marBottom w:val="0"/>
                      <w:divBdr>
                        <w:top w:val="none" w:sz="0" w:space="0" w:color="auto"/>
                        <w:left w:val="none" w:sz="0" w:space="0" w:color="auto"/>
                        <w:bottom w:val="none" w:sz="0" w:space="0" w:color="auto"/>
                        <w:right w:val="none" w:sz="0" w:space="0" w:color="auto"/>
                      </w:divBdr>
                      <w:divsChild>
                        <w:div w:id="168343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845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britannica.com/topic/Hebrew" TargetMode="External"/><Relationship Id="rId21" Type="http://schemas.openxmlformats.org/officeDocument/2006/relationships/hyperlink" Target="https://www.britannica.com/topic/immortality" TargetMode="External"/><Relationship Id="rId42" Type="http://schemas.openxmlformats.org/officeDocument/2006/relationships/hyperlink" Target="https://www.britannica.com/topic/sin-religion" TargetMode="External"/><Relationship Id="rId63" Type="http://schemas.openxmlformats.org/officeDocument/2006/relationships/hyperlink" Target="https://www.britannica.com/topic/ethics-philosophy" TargetMode="External"/><Relationship Id="rId84" Type="http://schemas.openxmlformats.org/officeDocument/2006/relationships/hyperlink" Target="https://www.britannica.com/topic/Book-of-Micah" TargetMode="External"/><Relationship Id="rId138" Type="http://schemas.openxmlformats.org/officeDocument/2006/relationships/hyperlink" Target="https://www.merriam-webster.com/dictionary/sovereignty" TargetMode="External"/><Relationship Id="rId159" Type="http://schemas.openxmlformats.org/officeDocument/2006/relationships/hyperlink" Target="https://www.britannica.com/topic/worship" TargetMode="External"/><Relationship Id="rId170" Type="http://schemas.openxmlformats.org/officeDocument/2006/relationships/hyperlink" Target="https://www.britannica.com/topic/Talmud-Torah" TargetMode="External"/><Relationship Id="rId191" Type="http://schemas.openxmlformats.org/officeDocument/2006/relationships/hyperlink" Target="https://www.merriam-webster.com/dictionary/ecclesiastical" TargetMode="External"/><Relationship Id="rId107" Type="http://schemas.openxmlformats.org/officeDocument/2006/relationships/hyperlink" Target="https://www.britannica.com/topic/Mishna" TargetMode="External"/><Relationship Id="rId11" Type="http://schemas.openxmlformats.org/officeDocument/2006/relationships/hyperlink" Target="https://www.britannica.com/topic/human-nature" TargetMode="External"/><Relationship Id="rId32" Type="http://schemas.openxmlformats.org/officeDocument/2006/relationships/hyperlink" Target="https://www.merriam-webster.com/dictionary/implicit" TargetMode="External"/><Relationship Id="rId53" Type="http://schemas.openxmlformats.org/officeDocument/2006/relationships/hyperlink" Target="https://www.britannica.com/topic/ethics-philosophy" TargetMode="External"/><Relationship Id="rId74" Type="http://schemas.openxmlformats.org/officeDocument/2006/relationships/hyperlink" Target="https://www.britannica.com/topic/human-behavior" TargetMode="External"/><Relationship Id="rId128" Type="http://schemas.openxmlformats.org/officeDocument/2006/relationships/hyperlink" Target="https://www.britannica.com/topic/Kabbala" TargetMode="External"/><Relationship Id="rId149" Type="http://schemas.openxmlformats.org/officeDocument/2006/relationships/hyperlink" Target="https://www.merriam-webster.com/dictionary/comprised" TargetMode="External"/><Relationship Id="rId5" Type="http://schemas.openxmlformats.org/officeDocument/2006/relationships/hyperlink" Target="https://www.merriam-webster.com/dictionary/community" TargetMode="External"/><Relationship Id="rId95" Type="http://schemas.openxmlformats.org/officeDocument/2006/relationships/hyperlink" Target="https://www.britannica.com/dictionary/obligations" TargetMode="External"/><Relationship Id="rId160" Type="http://schemas.openxmlformats.org/officeDocument/2006/relationships/hyperlink" Target="https://www.britannica.com/topic/ritual" TargetMode="External"/><Relationship Id="rId181" Type="http://schemas.openxmlformats.org/officeDocument/2006/relationships/hyperlink" Target="https://www.britannica.com/topic/seder-Passover-meal" TargetMode="External"/><Relationship Id="rId22" Type="http://schemas.openxmlformats.org/officeDocument/2006/relationships/hyperlink" Target="https://www.britannica.com/dictionary/miraculous" TargetMode="External"/><Relationship Id="rId43" Type="http://schemas.openxmlformats.org/officeDocument/2006/relationships/hyperlink" Target="https://www.merriam-webster.com/dictionary/sovereign" TargetMode="External"/><Relationship Id="rId64" Type="http://schemas.openxmlformats.org/officeDocument/2006/relationships/hyperlink" Target="https://www.britannica.com/topic/sacred" TargetMode="External"/><Relationship Id="rId118" Type="http://schemas.openxmlformats.org/officeDocument/2006/relationships/hyperlink" Target="https://www.merriam-webster.com/dictionary/ephemeral" TargetMode="External"/><Relationship Id="rId139" Type="http://schemas.openxmlformats.org/officeDocument/2006/relationships/hyperlink" Target="https://www.britannica.com/biography/David" TargetMode="External"/><Relationship Id="rId85" Type="http://schemas.openxmlformats.org/officeDocument/2006/relationships/hyperlink" Target="https://www.britannica.com/topic/Diaspora-Judaism" TargetMode="External"/><Relationship Id="rId150" Type="http://schemas.openxmlformats.org/officeDocument/2006/relationships/hyperlink" Target="https://www.merriam-webster.com/dictionary/apocalypse" TargetMode="External"/><Relationship Id="rId171" Type="http://schemas.openxmlformats.org/officeDocument/2006/relationships/hyperlink" Target="https://www.merriam-webster.com/dictionary/benediction" TargetMode="External"/><Relationship Id="rId192" Type="http://schemas.openxmlformats.org/officeDocument/2006/relationships/hyperlink" Target="https://www.merriam-webster.com/dictionary/attenuated" TargetMode="External"/><Relationship Id="rId12" Type="http://schemas.openxmlformats.org/officeDocument/2006/relationships/hyperlink" Target="https://www.britannica.com/art/apocalyptic-literature" TargetMode="External"/><Relationship Id="rId33" Type="http://schemas.openxmlformats.org/officeDocument/2006/relationships/hyperlink" Target="https://www.britannica.com/topic/Rabbinic-Judaism" TargetMode="External"/><Relationship Id="rId108" Type="http://schemas.openxmlformats.org/officeDocument/2006/relationships/hyperlink" Target="https://www.britannica.com/topic/Gemara" TargetMode="External"/><Relationship Id="rId129" Type="http://schemas.openxmlformats.org/officeDocument/2006/relationships/hyperlink" Target="https://www.merriam-webster.com/dictionary/peripheral" TargetMode="External"/><Relationship Id="rId54" Type="http://schemas.openxmlformats.org/officeDocument/2006/relationships/hyperlink" Target="https://www.merriam-webster.com/dictionary/metaphysical" TargetMode="External"/><Relationship Id="rId75" Type="http://schemas.openxmlformats.org/officeDocument/2006/relationships/hyperlink" Target="https://www.merriam-webster.com/dictionary/vulnerable" TargetMode="External"/><Relationship Id="rId96" Type="http://schemas.openxmlformats.org/officeDocument/2006/relationships/hyperlink" Target="https://www.britannica.com/topic/Book-of-Amos" TargetMode="External"/><Relationship Id="rId140" Type="http://schemas.openxmlformats.org/officeDocument/2006/relationships/hyperlink" Target="https://www.britannica.com/event/Babylonian-Captivity" TargetMode="External"/><Relationship Id="rId161" Type="http://schemas.openxmlformats.org/officeDocument/2006/relationships/hyperlink" Target="https://www.britannica.com/topic/Temple-of-Jerusalem" TargetMode="External"/><Relationship Id="rId182" Type="http://schemas.openxmlformats.org/officeDocument/2006/relationships/hyperlink" Target="https://www.britannica.com/topic/Passover" TargetMode="External"/><Relationship Id="rId6" Type="http://schemas.openxmlformats.org/officeDocument/2006/relationships/hyperlink" Target="https://www.merriam-webster.com/dictionary/intellectual" TargetMode="External"/><Relationship Id="rId23" Type="http://schemas.openxmlformats.org/officeDocument/2006/relationships/hyperlink" Target="https://www.britannica.com/topic/Israel-Old-Testament-kingdom" TargetMode="External"/><Relationship Id="rId119" Type="http://schemas.openxmlformats.org/officeDocument/2006/relationships/hyperlink" Target="https://www.britannica.com/topic/angel-religion" TargetMode="External"/><Relationship Id="rId44" Type="http://schemas.openxmlformats.org/officeDocument/2006/relationships/hyperlink" Target="https://www.merriam-webster.com/dictionary/sovereignty" TargetMode="External"/><Relationship Id="rId65" Type="http://schemas.openxmlformats.org/officeDocument/2006/relationships/hyperlink" Target="https://www.merriam-webster.com/dictionary/albeit" TargetMode="External"/><Relationship Id="rId86" Type="http://schemas.openxmlformats.org/officeDocument/2006/relationships/hyperlink" Target="https://www.britannica.com/event/Middle-Ages" TargetMode="External"/><Relationship Id="rId130" Type="http://schemas.openxmlformats.org/officeDocument/2006/relationships/hyperlink" Target="https://www.merriam-webster.com/dictionary/metaphysics" TargetMode="External"/><Relationship Id="rId151" Type="http://schemas.openxmlformats.org/officeDocument/2006/relationships/hyperlink" Target="https://www.britannica.com/art/apocalyptic-literature" TargetMode="External"/><Relationship Id="rId172" Type="http://schemas.openxmlformats.org/officeDocument/2006/relationships/hyperlink" Target="https://www.britannica.com/topic/Hebrew-Bible" TargetMode="External"/><Relationship Id="rId193" Type="http://schemas.openxmlformats.org/officeDocument/2006/relationships/fontTable" Target="fontTable.xml"/><Relationship Id="rId13" Type="http://schemas.openxmlformats.org/officeDocument/2006/relationships/hyperlink" Target="https://www.merriam-webster.com/dictionary/conception" TargetMode="External"/><Relationship Id="rId109" Type="http://schemas.openxmlformats.org/officeDocument/2006/relationships/hyperlink" Target="https://www.britannica.com/topic/Christianity" TargetMode="External"/><Relationship Id="rId34" Type="http://schemas.openxmlformats.org/officeDocument/2006/relationships/hyperlink" Target="https://www.britannica.com/topic/Noah" TargetMode="External"/><Relationship Id="rId50" Type="http://schemas.openxmlformats.org/officeDocument/2006/relationships/hyperlink" Target="https://www.britannica.com/topic/faith" TargetMode="External"/><Relationship Id="rId55" Type="http://schemas.openxmlformats.org/officeDocument/2006/relationships/hyperlink" Target="https://www.merriam-webster.com/dictionary/rudimentary" TargetMode="External"/><Relationship Id="rId76" Type="http://schemas.openxmlformats.org/officeDocument/2006/relationships/hyperlink" Target="https://www.merriam-webster.com/dictionary/community" TargetMode="External"/><Relationship Id="rId97" Type="http://schemas.openxmlformats.org/officeDocument/2006/relationships/hyperlink" Target="https://www.britannica.com/dictionary/condemnation" TargetMode="External"/><Relationship Id="rId104" Type="http://schemas.openxmlformats.org/officeDocument/2006/relationships/hyperlink" Target="https://www.britannica.com/topic/Psalms" TargetMode="External"/><Relationship Id="rId120" Type="http://schemas.openxmlformats.org/officeDocument/2006/relationships/hyperlink" Target="https://www.merriam-webster.com/dictionary/hierarchy" TargetMode="External"/><Relationship Id="rId125" Type="http://schemas.openxmlformats.org/officeDocument/2006/relationships/hyperlink" Target="https://www.merriam-webster.com/dictionary/medieval" TargetMode="External"/><Relationship Id="rId141" Type="http://schemas.openxmlformats.org/officeDocument/2006/relationships/hyperlink" Target="https://www.britannica.com/topic/The-Book-of-Ezekiel" TargetMode="External"/><Relationship Id="rId146" Type="http://schemas.openxmlformats.org/officeDocument/2006/relationships/hyperlink" Target="https://www.merriam-webster.com/dictionary/myths" TargetMode="External"/><Relationship Id="rId167" Type="http://schemas.openxmlformats.org/officeDocument/2006/relationships/hyperlink" Target="https://www.merriam-webster.com/dictionary/environment" TargetMode="External"/><Relationship Id="rId188" Type="http://schemas.openxmlformats.org/officeDocument/2006/relationships/hyperlink" Target="https://www.britannica.com/topic/dairy-product" TargetMode="External"/><Relationship Id="rId7" Type="http://schemas.openxmlformats.org/officeDocument/2006/relationships/hyperlink" Target="https://www.merriam-webster.com/dictionary/ethical" TargetMode="External"/><Relationship Id="rId71" Type="http://schemas.openxmlformats.org/officeDocument/2006/relationships/hyperlink" Target="https://www.merriam-webster.com/dictionary/paradigm" TargetMode="External"/><Relationship Id="rId92" Type="http://schemas.openxmlformats.org/officeDocument/2006/relationships/hyperlink" Target="https://www.britannica.com/dictionary/enumerate" TargetMode="External"/><Relationship Id="rId162" Type="http://schemas.openxmlformats.org/officeDocument/2006/relationships/hyperlink" Target="https://www.britannica.com/topic/Rabbinic-Judaism" TargetMode="External"/><Relationship Id="rId183" Type="http://schemas.openxmlformats.org/officeDocument/2006/relationships/hyperlink" Target="https://www.britannica.com/event/Exodus-Old-Testament" TargetMode="External"/><Relationship Id="rId2" Type="http://schemas.openxmlformats.org/officeDocument/2006/relationships/settings" Target="settings.xml"/><Relationship Id="rId29" Type="http://schemas.openxmlformats.org/officeDocument/2006/relationships/hyperlink" Target="https://www.merriam-webster.com/dictionary/equilibrium" TargetMode="External"/><Relationship Id="rId24" Type="http://schemas.openxmlformats.org/officeDocument/2006/relationships/hyperlink" Target="https://www.britannica.com/topic/resurrection-religion" TargetMode="External"/><Relationship Id="rId40" Type="http://schemas.openxmlformats.org/officeDocument/2006/relationships/hyperlink" Target="https://www.britannica.com/topic/yetzer-ha-tov" TargetMode="External"/><Relationship Id="rId45" Type="http://schemas.openxmlformats.org/officeDocument/2006/relationships/hyperlink" Target="https://www.merriam-webster.com/dictionary/manifest" TargetMode="External"/><Relationship Id="rId66" Type="http://schemas.openxmlformats.org/officeDocument/2006/relationships/hyperlink" Target="https://www.britannica.com/place/ancient-Middle-East" TargetMode="External"/><Relationship Id="rId87" Type="http://schemas.openxmlformats.org/officeDocument/2006/relationships/hyperlink" Target="https://www.merriam-webster.com/dictionary/dynamic" TargetMode="External"/><Relationship Id="rId110" Type="http://schemas.openxmlformats.org/officeDocument/2006/relationships/hyperlink" Target="https://www.britannica.com/topic/Islam" TargetMode="External"/><Relationship Id="rId115" Type="http://schemas.openxmlformats.org/officeDocument/2006/relationships/hyperlink" Target="https://www.britannica.com/topic/angel-religion" TargetMode="External"/><Relationship Id="rId131" Type="http://schemas.openxmlformats.org/officeDocument/2006/relationships/hyperlink" Target="https://www.britannica.com/topic/Reconstructionism" TargetMode="External"/><Relationship Id="rId136" Type="http://schemas.openxmlformats.org/officeDocument/2006/relationships/hyperlink" Target="https://www.merriam-webster.com/dictionary/imperative" TargetMode="External"/><Relationship Id="rId157" Type="http://schemas.openxmlformats.org/officeDocument/2006/relationships/hyperlink" Target="https://www.merriam-webster.com/dictionary/sovereignty" TargetMode="External"/><Relationship Id="rId178" Type="http://schemas.openxmlformats.org/officeDocument/2006/relationships/hyperlink" Target="https://www.britannica.com/topic/Kiddush" TargetMode="External"/><Relationship Id="rId61" Type="http://schemas.openxmlformats.org/officeDocument/2006/relationships/hyperlink" Target="https://www.britannica.com/topic/theology" TargetMode="External"/><Relationship Id="rId82" Type="http://schemas.openxmlformats.org/officeDocument/2006/relationships/hyperlink" Target="https://www.merriam-webster.com/dictionary/context" TargetMode="External"/><Relationship Id="rId152" Type="http://schemas.openxmlformats.org/officeDocument/2006/relationships/hyperlink" Target="https://www.merriam-webster.com/dictionary/imminent" TargetMode="External"/><Relationship Id="rId173" Type="http://schemas.openxmlformats.org/officeDocument/2006/relationships/hyperlink" Target="https://www.britannica.com/topic/Mishna" TargetMode="External"/><Relationship Id="rId194" Type="http://schemas.openxmlformats.org/officeDocument/2006/relationships/theme" Target="theme/theme1.xml"/><Relationship Id="rId19" Type="http://schemas.openxmlformats.org/officeDocument/2006/relationships/hyperlink" Target="https://www.britannica.com/science/death" TargetMode="External"/><Relationship Id="rId14" Type="http://schemas.openxmlformats.org/officeDocument/2006/relationships/hyperlink" Target="https://www.britannica.com/topic/dualism-religion" TargetMode="External"/><Relationship Id="rId30" Type="http://schemas.openxmlformats.org/officeDocument/2006/relationships/hyperlink" Target="https://www.merriam-webster.com/dictionary/medieval" TargetMode="External"/><Relationship Id="rId35" Type="http://schemas.openxmlformats.org/officeDocument/2006/relationships/hyperlink" Target="https://www.merriam-webster.com/dictionary/covenant" TargetMode="External"/><Relationship Id="rId56" Type="http://schemas.openxmlformats.org/officeDocument/2006/relationships/hyperlink" Target="https://www.britannica.com/topic/resurrection-religion" TargetMode="External"/><Relationship Id="rId77" Type="http://schemas.openxmlformats.org/officeDocument/2006/relationships/hyperlink" Target="https://www.britannica.com/dictionary/righteous" TargetMode="External"/><Relationship Id="rId100" Type="http://schemas.openxmlformats.org/officeDocument/2006/relationships/hyperlink" Target="https://www.britannica.com/topic/Sabbath-Judaism" TargetMode="External"/><Relationship Id="rId105" Type="http://schemas.openxmlformats.org/officeDocument/2006/relationships/hyperlink" Target="https://www.merriam-webster.com/dictionary/cultivated" TargetMode="External"/><Relationship Id="rId126" Type="http://schemas.openxmlformats.org/officeDocument/2006/relationships/hyperlink" Target="https://www.britannica.com/topic/Aristotelianism" TargetMode="External"/><Relationship Id="rId147" Type="http://schemas.openxmlformats.org/officeDocument/2006/relationships/hyperlink" Target="https://www.britannica.com/topic/Israelite" TargetMode="External"/><Relationship Id="rId168" Type="http://schemas.openxmlformats.org/officeDocument/2006/relationships/hyperlink" Target="https://www.merriam-webster.com/dictionary/dynamic" TargetMode="External"/><Relationship Id="rId8" Type="http://schemas.openxmlformats.org/officeDocument/2006/relationships/hyperlink" Target="https://www.britannica.com/topic/nefesh-Judaism" TargetMode="External"/><Relationship Id="rId51" Type="http://schemas.openxmlformats.org/officeDocument/2006/relationships/hyperlink" Target="https://www.britannica.com/topic/worship" TargetMode="External"/><Relationship Id="rId72" Type="http://schemas.openxmlformats.org/officeDocument/2006/relationships/hyperlink" Target="https://www.britannica.com/topic/Code-of-Holiness" TargetMode="External"/><Relationship Id="rId93" Type="http://schemas.openxmlformats.org/officeDocument/2006/relationships/hyperlink" Target="https://www.britannica.com/topic/worship" TargetMode="External"/><Relationship Id="rId98" Type="http://schemas.openxmlformats.org/officeDocument/2006/relationships/hyperlink" Target="https://www.merriam-webster.com/dictionary/moral" TargetMode="External"/><Relationship Id="rId121" Type="http://schemas.openxmlformats.org/officeDocument/2006/relationships/hyperlink" Target="https://www.merriam-webster.com/dictionary/bureaucracy" TargetMode="External"/><Relationship Id="rId142" Type="http://schemas.openxmlformats.org/officeDocument/2006/relationships/hyperlink" Target="https://www.britannica.com/dictionary/commonwealth" TargetMode="External"/><Relationship Id="rId163" Type="http://schemas.openxmlformats.org/officeDocument/2006/relationships/hyperlink" Target="https://www.britannica.com/dictionary/spontaneity" TargetMode="External"/><Relationship Id="rId184" Type="http://schemas.openxmlformats.org/officeDocument/2006/relationships/hyperlink" Target="https://www.britannica.com/topic/Hanukkah" TargetMode="External"/><Relationship Id="rId189" Type="http://schemas.openxmlformats.org/officeDocument/2006/relationships/hyperlink" Target="https://www.britannica.com/topic/religion" TargetMode="External"/><Relationship Id="rId3" Type="http://schemas.openxmlformats.org/officeDocument/2006/relationships/webSettings" Target="webSettings.xml"/><Relationship Id="rId25" Type="http://schemas.openxmlformats.org/officeDocument/2006/relationships/hyperlink" Target="https://www.britannica.com/topic/ancient-Iranian-religion" TargetMode="External"/><Relationship Id="rId46" Type="http://schemas.openxmlformats.org/officeDocument/2006/relationships/hyperlink" Target="https://www.britannica.com/topic/community-human" TargetMode="External"/><Relationship Id="rId67" Type="http://schemas.openxmlformats.org/officeDocument/2006/relationships/hyperlink" Target="https://www.merriam-webster.com/dictionary/ethical" TargetMode="External"/><Relationship Id="rId116" Type="http://schemas.openxmlformats.org/officeDocument/2006/relationships/hyperlink" Target="https://www.britannica.com/topic/demon-religion" TargetMode="External"/><Relationship Id="rId137" Type="http://schemas.openxmlformats.org/officeDocument/2006/relationships/hyperlink" Target="https://www.britannica.com/topic/king-monarch" TargetMode="External"/><Relationship Id="rId158" Type="http://schemas.openxmlformats.org/officeDocument/2006/relationships/hyperlink" Target="https://www.britannica.com/topic/Israel-Old-Testament-kingdom" TargetMode="External"/><Relationship Id="rId20" Type="http://schemas.openxmlformats.org/officeDocument/2006/relationships/hyperlink" Target="https://www.britannica.com/dictionary/psychosomatic" TargetMode="External"/><Relationship Id="rId41" Type="http://schemas.openxmlformats.org/officeDocument/2006/relationships/hyperlink" Target="https://www.merriam-webster.com/dictionary/environment" TargetMode="External"/><Relationship Id="rId62" Type="http://schemas.openxmlformats.org/officeDocument/2006/relationships/hyperlink" Target="https://www.merriam-webster.com/dictionary/consensus" TargetMode="External"/><Relationship Id="rId83" Type="http://schemas.openxmlformats.org/officeDocument/2006/relationships/hyperlink" Target="https://www.britannica.com/topic/Book-of-Amos" TargetMode="External"/><Relationship Id="rId88" Type="http://schemas.openxmlformats.org/officeDocument/2006/relationships/hyperlink" Target="https://www.britannica.com/topic/Halakhah" TargetMode="External"/><Relationship Id="rId111" Type="http://schemas.openxmlformats.org/officeDocument/2006/relationships/hyperlink" Target="https://www.merriam-webster.com/dictionary/community" TargetMode="External"/><Relationship Id="rId132" Type="http://schemas.openxmlformats.org/officeDocument/2006/relationships/hyperlink" Target="https://www.britannica.com/topic/eschatology" TargetMode="External"/><Relationship Id="rId153" Type="http://schemas.openxmlformats.org/officeDocument/2006/relationships/hyperlink" Target="https://www.britannica.com/topic/faith" TargetMode="External"/><Relationship Id="rId174" Type="http://schemas.openxmlformats.org/officeDocument/2006/relationships/hyperlink" Target="https://www.britannica.com/topic/doxology" TargetMode="External"/><Relationship Id="rId179" Type="http://schemas.openxmlformats.org/officeDocument/2006/relationships/hyperlink" Target="https://www.britannica.com/topic/Sabbath-Judaism" TargetMode="External"/><Relationship Id="rId190" Type="http://schemas.openxmlformats.org/officeDocument/2006/relationships/hyperlink" Target="https://www.merriam-webster.com/dictionary/hierarchy" TargetMode="External"/><Relationship Id="rId15" Type="http://schemas.openxmlformats.org/officeDocument/2006/relationships/hyperlink" Target="https://www.britannica.com/topic/mind-body-dualism" TargetMode="External"/><Relationship Id="rId36" Type="http://schemas.openxmlformats.org/officeDocument/2006/relationships/hyperlink" Target="https://www.britannica.com/topic/yetzer-ha-ra" TargetMode="External"/><Relationship Id="rId57" Type="http://schemas.openxmlformats.org/officeDocument/2006/relationships/hyperlink" Target="https://www.britannica.com/topic/soul-religion-and-philosophy" TargetMode="External"/><Relationship Id="rId106" Type="http://schemas.openxmlformats.org/officeDocument/2006/relationships/hyperlink" Target="https://www.merriam-webster.com/dictionary/moral" TargetMode="External"/><Relationship Id="rId127" Type="http://schemas.openxmlformats.org/officeDocument/2006/relationships/hyperlink" Target="https://www.britannica.com/topic/Neoplatonism" TargetMode="External"/><Relationship Id="rId10" Type="http://schemas.openxmlformats.org/officeDocument/2006/relationships/hyperlink" Target="https://www.britannica.com/topic/human-being" TargetMode="External"/><Relationship Id="rId31" Type="http://schemas.openxmlformats.org/officeDocument/2006/relationships/hyperlink" Target="https://www.merriam-webster.com/dictionary/inherent" TargetMode="External"/><Relationship Id="rId52" Type="http://schemas.openxmlformats.org/officeDocument/2006/relationships/hyperlink" Target="https://www.merriam-webster.com/dictionary/paradigm" TargetMode="External"/><Relationship Id="rId73" Type="http://schemas.openxmlformats.org/officeDocument/2006/relationships/hyperlink" Target="https://www.britannica.com/topic/Leviticus" TargetMode="External"/><Relationship Id="rId78" Type="http://schemas.openxmlformats.org/officeDocument/2006/relationships/hyperlink" Target="https://www.merriam-webster.com/dictionary/concomitant" TargetMode="External"/><Relationship Id="rId94" Type="http://schemas.openxmlformats.org/officeDocument/2006/relationships/hyperlink" Target="https://www.britannica.com/topic/prayer" TargetMode="External"/><Relationship Id="rId99" Type="http://schemas.openxmlformats.org/officeDocument/2006/relationships/hyperlink" Target="https://www.britannica.com/animal/animal" TargetMode="External"/><Relationship Id="rId101" Type="http://schemas.openxmlformats.org/officeDocument/2006/relationships/hyperlink" Target="https://www.britannica.com/plant/tree" TargetMode="External"/><Relationship Id="rId122" Type="http://schemas.openxmlformats.org/officeDocument/2006/relationships/hyperlink" Target="https://www.merriam-webster.com/dictionary/consensus" TargetMode="External"/><Relationship Id="rId143" Type="http://schemas.openxmlformats.org/officeDocument/2006/relationships/hyperlink" Target="https://www.britannica.com/topic/Book-of-Isaiah" TargetMode="External"/><Relationship Id="rId148" Type="http://schemas.openxmlformats.org/officeDocument/2006/relationships/hyperlink" Target="https://www.merriam-webster.com/dictionary/intellectual" TargetMode="External"/><Relationship Id="rId164" Type="http://schemas.openxmlformats.org/officeDocument/2006/relationships/hyperlink" Target="https://www.britannica.com/topic/berakah" TargetMode="External"/><Relationship Id="rId169" Type="http://schemas.openxmlformats.org/officeDocument/2006/relationships/hyperlink" Target="https://www.merriam-webster.com/dictionary/integrity" TargetMode="External"/><Relationship Id="rId185" Type="http://schemas.openxmlformats.org/officeDocument/2006/relationships/hyperlink" Target="https://www.britannica.com/topic/women" TargetMode="External"/><Relationship Id="rId4" Type="http://schemas.openxmlformats.org/officeDocument/2006/relationships/hyperlink" Target="https://www.britannica.com/topic/dualism-religion" TargetMode="External"/><Relationship Id="rId9" Type="http://schemas.openxmlformats.org/officeDocument/2006/relationships/hyperlink" Target="https://www.britannica.com/topic/soul-religion-and-philosophy" TargetMode="External"/><Relationship Id="rId180" Type="http://schemas.openxmlformats.org/officeDocument/2006/relationships/hyperlink" Target="https://www.britannica.com/topic/Sukkoth-Judaism" TargetMode="External"/><Relationship Id="rId26" Type="http://schemas.openxmlformats.org/officeDocument/2006/relationships/hyperlink" Target="https://www.merriam-webster.com/dictionary/continuity" TargetMode="External"/><Relationship Id="rId47" Type="http://schemas.openxmlformats.org/officeDocument/2006/relationships/hyperlink" Target="https://www.britannica.com/dictionary/consequences" TargetMode="External"/><Relationship Id="rId68" Type="http://schemas.openxmlformats.org/officeDocument/2006/relationships/hyperlink" Target="https://www.britannica.com/biography/David" TargetMode="External"/><Relationship Id="rId89" Type="http://schemas.openxmlformats.org/officeDocument/2006/relationships/hyperlink" Target="https://www.britannica.com/topic/revelation" TargetMode="External"/><Relationship Id="rId112" Type="http://schemas.openxmlformats.org/officeDocument/2006/relationships/hyperlink" Target="https://www.merriam-webster.com/dictionary/nascent" TargetMode="External"/><Relationship Id="rId133" Type="http://schemas.openxmlformats.org/officeDocument/2006/relationships/hyperlink" Target="https://www.britannica.com/topic/Israel-Old-Testament-kingdom" TargetMode="External"/><Relationship Id="rId154" Type="http://schemas.openxmlformats.org/officeDocument/2006/relationships/hyperlink" Target="https://www.merriam-webster.com/dictionary/community" TargetMode="External"/><Relationship Id="rId175" Type="http://schemas.openxmlformats.org/officeDocument/2006/relationships/hyperlink" Target="https://www.britannica.com/topic/prayer" TargetMode="External"/><Relationship Id="rId16" Type="http://schemas.openxmlformats.org/officeDocument/2006/relationships/hyperlink" Target="https://www.britannica.com/topic/Hellenistic-Judaism" TargetMode="External"/><Relationship Id="rId37" Type="http://schemas.openxmlformats.org/officeDocument/2006/relationships/hyperlink" Target="https://www.merriam-webster.com/dictionary/moral" TargetMode="External"/><Relationship Id="rId58" Type="http://schemas.openxmlformats.org/officeDocument/2006/relationships/hyperlink" Target="https://www.britannica.com/biography/Moses-Maimonides" TargetMode="External"/><Relationship Id="rId79" Type="http://schemas.openxmlformats.org/officeDocument/2006/relationships/hyperlink" Target="https://www.britannica.com/place/Judaea" TargetMode="External"/><Relationship Id="rId102" Type="http://schemas.openxmlformats.org/officeDocument/2006/relationships/hyperlink" Target="https://www.merriam-webster.com/dictionary/environment" TargetMode="External"/><Relationship Id="rId123" Type="http://schemas.openxmlformats.org/officeDocument/2006/relationships/hyperlink" Target="https://www.britannica.com/topic/Midrash" TargetMode="External"/><Relationship Id="rId144" Type="http://schemas.openxmlformats.org/officeDocument/2006/relationships/hyperlink" Target="https://www.britannica.com/biography/Cyrus-the-Great" TargetMode="External"/><Relationship Id="rId90" Type="http://schemas.openxmlformats.org/officeDocument/2006/relationships/hyperlink" Target="https://www.britannica.com/topic/Torah" TargetMode="External"/><Relationship Id="rId165" Type="http://schemas.openxmlformats.org/officeDocument/2006/relationships/hyperlink" Target="https://www.britannica.com/topic/Torah" TargetMode="External"/><Relationship Id="rId186" Type="http://schemas.openxmlformats.org/officeDocument/2006/relationships/hyperlink" Target="https://www.merriam-webster.com/dictionary/regimen" TargetMode="External"/><Relationship Id="rId27" Type="http://schemas.openxmlformats.org/officeDocument/2006/relationships/hyperlink" Target="https://www.britannica.com/topic/afterlife-religion" TargetMode="External"/><Relationship Id="rId48" Type="http://schemas.openxmlformats.org/officeDocument/2006/relationships/hyperlink" Target="https://www.merriam-webster.com/dictionary/reconciled" TargetMode="External"/><Relationship Id="rId69" Type="http://schemas.openxmlformats.org/officeDocument/2006/relationships/hyperlink" Target="https://www.britannica.com/biography/Bathsheba-biblical-figure" TargetMode="External"/><Relationship Id="rId113" Type="http://schemas.openxmlformats.org/officeDocument/2006/relationships/hyperlink" Target="https://www.britannica.com/topic/sacred" TargetMode="External"/><Relationship Id="rId134" Type="http://schemas.openxmlformats.org/officeDocument/2006/relationships/hyperlink" Target="https://www.britannica.com/topic/Bible" TargetMode="External"/><Relationship Id="rId80" Type="http://schemas.openxmlformats.org/officeDocument/2006/relationships/hyperlink" Target="https://www.britannica.com/place/Israel" TargetMode="External"/><Relationship Id="rId155" Type="http://schemas.openxmlformats.org/officeDocument/2006/relationships/hyperlink" Target="https://www.britannica.com/topic/Halakhah" TargetMode="External"/><Relationship Id="rId176" Type="http://schemas.openxmlformats.org/officeDocument/2006/relationships/hyperlink" Target="https://www.britannica.com/dictionary/worship" TargetMode="External"/><Relationship Id="rId17" Type="http://schemas.openxmlformats.org/officeDocument/2006/relationships/hyperlink" Target="https://www.britannica.com/topic/philosophy" TargetMode="External"/><Relationship Id="rId38" Type="http://schemas.openxmlformats.org/officeDocument/2006/relationships/hyperlink" Target="https://www.britannica.com/topic/Bible" TargetMode="External"/><Relationship Id="rId59" Type="http://schemas.openxmlformats.org/officeDocument/2006/relationships/hyperlink" Target="https://www.britannica.com/topic/afterlife-religion" TargetMode="External"/><Relationship Id="rId103" Type="http://schemas.openxmlformats.org/officeDocument/2006/relationships/hyperlink" Target="https://www.britannica.com/topic/Torah" TargetMode="External"/><Relationship Id="rId124" Type="http://schemas.openxmlformats.org/officeDocument/2006/relationships/hyperlink" Target="https://www.merriam-webster.com/dictionary/counsel" TargetMode="External"/><Relationship Id="rId70" Type="http://schemas.openxmlformats.org/officeDocument/2006/relationships/hyperlink" Target="https://www.britannica.com/biography/Samuel-Hebrew-prophet" TargetMode="External"/><Relationship Id="rId91" Type="http://schemas.openxmlformats.org/officeDocument/2006/relationships/hyperlink" Target="https://www.britannica.com/topic/Mishna" TargetMode="External"/><Relationship Id="rId145" Type="http://schemas.openxmlformats.org/officeDocument/2006/relationships/hyperlink" Target="https://www.britannica.com/topic/ancient-Iranian-religion" TargetMode="External"/><Relationship Id="rId166" Type="http://schemas.openxmlformats.org/officeDocument/2006/relationships/hyperlink" Target="https://www.britannica.com/topic/human-behavior" TargetMode="External"/><Relationship Id="rId187" Type="http://schemas.openxmlformats.org/officeDocument/2006/relationships/hyperlink" Target="https://www.britannica.com/animal/shellfish-animal" TargetMode="External"/><Relationship Id="rId1" Type="http://schemas.openxmlformats.org/officeDocument/2006/relationships/styles" Target="styles.xml"/><Relationship Id="rId28" Type="http://schemas.openxmlformats.org/officeDocument/2006/relationships/hyperlink" Target="https://www.britannica.com/topic/ethics-philosophy" TargetMode="External"/><Relationship Id="rId49" Type="http://schemas.openxmlformats.org/officeDocument/2006/relationships/hyperlink" Target="https://www.britannica.com/dictionary/prophetic" TargetMode="External"/><Relationship Id="rId114" Type="http://schemas.openxmlformats.org/officeDocument/2006/relationships/hyperlink" Target="https://www.merriam-webster.com/dictionary/eschatology" TargetMode="External"/><Relationship Id="rId60" Type="http://schemas.openxmlformats.org/officeDocument/2006/relationships/hyperlink" Target="https://www.merriam-webster.com/dictionary/cleaving" TargetMode="External"/><Relationship Id="rId81" Type="http://schemas.openxmlformats.org/officeDocument/2006/relationships/hyperlink" Target="https://www.merriam-webster.com/dictionary/articulated" TargetMode="External"/><Relationship Id="rId135" Type="http://schemas.openxmlformats.org/officeDocument/2006/relationships/hyperlink" Target="https://www.merriam-webster.com/dictionary/integral" TargetMode="External"/><Relationship Id="rId156" Type="http://schemas.openxmlformats.org/officeDocument/2006/relationships/hyperlink" Target="https://www.britannica.com/topic/sacred" TargetMode="External"/><Relationship Id="rId177" Type="http://schemas.openxmlformats.org/officeDocument/2006/relationships/hyperlink" Target="https://www.britannica.com/topic/synagogue" TargetMode="External"/><Relationship Id="rId18" Type="http://schemas.openxmlformats.org/officeDocument/2006/relationships/hyperlink" Target="https://www.britannica.com/topic/Platonism" TargetMode="External"/><Relationship Id="rId39" Type="http://schemas.openxmlformats.org/officeDocument/2006/relationships/hyperlink" Target="https://www.britannica.com/topic/Aramaic-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6891</Words>
  <Characters>39282</Characters>
  <Application>Microsoft Office Word</Application>
  <DocSecurity>0</DocSecurity>
  <Lines>327</Lines>
  <Paragraphs>92</Paragraphs>
  <ScaleCrop>false</ScaleCrop>
  <Company/>
  <LinksUpToDate>false</LinksUpToDate>
  <CharactersWithSpaces>46081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cp:revision>
  <dcterms:created xsi:type="dcterms:W3CDTF">2024-09-09T20:49:00Z</dcterms:created>
  <dcterms:modified xsi:type="dcterms:W3CDTF">2024-09-09T20:54:00Z</dcterms:modified>
</cp:coreProperties>
</file>