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233F" w:rsidRPr="0089233F" w:rsidRDefault="00941CA9" w:rsidP="000C2A4C">
      <w:pPr>
        <w:spacing w:line="360" w:lineRule="auto"/>
        <w:jc w:val="center"/>
        <w:rPr>
          <w:rFonts w:ascii="Times New Roman" w:hAnsi="Times New Roman" w:cs="Times New Roman"/>
          <w:b/>
          <w:sz w:val="24"/>
          <w:szCs w:val="24"/>
        </w:rPr>
      </w:pPr>
      <w:r>
        <w:rPr>
          <w:rFonts w:ascii="Times New Roman" w:hAnsi="Times New Roman" w:cs="Times New Roman"/>
          <w:b/>
          <w:sz w:val="24"/>
          <w:szCs w:val="24"/>
          <w:lang w:val="en-US"/>
        </w:rPr>
        <w:t xml:space="preserve">ASSESSEMENT OF SELECTED PLASMA </w:t>
      </w:r>
      <w:r w:rsidR="00992854" w:rsidRPr="0089233F">
        <w:rPr>
          <w:rFonts w:ascii="Times New Roman" w:hAnsi="Times New Roman" w:cs="Times New Roman"/>
          <w:b/>
          <w:sz w:val="24"/>
          <w:szCs w:val="24"/>
          <w:lang w:val="en-US"/>
        </w:rPr>
        <w:t xml:space="preserve">PROTEIN LEVELS </w:t>
      </w:r>
      <w:r w:rsidR="00992854" w:rsidRPr="0089233F">
        <w:rPr>
          <w:rFonts w:ascii="Times New Roman" w:hAnsi="Times New Roman" w:cs="Times New Roman"/>
          <w:b/>
          <w:sz w:val="24"/>
          <w:szCs w:val="24"/>
        </w:rPr>
        <w:t xml:space="preserve">IN NIGERIAN PROSTATE CANCER PATIENTS AND </w:t>
      </w:r>
      <w:r w:rsidR="00992854" w:rsidRPr="0089233F">
        <w:rPr>
          <w:rFonts w:ascii="Times New Roman" w:hAnsi="Times New Roman" w:cs="Times New Roman"/>
          <w:b/>
          <w:i/>
          <w:sz w:val="24"/>
          <w:szCs w:val="24"/>
        </w:rPr>
        <w:t>IN-SILICO</w:t>
      </w:r>
      <w:r w:rsidR="0082265D">
        <w:rPr>
          <w:rFonts w:ascii="Times New Roman" w:hAnsi="Times New Roman" w:cs="Times New Roman"/>
          <w:b/>
          <w:sz w:val="24"/>
          <w:szCs w:val="24"/>
        </w:rPr>
        <w:t xml:space="preserve"> THERAPEUTIC TARGETING OF AR SIGNALING</w:t>
      </w:r>
    </w:p>
    <w:p w:rsidR="00EE21FB" w:rsidRDefault="00EE21FB" w:rsidP="00992854">
      <w:pPr>
        <w:spacing w:line="360" w:lineRule="auto"/>
        <w:jc w:val="center"/>
        <w:rPr>
          <w:rFonts w:ascii="Times New Roman" w:hAnsi="Times New Roman" w:cs="Times New Roman"/>
          <w:b/>
          <w:sz w:val="24"/>
          <w:szCs w:val="24"/>
        </w:rPr>
      </w:pPr>
    </w:p>
    <w:p w:rsidR="000C2A4C" w:rsidRPr="0089233F" w:rsidRDefault="000C2A4C" w:rsidP="00992854">
      <w:pPr>
        <w:spacing w:line="360" w:lineRule="auto"/>
        <w:jc w:val="center"/>
        <w:rPr>
          <w:rFonts w:ascii="Times New Roman" w:hAnsi="Times New Roman" w:cs="Times New Roman"/>
          <w:b/>
          <w:sz w:val="24"/>
          <w:szCs w:val="24"/>
        </w:rPr>
      </w:pPr>
    </w:p>
    <w:p w:rsidR="00EE21FB" w:rsidRDefault="00EE21FB" w:rsidP="00992854">
      <w:pPr>
        <w:spacing w:line="360" w:lineRule="auto"/>
        <w:jc w:val="center"/>
        <w:rPr>
          <w:rFonts w:ascii="Times New Roman" w:hAnsi="Times New Roman" w:cs="Times New Roman"/>
          <w:b/>
          <w:sz w:val="24"/>
          <w:szCs w:val="24"/>
        </w:rPr>
      </w:pPr>
    </w:p>
    <w:p w:rsidR="000C2A4C" w:rsidRDefault="000C2A4C" w:rsidP="00992854">
      <w:pPr>
        <w:spacing w:line="360" w:lineRule="auto"/>
        <w:jc w:val="center"/>
        <w:rPr>
          <w:rFonts w:ascii="Times New Roman" w:hAnsi="Times New Roman" w:cs="Times New Roman"/>
          <w:b/>
          <w:sz w:val="24"/>
          <w:szCs w:val="24"/>
        </w:rPr>
      </w:pPr>
    </w:p>
    <w:p w:rsidR="00243866" w:rsidRDefault="00243866" w:rsidP="00992854">
      <w:pPr>
        <w:spacing w:line="360" w:lineRule="auto"/>
        <w:jc w:val="center"/>
        <w:rPr>
          <w:rFonts w:ascii="Times New Roman" w:hAnsi="Times New Roman" w:cs="Times New Roman"/>
          <w:b/>
          <w:sz w:val="24"/>
          <w:szCs w:val="24"/>
        </w:rPr>
      </w:pPr>
    </w:p>
    <w:p w:rsidR="000C2A4C" w:rsidRDefault="000C2A4C" w:rsidP="00992854">
      <w:pPr>
        <w:spacing w:line="360" w:lineRule="auto"/>
        <w:jc w:val="center"/>
        <w:rPr>
          <w:rFonts w:ascii="Times New Roman" w:hAnsi="Times New Roman" w:cs="Times New Roman"/>
          <w:b/>
          <w:sz w:val="24"/>
          <w:szCs w:val="24"/>
        </w:rPr>
      </w:pPr>
    </w:p>
    <w:p w:rsidR="000C2A4C" w:rsidRDefault="000C2A4C" w:rsidP="00992854">
      <w:pPr>
        <w:spacing w:line="360" w:lineRule="auto"/>
        <w:jc w:val="center"/>
        <w:rPr>
          <w:rFonts w:ascii="Times New Roman" w:hAnsi="Times New Roman" w:cs="Times New Roman"/>
          <w:b/>
          <w:sz w:val="24"/>
          <w:szCs w:val="24"/>
        </w:rPr>
      </w:pPr>
    </w:p>
    <w:p w:rsidR="000C2A4C" w:rsidRPr="0089233F" w:rsidRDefault="000C2A4C" w:rsidP="00992854">
      <w:pPr>
        <w:spacing w:line="360" w:lineRule="auto"/>
        <w:jc w:val="center"/>
        <w:rPr>
          <w:rFonts w:ascii="Times New Roman" w:hAnsi="Times New Roman" w:cs="Times New Roman"/>
          <w:b/>
          <w:sz w:val="24"/>
          <w:szCs w:val="24"/>
        </w:rPr>
      </w:pPr>
    </w:p>
    <w:p w:rsidR="00B33174" w:rsidRPr="0089233F" w:rsidRDefault="00B33174" w:rsidP="00535D71">
      <w:pPr>
        <w:spacing w:line="276" w:lineRule="auto"/>
        <w:jc w:val="center"/>
        <w:rPr>
          <w:rFonts w:ascii="Times New Roman" w:hAnsi="Times New Roman" w:cs="Times New Roman"/>
          <w:b/>
          <w:sz w:val="24"/>
          <w:szCs w:val="24"/>
        </w:rPr>
      </w:pPr>
    </w:p>
    <w:p w:rsidR="00EE21FB" w:rsidRPr="0089233F" w:rsidRDefault="00EE21FB" w:rsidP="00EE21FB">
      <w:pPr>
        <w:tabs>
          <w:tab w:val="center" w:pos="4513"/>
          <w:tab w:val="left" w:pos="6580"/>
        </w:tabs>
        <w:spacing w:line="276" w:lineRule="auto"/>
        <w:rPr>
          <w:rFonts w:ascii="Times New Roman" w:hAnsi="Times New Roman" w:cs="Times New Roman"/>
          <w:b/>
          <w:sz w:val="24"/>
          <w:szCs w:val="24"/>
        </w:rPr>
      </w:pPr>
      <w:r w:rsidRPr="0089233F">
        <w:rPr>
          <w:rFonts w:ascii="Times New Roman" w:hAnsi="Times New Roman" w:cs="Times New Roman"/>
          <w:b/>
          <w:sz w:val="24"/>
          <w:szCs w:val="24"/>
        </w:rPr>
        <w:tab/>
        <w:t>ZAKARI, SULEIMAN</w:t>
      </w:r>
    </w:p>
    <w:p w:rsidR="00EE21FB" w:rsidRPr="0089233F" w:rsidRDefault="00EE21FB" w:rsidP="00EE21FB">
      <w:pPr>
        <w:spacing w:line="0" w:lineRule="atLeast"/>
        <w:jc w:val="center"/>
        <w:rPr>
          <w:rFonts w:ascii="Times New Roman" w:eastAsia="Times New Roman" w:hAnsi="Times New Roman" w:cs="Times New Roman"/>
          <w:b/>
          <w:sz w:val="24"/>
          <w:szCs w:val="24"/>
        </w:rPr>
      </w:pPr>
      <w:r w:rsidRPr="0089233F">
        <w:rPr>
          <w:rFonts w:ascii="Times New Roman" w:eastAsia="Times New Roman" w:hAnsi="Times New Roman" w:cs="Times New Roman"/>
          <w:b/>
          <w:sz w:val="24"/>
          <w:szCs w:val="24"/>
        </w:rPr>
        <w:t>(22PCP02390)</w:t>
      </w:r>
    </w:p>
    <w:p w:rsidR="00EE21FB" w:rsidRPr="0089233F" w:rsidRDefault="00EE21FB" w:rsidP="00535D71">
      <w:pPr>
        <w:spacing w:line="276" w:lineRule="auto"/>
        <w:rPr>
          <w:rFonts w:ascii="Times New Roman" w:hAnsi="Times New Roman" w:cs="Times New Roman"/>
          <w:b/>
          <w:sz w:val="24"/>
          <w:szCs w:val="24"/>
        </w:rPr>
      </w:pPr>
    </w:p>
    <w:p w:rsidR="00EE21FB" w:rsidRDefault="00EE21FB" w:rsidP="00535D71">
      <w:pPr>
        <w:spacing w:line="276" w:lineRule="auto"/>
        <w:rPr>
          <w:rFonts w:ascii="Times New Roman" w:hAnsi="Times New Roman" w:cs="Times New Roman"/>
          <w:b/>
          <w:sz w:val="24"/>
          <w:szCs w:val="24"/>
        </w:rPr>
      </w:pPr>
    </w:p>
    <w:p w:rsidR="000C2A4C" w:rsidRDefault="000C2A4C" w:rsidP="00535D71">
      <w:pPr>
        <w:spacing w:line="276" w:lineRule="auto"/>
        <w:rPr>
          <w:rFonts w:ascii="Times New Roman" w:hAnsi="Times New Roman" w:cs="Times New Roman"/>
          <w:b/>
          <w:sz w:val="24"/>
          <w:szCs w:val="24"/>
        </w:rPr>
      </w:pPr>
    </w:p>
    <w:p w:rsidR="000C2A4C" w:rsidRDefault="000C2A4C" w:rsidP="00535D71">
      <w:pPr>
        <w:spacing w:line="276" w:lineRule="auto"/>
        <w:rPr>
          <w:rFonts w:ascii="Times New Roman" w:hAnsi="Times New Roman" w:cs="Times New Roman"/>
          <w:b/>
          <w:sz w:val="24"/>
          <w:szCs w:val="24"/>
        </w:rPr>
      </w:pPr>
    </w:p>
    <w:p w:rsidR="000C2A4C" w:rsidRDefault="000C2A4C" w:rsidP="00535D71">
      <w:pPr>
        <w:spacing w:line="276" w:lineRule="auto"/>
        <w:rPr>
          <w:rFonts w:ascii="Times New Roman" w:hAnsi="Times New Roman" w:cs="Times New Roman"/>
          <w:b/>
          <w:sz w:val="24"/>
          <w:szCs w:val="24"/>
        </w:rPr>
      </w:pPr>
    </w:p>
    <w:p w:rsidR="000C2A4C" w:rsidRPr="0089233F" w:rsidRDefault="000C2A4C" w:rsidP="00535D71">
      <w:pPr>
        <w:spacing w:line="276" w:lineRule="auto"/>
        <w:rPr>
          <w:rFonts w:ascii="Times New Roman" w:hAnsi="Times New Roman" w:cs="Times New Roman"/>
          <w:b/>
          <w:sz w:val="24"/>
          <w:szCs w:val="24"/>
        </w:rPr>
      </w:pPr>
    </w:p>
    <w:p w:rsidR="00EE21FB" w:rsidRPr="0089233F" w:rsidRDefault="00EE21FB" w:rsidP="00535D71">
      <w:pPr>
        <w:spacing w:line="276" w:lineRule="auto"/>
        <w:rPr>
          <w:rFonts w:ascii="Times New Roman" w:hAnsi="Times New Roman" w:cs="Times New Roman"/>
          <w:b/>
          <w:sz w:val="24"/>
          <w:szCs w:val="24"/>
        </w:rPr>
      </w:pPr>
    </w:p>
    <w:p w:rsidR="00243866" w:rsidRDefault="00243866" w:rsidP="00535D71">
      <w:pPr>
        <w:spacing w:line="276" w:lineRule="auto"/>
        <w:rPr>
          <w:rFonts w:ascii="Times New Roman" w:hAnsi="Times New Roman" w:cs="Times New Roman"/>
          <w:b/>
          <w:sz w:val="24"/>
          <w:szCs w:val="24"/>
        </w:rPr>
      </w:pPr>
    </w:p>
    <w:p w:rsidR="00243866" w:rsidRDefault="00243866" w:rsidP="00535D71">
      <w:pPr>
        <w:spacing w:line="276" w:lineRule="auto"/>
        <w:rPr>
          <w:rFonts w:ascii="Times New Roman" w:hAnsi="Times New Roman" w:cs="Times New Roman"/>
          <w:b/>
          <w:sz w:val="24"/>
          <w:szCs w:val="24"/>
        </w:rPr>
      </w:pPr>
    </w:p>
    <w:p w:rsidR="00243866" w:rsidRPr="0089233F" w:rsidRDefault="00243866" w:rsidP="00535D71">
      <w:pPr>
        <w:spacing w:line="276" w:lineRule="auto"/>
        <w:rPr>
          <w:rFonts w:ascii="Times New Roman" w:hAnsi="Times New Roman" w:cs="Times New Roman"/>
          <w:b/>
          <w:sz w:val="24"/>
          <w:szCs w:val="24"/>
        </w:rPr>
      </w:pPr>
    </w:p>
    <w:p w:rsidR="00ED7C8D" w:rsidRDefault="00664A45" w:rsidP="00535D71">
      <w:pPr>
        <w:spacing w:line="276" w:lineRule="auto"/>
        <w:jc w:val="center"/>
        <w:rPr>
          <w:rFonts w:ascii="Times New Roman" w:eastAsia="Calibri" w:hAnsi="Times New Roman" w:cs="Times New Roman"/>
          <w:b/>
          <w:sz w:val="24"/>
          <w:szCs w:val="24"/>
        </w:rPr>
        <w:sectPr w:rsidR="00ED7C8D" w:rsidSect="003849B1">
          <w:footerReference w:type="default" r:id="rId8"/>
          <w:footerReference w:type="first" r:id="rId9"/>
          <w:pgSz w:w="12240" w:h="15840"/>
          <w:pgMar w:top="1440" w:right="1440" w:bottom="428" w:left="1440" w:header="0" w:footer="0" w:gutter="0"/>
          <w:pgNumType w:start="0"/>
          <w:cols w:space="0" w:equalWidth="0">
            <w:col w:w="9360"/>
          </w:cols>
          <w:titlePg/>
          <w:docGrid w:linePitch="360"/>
        </w:sectPr>
      </w:pPr>
      <w:r>
        <w:rPr>
          <w:rFonts w:ascii="Times New Roman" w:eastAsia="Calibri" w:hAnsi="Times New Roman" w:cs="Times New Roman"/>
          <w:b/>
          <w:sz w:val="24"/>
          <w:szCs w:val="24"/>
        </w:rPr>
        <w:t>AUGUST</w:t>
      </w:r>
      <w:r w:rsidR="00C80796" w:rsidRPr="0089233F">
        <w:rPr>
          <w:rFonts w:ascii="Times New Roman" w:eastAsia="Calibri" w:hAnsi="Times New Roman" w:cs="Times New Roman"/>
          <w:b/>
          <w:sz w:val="24"/>
          <w:szCs w:val="24"/>
        </w:rPr>
        <w:t>,</w:t>
      </w:r>
      <w:r w:rsidR="000C2A4C">
        <w:rPr>
          <w:rFonts w:ascii="Times New Roman" w:eastAsia="Calibri" w:hAnsi="Times New Roman" w:cs="Times New Roman"/>
          <w:b/>
          <w:sz w:val="24"/>
          <w:szCs w:val="24"/>
        </w:rPr>
        <w:t xml:space="preserve"> 202</w:t>
      </w:r>
      <w:r w:rsidR="00EC1487">
        <w:rPr>
          <w:rFonts w:ascii="Times New Roman" w:eastAsia="Calibri" w:hAnsi="Times New Roman" w:cs="Times New Roman"/>
          <w:b/>
          <w:sz w:val="24"/>
          <w:szCs w:val="24"/>
        </w:rPr>
        <w:t>4</w:t>
      </w:r>
    </w:p>
    <w:p w:rsidR="005D7CFA" w:rsidRPr="0089233F" w:rsidRDefault="005D7CFA" w:rsidP="00A176C8">
      <w:pPr>
        <w:spacing w:line="276" w:lineRule="auto"/>
        <w:rPr>
          <w:rFonts w:ascii="Times New Roman" w:eastAsia="Calibri" w:hAnsi="Times New Roman" w:cs="Times New Roman"/>
          <w:b/>
          <w:sz w:val="24"/>
          <w:szCs w:val="24"/>
        </w:rPr>
      </w:pPr>
    </w:p>
    <w:p w:rsidR="00EE21FB" w:rsidRDefault="00941CA9" w:rsidP="00EE21FB">
      <w:pPr>
        <w:spacing w:line="360" w:lineRule="auto"/>
        <w:jc w:val="center"/>
        <w:rPr>
          <w:rFonts w:ascii="Times New Roman" w:hAnsi="Times New Roman" w:cs="Times New Roman"/>
          <w:b/>
          <w:sz w:val="24"/>
          <w:szCs w:val="24"/>
        </w:rPr>
      </w:pPr>
      <w:r>
        <w:rPr>
          <w:rFonts w:ascii="Times New Roman" w:hAnsi="Times New Roman" w:cs="Times New Roman"/>
          <w:b/>
          <w:sz w:val="24"/>
          <w:szCs w:val="24"/>
          <w:lang w:val="en-US"/>
        </w:rPr>
        <w:t xml:space="preserve">ASSESSEMENT OF SELECTED PLASMA </w:t>
      </w:r>
      <w:r w:rsidRPr="0089233F">
        <w:rPr>
          <w:rFonts w:ascii="Times New Roman" w:hAnsi="Times New Roman" w:cs="Times New Roman"/>
          <w:b/>
          <w:sz w:val="24"/>
          <w:szCs w:val="24"/>
          <w:lang w:val="en-US"/>
        </w:rPr>
        <w:t xml:space="preserve">PROTEIN LEVELS </w:t>
      </w:r>
      <w:r w:rsidRPr="0089233F">
        <w:rPr>
          <w:rFonts w:ascii="Times New Roman" w:hAnsi="Times New Roman" w:cs="Times New Roman"/>
          <w:b/>
          <w:sz w:val="24"/>
          <w:szCs w:val="24"/>
        </w:rPr>
        <w:t xml:space="preserve">IN NIGERIAN PROSTATE CANCER PATIENTS AND </w:t>
      </w:r>
      <w:r w:rsidRPr="0089233F">
        <w:rPr>
          <w:rFonts w:ascii="Times New Roman" w:hAnsi="Times New Roman" w:cs="Times New Roman"/>
          <w:b/>
          <w:i/>
          <w:sz w:val="24"/>
          <w:szCs w:val="24"/>
        </w:rPr>
        <w:t>IN-SILICO</w:t>
      </w:r>
      <w:r>
        <w:rPr>
          <w:rFonts w:ascii="Times New Roman" w:hAnsi="Times New Roman" w:cs="Times New Roman"/>
          <w:b/>
          <w:sz w:val="24"/>
          <w:szCs w:val="24"/>
        </w:rPr>
        <w:t xml:space="preserve"> THERAPEUTIC TARGETING OF AR SIGNALING</w:t>
      </w:r>
    </w:p>
    <w:p w:rsidR="00941CA9" w:rsidRDefault="00941CA9" w:rsidP="00EE21FB">
      <w:pPr>
        <w:spacing w:line="360" w:lineRule="auto"/>
        <w:jc w:val="center"/>
        <w:rPr>
          <w:rFonts w:ascii="Times New Roman" w:hAnsi="Times New Roman" w:cs="Times New Roman"/>
          <w:b/>
          <w:sz w:val="24"/>
          <w:szCs w:val="24"/>
        </w:rPr>
      </w:pPr>
    </w:p>
    <w:p w:rsidR="00243866" w:rsidRPr="0089233F" w:rsidRDefault="00243866" w:rsidP="00EE21FB">
      <w:pPr>
        <w:spacing w:line="360" w:lineRule="auto"/>
        <w:jc w:val="center"/>
        <w:rPr>
          <w:rFonts w:ascii="Times New Roman" w:hAnsi="Times New Roman" w:cs="Times New Roman"/>
          <w:b/>
          <w:sz w:val="24"/>
          <w:szCs w:val="24"/>
        </w:rPr>
      </w:pPr>
    </w:p>
    <w:p w:rsidR="00EE21FB" w:rsidRDefault="00EE21FB" w:rsidP="00EE21FB">
      <w:pPr>
        <w:spacing w:line="276" w:lineRule="auto"/>
        <w:jc w:val="center"/>
        <w:rPr>
          <w:rFonts w:ascii="Times New Roman" w:hAnsi="Times New Roman" w:cs="Times New Roman"/>
          <w:b/>
          <w:sz w:val="24"/>
          <w:szCs w:val="24"/>
        </w:rPr>
      </w:pPr>
      <w:r w:rsidRPr="0089233F">
        <w:rPr>
          <w:rFonts w:ascii="Times New Roman" w:hAnsi="Times New Roman" w:cs="Times New Roman"/>
          <w:b/>
          <w:sz w:val="24"/>
          <w:szCs w:val="24"/>
        </w:rPr>
        <w:t>BY</w:t>
      </w:r>
    </w:p>
    <w:p w:rsidR="000C2A4C" w:rsidRDefault="000C2A4C" w:rsidP="00EE21FB">
      <w:pPr>
        <w:spacing w:line="276" w:lineRule="auto"/>
        <w:jc w:val="center"/>
        <w:rPr>
          <w:rFonts w:ascii="Times New Roman" w:hAnsi="Times New Roman" w:cs="Times New Roman"/>
          <w:b/>
          <w:sz w:val="24"/>
          <w:szCs w:val="24"/>
        </w:rPr>
      </w:pPr>
    </w:p>
    <w:p w:rsidR="00243866" w:rsidRPr="0089233F" w:rsidRDefault="00243866" w:rsidP="00EE21FB">
      <w:pPr>
        <w:spacing w:line="276" w:lineRule="auto"/>
        <w:jc w:val="center"/>
        <w:rPr>
          <w:rFonts w:ascii="Times New Roman" w:hAnsi="Times New Roman" w:cs="Times New Roman"/>
          <w:b/>
          <w:sz w:val="24"/>
          <w:szCs w:val="24"/>
        </w:rPr>
      </w:pPr>
    </w:p>
    <w:p w:rsidR="00EE21FB" w:rsidRPr="0089233F" w:rsidRDefault="00EE21FB" w:rsidP="00EE21FB">
      <w:pPr>
        <w:tabs>
          <w:tab w:val="center" w:pos="4513"/>
          <w:tab w:val="left" w:pos="6580"/>
        </w:tabs>
        <w:spacing w:line="276" w:lineRule="auto"/>
        <w:rPr>
          <w:rFonts w:ascii="Times New Roman" w:hAnsi="Times New Roman" w:cs="Times New Roman"/>
          <w:b/>
          <w:sz w:val="24"/>
          <w:szCs w:val="24"/>
        </w:rPr>
      </w:pPr>
      <w:r w:rsidRPr="0089233F">
        <w:rPr>
          <w:rFonts w:ascii="Times New Roman" w:hAnsi="Times New Roman" w:cs="Times New Roman"/>
          <w:b/>
          <w:sz w:val="24"/>
          <w:szCs w:val="24"/>
        </w:rPr>
        <w:tab/>
        <w:t>ZAKARI, SULEIMAN</w:t>
      </w:r>
    </w:p>
    <w:p w:rsidR="00EE21FB" w:rsidRPr="0089233F" w:rsidRDefault="00EE21FB" w:rsidP="00EE21FB">
      <w:pPr>
        <w:spacing w:line="0" w:lineRule="atLeast"/>
        <w:jc w:val="center"/>
        <w:rPr>
          <w:rFonts w:ascii="Times New Roman" w:eastAsia="Times New Roman" w:hAnsi="Times New Roman" w:cs="Times New Roman"/>
          <w:b/>
          <w:sz w:val="24"/>
          <w:szCs w:val="24"/>
        </w:rPr>
      </w:pPr>
      <w:r w:rsidRPr="0089233F">
        <w:rPr>
          <w:rFonts w:ascii="Times New Roman" w:eastAsia="Times New Roman" w:hAnsi="Times New Roman" w:cs="Times New Roman"/>
          <w:b/>
          <w:sz w:val="24"/>
          <w:szCs w:val="24"/>
        </w:rPr>
        <w:t>(22PCP02390)</w:t>
      </w:r>
    </w:p>
    <w:p w:rsidR="00EE21FB" w:rsidRPr="0089233F" w:rsidRDefault="00EE21FB" w:rsidP="00EE21FB">
      <w:pPr>
        <w:spacing w:line="0" w:lineRule="atLeast"/>
        <w:jc w:val="center"/>
        <w:rPr>
          <w:rFonts w:ascii="Times New Roman" w:eastAsia="Times New Roman" w:hAnsi="Times New Roman" w:cs="Times New Roman"/>
          <w:b/>
          <w:sz w:val="24"/>
          <w:szCs w:val="24"/>
        </w:rPr>
      </w:pPr>
      <w:r w:rsidRPr="0089233F">
        <w:rPr>
          <w:rFonts w:ascii="Times New Roman" w:eastAsia="Times New Roman" w:hAnsi="Times New Roman" w:cs="Times New Roman"/>
          <w:b/>
          <w:sz w:val="24"/>
          <w:szCs w:val="24"/>
        </w:rPr>
        <w:t>BSc. Biochemistry</w:t>
      </w:r>
      <w:r w:rsidR="000C2A4C">
        <w:rPr>
          <w:rFonts w:ascii="Times New Roman" w:eastAsia="Times New Roman" w:hAnsi="Times New Roman" w:cs="Times New Roman"/>
          <w:b/>
          <w:sz w:val="24"/>
          <w:szCs w:val="24"/>
        </w:rPr>
        <w:t>,</w:t>
      </w:r>
      <w:r w:rsidRPr="0089233F">
        <w:rPr>
          <w:rFonts w:ascii="Times New Roman" w:eastAsia="Times New Roman" w:hAnsi="Times New Roman" w:cs="Times New Roman"/>
          <w:b/>
          <w:sz w:val="24"/>
          <w:szCs w:val="24"/>
        </w:rPr>
        <w:t xml:space="preserve"> </w:t>
      </w:r>
      <w:proofErr w:type="spellStart"/>
      <w:r w:rsidRPr="0089233F">
        <w:rPr>
          <w:rFonts w:ascii="Times New Roman" w:eastAsia="Times New Roman" w:hAnsi="Times New Roman" w:cs="Times New Roman"/>
          <w:b/>
          <w:sz w:val="24"/>
          <w:szCs w:val="24"/>
        </w:rPr>
        <w:t>Ahmadu</w:t>
      </w:r>
      <w:proofErr w:type="spellEnd"/>
      <w:r w:rsidRPr="0089233F">
        <w:rPr>
          <w:rFonts w:ascii="Times New Roman" w:eastAsia="Times New Roman" w:hAnsi="Times New Roman" w:cs="Times New Roman"/>
          <w:b/>
          <w:sz w:val="24"/>
          <w:szCs w:val="24"/>
        </w:rPr>
        <w:t xml:space="preserve"> Bello University Zaria, Kaduna State</w:t>
      </w:r>
    </w:p>
    <w:p w:rsidR="00EE21FB" w:rsidRPr="0089233F" w:rsidRDefault="00EE21FB" w:rsidP="00EE21FB">
      <w:pPr>
        <w:spacing w:line="1" w:lineRule="exact"/>
        <w:rPr>
          <w:rFonts w:ascii="Times New Roman" w:eastAsia="Times New Roman" w:hAnsi="Times New Roman" w:cs="Times New Roman"/>
          <w:sz w:val="24"/>
          <w:szCs w:val="24"/>
        </w:rPr>
      </w:pPr>
    </w:p>
    <w:p w:rsidR="00EE21FB" w:rsidRPr="0089233F" w:rsidRDefault="00EE21FB" w:rsidP="00EE21FB">
      <w:pPr>
        <w:spacing w:line="0" w:lineRule="atLeast"/>
        <w:jc w:val="center"/>
        <w:rPr>
          <w:rFonts w:ascii="Times New Roman" w:eastAsia="Times New Roman" w:hAnsi="Times New Roman" w:cs="Times New Roman"/>
          <w:b/>
          <w:sz w:val="24"/>
          <w:szCs w:val="24"/>
        </w:rPr>
      </w:pPr>
      <w:r w:rsidRPr="0089233F">
        <w:rPr>
          <w:rFonts w:ascii="Times New Roman" w:eastAsia="Times New Roman" w:hAnsi="Times New Roman" w:cs="Times New Roman"/>
          <w:b/>
          <w:sz w:val="24"/>
          <w:szCs w:val="24"/>
        </w:rPr>
        <w:t>Nigeria.</w:t>
      </w:r>
    </w:p>
    <w:p w:rsidR="00927599" w:rsidRPr="0089233F" w:rsidRDefault="00927599" w:rsidP="00927599">
      <w:pPr>
        <w:spacing w:line="276" w:lineRule="auto"/>
        <w:jc w:val="center"/>
        <w:rPr>
          <w:rFonts w:ascii="Times New Roman" w:hAnsi="Times New Roman" w:cs="Times New Roman"/>
          <w:b/>
          <w:sz w:val="24"/>
          <w:szCs w:val="24"/>
        </w:rPr>
      </w:pPr>
    </w:p>
    <w:p w:rsidR="002C09DF" w:rsidRPr="0089233F" w:rsidRDefault="002C09DF" w:rsidP="00927599">
      <w:pPr>
        <w:spacing w:line="276" w:lineRule="auto"/>
        <w:jc w:val="center"/>
        <w:rPr>
          <w:rFonts w:ascii="Times New Roman" w:hAnsi="Times New Roman" w:cs="Times New Roman"/>
          <w:b/>
          <w:sz w:val="24"/>
          <w:szCs w:val="24"/>
        </w:rPr>
      </w:pPr>
    </w:p>
    <w:p w:rsidR="00927599" w:rsidRPr="0089233F" w:rsidRDefault="00927599" w:rsidP="000C2A4C">
      <w:pPr>
        <w:spacing w:line="276" w:lineRule="auto"/>
        <w:rPr>
          <w:rFonts w:ascii="Times New Roman" w:hAnsi="Times New Roman" w:cs="Times New Roman"/>
          <w:b/>
          <w:sz w:val="24"/>
          <w:szCs w:val="24"/>
        </w:rPr>
      </w:pPr>
    </w:p>
    <w:p w:rsidR="00927599" w:rsidRPr="0089233F" w:rsidRDefault="00927599" w:rsidP="00927599">
      <w:pPr>
        <w:spacing w:line="276" w:lineRule="auto"/>
        <w:jc w:val="center"/>
        <w:rPr>
          <w:rFonts w:ascii="Times New Roman" w:hAnsi="Times New Roman" w:cs="Times New Roman"/>
          <w:b/>
          <w:sz w:val="24"/>
          <w:szCs w:val="24"/>
        </w:rPr>
      </w:pPr>
    </w:p>
    <w:p w:rsidR="00927599" w:rsidRPr="0089233F" w:rsidRDefault="00EE21FB" w:rsidP="000C2A4C">
      <w:pPr>
        <w:spacing w:line="276" w:lineRule="auto"/>
        <w:jc w:val="both"/>
        <w:rPr>
          <w:rFonts w:ascii="Times New Roman" w:eastAsia="Times New Roman" w:hAnsi="Times New Roman" w:cs="Times New Roman"/>
          <w:b/>
          <w:sz w:val="24"/>
          <w:szCs w:val="24"/>
        </w:rPr>
      </w:pPr>
      <w:r w:rsidRPr="0089233F">
        <w:rPr>
          <w:rFonts w:ascii="Times New Roman" w:eastAsia="Times New Roman" w:hAnsi="Times New Roman" w:cs="Times New Roman"/>
          <w:b/>
          <w:sz w:val="24"/>
          <w:szCs w:val="24"/>
        </w:rPr>
        <w:t xml:space="preserve">A DISSERTATION SUBMITTED TO THE SCHOOL OF </w:t>
      </w:r>
      <w:r w:rsidR="002C09DF" w:rsidRPr="0089233F">
        <w:rPr>
          <w:rFonts w:ascii="Times New Roman" w:eastAsia="Times New Roman" w:hAnsi="Times New Roman" w:cs="Times New Roman"/>
          <w:b/>
          <w:sz w:val="24"/>
          <w:szCs w:val="24"/>
        </w:rPr>
        <w:t>POSTGRADUATE</w:t>
      </w:r>
      <w:r w:rsidRPr="0089233F">
        <w:rPr>
          <w:rFonts w:ascii="Times New Roman" w:eastAsia="Times New Roman" w:hAnsi="Times New Roman" w:cs="Times New Roman"/>
          <w:b/>
          <w:sz w:val="24"/>
          <w:szCs w:val="24"/>
        </w:rPr>
        <w:t xml:space="preserve"> STUDIES IN PARTIAL FULFILLMENT OF THE REQUIREMENTS FOR THE AWARD OF THE DEGREE OF MASTER OF SCIENCE (M.Sc.) IN BIOCHEMISTRY IN THE DEPARTMENT OF BIOCHEMISTRY, COLLEGE OF SCIENCE AND TECHNOLOGY, COVENANT UNIVERSITY, OTA, OGUN STATE, NIGERIA</w:t>
      </w:r>
    </w:p>
    <w:p w:rsidR="00EE21FB" w:rsidRPr="0089233F" w:rsidRDefault="00EE21FB" w:rsidP="00927599">
      <w:pPr>
        <w:spacing w:line="276" w:lineRule="auto"/>
        <w:jc w:val="center"/>
        <w:rPr>
          <w:rFonts w:ascii="Times New Roman" w:hAnsi="Times New Roman" w:cs="Times New Roman"/>
          <w:b/>
          <w:sz w:val="24"/>
          <w:szCs w:val="24"/>
        </w:rPr>
      </w:pPr>
    </w:p>
    <w:p w:rsidR="00927599" w:rsidRDefault="00927599" w:rsidP="00927599">
      <w:pPr>
        <w:spacing w:line="276" w:lineRule="auto"/>
        <w:rPr>
          <w:rFonts w:ascii="Times New Roman" w:hAnsi="Times New Roman" w:cs="Times New Roman"/>
          <w:b/>
          <w:sz w:val="24"/>
          <w:szCs w:val="24"/>
        </w:rPr>
      </w:pPr>
    </w:p>
    <w:p w:rsidR="0089233F" w:rsidRDefault="0089233F" w:rsidP="00927599">
      <w:pPr>
        <w:spacing w:line="276" w:lineRule="auto"/>
        <w:rPr>
          <w:rFonts w:ascii="Times New Roman" w:hAnsi="Times New Roman" w:cs="Times New Roman"/>
          <w:b/>
          <w:sz w:val="24"/>
          <w:szCs w:val="24"/>
        </w:rPr>
      </w:pPr>
    </w:p>
    <w:p w:rsidR="0089233F" w:rsidRDefault="0089233F" w:rsidP="00927599">
      <w:pPr>
        <w:spacing w:line="276" w:lineRule="auto"/>
        <w:rPr>
          <w:rFonts w:ascii="Times New Roman" w:hAnsi="Times New Roman" w:cs="Times New Roman"/>
          <w:b/>
          <w:sz w:val="24"/>
          <w:szCs w:val="24"/>
        </w:rPr>
      </w:pPr>
    </w:p>
    <w:p w:rsidR="0089233F" w:rsidRDefault="0089233F" w:rsidP="00927599">
      <w:pPr>
        <w:spacing w:line="276" w:lineRule="auto"/>
        <w:rPr>
          <w:rFonts w:ascii="Times New Roman" w:hAnsi="Times New Roman" w:cs="Times New Roman"/>
          <w:b/>
          <w:sz w:val="24"/>
          <w:szCs w:val="24"/>
        </w:rPr>
      </w:pPr>
    </w:p>
    <w:p w:rsidR="002C09DF" w:rsidRPr="0089233F" w:rsidRDefault="002C09DF" w:rsidP="00927599">
      <w:pPr>
        <w:spacing w:line="276" w:lineRule="auto"/>
        <w:rPr>
          <w:rFonts w:ascii="Times New Roman" w:hAnsi="Times New Roman" w:cs="Times New Roman"/>
          <w:b/>
          <w:sz w:val="24"/>
          <w:szCs w:val="24"/>
        </w:rPr>
      </w:pPr>
    </w:p>
    <w:p w:rsidR="00927599" w:rsidRPr="0089233F" w:rsidRDefault="00927599" w:rsidP="00927599">
      <w:pPr>
        <w:spacing w:line="276" w:lineRule="auto"/>
        <w:rPr>
          <w:rFonts w:ascii="Times New Roman" w:hAnsi="Times New Roman" w:cs="Times New Roman"/>
          <w:b/>
          <w:sz w:val="24"/>
          <w:szCs w:val="24"/>
        </w:rPr>
      </w:pPr>
    </w:p>
    <w:p w:rsidR="002C09DF" w:rsidRPr="0089233F" w:rsidRDefault="00664A45" w:rsidP="00243866">
      <w:pPr>
        <w:spacing w:line="276"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AUGUST</w:t>
      </w:r>
      <w:r w:rsidR="00927599" w:rsidRPr="0089233F">
        <w:rPr>
          <w:rFonts w:ascii="Times New Roman" w:eastAsia="Calibri" w:hAnsi="Times New Roman" w:cs="Times New Roman"/>
          <w:b/>
          <w:sz w:val="24"/>
          <w:szCs w:val="24"/>
        </w:rPr>
        <w:t>, 2024</w:t>
      </w:r>
    </w:p>
    <w:p w:rsidR="00EE21FB" w:rsidRPr="0089233F" w:rsidRDefault="00EE21FB" w:rsidP="00EE21FB">
      <w:pPr>
        <w:spacing w:line="0" w:lineRule="atLeast"/>
        <w:jc w:val="center"/>
        <w:rPr>
          <w:rFonts w:ascii="Times New Roman" w:eastAsia="Times New Roman" w:hAnsi="Times New Roman" w:cs="Times New Roman"/>
          <w:b/>
          <w:sz w:val="24"/>
          <w:szCs w:val="24"/>
        </w:rPr>
      </w:pPr>
      <w:r w:rsidRPr="0089233F">
        <w:rPr>
          <w:rFonts w:ascii="Times New Roman" w:eastAsia="Times New Roman" w:hAnsi="Times New Roman" w:cs="Times New Roman"/>
          <w:b/>
          <w:sz w:val="24"/>
          <w:szCs w:val="24"/>
        </w:rPr>
        <w:lastRenderedPageBreak/>
        <w:t>ACCEPTANCE</w:t>
      </w:r>
    </w:p>
    <w:p w:rsidR="00EE21FB" w:rsidRPr="0089233F" w:rsidRDefault="00EE21FB" w:rsidP="00EE21FB">
      <w:pPr>
        <w:spacing w:line="170" w:lineRule="exact"/>
        <w:rPr>
          <w:rFonts w:ascii="Times New Roman" w:eastAsia="Times New Roman" w:hAnsi="Times New Roman" w:cs="Times New Roman"/>
          <w:sz w:val="24"/>
          <w:szCs w:val="24"/>
        </w:rPr>
      </w:pPr>
    </w:p>
    <w:p w:rsidR="00EE21FB" w:rsidRDefault="00EE21FB" w:rsidP="00EE21FB">
      <w:pPr>
        <w:spacing w:line="354" w:lineRule="auto"/>
        <w:jc w:val="both"/>
        <w:rPr>
          <w:rFonts w:ascii="Times New Roman" w:eastAsia="Times New Roman" w:hAnsi="Times New Roman" w:cs="Times New Roman"/>
          <w:sz w:val="24"/>
          <w:szCs w:val="24"/>
        </w:rPr>
      </w:pPr>
      <w:r w:rsidRPr="0089233F">
        <w:rPr>
          <w:rFonts w:ascii="Times New Roman" w:eastAsia="Times New Roman" w:hAnsi="Times New Roman" w:cs="Times New Roman"/>
          <w:sz w:val="24"/>
          <w:szCs w:val="24"/>
        </w:rPr>
        <w:t xml:space="preserve">This is to attest that this dissertation is accepted in partial </w:t>
      </w:r>
      <w:r w:rsidR="002C09DF" w:rsidRPr="0089233F">
        <w:rPr>
          <w:rFonts w:ascii="Times New Roman" w:eastAsia="Times New Roman" w:hAnsi="Times New Roman" w:cs="Times New Roman"/>
          <w:sz w:val="24"/>
          <w:szCs w:val="24"/>
        </w:rPr>
        <w:t>fulfilment</w:t>
      </w:r>
      <w:r w:rsidRPr="0089233F">
        <w:rPr>
          <w:rFonts w:ascii="Times New Roman" w:eastAsia="Times New Roman" w:hAnsi="Times New Roman" w:cs="Times New Roman"/>
          <w:sz w:val="24"/>
          <w:szCs w:val="24"/>
        </w:rPr>
        <w:t xml:space="preserve"> of the requirements for the award of a Master of Science (M.Sc.) in Biochemistry in the Department of Biochemistry, College of Science and Technology, Covenant University, Ota, Nigeria.</w:t>
      </w:r>
    </w:p>
    <w:p w:rsidR="00ED7C8D" w:rsidRPr="0089233F" w:rsidRDefault="00ED7C8D" w:rsidP="00EE21FB">
      <w:pPr>
        <w:spacing w:line="354" w:lineRule="auto"/>
        <w:jc w:val="both"/>
        <w:rPr>
          <w:rFonts w:ascii="Times New Roman" w:eastAsia="Times New Roman" w:hAnsi="Times New Roman" w:cs="Times New Roman"/>
          <w:sz w:val="24"/>
          <w:szCs w:val="24"/>
        </w:rPr>
      </w:pPr>
    </w:p>
    <w:p w:rsidR="00F77439" w:rsidRPr="0089233F" w:rsidRDefault="00F77439" w:rsidP="00F77439">
      <w:pPr>
        <w:spacing w:after="0" w:line="360" w:lineRule="auto"/>
        <w:rPr>
          <w:rFonts w:ascii="Times New Roman" w:eastAsia="Times New Roman" w:hAnsi="Times New Roman" w:cs="Times New Roman"/>
          <w:sz w:val="24"/>
          <w:szCs w:val="24"/>
          <w:lang w:val="en-US" w:eastAsia="en-GB"/>
        </w:rPr>
      </w:pPr>
      <w:r w:rsidRPr="0089233F">
        <w:rPr>
          <w:rFonts w:ascii="Times New Roman" w:eastAsia="Times New Roman" w:hAnsi="Times New Roman" w:cs="Times New Roman"/>
          <w:b/>
          <w:bCs/>
          <w:sz w:val="24"/>
          <w:szCs w:val="24"/>
          <w:lang w:val="en-US" w:eastAsia="en-GB"/>
        </w:rPr>
        <w:t>Miss</w:t>
      </w:r>
      <w:r w:rsidR="00842F68">
        <w:rPr>
          <w:rFonts w:ascii="Times New Roman" w:eastAsia="Times New Roman" w:hAnsi="Times New Roman" w:cs="Times New Roman"/>
          <w:b/>
          <w:bCs/>
          <w:sz w:val="24"/>
          <w:szCs w:val="24"/>
          <w:lang w:val="en-US" w:eastAsia="en-GB"/>
        </w:rPr>
        <w:t>.</w:t>
      </w:r>
      <w:r w:rsidRPr="0089233F">
        <w:rPr>
          <w:rFonts w:ascii="Times New Roman" w:eastAsia="Times New Roman" w:hAnsi="Times New Roman" w:cs="Times New Roman"/>
          <w:b/>
          <w:bCs/>
          <w:sz w:val="24"/>
          <w:szCs w:val="24"/>
          <w:lang w:val="en-US" w:eastAsia="en-GB"/>
        </w:rPr>
        <w:t xml:space="preserve"> </w:t>
      </w:r>
      <w:proofErr w:type="spellStart"/>
      <w:r w:rsidRPr="0089233F">
        <w:rPr>
          <w:rFonts w:ascii="Times New Roman" w:eastAsia="Times New Roman" w:hAnsi="Times New Roman" w:cs="Times New Roman"/>
          <w:b/>
          <w:bCs/>
          <w:sz w:val="24"/>
          <w:szCs w:val="24"/>
          <w:lang w:val="en-US" w:eastAsia="en-GB"/>
        </w:rPr>
        <w:t>Adefunke</w:t>
      </w:r>
      <w:proofErr w:type="spellEnd"/>
      <w:r w:rsidRPr="0089233F">
        <w:rPr>
          <w:rFonts w:ascii="Times New Roman" w:eastAsia="Times New Roman" w:hAnsi="Times New Roman" w:cs="Times New Roman"/>
          <w:b/>
          <w:bCs/>
          <w:sz w:val="24"/>
          <w:szCs w:val="24"/>
          <w:lang w:val="en-US" w:eastAsia="en-GB"/>
        </w:rPr>
        <w:t xml:space="preserve"> F. </w:t>
      </w:r>
      <w:proofErr w:type="spellStart"/>
      <w:r w:rsidRPr="0089233F">
        <w:rPr>
          <w:rFonts w:ascii="Times New Roman" w:eastAsia="Times New Roman" w:hAnsi="Times New Roman" w:cs="Times New Roman"/>
          <w:b/>
          <w:bCs/>
          <w:sz w:val="24"/>
          <w:szCs w:val="24"/>
          <w:lang w:val="en-US" w:eastAsia="en-GB"/>
        </w:rPr>
        <w:t>Oyinloye</w:t>
      </w:r>
      <w:proofErr w:type="spellEnd"/>
      <w:r w:rsidRPr="0089233F">
        <w:rPr>
          <w:rFonts w:ascii="Times New Roman" w:eastAsia="Times New Roman" w:hAnsi="Times New Roman" w:cs="Times New Roman"/>
          <w:sz w:val="24"/>
          <w:szCs w:val="24"/>
          <w:lang w:val="en-US" w:eastAsia="en-GB"/>
        </w:rPr>
        <w:tab/>
      </w:r>
      <w:r w:rsidRPr="0089233F">
        <w:rPr>
          <w:rFonts w:ascii="Times New Roman" w:eastAsia="Times New Roman" w:hAnsi="Times New Roman" w:cs="Times New Roman"/>
          <w:sz w:val="24"/>
          <w:szCs w:val="24"/>
          <w:lang w:val="en-US" w:eastAsia="en-GB"/>
        </w:rPr>
        <w:tab/>
      </w:r>
      <w:r w:rsidRPr="0089233F">
        <w:rPr>
          <w:rFonts w:ascii="Times New Roman" w:eastAsia="Times New Roman" w:hAnsi="Times New Roman" w:cs="Times New Roman"/>
          <w:sz w:val="24"/>
          <w:szCs w:val="24"/>
          <w:lang w:val="en-US" w:eastAsia="en-GB"/>
        </w:rPr>
        <w:tab/>
      </w:r>
      <w:r w:rsidRPr="0089233F">
        <w:rPr>
          <w:rFonts w:ascii="Times New Roman" w:eastAsia="Times New Roman" w:hAnsi="Times New Roman" w:cs="Times New Roman"/>
          <w:sz w:val="24"/>
          <w:szCs w:val="24"/>
          <w:lang w:val="en-US" w:eastAsia="en-GB"/>
        </w:rPr>
        <w:tab/>
      </w:r>
      <w:r w:rsidRPr="0089233F">
        <w:rPr>
          <w:rFonts w:ascii="Times New Roman" w:eastAsia="Times New Roman" w:hAnsi="Times New Roman" w:cs="Times New Roman"/>
          <w:sz w:val="24"/>
          <w:szCs w:val="24"/>
          <w:lang w:val="en-US" w:eastAsia="en-GB"/>
        </w:rPr>
        <w:tab/>
        <w:t xml:space="preserve">_____________________ </w:t>
      </w:r>
    </w:p>
    <w:p w:rsidR="00F77439" w:rsidRPr="0089233F" w:rsidRDefault="00F77439" w:rsidP="00F77439">
      <w:pPr>
        <w:spacing w:after="0" w:line="360" w:lineRule="auto"/>
        <w:rPr>
          <w:rFonts w:ascii="Times New Roman" w:eastAsia="Times New Roman" w:hAnsi="Times New Roman" w:cs="Times New Roman"/>
          <w:sz w:val="24"/>
          <w:szCs w:val="24"/>
          <w:lang w:val="en-US" w:eastAsia="en-GB"/>
        </w:rPr>
      </w:pPr>
      <w:r w:rsidRPr="0089233F">
        <w:rPr>
          <w:rFonts w:ascii="Times New Roman" w:eastAsia="Times New Roman" w:hAnsi="Times New Roman" w:cs="Times New Roman"/>
          <w:sz w:val="24"/>
          <w:szCs w:val="24"/>
          <w:lang w:val="en-US" w:eastAsia="en-GB"/>
        </w:rPr>
        <w:t>(Secretary School of Postgraduate Studies)</w:t>
      </w:r>
      <w:r w:rsidRPr="0089233F">
        <w:rPr>
          <w:rFonts w:ascii="Times New Roman" w:eastAsia="Times New Roman" w:hAnsi="Times New Roman" w:cs="Times New Roman"/>
          <w:sz w:val="24"/>
          <w:szCs w:val="24"/>
          <w:lang w:val="en-US" w:eastAsia="en-GB"/>
        </w:rPr>
        <w:tab/>
      </w:r>
      <w:r w:rsidRPr="0089233F">
        <w:rPr>
          <w:rFonts w:ascii="Times New Roman" w:eastAsia="Times New Roman" w:hAnsi="Times New Roman" w:cs="Times New Roman"/>
          <w:sz w:val="24"/>
          <w:szCs w:val="24"/>
          <w:lang w:val="en-US" w:eastAsia="en-GB"/>
        </w:rPr>
        <w:tab/>
      </w:r>
      <w:r w:rsidRPr="0089233F">
        <w:rPr>
          <w:rFonts w:ascii="Times New Roman" w:eastAsia="Times New Roman" w:hAnsi="Times New Roman" w:cs="Times New Roman"/>
          <w:sz w:val="24"/>
          <w:szCs w:val="24"/>
          <w:lang w:val="en-US" w:eastAsia="en-GB"/>
        </w:rPr>
        <w:tab/>
        <w:t xml:space="preserve">     Signature and Date </w:t>
      </w:r>
    </w:p>
    <w:p w:rsidR="00F77439" w:rsidRPr="0089233F" w:rsidRDefault="00F77439" w:rsidP="00F77439">
      <w:pPr>
        <w:spacing w:after="0" w:line="240" w:lineRule="auto"/>
        <w:jc w:val="center"/>
        <w:rPr>
          <w:rFonts w:ascii="Times New Roman" w:eastAsia="Times New Roman" w:hAnsi="Times New Roman" w:cs="Times New Roman"/>
          <w:sz w:val="24"/>
          <w:szCs w:val="24"/>
          <w:lang w:val="en-US" w:eastAsia="en-GB"/>
        </w:rPr>
      </w:pPr>
    </w:p>
    <w:p w:rsidR="00F77439" w:rsidRPr="0089233F" w:rsidRDefault="00F77439" w:rsidP="00F77439">
      <w:pPr>
        <w:spacing w:after="0" w:line="240" w:lineRule="auto"/>
        <w:jc w:val="center"/>
        <w:rPr>
          <w:rFonts w:ascii="Times New Roman" w:eastAsia="Times New Roman" w:hAnsi="Times New Roman" w:cs="Times New Roman"/>
          <w:sz w:val="24"/>
          <w:szCs w:val="24"/>
          <w:lang w:val="en-US" w:eastAsia="en-GB"/>
        </w:rPr>
      </w:pPr>
    </w:p>
    <w:p w:rsidR="00F77439" w:rsidRPr="0089233F" w:rsidRDefault="00F77439" w:rsidP="00F77439">
      <w:pPr>
        <w:spacing w:after="0" w:line="240" w:lineRule="auto"/>
        <w:jc w:val="center"/>
        <w:rPr>
          <w:rFonts w:ascii="Times New Roman" w:eastAsia="Times New Roman" w:hAnsi="Times New Roman" w:cs="Times New Roman"/>
          <w:sz w:val="24"/>
          <w:szCs w:val="24"/>
          <w:lang w:val="en-US" w:eastAsia="en-GB"/>
        </w:rPr>
      </w:pPr>
    </w:p>
    <w:p w:rsidR="00F77439" w:rsidRPr="0089233F" w:rsidRDefault="00F77439" w:rsidP="00F77439">
      <w:pPr>
        <w:spacing w:after="0" w:line="240" w:lineRule="auto"/>
        <w:jc w:val="center"/>
        <w:rPr>
          <w:rFonts w:ascii="Times New Roman" w:eastAsia="Times New Roman" w:hAnsi="Times New Roman" w:cs="Times New Roman"/>
          <w:sz w:val="24"/>
          <w:szCs w:val="24"/>
          <w:lang w:val="en-US" w:eastAsia="en-GB"/>
        </w:rPr>
      </w:pPr>
    </w:p>
    <w:p w:rsidR="00F77439" w:rsidRPr="0089233F" w:rsidRDefault="00F77439" w:rsidP="00F77439">
      <w:pPr>
        <w:spacing w:after="0" w:line="240" w:lineRule="auto"/>
        <w:jc w:val="center"/>
        <w:rPr>
          <w:rFonts w:ascii="Times New Roman" w:eastAsia="Times New Roman" w:hAnsi="Times New Roman" w:cs="Times New Roman"/>
          <w:sz w:val="24"/>
          <w:szCs w:val="24"/>
          <w:lang w:val="en-US" w:eastAsia="en-GB"/>
        </w:rPr>
      </w:pPr>
    </w:p>
    <w:p w:rsidR="00F77439" w:rsidRPr="0089233F" w:rsidRDefault="00F77439" w:rsidP="00F77439">
      <w:pPr>
        <w:spacing w:after="0" w:line="240" w:lineRule="auto"/>
        <w:rPr>
          <w:rFonts w:ascii="Times New Roman" w:eastAsia="Times New Roman" w:hAnsi="Times New Roman" w:cs="Times New Roman"/>
          <w:b/>
          <w:bCs/>
          <w:sz w:val="24"/>
          <w:szCs w:val="24"/>
          <w:lang w:val="en-US" w:eastAsia="en-GB"/>
        </w:rPr>
      </w:pPr>
    </w:p>
    <w:p w:rsidR="00F77439" w:rsidRPr="0089233F" w:rsidRDefault="00F77439" w:rsidP="00F77439">
      <w:pPr>
        <w:spacing w:after="0" w:line="240" w:lineRule="auto"/>
        <w:rPr>
          <w:rFonts w:ascii="Times New Roman" w:eastAsia="Times New Roman" w:hAnsi="Times New Roman" w:cs="Times New Roman"/>
          <w:b/>
          <w:bCs/>
          <w:sz w:val="24"/>
          <w:szCs w:val="24"/>
          <w:lang w:val="en-US" w:eastAsia="en-GB"/>
        </w:rPr>
      </w:pPr>
    </w:p>
    <w:p w:rsidR="00F77439" w:rsidRPr="0089233F" w:rsidRDefault="00F77439" w:rsidP="00F77439">
      <w:pPr>
        <w:spacing w:after="0" w:line="360" w:lineRule="auto"/>
        <w:rPr>
          <w:rFonts w:ascii="Times New Roman" w:eastAsia="Times New Roman" w:hAnsi="Times New Roman" w:cs="Times New Roman"/>
          <w:b/>
          <w:bCs/>
          <w:sz w:val="24"/>
          <w:szCs w:val="24"/>
          <w:lang w:val="en-US" w:eastAsia="en-GB"/>
        </w:rPr>
      </w:pPr>
    </w:p>
    <w:p w:rsidR="00F77439" w:rsidRPr="0089233F" w:rsidRDefault="00F77439" w:rsidP="00F77439">
      <w:pPr>
        <w:spacing w:after="0" w:line="360" w:lineRule="auto"/>
        <w:rPr>
          <w:rFonts w:ascii="Times New Roman" w:eastAsia="Times New Roman" w:hAnsi="Times New Roman" w:cs="Times New Roman"/>
          <w:sz w:val="24"/>
          <w:szCs w:val="24"/>
          <w:lang w:val="en-US" w:eastAsia="en-GB"/>
        </w:rPr>
      </w:pPr>
      <w:r w:rsidRPr="0089233F">
        <w:rPr>
          <w:rFonts w:ascii="Times New Roman" w:eastAsia="Times New Roman" w:hAnsi="Times New Roman" w:cs="Times New Roman"/>
          <w:b/>
          <w:bCs/>
          <w:sz w:val="24"/>
          <w:szCs w:val="24"/>
          <w:lang w:val="en-US" w:eastAsia="en-GB"/>
        </w:rPr>
        <w:t xml:space="preserve">Prof. Akan B. </w:t>
      </w:r>
      <w:proofErr w:type="gramStart"/>
      <w:r w:rsidRPr="0089233F">
        <w:rPr>
          <w:rFonts w:ascii="Times New Roman" w:eastAsia="Times New Roman" w:hAnsi="Times New Roman" w:cs="Times New Roman"/>
          <w:b/>
          <w:bCs/>
          <w:sz w:val="24"/>
          <w:szCs w:val="24"/>
          <w:lang w:val="en-US" w:eastAsia="en-GB"/>
        </w:rPr>
        <w:t>Williams</w:t>
      </w:r>
      <w:proofErr w:type="gramEnd"/>
      <w:r w:rsidRPr="0089233F">
        <w:rPr>
          <w:rFonts w:ascii="Times New Roman" w:eastAsia="Times New Roman" w:hAnsi="Times New Roman" w:cs="Times New Roman"/>
          <w:sz w:val="24"/>
          <w:szCs w:val="24"/>
          <w:lang w:val="en-US" w:eastAsia="en-GB"/>
        </w:rPr>
        <w:tab/>
      </w:r>
      <w:r w:rsidRPr="0089233F">
        <w:rPr>
          <w:rFonts w:ascii="Times New Roman" w:eastAsia="Times New Roman" w:hAnsi="Times New Roman" w:cs="Times New Roman"/>
          <w:sz w:val="24"/>
          <w:szCs w:val="24"/>
          <w:lang w:val="en-US" w:eastAsia="en-GB"/>
        </w:rPr>
        <w:tab/>
      </w:r>
      <w:r w:rsidRPr="0089233F">
        <w:rPr>
          <w:rFonts w:ascii="Times New Roman" w:eastAsia="Times New Roman" w:hAnsi="Times New Roman" w:cs="Times New Roman"/>
          <w:sz w:val="24"/>
          <w:szCs w:val="24"/>
          <w:lang w:val="en-US" w:eastAsia="en-GB"/>
        </w:rPr>
        <w:tab/>
      </w:r>
      <w:r w:rsidRPr="0089233F">
        <w:rPr>
          <w:rFonts w:ascii="Times New Roman" w:eastAsia="Times New Roman" w:hAnsi="Times New Roman" w:cs="Times New Roman"/>
          <w:sz w:val="24"/>
          <w:szCs w:val="24"/>
          <w:lang w:val="en-US" w:eastAsia="en-GB"/>
        </w:rPr>
        <w:tab/>
      </w:r>
      <w:r w:rsidRPr="0089233F">
        <w:rPr>
          <w:rFonts w:ascii="Times New Roman" w:eastAsia="Times New Roman" w:hAnsi="Times New Roman" w:cs="Times New Roman"/>
          <w:sz w:val="24"/>
          <w:szCs w:val="24"/>
          <w:lang w:val="en-US" w:eastAsia="en-GB"/>
        </w:rPr>
        <w:tab/>
        <w:t>_____________________</w:t>
      </w:r>
    </w:p>
    <w:p w:rsidR="00F77439" w:rsidRPr="0089233F" w:rsidRDefault="00F77439" w:rsidP="00F77439">
      <w:pPr>
        <w:spacing w:after="0" w:line="360" w:lineRule="auto"/>
        <w:rPr>
          <w:rFonts w:ascii="Times New Roman" w:eastAsia="Times New Roman" w:hAnsi="Times New Roman" w:cs="Times New Roman"/>
          <w:sz w:val="24"/>
          <w:szCs w:val="24"/>
          <w:lang w:val="en-US" w:eastAsia="en-GB"/>
        </w:rPr>
      </w:pPr>
      <w:r w:rsidRPr="0089233F">
        <w:rPr>
          <w:rFonts w:ascii="Times New Roman" w:eastAsia="Times New Roman" w:hAnsi="Times New Roman" w:cs="Times New Roman"/>
          <w:sz w:val="24"/>
          <w:szCs w:val="24"/>
          <w:lang w:val="en-US" w:eastAsia="en-GB"/>
        </w:rPr>
        <w:t>(Dean, School of Postgraduate Studies)</w:t>
      </w:r>
      <w:r w:rsidRPr="0089233F">
        <w:rPr>
          <w:rFonts w:ascii="Times New Roman" w:eastAsia="Times New Roman" w:hAnsi="Times New Roman" w:cs="Times New Roman"/>
          <w:sz w:val="24"/>
          <w:szCs w:val="24"/>
          <w:lang w:val="en-US" w:eastAsia="en-GB"/>
        </w:rPr>
        <w:tab/>
      </w:r>
      <w:r w:rsidRPr="0089233F">
        <w:rPr>
          <w:rFonts w:ascii="Times New Roman" w:eastAsia="Times New Roman" w:hAnsi="Times New Roman" w:cs="Times New Roman"/>
          <w:sz w:val="24"/>
          <w:szCs w:val="24"/>
          <w:lang w:val="en-US" w:eastAsia="en-GB"/>
        </w:rPr>
        <w:tab/>
      </w:r>
      <w:r w:rsidRPr="0089233F">
        <w:rPr>
          <w:rFonts w:ascii="Times New Roman" w:eastAsia="Times New Roman" w:hAnsi="Times New Roman" w:cs="Times New Roman"/>
          <w:sz w:val="24"/>
          <w:szCs w:val="24"/>
          <w:lang w:val="en-US" w:eastAsia="en-GB"/>
        </w:rPr>
        <w:tab/>
        <w:t xml:space="preserve">     Signature and Date</w:t>
      </w:r>
    </w:p>
    <w:p w:rsidR="00EE21FB" w:rsidRPr="0089233F" w:rsidRDefault="00EE21FB" w:rsidP="00EE21FB">
      <w:pPr>
        <w:spacing w:line="200" w:lineRule="exact"/>
        <w:rPr>
          <w:rFonts w:ascii="Times New Roman" w:eastAsia="Times New Roman" w:hAnsi="Times New Roman" w:cs="Times New Roman"/>
          <w:sz w:val="24"/>
          <w:szCs w:val="24"/>
        </w:rPr>
      </w:pPr>
    </w:p>
    <w:p w:rsidR="00EE21FB" w:rsidRPr="0089233F" w:rsidRDefault="00ED7C8D" w:rsidP="00C858E4">
      <w:pPr>
        <w:rPr>
          <w:rFonts w:ascii="Times New Roman" w:hAnsi="Times New Roman" w:cs="Times New Roman"/>
          <w:sz w:val="24"/>
          <w:szCs w:val="24"/>
        </w:rPr>
      </w:pPr>
      <w:r>
        <w:rPr>
          <w:rFonts w:ascii="Times New Roman" w:hAnsi="Times New Roman" w:cs="Times New Roman"/>
          <w:sz w:val="24"/>
          <w:szCs w:val="24"/>
        </w:rPr>
        <w:br w:type="page"/>
      </w:r>
    </w:p>
    <w:p w:rsidR="00EE21FB" w:rsidRPr="002E7761" w:rsidRDefault="00EE21FB" w:rsidP="00EE21FB">
      <w:pPr>
        <w:spacing w:line="0" w:lineRule="atLeast"/>
        <w:jc w:val="center"/>
        <w:rPr>
          <w:rFonts w:ascii="Times New Roman" w:eastAsia="Times New Roman" w:hAnsi="Times New Roman" w:cs="Times New Roman"/>
          <w:b/>
          <w:sz w:val="24"/>
          <w:szCs w:val="24"/>
        </w:rPr>
      </w:pPr>
      <w:bookmarkStart w:id="0" w:name="page5"/>
      <w:bookmarkEnd w:id="0"/>
      <w:r w:rsidRPr="002E7761">
        <w:rPr>
          <w:rFonts w:ascii="Times New Roman" w:eastAsia="Times New Roman" w:hAnsi="Times New Roman" w:cs="Times New Roman"/>
          <w:b/>
          <w:sz w:val="24"/>
          <w:szCs w:val="24"/>
        </w:rPr>
        <w:lastRenderedPageBreak/>
        <w:t>DECLARATION</w:t>
      </w:r>
    </w:p>
    <w:p w:rsidR="00EE21FB" w:rsidRPr="002E7761" w:rsidRDefault="00EE21FB" w:rsidP="00EE21FB">
      <w:pPr>
        <w:spacing w:line="170" w:lineRule="exact"/>
        <w:rPr>
          <w:rFonts w:ascii="Times New Roman" w:eastAsia="Times New Roman" w:hAnsi="Times New Roman" w:cs="Times New Roman"/>
          <w:sz w:val="24"/>
          <w:szCs w:val="24"/>
        </w:rPr>
      </w:pPr>
    </w:p>
    <w:p w:rsidR="00EE21FB" w:rsidRPr="002E7761" w:rsidRDefault="00EE21FB" w:rsidP="00EE21FB">
      <w:pPr>
        <w:spacing w:line="358" w:lineRule="auto"/>
        <w:jc w:val="both"/>
        <w:rPr>
          <w:rFonts w:ascii="Times New Roman" w:eastAsia="Times New Roman" w:hAnsi="Times New Roman" w:cs="Times New Roman"/>
          <w:b/>
          <w:sz w:val="24"/>
          <w:szCs w:val="24"/>
        </w:rPr>
      </w:pPr>
      <w:r w:rsidRPr="002E7761">
        <w:rPr>
          <w:rFonts w:ascii="Times New Roman" w:eastAsia="Times New Roman" w:hAnsi="Times New Roman" w:cs="Times New Roman"/>
          <w:sz w:val="24"/>
          <w:szCs w:val="24"/>
        </w:rPr>
        <w:t xml:space="preserve">I, </w:t>
      </w:r>
      <w:r w:rsidR="00A66578" w:rsidRPr="002E7761">
        <w:rPr>
          <w:rFonts w:ascii="Times New Roman" w:eastAsia="Times New Roman" w:hAnsi="Times New Roman" w:cs="Times New Roman"/>
          <w:b/>
          <w:sz w:val="24"/>
          <w:szCs w:val="24"/>
        </w:rPr>
        <w:t>ZAKARI, SULEIMAN (22</w:t>
      </w:r>
      <w:r w:rsidRPr="002E7761">
        <w:rPr>
          <w:rFonts w:ascii="Times New Roman" w:eastAsia="Times New Roman" w:hAnsi="Times New Roman" w:cs="Times New Roman"/>
          <w:b/>
          <w:sz w:val="24"/>
          <w:szCs w:val="24"/>
        </w:rPr>
        <w:t>PC</w:t>
      </w:r>
      <w:r w:rsidR="00A66578" w:rsidRPr="002E7761">
        <w:rPr>
          <w:rFonts w:ascii="Times New Roman" w:eastAsia="Times New Roman" w:hAnsi="Times New Roman" w:cs="Times New Roman"/>
          <w:b/>
          <w:sz w:val="24"/>
          <w:szCs w:val="24"/>
        </w:rPr>
        <w:t>P02390</w:t>
      </w:r>
      <w:r w:rsidRPr="002E7761">
        <w:rPr>
          <w:rFonts w:ascii="Times New Roman" w:eastAsia="Times New Roman" w:hAnsi="Times New Roman" w:cs="Times New Roman"/>
          <w:b/>
          <w:sz w:val="24"/>
          <w:szCs w:val="24"/>
        </w:rPr>
        <w:t>)</w:t>
      </w:r>
      <w:r w:rsidR="00D31A4B" w:rsidRPr="002E7761">
        <w:rPr>
          <w:rFonts w:ascii="Times New Roman" w:eastAsia="Times New Roman" w:hAnsi="Times New Roman" w:cs="Times New Roman"/>
          <w:b/>
          <w:sz w:val="24"/>
          <w:szCs w:val="24"/>
        </w:rPr>
        <w:t>,</w:t>
      </w:r>
      <w:r w:rsidRPr="002E7761">
        <w:rPr>
          <w:rFonts w:ascii="Times New Roman" w:eastAsia="Times New Roman" w:hAnsi="Times New Roman" w:cs="Times New Roman"/>
          <w:sz w:val="24"/>
          <w:szCs w:val="24"/>
        </w:rPr>
        <w:t xml:space="preserve"> hereby declare that this research work was carried out by me under the s</w:t>
      </w:r>
      <w:r w:rsidR="00A66578" w:rsidRPr="002E7761">
        <w:rPr>
          <w:rFonts w:ascii="Times New Roman" w:eastAsia="Times New Roman" w:hAnsi="Times New Roman" w:cs="Times New Roman"/>
          <w:sz w:val="24"/>
          <w:szCs w:val="24"/>
        </w:rPr>
        <w:t xml:space="preserve">upervision of </w:t>
      </w:r>
      <w:proofErr w:type="spellStart"/>
      <w:r w:rsidR="00A66578" w:rsidRPr="002E7761">
        <w:rPr>
          <w:rFonts w:ascii="Times New Roman" w:eastAsia="Times New Roman" w:hAnsi="Times New Roman" w:cs="Times New Roman"/>
          <w:sz w:val="24"/>
          <w:szCs w:val="24"/>
        </w:rPr>
        <w:t>Prof.</w:t>
      </w:r>
      <w:proofErr w:type="spellEnd"/>
      <w:r w:rsidR="00A66578" w:rsidRPr="002E7761">
        <w:rPr>
          <w:rFonts w:ascii="Times New Roman" w:eastAsia="Times New Roman" w:hAnsi="Times New Roman" w:cs="Times New Roman"/>
          <w:sz w:val="24"/>
          <w:szCs w:val="24"/>
        </w:rPr>
        <w:t xml:space="preserve"> </w:t>
      </w:r>
      <w:proofErr w:type="spellStart"/>
      <w:r w:rsidR="00A66578" w:rsidRPr="002E7761">
        <w:rPr>
          <w:rFonts w:ascii="Times New Roman" w:eastAsia="Times New Roman" w:hAnsi="Times New Roman" w:cs="Times New Roman"/>
          <w:sz w:val="24"/>
          <w:szCs w:val="24"/>
        </w:rPr>
        <w:t>Olubanke</w:t>
      </w:r>
      <w:proofErr w:type="spellEnd"/>
      <w:r w:rsidR="00A66578" w:rsidRPr="002E7761">
        <w:rPr>
          <w:rFonts w:ascii="Times New Roman" w:eastAsia="Times New Roman" w:hAnsi="Times New Roman" w:cs="Times New Roman"/>
          <w:sz w:val="24"/>
          <w:szCs w:val="24"/>
        </w:rPr>
        <w:t xml:space="preserve"> O. </w:t>
      </w:r>
      <w:proofErr w:type="spellStart"/>
      <w:r w:rsidR="00A66578" w:rsidRPr="002E7761">
        <w:rPr>
          <w:rFonts w:ascii="Times New Roman" w:eastAsia="Times New Roman" w:hAnsi="Times New Roman" w:cs="Times New Roman"/>
          <w:sz w:val="24"/>
          <w:szCs w:val="24"/>
        </w:rPr>
        <w:t>Ogunlana</w:t>
      </w:r>
      <w:proofErr w:type="spellEnd"/>
      <w:r w:rsidR="00F77439" w:rsidRPr="002E7761">
        <w:rPr>
          <w:rFonts w:ascii="Times New Roman" w:eastAsia="Times New Roman" w:hAnsi="Times New Roman" w:cs="Times New Roman"/>
          <w:sz w:val="24"/>
          <w:szCs w:val="24"/>
        </w:rPr>
        <w:t xml:space="preserve"> in</w:t>
      </w:r>
      <w:r w:rsidRPr="002E7761">
        <w:rPr>
          <w:rFonts w:ascii="Times New Roman" w:eastAsia="Times New Roman" w:hAnsi="Times New Roman" w:cs="Times New Roman"/>
          <w:sz w:val="24"/>
          <w:szCs w:val="24"/>
        </w:rPr>
        <w:t xml:space="preserve"> the Department of Biochemistry, College of Science and Technology, Covenant University, Ota, </w:t>
      </w:r>
      <w:proofErr w:type="spellStart"/>
      <w:r w:rsidRPr="002E7761">
        <w:rPr>
          <w:rFonts w:ascii="Times New Roman" w:eastAsia="Times New Roman" w:hAnsi="Times New Roman" w:cs="Times New Roman"/>
          <w:sz w:val="24"/>
          <w:szCs w:val="24"/>
        </w:rPr>
        <w:t>Ogun</w:t>
      </w:r>
      <w:proofErr w:type="spellEnd"/>
      <w:r w:rsidRPr="002E7761">
        <w:rPr>
          <w:rFonts w:ascii="Times New Roman" w:eastAsia="Times New Roman" w:hAnsi="Times New Roman" w:cs="Times New Roman"/>
          <w:sz w:val="24"/>
          <w:szCs w:val="24"/>
        </w:rPr>
        <w:t xml:space="preserve"> State. I attest that the dissertation has not been presented wholly or partially for the award of any degree elsewhere. All sources of data and scholarly information used in this dissertation were duly acknowledged</w:t>
      </w:r>
      <w:r w:rsidRPr="002E7761">
        <w:rPr>
          <w:rFonts w:ascii="Times New Roman" w:eastAsia="Times New Roman" w:hAnsi="Times New Roman" w:cs="Times New Roman"/>
          <w:b/>
          <w:sz w:val="24"/>
          <w:szCs w:val="24"/>
        </w:rPr>
        <w:t>.</w:t>
      </w:r>
    </w:p>
    <w:p w:rsidR="00EE21FB" w:rsidRPr="002E7761" w:rsidRDefault="00EE21FB" w:rsidP="00EE21FB">
      <w:pPr>
        <w:spacing w:line="200" w:lineRule="exact"/>
        <w:rPr>
          <w:rFonts w:ascii="Times New Roman" w:eastAsia="Times New Roman" w:hAnsi="Times New Roman" w:cs="Times New Roman"/>
          <w:sz w:val="24"/>
          <w:szCs w:val="24"/>
        </w:rPr>
      </w:pPr>
    </w:p>
    <w:p w:rsidR="00EE21FB" w:rsidRPr="002E7761" w:rsidRDefault="00EE21FB" w:rsidP="00EE21FB">
      <w:pPr>
        <w:spacing w:line="200" w:lineRule="exact"/>
        <w:rPr>
          <w:rFonts w:ascii="Times New Roman" w:eastAsia="Times New Roman" w:hAnsi="Times New Roman" w:cs="Times New Roman"/>
          <w:sz w:val="24"/>
          <w:szCs w:val="24"/>
        </w:rPr>
      </w:pPr>
    </w:p>
    <w:p w:rsidR="00EE21FB" w:rsidRPr="002E7761" w:rsidRDefault="00EE21FB" w:rsidP="00EE21FB">
      <w:pPr>
        <w:spacing w:line="200" w:lineRule="exact"/>
        <w:rPr>
          <w:rFonts w:ascii="Times New Roman" w:eastAsia="Times New Roman" w:hAnsi="Times New Roman" w:cs="Times New Roman"/>
          <w:sz w:val="24"/>
          <w:szCs w:val="24"/>
        </w:rPr>
      </w:pPr>
    </w:p>
    <w:p w:rsidR="00EE21FB" w:rsidRPr="002E7761" w:rsidRDefault="00EE21FB" w:rsidP="00EE21FB">
      <w:pPr>
        <w:spacing w:line="200" w:lineRule="exact"/>
        <w:rPr>
          <w:rFonts w:ascii="Times New Roman" w:eastAsia="Times New Roman" w:hAnsi="Times New Roman" w:cs="Times New Roman"/>
          <w:sz w:val="24"/>
          <w:szCs w:val="24"/>
        </w:rPr>
      </w:pPr>
    </w:p>
    <w:p w:rsidR="00EE21FB" w:rsidRPr="002E7761" w:rsidRDefault="00EE21FB" w:rsidP="00EE21FB">
      <w:pPr>
        <w:spacing w:line="200" w:lineRule="exact"/>
        <w:rPr>
          <w:rFonts w:ascii="Times New Roman" w:eastAsia="Times New Roman" w:hAnsi="Times New Roman" w:cs="Times New Roman"/>
          <w:sz w:val="24"/>
          <w:szCs w:val="24"/>
        </w:rPr>
      </w:pPr>
    </w:p>
    <w:p w:rsidR="00EE21FB" w:rsidRPr="002E7761" w:rsidRDefault="00EE21FB" w:rsidP="00EE21FB">
      <w:pPr>
        <w:spacing w:line="200" w:lineRule="exact"/>
        <w:rPr>
          <w:rFonts w:ascii="Times New Roman" w:eastAsia="Times New Roman" w:hAnsi="Times New Roman" w:cs="Times New Roman"/>
          <w:sz w:val="24"/>
          <w:szCs w:val="24"/>
        </w:rPr>
      </w:pPr>
    </w:p>
    <w:p w:rsidR="00EE21FB" w:rsidRPr="002E7761" w:rsidRDefault="00EE21FB" w:rsidP="00EE21FB">
      <w:pPr>
        <w:spacing w:line="200" w:lineRule="exact"/>
        <w:rPr>
          <w:rFonts w:ascii="Times New Roman" w:eastAsia="Times New Roman" w:hAnsi="Times New Roman" w:cs="Times New Roman"/>
          <w:sz w:val="24"/>
          <w:szCs w:val="24"/>
        </w:rPr>
      </w:pPr>
    </w:p>
    <w:p w:rsidR="00EE21FB" w:rsidRPr="002E7761" w:rsidRDefault="00EE21FB" w:rsidP="00EE21FB">
      <w:pPr>
        <w:spacing w:line="200" w:lineRule="exact"/>
        <w:rPr>
          <w:rFonts w:ascii="Times New Roman" w:eastAsia="Times New Roman" w:hAnsi="Times New Roman" w:cs="Times New Roman"/>
          <w:sz w:val="24"/>
          <w:szCs w:val="24"/>
        </w:rPr>
      </w:pPr>
    </w:p>
    <w:p w:rsidR="00EE21FB" w:rsidRPr="002E7761" w:rsidRDefault="00EE21FB" w:rsidP="00EE21FB">
      <w:pPr>
        <w:spacing w:line="200" w:lineRule="exact"/>
        <w:rPr>
          <w:rFonts w:ascii="Times New Roman" w:eastAsia="Times New Roman" w:hAnsi="Times New Roman" w:cs="Times New Roman"/>
          <w:sz w:val="24"/>
          <w:szCs w:val="24"/>
        </w:rPr>
      </w:pPr>
    </w:p>
    <w:p w:rsidR="00EE21FB" w:rsidRPr="002E7761" w:rsidRDefault="00EE21FB" w:rsidP="00EE21FB">
      <w:pPr>
        <w:spacing w:line="200" w:lineRule="exact"/>
        <w:rPr>
          <w:rFonts w:ascii="Times New Roman" w:eastAsia="Times New Roman" w:hAnsi="Times New Roman" w:cs="Times New Roman"/>
          <w:sz w:val="24"/>
          <w:szCs w:val="24"/>
        </w:rPr>
      </w:pPr>
    </w:p>
    <w:p w:rsidR="00EE21FB" w:rsidRPr="002E7761" w:rsidRDefault="00EE21FB" w:rsidP="00EE21FB">
      <w:pPr>
        <w:spacing w:line="200" w:lineRule="exact"/>
        <w:rPr>
          <w:rFonts w:ascii="Times New Roman" w:eastAsia="Times New Roman" w:hAnsi="Times New Roman" w:cs="Times New Roman"/>
          <w:sz w:val="24"/>
          <w:szCs w:val="24"/>
        </w:rPr>
      </w:pPr>
    </w:p>
    <w:p w:rsidR="00F77439" w:rsidRPr="002E7761" w:rsidRDefault="002E7761" w:rsidP="00F77439">
      <w:pPr>
        <w:spacing w:after="0" w:line="360" w:lineRule="auto"/>
        <w:rPr>
          <w:rFonts w:ascii="Times New Roman" w:eastAsia="Times New Roman" w:hAnsi="Times New Roman" w:cs="Times New Roman"/>
          <w:sz w:val="24"/>
          <w:szCs w:val="24"/>
          <w:lang w:val="en-US" w:eastAsia="en-GB"/>
        </w:rPr>
      </w:pPr>
      <w:r w:rsidRPr="002E7761">
        <w:rPr>
          <w:rFonts w:ascii="Times New Roman" w:eastAsia="Times New Roman" w:hAnsi="Times New Roman" w:cs="Times New Roman"/>
          <w:b/>
          <w:bCs/>
          <w:sz w:val="24"/>
          <w:szCs w:val="24"/>
          <w:lang w:val="en-US" w:eastAsia="en-GB"/>
        </w:rPr>
        <w:t>ZAKARI</w:t>
      </w:r>
      <w:r w:rsidR="00F77439" w:rsidRPr="002E7761">
        <w:rPr>
          <w:rFonts w:ascii="Times New Roman" w:eastAsia="Times New Roman" w:hAnsi="Times New Roman" w:cs="Times New Roman"/>
          <w:b/>
          <w:bCs/>
          <w:sz w:val="24"/>
          <w:szCs w:val="24"/>
          <w:lang w:val="en-US" w:eastAsia="en-GB"/>
        </w:rPr>
        <w:t xml:space="preserve">, </w:t>
      </w:r>
      <w:r w:rsidRPr="002E7761">
        <w:rPr>
          <w:rFonts w:ascii="Times New Roman" w:eastAsia="Times New Roman" w:hAnsi="Times New Roman" w:cs="Times New Roman"/>
          <w:b/>
          <w:bCs/>
          <w:sz w:val="24"/>
          <w:szCs w:val="24"/>
          <w:lang w:val="en-US" w:eastAsia="en-GB"/>
        </w:rPr>
        <w:t xml:space="preserve">SULEIMAN              </w:t>
      </w:r>
      <w:r w:rsidR="00F77439" w:rsidRPr="002E7761">
        <w:rPr>
          <w:rFonts w:ascii="Times New Roman" w:eastAsia="Times New Roman" w:hAnsi="Times New Roman" w:cs="Times New Roman"/>
          <w:b/>
          <w:bCs/>
          <w:sz w:val="24"/>
          <w:szCs w:val="24"/>
          <w:lang w:val="en-US" w:eastAsia="en-GB"/>
        </w:rPr>
        <w:tab/>
      </w:r>
      <w:r w:rsidR="00F77439" w:rsidRPr="002E7761">
        <w:rPr>
          <w:rFonts w:ascii="Times New Roman" w:eastAsia="Times New Roman" w:hAnsi="Times New Roman" w:cs="Times New Roman"/>
          <w:sz w:val="24"/>
          <w:szCs w:val="24"/>
          <w:lang w:val="en-US" w:eastAsia="en-GB"/>
        </w:rPr>
        <w:tab/>
        <w:t xml:space="preserve">               ___________________________ </w:t>
      </w:r>
    </w:p>
    <w:p w:rsidR="00F77439" w:rsidRPr="002E7761" w:rsidRDefault="00F77439" w:rsidP="00F77439">
      <w:pPr>
        <w:spacing w:after="0" w:line="360" w:lineRule="auto"/>
        <w:ind w:left="5760"/>
        <w:rPr>
          <w:rFonts w:ascii="Times New Roman" w:eastAsia="Times New Roman" w:hAnsi="Times New Roman" w:cs="Times New Roman"/>
          <w:sz w:val="24"/>
          <w:szCs w:val="24"/>
          <w:lang w:val="en-US" w:eastAsia="en-GB"/>
        </w:rPr>
      </w:pPr>
      <w:r w:rsidRPr="002E7761">
        <w:rPr>
          <w:rFonts w:ascii="Times New Roman" w:eastAsia="Times New Roman" w:hAnsi="Times New Roman" w:cs="Times New Roman"/>
          <w:sz w:val="24"/>
          <w:szCs w:val="24"/>
          <w:lang w:val="en-US" w:eastAsia="en-GB"/>
        </w:rPr>
        <w:t xml:space="preserve">     Signature and Date</w:t>
      </w:r>
    </w:p>
    <w:p w:rsidR="00EE21FB" w:rsidRPr="002E7761" w:rsidRDefault="00EE21FB" w:rsidP="00EE21FB">
      <w:pPr>
        <w:spacing w:line="200" w:lineRule="exact"/>
        <w:rPr>
          <w:rFonts w:ascii="Times New Roman" w:eastAsia="Times New Roman" w:hAnsi="Times New Roman" w:cs="Times New Roman"/>
          <w:sz w:val="24"/>
          <w:szCs w:val="24"/>
        </w:rPr>
      </w:pPr>
    </w:p>
    <w:p w:rsidR="00EE21FB" w:rsidRPr="002E7761" w:rsidRDefault="00EE21FB" w:rsidP="00EE21FB">
      <w:pPr>
        <w:spacing w:line="200" w:lineRule="exact"/>
        <w:rPr>
          <w:rFonts w:ascii="Times New Roman" w:eastAsia="Times New Roman" w:hAnsi="Times New Roman" w:cs="Times New Roman"/>
          <w:sz w:val="24"/>
          <w:szCs w:val="24"/>
        </w:rPr>
      </w:pPr>
    </w:p>
    <w:p w:rsidR="00EE21FB" w:rsidRPr="002E7761" w:rsidRDefault="00EE21FB" w:rsidP="00EE21FB">
      <w:pPr>
        <w:spacing w:line="200" w:lineRule="exact"/>
        <w:rPr>
          <w:rFonts w:ascii="Times New Roman" w:eastAsia="Times New Roman" w:hAnsi="Times New Roman" w:cs="Times New Roman"/>
          <w:sz w:val="24"/>
          <w:szCs w:val="24"/>
        </w:rPr>
      </w:pPr>
    </w:p>
    <w:p w:rsidR="00EE21FB" w:rsidRPr="002E7761" w:rsidRDefault="00EE21FB" w:rsidP="00EE21FB">
      <w:pPr>
        <w:spacing w:line="200" w:lineRule="exact"/>
        <w:rPr>
          <w:rFonts w:ascii="Times New Roman" w:eastAsia="Times New Roman" w:hAnsi="Times New Roman" w:cs="Times New Roman"/>
          <w:sz w:val="24"/>
          <w:szCs w:val="24"/>
        </w:rPr>
      </w:pPr>
    </w:p>
    <w:p w:rsidR="00EE21FB" w:rsidRPr="002E7761" w:rsidRDefault="00EE21FB" w:rsidP="00EE21FB">
      <w:pPr>
        <w:spacing w:line="200" w:lineRule="exact"/>
        <w:rPr>
          <w:rFonts w:ascii="Times New Roman" w:eastAsia="Times New Roman" w:hAnsi="Times New Roman" w:cs="Times New Roman"/>
          <w:sz w:val="24"/>
          <w:szCs w:val="24"/>
        </w:rPr>
      </w:pPr>
    </w:p>
    <w:p w:rsidR="00EE21FB" w:rsidRPr="002E7761" w:rsidRDefault="00EE21FB" w:rsidP="00EE21FB">
      <w:pPr>
        <w:spacing w:line="200" w:lineRule="exact"/>
        <w:rPr>
          <w:rFonts w:ascii="Times New Roman" w:eastAsia="Times New Roman" w:hAnsi="Times New Roman" w:cs="Times New Roman"/>
          <w:sz w:val="24"/>
          <w:szCs w:val="24"/>
        </w:rPr>
      </w:pPr>
    </w:p>
    <w:p w:rsidR="00EE21FB" w:rsidRPr="002E7761" w:rsidRDefault="00EE21FB" w:rsidP="00EE21FB">
      <w:pPr>
        <w:spacing w:line="200" w:lineRule="exact"/>
        <w:rPr>
          <w:rFonts w:ascii="Times New Roman" w:eastAsia="Times New Roman" w:hAnsi="Times New Roman" w:cs="Times New Roman"/>
          <w:sz w:val="24"/>
          <w:szCs w:val="24"/>
        </w:rPr>
      </w:pPr>
    </w:p>
    <w:p w:rsidR="00EE21FB" w:rsidRPr="002E7761" w:rsidRDefault="00EE21FB" w:rsidP="00EE21FB">
      <w:pPr>
        <w:spacing w:line="200" w:lineRule="exact"/>
        <w:rPr>
          <w:rFonts w:ascii="Times New Roman" w:eastAsia="Times New Roman" w:hAnsi="Times New Roman" w:cs="Times New Roman"/>
          <w:sz w:val="24"/>
          <w:szCs w:val="24"/>
        </w:rPr>
      </w:pPr>
    </w:p>
    <w:p w:rsidR="00EE21FB" w:rsidRPr="002E7761" w:rsidRDefault="00EE21FB" w:rsidP="00EE21FB">
      <w:pPr>
        <w:spacing w:line="200" w:lineRule="exact"/>
        <w:rPr>
          <w:rFonts w:ascii="Times New Roman" w:eastAsia="Times New Roman" w:hAnsi="Times New Roman" w:cs="Times New Roman"/>
          <w:sz w:val="24"/>
          <w:szCs w:val="24"/>
        </w:rPr>
      </w:pPr>
    </w:p>
    <w:p w:rsidR="00EE21FB" w:rsidRPr="002E7761" w:rsidRDefault="00EE21FB" w:rsidP="00EE21FB">
      <w:pPr>
        <w:spacing w:line="200" w:lineRule="exact"/>
        <w:rPr>
          <w:rFonts w:ascii="Times New Roman" w:eastAsia="Times New Roman" w:hAnsi="Times New Roman" w:cs="Times New Roman"/>
          <w:sz w:val="24"/>
          <w:szCs w:val="24"/>
        </w:rPr>
      </w:pPr>
    </w:p>
    <w:p w:rsidR="00EE21FB" w:rsidRPr="002E7761" w:rsidRDefault="00EE21FB" w:rsidP="00EE21FB">
      <w:pPr>
        <w:spacing w:line="200" w:lineRule="exact"/>
        <w:rPr>
          <w:rFonts w:ascii="Times New Roman" w:eastAsia="Times New Roman" w:hAnsi="Times New Roman" w:cs="Times New Roman"/>
          <w:sz w:val="24"/>
          <w:szCs w:val="24"/>
        </w:rPr>
      </w:pPr>
    </w:p>
    <w:p w:rsidR="00EE21FB" w:rsidRPr="002E7761" w:rsidRDefault="00EE21FB" w:rsidP="00EE21FB">
      <w:pPr>
        <w:spacing w:line="200" w:lineRule="exact"/>
        <w:rPr>
          <w:rFonts w:ascii="Times New Roman" w:eastAsia="Times New Roman" w:hAnsi="Times New Roman" w:cs="Times New Roman"/>
          <w:sz w:val="24"/>
          <w:szCs w:val="24"/>
        </w:rPr>
      </w:pPr>
    </w:p>
    <w:p w:rsidR="00EE21FB" w:rsidRPr="002E7761" w:rsidRDefault="00EE21FB" w:rsidP="00EE21FB">
      <w:pPr>
        <w:spacing w:line="200" w:lineRule="exact"/>
        <w:rPr>
          <w:rFonts w:ascii="Times New Roman" w:eastAsia="Times New Roman" w:hAnsi="Times New Roman" w:cs="Times New Roman"/>
          <w:sz w:val="24"/>
          <w:szCs w:val="24"/>
        </w:rPr>
      </w:pPr>
    </w:p>
    <w:p w:rsidR="00ED7C8D" w:rsidRDefault="00ED7C8D" w:rsidP="00F77439">
      <w:pPr>
        <w:spacing w:line="0" w:lineRule="atLeast"/>
        <w:jc w:val="center"/>
        <w:rPr>
          <w:rFonts w:ascii="Times New Roman" w:eastAsia="Times New Roman" w:hAnsi="Times New Roman" w:cs="Times New Roman"/>
          <w:b/>
          <w:sz w:val="24"/>
          <w:szCs w:val="24"/>
        </w:rPr>
      </w:pPr>
      <w:bookmarkStart w:id="1" w:name="page6"/>
      <w:bookmarkEnd w:id="1"/>
    </w:p>
    <w:p w:rsidR="00ED7C8D" w:rsidRDefault="00ED7C8D" w:rsidP="00F77439">
      <w:pPr>
        <w:spacing w:line="0" w:lineRule="atLeast"/>
        <w:jc w:val="center"/>
        <w:rPr>
          <w:rFonts w:ascii="Times New Roman" w:eastAsia="Times New Roman" w:hAnsi="Times New Roman" w:cs="Times New Roman"/>
          <w:b/>
          <w:sz w:val="24"/>
          <w:szCs w:val="24"/>
        </w:rPr>
      </w:pPr>
    </w:p>
    <w:p w:rsidR="00ED7C8D" w:rsidRDefault="00ED7C8D" w:rsidP="00F77439">
      <w:pPr>
        <w:spacing w:line="0" w:lineRule="atLeast"/>
        <w:jc w:val="center"/>
        <w:rPr>
          <w:rFonts w:ascii="Times New Roman" w:eastAsia="Times New Roman" w:hAnsi="Times New Roman" w:cs="Times New Roman"/>
          <w:b/>
          <w:sz w:val="24"/>
          <w:szCs w:val="24"/>
        </w:rPr>
      </w:pPr>
    </w:p>
    <w:p w:rsidR="00EE21FB" w:rsidRPr="002E7761" w:rsidRDefault="00A66578" w:rsidP="00F77439">
      <w:pPr>
        <w:spacing w:line="0" w:lineRule="atLeast"/>
        <w:jc w:val="center"/>
        <w:rPr>
          <w:rFonts w:ascii="Times New Roman" w:eastAsia="Times New Roman" w:hAnsi="Times New Roman" w:cs="Times New Roman"/>
          <w:b/>
          <w:sz w:val="24"/>
          <w:szCs w:val="24"/>
        </w:rPr>
      </w:pPr>
      <w:r w:rsidRPr="002E7761">
        <w:rPr>
          <w:rFonts w:ascii="Times New Roman" w:eastAsia="Times New Roman" w:hAnsi="Times New Roman" w:cs="Times New Roman"/>
          <w:b/>
          <w:sz w:val="24"/>
          <w:szCs w:val="24"/>
        </w:rPr>
        <w:lastRenderedPageBreak/>
        <w:t>CERTIFICATION</w:t>
      </w:r>
    </w:p>
    <w:p w:rsidR="00EE21FB" w:rsidRPr="008D02A9" w:rsidRDefault="00EE21FB" w:rsidP="008D02A9">
      <w:pPr>
        <w:spacing w:line="360" w:lineRule="auto"/>
        <w:jc w:val="both"/>
        <w:rPr>
          <w:rFonts w:ascii="Times New Roman" w:hAnsi="Times New Roman" w:cs="Times New Roman"/>
          <w:b/>
          <w:sz w:val="24"/>
          <w:szCs w:val="24"/>
        </w:rPr>
      </w:pPr>
      <w:r w:rsidRPr="002E7761">
        <w:rPr>
          <w:rFonts w:ascii="Times New Roman" w:eastAsia="Times New Roman" w:hAnsi="Times New Roman" w:cs="Times New Roman"/>
          <w:sz w:val="24"/>
          <w:szCs w:val="24"/>
        </w:rPr>
        <w:t>We certify that the dissertation titled “</w:t>
      </w:r>
      <w:r w:rsidR="002D440C" w:rsidRPr="002D440C">
        <w:rPr>
          <w:rFonts w:ascii="Times New Roman" w:hAnsi="Times New Roman" w:cs="Times New Roman"/>
          <w:b/>
          <w:sz w:val="24"/>
          <w:szCs w:val="24"/>
        </w:rPr>
        <w:t xml:space="preserve">ASSESSEMENT OF SELECTED PLASMA PROTEIN LEVELS IN NIGERIAN PROSTATE CANCER PATIENTS AND </w:t>
      </w:r>
      <w:r w:rsidR="002D440C" w:rsidRPr="00AA625E">
        <w:rPr>
          <w:rFonts w:ascii="Times New Roman" w:hAnsi="Times New Roman" w:cs="Times New Roman"/>
          <w:b/>
          <w:i/>
          <w:sz w:val="24"/>
          <w:szCs w:val="24"/>
        </w:rPr>
        <w:t>IN-SILICO</w:t>
      </w:r>
      <w:r w:rsidR="002D440C" w:rsidRPr="002D440C">
        <w:rPr>
          <w:rFonts w:ascii="Times New Roman" w:hAnsi="Times New Roman" w:cs="Times New Roman"/>
          <w:b/>
          <w:sz w:val="24"/>
          <w:szCs w:val="24"/>
        </w:rPr>
        <w:t xml:space="preserve"> THERAPEUTIC TARGETING OF AR SIGNALING</w:t>
      </w:r>
      <w:r w:rsidRPr="002E7761">
        <w:rPr>
          <w:rFonts w:ascii="Times New Roman" w:eastAsia="Times New Roman" w:hAnsi="Times New Roman" w:cs="Times New Roman"/>
          <w:sz w:val="24"/>
          <w:szCs w:val="24"/>
        </w:rPr>
        <w:t xml:space="preserve">” is an original work carried out </w:t>
      </w:r>
      <w:r w:rsidR="00454DF1" w:rsidRPr="002E7761">
        <w:rPr>
          <w:rFonts w:ascii="Times New Roman" w:eastAsia="Times New Roman" w:hAnsi="Times New Roman" w:cs="Times New Roman"/>
          <w:b/>
          <w:sz w:val="24"/>
          <w:szCs w:val="24"/>
        </w:rPr>
        <w:t>ZAKARI SULEIMAN (22PCP02390</w:t>
      </w:r>
      <w:r w:rsidRPr="002E7761">
        <w:rPr>
          <w:rFonts w:ascii="Times New Roman" w:eastAsia="Times New Roman" w:hAnsi="Times New Roman" w:cs="Times New Roman"/>
          <w:b/>
          <w:sz w:val="24"/>
          <w:szCs w:val="24"/>
        </w:rPr>
        <w:t>)</w:t>
      </w:r>
      <w:r w:rsidRPr="002E7761">
        <w:rPr>
          <w:rFonts w:ascii="Times New Roman" w:eastAsia="Times New Roman" w:hAnsi="Times New Roman" w:cs="Times New Roman"/>
          <w:sz w:val="24"/>
          <w:szCs w:val="24"/>
        </w:rPr>
        <w:t xml:space="preserve"> in the Department of Biochemistry, College of Science and Technology, Covenant University, Ota, </w:t>
      </w:r>
      <w:proofErr w:type="spellStart"/>
      <w:r w:rsidRPr="002E7761">
        <w:rPr>
          <w:rFonts w:ascii="Times New Roman" w:eastAsia="Times New Roman" w:hAnsi="Times New Roman" w:cs="Times New Roman"/>
          <w:sz w:val="24"/>
          <w:szCs w:val="24"/>
        </w:rPr>
        <w:t>Ogun</w:t>
      </w:r>
      <w:proofErr w:type="spellEnd"/>
      <w:r w:rsidRPr="002E7761">
        <w:rPr>
          <w:rFonts w:ascii="Times New Roman" w:eastAsia="Times New Roman" w:hAnsi="Times New Roman" w:cs="Times New Roman"/>
          <w:sz w:val="24"/>
          <w:szCs w:val="24"/>
        </w:rPr>
        <w:t xml:space="preserve"> State, Nigeria under the s</w:t>
      </w:r>
      <w:r w:rsidR="00454DF1" w:rsidRPr="002E7761">
        <w:rPr>
          <w:rFonts w:ascii="Times New Roman" w:eastAsia="Times New Roman" w:hAnsi="Times New Roman" w:cs="Times New Roman"/>
          <w:sz w:val="24"/>
          <w:szCs w:val="24"/>
        </w:rPr>
        <w:t xml:space="preserve">upervision of </w:t>
      </w:r>
      <w:proofErr w:type="spellStart"/>
      <w:r w:rsidR="00454DF1" w:rsidRPr="002E7761">
        <w:rPr>
          <w:rFonts w:ascii="Times New Roman" w:eastAsia="Times New Roman" w:hAnsi="Times New Roman" w:cs="Times New Roman"/>
          <w:sz w:val="24"/>
          <w:szCs w:val="24"/>
        </w:rPr>
        <w:t>Prof.</w:t>
      </w:r>
      <w:proofErr w:type="spellEnd"/>
      <w:r w:rsidR="00454DF1" w:rsidRPr="002E7761">
        <w:rPr>
          <w:rFonts w:ascii="Times New Roman" w:eastAsia="Times New Roman" w:hAnsi="Times New Roman" w:cs="Times New Roman"/>
          <w:sz w:val="24"/>
          <w:szCs w:val="24"/>
        </w:rPr>
        <w:t xml:space="preserve"> </w:t>
      </w:r>
      <w:proofErr w:type="spellStart"/>
      <w:r w:rsidR="00454DF1" w:rsidRPr="002E7761">
        <w:rPr>
          <w:rFonts w:ascii="Times New Roman" w:eastAsia="Times New Roman" w:hAnsi="Times New Roman" w:cs="Times New Roman"/>
          <w:sz w:val="24"/>
          <w:szCs w:val="24"/>
        </w:rPr>
        <w:t>Olubanke</w:t>
      </w:r>
      <w:proofErr w:type="spellEnd"/>
      <w:r w:rsidR="00454DF1" w:rsidRPr="002E7761">
        <w:rPr>
          <w:rFonts w:ascii="Times New Roman" w:eastAsia="Times New Roman" w:hAnsi="Times New Roman" w:cs="Times New Roman"/>
          <w:sz w:val="24"/>
          <w:szCs w:val="24"/>
        </w:rPr>
        <w:t xml:space="preserve"> O. </w:t>
      </w:r>
      <w:proofErr w:type="spellStart"/>
      <w:r w:rsidR="00454DF1" w:rsidRPr="002E7761">
        <w:rPr>
          <w:rFonts w:ascii="Times New Roman" w:eastAsia="Times New Roman" w:hAnsi="Times New Roman" w:cs="Times New Roman"/>
          <w:sz w:val="24"/>
          <w:szCs w:val="24"/>
        </w:rPr>
        <w:t>Ogunlana</w:t>
      </w:r>
      <w:proofErr w:type="spellEnd"/>
      <w:r w:rsidRPr="002E7761">
        <w:rPr>
          <w:rFonts w:ascii="Times New Roman" w:eastAsia="Times New Roman" w:hAnsi="Times New Roman" w:cs="Times New Roman"/>
          <w:sz w:val="24"/>
          <w:szCs w:val="24"/>
        </w:rPr>
        <w:t xml:space="preserve">. We have examined and found this work acceptable as part of the requirement for the award of </w:t>
      </w:r>
      <w:r w:rsidR="00454DF1" w:rsidRPr="002E7761">
        <w:rPr>
          <w:rFonts w:ascii="Times New Roman" w:eastAsia="Times New Roman" w:hAnsi="Times New Roman" w:cs="Times New Roman"/>
          <w:sz w:val="24"/>
          <w:szCs w:val="24"/>
        </w:rPr>
        <w:t xml:space="preserve">a </w:t>
      </w:r>
      <w:r w:rsidRPr="002E7761">
        <w:rPr>
          <w:rFonts w:ascii="Times New Roman" w:eastAsia="Times New Roman" w:hAnsi="Times New Roman" w:cs="Times New Roman"/>
          <w:sz w:val="24"/>
          <w:szCs w:val="24"/>
        </w:rPr>
        <w:t>Master of Science (M. Sc.) degree in Biochemistry.</w:t>
      </w:r>
    </w:p>
    <w:p w:rsidR="00EE21FB" w:rsidRPr="002E7761" w:rsidRDefault="00EE21FB" w:rsidP="00F77439">
      <w:pPr>
        <w:spacing w:line="360" w:lineRule="auto"/>
        <w:jc w:val="both"/>
        <w:rPr>
          <w:rFonts w:ascii="Times New Roman" w:eastAsia="Times New Roman" w:hAnsi="Times New Roman" w:cs="Times New Roman"/>
          <w:sz w:val="24"/>
          <w:szCs w:val="24"/>
        </w:rPr>
      </w:pPr>
    </w:p>
    <w:p w:rsidR="00F77439" w:rsidRPr="002E7761" w:rsidRDefault="00F77439" w:rsidP="00F77439">
      <w:pPr>
        <w:spacing w:line="360" w:lineRule="auto"/>
        <w:jc w:val="both"/>
        <w:rPr>
          <w:rFonts w:ascii="Times New Roman" w:eastAsia="Times New Roman" w:hAnsi="Times New Roman" w:cs="Times New Roman"/>
          <w:sz w:val="24"/>
          <w:szCs w:val="24"/>
        </w:rPr>
      </w:pPr>
    </w:p>
    <w:p w:rsidR="00F77439" w:rsidRPr="002E7761" w:rsidRDefault="00F77439" w:rsidP="00F77439">
      <w:pPr>
        <w:spacing w:after="0" w:line="360" w:lineRule="auto"/>
        <w:jc w:val="both"/>
        <w:rPr>
          <w:rFonts w:ascii="Times New Roman" w:eastAsia="Times New Roman" w:hAnsi="Times New Roman" w:cs="Times New Roman"/>
          <w:sz w:val="24"/>
          <w:szCs w:val="24"/>
          <w:lang w:val="en-US" w:eastAsia="en-GB"/>
        </w:rPr>
      </w:pPr>
      <w:proofErr w:type="spellStart"/>
      <w:r w:rsidRPr="002E7761">
        <w:rPr>
          <w:rFonts w:ascii="Times New Roman" w:eastAsia="Times New Roman" w:hAnsi="Times New Roman" w:cs="Times New Roman"/>
          <w:b/>
          <w:sz w:val="24"/>
          <w:szCs w:val="24"/>
        </w:rPr>
        <w:t>Prof.</w:t>
      </w:r>
      <w:proofErr w:type="spellEnd"/>
      <w:r w:rsidRPr="002E7761">
        <w:rPr>
          <w:rFonts w:ascii="Times New Roman" w:eastAsia="Times New Roman" w:hAnsi="Times New Roman" w:cs="Times New Roman"/>
          <w:b/>
          <w:sz w:val="24"/>
          <w:szCs w:val="24"/>
        </w:rPr>
        <w:t xml:space="preserve"> </w:t>
      </w:r>
      <w:proofErr w:type="spellStart"/>
      <w:r w:rsidRPr="002E7761">
        <w:rPr>
          <w:rFonts w:ascii="Times New Roman" w:eastAsia="Times New Roman" w:hAnsi="Times New Roman" w:cs="Times New Roman"/>
          <w:b/>
          <w:sz w:val="24"/>
          <w:szCs w:val="24"/>
        </w:rPr>
        <w:t>Olubanke</w:t>
      </w:r>
      <w:proofErr w:type="spellEnd"/>
      <w:r w:rsidRPr="002E7761">
        <w:rPr>
          <w:rFonts w:ascii="Times New Roman" w:eastAsia="Times New Roman" w:hAnsi="Times New Roman" w:cs="Times New Roman"/>
          <w:b/>
          <w:sz w:val="24"/>
          <w:szCs w:val="24"/>
        </w:rPr>
        <w:t xml:space="preserve"> O. </w:t>
      </w:r>
      <w:proofErr w:type="spellStart"/>
      <w:r w:rsidRPr="002E7761">
        <w:rPr>
          <w:rFonts w:ascii="Times New Roman" w:eastAsia="Times New Roman" w:hAnsi="Times New Roman" w:cs="Times New Roman"/>
          <w:b/>
          <w:sz w:val="24"/>
          <w:szCs w:val="24"/>
        </w:rPr>
        <w:t>Ogunlana</w:t>
      </w:r>
      <w:proofErr w:type="spellEnd"/>
      <w:r w:rsidRPr="002E7761">
        <w:rPr>
          <w:rFonts w:ascii="Times New Roman" w:eastAsia="Times New Roman" w:hAnsi="Times New Roman" w:cs="Times New Roman"/>
          <w:b/>
          <w:sz w:val="24"/>
          <w:szCs w:val="24"/>
          <w:lang w:val="en-US" w:eastAsia="en-GB"/>
        </w:rPr>
        <w:tab/>
      </w:r>
      <w:r w:rsidRPr="002E7761">
        <w:rPr>
          <w:rFonts w:ascii="Times New Roman" w:eastAsia="Times New Roman" w:hAnsi="Times New Roman" w:cs="Times New Roman"/>
          <w:b/>
          <w:sz w:val="24"/>
          <w:szCs w:val="24"/>
          <w:lang w:val="en-US" w:eastAsia="en-GB"/>
        </w:rPr>
        <w:tab/>
      </w:r>
      <w:r w:rsidRPr="002E7761">
        <w:rPr>
          <w:rFonts w:ascii="Times New Roman" w:eastAsia="Times New Roman" w:hAnsi="Times New Roman" w:cs="Times New Roman"/>
          <w:b/>
          <w:sz w:val="24"/>
          <w:szCs w:val="24"/>
          <w:lang w:val="en-US" w:eastAsia="en-GB"/>
        </w:rPr>
        <w:tab/>
      </w:r>
      <w:r w:rsidRPr="002E7761">
        <w:rPr>
          <w:rFonts w:ascii="Times New Roman" w:eastAsia="Times New Roman" w:hAnsi="Times New Roman" w:cs="Times New Roman"/>
          <w:b/>
          <w:sz w:val="24"/>
          <w:szCs w:val="24"/>
          <w:lang w:val="en-US" w:eastAsia="en-GB"/>
        </w:rPr>
        <w:tab/>
      </w:r>
      <w:r w:rsidRPr="002E7761">
        <w:rPr>
          <w:rFonts w:ascii="Times New Roman" w:eastAsia="Times New Roman" w:hAnsi="Times New Roman" w:cs="Times New Roman"/>
          <w:sz w:val="24"/>
          <w:szCs w:val="24"/>
          <w:lang w:val="en-US" w:eastAsia="en-GB"/>
        </w:rPr>
        <w:t xml:space="preserve">______________________ </w:t>
      </w:r>
    </w:p>
    <w:p w:rsidR="00F77439" w:rsidRPr="002E7761" w:rsidRDefault="00F77439" w:rsidP="00F77439">
      <w:pPr>
        <w:spacing w:after="0" w:line="360" w:lineRule="auto"/>
        <w:jc w:val="both"/>
        <w:rPr>
          <w:rFonts w:ascii="Times New Roman" w:eastAsia="Times New Roman" w:hAnsi="Times New Roman" w:cs="Times New Roman"/>
          <w:sz w:val="24"/>
          <w:szCs w:val="24"/>
          <w:lang w:val="en-US" w:eastAsia="en-GB"/>
        </w:rPr>
      </w:pPr>
      <w:r w:rsidRPr="002E7761">
        <w:rPr>
          <w:rFonts w:ascii="Times New Roman" w:eastAsia="Times New Roman" w:hAnsi="Times New Roman" w:cs="Times New Roman"/>
          <w:bCs/>
          <w:sz w:val="24"/>
          <w:szCs w:val="24"/>
          <w:lang w:val="en-US" w:eastAsia="en-GB"/>
        </w:rPr>
        <w:t xml:space="preserve">(Supervisor) </w:t>
      </w:r>
      <w:r w:rsidRPr="002E7761">
        <w:rPr>
          <w:rFonts w:ascii="Times New Roman" w:eastAsia="Times New Roman" w:hAnsi="Times New Roman" w:cs="Times New Roman"/>
          <w:bCs/>
          <w:sz w:val="24"/>
          <w:szCs w:val="24"/>
          <w:lang w:val="en-US" w:eastAsia="en-GB"/>
        </w:rPr>
        <w:tab/>
      </w:r>
      <w:r w:rsidRPr="002E7761">
        <w:rPr>
          <w:rFonts w:ascii="Times New Roman" w:eastAsia="Times New Roman" w:hAnsi="Times New Roman" w:cs="Times New Roman"/>
          <w:sz w:val="24"/>
          <w:szCs w:val="24"/>
          <w:lang w:val="en-US" w:eastAsia="en-GB"/>
        </w:rPr>
        <w:tab/>
      </w:r>
      <w:r w:rsidRPr="002E7761">
        <w:rPr>
          <w:rFonts w:ascii="Times New Roman" w:eastAsia="Times New Roman" w:hAnsi="Times New Roman" w:cs="Times New Roman"/>
          <w:sz w:val="24"/>
          <w:szCs w:val="24"/>
          <w:lang w:val="en-US" w:eastAsia="en-GB"/>
        </w:rPr>
        <w:tab/>
      </w:r>
      <w:r w:rsidRPr="002E7761">
        <w:rPr>
          <w:rFonts w:ascii="Times New Roman" w:eastAsia="Times New Roman" w:hAnsi="Times New Roman" w:cs="Times New Roman"/>
          <w:sz w:val="24"/>
          <w:szCs w:val="24"/>
          <w:lang w:val="en-US" w:eastAsia="en-GB"/>
        </w:rPr>
        <w:tab/>
      </w:r>
      <w:r w:rsidRPr="002E7761">
        <w:rPr>
          <w:rFonts w:ascii="Times New Roman" w:eastAsia="Times New Roman" w:hAnsi="Times New Roman" w:cs="Times New Roman"/>
          <w:sz w:val="24"/>
          <w:szCs w:val="24"/>
          <w:lang w:val="en-US" w:eastAsia="en-GB"/>
        </w:rPr>
        <w:tab/>
      </w:r>
      <w:r w:rsidRPr="002E7761">
        <w:rPr>
          <w:rFonts w:ascii="Times New Roman" w:eastAsia="Times New Roman" w:hAnsi="Times New Roman" w:cs="Times New Roman"/>
          <w:sz w:val="24"/>
          <w:szCs w:val="24"/>
          <w:lang w:val="en-US" w:eastAsia="en-GB"/>
        </w:rPr>
        <w:tab/>
      </w:r>
      <w:r w:rsidRPr="002E7761">
        <w:rPr>
          <w:rFonts w:ascii="Times New Roman" w:eastAsia="Times New Roman" w:hAnsi="Times New Roman" w:cs="Times New Roman"/>
          <w:sz w:val="24"/>
          <w:szCs w:val="24"/>
          <w:lang w:val="en-US" w:eastAsia="en-GB"/>
        </w:rPr>
        <w:tab/>
        <w:t xml:space="preserve">      Signature and Date</w:t>
      </w:r>
    </w:p>
    <w:p w:rsidR="00F77439" w:rsidRPr="002E7761" w:rsidRDefault="00F77439" w:rsidP="00F77439">
      <w:pPr>
        <w:spacing w:after="0" w:line="360" w:lineRule="auto"/>
        <w:jc w:val="both"/>
        <w:rPr>
          <w:rFonts w:ascii="Times New Roman" w:eastAsia="Times New Roman" w:hAnsi="Times New Roman" w:cs="Times New Roman"/>
          <w:sz w:val="24"/>
          <w:szCs w:val="24"/>
          <w:lang w:val="en-US" w:eastAsia="en-GB"/>
        </w:rPr>
      </w:pPr>
    </w:p>
    <w:p w:rsidR="00F77439" w:rsidRPr="002E7761" w:rsidRDefault="00F77439" w:rsidP="00F77439">
      <w:pPr>
        <w:spacing w:after="0" w:line="360" w:lineRule="auto"/>
        <w:jc w:val="both"/>
        <w:rPr>
          <w:rFonts w:ascii="Times New Roman" w:eastAsia="Times New Roman" w:hAnsi="Times New Roman" w:cs="Times New Roman"/>
          <w:b/>
          <w:sz w:val="24"/>
          <w:szCs w:val="24"/>
          <w:lang w:val="en-US" w:eastAsia="en-GB"/>
        </w:rPr>
      </w:pPr>
    </w:p>
    <w:p w:rsidR="00F77439" w:rsidRPr="002E7761" w:rsidRDefault="00F77439" w:rsidP="00F77439">
      <w:pPr>
        <w:spacing w:line="0" w:lineRule="atLeast"/>
        <w:rPr>
          <w:rFonts w:ascii="Times New Roman" w:eastAsia="Times New Roman" w:hAnsi="Times New Roman" w:cs="Times New Roman"/>
          <w:b/>
          <w:sz w:val="24"/>
          <w:szCs w:val="24"/>
        </w:rPr>
      </w:pPr>
      <w:proofErr w:type="spellStart"/>
      <w:r w:rsidRPr="002E7761">
        <w:rPr>
          <w:rFonts w:ascii="Times New Roman" w:eastAsia="Times New Roman" w:hAnsi="Times New Roman" w:cs="Times New Roman"/>
          <w:b/>
          <w:sz w:val="24"/>
          <w:szCs w:val="24"/>
        </w:rPr>
        <w:t>Prof.</w:t>
      </w:r>
      <w:proofErr w:type="spellEnd"/>
      <w:r w:rsidRPr="002E7761">
        <w:rPr>
          <w:rFonts w:ascii="Times New Roman" w:eastAsia="Times New Roman" w:hAnsi="Times New Roman" w:cs="Times New Roman"/>
          <w:b/>
          <w:sz w:val="24"/>
          <w:szCs w:val="24"/>
        </w:rPr>
        <w:t xml:space="preserve"> Solomon O. </w:t>
      </w:r>
      <w:proofErr w:type="spellStart"/>
      <w:r w:rsidRPr="002E7761">
        <w:rPr>
          <w:rFonts w:ascii="Times New Roman" w:eastAsia="Times New Roman" w:hAnsi="Times New Roman" w:cs="Times New Roman"/>
          <w:b/>
          <w:sz w:val="24"/>
          <w:szCs w:val="24"/>
        </w:rPr>
        <w:t>Rotimi</w:t>
      </w:r>
      <w:proofErr w:type="spellEnd"/>
      <w:r w:rsidRPr="002E7761">
        <w:rPr>
          <w:rFonts w:ascii="Times New Roman" w:eastAsia="Times New Roman" w:hAnsi="Times New Roman" w:cs="Times New Roman"/>
          <w:b/>
          <w:sz w:val="24"/>
          <w:szCs w:val="24"/>
        </w:rPr>
        <w:t xml:space="preserve"> </w:t>
      </w:r>
      <w:r w:rsidRPr="002E7761">
        <w:rPr>
          <w:rFonts w:ascii="Times New Roman" w:eastAsia="Times New Roman" w:hAnsi="Times New Roman" w:cs="Times New Roman"/>
          <w:sz w:val="24"/>
          <w:szCs w:val="24"/>
          <w:lang w:val="en-US" w:eastAsia="en-GB"/>
        </w:rPr>
        <w:tab/>
      </w:r>
      <w:r w:rsidRPr="002E7761">
        <w:rPr>
          <w:rFonts w:ascii="Times New Roman" w:eastAsia="Times New Roman" w:hAnsi="Times New Roman" w:cs="Times New Roman"/>
          <w:sz w:val="24"/>
          <w:szCs w:val="24"/>
          <w:lang w:val="en-US" w:eastAsia="en-GB"/>
        </w:rPr>
        <w:tab/>
      </w:r>
      <w:r w:rsidRPr="002E7761">
        <w:rPr>
          <w:rFonts w:ascii="Times New Roman" w:eastAsia="Times New Roman" w:hAnsi="Times New Roman" w:cs="Times New Roman"/>
          <w:sz w:val="24"/>
          <w:szCs w:val="24"/>
          <w:lang w:val="en-US" w:eastAsia="en-GB"/>
        </w:rPr>
        <w:tab/>
        <w:t xml:space="preserve">              </w:t>
      </w:r>
      <w:r w:rsidRPr="002E7761">
        <w:rPr>
          <w:rFonts w:ascii="Times New Roman" w:eastAsia="Times New Roman" w:hAnsi="Times New Roman" w:cs="Times New Roman"/>
          <w:sz w:val="24"/>
          <w:szCs w:val="24"/>
          <w:lang w:val="en-US" w:eastAsia="en-GB"/>
        </w:rPr>
        <w:tab/>
        <w:t xml:space="preserve">______________________ </w:t>
      </w:r>
    </w:p>
    <w:p w:rsidR="00F77439" w:rsidRPr="002E7761" w:rsidRDefault="00F77439" w:rsidP="00F77439">
      <w:pPr>
        <w:spacing w:after="0" w:line="360" w:lineRule="auto"/>
        <w:jc w:val="both"/>
        <w:rPr>
          <w:rFonts w:ascii="Times New Roman" w:eastAsia="Times New Roman" w:hAnsi="Times New Roman" w:cs="Times New Roman"/>
          <w:sz w:val="24"/>
          <w:szCs w:val="24"/>
          <w:lang w:val="en-US" w:eastAsia="en-GB"/>
        </w:rPr>
      </w:pPr>
      <w:r w:rsidRPr="002E7761">
        <w:rPr>
          <w:rFonts w:ascii="Times New Roman" w:eastAsia="Times New Roman" w:hAnsi="Times New Roman" w:cs="Times New Roman"/>
          <w:bCs/>
          <w:sz w:val="24"/>
          <w:szCs w:val="24"/>
          <w:lang w:val="en-US" w:eastAsia="en-GB"/>
        </w:rPr>
        <w:t xml:space="preserve">(Head of Department) </w:t>
      </w:r>
      <w:r w:rsidRPr="002E7761">
        <w:rPr>
          <w:rFonts w:ascii="Times New Roman" w:eastAsia="Times New Roman" w:hAnsi="Times New Roman" w:cs="Times New Roman"/>
          <w:bCs/>
          <w:sz w:val="24"/>
          <w:szCs w:val="24"/>
          <w:lang w:val="en-US" w:eastAsia="en-GB"/>
        </w:rPr>
        <w:tab/>
      </w:r>
      <w:r w:rsidRPr="002E7761">
        <w:rPr>
          <w:rFonts w:ascii="Times New Roman" w:eastAsia="Times New Roman" w:hAnsi="Times New Roman" w:cs="Times New Roman"/>
          <w:sz w:val="24"/>
          <w:szCs w:val="24"/>
          <w:lang w:val="en-US" w:eastAsia="en-GB"/>
        </w:rPr>
        <w:tab/>
      </w:r>
      <w:r w:rsidRPr="002E7761">
        <w:rPr>
          <w:rFonts w:ascii="Times New Roman" w:eastAsia="Times New Roman" w:hAnsi="Times New Roman" w:cs="Times New Roman"/>
          <w:sz w:val="24"/>
          <w:szCs w:val="24"/>
          <w:lang w:val="en-US" w:eastAsia="en-GB"/>
        </w:rPr>
        <w:tab/>
      </w:r>
      <w:r w:rsidRPr="002E7761">
        <w:rPr>
          <w:rFonts w:ascii="Times New Roman" w:eastAsia="Times New Roman" w:hAnsi="Times New Roman" w:cs="Times New Roman"/>
          <w:sz w:val="24"/>
          <w:szCs w:val="24"/>
          <w:lang w:val="en-US" w:eastAsia="en-GB"/>
        </w:rPr>
        <w:tab/>
      </w:r>
      <w:r w:rsidRPr="002E7761">
        <w:rPr>
          <w:rFonts w:ascii="Times New Roman" w:eastAsia="Times New Roman" w:hAnsi="Times New Roman" w:cs="Times New Roman"/>
          <w:sz w:val="24"/>
          <w:szCs w:val="24"/>
          <w:lang w:val="en-US" w:eastAsia="en-GB"/>
        </w:rPr>
        <w:tab/>
        <w:t xml:space="preserve">      Signature and Date</w:t>
      </w:r>
    </w:p>
    <w:p w:rsidR="00F77439" w:rsidRPr="002E7761" w:rsidRDefault="00F77439" w:rsidP="00F77439">
      <w:pPr>
        <w:spacing w:line="360" w:lineRule="auto"/>
        <w:jc w:val="both"/>
        <w:rPr>
          <w:rFonts w:ascii="Times New Roman" w:eastAsia="Times New Roman" w:hAnsi="Times New Roman" w:cs="Times New Roman"/>
          <w:sz w:val="24"/>
          <w:szCs w:val="24"/>
        </w:rPr>
      </w:pPr>
    </w:p>
    <w:p w:rsidR="00F77439" w:rsidRPr="002E7761" w:rsidRDefault="00F77439" w:rsidP="00F77439">
      <w:pPr>
        <w:spacing w:line="360" w:lineRule="auto"/>
        <w:jc w:val="both"/>
        <w:rPr>
          <w:rFonts w:ascii="Times New Roman" w:eastAsia="Times New Roman" w:hAnsi="Times New Roman" w:cs="Times New Roman"/>
          <w:sz w:val="24"/>
          <w:szCs w:val="24"/>
        </w:rPr>
      </w:pPr>
    </w:p>
    <w:p w:rsidR="00F77439" w:rsidRPr="002E7761" w:rsidRDefault="002E7761" w:rsidP="00F77439">
      <w:pPr>
        <w:spacing w:line="0" w:lineRule="atLeast"/>
        <w:rPr>
          <w:rFonts w:ascii="Times New Roman" w:eastAsia="Times New Roman" w:hAnsi="Times New Roman" w:cs="Times New Roman"/>
          <w:b/>
          <w:sz w:val="24"/>
          <w:szCs w:val="24"/>
        </w:rPr>
      </w:pPr>
      <w:r w:rsidRPr="002E7761">
        <w:rPr>
          <w:rFonts w:ascii="Times New Roman" w:eastAsia="Times New Roman" w:hAnsi="Times New Roman" w:cs="Times New Roman"/>
          <w:b/>
          <w:sz w:val="24"/>
          <w:szCs w:val="24"/>
        </w:rPr>
        <w:t xml:space="preserve"> </w:t>
      </w:r>
      <w:proofErr w:type="spellStart"/>
      <w:r w:rsidR="00964B0E">
        <w:rPr>
          <w:rFonts w:ascii="Times New Roman" w:eastAsia="Times New Roman" w:hAnsi="Times New Roman" w:cs="Times New Roman"/>
          <w:b/>
          <w:sz w:val="24"/>
          <w:szCs w:val="24"/>
        </w:rPr>
        <w:t>Prof.</w:t>
      </w:r>
      <w:proofErr w:type="spellEnd"/>
      <w:r w:rsidR="00964B0E">
        <w:rPr>
          <w:rFonts w:ascii="Times New Roman" w:eastAsia="Times New Roman" w:hAnsi="Times New Roman" w:cs="Times New Roman"/>
          <w:b/>
          <w:sz w:val="24"/>
          <w:szCs w:val="24"/>
        </w:rPr>
        <w:t xml:space="preserve"> Joseph O. Adebayo      </w:t>
      </w:r>
      <w:r w:rsidR="00F77439" w:rsidRPr="002E7761">
        <w:rPr>
          <w:rFonts w:ascii="Times New Roman" w:eastAsia="Times New Roman" w:hAnsi="Times New Roman" w:cs="Times New Roman"/>
          <w:sz w:val="24"/>
          <w:szCs w:val="24"/>
          <w:lang w:val="en-US" w:eastAsia="en-GB"/>
        </w:rPr>
        <w:tab/>
      </w:r>
      <w:r w:rsidR="00F77439" w:rsidRPr="002E7761">
        <w:rPr>
          <w:rFonts w:ascii="Times New Roman" w:eastAsia="Times New Roman" w:hAnsi="Times New Roman" w:cs="Times New Roman"/>
          <w:sz w:val="24"/>
          <w:szCs w:val="24"/>
          <w:lang w:val="en-US" w:eastAsia="en-GB"/>
        </w:rPr>
        <w:tab/>
        <w:t xml:space="preserve">              </w:t>
      </w:r>
      <w:r w:rsidR="00F77439" w:rsidRPr="002E7761">
        <w:rPr>
          <w:rFonts w:ascii="Times New Roman" w:eastAsia="Times New Roman" w:hAnsi="Times New Roman" w:cs="Times New Roman"/>
          <w:sz w:val="24"/>
          <w:szCs w:val="24"/>
          <w:lang w:val="en-US" w:eastAsia="en-GB"/>
        </w:rPr>
        <w:tab/>
        <w:t xml:space="preserve">______________________ </w:t>
      </w:r>
    </w:p>
    <w:p w:rsidR="00F77439" w:rsidRPr="002E7761" w:rsidRDefault="002E7761" w:rsidP="00F77439">
      <w:pPr>
        <w:spacing w:after="0" w:line="360" w:lineRule="auto"/>
        <w:jc w:val="both"/>
        <w:rPr>
          <w:rFonts w:ascii="Times New Roman" w:eastAsia="Times New Roman" w:hAnsi="Times New Roman" w:cs="Times New Roman"/>
          <w:sz w:val="24"/>
          <w:szCs w:val="24"/>
          <w:lang w:val="en-US" w:eastAsia="en-GB"/>
        </w:rPr>
      </w:pPr>
      <w:r w:rsidRPr="00964B0E">
        <w:rPr>
          <w:rFonts w:ascii="Times New Roman" w:eastAsia="Times New Roman" w:hAnsi="Times New Roman" w:cs="Times New Roman"/>
          <w:bCs/>
          <w:sz w:val="24"/>
          <w:szCs w:val="24"/>
          <w:lang w:val="en-US" w:eastAsia="en-GB"/>
        </w:rPr>
        <w:t>(External Examiner</w:t>
      </w:r>
      <w:r w:rsidR="00F77439" w:rsidRPr="00964B0E">
        <w:rPr>
          <w:rFonts w:ascii="Times New Roman" w:eastAsia="Times New Roman" w:hAnsi="Times New Roman" w:cs="Times New Roman"/>
          <w:bCs/>
          <w:sz w:val="24"/>
          <w:szCs w:val="24"/>
          <w:lang w:val="en-US" w:eastAsia="en-GB"/>
        </w:rPr>
        <w:t>)</w:t>
      </w:r>
      <w:r w:rsidR="00F77439" w:rsidRPr="002E7761">
        <w:rPr>
          <w:rFonts w:ascii="Times New Roman" w:eastAsia="Times New Roman" w:hAnsi="Times New Roman" w:cs="Times New Roman"/>
          <w:b/>
          <w:bCs/>
          <w:sz w:val="24"/>
          <w:szCs w:val="24"/>
          <w:lang w:val="en-US" w:eastAsia="en-GB"/>
        </w:rPr>
        <w:t xml:space="preserve"> </w:t>
      </w:r>
      <w:r w:rsidR="00F77439" w:rsidRPr="002E7761">
        <w:rPr>
          <w:rFonts w:ascii="Times New Roman" w:eastAsia="Times New Roman" w:hAnsi="Times New Roman" w:cs="Times New Roman"/>
          <w:b/>
          <w:bCs/>
          <w:sz w:val="24"/>
          <w:szCs w:val="24"/>
          <w:lang w:val="en-US" w:eastAsia="en-GB"/>
        </w:rPr>
        <w:tab/>
      </w:r>
      <w:r w:rsidR="00F77439" w:rsidRPr="002E7761">
        <w:rPr>
          <w:rFonts w:ascii="Times New Roman" w:eastAsia="Times New Roman" w:hAnsi="Times New Roman" w:cs="Times New Roman"/>
          <w:sz w:val="24"/>
          <w:szCs w:val="24"/>
          <w:lang w:val="en-US" w:eastAsia="en-GB"/>
        </w:rPr>
        <w:tab/>
      </w:r>
      <w:r w:rsidR="00F77439" w:rsidRPr="002E7761">
        <w:rPr>
          <w:rFonts w:ascii="Times New Roman" w:eastAsia="Times New Roman" w:hAnsi="Times New Roman" w:cs="Times New Roman"/>
          <w:sz w:val="24"/>
          <w:szCs w:val="24"/>
          <w:lang w:val="en-US" w:eastAsia="en-GB"/>
        </w:rPr>
        <w:tab/>
      </w:r>
      <w:r w:rsidR="00F77439" w:rsidRPr="002E7761">
        <w:rPr>
          <w:rFonts w:ascii="Times New Roman" w:eastAsia="Times New Roman" w:hAnsi="Times New Roman" w:cs="Times New Roman"/>
          <w:sz w:val="24"/>
          <w:szCs w:val="24"/>
          <w:lang w:val="en-US" w:eastAsia="en-GB"/>
        </w:rPr>
        <w:tab/>
      </w:r>
      <w:r w:rsidR="00F77439" w:rsidRPr="002E7761">
        <w:rPr>
          <w:rFonts w:ascii="Times New Roman" w:eastAsia="Times New Roman" w:hAnsi="Times New Roman" w:cs="Times New Roman"/>
          <w:sz w:val="24"/>
          <w:szCs w:val="24"/>
          <w:lang w:val="en-US" w:eastAsia="en-GB"/>
        </w:rPr>
        <w:tab/>
        <w:t xml:space="preserve">     </w:t>
      </w:r>
      <w:r w:rsidR="00964B0E">
        <w:rPr>
          <w:rFonts w:ascii="Times New Roman" w:eastAsia="Times New Roman" w:hAnsi="Times New Roman" w:cs="Times New Roman"/>
          <w:sz w:val="24"/>
          <w:szCs w:val="24"/>
          <w:lang w:val="en-US" w:eastAsia="en-GB"/>
        </w:rPr>
        <w:t xml:space="preserve">           </w:t>
      </w:r>
      <w:r w:rsidR="00F77439" w:rsidRPr="002E7761">
        <w:rPr>
          <w:rFonts w:ascii="Times New Roman" w:eastAsia="Times New Roman" w:hAnsi="Times New Roman" w:cs="Times New Roman"/>
          <w:sz w:val="24"/>
          <w:szCs w:val="24"/>
          <w:lang w:val="en-US" w:eastAsia="en-GB"/>
        </w:rPr>
        <w:t xml:space="preserve"> Signature and Date</w:t>
      </w:r>
    </w:p>
    <w:p w:rsidR="00F77439" w:rsidRPr="002E7761" w:rsidRDefault="00F77439" w:rsidP="00F77439">
      <w:pPr>
        <w:spacing w:after="0" w:line="360" w:lineRule="auto"/>
        <w:jc w:val="both"/>
        <w:rPr>
          <w:rFonts w:ascii="Times New Roman" w:eastAsia="Times New Roman" w:hAnsi="Times New Roman" w:cs="Times New Roman"/>
          <w:b/>
          <w:sz w:val="24"/>
          <w:szCs w:val="24"/>
          <w:lang w:val="en-US" w:eastAsia="en-GB"/>
        </w:rPr>
      </w:pPr>
    </w:p>
    <w:p w:rsidR="00F77439" w:rsidRPr="002E7761" w:rsidRDefault="00F77439" w:rsidP="00F77439">
      <w:pPr>
        <w:spacing w:after="0" w:line="360" w:lineRule="auto"/>
        <w:jc w:val="both"/>
        <w:rPr>
          <w:rFonts w:ascii="Times New Roman" w:eastAsia="Times New Roman" w:hAnsi="Times New Roman" w:cs="Times New Roman"/>
          <w:b/>
          <w:sz w:val="24"/>
          <w:szCs w:val="24"/>
          <w:lang w:val="en-US" w:eastAsia="en-GB"/>
        </w:rPr>
      </w:pPr>
    </w:p>
    <w:p w:rsidR="002E7761" w:rsidRPr="002E7761" w:rsidRDefault="002E7761" w:rsidP="002E7761">
      <w:pPr>
        <w:spacing w:after="0" w:line="360" w:lineRule="auto"/>
        <w:jc w:val="both"/>
        <w:rPr>
          <w:rFonts w:ascii="Times New Roman" w:eastAsia="Times New Roman" w:hAnsi="Times New Roman" w:cs="Times New Roman"/>
          <w:sz w:val="24"/>
          <w:szCs w:val="24"/>
          <w:lang w:val="en-US" w:eastAsia="en-GB"/>
        </w:rPr>
      </w:pPr>
      <w:r w:rsidRPr="002E7761">
        <w:rPr>
          <w:rFonts w:ascii="Times New Roman" w:eastAsia="Times New Roman" w:hAnsi="Times New Roman" w:cs="Times New Roman"/>
          <w:b/>
          <w:sz w:val="24"/>
          <w:szCs w:val="24"/>
          <w:lang w:val="en-US" w:eastAsia="en-GB"/>
        </w:rPr>
        <w:t xml:space="preserve">Prof. Akan B. </w:t>
      </w:r>
      <w:proofErr w:type="gramStart"/>
      <w:r w:rsidRPr="002E7761">
        <w:rPr>
          <w:rFonts w:ascii="Times New Roman" w:eastAsia="Times New Roman" w:hAnsi="Times New Roman" w:cs="Times New Roman"/>
          <w:b/>
          <w:sz w:val="24"/>
          <w:szCs w:val="24"/>
          <w:lang w:val="en-US" w:eastAsia="en-GB"/>
        </w:rPr>
        <w:t>Williams</w:t>
      </w:r>
      <w:proofErr w:type="gramEnd"/>
      <w:r w:rsidRPr="002E7761">
        <w:rPr>
          <w:rFonts w:ascii="Times New Roman" w:eastAsia="Times New Roman" w:hAnsi="Times New Roman" w:cs="Times New Roman"/>
          <w:sz w:val="24"/>
          <w:szCs w:val="24"/>
          <w:lang w:val="en-US" w:eastAsia="en-GB"/>
        </w:rPr>
        <w:tab/>
      </w:r>
      <w:r w:rsidRPr="002E7761">
        <w:rPr>
          <w:rFonts w:ascii="Times New Roman" w:eastAsia="Times New Roman" w:hAnsi="Times New Roman" w:cs="Times New Roman"/>
          <w:sz w:val="24"/>
          <w:szCs w:val="24"/>
          <w:lang w:val="en-US" w:eastAsia="en-GB"/>
        </w:rPr>
        <w:tab/>
      </w:r>
      <w:r w:rsidRPr="002E7761">
        <w:rPr>
          <w:rFonts w:ascii="Times New Roman" w:eastAsia="Times New Roman" w:hAnsi="Times New Roman" w:cs="Times New Roman"/>
          <w:sz w:val="24"/>
          <w:szCs w:val="24"/>
          <w:lang w:val="en-US" w:eastAsia="en-GB"/>
        </w:rPr>
        <w:tab/>
      </w:r>
      <w:r w:rsidRPr="002E7761">
        <w:rPr>
          <w:rFonts w:ascii="Times New Roman" w:eastAsia="Times New Roman" w:hAnsi="Times New Roman" w:cs="Times New Roman"/>
          <w:sz w:val="24"/>
          <w:szCs w:val="24"/>
          <w:lang w:val="en-US" w:eastAsia="en-GB"/>
        </w:rPr>
        <w:tab/>
      </w:r>
      <w:r w:rsidRPr="002E7761">
        <w:rPr>
          <w:rFonts w:ascii="Times New Roman" w:eastAsia="Times New Roman" w:hAnsi="Times New Roman" w:cs="Times New Roman"/>
          <w:sz w:val="24"/>
          <w:szCs w:val="24"/>
          <w:lang w:val="en-US" w:eastAsia="en-GB"/>
        </w:rPr>
        <w:tab/>
        <w:t xml:space="preserve"> ______________________</w:t>
      </w:r>
    </w:p>
    <w:p w:rsidR="002E7761" w:rsidRPr="002E7761" w:rsidRDefault="002E7761" w:rsidP="002E7761">
      <w:pPr>
        <w:spacing w:after="0" w:line="360" w:lineRule="auto"/>
        <w:jc w:val="both"/>
        <w:rPr>
          <w:rFonts w:ascii="Times New Roman" w:eastAsia="Times New Roman" w:hAnsi="Times New Roman" w:cs="Times New Roman"/>
          <w:sz w:val="24"/>
          <w:szCs w:val="24"/>
          <w:lang w:val="en-US" w:eastAsia="en-GB"/>
        </w:rPr>
      </w:pPr>
      <w:r w:rsidRPr="002E7761">
        <w:rPr>
          <w:rFonts w:ascii="Times New Roman" w:eastAsia="Times New Roman" w:hAnsi="Times New Roman" w:cs="Times New Roman"/>
          <w:bCs/>
          <w:sz w:val="24"/>
          <w:szCs w:val="24"/>
          <w:lang w:val="en-US" w:eastAsia="en-GB"/>
        </w:rPr>
        <w:t>(Dean, School of Postgraduate Studies)</w:t>
      </w:r>
      <w:r w:rsidRPr="002E7761">
        <w:rPr>
          <w:rFonts w:ascii="Times New Roman" w:eastAsia="Times New Roman" w:hAnsi="Times New Roman" w:cs="Times New Roman"/>
          <w:sz w:val="24"/>
          <w:szCs w:val="24"/>
          <w:lang w:val="en-US" w:eastAsia="en-GB"/>
        </w:rPr>
        <w:t xml:space="preserve"> </w:t>
      </w:r>
      <w:r w:rsidRPr="002E7761">
        <w:rPr>
          <w:rFonts w:ascii="Times New Roman" w:eastAsia="Times New Roman" w:hAnsi="Times New Roman" w:cs="Times New Roman"/>
          <w:sz w:val="24"/>
          <w:szCs w:val="24"/>
          <w:lang w:val="en-US" w:eastAsia="en-GB"/>
        </w:rPr>
        <w:tab/>
      </w:r>
      <w:r w:rsidRPr="002E7761">
        <w:rPr>
          <w:rFonts w:ascii="Times New Roman" w:eastAsia="Times New Roman" w:hAnsi="Times New Roman" w:cs="Times New Roman"/>
          <w:sz w:val="24"/>
          <w:szCs w:val="24"/>
          <w:lang w:val="en-US" w:eastAsia="en-GB"/>
        </w:rPr>
        <w:tab/>
      </w:r>
      <w:r w:rsidRPr="002E7761">
        <w:rPr>
          <w:rFonts w:ascii="Times New Roman" w:eastAsia="Times New Roman" w:hAnsi="Times New Roman" w:cs="Times New Roman"/>
          <w:sz w:val="24"/>
          <w:szCs w:val="24"/>
          <w:lang w:val="en-US" w:eastAsia="en-GB"/>
        </w:rPr>
        <w:tab/>
        <w:t xml:space="preserve">      Signature and Date</w:t>
      </w:r>
    </w:p>
    <w:p w:rsidR="00F77439" w:rsidRPr="002E7761" w:rsidRDefault="00F77439" w:rsidP="00F77439">
      <w:pPr>
        <w:spacing w:after="0" w:line="360" w:lineRule="auto"/>
        <w:jc w:val="both"/>
        <w:rPr>
          <w:rFonts w:ascii="Times New Roman" w:eastAsia="Times New Roman" w:hAnsi="Times New Roman" w:cs="Times New Roman"/>
          <w:b/>
          <w:sz w:val="24"/>
          <w:szCs w:val="24"/>
          <w:lang w:val="en-US" w:eastAsia="en-GB"/>
        </w:rPr>
      </w:pPr>
    </w:p>
    <w:p w:rsidR="00F77439" w:rsidRPr="002E7761" w:rsidRDefault="00F77439" w:rsidP="00F77439">
      <w:pPr>
        <w:spacing w:after="0" w:line="360" w:lineRule="auto"/>
        <w:jc w:val="both"/>
        <w:rPr>
          <w:rFonts w:ascii="Times New Roman" w:eastAsia="Times New Roman" w:hAnsi="Times New Roman" w:cs="Times New Roman"/>
          <w:b/>
          <w:sz w:val="24"/>
          <w:szCs w:val="24"/>
          <w:lang w:val="en-US" w:eastAsia="en-GB"/>
        </w:rPr>
      </w:pPr>
    </w:p>
    <w:p w:rsidR="00F77439" w:rsidRPr="002E7761" w:rsidRDefault="00F77439" w:rsidP="00F77439">
      <w:pPr>
        <w:spacing w:after="0" w:line="360" w:lineRule="auto"/>
        <w:jc w:val="both"/>
        <w:rPr>
          <w:rFonts w:ascii="Times New Roman" w:eastAsia="Times New Roman" w:hAnsi="Times New Roman" w:cs="Times New Roman"/>
          <w:b/>
          <w:sz w:val="24"/>
          <w:szCs w:val="24"/>
          <w:lang w:val="en-US" w:eastAsia="en-GB"/>
        </w:rPr>
      </w:pPr>
    </w:p>
    <w:p w:rsidR="00F77439" w:rsidRPr="002E7761" w:rsidRDefault="00F77439" w:rsidP="00F77439">
      <w:pPr>
        <w:spacing w:after="0" w:line="360" w:lineRule="auto"/>
        <w:jc w:val="both"/>
        <w:rPr>
          <w:rFonts w:ascii="Times New Roman" w:eastAsia="Times New Roman" w:hAnsi="Times New Roman" w:cs="Times New Roman"/>
          <w:b/>
          <w:sz w:val="24"/>
          <w:szCs w:val="24"/>
          <w:lang w:val="en-US" w:eastAsia="en-GB"/>
        </w:rPr>
      </w:pPr>
    </w:p>
    <w:p w:rsidR="00F77439" w:rsidRDefault="00F77439" w:rsidP="00F77439">
      <w:pPr>
        <w:spacing w:after="0" w:line="360" w:lineRule="auto"/>
        <w:jc w:val="both"/>
        <w:rPr>
          <w:rFonts w:ascii="Times New Roman" w:eastAsia="Times New Roman" w:hAnsi="Times New Roman" w:cs="Times New Roman"/>
          <w:b/>
          <w:sz w:val="24"/>
          <w:szCs w:val="24"/>
          <w:lang w:val="en-US" w:eastAsia="en-GB"/>
        </w:rPr>
      </w:pPr>
    </w:p>
    <w:p w:rsidR="008D02A9" w:rsidRPr="002E7761" w:rsidRDefault="008D02A9" w:rsidP="00F77439">
      <w:pPr>
        <w:spacing w:after="0" w:line="360" w:lineRule="auto"/>
        <w:jc w:val="both"/>
        <w:rPr>
          <w:rFonts w:ascii="Times New Roman" w:eastAsia="Times New Roman" w:hAnsi="Times New Roman" w:cs="Times New Roman"/>
          <w:b/>
          <w:sz w:val="24"/>
          <w:szCs w:val="24"/>
          <w:lang w:val="en-US" w:eastAsia="en-GB"/>
        </w:rPr>
      </w:pPr>
    </w:p>
    <w:p w:rsidR="002E7761" w:rsidRPr="002E7761" w:rsidRDefault="002E7761" w:rsidP="00F77439">
      <w:pPr>
        <w:spacing w:line="0" w:lineRule="atLeast"/>
        <w:rPr>
          <w:rFonts w:ascii="Times New Roman" w:eastAsia="Times New Roman" w:hAnsi="Times New Roman" w:cs="Times New Roman"/>
          <w:b/>
          <w:sz w:val="24"/>
          <w:szCs w:val="24"/>
          <w:lang w:val="en-US" w:eastAsia="en-GB"/>
        </w:rPr>
      </w:pPr>
    </w:p>
    <w:p w:rsidR="00F77439" w:rsidRPr="002E7761" w:rsidRDefault="00F77439" w:rsidP="002E7761">
      <w:pPr>
        <w:spacing w:line="0" w:lineRule="atLeast"/>
        <w:jc w:val="center"/>
        <w:rPr>
          <w:rFonts w:ascii="Times New Roman" w:eastAsia="Times New Roman" w:hAnsi="Times New Roman" w:cs="Times New Roman"/>
          <w:b/>
          <w:sz w:val="24"/>
          <w:szCs w:val="24"/>
        </w:rPr>
      </w:pPr>
      <w:r w:rsidRPr="002E7761">
        <w:rPr>
          <w:rFonts w:ascii="Times New Roman" w:eastAsia="Times New Roman" w:hAnsi="Times New Roman" w:cs="Times New Roman"/>
          <w:b/>
          <w:sz w:val="24"/>
          <w:szCs w:val="24"/>
        </w:rPr>
        <w:lastRenderedPageBreak/>
        <w:t>DEDICATION</w:t>
      </w:r>
    </w:p>
    <w:p w:rsidR="00F77439" w:rsidRPr="002E7761" w:rsidRDefault="00F77439" w:rsidP="00F77439">
      <w:pPr>
        <w:spacing w:line="170" w:lineRule="exact"/>
        <w:rPr>
          <w:rFonts w:ascii="Times New Roman" w:eastAsia="Times New Roman" w:hAnsi="Times New Roman" w:cs="Times New Roman"/>
          <w:sz w:val="24"/>
          <w:szCs w:val="24"/>
        </w:rPr>
      </w:pPr>
    </w:p>
    <w:p w:rsidR="00F77439" w:rsidRPr="002E7761" w:rsidRDefault="00F77439" w:rsidP="00F77439">
      <w:pPr>
        <w:spacing w:line="360" w:lineRule="auto"/>
        <w:jc w:val="both"/>
        <w:rPr>
          <w:rFonts w:ascii="Times New Roman" w:eastAsia="Calibri" w:hAnsi="Times New Roman" w:cs="Times New Roman"/>
          <w:sz w:val="24"/>
          <w:szCs w:val="24"/>
        </w:rPr>
      </w:pPr>
      <w:r w:rsidRPr="002E7761">
        <w:rPr>
          <w:rFonts w:ascii="Times New Roman" w:eastAsia="Calibri" w:hAnsi="Times New Roman" w:cs="Times New Roman"/>
          <w:sz w:val="24"/>
          <w:szCs w:val="24"/>
        </w:rPr>
        <w:t xml:space="preserve">I would like to dedicate my project to God </w:t>
      </w:r>
      <w:r w:rsidR="008D02A9">
        <w:rPr>
          <w:rFonts w:ascii="Times New Roman" w:eastAsia="Calibri" w:hAnsi="Times New Roman" w:cs="Times New Roman"/>
          <w:sz w:val="24"/>
          <w:szCs w:val="24"/>
        </w:rPr>
        <w:t>for his direction and protection over my life. Also,</w:t>
      </w:r>
      <w:r w:rsidRPr="002E7761">
        <w:rPr>
          <w:rFonts w:ascii="Times New Roman" w:eastAsia="Calibri" w:hAnsi="Times New Roman" w:cs="Times New Roman"/>
          <w:sz w:val="24"/>
          <w:szCs w:val="24"/>
        </w:rPr>
        <w:t xml:space="preserve"> my family</w:t>
      </w:r>
      <w:r w:rsidR="008D02A9">
        <w:rPr>
          <w:rFonts w:ascii="Times New Roman" w:eastAsia="Calibri" w:hAnsi="Times New Roman" w:cs="Times New Roman"/>
          <w:sz w:val="24"/>
          <w:szCs w:val="24"/>
        </w:rPr>
        <w:t xml:space="preserve"> members</w:t>
      </w:r>
      <w:r w:rsidRPr="002E7761">
        <w:rPr>
          <w:rFonts w:ascii="Times New Roman" w:eastAsia="Calibri" w:hAnsi="Times New Roman" w:cs="Times New Roman"/>
          <w:sz w:val="24"/>
          <w:szCs w:val="24"/>
        </w:rPr>
        <w:t xml:space="preserve"> </w:t>
      </w:r>
      <w:r w:rsidR="008D02A9">
        <w:rPr>
          <w:rFonts w:ascii="Times New Roman" w:eastAsia="Calibri" w:hAnsi="Times New Roman" w:cs="Times New Roman"/>
          <w:sz w:val="24"/>
          <w:szCs w:val="24"/>
        </w:rPr>
        <w:t xml:space="preserve">that </w:t>
      </w:r>
      <w:r w:rsidR="006A045C">
        <w:rPr>
          <w:rFonts w:ascii="Times New Roman" w:eastAsia="Calibri" w:hAnsi="Times New Roman" w:cs="Times New Roman"/>
          <w:sz w:val="24"/>
          <w:szCs w:val="24"/>
        </w:rPr>
        <w:t xml:space="preserve">have </w:t>
      </w:r>
      <w:r w:rsidR="00A176C8">
        <w:rPr>
          <w:rFonts w:ascii="Times New Roman" w:eastAsia="Calibri" w:hAnsi="Times New Roman" w:cs="Times New Roman"/>
          <w:sz w:val="24"/>
          <w:szCs w:val="24"/>
        </w:rPr>
        <w:t>constantly supported and encouraged me</w:t>
      </w:r>
      <w:r w:rsidRPr="002E7761">
        <w:rPr>
          <w:rFonts w:ascii="Times New Roman" w:eastAsia="Calibri" w:hAnsi="Times New Roman" w:cs="Times New Roman"/>
          <w:sz w:val="24"/>
          <w:szCs w:val="24"/>
        </w:rPr>
        <w:t xml:space="preserve"> throughout my academic journey. </w:t>
      </w:r>
    </w:p>
    <w:p w:rsidR="00F77439" w:rsidRPr="002E7761" w:rsidRDefault="00F77439" w:rsidP="00F77439">
      <w:pPr>
        <w:spacing w:line="200" w:lineRule="exact"/>
        <w:rPr>
          <w:rFonts w:ascii="Times New Roman" w:eastAsia="Times New Roman" w:hAnsi="Times New Roman" w:cs="Times New Roman"/>
          <w:sz w:val="24"/>
          <w:szCs w:val="24"/>
        </w:rPr>
      </w:pPr>
    </w:p>
    <w:p w:rsidR="00F77439" w:rsidRPr="002E7761" w:rsidRDefault="00F77439" w:rsidP="00F77439">
      <w:pPr>
        <w:spacing w:line="200" w:lineRule="exact"/>
        <w:rPr>
          <w:rFonts w:ascii="Times New Roman" w:eastAsia="Times New Roman" w:hAnsi="Times New Roman" w:cs="Times New Roman"/>
          <w:sz w:val="24"/>
          <w:szCs w:val="24"/>
        </w:rPr>
      </w:pPr>
    </w:p>
    <w:p w:rsidR="00F77439" w:rsidRPr="002E7761" w:rsidRDefault="00F77439" w:rsidP="00F77439">
      <w:pPr>
        <w:spacing w:line="200" w:lineRule="exact"/>
        <w:rPr>
          <w:rFonts w:ascii="Times New Roman" w:eastAsia="Times New Roman" w:hAnsi="Times New Roman" w:cs="Times New Roman"/>
          <w:sz w:val="24"/>
          <w:szCs w:val="24"/>
        </w:rPr>
      </w:pPr>
    </w:p>
    <w:p w:rsidR="00F77439" w:rsidRPr="002E7761" w:rsidRDefault="00F77439" w:rsidP="00F77439">
      <w:pPr>
        <w:spacing w:line="200" w:lineRule="exact"/>
        <w:rPr>
          <w:rFonts w:ascii="Times New Roman" w:eastAsia="Times New Roman" w:hAnsi="Times New Roman" w:cs="Times New Roman"/>
          <w:sz w:val="24"/>
          <w:szCs w:val="24"/>
        </w:rPr>
      </w:pPr>
    </w:p>
    <w:p w:rsidR="00F77439" w:rsidRPr="002E7761" w:rsidRDefault="00F77439" w:rsidP="00F77439">
      <w:pPr>
        <w:spacing w:line="200" w:lineRule="exact"/>
        <w:rPr>
          <w:rFonts w:ascii="Times New Roman" w:eastAsia="Times New Roman" w:hAnsi="Times New Roman" w:cs="Times New Roman"/>
          <w:sz w:val="24"/>
          <w:szCs w:val="24"/>
        </w:rPr>
      </w:pPr>
    </w:p>
    <w:p w:rsidR="00F77439" w:rsidRPr="002E7761" w:rsidRDefault="00F77439" w:rsidP="00F77439">
      <w:pPr>
        <w:spacing w:line="200" w:lineRule="exact"/>
        <w:rPr>
          <w:rFonts w:ascii="Times New Roman" w:eastAsia="Times New Roman" w:hAnsi="Times New Roman" w:cs="Times New Roman"/>
          <w:sz w:val="24"/>
          <w:szCs w:val="24"/>
        </w:rPr>
      </w:pPr>
    </w:p>
    <w:p w:rsidR="00F77439" w:rsidRPr="002E7761" w:rsidRDefault="00F77439" w:rsidP="00F77439">
      <w:pPr>
        <w:spacing w:line="200" w:lineRule="exact"/>
        <w:rPr>
          <w:rFonts w:ascii="Times New Roman" w:eastAsia="Times New Roman" w:hAnsi="Times New Roman" w:cs="Times New Roman"/>
          <w:sz w:val="24"/>
          <w:szCs w:val="24"/>
        </w:rPr>
      </w:pPr>
    </w:p>
    <w:p w:rsidR="00F77439" w:rsidRPr="002E7761" w:rsidRDefault="00F77439" w:rsidP="00F77439">
      <w:pPr>
        <w:spacing w:line="200" w:lineRule="exact"/>
        <w:rPr>
          <w:rFonts w:ascii="Times New Roman" w:eastAsia="Times New Roman" w:hAnsi="Times New Roman" w:cs="Times New Roman"/>
          <w:sz w:val="24"/>
          <w:szCs w:val="24"/>
        </w:rPr>
      </w:pPr>
    </w:p>
    <w:p w:rsidR="00F77439" w:rsidRPr="002E7761" w:rsidRDefault="00F77439" w:rsidP="00F77439">
      <w:pPr>
        <w:spacing w:line="200" w:lineRule="exact"/>
        <w:rPr>
          <w:rFonts w:ascii="Times New Roman" w:eastAsia="Times New Roman" w:hAnsi="Times New Roman" w:cs="Times New Roman"/>
          <w:sz w:val="24"/>
          <w:szCs w:val="24"/>
        </w:rPr>
      </w:pPr>
    </w:p>
    <w:p w:rsidR="00F77439" w:rsidRPr="002E7761" w:rsidRDefault="00F77439" w:rsidP="00F77439">
      <w:pPr>
        <w:spacing w:line="200" w:lineRule="exact"/>
        <w:rPr>
          <w:rFonts w:ascii="Times New Roman" w:eastAsia="Times New Roman" w:hAnsi="Times New Roman" w:cs="Times New Roman"/>
          <w:sz w:val="24"/>
          <w:szCs w:val="24"/>
        </w:rPr>
      </w:pPr>
    </w:p>
    <w:p w:rsidR="00F77439" w:rsidRPr="002E7761" w:rsidRDefault="00F77439" w:rsidP="00F77439">
      <w:pPr>
        <w:spacing w:line="200" w:lineRule="exact"/>
        <w:rPr>
          <w:rFonts w:ascii="Times New Roman" w:eastAsia="Times New Roman" w:hAnsi="Times New Roman" w:cs="Times New Roman"/>
          <w:sz w:val="24"/>
          <w:szCs w:val="24"/>
        </w:rPr>
      </w:pPr>
    </w:p>
    <w:p w:rsidR="00F77439" w:rsidRPr="002E7761" w:rsidRDefault="00F77439" w:rsidP="00F77439">
      <w:pPr>
        <w:spacing w:line="200" w:lineRule="exact"/>
        <w:rPr>
          <w:rFonts w:ascii="Times New Roman" w:eastAsia="Times New Roman" w:hAnsi="Times New Roman" w:cs="Times New Roman"/>
          <w:sz w:val="24"/>
          <w:szCs w:val="24"/>
        </w:rPr>
      </w:pPr>
    </w:p>
    <w:p w:rsidR="00F77439" w:rsidRPr="002E7761" w:rsidRDefault="00F77439" w:rsidP="00F77439">
      <w:pPr>
        <w:spacing w:line="200" w:lineRule="exact"/>
        <w:rPr>
          <w:rFonts w:ascii="Times New Roman" w:eastAsia="Times New Roman" w:hAnsi="Times New Roman" w:cs="Times New Roman"/>
          <w:sz w:val="24"/>
          <w:szCs w:val="24"/>
        </w:rPr>
      </w:pPr>
    </w:p>
    <w:p w:rsidR="00F77439" w:rsidRPr="002E7761" w:rsidRDefault="00F77439" w:rsidP="00F77439">
      <w:pPr>
        <w:spacing w:line="200" w:lineRule="exact"/>
        <w:rPr>
          <w:rFonts w:ascii="Times New Roman" w:eastAsia="Times New Roman" w:hAnsi="Times New Roman" w:cs="Times New Roman"/>
          <w:sz w:val="24"/>
          <w:szCs w:val="24"/>
        </w:rPr>
      </w:pPr>
    </w:p>
    <w:p w:rsidR="00F77439" w:rsidRPr="002E7761" w:rsidRDefault="00F77439" w:rsidP="00F77439">
      <w:pPr>
        <w:spacing w:line="200" w:lineRule="exact"/>
        <w:rPr>
          <w:rFonts w:ascii="Times New Roman" w:eastAsia="Times New Roman" w:hAnsi="Times New Roman" w:cs="Times New Roman"/>
          <w:sz w:val="24"/>
          <w:szCs w:val="24"/>
        </w:rPr>
      </w:pPr>
    </w:p>
    <w:p w:rsidR="00F77439" w:rsidRPr="002E7761" w:rsidRDefault="00F77439" w:rsidP="00F77439">
      <w:pPr>
        <w:spacing w:line="200" w:lineRule="exact"/>
        <w:rPr>
          <w:rFonts w:ascii="Times New Roman" w:eastAsia="Times New Roman" w:hAnsi="Times New Roman" w:cs="Times New Roman"/>
          <w:sz w:val="24"/>
          <w:szCs w:val="24"/>
        </w:rPr>
      </w:pPr>
    </w:p>
    <w:p w:rsidR="00F77439" w:rsidRPr="002E7761" w:rsidRDefault="00F77439" w:rsidP="00F77439">
      <w:pPr>
        <w:spacing w:line="360" w:lineRule="auto"/>
        <w:jc w:val="center"/>
        <w:rPr>
          <w:rFonts w:ascii="Times New Roman" w:eastAsia="Calibri" w:hAnsi="Times New Roman" w:cs="Times New Roman"/>
          <w:sz w:val="24"/>
          <w:szCs w:val="24"/>
        </w:rPr>
      </w:pPr>
    </w:p>
    <w:p w:rsidR="00F77439" w:rsidRPr="002E7761" w:rsidRDefault="00F77439" w:rsidP="00F77439">
      <w:pPr>
        <w:spacing w:line="360" w:lineRule="auto"/>
        <w:jc w:val="center"/>
        <w:rPr>
          <w:rFonts w:ascii="Times New Roman" w:eastAsia="Calibri" w:hAnsi="Times New Roman" w:cs="Times New Roman"/>
          <w:b/>
          <w:sz w:val="24"/>
          <w:szCs w:val="24"/>
        </w:rPr>
      </w:pPr>
    </w:p>
    <w:p w:rsidR="00F77439" w:rsidRPr="002E7761" w:rsidRDefault="00F77439" w:rsidP="00F77439">
      <w:pPr>
        <w:spacing w:line="360" w:lineRule="auto"/>
        <w:jc w:val="center"/>
        <w:rPr>
          <w:rFonts w:ascii="Times New Roman" w:eastAsia="Calibri" w:hAnsi="Times New Roman" w:cs="Times New Roman"/>
          <w:b/>
          <w:sz w:val="24"/>
          <w:szCs w:val="24"/>
        </w:rPr>
      </w:pPr>
    </w:p>
    <w:p w:rsidR="00F77439" w:rsidRPr="002E7761" w:rsidRDefault="00F77439" w:rsidP="00F77439">
      <w:pPr>
        <w:spacing w:line="360" w:lineRule="auto"/>
        <w:jc w:val="center"/>
        <w:rPr>
          <w:rFonts w:ascii="Times New Roman" w:eastAsia="Calibri" w:hAnsi="Times New Roman" w:cs="Times New Roman"/>
          <w:b/>
          <w:sz w:val="24"/>
          <w:szCs w:val="24"/>
        </w:rPr>
      </w:pPr>
    </w:p>
    <w:p w:rsidR="00F77439" w:rsidRPr="002E7761" w:rsidRDefault="00F77439" w:rsidP="00F77439">
      <w:pPr>
        <w:spacing w:line="360" w:lineRule="auto"/>
        <w:rPr>
          <w:rFonts w:ascii="Times New Roman" w:eastAsia="Calibri" w:hAnsi="Times New Roman" w:cs="Times New Roman"/>
          <w:sz w:val="24"/>
          <w:szCs w:val="24"/>
        </w:rPr>
      </w:pPr>
    </w:p>
    <w:p w:rsidR="00F77439" w:rsidRPr="002E7761" w:rsidRDefault="00F77439" w:rsidP="00F77439">
      <w:pPr>
        <w:spacing w:line="360" w:lineRule="auto"/>
        <w:rPr>
          <w:rFonts w:ascii="Times New Roman" w:eastAsia="Calibri" w:hAnsi="Times New Roman" w:cs="Times New Roman"/>
          <w:sz w:val="24"/>
          <w:szCs w:val="24"/>
        </w:rPr>
      </w:pPr>
    </w:p>
    <w:p w:rsidR="00F77439" w:rsidRPr="002E7761" w:rsidRDefault="00F77439" w:rsidP="00F77439">
      <w:pPr>
        <w:spacing w:line="360" w:lineRule="auto"/>
        <w:rPr>
          <w:rFonts w:ascii="Times New Roman" w:eastAsia="Calibri" w:hAnsi="Times New Roman" w:cs="Times New Roman"/>
          <w:sz w:val="24"/>
          <w:szCs w:val="24"/>
        </w:rPr>
      </w:pPr>
    </w:p>
    <w:p w:rsidR="00F77439" w:rsidRPr="002E7761" w:rsidRDefault="00F77439" w:rsidP="00F77439">
      <w:pPr>
        <w:spacing w:line="360" w:lineRule="auto"/>
        <w:rPr>
          <w:rFonts w:ascii="Times New Roman" w:eastAsia="Calibri" w:hAnsi="Times New Roman" w:cs="Times New Roman"/>
          <w:sz w:val="24"/>
          <w:szCs w:val="24"/>
        </w:rPr>
      </w:pPr>
    </w:p>
    <w:p w:rsidR="00F77439" w:rsidRPr="002E7761" w:rsidRDefault="00F77439" w:rsidP="00F77439">
      <w:pPr>
        <w:spacing w:line="360" w:lineRule="auto"/>
        <w:rPr>
          <w:rFonts w:ascii="Times New Roman" w:eastAsia="Calibri" w:hAnsi="Times New Roman" w:cs="Times New Roman"/>
          <w:sz w:val="24"/>
          <w:szCs w:val="24"/>
        </w:rPr>
      </w:pPr>
    </w:p>
    <w:p w:rsidR="00F77439" w:rsidRPr="002E7761" w:rsidRDefault="00F77439" w:rsidP="00F77439">
      <w:pPr>
        <w:spacing w:line="360" w:lineRule="auto"/>
        <w:rPr>
          <w:rFonts w:ascii="Times New Roman" w:eastAsia="Calibri" w:hAnsi="Times New Roman" w:cs="Times New Roman"/>
          <w:sz w:val="24"/>
          <w:szCs w:val="24"/>
        </w:rPr>
      </w:pPr>
    </w:p>
    <w:p w:rsidR="00F77439" w:rsidRPr="002E7761" w:rsidRDefault="00F77439" w:rsidP="00F77439">
      <w:pPr>
        <w:spacing w:line="360" w:lineRule="auto"/>
        <w:jc w:val="center"/>
        <w:rPr>
          <w:rFonts w:ascii="Times New Roman" w:eastAsia="Calibri" w:hAnsi="Times New Roman" w:cs="Times New Roman"/>
          <w:b/>
          <w:sz w:val="24"/>
          <w:szCs w:val="24"/>
        </w:rPr>
      </w:pPr>
      <w:r w:rsidRPr="002E7761">
        <w:rPr>
          <w:rFonts w:ascii="Times New Roman" w:eastAsia="Calibri" w:hAnsi="Times New Roman" w:cs="Times New Roman"/>
          <w:b/>
          <w:sz w:val="24"/>
          <w:szCs w:val="24"/>
        </w:rPr>
        <w:lastRenderedPageBreak/>
        <w:t>ACKNOWLEDGMENT</w:t>
      </w:r>
    </w:p>
    <w:p w:rsidR="00AE496F" w:rsidRPr="002E7761" w:rsidRDefault="00842F68" w:rsidP="00AE496F">
      <w:pPr>
        <w:spacing w:line="360" w:lineRule="auto"/>
        <w:jc w:val="both"/>
        <w:rPr>
          <w:rFonts w:ascii="Times New Roman" w:eastAsia="Calibri" w:hAnsi="Times New Roman" w:cs="Times New Roman"/>
          <w:sz w:val="24"/>
          <w:szCs w:val="24"/>
        </w:rPr>
      </w:pPr>
      <w:r w:rsidRPr="00842F68">
        <w:rPr>
          <w:rFonts w:ascii="Times New Roman" w:eastAsia="Calibri" w:hAnsi="Times New Roman" w:cs="Times New Roman"/>
          <w:sz w:val="24"/>
          <w:szCs w:val="24"/>
        </w:rPr>
        <w:t xml:space="preserve">I give thanks to the Most High for making it possible for me to finish this academic pursuit </w:t>
      </w:r>
      <w:r w:rsidR="00AE496F" w:rsidRPr="002E7761">
        <w:rPr>
          <w:rFonts w:ascii="Times New Roman" w:eastAsia="Calibri" w:hAnsi="Times New Roman" w:cs="Times New Roman"/>
          <w:sz w:val="24"/>
          <w:szCs w:val="24"/>
        </w:rPr>
        <w:t xml:space="preserve">within the allocated time frame. Despite facing difficulties and obstacles, I </w:t>
      </w:r>
      <w:r w:rsidR="00AE496F">
        <w:rPr>
          <w:rFonts w:ascii="Times New Roman" w:eastAsia="Calibri" w:hAnsi="Times New Roman" w:cs="Times New Roman"/>
          <w:sz w:val="24"/>
          <w:szCs w:val="24"/>
        </w:rPr>
        <w:t>finished</w:t>
      </w:r>
      <w:r w:rsidR="00AE496F" w:rsidRPr="002E7761">
        <w:rPr>
          <w:rFonts w:ascii="Times New Roman" w:eastAsia="Calibri" w:hAnsi="Times New Roman" w:cs="Times New Roman"/>
          <w:sz w:val="24"/>
          <w:szCs w:val="24"/>
        </w:rPr>
        <w:t xml:space="preserve"> the journey through God's glory. </w:t>
      </w:r>
      <w:r w:rsidR="00BA5EBD">
        <w:rPr>
          <w:rFonts w:ascii="Times New Roman" w:eastAsia="Calibri" w:hAnsi="Times New Roman" w:cs="Times New Roman"/>
          <w:sz w:val="24"/>
          <w:szCs w:val="24"/>
        </w:rPr>
        <w:t>I sincerely thank</w:t>
      </w:r>
      <w:r w:rsidRPr="00842F68">
        <w:rPr>
          <w:rFonts w:ascii="Times New Roman" w:eastAsia="Calibri" w:hAnsi="Times New Roman" w:cs="Times New Roman"/>
          <w:sz w:val="24"/>
          <w:szCs w:val="24"/>
        </w:rPr>
        <w:t xml:space="preserve"> the Covenant Applied Informatics and Communication Africa Centre of Excellence (</w:t>
      </w:r>
      <w:proofErr w:type="spellStart"/>
      <w:r w:rsidRPr="00842F68">
        <w:rPr>
          <w:rFonts w:ascii="Times New Roman" w:eastAsia="Calibri" w:hAnsi="Times New Roman" w:cs="Times New Roman"/>
          <w:sz w:val="24"/>
          <w:szCs w:val="24"/>
        </w:rPr>
        <w:t>CApIC</w:t>
      </w:r>
      <w:proofErr w:type="spellEnd"/>
      <w:r w:rsidRPr="00842F68">
        <w:rPr>
          <w:rFonts w:ascii="Times New Roman" w:eastAsia="Calibri" w:hAnsi="Times New Roman" w:cs="Times New Roman"/>
          <w:sz w:val="24"/>
          <w:szCs w:val="24"/>
        </w:rPr>
        <w:t>-ACE) for providing financial and research assis</w:t>
      </w:r>
      <w:r>
        <w:rPr>
          <w:rFonts w:ascii="Times New Roman" w:eastAsia="Calibri" w:hAnsi="Times New Roman" w:cs="Times New Roman"/>
          <w:sz w:val="24"/>
          <w:szCs w:val="24"/>
        </w:rPr>
        <w:t>tance for my postgraduate study</w:t>
      </w:r>
      <w:r w:rsidR="00AE496F" w:rsidRPr="002E7761">
        <w:rPr>
          <w:rFonts w:ascii="Times New Roman" w:eastAsia="Calibri" w:hAnsi="Times New Roman" w:cs="Times New Roman"/>
          <w:sz w:val="24"/>
          <w:szCs w:val="24"/>
        </w:rPr>
        <w:t>.</w:t>
      </w:r>
    </w:p>
    <w:p w:rsidR="00AE496F" w:rsidRDefault="00842F68" w:rsidP="00AE496F">
      <w:pPr>
        <w:spacing w:line="360" w:lineRule="auto"/>
        <w:jc w:val="both"/>
        <w:rPr>
          <w:rFonts w:ascii="Times New Roman" w:eastAsia="Calibri" w:hAnsi="Times New Roman" w:cs="Times New Roman"/>
          <w:sz w:val="24"/>
          <w:szCs w:val="24"/>
        </w:rPr>
      </w:pPr>
      <w:r w:rsidRPr="00842F68">
        <w:rPr>
          <w:rFonts w:ascii="Times New Roman" w:eastAsia="Calibri" w:hAnsi="Times New Roman" w:cs="Times New Roman"/>
          <w:sz w:val="24"/>
          <w:szCs w:val="24"/>
        </w:rPr>
        <w:t xml:space="preserve">My profound gratitude and appreciation go out to my supervisor, </w:t>
      </w:r>
      <w:proofErr w:type="spellStart"/>
      <w:r w:rsidRPr="00842F68">
        <w:rPr>
          <w:rFonts w:ascii="Times New Roman" w:eastAsia="Calibri" w:hAnsi="Times New Roman" w:cs="Times New Roman"/>
          <w:sz w:val="24"/>
          <w:szCs w:val="24"/>
        </w:rPr>
        <w:t>Prof.</w:t>
      </w:r>
      <w:proofErr w:type="spellEnd"/>
      <w:r w:rsidRPr="00842F68">
        <w:rPr>
          <w:rFonts w:ascii="Times New Roman" w:eastAsia="Calibri" w:hAnsi="Times New Roman" w:cs="Times New Roman"/>
          <w:sz w:val="24"/>
          <w:szCs w:val="24"/>
        </w:rPr>
        <w:t xml:space="preserve"> </w:t>
      </w:r>
      <w:proofErr w:type="spellStart"/>
      <w:r w:rsidRPr="00842F68">
        <w:rPr>
          <w:rFonts w:ascii="Times New Roman" w:eastAsia="Calibri" w:hAnsi="Times New Roman" w:cs="Times New Roman"/>
          <w:sz w:val="24"/>
          <w:szCs w:val="24"/>
        </w:rPr>
        <w:t>Olubanke</w:t>
      </w:r>
      <w:proofErr w:type="spellEnd"/>
      <w:r w:rsidRPr="00842F68">
        <w:rPr>
          <w:rFonts w:ascii="Times New Roman" w:eastAsia="Calibri" w:hAnsi="Times New Roman" w:cs="Times New Roman"/>
          <w:sz w:val="24"/>
          <w:szCs w:val="24"/>
        </w:rPr>
        <w:t xml:space="preserve"> O. </w:t>
      </w:r>
      <w:proofErr w:type="spellStart"/>
      <w:r w:rsidRPr="00842F68">
        <w:rPr>
          <w:rFonts w:ascii="Times New Roman" w:eastAsia="Calibri" w:hAnsi="Times New Roman" w:cs="Times New Roman"/>
          <w:sz w:val="24"/>
          <w:szCs w:val="24"/>
        </w:rPr>
        <w:t>Ogunlana</w:t>
      </w:r>
      <w:proofErr w:type="spellEnd"/>
      <w:r w:rsidRPr="00842F68">
        <w:rPr>
          <w:rFonts w:ascii="Times New Roman" w:eastAsia="Calibri" w:hAnsi="Times New Roman" w:cs="Times New Roman"/>
          <w:sz w:val="24"/>
          <w:szCs w:val="24"/>
        </w:rPr>
        <w:t>, for her outstanding guidance and contributions t</w:t>
      </w:r>
      <w:r>
        <w:rPr>
          <w:rFonts w:ascii="Times New Roman" w:eastAsia="Calibri" w:hAnsi="Times New Roman" w:cs="Times New Roman"/>
          <w:sz w:val="24"/>
          <w:szCs w:val="24"/>
        </w:rPr>
        <w:t xml:space="preserve">hat made this project </w:t>
      </w:r>
      <w:r w:rsidR="00BA5EBD">
        <w:rPr>
          <w:rFonts w:ascii="Times New Roman" w:eastAsia="Calibri" w:hAnsi="Times New Roman" w:cs="Times New Roman"/>
          <w:sz w:val="24"/>
          <w:szCs w:val="24"/>
        </w:rPr>
        <w:t>successful</w:t>
      </w:r>
      <w:r w:rsidR="00AE496F" w:rsidRPr="002E7761">
        <w:rPr>
          <w:rFonts w:ascii="Times New Roman" w:eastAsia="Calibri" w:hAnsi="Times New Roman" w:cs="Times New Roman"/>
          <w:sz w:val="24"/>
          <w:szCs w:val="24"/>
        </w:rPr>
        <w:t xml:space="preserve">. </w:t>
      </w:r>
      <w:r w:rsidR="00AE496F" w:rsidRPr="002E7761">
        <w:rPr>
          <w:rFonts w:ascii="Times New Roman" w:eastAsia="Times New Roman" w:hAnsi="Times New Roman" w:cs="Times New Roman"/>
          <w:sz w:val="24"/>
          <w:szCs w:val="24"/>
        </w:rPr>
        <w:t xml:space="preserve">I </w:t>
      </w:r>
      <w:r w:rsidR="000B471F">
        <w:rPr>
          <w:rFonts w:ascii="Times New Roman" w:eastAsia="Times New Roman" w:hAnsi="Times New Roman" w:cs="Times New Roman"/>
          <w:sz w:val="24"/>
          <w:szCs w:val="24"/>
        </w:rPr>
        <w:t>sincerely thank</w:t>
      </w:r>
      <w:r w:rsidR="00AE496F" w:rsidRPr="002E7761">
        <w:rPr>
          <w:rFonts w:ascii="Times New Roman" w:eastAsia="Calibri" w:hAnsi="Times New Roman" w:cs="Times New Roman"/>
          <w:sz w:val="24"/>
          <w:szCs w:val="24"/>
        </w:rPr>
        <w:t xml:space="preserve"> the </w:t>
      </w:r>
      <w:r w:rsidR="00BA5EBD">
        <w:rPr>
          <w:rFonts w:ascii="Times New Roman" w:eastAsia="Calibri" w:hAnsi="Times New Roman" w:cs="Times New Roman"/>
          <w:sz w:val="24"/>
          <w:szCs w:val="24"/>
        </w:rPr>
        <w:t xml:space="preserve">faculties and other staff of </w:t>
      </w:r>
      <w:r w:rsidR="000B471F">
        <w:rPr>
          <w:rFonts w:ascii="Times New Roman" w:eastAsia="Calibri" w:hAnsi="Times New Roman" w:cs="Times New Roman"/>
          <w:sz w:val="24"/>
          <w:szCs w:val="24"/>
        </w:rPr>
        <w:t xml:space="preserve">the </w:t>
      </w:r>
      <w:r w:rsidR="00BA5EBD">
        <w:rPr>
          <w:rFonts w:ascii="Times New Roman" w:eastAsia="Calibri" w:hAnsi="Times New Roman" w:cs="Times New Roman"/>
          <w:sz w:val="24"/>
          <w:szCs w:val="24"/>
        </w:rPr>
        <w:t>Biochemistry Department</w:t>
      </w:r>
      <w:r w:rsidR="00AE496F">
        <w:rPr>
          <w:rFonts w:ascii="Times New Roman" w:eastAsia="Calibri" w:hAnsi="Times New Roman" w:cs="Times New Roman"/>
          <w:sz w:val="24"/>
          <w:szCs w:val="24"/>
        </w:rPr>
        <w:t>, Covenant University, for their contributions to my education, specifically our H.O.D,</w:t>
      </w:r>
      <w:r w:rsidR="00AE496F" w:rsidRPr="002E7761">
        <w:rPr>
          <w:rFonts w:ascii="Times New Roman" w:eastAsia="Calibri" w:hAnsi="Times New Roman" w:cs="Times New Roman"/>
          <w:sz w:val="24"/>
          <w:szCs w:val="24"/>
        </w:rPr>
        <w:t xml:space="preserve"> </w:t>
      </w:r>
      <w:proofErr w:type="spellStart"/>
      <w:r w:rsidR="00AE496F" w:rsidRPr="002E7761">
        <w:rPr>
          <w:rFonts w:ascii="Times New Roman" w:eastAsia="Calibri" w:hAnsi="Times New Roman" w:cs="Times New Roman"/>
          <w:sz w:val="24"/>
          <w:szCs w:val="24"/>
        </w:rPr>
        <w:t>Prof.</w:t>
      </w:r>
      <w:proofErr w:type="spellEnd"/>
      <w:r w:rsidR="00AE496F" w:rsidRPr="002E7761">
        <w:rPr>
          <w:rFonts w:ascii="Times New Roman" w:eastAsia="Calibri" w:hAnsi="Times New Roman" w:cs="Times New Roman"/>
          <w:sz w:val="24"/>
          <w:szCs w:val="24"/>
        </w:rPr>
        <w:t xml:space="preserve"> S.O </w:t>
      </w:r>
      <w:proofErr w:type="spellStart"/>
      <w:r w:rsidR="00AE496F" w:rsidRPr="002E7761">
        <w:rPr>
          <w:rFonts w:ascii="Times New Roman" w:eastAsia="Calibri" w:hAnsi="Times New Roman" w:cs="Times New Roman"/>
          <w:sz w:val="24"/>
          <w:szCs w:val="24"/>
        </w:rPr>
        <w:t>Rotimi</w:t>
      </w:r>
      <w:proofErr w:type="spellEnd"/>
      <w:r w:rsidR="00AE496F" w:rsidRPr="002E7761">
        <w:rPr>
          <w:rFonts w:ascii="Times New Roman" w:eastAsia="Calibri" w:hAnsi="Times New Roman" w:cs="Times New Roman"/>
          <w:sz w:val="24"/>
          <w:szCs w:val="24"/>
        </w:rPr>
        <w:t>, for his benevolence in helping us get samples for the study.</w:t>
      </w:r>
      <w:r w:rsidR="00AE496F">
        <w:rPr>
          <w:rFonts w:ascii="Times New Roman" w:eastAsia="Calibri" w:hAnsi="Times New Roman" w:cs="Times New Roman"/>
          <w:sz w:val="24"/>
          <w:szCs w:val="24"/>
        </w:rPr>
        <w:t xml:space="preserve"> </w:t>
      </w:r>
      <w:r w:rsidR="00AE496F">
        <w:rPr>
          <w:rFonts w:ascii="Times New Roman" w:eastAsia="Times New Roman" w:hAnsi="Times New Roman"/>
          <w:sz w:val="24"/>
        </w:rPr>
        <w:t xml:space="preserve">I am also immensely grateful to </w:t>
      </w:r>
      <w:proofErr w:type="spellStart"/>
      <w:r w:rsidR="00AE496F">
        <w:rPr>
          <w:rFonts w:ascii="Times New Roman" w:eastAsia="Times New Roman" w:hAnsi="Times New Roman"/>
          <w:sz w:val="24"/>
        </w:rPr>
        <w:t>Dr.</w:t>
      </w:r>
      <w:proofErr w:type="spellEnd"/>
      <w:r w:rsidR="00AE496F">
        <w:rPr>
          <w:rFonts w:ascii="Times New Roman" w:eastAsia="Times New Roman" w:hAnsi="Times New Roman"/>
          <w:sz w:val="24"/>
        </w:rPr>
        <w:t xml:space="preserve"> Wisdom D. </w:t>
      </w:r>
      <w:proofErr w:type="spellStart"/>
      <w:r w:rsidR="00AE496F">
        <w:rPr>
          <w:rFonts w:ascii="Times New Roman" w:eastAsia="Times New Roman" w:hAnsi="Times New Roman"/>
          <w:sz w:val="24"/>
        </w:rPr>
        <w:t>Cleanclay</w:t>
      </w:r>
      <w:proofErr w:type="spellEnd"/>
      <w:r w:rsidR="00AE496F">
        <w:rPr>
          <w:rFonts w:ascii="Times New Roman" w:eastAsia="Times New Roman" w:hAnsi="Times New Roman"/>
          <w:sz w:val="24"/>
        </w:rPr>
        <w:t xml:space="preserve"> for her motherly guidance throughout my program.</w:t>
      </w:r>
    </w:p>
    <w:p w:rsidR="00AE496F" w:rsidRPr="002E7761" w:rsidRDefault="00AE496F" w:rsidP="00AE496F">
      <w:pPr>
        <w:spacing w:line="360" w:lineRule="auto"/>
        <w:jc w:val="both"/>
        <w:rPr>
          <w:rFonts w:ascii="Times New Roman" w:eastAsia="Calibri" w:hAnsi="Times New Roman" w:cs="Times New Roman"/>
          <w:sz w:val="24"/>
          <w:szCs w:val="24"/>
        </w:rPr>
      </w:pPr>
      <w:r w:rsidRPr="00706FE9">
        <w:rPr>
          <w:rFonts w:ascii="Times New Roman" w:eastAsia="Calibri" w:hAnsi="Times New Roman" w:cs="Times New Roman"/>
          <w:sz w:val="24"/>
          <w:szCs w:val="24"/>
        </w:rPr>
        <w:t xml:space="preserve">I am also grateful for the </w:t>
      </w:r>
      <w:r>
        <w:rPr>
          <w:rFonts w:ascii="Times New Roman" w:eastAsia="Calibri" w:hAnsi="Times New Roman" w:cs="Times New Roman"/>
          <w:sz w:val="24"/>
          <w:szCs w:val="24"/>
        </w:rPr>
        <w:t xml:space="preserve">fatherly </w:t>
      </w:r>
      <w:r w:rsidRPr="00706FE9">
        <w:rPr>
          <w:rFonts w:ascii="Times New Roman" w:eastAsia="Calibri" w:hAnsi="Times New Roman" w:cs="Times New Roman"/>
          <w:sz w:val="24"/>
          <w:szCs w:val="24"/>
        </w:rPr>
        <w:t>support and contrib</w:t>
      </w:r>
      <w:r>
        <w:rPr>
          <w:rFonts w:ascii="Times New Roman" w:eastAsia="Calibri" w:hAnsi="Times New Roman" w:cs="Times New Roman"/>
          <w:sz w:val="24"/>
          <w:szCs w:val="24"/>
        </w:rPr>
        <w:t xml:space="preserve">utions of </w:t>
      </w:r>
      <w:proofErr w:type="spellStart"/>
      <w:r>
        <w:rPr>
          <w:rFonts w:ascii="Times New Roman" w:eastAsia="Calibri" w:hAnsi="Times New Roman" w:cs="Times New Roman"/>
          <w:sz w:val="24"/>
          <w:szCs w:val="24"/>
        </w:rPr>
        <w:t>Mr.</w:t>
      </w:r>
      <w:proofErr w:type="spellEnd"/>
      <w:r>
        <w:rPr>
          <w:rFonts w:ascii="Times New Roman" w:eastAsia="Calibri" w:hAnsi="Times New Roman" w:cs="Times New Roman"/>
          <w:sz w:val="24"/>
          <w:szCs w:val="24"/>
        </w:rPr>
        <w:t xml:space="preserve"> Andrew David </w:t>
      </w:r>
      <w:proofErr w:type="spellStart"/>
      <w:r>
        <w:rPr>
          <w:rFonts w:ascii="Times New Roman" w:eastAsia="Calibri" w:hAnsi="Times New Roman" w:cs="Times New Roman"/>
          <w:sz w:val="24"/>
          <w:szCs w:val="24"/>
        </w:rPr>
        <w:t>Adejo</w:t>
      </w:r>
      <w:proofErr w:type="spellEnd"/>
      <w:r w:rsidRPr="00706FE9">
        <w:rPr>
          <w:rFonts w:ascii="Times New Roman" w:eastAsia="Calibri" w:hAnsi="Times New Roman" w:cs="Times New Roman"/>
          <w:sz w:val="24"/>
          <w:szCs w:val="24"/>
        </w:rPr>
        <w:t xml:space="preserve">, the </w:t>
      </w:r>
      <w:r w:rsidR="00E37364">
        <w:rPr>
          <w:rFonts w:ascii="Times New Roman" w:eastAsia="Calibri" w:hAnsi="Times New Roman" w:cs="Times New Roman"/>
          <w:sz w:val="24"/>
          <w:szCs w:val="24"/>
        </w:rPr>
        <w:t>immediate past</w:t>
      </w:r>
      <w:r w:rsidRPr="00706FE9">
        <w:rPr>
          <w:rFonts w:ascii="Times New Roman" w:eastAsia="Calibri" w:hAnsi="Times New Roman" w:cs="Times New Roman"/>
          <w:sz w:val="24"/>
          <w:szCs w:val="24"/>
        </w:rPr>
        <w:t xml:space="preserve"> Permanent Secretary of the</w:t>
      </w:r>
      <w:r>
        <w:rPr>
          <w:rFonts w:ascii="Times New Roman" w:eastAsia="Calibri" w:hAnsi="Times New Roman" w:cs="Times New Roman"/>
          <w:sz w:val="24"/>
          <w:szCs w:val="24"/>
        </w:rPr>
        <w:t xml:space="preserve"> Federal</w:t>
      </w:r>
      <w:r w:rsidRPr="00706FE9">
        <w:rPr>
          <w:rFonts w:ascii="Times New Roman" w:eastAsia="Calibri" w:hAnsi="Times New Roman" w:cs="Times New Roman"/>
          <w:sz w:val="24"/>
          <w:szCs w:val="24"/>
        </w:rPr>
        <w:t xml:space="preserve"> Ministry of Education</w:t>
      </w:r>
      <w:r>
        <w:rPr>
          <w:rFonts w:ascii="Times New Roman" w:eastAsia="Calibri" w:hAnsi="Times New Roman" w:cs="Times New Roman"/>
          <w:sz w:val="24"/>
          <w:szCs w:val="24"/>
        </w:rPr>
        <w:t xml:space="preserve"> Abuja</w:t>
      </w:r>
      <w:r w:rsidRPr="00706FE9">
        <w:rPr>
          <w:rFonts w:ascii="Times New Roman" w:eastAsia="Calibri" w:hAnsi="Times New Roman" w:cs="Times New Roman"/>
          <w:sz w:val="24"/>
          <w:szCs w:val="24"/>
        </w:rPr>
        <w:t>, for his invaluable gu</w:t>
      </w:r>
      <w:r>
        <w:rPr>
          <w:rFonts w:ascii="Times New Roman" w:eastAsia="Calibri" w:hAnsi="Times New Roman" w:cs="Times New Roman"/>
          <w:sz w:val="24"/>
          <w:szCs w:val="24"/>
        </w:rPr>
        <w:t xml:space="preserve">idance and assistance. </w:t>
      </w:r>
      <w:r w:rsidRPr="002E7761">
        <w:rPr>
          <w:rFonts w:ascii="Times New Roman" w:eastAsia="Calibri" w:hAnsi="Times New Roman" w:cs="Times New Roman"/>
          <w:sz w:val="24"/>
          <w:szCs w:val="24"/>
        </w:rPr>
        <w:t xml:space="preserve">I </w:t>
      </w:r>
      <w:r>
        <w:rPr>
          <w:rFonts w:ascii="Times New Roman" w:eastAsia="Calibri" w:hAnsi="Times New Roman" w:cs="Times New Roman"/>
          <w:sz w:val="24"/>
          <w:szCs w:val="24"/>
        </w:rPr>
        <w:t>also</w:t>
      </w:r>
      <w:r w:rsidRPr="002E7761">
        <w:rPr>
          <w:rFonts w:ascii="Times New Roman" w:eastAsia="Calibri" w:hAnsi="Times New Roman" w:cs="Times New Roman"/>
          <w:sz w:val="24"/>
          <w:szCs w:val="24"/>
        </w:rPr>
        <w:t xml:space="preserve"> sincerely thank </w:t>
      </w:r>
      <w:proofErr w:type="spellStart"/>
      <w:r w:rsidRPr="002E7761">
        <w:rPr>
          <w:rFonts w:ascii="Times New Roman" w:eastAsia="Calibri" w:hAnsi="Times New Roman" w:cs="Times New Roman"/>
          <w:sz w:val="24"/>
          <w:szCs w:val="24"/>
        </w:rPr>
        <w:t>Prof.</w:t>
      </w:r>
      <w:proofErr w:type="spellEnd"/>
      <w:r w:rsidRPr="002E7761">
        <w:rPr>
          <w:rFonts w:ascii="Times New Roman" w:eastAsia="Calibri" w:hAnsi="Times New Roman" w:cs="Times New Roman"/>
          <w:sz w:val="24"/>
          <w:szCs w:val="24"/>
        </w:rPr>
        <w:t xml:space="preserve"> Innocent</w:t>
      </w:r>
      <w:r>
        <w:rPr>
          <w:rFonts w:ascii="Times New Roman" w:eastAsia="Calibri" w:hAnsi="Times New Roman" w:cs="Times New Roman"/>
          <w:sz w:val="24"/>
          <w:szCs w:val="24"/>
        </w:rPr>
        <w:t xml:space="preserve"> A.O.</w:t>
      </w:r>
      <w:r w:rsidRPr="002E7761">
        <w:rPr>
          <w:rFonts w:ascii="Times New Roman" w:eastAsia="Calibri" w:hAnsi="Times New Roman" w:cs="Times New Roman"/>
          <w:sz w:val="24"/>
          <w:szCs w:val="24"/>
        </w:rPr>
        <w:t xml:space="preserve"> </w:t>
      </w:r>
      <w:proofErr w:type="spellStart"/>
      <w:r w:rsidRPr="002E7761">
        <w:rPr>
          <w:rFonts w:ascii="Times New Roman" w:eastAsia="Calibri" w:hAnsi="Times New Roman" w:cs="Times New Roman"/>
          <w:sz w:val="24"/>
          <w:szCs w:val="24"/>
        </w:rPr>
        <w:t>Ujah</w:t>
      </w:r>
      <w:proofErr w:type="spellEnd"/>
      <w:r>
        <w:rPr>
          <w:rFonts w:ascii="Times New Roman" w:eastAsia="Calibri" w:hAnsi="Times New Roman" w:cs="Times New Roman"/>
          <w:sz w:val="24"/>
          <w:szCs w:val="24"/>
        </w:rPr>
        <w:t xml:space="preserve"> </w:t>
      </w:r>
      <w:r>
        <w:rPr>
          <w:rFonts w:ascii="Times New Roman" w:eastAsia="Calibri" w:hAnsi="Times New Roman" w:cs="Times New Roman"/>
          <w:sz w:val="24"/>
          <w:szCs w:val="24"/>
          <w:vertAlign w:val="subscript"/>
        </w:rPr>
        <w:t>OON, MNI</w:t>
      </w:r>
      <w:r w:rsidRPr="002E7761">
        <w:rPr>
          <w:rFonts w:ascii="Times New Roman" w:eastAsia="Calibri" w:hAnsi="Times New Roman" w:cs="Times New Roman"/>
          <w:sz w:val="24"/>
          <w:szCs w:val="24"/>
        </w:rPr>
        <w:t xml:space="preserve"> and </w:t>
      </w:r>
      <w:proofErr w:type="spellStart"/>
      <w:r w:rsidRPr="002E7761">
        <w:rPr>
          <w:rFonts w:ascii="Times New Roman" w:eastAsia="Calibri" w:hAnsi="Times New Roman" w:cs="Times New Roman"/>
          <w:sz w:val="24"/>
          <w:szCs w:val="24"/>
        </w:rPr>
        <w:t>Prof.</w:t>
      </w:r>
      <w:proofErr w:type="spellEnd"/>
      <w:r w:rsidRPr="002E7761">
        <w:rPr>
          <w:rFonts w:ascii="Times New Roman" w:eastAsia="Calibri" w:hAnsi="Times New Roman" w:cs="Times New Roman"/>
          <w:sz w:val="24"/>
          <w:szCs w:val="24"/>
        </w:rPr>
        <w:t xml:space="preserve"> Stephen </w:t>
      </w:r>
      <w:proofErr w:type="spellStart"/>
      <w:r w:rsidRPr="002E7761">
        <w:rPr>
          <w:rFonts w:ascii="Times New Roman" w:eastAsia="Calibri" w:hAnsi="Times New Roman" w:cs="Times New Roman"/>
          <w:sz w:val="24"/>
          <w:szCs w:val="24"/>
        </w:rPr>
        <w:t>Abah</w:t>
      </w:r>
      <w:proofErr w:type="spellEnd"/>
      <w:r w:rsidRPr="002E7761">
        <w:rPr>
          <w:rFonts w:ascii="Times New Roman" w:eastAsia="Calibri" w:hAnsi="Times New Roman" w:cs="Times New Roman"/>
          <w:sz w:val="24"/>
          <w:szCs w:val="24"/>
        </w:rPr>
        <w:t xml:space="preserve"> (V</w:t>
      </w:r>
      <w:r>
        <w:rPr>
          <w:rFonts w:ascii="Times New Roman" w:eastAsia="Calibri" w:hAnsi="Times New Roman" w:cs="Times New Roman"/>
          <w:sz w:val="24"/>
          <w:szCs w:val="24"/>
        </w:rPr>
        <w:t xml:space="preserve">ice </w:t>
      </w:r>
      <w:r w:rsidRPr="002E7761">
        <w:rPr>
          <w:rFonts w:ascii="Times New Roman" w:eastAsia="Calibri" w:hAnsi="Times New Roman" w:cs="Times New Roman"/>
          <w:sz w:val="24"/>
          <w:szCs w:val="24"/>
        </w:rPr>
        <w:t>C</w:t>
      </w:r>
      <w:r>
        <w:rPr>
          <w:rFonts w:ascii="Times New Roman" w:eastAsia="Calibri" w:hAnsi="Times New Roman" w:cs="Times New Roman"/>
          <w:sz w:val="24"/>
          <w:szCs w:val="24"/>
        </w:rPr>
        <w:t xml:space="preserve">hancellor </w:t>
      </w:r>
      <w:r w:rsidRPr="002E7761">
        <w:rPr>
          <w:rFonts w:ascii="Times New Roman" w:eastAsia="Calibri" w:hAnsi="Times New Roman" w:cs="Times New Roman"/>
          <w:sz w:val="24"/>
          <w:szCs w:val="24"/>
        </w:rPr>
        <w:t xml:space="preserve">and DVC Academics, Federal University of Health Sciences </w:t>
      </w:r>
      <w:proofErr w:type="spellStart"/>
      <w:r w:rsidRPr="002E7761">
        <w:rPr>
          <w:rFonts w:ascii="Times New Roman" w:eastAsia="Calibri" w:hAnsi="Times New Roman" w:cs="Times New Roman"/>
          <w:sz w:val="24"/>
          <w:szCs w:val="24"/>
        </w:rPr>
        <w:t>Otukpo</w:t>
      </w:r>
      <w:proofErr w:type="spellEnd"/>
      <w:r w:rsidRPr="002E7761">
        <w:rPr>
          <w:rFonts w:ascii="Times New Roman" w:eastAsia="Calibri" w:hAnsi="Times New Roman" w:cs="Times New Roman"/>
          <w:sz w:val="24"/>
          <w:szCs w:val="24"/>
        </w:rPr>
        <w:t>, Benue State) for thei</w:t>
      </w:r>
      <w:r>
        <w:rPr>
          <w:rFonts w:ascii="Times New Roman" w:eastAsia="Calibri" w:hAnsi="Times New Roman" w:cs="Times New Roman"/>
          <w:sz w:val="24"/>
          <w:szCs w:val="24"/>
        </w:rPr>
        <w:t>r kind support and consideration</w:t>
      </w:r>
      <w:r w:rsidRPr="002E7761">
        <w:rPr>
          <w:rFonts w:ascii="Times New Roman" w:eastAsia="Calibri" w:hAnsi="Times New Roman" w:cs="Times New Roman"/>
          <w:sz w:val="24"/>
          <w:szCs w:val="24"/>
        </w:rPr>
        <w:t xml:space="preserve"> towards my academic development. May God bless </w:t>
      </w:r>
      <w:r>
        <w:rPr>
          <w:rFonts w:ascii="Times New Roman" w:eastAsia="Calibri" w:hAnsi="Times New Roman" w:cs="Times New Roman"/>
          <w:sz w:val="24"/>
          <w:szCs w:val="24"/>
        </w:rPr>
        <w:t xml:space="preserve">all of </w:t>
      </w:r>
      <w:r w:rsidRPr="002E7761">
        <w:rPr>
          <w:rFonts w:ascii="Times New Roman" w:eastAsia="Calibri" w:hAnsi="Times New Roman" w:cs="Times New Roman"/>
          <w:sz w:val="24"/>
          <w:szCs w:val="24"/>
        </w:rPr>
        <w:t xml:space="preserve">them and their families </w:t>
      </w:r>
      <w:proofErr w:type="gramStart"/>
      <w:r w:rsidRPr="002E7761">
        <w:rPr>
          <w:rFonts w:ascii="Times New Roman" w:eastAsia="Calibri" w:hAnsi="Times New Roman" w:cs="Times New Roman"/>
          <w:sz w:val="24"/>
          <w:szCs w:val="24"/>
        </w:rPr>
        <w:t>abundantly.</w:t>
      </w:r>
      <w:proofErr w:type="gramEnd"/>
    </w:p>
    <w:p w:rsidR="00AE496F" w:rsidRDefault="00AE496F" w:rsidP="00AE496F">
      <w:pPr>
        <w:spacing w:line="360" w:lineRule="auto"/>
        <w:jc w:val="both"/>
        <w:rPr>
          <w:rFonts w:ascii="Times New Roman" w:eastAsia="Calibri" w:hAnsi="Times New Roman" w:cs="Times New Roman"/>
          <w:sz w:val="24"/>
          <w:szCs w:val="24"/>
        </w:rPr>
      </w:pPr>
      <w:r w:rsidRPr="002E7761">
        <w:rPr>
          <w:rFonts w:ascii="Times New Roman" w:eastAsia="Calibri" w:hAnsi="Times New Roman" w:cs="Times New Roman"/>
          <w:sz w:val="24"/>
          <w:szCs w:val="24"/>
        </w:rPr>
        <w:t>I</w:t>
      </w:r>
      <w:r>
        <w:rPr>
          <w:rFonts w:ascii="Times New Roman" w:eastAsia="Calibri" w:hAnsi="Times New Roman" w:cs="Times New Roman"/>
          <w:sz w:val="24"/>
          <w:szCs w:val="24"/>
        </w:rPr>
        <w:t xml:space="preserve"> also want to express a deep</w:t>
      </w:r>
      <w:r w:rsidRPr="002E7761">
        <w:rPr>
          <w:rFonts w:ascii="Times New Roman" w:eastAsia="Calibri" w:hAnsi="Times New Roman" w:cs="Times New Roman"/>
          <w:sz w:val="24"/>
          <w:szCs w:val="24"/>
        </w:rPr>
        <w:t xml:space="preserve"> appreciation to my family, including my parents, my siblings, as well as my political leaders; Hon</w:t>
      </w:r>
      <w:r>
        <w:rPr>
          <w:rFonts w:ascii="Times New Roman" w:eastAsia="Calibri" w:hAnsi="Times New Roman" w:cs="Times New Roman"/>
          <w:sz w:val="24"/>
          <w:szCs w:val="24"/>
        </w:rPr>
        <w:t>.</w:t>
      </w:r>
      <w:r w:rsidRPr="002E7761">
        <w:rPr>
          <w:rFonts w:ascii="Times New Roman" w:eastAsia="Calibri" w:hAnsi="Times New Roman" w:cs="Times New Roman"/>
          <w:sz w:val="24"/>
          <w:szCs w:val="24"/>
        </w:rPr>
        <w:t xml:space="preserve"> Ada </w:t>
      </w:r>
      <w:proofErr w:type="spellStart"/>
      <w:r w:rsidRPr="002E7761">
        <w:rPr>
          <w:rFonts w:ascii="Times New Roman" w:eastAsia="Calibri" w:hAnsi="Times New Roman" w:cs="Times New Roman"/>
          <w:sz w:val="24"/>
          <w:szCs w:val="24"/>
        </w:rPr>
        <w:t>Fedrick</w:t>
      </w:r>
      <w:proofErr w:type="spellEnd"/>
      <w:r w:rsidRPr="002E7761">
        <w:rPr>
          <w:rFonts w:ascii="Times New Roman" w:eastAsia="Calibri" w:hAnsi="Times New Roman" w:cs="Times New Roman"/>
          <w:sz w:val="24"/>
          <w:szCs w:val="24"/>
        </w:rPr>
        <w:t xml:space="preserve"> </w:t>
      </w:r>
      <w:proofErr w:type="spellStart"/>
      <w:r w:rsidRPr="002E7761">
        <w:rPr>
          <w:rFonts w:ascii="Times New Roman" w:eastAsia="Calibri" w:hAnsi="Times New Roman" w:cs="Times New Roman"/>
          <w:sz w:val="24"/>
          <w:szCs w:val="24"/>
        </w:rPr>
        <w:t>Okwori</w:t>
      </w:r>
      <w:proofErr w:type="spellEnd"/>
      <w:r w:rsidRPr="002E7761">
        <w:rPr>
          <w:rFonts w:ascii="Times New Roman" w:eastAsia="Calibri" w:hAnsi="Times New Roman" w:cs="Times New Roman"/>
          <w:sz w:val="24"/>
          <w:szCs w:val="24"/>
        </w:rPr>
        <w:t xml:space="preserve"> (National Coordinator, Ward2Ward Initiative), </w:t>
      </w:r>
      <w:proofErr w:type="spellStart"/>
      <w:r w:rsidRPr="002E7761">
        <w:rPr>
          <w:rFonts w:ascii="Times New Roman" w:eastAsia="Calibri" w:hAnsi="Times New Roman" w:cs="Times New Roman"/>
          <w:sz w:val="24"/>
          <w:szCs w:val="24"/>
        </w:rPr>
        <w:t>Dr.</w:t>
      </w:r>
      <w:proofErr w:type="spellEnd"/>
      <w:r w:rsidRPr="002E7761">
        <w:rPr>
          <w:rFonts w:ascii="Times New Roman" w:eastAsia="Calibri" w:hAnsi="Times New Roman" w:cs="Times New Roman"/>
          <w:sz w:val="24"/>
          <w:szCs w:val="24"/>
        </w:rPr>
        <w:t xml:space="preserve"> </w:t>
      </w:r>
      <w:proofErr w:type="spellStart"/>
      <w:r w:rsidRPr="002E7761">
        <w:rPr>
          <w:rFonts w:ascii="Times New Roman" w:eastAsia="Calibri" w:hAnsi="Times New Roman" w:cs="Times New Roman"/>
          <w:sz w:val="24"/>
          <w:szCs w:val="24"/>
        </w:rPr>
        <w:t>Idris</w:t>
      </w:r>
      <w:proofErr w:type="spellEnd"/>
      <w:r w:rsidRPr="002E7761">
        <w:rPr>
          <w:rFonts w:ascii="Times New Roman" w:eastAsia="Calibri" w:hAnsi="Times New Roman" w:cs="Times New Roman"/>
          <w:sz w:val="24"/>
          <w:szCs w:val="24"/>
        </w:rPr>
        <w:t xml:space="preserve"> </w:t>
      </w:r>
      <w:proofErr w:type="spellStart"/>
      <w:r w:rsidRPr="002E7761">
        <w:rPr>
          <w:rFonts w:ascii="Times New Roman" w:eastAsia="Calibri" w:hAnsi="Times New Roman" w:cs="Times New Roman"/>
          <w:sz w:val="24"/>
          <w:szCs w:val="24"/>
        </w:rPr>
        <w:t>Omede</w:t>
      </w:r>
      <w:proofErr w:type="spellEnd"/>
      <w:r w:rsidRPr="002E7761">
        <w:rPr>
          <w:rFonts w:ascii="Times New Roman" w:eastAsia="Calibri" w:hAnsi="Times New Roman" w:cs="Times New Roman"/>
          <w:sz w:val="24"/>
          <w:szCs w:val="24"/>
        </w:rPr>
        <w:t xml:space="preserve"> (Former N.M.A President and Commissioner of Health, Kogi state), and </w:t>
      </w:r>
      <w:r>
        <w:rPr>
          <w:rFonts w:ascii="Times New Roman" w:eastAsia="Calibri" w:hAnsi="Times New Roman" w:cs="Times New Roman"/>
          <w:sz w:val="24"/>
          <w:szCs w:val="24"/>
        </w:rPr>
        <w:t>my friend and fellow A.B.U Zaria Alumnus, and Senior Comrade</w:t>
      </w:r>
      <w:r w:rsidRPr="002E7761">
        <w:rPr>
          <w:rFonts w:ascii="Times New Roman" w:eastAsia="Calibri" w:hAnsi="Times New Roman" w:cs="Times New Roman"/>
          <w:sz w:val="24"/>
          <w:szCs w:val="24"/>
        </w:rPr>
        <w:t xml:space="preserve"> </w:t>
      </w:r>
      <w:proofErr w:type="spellStart"/>
      <w:r w:rsidRPr="002E7761">
        <w:rPr>
          <w:rFonts w:ascii="Times New Roman" w:eastAsia="Calibri" w:hAnsi="Times New Roman" w:cs="Times New Roman"/>
          <w:sz w:val="24"/>
          <w:szCs w:val="24"/>
        </w:rPr>
        <w:t>Tijani</w:t>
      </w:r>
      <w:proofErr w:type="spellEnd"/>
      <w:r w:rsidRPr="002E7761">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Muhammed</w:t>
      </w:r>
      <w:proofErr w:type="spellEnd"/>
      <w:r>
        <w:rPr>
          <w:rFonts w:ascii="Times New Roman" w:eastAsia="Calibri" w:hAnsi="Times New Roman" w:cs="Times New Roman"/>
          <w:sz w:val="24"/>
          <w:szCs w:val="24"/>
        </w:rPr>
        <w:t xml:space="preserve"> </w:t>
      </w:r>
      <w:proofErr w:type="spellStart"/>
      <w:r w:rsidRPr="002E7761">
        <w:rPr>
          <w:rFonts w:ascii="Times New Roman" w:eastAsia="Calibri" w:hAnsi="Times New Roman" w:cs="Times New Roman"/>
          <w:sz w:val="24"/>
          <w:szCs w:val="24"/>
        </w:rPr>
        <w:t>Kabiru</w:t>
      </w:r>
      <w:proofErr w:type="spellEnd"/>
      <w:r w:rsidRPr="002E7761">
        <w:rPr>
          <w:rFonts w:ascii="Times New Roman" w:eastAsia="Calibri" w:hAnsi="Times New Roman" w:cs="Times New Roman"/>
          <w:sz w:val="24"/>
          <w:szCs w:val="24"/>
        </w:rPr>
        <w:t xml:space="preserve"> (</w:t>
      </w:r>
      <w:proofErr w:type="spellStart"/>
      <w:r w:rsidRPr="002E7761">
        <w:rPr>
          <w:rFonts w:ascii="Times New Roman" w:eastAsia="Calibri" w:hAnsi="Times New Roman" w:cs="Times New Roman"/>
          <w:sz w:val="24"/>
          <w:szCs w:val="24"/>
        </w:rPr>
        <w:t>Fmr</w:t>
      </w:r>
      <w:proofErr w:type="spellEnd"/>
      <w:r>
        <w:rPr>
          <w:rFonts w:ascii="Times New Roman" w:eastAsia="Calibri" w:hAnsi="Times New Roman" w:cs="Times New Roman"/>
          <w:sz w:val="24"/>
          <w:szCs w:val="24"/>
        </w:rPr>
        <w:t>.</w:t>
      </w:r>
      <w:r w:rsidRPr="002E7761">
        <w:rPr>
          <w:rFonts w:ascii="Times New Roman" w:eastAsia="Calibri" w:hAnsi="Times New Roman" w:cs="Times New Roman"/>
          <w:sz w:val="24"/>
          <w:szCs w:val="24"/>
        </w:rPr>
        <w:t xml:space="preserve"> NANS President). They have been my constant source of inspiration and motivation.</w:t>
      </w:r>
      <w:r>
        <w:rPr>
          <w:rFonts w:ascii="Times New Roman" w:eastAsia="Calibri" w:hAnsi="Times New Roman" w:cs="Times New Roman"/>
          <w:sz w:val="24"/>
          <w:szCs w:val="24"/>
        </w:rPr>
        <w:t xml:space="preserve"> </w:t>
      </w:r>
    </w:p>
    <w:p w:rsidR="00F77439" w:rsidRDefault="00AE496F" w:rsidP="00AE496F">
      <w:pPr>
        <w:spacing w:line="360" w:lineRule="auto"/>
        <w:jc w:val="both"/>
        <w:rPr>
          <w:rFonts w:ascii="Times New Roman" w:eastAsia="Calibri" w:hAnsi="Times New Roman" w:cs="Times New Roman"/>
          <w:sz w:val="24"/>
          <w:szCs w:val="24"/>
        </w:rPr>
      </w:pPr>
      <w:r w:rsidRPr="002E7761">
        <w:rPr>
          <w:rFonts w:ascii="Times New Roman" w:eastAsia="Calibri" w:hAnsi="Times New Roman" w:cs="Times New Roman"/>
          <w:sz w:val="24"/>
          <w:szCs w:val="24"/>
        </w:rPr>
        <w:t>Lastly, I would like to thank my dear friends</w:t>
      </w:r>
      <w:r w:rsidR="00243866">
        <w:rPr>
          <w:rFonts w:ascii="Times New Roman" w:eastAsia="Calibri" w:hAnsi="Times New Roman" w:cs="Times New Roman"/>
          <w:sz w:val="24"/>
          <w:szCs w:val="24"/>
        </w:rPr>
        <w:t xml:space="preserve">; </w:t>
      </w:r>
      <w:proofErr w:type="spellStart"/>
      <w:r w:rsidR="00243866">
        <w:rPr>
          <w:rFonts w:ascii="Times New Roman" w:eastAsia="Calibri" w:hAnsi="Times New Roman" w:cs="Times New Roman"/>
          <w:sz w:val="24"/>
          <w:szCs w:val="24"/>
        </w:rPr>
        <w:t>Modupeoluwa</w:t>
      </w:r>
      <w:proofErr w:type="spellEnd"/>
      <w:r w:rsidR="00243866">
        <w:rPr>
          <w:rFonts w:ascii="Times New Roman" w:eastAsia="Calibri" w:hAnsi="Times New Roman" w:cs="Times New Roman"/>
          <w:sz w:val="24"/>
          <w:szCs w:val="24"/>
        </w:rPr>
        <w:t xml:space="preserve"> </w:t>
      </w:r>
      <w:proofErr w:type="spellStart"/>
      <w:r w:rsidR="00243866">
        <w:rPr>
          <w:rFonts w:ascii="Times New Roman" w:eastAsia="Calibri" w:hAnsi="Times New Roman" w:cs="Times New Roman"/>
          <w:sz w:val="24"/>
          <w:szCs w:val="24"/>
        </w:rPr>
        <w:t>Omesu</w:t>
      </w:r>
      <w:proofErr w:type="spellEnd"/>
      <w:r w:rsidR="00243866">
        <w:rPr>
          <w:rFonts w:ascii="Times New Roman" w:eastAsia="Calibri" w:hAnsi="Times New Roman" w:cs="Times New Roman"/>
          <w:sz w:val="24"/>
          <w:szCs w:val="24"/>
        </w:rPr>
        <w:t xml:space="preserve">, </w:t>
      </w:r>
      <w:proofErr w:type="spellStart"/>
      <w:r w:rsidR="00243866">
        <w:rPr>
          <w:rFonts w:ascii="Times New Roman" w:eastAsia="Calibri" w:hAnsi="Times New Roman" w:cs="Times New Roman"/>
          <w:sz w:val="24"/>
          <w:szCs w:val="24"/>
        </w:rPr>
        <w:t>Adewale</w:t>
      </w:r>
      <w:proofErr w:type="spellEnd"/>
      <w:r w:rsidR="000F576F">
        <w:rPr>
          <w:rFonts w:ascii="Times New Roman" w:eastAsia="Calibri" w:hAnsi="Times New Roman" w:cs="Times New Roman"/>
          <w:sz w:val="24"/>
          <w:szCs w:val="24"/>
        </w:rPr>
        <w:t xml:space="preserve"> </w:t>
      </w:r>
      <w:proofErr w:type="spellStart"/>
      <w:r w:rsidR="000F576F">
        <w:rPr>
          <w:rFonts w:ascii="Times New Roman" w:eastAsia="Calibri" w:hAnsi="Times New Roman" w:cs="Times New Roman"/>
          <w:sz w:val="24"/>
          <w:szCs w:val="24"/>
        </w:rPr>
        <w:t>Adebosoye</w:t>
      </w:r>
      <w:proofErr w:type="spellEnd"/>
      <w:r w:rsidR="00243866">
        <w:rPr>
          <w:rFonts w:ascii="Times New Roman" w:eastAsia="Calibri" w:hAnsi="Times New Roman" w:cs="Times New Roman"/>
          <w:sz w:val="24"/>
          <w:szCs w:val="24"/>
        </w:rPr>
        <w:t xml:space="preserve">, </w:t>
      </w:r>
      <w:proofErr w:type="spellStart"/>
      <w:r w:rsidR="00243866">
        <w:rPr>
          <w:rFonts w:ascii="Times New Roman" w:eastAsia="Calibri" w:hAnsi="Times New Roman" w:cs="Times New Roman"/>
          <w:sz w:val="24"/>
          <w:szCs w:val="24"/>
        </w:rPr>
        <w:t>Ayeni</w:t>
      </w:r>
      <w:proofErr w:type="spellEnd"/>
      <w:r w:rsidR="00243866">
        <w:rPr>
          <w:rFonts w:ascii="Times New Roman" w:eastAsia="Calibri" w:hAnsi="Times New Roman" w:cs="Times New Roman"/>
          <w:sz w:val="24"/>
          <w:szCs w:val="24"/>
        </w:rPr>
        <w:t xml:space="preserve"> Timothy, </w:t>
      </w:r>
      <w:proofErr w:type="spellStart"/>
      <w:r w:rsidR="00243866">
        <w:rPr>
          <w:rFonts w:ascii="Times New Roman" w:eastAsia="Calibri" w:hAnsi="Times New Roman" w:cs="Times New Roman"/>
          <w:sz w:val="24"/>
          <w:szCs w:val="24"/>
        </w:rPr>
        <w:t>Amuji</w:t>
      </w:r>
      <w:proofErr w:type="spellEnd"/>
      <w:r w:rsidR="00243866">
        <w:rPr>
          <w:rFonts w:ascii="Times New Roman" w:eastAsia="Calibri" w:hAnsi="Times New Roman" w:cs="Times New Roman"/>
          <w:sz w:val="24"/>
          <w:szCs w:val="24"/>
        </w:rPr>
        <w:t xml:space="preserve"> Doris, </w:t>
      </w:r>
      <w:proofErr w:type="spellStart"/>
      <w:r w:rsidR="00243866">
        <w:rPr>
          <w:rFonts w:ascii="Times New Roman" w:eastAsia="Calibri" w:hAnsi="Times New Roman" w:cs="Times New Roman"/>
          <w:sz w:val="24"/>
          <w:szCs w:val="24"/>
        </w:rPr>
        <w:t>Nnaji</w:t>
      </w:r>
      <w:proofErr w:type="spellEnd"/>
      <w:r w:rsidR="00243866">
        <w:rPr>
          <w:rFonts w:ascii="Times New Roman" w:eastAsia="Calibri" w:hAnsi="Times New Roman" w:cs="Times New Roman"/>
          <w:sz w:val="24"/>
          <w:szCs w:val="24"/>
        </w:rPr>
        <w:t xml:space="preserve"> Precious and </w:t>
      </w:r>
      <w:proofErr w:type="spellStart"/>
      <w:r w:rsidR="00243866">
        <w:rPr>
          <w:rFonts w:ascii="Times New Roman" w:eastAsia="Calibri" w:hAnsi="Times New Roman" w:cs="Times New Roman"/>
          <w:sz w:val="24"/>
          <w:szCs w:val="24"/>
        </w:rPr>
        <w:t>Aondakaa</w:t>
      </w:r>
      <w:proofErr w:type="spellEnd"/>
      <w:r w:rsidR="00243866">
        <w:rPr>
          <w:rFonts w:ascii="Times New Roman" w:eastAsia="Calibri" w:hAnsi="Times New Roman" w:cs="Times New Roman"/>
          <w:sz w:val="24"/>
          <w:szCs w:val="24"/>
        </w:rPr>
        <w:t xml:space="preserve"> Ephraim, </w:t>
      </w:r>
      <w:r>
        <w:rPr>
          <w:rFonts w:ascii="Times New Roman" w:eastAsia="Calibri" w:hAnsi="Times New Roman" w:cs="Times New Roman"/>
          <w:sz w:val="24"/>
          <w:szCs w:val="24"/>
        </w:rPr>
        <w:t xml:space="preserve"> with whom we have worked harmoniously throughout my stay at </w:t>
      </w:r>
      <w:proofErr w:type="spellStart"/>
      <w:r>
        <w:rPr>
          <w:rFonts w:ascii="Times New Roman" w:eastAsia="Calibri" w:hAnsi="Times New Roman" w:cs="Times New Roman"/>
          <w:sz w:val="24"/>
          <w:szCs w:val="24"/>
        </w:rPr>
        <w:t>Canaanland</w:t>
      </w:r>
      <w:proofErr w:type="spellEnd"/>
      <w:r>
        <w:rPr>
          <w:rFonts w:ascii="Times New Roman" w:eastAsia="Calibri" w:hAnsi="Times New Roman" w:cs="Times New Roman"/>
          <w:sz w:val="24"/>
          <w:szCs w:val="24"/>
        </w:rPr>
        <w:t>, Ota</w:t>
      </w:r>
      <w:r w:rsidR="00F77439" w:rsidRPr="002E7761">
        <w:rPr>
          <w:rFonts w:ascii="Times New Roman" w:eastAsia="Calibri" w:hAnsi="Times New Roman" w:cs="Times New Roman"/>
          <w:sz w:val="24"/>
          <w:szCs w:val="24"/>
        </w:rPr>
        <w:t>.</w:t>
      </w:r>
    </w:p>
    <w:p w:rsidR="00EC1487" w:rsidRDefault="00EC1487" w:rsidP="00F77439">
      <w:pPr>
        <w:spacing w:line="360" w:lineRule="auto"/>
        <w:jc w:val="both"/>
        <w:rPr>
          <w:rFonts w:ascii="Times New Roman" w:eastAsia="Calibri" w:hAnsi="Times New Roman" w:cs="Times New Roman"/>
          <w:sz w:val="24"/>
          <w:szCs w:val="24"/>
        </w:rPr>
      </w:pPr>
    </w:p>
    <w:p w:rsidR="00EC1487" w:rsidRDefault="00EC1487" w:rsidP="00F77439">
      <w:pPr>
        <w:spacing w:line="360" w:lineRule="auto"/>
        <w:jc w:val="both"/>
        <w:rPr>
          <w:rFonts w:ascii="Times New Roman" w:eastAsia="Calibri" w:hAnsi="Times New Roman" w:cs="Times New Roman"/>
          <w:sz w:val="24"/>
          <w:szCs w:val="24"/>
        </w:rPr>
      </w:pPr>
    </w:p>
    <w:p w:rsidR="00EC1487" w:rsidRDefault="00EC1487" w:rsidP="00F77439">
      <w:pPr>
        <w:spacing w:line="360" w:lineRule="auto"/>
        <w:jc w:val="both"/>
        <w:rPr>
          <w:rFonts w:ascii="Times New Roman" w:eastAsia="Calibri" w:hAnsi="Times New Roman" w:cs="Times New Roman"/>
          <w:sz w:val="24"/>
          <w:szCs w:val="24"/>
        </w:rPr>
      </w:pPr>
    </w:p>
    <w:p w:rsidR="00AE496F" w:rsidRPr="002E7761" w:rsidRDefault="00AE496F" w:rsidP="00F77439">
      <w:pPr>
        <w:rPr>
          <w:rFonts w:ascii="Times New Roman" w:eastAsia="Calibri" w:hAnsi="Times New Roman" w:cs="Times New Roman"/>
          <w:b/>
          <w:sz w:val="24"/>
          <w:szCs w:val="24"/>
        </w:rPr>
      </w:pPr>
    </w:p>
    <w:tbl>
      <w:tblPr>
        <w:tblW w:w="9380" w:type="dxa"/>
        <w:tblLayout w:type="fixed"/>
        <w:tblCellMar>
          <w:left w:w="0" w:type="dxa"/>
          <w:right w:w="0" w:type="dxa"/>
        </w:tblCellMar>
        <w:tblLook w:val="04A0" w:firstRow="1" w:lastRow="0" w:firstColumn="1" w:lastColumn="0" w:noHBand="0" w:noVBand="1"/>
      </w:tblPr>
      <w:tblGrid>
        <w:gridCol w:w="460"/>
        <w:gridCol w:w="60"/>
        <w:gridCol w:w="780"/>
        <w:gridCol w:w="180"/>
        <w:gridCol w:w="5900"/>
        <w:gridCol w:w="480"/>
        <w:gridCol w:w="740"/>
        <w:gridCol w:w="780"/>
      </w:tblGrid>
      <w:tr w:rsidR="004C14E0" w:rsidRPr="004C14E0" w:rsidTr="004C14E0">
        <w:trPr>
          <w:trHeight w:val="322"/>
        </w:trPr>
        <w:tc>
          <w:tcPr>
            <w:tcW w:w="520" w:type="dxa"/>
            <w:gridSpan w:val="2"/>
            <w:vAlign w:val="bottom"/>
          </w:tcPr>
          <w:p w:rsidR="004C14E0" w:rsidRPr="004C14E0" w:rsidRDefault="004C14E0" w:rsidP="004C14E0">
            <w:pPr>
              <w:spacing w:line="276" w:lineRule="auto"/>
              <w:rPr>
                <w:rFonts w:ascii="Times New Roman" w:eastAsia="Times New Roman" w:hAnsi="Times New Roman" w:cs="Times New Roman"/>
                <w:sz w:val="24"/>
                <w:szCs w:val="24"/>
                <w:lang w:val="en-US"/>
              </w:rPr>
            </w:pPr>
          </w:p>
        </w:tc>
        <w:tc>
          <w:tcPr>
            <w:tcW w:w="960" w:type="dxa"/>
            <w:gridSpan w:val="2"/>
            <w:vAlign w:val="bottom"/>
          </w:tcPr>
          <w:p w:rsidR="004C14E0" w:rsidRPr="004C14E0" w:rsidRDefault="004C14E0" w:rsidP="004C14E0">
            <w:pPr>
              <w:spacing w:line="276" w:lineRule="auto"/>
              <w:rPr>
                <w:rFonts w:ascii="Times New Roman" w:eastAsia="Times New Roman" w:hAnsi="Times New Roman" w:cs="Times New Roman"/>
                <w:sz w:val="24"/>
                <w:szCs w:val="24"/>
                <w:lang w:val="en-US"/>
              </w:rPr>
            </w:pPr>
          </w:p>
        </w:tc>
        <w:tc>
          <w:tcPr>
            <w:tcW w:w="5900" w:type="dxa"/>
            <w:vAlign w:val="bottom"/>
            <w:hideMark/>
          </w:tcPr>
          <w:p w:rsidR="004C14E0" w:rsidRPr="004C14E0" w:rsidRDefault="004C14E0" w:rsidP="004C14E0">
            <w:pPr>
              <w:spacing w:line="276" w:lineRule="auto"/>
              <w:ind w:left="1680"/>
              <w:rPr>
                <w:rFonts w:ascii="Times New Roman" w:eastAsia="Times New Roman" w:hAnsi="Times New Roman" w:cs="Times New Roman"/>
                <w:b/>
                <w:sz w:val="24"/>
                <w:szCs w:val="24"/>
                <w:lang w:val="en-US"/>
              </w:rPr>
            </w:pPr>
            <w:r w:rsidRPr="004C14E0">
              <w:rPr>
                <w:rFonts w:ascii="Times New Roman" w:eastAsia="Times New Roman" w:hAnsi="Times New Roman" w:cs="Times New Roman"/>
                <w:b/>
                <w:sz w:val="24"/>
                <w:szCs w:val="24"/>
                <w:lang w:val="en-US"/>
              </w:rPr>
              <w:t>TABLE OF CONTENTS</w:t>
            </w:r>
          </w:p>
        </w:tc>
        <w:tc>
          <w:tcPr>
            <w:tcW w:w="2000" w:type="dxa"/>
            <w:gridSpan w:val="3"/>
            <w:vAlign w:val="bottom"/>
          </w:tcPr>
          <w:p w:rsidR="004C14E0" w:rsidRPr="004C14E0" w:rsidRDefault="004C14E0" w:rsidP="004C14E0">
            <w:pPr>
              <w:spacing w:line="276" w:lineRule="auto"/>
              <w:rPr>
                <w:rFonts w:ascii="Times New Roman" w:eastAsia="Times New Roman" w:hAnsi="Times New Roman" w:cs="Times New Roman"/>
                <w:sz w:val="24"/>
                <w:szCs w:val="24"/>
                <w:lang w:val="en-US"/>
              </w:rPr>
            </w:pPr>
          </w:p>
        </w:tc>
      </w:tr>
      <w:tr w:rsidR="004C14E0" w:rsidRPr="004C14E0" w:rsidTr="004C14E0">
        <w:trPr>
          <w:trHeight w:val="411"/>
        </w:trPr>
        <w:tc>
          <w:tcPr>
            <w:tcW w:w="1480" w:type="dxa"/>
            <w:gridSpan w:val="4"/>
            <w:vAlign w:val="bottom"/>
            <w:hideMark/>
          </w:tcPr>
          <w:p w:rsidR="004C14E0" w:rsidRPr="004C14E0" w:rsidRDefault="00C93BC9" w:rsidP="004C14E0">
            <w:pPr>
              <w:spacing w:line="276" w:lineRule="auto"/>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Content</w:t>
            </w:r>
          </w:p>
        </w:tc>
        <w:tc>
          <w:tcPr>
            <w:tcW w:w="5900" w:type="dxa"/>
            <w:vAlign w:val="bottom"/>
          </w:tcPr>
          <w:p w:rsidR="004C14E0" w:rsidRPr="004C14E0" w:rsidRDefault="004C14E0" w:rsidP="004C14E0">
            <w:pPr>
              <w:spacing w:line="276" w:lineRule="auto"/>
              <w:rPr>
                <w:rFonts w:ascii="Times New Roman" w:eastAsia="Times New Roman" w:hAnsi="Times New Roman" w:cs="Times New Roman"/>
                <w:sz w:val="24"/>
                <w:szCs w:val="24"/>
                <w:lang w:val="en-US"/>
              </w:rPr>
            </w:pPr>
          </w:p>
        </w:tc>
        <w:tc>
          <w:tcPr>
            <w:tcW w:w="2000" w:type="dxa"/>
            <w:gridSpan w:val="3"/>
            <w:vAlign w:val="bottom"/>
            <w:hideMark/>
          </w:tcPr>
          <w:p w:rsidR="004C14E0" w:rsidRPr="004C14E0" w:rsidRDefault="004C14E0" w:rsidP="00C93BC9">
            <w:pPr>
              <w:spacing w:line="276" w:lineRule="auto"/>
              <w:jc w:val="right"/>
              <w:rPr>
                <w:rFonts w:ascii="Times New Roman" w:eastAsia="Times New Roman" w:hAnsi="Times New Roman" w:cs="Times New Roman"/>
                <w:b/>
                <w:sz w:val="24"/>
                <w:szCs w:val="24"/>
                <w:lang w:val="en-US"/>
              </w:rPr>
            </w:pPr>
            <w:r w:rsidRPr="004C14E0">
              <w:rPr>
                <w:rFonts w:ascii="Times New Roman" w:eastAsia="Times New Roman" w:hAnsi="Times New Roman" w:cs="Times New Roman"/>
                <w:b/>
                <w:sz w:val="24"/>
                <w:szCs w:val="24"/>
                <w:lang w:val="en-US"/>
              </w:rPr>
              <w:t>Page</w:t>
            </w:r>
          </w:p>
        </w:tc>
      </w:tr>
      <w:tr w:rsidR="004C14E0" w:rsidRPr="004C14E0" w:rsidTr="004C14E0">
        <w:trPr>
          <w:trHeight w:val="530"/>
        </w:trPr>
        <w:tc>
          <w:tcPr>
            <w:tcW w:w="7380" w:type="dxa"/>
            <w:gridSpan w:val="5"/>
            <w:vAlign w:val="bottom"/>
            <w:hideMark/>
          </w:tcPr>
          <w:p w:rsidR="004C14E0" w:rsidRPr="004C14E0" w:rsidRDefault="004C14E0" w:rsidP="004C14E0">
            <w:pPr>
              <w:spacing w:line="276" w:lineRule="auto"/>
              <w:rPr>
                <w:rFonts w:ascii="Times New Roman" w:eastAsia="Times New Roman" w:hAnsi="Times New Roman" w:cs="Times New Roman"/>
                <w:b/>
                <w:sz w:val="24"/>
                <w:szCs w:val="24"/>
                <w:lang w:val="en-US"/>
              </w:rPr>
            </w:pPr>
            <w:r w:rsidRPr="004C14E0">
              <w:rPr>
                <w:rFonts w:ascii="Times New Roman" w:eastAsia="Times New Roman" w:hAnsi="Times New Roman" w:cs="Times New Roman"/>
                <w:b/>
                <w:sz w:val="24"/>
                <w:szCs w:val="24"/>
                <w:lang w:val="en-US"/>
              </w:rPr>
              <w:t>OVER PAGE</w:t>
            </w:r>
          </w:p>
        </w:tc>
        <w:tc>
          <w:tcPr>
            <w:tcW w:w="2000" w:type="dxa"/>
            <w:gridSpan w:val="3"/>
            <w:vAlign w:val="bottom"/>
            <w:hideMark/>
          </w:tcPr>
          <w:p w:rsidR="004C14E0" w:rsidRPr="004C14E0" w:rsidRDefault="004C14E0" w:rsidP="004C14E0">
            <w:pPr>
              <w:spacing w:line="276" w:lineRule="auto"/>
              <w:rPr>
                <w:rFonts w:ascii="Times New Roman" w:eastAsia="Times New Roman" w:hAnsi="Times New Roman" w:cs="Times New Roman"/>
                <w:b/>
                <w:sz w:val="24"/>
                <w:szCs w:val="24"/>
                <w:lang w:val="en-US"/>
              </w:rPr>
            </w:pPr>
          </w:p>
        </w:tc>
      </w:tr>
      <w:tr w:rsidR="004C14E0" w:rsidRPr="004C14E0" w:rsidTr="004C14E0">
        <w:trPr>
          <w:trHeight w:val="276"/>
        </w:trPr>
        <w:tc>
          <w:tcPr>
            <w:tcW w:w="1480" w:type="dxa"/>
            <w:gridSpan w:val="4"/>
            <w:vAlign w:val="bottom"/>
            <w:hideMark/>
          </w:tcPr>
          <w:p w:rsidR="004C14E0" w:rsidRPr="004C14E0" w:rsidRDefault="004C14E0" w:rsidP="004C14E0">
            <w:pPr>
              <w:spacing w:line="276" w:lineRule="auto"/>
              <w:rPr>
                <w:rFonts w:ascii="Times New Roman" w:eastAsia="Times New Roman" w:hAnsi="Times New Roman" w:cs="Times New Roman"/>
                <w:b/>
                <w:w w:val="99"/>
                <w:sz w:val="24"/>
                <w:szCs w:val="24"/>
              </w:rPr>
            </w:pPr>
            <w:r w:rsidRPr="004C14E0">
              <w:rPr>
                <w:rFonts w:ascii="Times New Roman" w:eastAsia="Times New Roman" w:hAnsi="Times New Roman" w:cs="Times New Roman"/>
                <w:b/>
                <w:w w:val="99"/>
                <w:sz w:val="24"/>
                <w:szCs w:val="24"/>
                <w:lang w:val="en-US"/>
              </w:rPr>
              <w:t>TITLE PAGE</w:t>
            </w:r>
          </w:p>
        </w:tc>
        <w:tc>
          <w:tcPr>
            <w:tcW w:w="5900" w:type="dxa"/>
            <w:vAlign w:val="bottom"/>
          </w:tcPr>
          <w:p w:rsidR="004C14E0" w:rsidRPr="004C14E0" w:rsidRDefault="004C14E0" w:rsidP="004C14E0">
            <w:pPr>
              <w:spacing w:line="276" w:lineRule="auto"/>
              <w:rPr>
                <w:rFonts w:ascii="Times New Roman" w:eastAsia="Times New Roman" w:hAnsi="Times New Roman" w:cs="Times New Roman"/>
                <w:sz w:val="24"/>
                <w:szCs w:val="24"/>
                <w:lang w:val="en-US"/>
              </w:rPr>
            </w:pPr>
          </w:p>
        </w:tc>
        <w:tc>
          <w:tcPr>
            <w:tcW w:w="2000" w:type="dxa"/>
            <w:gridSpan w:val="3"/>
            <w:vAlign w:val="bottom"/>
            <w:hideMark/>
          </w:tcPr>
          <w:p w:rsidR="004C14E0" w:rsidRPr="004C14E0" w:rsidRDefault="004C14E0" w:rsidP="004C14E0">
            <w:pPr>
              <w:spacing w:line="276" w:lineRule="auto"/>
              <w:jc w:val="right"/>
              <w:rPr>
                <w:rFonts w:ascii="Times New Roman" w:eastAsia="Times New Roman" w:hAnsi="Times New Roman" w:cs="Times New Roman"/>
                <w:b/>
                <w:sz w:val="24"/>
                <w:szCs w:val="24"/>
                <w:lang w:val="en-US"/>
              </w:rPr>
            </w:pPr>
            <w:proofErr w:type="spellStart"/>
            <w:r w:rsidRPr="004C14E0">
              <w:rPr>
                <w:rFonts w:ascii="Times New Roman" w:eastAsia="Times New Roman" w:hAnsi="Times New Roman" w:cs="Times New Roman"/>
                <w:b/>
                <w:sz w:val="24"/>
                <w:szCs w:val="24"/>
                <w:lang w:val="en-US"/>
              </w:rPr>
              <w:t>i</w:t>
            </w:r>
            <w:proofErr w:type="spellEnd"/>
          </w:p>
        </w:tc>
      </w:tr>
      <w:tr w:rsidR="004C14E0" w:rsidRPr="004C14E0" w:rsidTr="004C14E0">
        <w:trPr>
          <w:trHeight w:val="276"/>
        </w:trPr>
        <w:tc>
          <w:tcPr>
            <w:tcW w:w="7380" w:type="dxa"/>
            <w:gridSpan w:val="5"/>
            <w:vAlign w:val="bottom"/>
            <w:hideMark/>
          </w:tcPr>
          <w:p w:rsidR="004C14E0" w:rsidRPr="004C14E0" w:rsidRDefault="004C14E0" w:rsidP="004C14E0">
            <w:pPr>
              <w:spacing w:line="276" w:lineRule="auto"/>
              <w:rPr>
                <w:rFonts w:ascii="Times New Roman" w:eastAsia="Times New Roman" w:hAnsi="Times New Roman" w:cs="Times New Roman"/>
                <w:b/>
                <w:sz w:val="24"/>
                <w:szCs w:val="24"/>
                <w:lang w:val="en-US"/>
              </w:rPr>
            </w:pPr>
            <w:r w:rsidRPr="004C14E0">
              <w:rPr>
                <w:rFonts w:ascii="Times New Roman" w:eastAsia="Times New Roman" w:hAnsi="Times New Roman" w:cs="Times New Roman"/>
                <w:b/>
                <w:sz w:val="24"/>
                <w:szCs w:val="24"/>
                <w:lang w:val="en-US"/>
              </w:rPr>
              <w:t>ACCEPTANCE</w:t>
            </w:r>
          </w:p>
        </w:tc>
        <w:tc>
          <w:tcPr>
            <w:tcW w:w="2000" w:type="dxa"/>
            <w:gridSpan w:val="3"/>
            <w:vAlign w:val="bottom"/>
            <w:hideMark/>
          </w:tcPr>
          <w:p w:rsidR="004C14E0" w:rsidRPr="004C14E0" w:rsidRDefault="004C14E0" w:rsidP="004C14E0">
            <w:pPr>
              <w:spacing w:line="276" w:lineRule="auto"/>
              <w:jc w:val="right"/>
              <w:rPr>
                <w:rFonts w:ascii="Times New Roman" w:eastAsia="Times New Roman" w:hAnsi="Times New Roman" w:cs="Times New Roman"/>
                <w:b/>
                <w:sz w:val="24"/>
                <w:szCs w:val="24"/>
                <w:lang w:val="en-US"/>
              </w:rPr>
            </w:pPr>
            <w:r w:rsidRPr="004C14E0">
              <w:rPr>
                <w:rFonts w:ascii="Times New Roman" w:eastAsia="Times New Roman" w:hAnsi="Times New Roman" w:cs="Times New Roman"/>
                <w:b/>
                <w:sz w:val="24"/>
                <w:szCs w:val="24"/>
                <w:lang w:val="en-US"/>
              </w:rPr>
              <w:t>ii</w:t>
            </w:r>
          </w:p>
        </w:tc>
      </w:tr>
      <w:tr w:rsidR="004C14E0" w:rsidRPr="004C14E0" w:rsidTr="004C14E0">
        <w:trPr>
          <w:trHeight w:val="276"/>
        </w:trPr>
        <w:tc>
          <w:tcPr>
            <w:tcW w:w="7380" w:type="dxa"/>
            <w:gridSpan w:val="5"/>
            <w:vAlign w:val="bottom"/>
            <w:hideMark/>
          </w:tcPr>
          <w:p w:rsidR="004C14E0" w:rsidRPr="004C14E0" w:rsidRDefault="004C14E0" w:rsidP="004C14E0">
            <w:pPr>
              <w:spacing w:line="276" w:lineRule="auto"/>
              <w:rPr>
                <w:rFonts w:ascii="Times New Roman" w:eastAsia="Times New Roman" w:hAnsi="Times New Roman" w:cs="Times New Roman"/>
                <w:b/>
                <w:sz w:val="24"/>
                <w:szCs w:val="24"/>
                <w:lang w:val="en-US"/>
              </w:rPr>
            </w:pPr>
            <w:r w:rsidRPr="004C14E0">
              <w:rPr>
                <w:rFonts w:ascii="Times New Roman" w:eastAsia="Times New Roman" w:hAnsi="Times New Roman" w:cs="Times New Roman"/>
                <w:b/>
                <w:sz w:val="24"/>
                <w:szCs w:val="24"/>
                <w:lang w:val="en-US"/>
              </w:rPr>
              <w:t>DECLARATION</w:t>
            </w:r>
          </w:p>
        </w:tc>
        <w:tc>
          <w:tcPr>
            <w:tcW w:w="2000" w:type="dxa"/>
            <w:gridSpan w:val="3"/>
            <w:vAlign w:val="bottom"/>
            <w:hideMark/>
          </w:tcPr>
          <w:p w:rsidR="004C14E0" w:rsidRPr="004C14E0" w:rsidRDefault="004C14E0" w:rsidP="004C14E0">
            <w:pPr>
              <w:spacing w:line="276" w:lineRule="auto"/>
              <w:jc w:val="right"/>
              <w:rPr>
                <w:rFonts w:ascii="Times New Roman" w:eastAsia="Times New Roman" w:hAnsi="Times New Roman" w:cs="Times New Roman"/>
                <w:b/>
                <w:sz w:val="24"/>
                <w:szCs w:val="24"/>
                <w:lang w:val="en-US"/>
              </w:rPr>
            </w:pPr>
            <w:r w:rsidRPr="004C14E0">
              <w:rPr>
                <w:rFonts w:ascii="Times New Roman" w:eastAsia="Times New Roman" w:hAnsi="Times New Roman" w:cs="Times New Roman"/>
                <w:b/>
                <w:sz w:val="24"/>
                <w:szCs w:val="24"/>
                <w:lang w:val="en-US"/>
              </w:rPr>
              <w:t>iii</w:t>
            </w:r>
          </w:p>
        </w:tc>
      </w:tr>
      <w:tr w:rsidR="004C14E0" w:rsidRPr="004C14E0" w:rsidTr="004C14E0">
        <w:trPr>
          <w:trHeight w:val="276"/>
        </w:trPr>
        <w:tc>
          <w:tcPr>
            <w:tcW w:w="7380" w:type="dxa"/>
            <w:gridSpan w:val="5"/>
            <w:vAlign w:val="bottom"/>
            <w:hideMark/>
          </w:tcPr>
          <w:p w:rsidR="004C14E0" w:rsidRPr="004C14E0" w:rsidRDefault="004C14E0" w:rsidP="004C14E0">
            <w:pPr>
              <w:spacing w:line="276" w:lineRule="auto"/>
              <w:rPr>
                <w:rFonts w:ascii="Times New Roman" w:eastAsia="Times New Roman" w:hAnsi="Times New Roman" w:cs="Times New Roman"/>
                <w:b/>
                <w:sz w:val="24"/>
                <w:szCs w:val="24"/>
                <w:lang w:val="en-US"/>
              </w:rPr>
            </w:pPr>
            <w:r w:rsidRPr="004C14E0">
              <w:rPr>
                <w:rFonts w:ascii="Times New Roman" w:eastAsia="Times New Roman" w:hAnsi="Times New Roman" w:cs="Times New Roman"/>
                <w:b/>
                <w:sz w:val="24"/>
                <w:szCs w:val="24"/>
                <w:lang w:val="en-US"/>
              </w:rPr>
              <w:t>CERTIFICATION</w:t>
            </w:r>
          </w:p>
        </w:tc>
        <w:tc>
          <w:tcPr>
            <w:tcW w:w="2000" w:type="dxa"/>
            <w:gridSpan w:val="3"/>
            <w:vAlign w:val="bottom"/>
            <w:hideMark/>
          </w:tcPr>
          <w:p w:rsidR="004C14E0" w:rsidRPr="004C14E0" w:rsidRDefault="004C14E0" w:rsidP="004C14E0">
            <w:pPr>
              <w:spacing w:line="276" w:lineRule="auto"/>
              <w:jc w:val="right"/>
              <w:rPr>
                <w:rFonts w:ascii="Times New Roman" w:eastAsia="Times New Roman" w:hAnsi="Times New Roman" w:cs="Times New Roman"/>
                <w:b/>
                <w:sz w:val="24"/>
                <w:szCs w:val="24"/>
                <w:lang w:val="en-US"/>
              </w:rPr>
            </w:pPr>
            <w:r w:rsidRPr="004C14E0">
              <w:rPr>
                <w:rFonts w:ascii="Times New Roman" w:eastAsia="Times New Roman" w:hAnsi="Times New Roman" w:cs="Times New Roman"/>
                <w:b/>
                <w:sz w:val="24"/>
                <w:szCs w:val="24"/>
                <w:lang w:val="en-US"/>
              </w:rPr>
              <w:t>iv</w:t>
            </w:r>
          </w:p>
        </w:tc>
      </w:tr>
      <w:tr w:rsidR="004C14E0" w:rsidRPr="004C14E0" w:rsidTr="004C14E0">
        <w:trPr>
          <w:trHeight w:val="276"/>
        </w:trPr>
        <w:tc>
          <w:tcPr>
            <w:tcW w:w="7380" w:type="dxa"/>
            <w:gridSpan w:val="5"/>
            <w:vAlign w:val="bottom"/>
            <w:hideMark/>
          </w:tcPr>
          <w:p w:rsidR="004C14E0" w:rsidRPr="004C14E0" w:rsidRDefault="004C14E0" w:rsidP="004C14E0">
            <w:pPr>
              <w:spacing w:line="276" w:lineRule="auto"/>
              <w:rPr>
                <w:rFonts w:ascii="Times New Roman" w:eastAsia="Times New Roman" w:hAnsi="Times New Roman" w:cs="Times New Roman"/>
                <w:b/>
                <w:sz w:val="24"/>
                <w:szCs w:val="24"/>
                <w:lang w:val="en-US"/>
              </w:rPr>
            </w:pPr>
            <w:r w:rsidRPr="004C14E0">
              <w:rPr>
                <w:rFonts w:ascii="Times New Roman" w:eastAsia="Times New Roman" w:hAnsi="Times New Roman" w:cs="Times New Roman"/>
                <w:b/>
                <w:sz w:val="24"/>
                <w:szCs w:val="24"/>
                <w:lang w:val="en-US"/>
              </w:rPr>
              <w:t>DEDICATION</w:t>
            </w:r>
          </w:p>
        </w:tc>
        <w:tc>
          <w:tcPr>
            <w:tcW w:w="2000" w:type="dxa"/>
            <w:gridSpan w:val="3"/>
            <w:vAlign w:val="bottom"/>
            <w:hideMark/>
          </w:tcPr>
          <w:p w:rsidR="004C14E0" w:rsidRPr="004C14E0" w:rsidRDefault="004C14E0" w:rsidP="004C14E0">
            <w:pPr>
              <w:spacing w:line="276" w:lineRule="auto"/>
              <w:jc w:val="right"/>
              <w:rPr>
                <w:rFonts w:ascii="Times New Roman" w:eastAsia="Times New Roman" w:hAnsi="Times New Roman" w:cs="Times New Roman"/>
                <w:b/>
                <w:sz w:val="24"/>
                <w:szCs w:val="24"/>
                <w:lang w:val="en-US"/>
              </w:rPr>
            </w:pPr>
            <w:r w:rsidRPr="004C14E0">
              <w:rPr>
                <w:rFonts w:ascii="Times New Roman" w:eastAsia="Times New Roman" w:hAnsi="Times New Roman" w:cs="Times New Roman"/>
                <w:b/>
                <w:sz w:val="24"/>
                <w:szCs w:val="24"/>
                <w:lang w:val="en-US"/>
              </w:rPr>
              <w:t>v</w:t>
            </w:r>
          </w:p>
        </w:tc>
      </w:tr>
      <w:tr w:rsidR="004C14E0" w:rsidRPr="004C14E0" w:rsidTr="004C14E0">
        <w:trPr>
          <w:trHeight w:val="276"/>
        </w:trPr>
        <w:tc>
          <w:tcPr>
            <w:tcW w:w="7380" w:type="dxa"/>
            <w:gridSpan w:val="5"/>
            <w:vAlign w:val="bottom"/>
            <w:hideMark/>
          </w:tcPr>
          <w:p w:rsidR="004C14E0" w:rsidRPr="004C14E0" w:rsidRDefault="004C14E0" w:rsidP="004C14E0">
            <w:pPr>
              <w:spacing w:line="276" w:lineRule="auto"/>
              <w:rPr>
                <w:rFonts w:ascii="Times New Roman" w:eastAsia="Times New Roman" w:hAnsi="Times New Roman" w:cs="Times New Roman"/>
                <w:b/>
                <w:sz w:val="24"/>
                <w:szCs w:val="24"/>
                <w:lang w:val="en-US"/>
              </w:rPr>
            </w:pPr>
            <w:r w:rsidRPr="004C14E0">
              <w:rPr>
                <w:rFonts w:ascii="Times New Roman" w:eastAsia="Times New Roman" w:hAnsi="Times New Roman" w:cs="Times New Roman"/>
                <w:b/>
                <w:sz w:val="24"/>
                <w:szCs w:val="24"/>
                <w:lang w:val="en-US"/>
              </w:rPr>
              <w:t>ACKNOWLEDGEMENTS</w:t>
            </w:r>
          </w:p>
        </w:tc>
        <w:tc>
          <w:tcPr>
            <w:tcW w:w="2000" w:type="dxa"/>
            <w:gridSpan w:val="3"/>
            <w:vAlign w:val="bottom"/>
            <w:hideMark/>
          </w:tcPr>
          <w:p w:rsidR="004C14E0" w:rsidRPr="004C14E0" w:rsidRDefault="004C14E0" w:rsidP="004C14E0">
            <w:pPr>
              <w:spacing w:line="276" w:lineRule="auto"/>
              <w:jc w:val="right"/>
              <w:rPr>
                <w:rFonts w:ascii="Times New Roman" w:eastAsia="Times New Roman" w:hAnsi="Times New Roman" w:cs="Times New Roman"/>
                <w:b/>
                <w:sz w:val="24"/>
                <w:szCs w:val="24"/>
                <w:lang w:val="en-US"/>
              </w:rPr>
            </w:pPr>
            <w:r w:rsidRPr="004C14E0">
              <w:rPr>
                <w:rFonts w:ascii="Times New Roman" w:eastAsia="Times New Roman" w:hAnsi="Times New Roman" w:cs="Times New Roman"/>
                <w:b/>
                <w:sz w:val="24"/>
                <w:szCs w:val="24"/>
                <w:lang w:val="en-US"/>
              </w:rPr>
              <w:t>vi</w:t>
            </w:r>
          </w:p>
        </w:tc>
      </w:tr>
      <w:tr w:rsidR="004C14E0" w:rsidRPr="004C14E0" w:rsidTr="004C14E0">
        <w:trPr>
          <w:trHeight w:val="276"/>
        </w:trPr>
        <w:tc>
          <w:tcPr>
            <w:tcW w:w="7380" w:type="dxa"/>
            <w:gridSpan w:val="5"/>
            <w:vAlign w:val="bottom"/>
            <w:hideMark/>
          </w:tcPr>
          <w:p w:rsidR="004C14E0" w:rsidRPr="004C14E0" w:rsidRDefault="004C14E0" w:rsidP="004C14E0">
            <w:pPr>
              <w:spacing w:line="276" w:lineRule="auto"/>
              <w:rPr>
                <w:rFonts w:ascii="Times New Roman" w:eastAsia="Times New Roman" w:hAnsi="Times New Roman" w:cs="Times New Roman"/>
                <w:b/>
                <w:sz w:val="24"/>
                <w:szCs w:val="24"/>
                <w:lang w:val="en-US"/>
              </w:rPr>
            </w:pPr>
            <w:r w:rsidRPr="004C14E0">
              <w:rPr>
                <w:rFonts w:ascii="Times New Roman" w:eastAsia="Times New Roman" w:hAnsi="Times New Roman" w:cs="Times New Roman"/>
                <w:b/>
                <w:sz w:val="24"/>
                <w:szCs w:val="24"/>
                <w:lang w:val="en-US"/>
              </w:rPr>
              <w:t>TABLE OF CONTENTS</w:t>
            </w:r>
          </w:p>
        </w:tc>
        <w:tc>
          <w:tcPr>
            <w:tcW w:w="2000" w:type="dxa"/>
            <w:gridSpan w:val="3"/>
            <w:vAlign w:val="bottom"/>
            <w:hideMark/>
          </w:tcPr>
          <w:p w:rsidR="004C14E0" w:rsidRPr="004C14E0" w:rsidRDefault="004C14E0" w:rsidP="004C14E0">
            <w:pPr>
              <w:spacing w:line="276" w:lineRule="auto"/>
              <w:jc w:val="right"/>
              <w:rPr>
                <w:rFonts w:ascii="Times New Roman" w:eastAsia="Times New Roman" w:hAnsi="Times New Roman" w:cs="Times New Roman"/>
                <w:b/>
                <w:sz w:val="24"/>
                <w:szCs w:val="24"/>
                <w:lang w:val="en-US"/>
              </w:rPr>
            </w:pPr>
            <w:r w:rsidRPr="004C14E0">
              <w:rPr>
                <w:rFonts w:ascii="Times New Roman" w:eastAsia="Times New Roman" w:hAnsi="Times New Roman" w:cs="Times New Roman"/>
                <w:b/>
                <w:sz w:val="24"/>
                <w:szCs w:val="24"/>
                <w:lang w:val="en-US"/>
              </w:rPr>
              <w:t>vii</w:t>
            </w:r>
          </w:p>
        </w:tc>
      </w:tr>
      <w:tr w:rsidR="004C14E0" w:rsidRPr="004C14E0" w:rsidTr="004C14E0">
        <w:trPr>
          <w:trHeight w:val="276"/>
        </w:trPr>
        <w:tc>
          <w:tcPr>
            <w:tcW w:w="7380" w:type="dxa"/>
            <w:gridSpan w:val="5"/>
            <w:vAlign w:val="bottom"/>
            <w:hideMark/>
          </w:tcPr>
          <w:p w:rsidR="004C14E0" w:rsidRPr="004C14E0" w:rsidRDefault="004C14E0" w:rsidP="004C14E0">
            <w:pPr>
              <w:spacing w:line="276" w:lineRule="auto"/>
              <w:rPr>
                <w:rFonts w:ascii="Times New Roman" w:eastAsia="Times New Roman" w:hAnsi="Times New Roman" w:cs="Times New Roman"/>
                <w:b/>
                <w:sz w:val="24"/>
                <w:szCs w:val="24"/>
                <w:lang w:val="en-US"/>
              </w:rPr>
            </w:pPr>
            <w:r w:rsidRPr="004C14E0">
              <w:rPr>
                <w:rFonts w:ascii="Times New Roman" w:eastAsia="Times New Roman" w:hAnsi="Times New Roman" w:cs="Times New Roman"/>
                <w:b/>
                <w:sz w:val="24"/>
                <w:szCs w:val="24"/>
                <w:lang w:val="en-US"/>
              </w:rPr>
              <w:t>LIST OF FIGURES</w:t>
            </w:r>
          </w:p>
        </w:tc>
        <w:tc>
          <w:tcPr>
            <w:tcW w:w="2000" w:type="dxa"/>
            <w:gridSpan w:val="3"/>
            <w:vAlign w:val="bottom"/>
            <w:hideMark/>
          </w:tcPr>
          <w:p w:rsidR="004C14E0" w:rsidRPr="004C14E0" w:rsidRDefault="004C14E0" w:rsidP="004C14E0">
            <w:pPr>
              <w:spacing w:line="276" w:lineRule="auto"/>
              <w:jc w:val="right"/>
              <w:rPr>
                <w:rFonts w:ascii="Times New Roman" w:eastAsia="Times New Roman" w:hAnsi="Times New Roman" w:cs="Times New Roman"/>
                <w:b/>
                <w:sz w:val="24"/>
                <w:szCs w:val="24"/>
                <w:lang w:val="en-US"/>
              </w:rPr>
            </w:pPr>
            <w:r w:rsidRPr="004C14E0">
              <w:rPr>
                <w:rFonts w:ascii="Times New Roman" w:eastAsia="Times New Roman" w:hAnsi="Times New Roman" w:cs="Times New Roman"/>
                <w:b/>
                <w:sz w:val="24"/>
                <w:szCs w:val="24"/>
                <w:lang w:val="en-US"/>
              </w:rPr>
              <w:t>x</w:t>
            </w:r>
          </w:p>
        </w:tc>
      </w:tr>
      <w:tr w:rsidR="004C14E0" w:rsidRPr="004C14E0" w:rsidTr="004C14E0">
        <w:trPr>
          <w:trHeight w:val="277"/>
        </w:trPr>
        <w:tc>
          <w:tcPr>
            <w:tcW w:w="7380" w:type="dxa"/>
            <w:gridSpan w:val="5"/>
            <w:vAlign w:val="bottom"/>
            <w:hideMark/>
          </w:tcPr>
          <w:p w:rsidR="004C14E0" w:rsidRPr="004C14E0" w:rsidRDefault="004C14E0" w:rsidP="004C14E0">
            <w:pPr>
              <w:spacing w:line="276" w:lineRule="auto"/>
              <w:rPr>
                <w:rFonts w:ascii="Times New Roman" w:eastAsia="Times New Roman" w:hAnsi="Times New Roman" w:cs="Times New Roman"/>
                <w:b/>
                <w:sz w:val="24"/>
                <w:szCs w:val="24"/>
                <w:lang w:val="en-US"/>
              </w:rPr>
            </w:pPr>
            <w:r w:rsidRPr="004C14E0">
              <w:rPr>
                <w:rFonts w:ascii="Times New Roman" w:eastAsia="Times New Roman" w:hAnsi="Times New Roman" w:cs="Times New Roman"/>
                <w:b/>
                <w:sz w:val="24"/>
                <w:szCs w:val="24"/>
                <w:lang w:val="en-US"/>
              </w:rPr>
              <w:t>LIST OF TABLES</w:t>
            </w:r>
          </w:p>
        </w:tc>
        <w:tc>
          <w:tcPr>
            <w:tcW w:w="2000" w:type="dxa"/>
            <w:gridSpan w:val="3"/>
            <w:vAlign w:val="bottom"/>
            <w:hideMark/>
          </w:tcPr>
          <w:p w:rsidR="004C14E0" w:rsidRPr="004C14E0" w:rsidRDefault="004C14E0" w:rsidP="004C14E0">
            <w:pPr>
              <w:spacing w:line="276" w:lineRule="auto"/>
              <w:jc w:val="right"/>
              <w:rPr>
                <w:rFonts w:ascii="Times New Roman" w:eastAsia="Times New Roman" w:hAnsi="Times New Roman" w:cs="Times New Roman"/>
                <w:b/>
                <w:sz w:val="24"/>
                <w:szCs w:val="24"/>
                <w:lang w:val="en-US"/>
              </w:rPr>
            </w:pPr>
            <w:r w:rsidRPr="004C14E0">
              <w:rPr>
                <w:rFonts w:ascii="Times New Roman" w:eastAsia="Times New Roman" w:hAnsi="Times New Roman" w:cs="Times New Roman"/>
                <w:b/>
                <w:sz w:val="24"/>
                <w:szCs w:val="24"/>
                <w:lang w:val="en-US"/>
              </w:rPr>
              <w:t>xi</w:t>
            </w:r>
          </w:p>
        </w:tc>
      </w:tr>
      <w:tr w:rsidR="004C14E0" w:rsidRPr="004C14E0" w:rsidTr="004C14E0">
        <w:trPr>
          <w:trHeight w:val="276"/>
        </w:trPr>
        <w:tc>
          <w:tcPr>
            <w:tcW w:w="7380" w:type="dxa"/>
            <w:gridSpan w:val="5"/>
            <w:vAlign w:val="bottom"/>
            <w:hideMark/>
          </w:tcPr>
          <w:p w:rsidR="004C14E0" w:rsidRPr="004C14E0" w:rsidRDefault="004C14E0" w:rsidP="004C14E0">
            <w:pPr>
              <w:spacing w:line="276" w:lineRule="auto"/>
              <w:rPr>
                <w:rFonts w:ascii="Times New Roman" w:eastAsia="Times New Roman" w:hAnsi="Times New Roman" w:cs="Times New Roman"/>
                <w:b/>
                <w:sz w:val="24"/>
                <w:szCs w:val="24"/>
                <w:lang w:val="en-US"/>
              </w:rPr>
            </w:pPr>
            <w:r w:rsidRPr="004C14E0">
              <w:rPr>
                <w:rFonts w:ascii="Times New Roman" w:eastAsia="Times New Roman" w:hAnsi="Times New Roman" w:cs="Times New Roman"/>
                <w:b/>
                <w:sz w:val="24"/>
                <w:szCs w:val="24"/>
                <w:lang w:val="en-US"/>
              </w:rPr>
              <w:t>LIST OF ABBREVIATIONS</w:t>
            </w:r>
          </w:p>
        </w:tc>
        <w:tc>
          <w:tcPr>
            <w:tcW w:w="2000" w:type="dxa"/>
            <w:gridSpan w:val="3"/>
            <w:vAlign w:val="bottom"/>
            <w:hideMark/>
          </w:tcPr>
          <w:p w:rsidR="004C14E0" w:rsidRPr="004C14E0" w:rsidRDefault="004C14E0" w:rsidP="004C14E0">
            <w:pPr>
              <w:spacing w:line="276" w:lineRule="auto"/>
              <w:jc w:val="right"/>
              <w:rPr>
                <w:rFonts w:ascii="Times New Roman" w:eastAsia="Times New Roman" w:hAnsi="Times New Roman" w:cs="Times New Roman"/>
                <w:b/>
                <w:sz w:val="24"/>
                <w:szCs w:val="24"/>
                <w:lang w:val="en-US"/>
              </w:rPr>
            </w:pPr>
            <w:r w:rsidRPr="004C14E0">
              <w:rPr>
                <w:rFonts w:ascii="Times New Roman" w:eastAsia="Times New Roman" w:hAnsi="Times New Roman" w:cs="Times New Roman"/>
                <w:b/>
                <w:sz w:val="24"/>
                <w:szCs w:val="24"/>
                <w:lang w:val="en-US"/>
              </w:rPr>
              <w:t>xii</w:t>
            </w:r>
          </w:p>
        </w:tc>
      </w:tr>
      <w:tr w:rsidR="004C14E0" w:rsidRPr="004C14E0" w:rsidTr="004C14E0">
        <w:trPr>
          <w:trHeight w:val="276"/>
        </w:trPr>
        <w:tc>
          <w:tcPr>
            <w:tcW w:w="1480" w:type="dxa"/>
            <w:gridSpan w:val="4"/>
            <w:vAlign w:val="bottom"/>
            <w:hideMark/>
          </w:tcPr>
          <w:p w:rsidR="004C14E0" w:rsidRPr="004C14E0" w:rsidRDefault="004C14E0" w:rsidP="004C14E0">
            <w:pPr>
              <w:spacing w:line="276" w:lineRule="auto"/>
              <w:rPr>
                <w:rFonts w:ascii="Times New Roman" w:eastAsia="Times New Roman" w:hAnsi="Times New Roman" w:cs="Times New Roman"/>
                <w:b/>
                <w:sz w:val="24"/>
                <w:szCs w:val="24"/>
                <w:lang w:val="en-US"/>
              </w:rPr>
            </w:pPr>
            <w:r w:rsidRPr="004C14E0">
              <w:rPr>
                <w:rFonts w:ascii="Times New Roman" w:eastAsia="Times New Roman" w:hAnsi="Times New Roman" w:cs="Times New Roman"/>
                <w:b/>
                <w:sz w:val="24"/>
                <w:szCs w:val="24"/>
                <w:lang w:val="en-US"/>
              </w:rPr>
              <w:t>ABSTRACT</w:t>
            </w:r>
          </w:p>
        </w:tc>
        <w:tc>
          <w:tcPr>
            <w:tcW w:w="5900" w:type="dxa"/>
            <w:vAlign w:val="bottom"/>
          </w:tcPr>
          <w:p w:rsidR="004C14E0" w:rsidRPr="004C14E0" w:rsidRDefault="004C14E0" w:rsidP="004C14E0">
            <w:pPr>
              <w:spacing w:line="276" w:lineRule="auto"/>
              <w:rPr>
                <w:rFonts w:ascii="Times New Roman" w:eastAsia="Times New Roman" w:hAnsi="Times New Roman" w:cs="Times New Roman"/>
                <w:sz w:val="24"/>
                <w:szCs w:val="24"/>
                <w:lang w:val="en-US"/>
              </w:rPr>
            </w:pPr>
          </w:p>
        </w:tc>
        <w:tc>
          <w:tcPr>
            <w:tcW w:w="2000" w:type="dxa"/>
            <w:gridSpan w:val="3"/>
            <w:vAlign w:val="bottom"/>
            <w:hideMark/>
          </w:tcPr>
          <w:p w:rsidR="004C14E0" w:rsidRPr="004C14E0" w:rsidRDefault="004C14E0" w:rsidP="004C14E0">
            <w:pPr>
              <w:spacing w:line="276" w:lineRule="auto"/>
              <w:jc w:val="right"/>
              <w:rPr>
                <w:rFonts w:ascii="Times New Roman" w:eastAsia="Times New Roman" w:hAnsi="Times New Roman" w:cs="Times New Roman"/>
                <w:b/>
                <w:sz w:val="24"/>
                <w:szCs w:val="24"/>
                <w:lang w:val="en-US"/>
              </w:rPr>
            </w:pPr>
            <w:r w:rsidRPr="004C14E0">
              <w:rPr>
                <w:rFonts w:ascii="Times New Roman" w:eastAsia="Times New Roman" w:hAnsi="Times New Roman" w:cs="Times New Roman"/>
                <w:b/>
                <w:sz w:val="24"/>
                <w:szCs w:val="24"/>
                <w:lang w:val="en-US"/>
              </w:rPr>
              <w:t>xiii</w:t>
            </w:r>
          </w:p>
        </w:tc>
      </w:tr>
      <w:tr w:rsidR="004C14E0" w:rsidRPr="004C14E0" w:rsidTr="004C14E0">
        <w:trPr>
          <w:trHeight w:val="679"/>
        </w:trPr>
        <w:tc>
          <w:tcPr>
            <w:tcW w:w="7380" w:type="dxa"/>
            <w:gridSpan w:val="5"/>
            <w:vAlign w:val="bottom"/>
            <w:hideMark/>
          </w:tcPr>
          <w:p w:rsidR="004C14E0" w:rsidRPr="004C14E0" w:rsidRDefault="004C14E0" w:rsidP="004C14E0">
            <w:pPr>
              <w:spacing w:line="276" w:lineRule="auto"/>
              <w:rPr>
                <w:rFonts w:ascii="Times New Roman" w:eastAsia="Times New Roman" w:hAnsi="Times New Roman" w:cs="Times New Roman"/>
                <w:b/>
                <w:sz w:val="24"/>
                <w:szCs w:val="24"/>
                <w:lang w:val="en-US"/>
              </w:rPr>
            </w:pPr>
            <w:r w:rsidRPr="004C14E0">
              <w:rPr>
                <w:rFonts w:ascii="Times New Roman" w:eastAsia="Times New Roman" w:hAnsi="Times New Roman" w:cs="Times New Roman"/>
                <w:b/>
                <w:sz w:val="24"/>
                <w:szCs w:val="24"/>
                <w:lang w:val="en-US"/>
              </w:rPr>
              <w:t>CHAPTER ONE: INTRODUCTION</w:t>
            </w:r>
          </w:p>
        </w:tc>
        <w:tc>
          <w:tcPr>
            <w:tcW w:w="2000" w:type="dxa"/>
            <w:gridSpan w:val="3"/>
            <w:vAlign w:val="bottom"/>
            <w:hideMark/>
          </w:tcPr>
          <w:p w:rsidR="004C14E0" w:rsidRPr="004C14E0" w:rsidRDefault="004C14E0" w:rsidP="004C14E0">
            <w:pPr>
              <w:spacing w:line="276" w:lineRule="auto"/>
              <w:jc w:val="right"/>
              <w:rPr>
                <w:rFonts w:ascii="Times New Roman" w:eastAsia="Times New Roman" w:hAnsi="Times New Roman" w:cs="Times New Roman"/>
                <w:b/>
                <w:sz w:val="24"/>
                <w:szCs w:val="24"/>
                <w:lang w:val="en-US"/>
              </w:rPr>
            </w:pPr>
            <w:r w:rsidRPr="004C14E0">
              <w:rPr>
                <w:rFonts w:ascii="Times New Roman" w:eastAsia="Times New Roman" w:hAnsi="Times New Roman" w:cs="Times New Roman"/>
                <w:b/>
                <w:sz w:val="24"/>
                <w:szCs w:val="24"/>
                <w:lang w:val="en-US"/>
              </w:rPr>
              <w:t>1</w:t>
            </w:r>
          </w:p>
        </w:tc>
      </w:tr>
      <w:tr w:rsidR="004C14E0" w:rsidRPr="004C14E0" w:rsidTr="004C14E0">
        <w:trPr>
          <w:trHeight w:val="413"/>
        </w:trPr>
        <w:tc>
          <w:tcPr>
            <w:tcW w:w="520" w:type="dxa"/>
            <w:gridSpan w:val="2"/>
            <w:vAlign w:val="bottom"/>
            <w:hideMark/>
          </w:tcPr>
          <w:p w:rsidR="004C14E0" w:rsidRPr="004C14E0" w:rsidRDefault="004C14E0" w:rsidP="004C14E0">
            <w:pPr>
              <w:spacing w:line="276" w:lineRule="auto"/>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1.1</w:t>
            </w:r>
          </w:p>
        </w:tc>
        <w:tc>
          <w:tcPr>
            <w:tcW w:w="6860" w:type="dxa"/>
            <w:gridSpan w:val="3"/>
            <w:vAlign w:val="bottom"/>
            <w:hideMark/>
          </w:tcPr>
          <w:p w:rsidR="004C14E0" w:rsidRPr="004C14E0" w:rsidRDefault="004C14E0" w:rsidP="004C14E0">
            <w:pPr>
              <w:spacing w:line="276" w:lineRule="auto"/>
              <w:ind w:left="360"/>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Background to the Study</w:t>
            </w:r>
          </w:p>
        </w:tc>
        <w:tc>
          <w:tcPr>
            <w:tcW w:w="2000" w:type="dxa"/>
            <w:gridSpan w:val="3"/>
            <w:vAlign w:val="bottom"/>
            <w:hideMark/>
          </w:tcPr>
          <w:p w:rsidR="004C14E0" w:rsidRPr="004C14E0" w:rsidRDefault="004C14E0" w:rsidP="004C14E0">
            <w:pPr>
              <w:spacing w:line="276" w:lineRule="auto"/>
              <w:jc w:val="right"/>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1</w:t>
            </w:r>
          </w:p>
        </w:tc>
      </w:tr>
      <w:tr w:rsidR="004C14E0" w:rsidRPr="004C14E0" w:rsidTr="004C14E0">
        <w:trPr>
          <w:trHeight w:val="514"/>
        </w:trPr>
        <w:tc>
          <w:tcPr>
            <w:tcW w:w="520" w:type="dxa"/>
            <w:gridSpan w:val="2"/>
            <w:vAlign w:val="bottom"/>
            <w:hideMark/>
          </w:tcPr>
          <w:p w:rsidR="004C14E0" w:rsidRPr="004C14E0" w:rsidRDefault="004C14E0" w:rsidP="004C14E0">
            <w:pPr>
              <w:spacing w:line="276" w:lineRule="auto"/>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1.2</w:t>
            </w:r>
          </w:p>
        </w:tc>
        <w:tc>
          <w:tcPr>
            <w:tcW w:w="6860" w:type="dxa"/>
            <w:gridSpan w:val="3"/>
            <w:vAlign w:val="bottom"/>
            <w:hideMark/>
          </w:tcPr>
          <w:p w:rsidR="004C14E0" w:rsidRPr="004C14E0" w:rsidRDefault="004C14E0" w:rsidP="004C14E0">
            <w:pPr>
              <w:spacing w:line="276" w:lineRule="auto"/>
              <w:ind w:left="360"/>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Statement of Problem</w:t>
            </w:r>
          </w:p>
        </w:tc>
        <w:tc>
          <w:tcPr>
            <w:tcW w:w="2000" w:type="dxa"/>
            <w:gridSpan w:val="3"/>
            <w:vAlign w:val="bottom"/>
            <w:hideMark/>
          </w:tcPr>
          <w:p w:rsidR="004C14E0" w:rsidRPr="004C14E0" w:rsidRDefault="004C14E0" w:rsidP="004C14E0">
            <w:pPr>
              <w:spacing w:line="276" w:lineRule="auto"/>
              <w:jc w:val="right"/>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2</w:t>
            </w:r>
          </w:p>
        </w:tc>
      </w:tr>
      <w:tr w:rsidR="004C14E0" w:rsidRPr="004C14E0" w:rsidTr="004C14E0">
        <w:trPr>
          <w:trHeight w:val="516"/>
        </w:trPr>
        <w:tc>
          <w:tcPr>
            <w:tcW w:w="520" w:type="dxa"/>
            <w:gridSpan w:val="2"/>
            <w:vAlign w:val="bottom"/>
            <w:hideMark/>
          </w:tcPr>
          <w:p w:rsidR="004C14E0" w:rsidRPr="004C14E0" w:rsidRDefault="004C14E0" w:rsidP="004C14E0">
            <w:pPr>
              <w:spacing w:line="276" w:lineRule="auto"/>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1.3</w:t>
            </w:r>
          </w:p>
        </w:tc>
        <w:tc>
          <w:tcPr>
            <w:tcW w:w="6860" w:type="dxa"/>
            <w:gridSpan w:val="3"/>
            <w:vAlign w:val="bottom"/>
            <w:hideMark/>
          </w:tcPr>
          <w:p w:rsidR="004C14E0" w:rsidRPr="004C14E0" w:rsidRDefault="004C14E0" w:rsidP="004C14E0">
            <w:pPr>
              <w:spacing w:line="276" w:lineRule="auto"/>
              <w:ind w:left="320"/>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Research Questions</w:t>
            </w:r>
          </w:p>
        </w:tc>
        <w:tc>
          <w:tcPr>
            <w:tcW w:w="2000" w:type="dxa"/>
            <w:gridSpan w:val="3"/>
            <w:vAlign w:val="bottom"/>
            <w:hideMark/>
          </w:tcPr>
          <w:p w:rsidR="004C14E0" w:rsidRPr="004C14E0" w:rsidRDefault="004C14E0" w:rsidP="004C14E0">
            <w:pPr>
              <w:spacing w:line="276" w:lineRule="auto"/>
              <w:jc w:val="right"/>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3</w:t>
            </w:r>
          </w:p>
        </w:tc>
      </w:tr>
      <w:tr w:rsidR="004C14E0" w:rsidRPr="004C14E0" w:rsidTr="004C14E0">
        <w:trPr>
          <w:trHeight w:val="514"/>
        </w:trPr>
        <w:tc>
          <w:tcPr>
            <w:tcW w:w="520" w:type="dxa"/>
            <w:gridSpan w:val="2"/>
            <w:vAlign w:val="bottom"/>
            <w:hideMark/>
          </w:tcPr>
          <w:p w:rsidR="004C14E0" w:rsidRPr="004C14E0" w:rsidRDefault="004C14E0" w:rsidP="004C14E0">
            <w:pPr>
              <w:spacing w:line="276" w:lineRule="auto"/>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1.4</w:t>
            </w:r>
          </w:p>
        </w:tc>
        <w:tc>
          <w:tcPr>
            <w:tcW w:w="6860" w:type="dxa"/>
            <w:gridSpan w:val="3"/>
            <w:vAlign w:val="bottom"/>
            <w:hideMark/>
          </w:tcPr>
          <w:p w:rsidR="004C14E0" w:rsidRPr="004C14E0" w:rsidRDefault="004C14E0" w:rsidP="004C14E0">
            <w:pPr>
              <w:spacing w:line="276" w:lineRule="auto"/>
              <w:ind w:left="320"/>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Aim and Objective of Study</w:t>
            </w:r>
          </w:p>
        </w:tc>
        <w:tc>
          <w:tcPr>
            <w:tcW w:w="2000" w:type="dxa"/>
            <w:gridSpan w:val="3"/>
            <w:vAlign w:val="bottom"/>
            <w:hideMark/>
          </w:tcPr>
          <w:p w:rsidR="004C14E0" w:rsidRPr="004C14E0" w:rsidRDefault="004C14E0" w:rsidP="004C14E0">
            <w:pPr>
              <w:spacing w:line="276" w:lineRule="auto"/>
              <w:jc w:val="right"/>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3</w:t>
            </w:r>
          </w:p>
        </w:tc>
      </w:tr>
      <w:tr w:rsidR="004C14E0" w:rsidRPr="004C14E0" w:rsidTr="004C14E0">
        <w:trPr>
          <w:trHeight w:val="514"/>
        </w:trPr>
        <w:tc>
          <w:tcPr>
            <w:tcW w:w="520" w:type="dxa"/>
            <w:gridSpan w:val="2"/>
            <w:vAlign w:val="bottom"/>
            <w:hideMark/>
          </w:tcPr>
          <w:p w:rsidR="004C14E0" w:rsidRPr="004C14E0" w:rsidRDefault="004C14E0" w:rsidP="004C14E0">
            <w:pPr>
              <w:spacing w:line="276" w:lineRule="auto"/>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1.5</w:t>
            </w:r>
          </w:p>
        </w:tc>
        <w:tc>
          <w:tcPr>
            <w:tcW w:w="6860" w:type="dxa"/>
            <w:gridSpan w:val="3"/>
            <w:vAlign w:val="bottom"/>
            <w:hideMark/>
          </w:tcPr>
          <w:p w:rsidR="004C14E0" w:rsidRPr="004C14E0" w:rsidRDefault="004C14E0" w:rsidP="004C14E0">
            <w:pPr>
              <w:spacing w:line="276" w:lineRule="auto"/>
              <w:ind w:left="320"/>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Justification for the Study</w:t>
            </w:r>
          </w:p>
        </w:tc>
        <w:tc>
          <w:tcPr>
            <w:tcW w:w="2000" w:type="dxa"/>
            <w:gridSpan w:val="3"/>
            <w:vAlign w:val="bottom"/>
            <w:hideMark/>
          </w:tcPr>
          <w:p w:rsidR="004C14E0" w:rsidRPr="004C14E0" w:rsidRDefault="004C14E0" w:rsidP="004C14E0">
            <w:pPr>
              <w:spacing w:line="276" w:lineRule="auto"/>
              <w:jc w:val="right"/>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3</w:t>
            </w:r>
          </w:p>
        </w:tc>
      </w:tr>
      <w:tr w:rsidR="004C14E0" w:rsidRPr="004C14E0" w:rsidTr="004C14E0">
        <w:trPr>
          <w:trHeight w:val="514"/>
        </w:trPr>
        <w:tc>
          <w:tcPr>
            <w:tcW w:w="520" w:type="dxa"/>
            <w:gridSpan w:val="2"/>
            <w:vAlign w:val="bottom"/>
            <w:hideMark/>
          </w:tcPr>
          <w:p w:rsidR="004C14E0" w:rsidRPr="004C14E0" w:rsidRDefault="004C14E0" w:rsidP="004C14E0">
            <w:pPr>
              <w:spacing w:line="276" w:lineRule="auto"/>
              <w:rPr>
                <w:rFonts w:ascii="Times New Roman" w:eastAsia="Calibri" w:hAnsi="Times New Roman" w:cs="Times New Roman"/>
                <w:sz w:val="24"/>
                <w:szCs w:val="24"/>
                <w:lang w:val="en-US"/>
              </w:rPr>
            </w:pPr>
            <w:r w:rsidRPr="004C14E0">
              <w:rPr>
                <w:rFonts w:ascii="Times New Roman" w:eastAsia="Calibri" w:hAnsi="Times New Roman" w:cs="Times New Roman"/>
                <w:sz w:val="24"/>
                <w:szCs w:val="24"/>
                <w:lang w:val="en-US"/>
              </w:rPr>
              <w:t xml:space="preserve">1.6           </w:t>
            </w:r>
          </w:p>
        </w:tc>
        <w:tc>
          <w:tcPr>
            <w:tcW w:w="6860" w:type="dxa"/>
            <w:gridSpan w:val="3"/>
            <w:vAlign w:val="bottom"/>
            <w:hideMark/>
          </w:tcPr>
          <w:p w:rsidR="004C14E0" w:rsidRPr="004C14E0" w:rsidRDefault="004C14E0" w:rsidP="004C14E0">
            <w:pPr>
              <w:spacing w:line="276" w:lineRule="auto"/>
              <w:ind w:left="320"/>
              <w:rPr>
                <w:rFonts w:ascii="Times New Roman" w:eastAsia="Calibri" w:hAnsi="Times New Roman" w:cs="Times New Roman"/>
                <w:sz w:val="24"/>
                <w:szCs w:val="24"/>
                <w:lang w:val="en-US"/>
              </w:rPr>
            </w:pPr>
            <w:r w:rsidRPr="004C14E0">
              <w:rPr>
                <w:rFonts w:ascii="Times New Roman" w:eastAsia="Calibri" w:hAnsi="Times New Roman" w:cs="Times New Roman"/>
                <w:bCs/>
                <w:sz w:val="24"/>
                <w:szCs w:val="24"/>
                <w:lang w:val="en-US"/>
              </w:rPr>
              <w:t>Scope of the Study</w:t>
            </w:r>
          </w:p>
        </w:tc>
        <w:tc>
          <w:tcPr>
            <w:tcW w:w="2000" w:type="dxa"/>
            <w:gridSpan w:val="3"/>
            <w:vAlign w:val="bottom"/>
            <w:hideMark/>
          </w:tcPr>
          <w:p w:rsidR="004C14E0" w:rsidRPr="004C14E0" w:rsidRDefault="004C14E0" w:rsidP="004C14E0">
            <w:pPr>
              <w:spacing w:line="276" w:lineRule="auto"/>
              <w:jc w:val="right"/>
              <w:rPr>
                <w:rFonts w:ascii="Times New Roman" w:eastAsia="Calibri" w:hAnsi="Times New Roman" w:cs="Times New Roman"/>
                <w:sz w:val="24"/>
                <w:szCs w:val="24"/>
                <w:lang w:val="en-US"/>
              </w:rPr>
            </w:pPr>
            <w:r w:rsidRPr="004C14E0">
              <w:rPr>
                <w:rFonts w:ascii="Times New Roman" w:eastAsia="Calibri" w:hAnsi="Times New Roman" w:cs="Times New Roman"/>
                <w:sz w:val="24"/>
                <w:szCs w:val="24"/>
                <w:lang w:val="en-US"/>
              </w:rPr>
              <w:t>4</w:t>
            </w:r>
          </w:p>
        </w:tc>
      </w:tr>
      <w:tr w:rsidR="004C14E0" w:rsidRPr="004C14E0" w:rsidTr="004C14E0">
        <w:trPr>
          <w:trHeight w:val="682"/>
        </w:trPr>
        <w:tc>
          <w:tcPr>
            <w:tcW w:w="7380" w:type="dxa"/>
            <w:gridSpan w:val="5"/>
            <w:vAlign w:val="bottom"/>
            <w:hideMark/>
          </w:tcPr>
          <w:p w:rsidR="004C14E0" w:rsidRPr="004C14E0" w:rsidRDefault="004C14E0" w:rsidP="004C14E0">
            <w:pPr>
              <w:spacing w:line="276" w:lineRule="auto"/>
              <w:rPr>
                <w:rFonts w:ascii="Times New Roman" w:eastAsia="Times New Roman" w:hAnsi="Times New Roman" w:cs="Times New Roman"/>
                <w:b/>
                <w:sz w:val="24"/>
                <w:szCs w:val="24"/>
                <w:lang w:val="en-US"/>
              </w:rPr>
            </w:pPr>
            <w:r w:rsidRPr="004C14E0">
              <w:rPr>
                <w:rFonts w:ascii="Times New Roman" w:eastAsia="Times New Roman" w:hAnsi="Times New Roman" w:cs="Times New Roman"/>
                <w:b/>
                <w:sz w:val="24"/>
                <w:szCs w:val="24"/>
                <w:lang w:val="en-US"/>
              </w:rPr>
              <w:t>CHAPTER TWO: LITERATURE REVIEW</w:t>
            </w:r>
          </w:p>
        </w:tc>
        <w:tc>
          <w:tcPr>
            <w:tcW w:w="2000" w:type="dxa"/>
            <w:gridSpan w:val="3"/>
            <w:vAlign w:val="bottom"/>
            <w:hideMark/>
          </w:tcPr>
          <w:p w:rsidR="004C14E0" w:rsidRPr="004C14E0" w:rsidRDefault="004C14E0" w:rsidP="004C14E0">
            <w:pPr>
              <w:spacing w:line="276" w:lineRule="auto"/>
              <w:jc w:val="right"/>
              <w:rPr>
                <w:rFonts w:ascii="Times New Roman" w:eastAsia="Times New Roman" w:hAnsi="Times New Roman" w:cs="Times New Roman"/>
                <w:b/>
                <w:sz w:val="24"/>
                <w:szCs w:val="24"/>
                <w:lang w:val="en-US"/>
              </w:rPr>
            </w:pPr>
            <w:r w:rsidRPr="004C14E0">
              <w:rPr>
                <w:rFonts w:ascii="Times New Roman" w:eastAsia="Times New Roman" w:hAnsi="Times New Roman" w:cs="Times New Roman"/>
                <w:b/>
                <w:sz w:val="24"/>
                <w:szCs w:val="24"/>
                <w:lang w:val="en-US"/>
              </w:rPr>
              <w:t>5</w:t>
            </w:r>
          </w:p>
        </w:tc>
      </w:tr>
      <w:tr w:rsidR="004C14E0" w:rsidRPr="004C14E0" w:rsidTr="004C14E0">
        <w:trPr>
          <w:trHeight w:val="415"/>
        </w:trPr>
        <w:tc>
          <w:tcPr>
            <w:tcW w:w="520" w:type="dxa"/>
            <w:gridSpan w:val="2"/>
            <w:vAlign w:val="bottom"/>
            <w:hideMark/>
          </w:tcPr>
          <w:p w:rsidR="004C14E0" w:rsidRPr="004C14E0" w:rsidRDefault="004C14E0" w:rsidP="004C14E0">
            <w:pPr>
              <w:spacing w:line="276" w:lineRule="auto"/>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2.1</w:t>
            </w:r>
          </w:p>
        </w:tc>
        <w:tc>
          <w:tcPr>
            <w:tcW w:w="6860" w:type="dxa"/>
            <w:gridSpan w:val="3"/>
            <w:vAlign w:val="bottom"/>
            <w:hideMark/>
          </w:tcPr>
          <w:p w:rsidR="004C14E0" w:rsidRPr="004C14E0" w:rsidRDefault="004C14E0" w:rsidP="004C14E0">
            <w:pPr>
              <w:spacing w:line="276" w:lineRule="auto"/>
              <w:rPr>
                <w:rFonts w:ascii="Times New Roman" w:eastAsia="Times New Roman" w:hAnsi="Times New Roman" w:cs="Times New Roman"/>
                <w:sz w:val="24"/>
                <w:szCs w:val="24"/>
                <w:lang w:val="en-US"/>
              </w:rPr>
            </w:pPr>
            <w:r w:rsidRPr="004C14E0">
              <w:rPr>
                <w:rFonts w:ascii="Times New Roman" w:eastAsia="Calibri" w:hAnsi="Times New Roman" w:cs="Times New Roman"/>
                <w:bCs/>
                <w:sz w:val="24"/>
                <w:szCs w:val="24"/>
                <w:lang w:val="en-US"/>
              </w:rPr>
              <w:t>The Prostate Gland</w:t>
            </w:r>
          </w:p>
        </w:tc>
        <w:tc>
          <w:tcPr>
            <w:tcW w:w="2000" w:type="dxa"/>
            <w:gridSpan w:val="3"/>
            <w:vAlign w:val="bottom"/>
            <w:hideMark/>
          </w:tcPr>
          <w:p w:rsidR="004C14E0" w:rsidRPr="004C14E0" w:rsidRDefault="004C14E0" w:rsidP="004C14E0">
            <w:pPr>
              <w:spacing w:line="276" w:lineRule="auto"/>
              <w:jc w:val="right"/>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6</w:t>
            </w:r>
          </w:p>
        </w:tc>
      </w:tr>
      <w:tr w:rsidR="004C14E0" w:rsidRPr="004C14E0" w:rsidTr="004C14E0">
        <w:trPr>
          <w:trHeight w:val="415"/>
        </w:trPr>
        <w:tc>
          <w:tcPr>
            <w:tcW w:w="520" w:type="dxa"/>
            <w:gridSpan w:val="2"/>
            <w:vAlign w:val="bottom"/>
            <w:hideMark/>
          </w:tcPr>
          <w:p w:rsidR="004C14E0" w:rsidRPr="004C14E0" w:rsidRDefault="004C14E0" w:rsidP="004C14E0">
            <w:pPr>
              <w:spacing w:line="276" w:lineRule="auto"/>
              <w:rPr>
                <w:rFonts w:ascii="Times New Roman" w:eastAsia="Calibri" w:hAnsi="Times New Roman" w:cs="Times New Roman"/>
                <w:sz w:val="24"/>
                <w:szCs w:val="24"/>
                <w:lang w:val="en-US"/>
              </w:rPr>
            </w:pPr>
            <w:r w:rsidRPr="004C14E0">
              <w:rPr>
                <w:rFonts w:ascii="Times New Roman" w:eastAsia="Calibri" w:hAnsi="Times New Roman" w:cs="Times New Roman"/>
                <w:sz w:val="24"/>
                <w:szCs w:val="24"/>
                <w:lang w:val="en-US"/>
              </w:rPr>
              <w:t>62.2</w:t>
            </w:r>
          </w:p>
        </w:tc>
        <w:tc>
          <w:tcPr>
            <w:tcW w:w="6860" w:type="dxa"/>
            <w:gridSpan w:val="3"/>
            <w:vAlign w:val="bottom"/>
            <w:hideMark/>
          </w:tcPr>
          <w:p w:rsidR="004C14E0" w:rsidRPr="004C14E0" w:rsidRDefault="004C14E0" w:rsidP="004C14E0">
            <w:pPr>
              <w:spacing w:line="276" w:lineRule="auto"/>
              <w:rPr>
                <w:rFonts w:ascii="Times New Roman" w:eastAsia="Calibri" w:hAnsi="Times New Roman" w:cs="Times New Roman"/>
                <w:bCs/>
                <w:sz w:val="24"/>
                <w:szCs w:val="24"/>
                <w:lang w:val="en-US"/>
              </w:rPr>
            </w:pPr>
            <w:r w:rsidRPr="004C14E0">
              <w:rPr>
                <w:rFonts w:ascii="Times New Roman" w:eastAsia="Calibri" w:hAnsi="Times New Roman" w:cs="Times New Roman"/>
                <w:bCs/>
                <w:sz w:val="24"/>
                <w:szCs w:val="24"/>
                <w:lang w:val="en-US"/>
              </w:rPr>
              <w:t>Prostate Cancer</w:t>
            </w:r>
          </w:p>
        </w:tc>
        <w:tc>
          <w:tcPr>
            <w:tcW w:w="2000" w:type="dxa"/>
            <w:gridSpan w:val="3"/>
            <w:vAlign w:val="bottom"/>
            <w:hideMark/>
          </w:tcPr>
          <w:p w:rsidR="004C14E0" w:rsidRPr="004C14E0" w:rsidRDefault="004C14E0" w:rsidP="004C14E0">
            <w:pPr>
              <w:spacing w:line="276" w:lineRule="auto"/>
              <w:jc w:val="right"/>
              <w:rPr>
                <w:rFonts w:ascii="Times New Roman" w:eastAsia="Calibri" w:hAnsi="Times New Roman" w:cs="Times New Roman"/>
                <w:sz w:val="24"/>
                <w:szCs w:val="24"/>
                <w:lang w:val="en-US"/>
              </w:rPr>
            </w:pPr>
            <w:r w:rsidRPr="004C14E0">
              <w:rPr>
                <w:rFonts w:ascii="Times New Roman" w:eastAsia="Calibri" w:hAnsi="Times New Roman" w:cs="Times New Roman"/>
                <w:sz w:val="24"/>
                <w:szCs w:val="24"/>
                <w:lang w:val="en-US"/>
              </w:rPr>
              <w:t>8</w:t>
            </w:r>
          </w:p>
        </w:tc>
      </w:tr>
      <w:tr w:rsidR="004C14E0" w:rsidRPr="004C14E0" w:rsidTr="004C14E0">
        <w:trPr>
          <w:trHeight w:val="415"/>
        </w:trPr>
        <w:tc>
          <w:tcPr>
            <w:tcW w:w="520" w:type="dxa"/>
            <w:gridSpan w:val="2"/>
            <w:vAlign w:val="bottom"/>
            <w:hideMark/>
          </w:tcPr>
          <w:p w:rsidR="004C14E0" w:rsidRPr="004C14E0" w:rsidRDefault="004C14E0" w:rsidP="004C14E0">
            <w:pPr>
              <w:spacing w:line="276" w:lineRule="auto"/>
              <w:rPr>
                <w:rFonts w:ascii="Times New Roman" w:eastAsia="Calibri" w:hAnsi="Times New Roman" w:cs="Times New Roman"/>
                <w:sz w:val="24"/>
                <w:szCs w:val="24"/>
                <w:lang w:val="en-US"/>
              </w:rPr>
            </w:pPr>
            <w:r w:rsidRPr="004C14E0">
              <w:rPr>
                <w:rFonts w:ascii="Times New Roman" w:eastAsia="Calibri" w:hAnsi="Times New Roman" w:cs="Times New Roman"/>
                <w:sz w:val="24"/>
                <w:szCs w:val="24"/>
                <w:lang w:val="en-US"/>
              </w:rPr>
              <w:t>2.3</w:t>
            </w:r>
          </w:p>
        </w:tc>
        <w:tc>
          <w:tcPr>
            <w:tcW w:w="6860" w:type="dxa"/>
            <w:gridSpan w:val="3"/>
            <w:vAlign w:val="bottom"/>
            <w:hideMark/>
          </w:tcPr>
          <w:p w:rsidR="004C14E0" w:rsidRPr="004C14E0" w:rsidRDefault="004C14E0" w:rsidP="004C14E0">
            <w:pPr>
              <w:spacing w:line="276" w:lineRule="auto"/>
              <w:rPr>
                <w:rFonts w:ascii="Times New Roman" w:eastAsia="Calibri" w:hAnsi="Times New Roman" w:cs="Times New Roman"/>
                <w:bCs/>
                <w:sz w:val="24"/>
                <w:szCs w:val="24"/>
                <w:lang w:val="en-US"/>
              </w:rPr>
            </w:pPr>
            <w:r w:rsidRPr="004C14E0">
              <w:rPr>
                <w:rFonts w:ascii="Times New Roman" w:eastAsia="Calibri" w:hAnsi="Times New Roman" w:cs="Times New Roman"/>
                <w:bCs/>
                <w:sz w:val="24"/>
                <w:szCs w:val="24"/>
                <w:lang w:val="en-US"/>
              </w:rPr>
              <w:t>Incidence and Risk Factors of Prostate Cancer</w:t>
            </w:r>
          </w:p>
        </w:tc>
        <w:tc>
          <w:tcPr>
            <w:tcW w:w="2000" w:type="dxa"/>
            <w:gridSpan w:val="3"/>
            <w:vAlign w:val="bottom"/>
            <w:hideMark/>
          </w:tcPr>
          <w:p w:rsidR="004C14E0" w:rsidRPr="004C14E0" w:rsidRDefault="004C14E0" w:rsidP="004C14E0">
            <w:pPr>
              <w:spacing w:line="276" w:lineRule="auto"/>
              <w:jc w:val="right"/>
              <w:rPr>
                <w:rFonts w:ascii="Times New Roman" w:eastAsia="Calibri" w:hAnsi="Times New Roman" w:cs="Times New Roman"/>
                <w:sz w:val="24"/>
                <w:szCs w:val="24"/>
                <w:lang w:val="en-US"/>
              </w:rPr>
            </w:pPr>
            <w:r w:rsidRPr="004C14E0">
              <w:rPr>
                <w:rFonts w:ascii="Times New Roman" w:eastAsia="Calibri" w:hAnsi="Times New Roman" w:cs="Times New Roman"/>
                <w:sz w:val="24"/>
                <w:szCs w:val="24"/>
                <w:lang w:val="en-US"/>
              </w:rPr>
              <w:t>9</w:t>
            </w:r>
          </w:p>
        </w:tc>
      </w:tr>
      <w:tr w:rsidR="004C14E0" w:rsidRPr="004C14E0" w:rsidTr="004C14E0">
        <w:trPr>
          <w:trHeight w:val="415"/>
        </w:trPr>
        <w:tc>
          <w:tcPr>
            <w:tcW w:w="520" w:type="dxa"/>
            <w:gridSpan w:val="2"/>
            <w:vAlign w:val="bottom"/>
            <w:hideMark/>
          </w:tcPr>
          <w:p w:rsidR="004C14E0" w:rsidRPr="004C14E0" w:rsidRDefault="004C14E0" w:rsidP="004C14E0">
            <w:pPr>
              <w:spacing w:line="276" w:lineRule="auto"/>
              <w:rPr>
                <w:rFonts w:ascii="Times New Roman" w:eastAsia="Calibri" w:hAnsi="Times New Roman" w:cs="Times New Roman"/>
                <w:sz w:val="24"/>
                <w:szCs w:val="24"/>
                <w:lang w:val="en-US"/>
              </w:rPr>
            </w:pPr>
            <w:r w:rsidRPr="004C14E0">
              <w:rPr>
                <w:rFonts w:ascii="Times New Roman" w:eastAsia="Calibri" w:hAnsi="Times New Roman" w:cs="Times New Roman"/>
                <w:sz w:val="24"/>
                <w:szCs w:val="24"/>
                <w:lang w:val="en-US"/>
              </w:rPr>
              <w:t>2.4</w:t>
            </w:r>
          </w:p>
        </w:tc>
        <w:tc>
          <w:tcPr>
            <w:tcW w:w="6860" w:type="dxa"/>
            <w:gridSpan w:val="3"/>
            <w:vAlign w:val="bottom"/>
            <w:hideMark/>
          </w:tcPr>
          <w:p w:rsidR="004C14E0" w:rsidRPr="004C14E0" w:rsidRDefault="004C14E0" w:rsidP="004C14E0">
            <w:pPr>
              <w:spacing w:line="276" w:lineRule="auto"/>
              <w:rPr>
                <w:rFonts w:ascii="Times New Roman" w:eastAsia="Calibri" w:hAnsi="Times New Roman" w:cs="Times New Roman"/>
                <w:bCs/>
                <w:sz w:val="24"/>
                <w:szCs w:val="24"/>
                <w:lang w:val="en-US"/>
              </w:rPr>
            </w:pPr>
            <w:r w:rsidRPr="004C14E0">
              <w:rPr>
                <w:rFonts w:ascii="Times New Roman" w:eastAsia="Calibri" w:hAnsi="Times New Roman" w:cs="Times New Roman"/>
                <w:bCs/>
                <w:sz w:val="24"/>
                <w:szCs w:val="24"/>
                <w:lang w:val="en-US"/>
              </w:rPr>
              <w:t>Diagnosis of Prostate Cancer</w:t>
            </w:r>
          </w:p>
        </w:tc>
        <w:tc>
          <w:tcPr>
            <w:tcW w:w="2000" w:type="dxa"/>
            <w:gridSpan w:val="3"/>
            <w:vAlign w:val="bottom"/>
            <w:hideMark/>
          </w:tcPr>
          <w:p w:rsidR="004C14E0" w:rsidRPr="004C14E0" w:rsidRDefault="004C14E0" w:rsidP="004C14E0">
            <w:pPr>
              <w:spacing w:line="276" w:lineRule="auto"/>
              <w:jc w:val="right"/>
              <w:rPr>
                <w:rFonts w:ascii="Times New Roman" w:eastAsia="Calibri" w:hAnsi="Times New Roman" w:cs="Times New Roman"/>
                <w:sz w:val="24"/>
                <w:szCs w:val="24"/>
                <w:lang w:val="en-US"/>
              </w:rPr>
            </w:pPr>
            <w:r w:rsidRPr="004C14E0">
              <w:rPr>
                <w:rFonts w:ascii="Times New Roman" w:eastAsia="Calibri" w:hAnsi="Times New Roman" w:cs="Times New Roman"/>
                <w:sz w:val="24"/>
                <w:szCs w:val="24"/>
                <w:lang w:val="en-US"/>
              </w:rPr>
              <w:t>10</w:t>
            </w:r>
          </w:p>
        </w:tc>
      </w:tr>
      <w:tr w:rsidR="004C14E0" w:rsidRPr="004C14E0" w:rsidTr="004C14E0">
        <w:trPr>
          <w:trHeight w:val="415"/>
        </w:trPr>
        <w:tc>
          <w:tcPr>
            <w:tcW w:w="520" w:type="dxa"/>
            <w:gridSpan w:val="2"/>
            <w:vAlign w:val="bottom"/>
            <w:hideMark/>
          </w:tcPr>
          <w:p w:rsidR="004C14E0" w:rsidRPr="004C14E0" w:rsidRDefault="004C14E0" w:rsidP="004C14E0">
            <w:pPr>
              <w:spacing w:line="276" w:lineRule="auto"/>
              <w:rPr>
                <w:rFonts w:ascii="Times New Roman" w:eastAsia="Calibri" w:hAnsi="Times New Roman" w:cs="Times New Roman"/>
                <w:sz w:val="24"/>
                <w:szCs w:val="24"/>
                <w:lang w:val="en-US"/>
              </w:rPr>
            </w:pPr>
            <w:r w:rsidRPr="004C14E0">
              <w:rPr>
                <w:rFonts w:ascii="Times New Roman" w:eastAsia="Calibri" w:hAnsi="Times New Roman" w:cs="Times New Roman"/>
                <w:sz w:val="24"/>
                <w:szCs w:val="24"/>
                <w:lang w:val="en-US"/>
              </w:rPr>
              <w:t>2.5</w:t>
            </w:r>
          </w:p>
        </w:tc>
        <w:tc>
          <w:tcPr>
            <w:tcW w:w="6860" w:type="dxa"/>
            <w:gridSpan w:val="3"/>
            <w:vAlign w:val="bottom"/>
            <w:hideMark/>
          </w:tcPr>
          <w:p w:rsidR="004C14E0" w:rsidRPr="004C14E0" w:rsidRDefault="004C14E0" w:rsidP="004C14E0">
            <w:pPr>
              <w:spacing w:line="276" w:lineRule="auto"/>
              <w:rPr>
                <w:rFonts w:ascii="Times New Roman" w:eastAsia="Calibri" w:hAnsi="Times New Roman" w:cs="Times New Roman"/>
                <w:bCs/>
                <w:sz w:val="24"/>
                <w:szCs w:val="24"/>
                <w:lang w:val="en-US"/>
              </w:rPr>
            </w:pPr>
            <w:r w:rsidRPr="004C14E0">
              <w:rPr>
                <w:rFonts w:ascii="Times New Roman" w:eastAsia="Calibri" w:hAnsi="Times New Roman" w:cs="Times New Roman"/>
                <w:bCs/>
                <w:sz w:val="24"/>
                <w:szCs w:val="24"/>
                <w:lang w:val="en-US"/>
              </w:rPr>
              <w:t>Treatment of Prostate Cancer</w:t>
            </w:r>
          </w:p>
        </w:tc>
        <w:tc>
          <w:tcPr>
            <w:tcW w:w="2000" w:type="dxa"/>
            <w:gridSpan w:val="3"/>
            <w:vAlign w:val="bottom"/>
            <w:hideMark/>
          </w:tcPr>
          <w:p w:rsidR="004C14E0" w:rsidRPr="004C14E0" w:rsidRDefault="004C14E0" w:rsidP="004C14E0">
            <w:pPr>
              <w:spacing w:line="276" w:lineRule="auto"/>
              <w:jc w:val="right"/>
              <w:rPr>
                <w:rFonts w:ascii="Times New Roman" w:eastAsia="Calibri" w:hAnsi="Times New Roman" w:cs="Times New Roman"/>
                <w:sz w:val="24"/>
                <w:szCs w:val="24"/>
                <w:lang w:val="en-US"/>
              </w:rPr>
            </w:pPr>
            <w:r w:rsidRPr="004C14E0">
              <w:rPr>
                <w:rFonts w:ascii="Times New Roman" w:eastAsia="Calibri" w:hAnsi="Times New Roman" w:cs="Times New Roman"/>
                <w:sz w:val="24"/>
                <w:szCs w:val="24"/>
                <w:lang w:val="en-US"/>
              </w:rPr>
              <w:t>12</w:t>
            </w:r>
          </w:p>
        </w:tc>
      </w:tr>
      <w:tr w:rsidR="004C14E0" w:rsidRPr="004C14E0" w:rsidTr="004C14E0">
        <w:trPr>
          <w:trHeight w:val="514"/>
        </w:trPr>
        <w:tc>
          <w:tcPr>
            <w:tcW w:w="520" w:type="dxa"/>
            <w:gridSpan w:val="2"/>
            <w:vAlign w:val="bottom"/>
          </w:tcPr>
          <w:p w:rsidR="004C14E0" w:rsidRPr="004C14E0" w:rsidRDefault="004C14E0" w:rsidP="004C14E0">
            <w:pPr>
              <w:spacing w:line="276" w:lineRule="auto"/>
              <w:rPr>
                <w:rFonts w:ascii="Times New Roman" w:eastAsia="Times New Roman" w:hAnsi="Times New Roman" w:cs="Times New Roman"/>
                <w:sz w:val="24"/>
                <w:szCs w:val="24"/>
                <w:lang w:val="en-US"/>
              </w:rPr>
            </w:pPr>
          </w:p>
        </w:tc>
        <w:tc>
          <w:tcPr>
            <w:tcW w:w="960" w:type="dxa"/>
            <w:gridSpan w:val="2"/>
            <w:hideMark/>
          </w:tcPr>
          <w:p w:rsidR="004C14E0" w:rsidRPr="004C14E0" w:rsidRDefault="004C14E0" w:rsidP="004C14E0">
            <w:pPr>
              <w:spacing w:line="276" w:lineRule="auto"/>
              <w:rPr>
                <w:rFonts w:ascii="Times New Roman" w:eastAsia="Calibri" w:hAnsi="Times New Roman" w:cs="Times New Roman"/>
                <w:sz w:val="24"/>
                <w:szCs w:val="24"/>
                <w:lang w:val="en-US"/>
              </w:rPr>
            </w:pPr>
            <w:r w:rsidRPr="004C14E0">
              <w:rPr>
                <w:rFonts w:ascii="Times New Roman" w:eastAsia="Calibri" w:hAnsi="Times New Roman" w:cs="Times New Roman"/>
                <w:bCs/>
                <w:sz w:val="24"/>
                <w:szCs w:val="24"/>
                <w:lang w:val="en-US"/>
              </w:rPr>
              <w:t>2.5.1</w:t>
            </w:r>
          </w:p>
        </w:tc>
        <w:tc>
          <w:tcPr>
            <w:tcW w:w="5900" w:type="dxa"/>
            <w:hideMark/>
          </w:tcPr>
          <w:p w:rsidR="004C14E0" w:rsidRPr="004C14E0" w:rsidRDefault="004C14E0" w:rsidP="004C14E0">
            <w:pPr>
              <w:spacing w:line="276" w:lineRule="auto"/>
              <w:rPr>
                <w:rFonts w:ascii="Times New Roman" w:eastAsia="Calibri" w:hAnsi="Times New Roman" w:cs="Times New Roman"/>
                <w:sz w:val="24"/>
                <w:szCs w:val="24"/>
                <w:lang w:val="en-US"/>
              </w:rPr>
            </w:pPr>
            <w:r w:rsidRPr="004C14E0">
              <w:rPr>
                <w:rFonts w:ascii="Times New Roman" w:eastAsia="Calibri" w:hAnsi="Times New Roman" w:cs="Times New Roman"/>
                <w:bCs/>
                <w:sz w:val="24"/>
                <w:szCs w:val="24"/>
                <w:lang w:val="en-US"/>
              </w:rPr>
              <w:t>Androgen Deprivation Therapy (ADTs)</w:t>
            </w:r>
          </w:p>
        </w:tc>
        <w:tc>
          <w:tcPr>
            <w:tcW w:w="2000" w:type="dxa"/>
            <w:gridSpan w:val="3"/>
            <w:vAlign w:val="bottom"/>
            <w:hideMark/>
          </w:tcPr>
          <w:p w:rsidR="004C14E0" w:rsidRPr="004C14E0" w:rsidRDefault="004C14E0" w:rsidP="004C14E0">
            <w:pPr>
              <w:spacing w:line="276" w:lineRule="auto"/>
              <w:jc w:val="right"/>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14</w:t>
            </w:r>
          </w:p>
        </w:tc>
      </w:tr>
      <w:tr w:rsidR="004C14E0" w:rsidRPr="004C14E0" w:rsidTr="004C14E0">
        <w:trPr>
          <w:trHeight w:val="514"/>
        </w:trPr>
        <w:tc>
          <w:tcPr>
            <w:tcW w:w="520" w:type="dxa"/>
            <w:gridSpan w:val="2"/>
            <w:vAlign w:val="bottom"/>
          </w:tcPr>
          <w:p w:rsidR="004C14E0" w:rsidRPr="004C14E0" w:rsidRDefault="004C14E0" w:rsidP="004C14E0">
            <w:pPr>
              <w:spacing w:line="276" w:lineRule="auto"/>
              <w:rPr>
                <w:rFonts w:ascii="Times New Roman" w:eastAsia="Times New Roman" w:hAnsi="Times New Roman" w:cs="Times New Roman"/>
                <w:sz w:val="24"/>
                <w:szCs w:val="24"/>
                <w:lang w:val="en-US"/>
              </w:rPr>
            </w:pPr>
          </w:p>
        </w:tc>
        <w:tc>
          <w:tcPr>
            <w:tcW w:w="960" w:type="dxa"/>
            <w:gridSpan w:val="2"/>
            <w:hideMark/>
          </w:tcPr>
          <w:p w:rsidR="004C14E0" w:rsidRPr="004C14E0" w:rsidRDefault="004C14E0" w:rsidP="004C14E0">
            <w:pPr>
              <w:spacing w:line="276" w:lineRule="auto"/>
              <w:rPr>
                <w:rFonts w:ascii="Times New Roman" w:eastAsia="Calibri" w:hAnsi="Times New Roman" w:cs="Times New Roman"/>
                <w:bCs/>
                <w:sz w:val="24"/>
                <w:szCs w:val="24"/>
                <w:lang w:val="en-US"/>
              </w:rPr>
            </w:pPr>
            <w:r w:rsidRPr="004C14E0">
              <w:rPr>
                <w:rFonts w:ascii="Times New Roman" w:eastAsia="Calibri" w:hAnsi="Times New Roman" w:cs="Times New Roman"/>
                <w:bCs/>
                <w:sz w:val="24"/>
                <w:szCs w:val="24"/>
                <w:lang w:val="en-US"/>
              </w:rPr>
              <w:t xml:space="preserve">2.5.2       </w:t>
            </w:r>
          </w:p>
        </w:tc>
        <w:tc>
          <w:tcPr>
            <w:tcW w:w="5900" w:type="dxa"/>
            <w:hideMark/>
          </w:tcPr>
          <w:p w:rsidR="004C14E0" w:rsidRPr="004C14E0" w:rsidRDefault="004C14E0" w:rsidP="004C14E0">
            <w:pPr>
              <w:spacing w:line="276" w:lineRule="auto"/>
              <w:rPr>
                <w:rFonts w:ascii="Times New Roman" w:eastAsia="Calibri" w:hAnsi="Times New Roman" w:cs="Times New Roman"/>
                <w:bCs/>
                <w:sz w:val="24"/>
                <w:szCs w:val="24"/>
                <w:lang w:val="en-US"/>
              </w:rPr>
            </w:pPr>
            <w:r w:rsidRPr="004C14E0">
              <w:rPr>
                <w:rFonts w:ascii="Times New Roman" w:eastAsia="Calibri" w:hAnsi="Times New Roman" w:cs="Times New Roman"/>
                <w:bCs/>
                <w:sz w:val="24"/>
                <w:szCs w:val="24"/>
                <w:lang w:val="en-US"/>
              </w:rPr>
              <w:t>Androgen Receptor Signaling Inhibitors (ARSIs)</w:t>
            </w:r>
          </w:p>
        </w:tc>
        <w:tc>
          <w:tcPr>
            <w:tcW w:w="2000" w:type="dxa"/>
            <w:gridSpan w:val="3"/>
            <w:vAlign w:val="bottom"/>
            <w:hideMark/>
          </w:tcPr>
          <w:p w:rsidR="004C14E0" w:rsidRPr="004C14E0" w:rsidRDefault="004C14E0" w:rsidP="004C14E0">
            <w:pPr>
              <w:spacing w:line="276" w:lineRule="auto"/>
              <w:jc w:val="right"/>
              <w:rPr>
                <w:rFonts w:ascii="Times New Roman" w:eastAsia="Calibri" w:hAnsi="Times New Roman" w:cs="Times New Roman"/>
                <w:sz w:val="24"/>
                <w:szCs w:val="24"/>
                <w:lang w:val="en-US"/>
              </w:rPr>
            </w:pPr>
            <w:r w:rsidRPr="004C14E0">
              <w:rPr>
                <w:rFonts w:ascii="Times New Roman" w:eastAsia="Calibri" w:hAnsi="Times New Roman" w:cs="Times New Roman"/>
                <w:sz w:val="24"/>
                <w:szCs w:val="24"/>
                <w:lang w:val="en-US"/>
              </w:rPr>
              <w:t>15</w:t>
            </w:r>
          </w:p>
        </w:tc>
      </w:tr>
      <w:tr w:rsidR="004C14E0" w:rsidRPr="004C14E0" w:rsidTr="004C14E0">
        <w:trPr>
          <w:trHeight w:val="514"/>
        </w:trPr>
        <w:tc>
          <w:tcPr>
            <w:tcW w:w="520" w:type="dxa"/>
            <w:gridSpan w:val="2"/>
            <w:vAlign w:val="bottom"/>
          </w:tcPr>
          <w:p w:rsidR="004C14E0" w:rsidRPr="004C14E0" w:rsidRDefault="004C14E0" w:rsidP="004C14E0">
            <w:pPr>
              <w:spacing w:line="276" w:lineRule="auto"/>
              <w:rPr>
                <w:rFonts w:ascii="Times New Roman" w:eastAsia="Times New Roman" w:hAnsi="Times New Roman" w:cs="Times New Roman"/>
                <w:sz w:val="24"/>
                <w:szCs w:val="24"/>
                <w:lang w:val="en-US"/>
              </w:rPr>
            </w:pPr>
          </w:p>
        </w:tc>
        <w:tc>
          <w:tcPr>
            <w:tcW w:w="960" w:type="dxa"/>
            <w:gridSpan w:val="2"/>
            <w:hideMark/>
          </w:tcPr>
          <w:p w:rsidR="004C14E0" w:rsidRPr="004C14E0" w:rsidRDefault="004C14E0" w:rsidP="004C14E0">
            <w:pPr>
              <w:spacing w:line="276" w:lineRule="auto"/>
              <w:rPr>
                <w:rFonts w:ascii="Times New Roman" w:eastAsia="Calibri" w:hAnsi="Times New Roman" w:cs="Times New Roman"/>
                <w:bCs/>
                <w:sz w:val="24"/>
                <w:szCs w:val="24"/>
                <w:lang w:val="en-US"/>
              </w:rPr>
            </w:pPr>
            <w:r w:rsidRPr="004C14E0">
              <w:rPr>
                <w:rFonts w:ascii="Times New Roman" w:eastAsia="Calibri" w:hAnsi="Times New Roman" w:cs="Times New Roman"/>
                <w:bCs/>
                <w:sz w:val="24"/>
                <w:szCs w:val="24"/>
                <w:lang w:val="en-US"/>
              </w:rPr>
              <w:t>2.5.3</w:t>
            </w:r>
          </w:p>
        </w:tc>
        <w:tc>
          <w:tcPr>
            <w:tcW w:w="5900" w:type="dxa"/>
            <w:hideMark/>
          </w:tcPr>
          <w:p w:rsidR="004C14E0" w:rsidRPr="004C14E0" w:rsidRDefault="004C14E0" w:rsidP="004C14E0">
            <w:pPr>
              <w:spacing w:line="276" w:lineRule="auto"/>
              <w:rPr>
                <w:rFonts w:ascii="Times New Roman" w:eastAsia="Calibri" w:hAnsi="Times New Roman" w:cs="Times New Roman"/>
                <w:bCs/>
                <w:sz w:val="24"/>
                <w:szCs w:val="24"/>
                <w:lang w:val="en-US"/>
              </w:rPr>
            </w:pPr>
            <w:r w:rsidRPr="004C14E0">
              <w:rPr>
                <w:rFonts w:ascii="Times New Roman" w:eastAsia="Calibri" w:hAnsi="Times New Roman" w:cs="Times New Roman"/>
                <w:sz w:val="24"/>
                <w:szCs w:val="24"/>
                <w:lang w:val="en-US"/>
              </w:rPr>
              <w:t>Combination Therapies</w:t>
            </w:r>
          </w:p>
        </w:tc>
        <w:tc>
          <w:tcPr>
            <w:tcW w:w="2000" w:type="dxa"/>
            <w:gridSpan w:val="3"/>
            <w:vAlign w:val="bottom"/>
            <w:hideMark/>
          </w:tcPr>
          <w:p w:rsidR="004C14E0" w:rsidRPr="004C14E0" w:rsidRDefault="004C14E0" w:rsidP="004C14E0">
            <w:pPr>
              <w:spacing w:line="276" w:lineRule="auto"/>
              <w:jc w:val="right"/>
              <w:rPr>
                <w:rFonts w:ascii="Times New Roman" w:eastAsia="Calibri" w:hAnsi="Times New Roman" w:cs="Times New Roman"/>
                <w:sz w:val="24"/>
                <w:szCs w:val="24"/>
                <w:lang w:val="en-US"/>
              </w:rPr>
            </w:pPr>
            <w:r w:rsidRPr="004C14E0">
              <w:rPr>
                <w:rFonts w:ascii="Times New Roman" w:eastAsia="Calibri" w:hAnsi="Times New Roman" w:cs="Times New Roman"/>
                <w:sz w:val="24"/>
                <w:szCs w:val="24"/>
                <w:lang w:val="en-US"/>
              </w:rPr>
              <w:t>17</w:t>
            </w:r>
          </w:p>
        </w:tc>
      </w:tr>
      <w:tr w:rsidR="004C14E0" w:rsidRPr="004C14E0" w:rsidTr="004C14E0">
        <w:trPr>
          <w:trHeight w:val="514"/>
        </w:trPr>
        <w:tc>
          <w:tcPr>
            <w:tcW w:w="520" w:type="dxa"/>
            <w:gridSpan w:val="2"/>
            <w:vAlign w:val="bottom"/>
            <w:hideMark/>
          </w:tcPr>
          <w:p w:rsidR="004C14E0" w:rsidRPr="004C14E0" w:rsidRDefault="004C14E0" w:rsidP="004C14E0">
            <w:pPr>
              <w:spacing w:line="276" w:lineRule="auto"/>
              <w:rPr>
                <w:rFonts w:ascii="Times New Roman" w:eastAsia="Times New Roman" w:hAnsi="Times New Roman" w:cs="Times New Roman"/>
                <w:sz w:val="24"/>
                <w:szCs w:val="24"/>
                <w:lang w:val="en-US"/>
              </w:rPr>
            </w:pPr>
            <w:r w:rsidRPr="004C14E0">
              <w:rPr>
                <w:rFonts w:ascii="Times New Roman" w:eastAsia="Calibri" w:hAnsi="Times New Roman" w:cs="Times New Roman"/>
                <w:sz w:val="24"/>
                <w:szCs w:val="24"/>
                <w:lang w:val="en-US"/>
              </w:rPr>
              <w:t>2.6</w:t>
            </w:r>
          </w:p>
        </w:tc>
        <w:tc>
          <w:tcPr>
            <w:tcW w:w="6860" w:type="dxa"/>
            <w:gridSpan w:val="3"/>
            <w:vAlign w:val="bottom"/>
            <w:hideMark/>
          </w:tcPr>
          <w:p w:rsidR="004C14E0" w:rsidRPr="004C14E0" w:rsidRDefault="004C14E0" w:rsidP="004C14E0">
            <w:pPr>
              <w:spacing w:line="276" w:lineRule="auto"/>
              <w:rPr>
                <w:rFonts w:ascii="Times New Roman" w:eastAsia="Times New Roman" w:hAnsi="Times New Roman" w:cs="Times New Roman"/>
                <w:sz w:val="24"/>
                <w:szCs w:val="24"/>
                <w:lang w:val="en-US"/>
              </w:rPr>
            </w:pPr>
            <w:r w:rsidRPr="004C14E0">
              <w:rPr>
                <w:rFonts w:ascii="Times New Roman" w:eastAsia="Calibri" w:hAnsi="Times New Roman" w:cs="Times New Roman"/>
                <w:bCs/>
                <w:sz w:val="24"/>
                <w:szCs w:val="24"/>
                <w:lang w:val="en-US"/>
              </w:rPr>
              <w:t>Molecular Aspects of Prostate Cancer</w:t>
            </w:r>
          </w:p>
        </w:tc>
        <w:tc>
          <w:tcPr>
            <w:tcW w:w="2000" w:type="dxa"/>
            <w:gridSpan w:val="3"/>
            <w:vAlign w:val="bottom"/>
            <w:hideMark/>
          </w:tcPr>
          <w:p w:rsidR="004C14E0" w:rsidRPr="004C14E0" w:rsidRDefault="004C14E0" w:rsidP="004C14E0">
            <w:pPr>
              <w:spacing w:line="276" w:lineRule="auto"/>
              <w:jc w:val="right"/>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18</w:t>
            </w:r>
          </w:p>
        </w:tc>
      </w:tr>
      <w:tr w:rsidR="004C14E0" w:rsidRPr="004C14E0" w:rsidTr="004C14E0">
        <w:trPr>
          <w:trHeight w:val="514"/>
        </w:trPr>
        <w:tc>
          <w:tcPr>
            <w:tcW w:w="520" w:type="dxa"/>
            <w:gridSpan w:val="2"/>
            <w:vAlign w:val="bottom"/>
          </w:tcPr>
          <w:p w:rsidR="004C14E0" w:rsidRPr="004C14E0" w:rsidRDefault="004C14E0" w:rsidP="004C14E0">
            <w:pPr>
              <w:spacing w:line="276" w:lineRule="auto"/>
              <w:rPr>
                <w:rFonts w:ascii="Times New Roman" w:eastAsia="Times New Roman" w:hAnsi="Times New Roman" w:cs="Times New Roman"/>
                <w:sz w:val="24"/>
                <w:szCs w:val="24"/>
                <w:lang w:val="en-US"/>
              </w:rPr>
            </w:pPr>
          </w:p>
        </w:tc>
        <w:tc>
          <w:tcPr>
            <w:tcW w:w="960" w:type="dxa"/>
            <w:gridSpan w:val="2"/>
            <w:vAlign w:val="bottom"/>
            <w:hideMark/>
          </w:tcPr>
          <w:p w:rsidR="004C14E0" w:rsidRPr="004C14E0" w:rsidRDefault="004C14E0" w:rsidP="004C14E0">
            <w:pPr>
              <w:spacing w:line="276" w:lineRule="auto"/>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2.6.1</w:t>
            </w:r>
          </w:p>
        </w:tc>
        <w:tc>
          <w:tcPr>
            <w:tcW w:w="5900" w:type="dxa"/>
            <w:vAlign w:val="bottom"/>
            <w:hideMark/>
          </w:tcPr>
          <w:p w:rsidR="004C14E0" w:rsidRPr="004C14E0" w:rsidRDefault="004C14E0" w:rsidP="004C14E0">
            <w:pPr>
              <w:spacing w:line="276" w:lineRule="auto"/>
              <w:ind w:left="20"/>
              <w:rPr>
                <w:rFonts w:ascii="Times New Roman" w:eastAsia="Times New Roman" w:hAnsi="Times New Roman" w:cs="Times New Roman"/>
                <w:sz w:val="24"/>
                <w:szCs w:val="24"/>
                <w:lang w:val="en-US"/>
              </w:rPr>
            </w:pPr>
            <w:r w:rsidRPr="004C14E0">
              <w:rPr>
                <w:rFonts w:ascii="Times New Roman" w:eastAsia="Calibri" w:hAnsi="Times New Roman" w:cs="Times New Roman"/>
                <w:sz w:val="24"/>
                <w:szCs w:val="24"/>
                <w:lang w:val="en-US"/>
              </w:rPr>
              <w:t>The Androgen Receptor (AR) Signaling Pathway</w:t>
            </w:r>
          </w:p>
        </w:tc>
        <w:tc>
          <w:tcPr>
            <w:tcW w:w="2000" w:type="dxa"/>
            <w:gridSpan w:val="3"/>
            <w:vAlign w:val="bottom"/>
            <w:hideMark/>
          </w:tcPr>
          <w:p w:rsidR="004C14E0" w:rsidRPr="004C14E0" w:rsidRDefault="004C14E0" w:rsidP="004C14E0">
            <w:pPr>
              <w:spacing w:line="276" w:lineRule="auto"/>
              <w:jc w:val="right"/>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20</w:t>
            </w:r>
          </w:p>
        </w:tc>
      </w:tr>
      <w:tr w:rsidR="004C14E0" w:rsidRPr="004C14E0" w:rsidTr="004C14E0">
        <w:trPr>
          <w:trHeight w:val="514"/>
        </w:trPr>
        <w:tc>
          <w:tcPr>
            <w:tcW w:w="520" w:type="dxa"/>
            <w:gridSpan w:val="2"/>
            <w:vAlign w:val="bottom"/>
          </w:tcPr>
          <w:p w:rsidR="004C14E0" w:rsidRPr="004C14E0" w:rsidRDefault="004C14E0" w:rsidP="004C14E0">
            <w:pPr>
              <w:spacing w:line="276" w:lineRule="auto"/>
              <w:rPr>
                <w:rFonts w:ascii="Times New Roman" w:eastAsia="Times New Roman" w:hAnsi="Times New Roman" w:cs="Times New Roman"/>
                <w:sz w:val="24"/>
                <w:szCs w:val="24"/>
                <w:lang w:val="en-US"/>
              </w:rPr>
            </w:pPr>
          </w:p>
        </w:tc>
        <w:tc>
          <w:tcPr>
            <w:tcW w:w="960" w:type="dxa"/>
            <w:gridSpan w:val="2"/>
            <w:vAlign w:val="bottom"/>
            <w:hideMark/>
          </w:tcPr>
          <w:p w:rsidR="004C14E0" w:rsidRPr="004C14E0" w:rsidRDefault="004C14E0" w:rsidP="004C14E0">
            <w:pPr>
              <w:spacing w:line="276" w:lineRule="auto"/>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2.6.2</w:t>
            </w:r>
          </w:p>
        </w:tc>
        <w:tc>
          <w:tcPr>
            <w:tcW w:w="5900" w:type="dxa"/>
            <w:vAlign w:val="bottom"/>
            <w:hideMark/>
          </w:tcPr>
          <w:p w:rsidR="004C14E0" w:rsidRPr="004C14E0" w:rsidRDefault="004C14E0" w:rsidP="004C14E0">
            <w:pPr>
              <w:spacing w:line="276" w:lineRule="auto"/>
              <w:ind w:left="20"/>
              <w:rPr>
                <w:rFonts w:ascii="Times New Roman" w:eastAsia="Times New Roman" w:hAnsi="Times New Roman" w:cs="Times New Roman"/>
                <w:sz w:val="24"/>
                <w:szCs w:val="24"/>
                <w:lang w:val="en-US"/>
              </w:rPr>
            </w:pPr>
            <w:r w:rsidRPr="004C14E0">
              <w:rPr>
                <w:rFonts w:ascii="Times New Roman" w:eastAsia="Calibri" w:hAnsi="Times New Roman" w:cs="Times New Roman"/>
                <w:bCs/>
                <w:sz w:val="24"/>
                <w:szCs w:val="24"/>
                <w:lang w:val="en-US"/>
              </w:rPr>
              <w:t>Steroid Receptor Coactivator-3 (SRC-3)</w:t>
            </w:r>
          </w:p>
        </w:tc>
        <w:tc>
          <w:tcPr>
            <w:tcW w:w="2000" w:type="dxa"/>
            <w:gridSpan w:val="3"/>
            <w:vAlign w:val="bottom"/>
            <w:hideMark/>
          </w:tcPr>
          <w:p w:rsidR="004C14E0" w:rsidRPr="004C14E0" w:rsidRDefault="004C14E0" w:rsidP="004C14E0">
            <w:pPr>
              <w:spacing w:line="276" w:lineRule="auto"/>
              <w:jc w:val="right"/>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22</w:t>
            </w:r>
          </w:p>
        </w:tc>
      </w:tr>
      <w:tr w:rsidR="004C14E0" w:rsidRPr="004C14E0" w:rsidTr="004C14E0">
        <w:trPr>
          <w:trHeight w:val="514"/>
        </w:trPr>
        <w:tc>
          <w:tcPr>
            <w:tcW w:w="520" w:type="dxa"/>
            <w:gridSpan w:val="2"/>
            <w:vAlign w:val="bottom"/>
          </w:tcPr>
          <w:p w:rsidR="004C14E0" w:rsidRPr="004C14E0" w:rsidRDefault="004C14E0" w:rsidP="004C14E0">
            <w:pPr>
              <w:spacing w:line="276" w:lineRule="auto"/>
              <w:rPr>
                <w:rFonts w:ascii="Times New Roman" w:eastAsia="Times New Roman" w:hAnsi="Times New Roman" w:cs="Times New Roman"/>
                <w:sz w:val="24"/>
                <w:szCs w:val="24"/>
                <w:lang w:val="en-US"/>
              </w:rPr>
            </w:pPr>
          </w:p>
        </w:tc>
        <w:tc>
          <w:tcPr>
            <w:tcW w:w="960" w:type="dxa"/>
            <w:gridSpan w:val="2"/>
            <w:vAlign w:val="bottom"/>
            <w:hideMark/>
          </w:tcPr>
          <w:p w:rsidR="004C14E0" w:rsidRPr="004C14E0" w:rsidRDefault="004C14E0" w:rsidP="004C14E0">
            <w:pPr>
              <w:spacing w:line="276" w:lineRule="auto"/>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2.6.3</w:t>
            </w:r>
          </w:p>
        </w:tc>
        <w:tc>
          <w:tcPr>
            <w:tcW w:w="5900" w:type="dxa"/>
            <w:vAlign w:val="bottom"/>
            <w:hideMark/>
          </w:tcPr>
          <w:p w:rsidR="004C14E0" w:rsidRPr="004C14E0" w:rsidRDefault="004C14E0" w:rsidP="004C14E0">
            <w:pPr>
              <w:spacing w:line="276" w:lineRule="auto"/>
              <w:rPr>
                <w:rFonts w:ascii="Times New Roman" w:eastAsia="Times New Roman" w:hAnsi="Times New Roman" w:cs="Times New Roman"/>
                <w:sz w:val="24"/>
                <w:szCs w:val="24"/>
                <w:lang w:val="en-US"/>
              </w:rPr>
            </w:pPr>
            <w:r w:rsidRPr="004C14E0">
              <w:rPr>
                <w:rFonts w:ascii="Times New Roman" w:eastAsia="Calibri" w:hAnsi="Times New Roman" w:cs="Times New Roman"/>
                <w:sz w:val="24"/>
                <w:szCs w:val="24"/>
                <w:lang w:val="en-US"/>
              </w:rPr>
              <w:t>Speckle-type POZ protein (SPOP</w:t>
            </w:r>
            <w:r w:rsidRPr="004C14E0">
              <w:rPr>
                <w:rFonts w:ascii="Times New Roman" w:eastAsia="Calibri" w:hAnsi="Times New Roman" w:cs="Times New Roman"/>
                <w:bCs/>
                <w:sz w:val="24"/>
                <w:szCs w:val="24"/>
                <w:lang w:val="en-US"/>
              </w:rPr>
              <w:t>)</w:t>
            </w:r>
          </w:p>
        </w:tc>
        <w:tc>
          <w:tcPr>
            <w:tcW w:w="2000" w:type="dxa"/>
            <w:gridSpan w:val="3"/>
            <w:vAlign w:val="bottom"/>
            <w:hideMark/>
          </w:tcPr>
          <w:p w:rsidR="004C14E0" w:rsidRPr="004C14E0" w:rsidRDefault="004C14E0" w:rsidP="004C14E0">
            <w:pPr>
              <w:spacing w:line="276" w:lineRule="auto"/>
              <w:jc w:val="right"/>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26</w:t>
            </w:r>
          </w:p>
        </w:tc>
      </w:tr>
      <w:tr w:rsidR="004C14E0" w:rsidRPr="004C14E0" w:rsidTr="004C14E0">
        <w:trPr>
          <w:trHeight w:val="684"/>
        </w:trPr>
        <w:tc>
          <w:tcPr>
            <w:tcW w:w="8600" w:type="dxa"/>
            <w:gridSpan w:val="7"/>
            <w:vAlign w:val="bottom"/>
            <w:hideMark/>
          </w:tcPr>
          <w:p w:rsidR="004C14E0" w:rsidRPr="004C14E0" w:rsidRDefault="004C14E0" w:rsidP="004C14E0">
            <w:pPr>
              <w:spacing w:line="276" w:lineRule="auto"/>
              <w:rPr>
                <w:rFonts w:ascii="Times New Roman" w:eastAsia="Times New Roman" w:hAnsi="Times New Roman" w:cs="Times New Roman"/>
                <w:b/>
                <w:sz w:val="24"/>
                <w:szCs w:val="24"/>
                <w:lang w:val="en-US"/>
              </w:rPr>
            </w:pPr>
            <w:r w:rsidRPr="004C14E0">
              <w:rPr>
                <w:rFonts w:ascii="Times New Roman" w:eastAsia="Times New Roman" w:hAnsi="Times New Roman" w:cs="Times New Roman"/>
                <w:b/>
                <w:sz w:val="24"/>
                <w:szCs w:val="24"/>
                <w:lang w:val="en-US"/>
              </w:rPr>
              <w:t>CHAPTER THREE: MATERIALS AND METHODS</w:t>
            </w:r>
          </w:p>
        </w:tc>
        <w:tc>
          <w:tcPr>
            <w:tcW w:w="780" w:type="dxa"/>
            <w:vAlign w:val="bottom"/>
            <w:hideMark/>
          </w:tcPr>
          <w:p w:rsidR="004C14E0" w:rsidRPr="004C14E0" w:rsidRDefault="004C14E0" w:rsidP="004C14E0">
            <w:pPr>
              <w:spacing w:line="276" w:lineRule="auto"/>
              <w:jc w:val="right"/>
              <w:rPr>
                <w:rFonts w:ascii="Times New Roman" w:eastAsia="Times New Roman" w:hAnsi="Times New Roman" w:cs="Times New Roman"/>
                <w:b/>
                <w:sz w:val="24"/>
                <w:szCs w:val="24"/>
                <w:lang w:val="en-US"/>
              </w:rPr>
            </w:pPr>
            <w:r w:rsidRPr="004C14E0">
              <w:rPr>
                <w:rFonts w:ascii="Times New Roman" w:eastAsia="Times New Roman" w:hAnsi="Times New Roman" w:cs="Times New Roman"/>
                <w:b/>
                <w:sz w:val="24"/>
                <w:szCs w:val="24"/>
                <w:lang w:val="en-US"/>
              </w:rPr>
              <w:t>32</w:t>
            </w:r>
          </w:p>
        </w:tc>
      </w:tr>
      <w:tr w:rsidR="004C14E0" w:rsidRPr="004C14E0" w:rsidTr="004C14E0">
        <w:trPr>
          <w:trHeight w:val="413"/>
        </w:trPr>
        <w:tc>
          <w:tcPr>
            <w:tcW w:w="460" w:type="dxa"/>
            <w:vAlign w:val="bottom"/>
            <w:hideMark/>
          </w:tcPr>
          <w:p w:rsidR="004C14E0" w:rsidRPr="004C14E0" w:rsidRDefault="004C14E0" w:rsidP="004C14E0">
            <w:pPr>
              <w:spacing w:line="276" w:lineRule="auto"/>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3.1</w:t>
            </w:r>
          </w:p>
        </w:tc>
        <w:tc>
          <w:tcPr>
            <w:tcW w:w="8140" w:type="dxa"/>
            <w:gridSpan w:val="6"/>
            <w:vAlign w:val="bottom"/>
            <w:hideMark/>
          </w:tcPr>
          <w:p w:rsidR="004C14E0" w:rsidRPr="004C14E0" w:rsidRDefault="004C14E0" w:rsidP="004C14E0">
            <w:pPr>
              <w:spacing w:line="276" w:lineRule="auto"/>
              <w:ind w:left="200"/>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Materials</w:t>
            </w:r>
          </w:p>
        </w:tc>
        <w:tc>
          <w:tcPr>
            <w:tcW w:w="780" w:type="dxa"/>
            <w:vAlign w:val="bottom"/>
            <w:hideMark/>
          </w:tcPr>
          <w:p w:rsidR="004C14E0" w:rsidRPr="004C14E0" w:rsidRDefault="004C14E0" w:rsidP="004C14E0">
            <w:pPr>
              <w:spacing w:line="276" w:lineRule="auto"/>
              <w:jc w:val="right"/>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32</w:t>
            </w:r>
          </w:p>
        </w:tc>
      </w:tr>
      <w:tr w:rsidR="004C14E0" w:rsidRPr="004C14E0" w:rsidTr="004C14E0">
        <w:trPr>
          <w:trHeight w:val="514"/>
        </w:trPr>
        <w:tc>
          <w:tcPr>
            <w:tcW w:w="460" w:type="dxa"/>
            <w:vAlign w:val="bottom"/>
          </w:tcPr>
          <w:p w:rsidR="004C14E0" w:rsidRPr="004C14E0" w:rsidRDefault="004C14E0" w:rsidP="004C14E0">
            <w:pPr>
              <w:spacing w:line="276" w:lineRule="auto"/>
              <w:rPr>
                <w:rFonts w:ascii="Times New Roman" w:eastAsia="Times New Roman" w:hAnsi="Times New Roman" w:cs="Times New Roman"/>
                <w:sz w:val="24"/>
                <w:szCs w:val="24"/>
                <w:lang w:val="en-US"/>
              </w:rPr>
            </w:pPr>
          </w:p>
        </w:tc>
        <w:tc>
          <w:tcPr>
            <w:tcW w:w="840" w:type="dxa"/>
            <w:gridSpan w:val="2"/>
            <w:vAlign w:val="bottom"/>
            <w:hideMark/>
          </w:tcPr>
          <w:p w:rsidR="004C14E0" w:rsidRPr="004C14E0" w:rsidRDefault="004C14E0" w:rsidP="004C14E0">
            <w:pPr>
              <w:spacing w:line="276" w:lineRule="auto"/>
              <w:ind w:left="200"/>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3.1.1</w:t>
            </w:r>
          </w:p>
        </w:tc>
        <w:tc>
          <w:tcPr>
            <w:tcW w:w="7300" w:type="dxa"/>
            <w:gridSpan w:val="4"/>
            <w:vAlign w:val="bottom"/>
            <w:hideMark/>
          </w:tcPr>
          <w:p w:rsidR="004C14E0" w:rsidRPr="004C14E0" w:rsidRDefault="004C14E0" w:rsidP="004C14E0">
            <w:pPr>
              <w:spacing w:line="276" w:lineRule="auto"/>
              <w:ind w:left="140"/>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Equipment’s</w:t>
            </w:r>
          </w:p>
        </w:tc>
        <w:tc>
          <w:tcPr>
            <w:tcW w:w="780" w:type="dxa"/>
            <w:vAlign w:val="bottom"/>
            <w:hideMark/>
          </w:tcPr>
          <w:p w:rsidR="004C14E0" w:rsidRPr="004C14E0" w:rsidRDefault="004C14E0" w:rsidP="004C14E0">
            <w:pPr>
              <w:spacing w:line="276" w:lineRule="auto"/>
              <w:jc w:val="right"/>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32</w:t>
            </w:r>
          </w:p>
        </w:tc>
      </w:tr>
      <w:tr w:rsidR="004C14E0" w:rsidRPr="004C14E0" w:rsidTr="004C14E0">
        <w:trPr>
          <w:trHeight w:val="514"/>
        </w:trPr>
        <w:tc>
          <w:tcPr>
            <w:tcW w:w="460" w:type="dxa"/>
            <w:vAlign w:val="bottom"/>
          </w:tcPr>
          <w:p w:rsidR="004C14E0" w:rsidRPr="004C14E0" w:rsidRDefault="004C14E0" w:rsidP="004C14E0">
            <w:pPr>
              <w:spacing w:line="276" w:lineRule="auto"/>
              <w:rPr>
                <w:rFonts w:ascii="Times New Roman" w:eastAsia="Times New Roman" w:hAnsi="Times New Roman" w:cs="Times New Roman"/>
                <w:sz w:val="24"/>
                <w:szCs w:val="24"/>
                <w:lang w:val="en-US"/>
              </w:rPr>
            </w:pPr>
          </w:p>
        </w:tc>
        <w:tc>
          <w:tcPr>
            <w:tcW w:w="840" w:type="dxa"/>
            <w:gridSpan w:val="2"/>
            <w:vAlign w:val="bottom"/>
            <w:hideMark/>
          </w:tcPr>
          <w:p w:rsidR="004C14E0" w:rsidRPr="004C14E0" w:rsidRDefault="004C14E0" w:rsidP="004C14E0">
            <w:pPr>
              <w:spacing w:line="276" w:lineRule="auto"/>
              <w:ind w:left="200"/>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3.1.2</w:t>
            </w:r>
          </w:p>
        </w:tc>
        <w:tc>
          <w:tcPr>
            <w:tcW w:w="7300" w:type="dxa"/>
            <w:gridSpan w:val="4"/>
            <w:vAlign w:val="bottom"/>
            <w:hideMark/>
          </w:tcPr>
          <w:p w:rsidR="004C14E0" w:rsidRPr="004C14E0" w:rsidRDefault="004C14E0" w:rsidP="004C14E0">
            <w:pPr>
              <w:spacing w:line="276" w:lineRule="auto"/>
              <w:ind w:left="140"/>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Reagents</w:t>
            </w:r>
          </w:p>
        </w:tc>
        <w:tc>
          <w:tcPr>
            <w:tcW w:w="780" w:type="dxa"/>
            <w:vAlign w:val="bottom"/>
            <w:hideMark/>
          </w:tcPr>
          <w:p w:rsidR="004C14E0" w:rsidRPr="004C14E0" w:rsidRDefault="004C14E0" w:rsidP="004C14E0">
            <w:pPr>
              <w:spacing w:line="276" w:lineRule="auto"/>
              <w:jc w:val="right"/>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32</w:t>
            </w:r>
          </w:p>
        </w:tc>
      </w:tr>
      <w:tr w:rsidR="004C14E0" w:rsidRPr="004C14E0" w:rsidTr="004C14E0">
        <w:trPr>
          <w:trHeight w:val="517"/>
        </w:trPr>
        <w:tc>
          <w:tcPr>
            <w:tcW w:w="460" w:type="dxa"/>
            <w:vAlign w:val="bottom"/>
            <w:hideMark/>
          </w:tcPr>
          <w:p w:rsidR="004C14E0" w:rsidRPr="004C14E0" w:rsidRDefault="004C14E0" w:rsidP="004C14E0">
            <w:pPr>
              <w:spacing w:line="276" w:lineRule="auto"/>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3.2</w:t>
            </w:r>
          </w:p>
        </w:tc>
        <w:tc>
          <w:tcPr>
            <w:tcW w:w="8140" w:type="dxa"/>
            <w:gridSpan w:val="6"/>
            <w:vAlign w:val="bottom"/>
            <w:hideMark/>
          </w:tcPr>
          <w:p w:rsidR="004C14E0" w:rsidRPr="004C14E0" w:rsidRDefault="004C14E0" w:rsidP="004C14E0">
            <w:pPr>
              <w:spacing w:line="276" w:lineRule="auto"/>
              <w:ind w:left="200"/>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Methodology</w:t>
            </w:r>
          </w:p>
        </w:tc>
        <w:tc>
          <w:tcPr>
            <w:tcW w:w="780" w:type="dxa"/>
            <w:vAlign w:val="bottom"/>
            <w:hideMark/>
          </w:tcPr>
          <w:p w:rsidR="004C14E0" w:rsidRPr="004C14E0" w:rsidRDefault="004C14E0" w:rsidP="004C14E0">
            <w:pPr>
              <w:spacing w:line="276" w:lineRule="auto"/>
              <w:jc w:val="right"/>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32</w:t>
            </w:r>
          </w:p>
        </w:tc>
      </w:tr>
      <w:tr w:rsidR="004C14E0" w:rsidRPr="004C14E0" w:rsidTr="004C14E0">
        <w:trPr>
          <w:trHeight w:val="514"/>
        </w:trPr>
        <w:tc>
          <w:tcPr>
            <w:tcW w:w="460" w:type="dxa"/>
            <w:vAlign w:val="bottom"/>
          </w:tcPr>
          <w:p w:rsidR="004C14E0" w:rsidRPr="004C14E0" w:rsidRDefault="004C14E0" w:rsidP="004C14E0">
            <w:pPr>
              <w:spacing w:line="276" w:lineRule="auto"/>
              <w:rPr>
                <w:rFonts w:ascii="Times New Roman" w:eastAsia="Times New Roman" w:hAnsi="Times New Roman" w:cs="Times New Roman"/>
                <w:sz w:val="24"/>
                <w:szCs w:val="24"/>
                <w:lang w:val="en-US"/>
              </w:rPr>
            </w:pPr>
          </w:p>
        </w:tc>
        <w:tc>
          <w:tcPr>
            <w:tcW w:w="840" w:type="dxa"/>
            <w:gridSpan w:val="2"/>
            <w:vAlign w:val="bottom"/>
            <w:hideMark/>
          </w:tcPr>
          <w:p w:rsidR="004C14E0" w:rsidRPr="004C14E0" w:rsidRDefault="004C14E0" w:rsidP="004C14E0">
            <w:pPr>
              <w:spacing w:line="276" w:lineRule="auto"/>
              <w:ind w:left="200"/>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3.2.1</w:t>
            </w:r>
          </w:p>
        </w:tc>
        <w:tc>
          <w:tcPr>
            <w:tcW w:w="7300" w:type="dxa"/>
            <w:gridSpan w:val="4"/>
            <w:vAlign w:val="bottom"/>
            <w:hideMark/>
          </w:tcPr>
          <w:p w:rsidR="004C14E0" w:rsidRPr="004C14E0" w:rsidRDefault="004C14E0" w:rsidP="004C14E0">
            <w:pPr>
              <w:spacing w:line="276" w:lineRule="auto"/>
              <w:ind w:left="140"/>
              <w:rPr>
                <w:rFonts w:ascii="Times New Roman" w:eastAsia="Times New Roman" w:hAnsi="Times New Roman" w:cs="Times New Roman"/>
                <w:sz w:val="24"/>
                <w:szCs w:val="24"/>
                <w:lang w:val="en-US"/>
              </w:rPr>
            </w:pPr>
            <w:r w:rsidRPr="004C14E0">
              <w:rPr>
                <w:rFonts w:ascii="Times New Roman" w:eastAsia="Calibri" w:hAnsi="Times New Roman" w:cs="Times New Roman"/>
                <w:bCs/>
                <w:kern w:val="2"/>
                <w:sz w:val="24"/>
                <w:szCs w:val="24"/>
                <w:lang w:val="en-US"/>
                <w14:ligatures w14:val="standardContextual"/>
              </w:rPr>
              <w:t>Study Population</w:t>
            </w:r>
          </w:p>
        </w:tc>
        <w:tc>
          <w:tcPr>
            <w:tcW w:w="780" w:type="dxa"/>
            <w:vAlign w:val="bottom"/>
            <w:hideMark/>
          </w:tcPr>
          <w:p w:rsidR="004C14E0" w:rsidRPr="004C14E0" w:rsidRDefault="004C14E0" w:rsidP="004C14E0">
            <w:pPr>
              <w:spacing w:line="276" w:lineRule="auto"/>
              <w:jc w:val="right"/>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32</w:t>
            </w:r>
          </w:p>
        </w:tc>
      </w:tr>
      <w:tr w:rsidR="004C14E0" w:rsidRPr="004C14E0" w:rsidTr="004C14E0">
        <w:trPr>
          <w:trHeight w:val="514"/>
        </w:trPr>
        <w:tc>
          <w:tcPr>
            <w:tcW w:w="460" w:type="dxa"/>
            <w:vAlign w:val="bottom"/>
          </w:tcPr>
          <w:p w:rsidR="004C14E0" w:rsidRPr="004C14E0" w:rsidRDefault="004C14E0" w:rsidP="004C14E0">
            <w:pPr>
              <w:spacing w:line="276" w:lineRule="auto"/>
              <w:rPr>
                <w:rFonts w:ascii="Times New Roman" w:eastAsia="Times New Roman" w:hAnsi="Times New Roman" w:cs="Times New Roman"/>
                <w:sz w:val="24"/>
                <w:szCs w:val="24"/>
                <w:lang w:val="en-US"/>
              </w:rPr>
            </w:pPr>
          </w:p>
        </w:tc>
        <w:tc>
          <w:tcPr>
            <w:tcW w:w="840" w:type="dxa"/>
            <w:gridSpan w:val="2"/>
            <w:vAlign w:val="bottom"/>
            <w:hideMark/>
          </w:tcPr>
          <w:p w:rsidR="004C14E0" w:rsidRPr="004C14E0" w:rsidRDefault="004C14E0" w:rsidP="004C14E0">
            <w:pPr>
              <w:spacing w:line="276" w:lineRule="auto"/>
              <w:ind w:left="200"/>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3.2.2</w:t>
            </w:r>
          </w:p>
        </w:tc>
        <w:tc>
          <w:tcPr>
            <w:tcW w:w="7300" w:type="dxa"/>
            <w:gridSpan w:val="4"/>
            <w:vAlign w:val="bottom"/>
            <w:hideMark/>
          </w:tcPr>
          <w:p w:rsidR="004C14E0" w:rsidRPr="004C14E0" w:rsidRDefault="004C14E0" w:rsidP="004C14E0">
            <w:pPr>
              <w:spacing w:line="276" w:lineRule="auto"/>
              <w:ind w:left="140"/>
              <w:rPr>
                <w:rFonts w:ascii="Times New Roman" w:eastAsia="Times New Roman" w:hAnsi="Times New Roman" w:cs="Times New Roman"/>
                <w:sz w:val="24"/>
                <w:szCs w:val="24"/>
                <w:lang w:val="en-US"/>
              </w:rPr>
            </w:pPr>
            <w:r w:rsidRPr="004C14E0">
              <w:rPr>
                <w:rFonts w:ascii="Times New Roman" w:eastAsia="Calibri" w:hAnsi="Times New Roman" w:cs="Times New Roman"/>
                <w:bCs/>
                <w:sz w:val="24"/>
                <w:szCs w:val="24"/>
                <w:lang w:val="en-US"/>
              </w:rPr>
              <w:t>Study Area</w:t>
            </w:r>
          </w:p>
        </w:tc>
        <w:tc>
          <w:tcPr>
            <w:tcW w:w="780" w:type="dxa"/>
            <w:vAlign w:val="bottom"/>
            <w:hideMark/>
          </w:tcPr>
          <w:p w:rsidR="004C14E0" w:rsidRPr="004C14E0" w:rsidRDefault="004C14E0" w:rsidP="004C14E0">
            <w:pPr>
              <w:spacing w:line="276" w:lineRule="auto"/>
              <w:jc w:val="right"/>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32</w:t>
            </w:r>
          </w:p>
        </w:tc>
      </w:tr>
      <w:tr w:rsidR="004C14E0" w:rsidRPr="004C14E0" w:rsidTr="004C14E0">
        <w:trPr>
          <w:trHeight w:val="514"/>
        </w:trPr>
        <w:tc>
          <w:tcPr>
            <w:tcW w:w="460" w:type="dxa"/>
            <w:vAlign w:val="bottom"/>
          </w:tcPr>
          <w:p w:rsidR="004C14E0" w:rsidRPr="004C14E0" w:rsidRDefault="004C14E0" w:rsidP="004C14E0">
            <w:pPr>
              <w:spacing w:line="276" w:lineRule="auto"/>
              <w:rPr>
                <w:rFonts w:ascii="Times New Roman" w:eastAsia="Times New Roman" w:hAnsi="Times New Roman" w:cs="Times New Roman"/>
                <w:sz w:val="24"/>
                <w:szCs w:val="24"/>
                <w:lang w:val="en-US"/>
              </w:rPr>
            </w:pPr>
          </w:p>
        </w:tc>
        <w:tc>
          <w:tcPr>
            <w:tcW w:w="840" w:type="dxa"/>
            <w:gridSpan w:val="2"/>
            <w:vAlign w:val="bottom"/>
            <w:hideMark/>
          </w:tcPr>
          <w:p w:rsidR="004C14E0" w:rsidRPr="004C14E0" w:rsidRDefault="004C14E0" w:rsidP="004C14E0">
            <w:pPr>
              <w:spacing w:line="276" w:lineRule="auto"/>
              <w:ind w:left="200"/>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3.2.3</w:t>
            </w:r>
          </w:p>
        </w:tc>
        <w:tc>
          <w:tcPr>
            <w:tcW w:w="7300" w:type="dxa"/>
            <w:gridSpan w:val="4"/>
            <w:vAlign w:val="bottom"/>
            <w:hideMark/>
          </w:tcPr>
          <w:p w:rsidR="004C14E0" w:rsidRPr="004C14E0" w:rsidRDefault="004C14E0" w:rsidP="004C14E0">
            <w:pPr>
              <w:spacing w:line="276" w:lineRule="auto"/>
              <w:ind w:left="140"/>
              <w:rPr>
                <w:rFonts w:ascii="Times New Roman" w:eastAsia="Times New Roman" w:hAnsi="Times New Roman" w:cs="Times New Roman"/>
                <w:sz w:val="24"/>
                <w:szCs w:val="24"/>
                <w:lang w:val="en-US"/>
              </w:rPr>
            </w:pPr>
            <w:r w:rsidRPr="004C14E0">
              <w:rPr>
                <w:rFonts w:ascii="Times New Roman" w:eastAsia="Calibri" w:hAnsi="Times New Roman" w:cs="Times New Roman"/>
                <w:sz w:val="24"/>
                <w:szCs w:val="24"/>
                <w:lang w:val="en-US"/>
              </w:rPr>
              <w:t>Inclusion and exclusion criteria</w:t>
            </w:r>
          </w:p>
        </w:tc>
        <w:tc>
          <w:tcPr>
            <w:tcW w:w="780" w:type="dxa"/>
            <w:vAlign w:val="bottom"/>
            <w:hideMark/>
          </w:tcPr>
          <w:p w:rsidR="004C14E0" w:rsidRPr="004C14E0" w:rsidRDefault="004C14E0" w:rsidP="004C14E0">
            <w:pPr>
              <w:spacing w:line="276" w:lineRule="auto"/>
              <w:jc w:val="right"/>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32</w:t>
            </w:r>
          </w:p>
        </w:tc>
      </w:tr>
      <w:tr w:rsidR="004C14E0" w:rsidRPr="004C14E0" w:rsidTr="004C14E0">
        <w:trPr>
          <w:trHeight w:val="514"/>
        </w:trPr>
        <w:tc>
          <w:tcPr>
            <w:tcW w:w="460" w:type="dxa"/>
            <w:vAlign w:val="bottom"/>
          </w:tcPr>
          <w:p w:rsidR="004C14E0" w:rsidRPr="004C14E0" w:rsidRDefault="004C14E0" w:rsidP="004C14E0">
            <w:pPr>
              <w:spacing w:line="276" w:lineRule="auto"/>
              <w:rPr>
                <w:rFonts w:ascii="Times New Roman" w:eastAsia="Times New Roman" w:hAnsi="Times New Roman" w:cs="Times New Roman"/>
                <w:sz w:val="24"/>
                <w:szCs w:val="24"/>
                <w:lang w:val="en-US"/>
              </w:rPr>
            </w:pPr>
          </w:p>
        </w:tc>
        <w:tc>
          <w:tcPr>
            <w:tcW w:w="840" w:type="dxa"/>
            <w:gridSpan w:val="2"/>
            <w:vAlign w:val="bottom"/>
            <w:hideMark/>
          </w:tcPr>
          <w:p w:rsidR="004C14E0" w:rsidRPr="004C14E0" w:rsidRDefault="004C14E0" w:rsidP="004C14E0">
            <w:pPr>
              <w:spacing w:line="276" w:lineRule="auto"/>
              <w:ind w:left="200"/>
              <w:rPr>
                <w:rFonts w:ascii="Times New Roman" w:eastAsia="Calibri" w:hAnsi="Times New Roman" w:cs="Times New Roman"/>
                <w:sz w:val="24"/>
                <w:szCs w:val="24"/>
                <w:lang w:val="en-US"/>
              </w:rPr>
            </w:pPr>
            <w:r w:rsidRPr="004C14E0">
              <w:rPr>
                <w:rFonts w:ascii="Times New Roman" w:eastAsia="Calibri" w:hAnsi="Times New Roman" w:cs="Times New Roman"/>
                <w:sz w:val="24"/>
                <w:szCs w:val="24"/>
                <w:lang w:val="en-US"/>
              </w:rPr>
              <w:t>3.2.4</w:t>
            </w:r>
          </w:p>
        </w:tc>
        <w:tc>
          <w:tcPr>
            <w:tcW w:w="7300" w:type="dxa"/>
            <w:gridSpan w:val="4"/>
            <w:vAlign w:val="bottom"/>
            <w:hideMark/>
          </w:tcPr>
          <w:p w:rsidR="004C14E0" w:rsidRPr="004C14E0" w:rsidRDefault="004C14E0" w:rsidP="004C14E0">
            <w:pPr>
              <w:spacing w:line="276" w:lineRule="auto"/>
              <w:ind w:left="140"/>
              <w:rPr>
                <w:rFonts w:ascii="Times New Roman" w:eastAsia="Calibri" w:hAnsi="Times New Roman" w:cs="Times New Roman"/>
                <w:sz w:val="24"/>
                <w:szCs w:val="24"/>
                <w:lang w:val="en-US"/>
              </w:rPr>
            </w:pPr>
            <w:r w:rsidRPr="004C14E0">
              <w:rPr>
                <w:rFonts w:ascii="Times New Roman" w:eastAsia="Calibri" w:hAnsi="Times New Roman" w:cs="Times New Roman"/>
                <w:bCs/>
                <w:kern w:val="2"/>
                <w:sz w:val="24"/>
                <w:szCs w:val="24"/>
                <w:lang w:val="en-US"/>
                <w14:ligatures w14:val="standardContextual"/>
              </w:rPr>
              <w:t>Sampling Technique</w:t>
            </w:r>
          </w:p>
        </w:tc>
        <w:tc>
          <w:tcPr>
            <w:tcW w:w="780" w:type="dxa"/>
            <w:vAlign w:val="bottom"/>
            <w:hideMark/>
          </w:tcPr>
          <w:p w:rsidR="004C14E0" w:rsidRPr="004C14E0" w:rsidRDefault="004C14E0" w:rsidP="004C14E0">
            <w:pPr>
              <w:spacing w:line="276" w:lineRule="auto"/>
              <w:jc w:val="right"/>
              <w:rPr>
                <w:rFonts w:ascii="Times New Roman" w:eastAsia="Calibri" w:hAnsi="Times New Roman" w:cs="Times New Roman"/>
                <w:sz w:val="24"/>
                <w:szCs w:val="24"/>
                <w:lang w:val="en-US"/>
              </w:rPr>
            </w:pPr>
            <w:r w:rsidRPr="004C14E0">
              <w:rPr>
                <w:rFonts w:ascii="Times New Roman" w:eastAsia="Calibri" w:hAnsi="Times New Roman" w:cs="Times New Roman"/>
                <w:sz w:val="24"/>
                <w:szCs w:val="24"/>
                <w:lang w:val="en-US"/>
              </w:rPr>
              <w:t>33</w:t>
            </w:r>
          </w:p>
        </w:tc>
      </w:tr>
      <w:tr w:rsidR="004C14E0" w:rsidRPr="004C14E0" w:rsidTr="004C14E0">
        <w:trPr>
          <w:trHeight w:val="514"/>
        </w:trPr>
        <w:tc>
          <w:tcPr>
            <w:tcW w:w="460" w:type="dxa"/>
            <w:vAlign w:val="bottom"/>
          </w:tcPr>
          <w:p w:rsidR="004C14E0" w:rsidRPr="004C14E0" w:rsidRDefault="004C14E0" w:rsidP="004C14E0">
            <w:pPr>
              <w:spacing w:line="276" w:lineRule="auto"/>
              <w:rPr>
                <w:rFonts w:ascii="Times New Roman" w:eastAsia="Times New Roman" w:hAnsi="Times New Roman" w:cs="Times New Roman"/>
                <w:sz w:val="24"/>
                <w:szCs w:val="24"/>
                <w:lang w:val="en-US"/>
              </w:rPr>
            </w:pPr>
          </w:p>
        </w:tc>
        <w:tc>
          <w:tcPr>
            <w:tcW w:w="840" w:type="dxa"/>
            <w:gridSpan w:val="2"/>
            <w:vAlign w:val="bottom"/>
            <w:hideMark/>
          </w:tcPr>
          <w:p w:rsidR="004C14E0" w:rsidRPr="004C14E0" w:rsidRDefault="004C14E0" w:rsidP="004C14E0">
            <w:pPr>
              <w:spacing w:line="276" w:lineRule="auto"/>
              <w:ind w:left="200"/>
              <w:rPr>
                <w:rFonts w:ascii="Times New Roman" w:eastAsia="Calibri" w:hAnsi="Times New Roman" w:cs="Times New Roman"/>
                <w:sz w:val="24"/>
                <w:szCs w:val="24"/>
                <w:lang w:val="en-US"/>
              </w:rPr>
            </w:pPr>
            <w:r w:rsidRPr="004C14E0">
              <w:rPr>
                <w:rFonts w:ascii="Times New Roman" w:eastAsia="Calibri" w:hAnsi="Times New Roman" w:cs="Times New Roman"/>
                <w:sz w:val="24"/>
                <w:szCs w:val="24"/>
                <w:lang w:val="en-US"/>
              </w:rPr>
              <w:t>3.2.5</w:t>
            </w:r>
          </w:p>
        </w:tc>
        <w:tc>
          <w:tcPr>
            <w:tcW w:w="7300" w:type="dxa"/>
            <w:gridSpan w:val="4"/>
            <w:vAlign w:val="bottom"/>
            <w:hideMark/>
          </w:tcPr>
          <w:p w:rsidR="004C14E0" w:rsidRPr="004C14E0" w:rsidRDefault="004C14E0" w:rsidP="004C14E0">
            <w:pPr>
              <w:spacing w:line="276" w:lineRule="auto"/>
              <w:ind w:left="140"/>
              <w:rPr>
                <w:rFonts w:ascii="Times New Roman" w:eastAsia="Calibri" w:hAnsi="Times New Roman" w:cs="Times New Roman"/>
                <w:bCs/>
                <w:kern w:val="2"/>
                <w:sz w:val="24"/>
                <w:szCs w:val="24"/>
                <w:lang w:val="en-US"/>
                <w14:ligatures w14:val="standardContextual"/>
              </w:rPr>
            </w:pPr>
            <w:r w:rsidRPr="004C14E0">
              <w:rPr>
                <w:rFonts w:ascii="Times New Roman" w:eastAsia="Calibri" w:hAnsi="Times New Roman" w:cs="Times New Roman"/>
                <w:bCs/>
                <w:kern w:val="2"/>
                <w:sz w:val="24"/>
                <w:szCs w:val="24"/>
                <w:lang w:val="en-US"/>
                <w14:ligatures w14:val="standardContextual"/>
              </w:rPr>
              <w:t>Blood Collection</w:t>
            </w:r>
          </w:p>
        </w:tc>
        <w:tc>
          <w:tcPr>
            <w:tcW w:w="780" w:type="dxa"/>
            <w:vAlign w:val="bottom"/>
            <w:hideMark/>
          </w:tcPr>
          <w:p w:rsidR="004C14E0" w:rsidRPr="004C14E0" w:rsidRDefault="004C14E0" w:rsidP="004C14E0">
            <w:pPr>
              <w:spacing w:line="276" w:lineRule="auto"/>
              <w:jc w:val="right"/>
              <w:rPr>
                <w:rFonts w:ascii="Calibri" w:eastAsia="Calibri" w:hAnsi="Calibri" w:cs="Times New Roman"/>
                <w:lang w:val="en-US"/>
              </w:rPr>
            </w:pPr>
            <w:r w:rsidRPr="004C14E0">
              <w:rPr>
                <w:rFonts w:ascii="Calibri" w:eastAsia="Calibri" w:hAnsi="Calibri" w:cs="Times New Roman"/>
                <w:lang w:val="en-US"/>
              </w:rPr>
              <w:t>33</w:t>
            </w:r>
          </w:p>
        </w:tc>
      </w:tr>
      <w:tr w:rsidR="004C14E0" w:rsidRPr="004C14E0" w:rsidTr="004C14E0">
        <w:trPr>
          <w:trHeight w:val="514"/>
        </w:trPr>
        <w:tc>
          <w:tcPr>
            <w:tcW w:w="460" w:type="dxa"/>
            <w:vAlign w:val="bottom"/>
          </w:tcPr>
          <w:p w:rsidR="004C14E0" w:rsidRPr="004C14E0" w:rsidRDefault="004C14E0" w:rsidP="004C14E0">
            <w:pPr>
              <w:spacing w:line="276" w:lineRule="auto"/>
              <w:rPr>
                <w:rFonts w:ascii="Times New Roman" w:eastAsia="Times New Roman" w:hAnsi="Times New Roman" w:cs="Times New Roman"/>
                <w:sz w:val="24"/>
                <w:szCs w:val="24"/>
              </w:rPr>
            </w:pPr>
          </w:p>
        </w:tc>
        <w:tc>
          <w:tcPr>
            <w:tcW w:w="840" w:type="dxa"/>
            <w:gridSpan w:val="2"/>
            <w:vAlign w:val="bottom"/>
            <w:hideMark/>
          </w:tcPr>
          <w:p w:rsidR="004C14E0" w:rsidRPr="004C14E0" w:rsidRDefault="004C14E0" w:rsidP="004C14E0">
            <w:pPr>
              <w:spacing w:line="276" w:lineRule="auto"/>
              <w:ind w:left="200"/>
              <w:rPr>
                <w:rFonts w:ascii="Times New Roman" w:eastAsia="Calibri" w:hAnsi="Times New Roman" w:cs="Times New Roman"/>
                <w:sz w:val="24"/>
                <w:szCs w:val="24"/>
                <w:lang w:val="en-US"/>
              </w:rPr>
            </w:pPr>
            <w:r w:rsidRPr="004C14E0">
              <w:rPr>
                <w:rFonts w:ascii="Times New Roman" w:eastAsia="Calibri" w:hAnsi="Times New Roman" w:cs="Times New Roman"/>
                <w:sz w:val="24"/>
                <w:szCs w:val="24"/>
                <w:lang w:val="en-US"/>
              </w:rPr>
              <w:t>3.2.6</w:t>
            </w:r>
          </w:p>
        </w:tc>
        <w:tc>
          <w:tcPr>
            <w:tcW w:w="7300" w:type="dxa"/>
            <w:gridSpan w:val="4"/>
            <w:vAlign w:val="bottom"/>
            <w:hideMark/>
          </w:tcPr>
          <w:p w:rsidR="004C14E0" w:rsidRPr="004C14E0" w:rsidRDefault="004C14E0" w:rsidP="004C14E0">
            <w:pPr>
              <w:spacing w:line="276" w:lineRule="auto"/>
              <w:ind w:left="140"/>
              <w:rPr>
                <w:rFonts w:ascii="Times New Roman" w:eastAsia="Calibri" w:hAnsi="Times New Roman" w:cs="Times New Roman"/>
                <w:bCs/>
                <w:kern w:val="2"/>
                <w:sz w:val="24"/>
                <w:szCs w:val="24"/>
                <w:lang w:val="en-US"/>
                <w14:ligatures w14:val="standardContextual"/>
              </w:rPr>
            </w:pPr>
            <w:r w:rsidRPr="004C14E0">
              <w:rPr>
                <w:rFonts w:ascii="Times New Roman" w:eastAsia="Calibri" w:hAnsi="Times New Roman" w:cs="Times New Roman"/>
                <w:bCs/>
                <w:kern w:val="2"/>
                <w:sz w:val="24"/>
                <w:szCs w:val="24"/>
                <w:lang w:val="en-US"/>
                <w14:ligatures w14:val="standardContextual"/>
              </w:rPr>
              <w:t>Ethical Clearance</w:t>
            </w:r>
          </w:p>
        </w:tc>
        <w:tc>
          <w:tcPr>
            <w:tcW w:w="780" w:type="dxa"/>
            <w:vAlign w:val="bottom"/>
            <w:hideMark/>
          </w:tcPr>
          <w:p w:rsidR="004C14E0" w:rsidRPr="004C14E0" w:rsidRDefault="004C14E0" w:rsidP="004C14E0">
            <w:pPr>
              <w:spacing w:line="276" w:lineRule="auto"/>
              <w:jc w:val="right"/>
              <w:rPr>
                <w:rFonts w:ascii="Calibri" w:eastAsia="Calibri" w:hAnsi="Calibri" w:cs="Times New Roman"/>
                <w:lang w:val="en-US"/>
              </w:rPr>
            </w:pPr>
            <w:r w:rsidRPr="004C14E0">
              <w:rPr>
                <w:rFonts w:ascii="Calibri" w:eastAsia="Calibri" w:hAnsi="Calibri" w:cs="Times New Roman"/>
                <w:lang w:val="en-US"/>
              </w:rPr>
              <w:t>33</w:t>
            </w:r>
          </w:p>
        </w:tc>
      </w:tr>
      <w:tr w:rsidR="004C14E0" w:rsidRPr="004C14E0" w:rsidTr="004C14E0">
        <w:trPr>
          <w:trHeight w:val="514"/>
        </w:trPr>
        <w:tc>
          <w:tcPr>
            <w:tcW w:w="460" w:type="dxa"/>
            <w:vAlign w:val="bottom"/>
          </w:tcPr>
          <w:p w:rsidR="004C14E0" w:rsidRPr="004C14E0" w:rsidRDefault="004C14E0" w:rsidP="004C14E0">
            <w:pPr>
              <w:spacing w:line="276" w:lineRule="auto"/>
              <w:rPr>
                <w:rFonts w:ascii="Times New Roman" w:eastAsia="Times New Roman" w:hAnsi="Times New Roman" w:cs="Times New Roman"/>
                <w:sz w:val="24"/>
                <w:szCs w:val="24"/>
              </w:rPr>
            </w:pPr>
          </w:p>
        </w:tc>
        <w:tc>
          <w:tcPr>
            <w:tcW w:w="840" w:type="dxa"/>
            <w:gridSpan w:val="2"/>
            <w:vAlign w:val="bottom"/>
            <w:hideMark/>
          </w:tcPr>
          <w:p w:rsidR="004C14E0" w:rsidRPr="004C14E0" w:rsidRDefault="004C14E0" w:rsidP="004C14E0">
            <w:pPr>
              <w:spacing w:line="276" w:lineRule="auto"/>
              <w:ind w:left="200"/>
              <w:rPr>
                <w:rFonts w:ascii="Times New Roman" w:eastAsia="Calibri" w:hAnsi="Times New Roman" w:cs="Times New Roman"/>
                <w:sz w:val="24"/>
                <w:szCs w:val="24"/>
                <w:lang w:val="en-US"/>
              </w:rPr>
            </w:pPr>
            <w:r w:rsidRPr="004C14E0">
              <w:rPr>
                <w:rFonts w:ascii="Times New Roman" w:eastAsia="Calibri" w:hAnsi="Times New Roman" w:cs="Times New Roman"/>
                <w:sz w:val="24"/>
                <w:szCs w:val="24"/>
                <w:lang w:val="en-US"/>
              </w:rPr>
              <w:t>3.2.7</w:t>
            </w:r>
          </w:p>
        </w:tc>
        <w:tc>
          <w:tcPr>
            <w:tcW w:w="7300" w:type="dxa"/>
            <w:gridSpan w:val="4"/>
            <w:vAlign w:val="bottom"/>
            <w:hideMark/>
          </w:tcPr>
          <w:p w:rsidR="004C14E0" w:rsidRPr="004C14E0" w:rsidRDefault="004C14E0" w:rsidP="004C14E0">
            <w:pPr>
              <w:spacing w:line="276" w:lineRule="auto"/>
              <w:ind w:left="140"/>
              <w:rPr>
                <w:rFonts w:ascii="Times New Roman" w:eastAsia="Calibri" w:hAnsi="Times New Roman" w:cs="Times New Roman"/>
                <w:bCs/>
                <w:kern w:val="2"/>
                <w:sz w:val="24"/>
                <w:szCs w:val="24"/>
                <w:lang w:val="en-US"/>
                <w14:ligatures w14:val="standardContextual"/>
              </w:rPr>
            </w:pPr>
            <w:r w:rsidRPr="004C14E0">
              <w:rPr>
                <w:rFonts w:ascii="Times New Roman" w:eastAsia="Calibri" w:hAnsi="Times New Roman" w:cs="Times New Roman"/>
                <w:bCs/>
                <w:sz w:val="24"/>
                <w:szCs w:val="24"/>
                <w:lang w:val="en-US"/>
              </w:rPr>
              <w:t xml:space="preserve">Enzyme-linked </w:t>
            </w:r>
            <w:proofErr w:type="spellStart"/>
            <w:r w:rsidRPr="004C14E0">
              <w:rPr>
                <w:rFonts w:ascii="Times New Roman" w:eastAsia="Calibri" w:hAnsi="Times New Roman" w:cs="Times New Roman"/>
                <w:bCs/>
                <w:sz w:val="24"/>
                <w:szCs w:val="24"/>
                <w:lang w:val="en-US"/>
              </w:rPr>
              <w:t>Immunosorbent</w:t>
            </w:r>
            <w:proofErr w:type="spellEnd"/>
            <w:r w:rsidRPr="004C14E0">
              <w:rPr>
                <w:rFonts w:ascii="Times New Roman" w:eastAsia="Calibri" w:hAnsi="Times New Roman" w:cs="Times New Roman"/>
                <w:bCs/>
                <w:sz w:val="24"/>
                <w:szCs w:val="24"/>
                <w:lang w:val="en-US"/>
              </w:rPr>
              <w:t xml:space="preserve"> Assay (ELISA)</w:t>
            </w:r>
          </w:p>
        </w:tc>
        <w:tc>
          <w:tcPr>
            <w:tcW w:w="780" w:type="dxa"/>
            <w:vAlign w:val="bottom"/>
            <w:hideMark/>
          </w:tcPr>
          <w:p w:rsidR="004C14E0" w:rsidRPr="004C14E0" w:rsidRDefault="004C14E0" w:rsidP="004C14E0">
            <w:pPr>
              <w:spacing w:line="276" w:lineRule="auto"/>
              <w:jc w:val="right"/>
              <w:rPr>
                <w:rFonts w:ascii="Calibri" w:eastAsia="Calibri" w:hAnsi="Calibri" w:cs="Times New Roman"/>
                <w:lang w:val="en-US"/>
              </w:rPr>
            </w:pPr>
            <w:r w:rsidRPr="004C14E0">
              <w:rPr>
                <w:rFonts w:ascii="Calibri" w:eastAsia="Calibri" w:hAnsi="Calibri" w:cs="Times New Roman"/>
                <w:lang w:val="en-US"/>
              </w:rPr>
              <w:t>33</w:t>
            </w:r>
          </w:p>
        </w:tc>
      </w:tr>
      <w:tr w:rsidR="004C14E0" w:rsidRPr="004C14E0" w:rsidTr="004C14E0">
        <w:trPr>
          <w:trHeight w:val="514"/>
        </w:trPr>
        <w:tc>
          <w:tcPr>
            <w:tcW w:w="460" w:type="dxa"/>
            <w:vAlign w:val="bottom"/>
            <w:hideMark/>
          </w:tcPr>
          <w:p w:rsidR="004C14E0" w:rsidRPr="004C14E0" w:rsidRDefault="004C14E0" w:rsidP="004C14E0">
            <w:pPr>
              <w:spacing w:line="276" w:lineRule="auto"/>
              <w:rPr>
                <w:rFonts w:ascii="Times New Roman" w:eastAsia="Times New Roman" w:hAnsi="Times New Roman" w:cs="Times New Roman"/>
                <w:sz w:val="24"/>
                <w:szCs w:val="24"/>
              </w:rPr>
            </w:pPr>
            <w:r w:rsidRPr="004C14E0">
              <w:rPr>
                <w:rFonts w:ascii="Times New Roman" w:eastAsia="Times New Roman" w:hAnsi="Times New Roman" w:cs="Times New Roman"/>
                <w:sz w:val="24"/>
                <w:szCs w:val="24"/>
                <w:lang w:val="en-US"/>
              </w:rPr>
              <w:t>3.3</w:t>
            </w:r>
          </w:p>
        </w:tc>
        <w:tc>
          <w:tcPr>
            <w:tcW w:w="8140" w:type="dxa"/>
            <w:gridSpan w:val="6"/>
            <w:vAlign w:val="bottom"/>
            <w:hideMark/>
          </w:tcPr>
          <w:p w:rsidR="004C14E0" w:rsidRPr="004C14E0" w:rsidRDefault="004C14E0" w:rsidP="004C14E0">
            <w:pPr>
              <w:spacing w:line="276" w:lineRule="auto"/>
              <w:ind w:left="200"/>
              <w:rPr>
                <w:rFonts w:ascii="Times New Roman" w:eastAsia="Times New Roman" w:hAnsi="Times New Roman" w:cs="Times New Roman"/>
                <w:sz w:val="24"/>
                <w:szCs w:val="24"/>
                <w:lang w:val="en-US"/>
              </w:rPr>
            </w:pPr>
            <w:r w:rsidRPr="004C14E0">
              <w:rPr>
                <w:rFonts w:ascii="Times New Roman" w:eastAsia="Calibri" w:hAnsi="Times New Roman" w:cs="Times New Roman"/>
                <w:bCs/>
                <w:sz w:val="24"/>
                <w:szCs w:val="24"/>
                <w:lang w:val="en-US"/>
              </w:rPr>
              <w:t>Computational Analysis</w:t>
            </w:r>
          </w:p>
        </w:tc>
        <w:tc>
          <w:tcPr>
            <w:tcW w:w="780" w:type="dxa"/>
            <w:vAlign w:val="bottom"/>
            <w:hideMark/>
          </w:tcPr>
          <w:p w:rsidR="004C14E0" w:rsidRPr="004C14E0" w:rsidRDefault="004C14E0" w:rsidP="004C14E0">
            <w:pPr>
              <w:spacing w:line="276" w:lineRule="auto"/>
              <w:jc w:val="right"/>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34</w:t>
            </w:r>
          </w:p>
        </w:tc>
      </w:tr>
      <w:tr w:rsidR="004C14E0" w:rsidRPr="004C14E0" w:rsidTr="004C14E0">
        <w:trPr>
          <w:trHeight w:val="514"/>
        </w:trPr>
        <w:tc>
          <w:tcPr>
            <w:tcW w:w="460" w:type="dxa"/>
            <w:vAlign w:val="bottom"/>
          </w:tcPr>
          <w:p w:rsidR="004C14E0" w:rsidRPr="004C14E0" w:rsidRDefault="004C14E0" w:rsidP="004C14E0">
            <w:pPr>
              <w:spacing w:line="276" w:lineRule="auto"/>
              <w:rPr>
                <w:rFonts w:ascii="Times New Roman" w:eastAsia="Times New Roman" w:hAnsi="Times New Roman" w:cs="Times New Roman"/>
                <w:sz w:val="24"/>
                <w:szCs w:val="24"/>
                <w:lang w:val="en-US"/>
              </w:rPr>
            </w:pPr>
          </w:p>
        </w:tc>
        <w:tc>
          <w:tcPr>
            <w:tcW w:w="840" w:type="dxa"/>
            <w:gridSpan w:val="2"/>
            <w:vAlign w:val="bottom"/>
            <w:hideMark/>
          </w:tcPr>
          <w:p w:rsidR="004C14E0" w:rsidRPr="004C14E0" w:rsidRDefault="004C14E0" w:rsidP="004C14E0">
            <w:pPr>
              <w:spacing w:line="276" w:lineRule="auto"/>
              <w:ind w:left="200"/>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3.3.1</w:t>
            </w:r>
          </w:p>
        </w:tc>
        <w:tc>
          <w:tcPr>
            <w:tcW w:w="7300" w:type="dxa"/>
            <w:gridSpan w:val="4"/>
            <w:vAlign w:val="bottom"/>
            <w:hideMark/>
          </w:tcPr>
          <w:p w:rsidR="004C14E0" w:rsidRPr="004C14E0" w:rsidRDefault="004C14E0" w:rsidP="004C14E0">
            <w:pPr>
              <w:spacing w:line="276" w:lineRule="auto"/>
              <w:ind w:left="200"/>
              <w:rPr>
                <w:rFonts w:ascii="Times New Roman" w:eastAsia="Times New Roman" w:hAnsi="Times New Roman" w:cs="Times New Roman"/>
                <w:sz w:val="24"/>
                <w:szCs w:val="24"/>
                <w:lang w:val="en-US"/>
              </w:rPr>
            </w:pPr>
            <w:r w:rsidRPr="004C14E0">
              <w:rPr>
                <w:rFonts w:ascii="Times New Roman" w:eastAsia="Times New Roman" w:hAnsi="Times New Roman" w:cs="Times New Roman"/>
                <w:bCs/>
                <w:sz w:val="24"/>
                <w:szCs w:val="24"/>
                <w:lang w:val="en-US"/>
              </w:rPr>
              <w:t>Ligand selection and preparation</w:t>
            </w:r>
          </w:p>
        </w:tc>
        <w:tc>
          <w:tcPr>
            <w:tcW w:w="780" w:type="dxa"/>
            <w:vAlign w:val="bottom"/>
            <w:hideMark/>
          </w:tcPr>
          <w:p w:rsidR="004C14E0" w:rsidRPr="004C14E0" w:rsidRDefault="004C14E0" w:rsidP="004C14E0">
            <w:pPr>
              <w:spacing w:line="276" w:lineRule="auto"/>
              <w:jc w:val="right"/>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35</w:t>
            </w:r>
          </w:p>
        </w:tc>
      </w:tr>
      <w:tr w:rsidR="004C14E0" w:rsidRPr="004C14E0" w:rsidTr="004C14E0">
        <w:trPr>
          <w:trHeight w:val="516"/>
        </w:trPr>
        <w:tc>
          <w:tcPr>
            <w:tcW w:w="460" w:type="dxa"/>
            <w:vAlign w:val="bottom"/>
          </w:tcPr>
          <w:p w:rsidR="004C14E0" w:rsidRPr="004C14E0" w:rsidRDefault="004C14E0" w:rsidP="004C14E0">
            <w:pPr>
              <w:spacing w:line="276" w:lineRule="auto"/>
              <w:rPr>
                <w:rFonts w:ascii="Times New Roman" w:eastAsia="Times New Roman" w:hAnsi="Times New Roman" w:cs="Times New Roman"/>
                <w:sz w:val="24"/>
                <w:szCs w:val="24"/>
                <w:lang w:val="en-US"/>
              </w:rPr>
            </w:pPr>
          </w:p>
        </w:tc>
        <w:tc>
          <w:tcPr>
            <w:tcW w:w="840" w:type="dxa"/>
            <w:gridSpan w:val="2"/>
            <w:vAlign w:val="bottom"/>
            <w:hideMark/>
          </w:tcPr>
          <w:p w:rsidR="004C14E0" w:rsidRPr="004C14E0" w:rsidRDefault="004C14E0" w:rsidP="004C14E0">
            <w:pPr>
              <w:spacing w:line="276" w:lineRule="auto"/>
              <w:ind w:left="200"/>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3.3.2</w:t>
            </w:r>
          </w:p>
        </w:tc>
        <w:tc>
          <w:tcPr>
            <w:tcW w:w="7300" w:type="dxa"/>
            <w:gridSpan w:val="4"/>
            <w:vAlign w:val="bottom"/>
            <w:hideMark/>
          </w:tcPr>
          <w:p w:rsidR="004C14E0" w:rsidRPr="004C14E0" w:rsidRDefault="004C14E0" w:rsidP="004C14E0">
            <w:pPr>
              <w:spacing w:line="276" w:lineRule="auto"/>
              <w:ind w:left="200"/>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Protein Preparation</w:t>
            </w:r>
          </w:p>
        </w:tc>
        <w:tc>
          <w:tcPr>
            <w:tcW w:w="780" w:type="dxa"/>
            <w:vAlign w:val="bottom"/>
            <w:hideMark/>
          </w:tcPr>
          <w:p w:rsidR="004C14E0" w:rsidRPr="004C14E0" w:rsidRDefault="004C14E0" w:rsidP="004C14E0">
            <w:pPr>
              <w:spacing w:line="276" w:lineRule="auto"/>
              <w:jc w:val="right"/>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35</w:t>
            </w:r>
          </w:p>
        </w:tc>
      </w:tr>
      <w:tr w:rsidR="004C14E0" w:rsidRPr="004C14E0" w:rsidTr="004C14E0">
        <w:trPr>
          <w:trHeight w:val="516"/>
        </w:trPr>
        <w:tc>
          <w:tcPr>
            <w:tcW w:w="460" w:type="dxa"/>
            <w:vAlign w:val="bottom"/>
          </w:tcPr>
          <w:p w:rsidR="004C14E0" w:rsidRPr="004C14E0" w:rsidRDefault="004C14E0" w:rsidP="004C14E0">
            <w:pPr>
              <w:spacing w:line="276" w:lineRule="auto"/>
              <w:rPr>
                <w:rFonts w:ascii="Times New Roman" w:eastAsia="Times New Roman" w:hAnsi="Times New Roman" w:cs="Times New Roman"/>
                <w:sz w:val="24"/>
                <w:szCs w:val="24"/>
                <w:lang w:val="en-US"/>
              </w:rPr>
            </w:pPr>
          </w:p>
        </w:tc>
        <w:tc>
          <w:tcPr>
            <w:tcW w:w="840" w:type="dxa"/>
            <w:gridSpan w:val="2"/>
            <w:vAlign w:val="bottom"/>
            <w:hideMark/>
          </w:tcPr>
          <w:p w:rsidR="004C14E0" w:rsidRPr="004C14E0" w:rsidRDefault="004C14E0" w:rsidP="004C14E0">
            <w:pPr>
              <w:spacing w:line="276" w:lineRule="auto"/>
              <w:ind w:left="200"/>
              <w:rPr>
                <w:rFonts w:ascii="Times New Roman" w:eastAsia="Calibri" w:hAnsi="Times New Roman" w:cs="Times New Roman"/>
                <w:sz w:val="24"/>
                <w:szCs w:val="24"/>
                <w:lang w:val="en-US"/>
              </w:rPr>
            </w:pPr>
            <w:r w:rsidRPr="004C14E0">
              <w:rPr>
                <w:rFonts w:ascii="Times New Roman" w:eastAsia="Calibri" w:hAnsi="Times New Roman" w:cs="Times New Roman"/>
                <w:sz w:val="24"/>
                <w:szCs w:val="24"/>
                <w:lang w:val="en-US"/>
              </w:rPr>
              <w:t>3.3.3</w:t>
            </w:r>
          </w:p>
        </w:tc>
        <w:tc>
          <w:tcPr>
            <w:tcW w:w="7300" w:type="dxa"/>
            <w:gridSpan w:val="4"/>
            <w:vAlign w:val="bottom"/>
            <w:hideMark/>
          </w:tcPr>
          <w:p w:rsidR="004C14E0" w:rsidRPr="004C14E0" w:rsidRDefault="004C14E0" w:rsidP="004C14E0">
            <w:pPr>
              <w:spacing w:line="276" w:lineRule="auto"/>
              <w:ind w:left="200"/>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Virtual screening and molecular docking</w:t>
            </w:r>
          </w:p>
        </w:tc>
        <w:tc>
          <w:tcPr>
            <w:tcW w:w="780" w:type="dxa"/>
            <w:vAlign w:val="bottom"/>
            <w:hideMark/>
          </w:tcPr>
          <w:p w:rsidR="004C14E0" w:rsidRPr="004C14E0" w:rsidRDefault="004C14E0" w:rsidP="004C14E0">
            <w:pPr>
              <w:spacing w:line="276" w:lineRule="auto"/>
              <w:jc w:val="right"/>
              <w:rPr>
                <w:rFonts w:ascii="Times New Roman" w:eastAsia="Calibri" w:hAnsi="Times New Roman" w:cs="Times New Roman"/>
                <w:sz w:val="24"/>
                <w:szCs w:val="24"/>
                <w:lang w:val="en-US"/>
              </w:rPr>
            </w:pPr>
            <w:r w:rsidRPr="004C14E0">
              <w:rPr>
                <w:rFonts w:ascii="Times New Roman" w:eastAsia="Calibri" w:hAnsi="Times New Roman" w:cs="Times New Roman"/>
                <w:sz w:val="24"/>
                <w:szCs w:val="24"/>
                <w:lang w:val="en-US"/>
              </w:rPr>
              <w:t>35</w:t>
            </w:r>
          </w:p>
        </w:tc>
      </w:tr>
      <w:tr w:rsidR="004C14E0" w:rsidRPr="004C14E0" w:rsidTr="004C14E0">
        <w:trPr>
          <w:trHeight w:val="516"/>
        </w:trPr>
        <w:tc>
          <w:tcPr>
            <w:tcW w:w="460" w:type="dxa"/>
            <w:vAlign w:val="bottom"/>
          </w:tcPr>
          <w:p w:rsidR="004C14E0" w:rsidRPr="004C14E0" w:rsidRDefault="004C14E0" w:rsidP="004C14E0">
            <w:pPr>
              <w:spacing w:line="276" w:lineRule="auto"/>
              <w:rPr>
                <w:rFonts w:ascii="Times New Roman" w:eastAsia="Times New Roman" w:hAnsi="Times New Roman" w:cs="Times New Roman"/>
                <w:sz w:val="24"/>
                <w:szCs w:val="24"/>
                <w:lang w:val="en-US"/>
              </w:rPr>
            </w:pPr>
          </w:p>
        </w:tc>
        <w:tc>
          <w:tcPr>
            <w:tcW w:w="840" w:type="dxa"/>
            <w:gridSpan w:val="2"/>
            <w:vAlign w:val="bottom"/>
            <w:hideMark/>
          </w:tcPr>
          <w:p w:rsidR="004C14E0" w:rsidRPr="004C14E0" w:rsidRDefault="004C14E0" w:rsidP="004C14E0">
            <w:pPr>
              <w:spacing w:line="276" w:lineRule="auto"/>
              <w:ind w:left="200"/>
              <w:rPr>
                <w:rFonts w:ascii="Times New Roman" w:eastAsia="Calibri" w:hAnsi="Times New Roman" w:cs="Times New Roman"/>
                <w:sz w:val="24"/>
                <w:szCs w:val="24"/>
                <w:lang w:val="en-US"/>
              </w:rPr>
            </w:pPr>
            <w:r w:rsidRPr="004C14E0">
              <w:rPr>
                <w:rFonts w:ascii="Times New Roman" w:eastAsia="Calibri" w:hAnsi="Times New Roman" w:cs="Times New Roman"/>
                <w:sz w:val="24"/>
                <w:szCs w:val="24"/>
                <w:lang w:val="en-US"/>
              </w:rPr>
              <w:t>3.3.4</w:t>
            </w:r>
          </w:p>
        </w:tc>
        <w:tc>
          <w:tcPr>
            <w:tcW w:w="7300" w:type="dxa"/>
            <w:gridSpan w:val="4"/>
            <w:vAlign w:val="bottom"/>
            <w:hideMark/>
          </w:tcPr>
          <w:p w:rsidR="004C14E0" w:rsidRPr="004C14E0" w:rsidRDefault="004C14E0" w:rsidP="004C14E0">
            <w:pPr>
              <w:spacing w:line="276" w:lineRule="auto"/>
              <w:ind w:left="200"/>
              <w:rPr>
                <w:rFonts w:ascii="Times New Roman" w:eastAsia="Times New Roman" w:hAnsi="Times New Roman" w:cs="Times New Roman"/>
                <w:sz w:val="24"/>
                <w:szCs w:val="24"/>
                <w:lang w:val="en-US"/>
              </w:rPr>
            </w:pPr>
            <w:r w:rsidRPr="004C14E0">
              <w:rPr>
                <w:rFonts w:ascii="Times New Roman" w:eastAsia="Times New Roman" w:hAnsi="Times New Roman" w:cs="Times New Roman"/>
                <w:bCs/>
                <w:sz w:val="24"/>
                <w:szCs w:val="24"/>
                <w:lang w:val="en-US"/>
              </w:rPr>
              <w:t>Absorption Distribution Metabolism Excretion and Toxicity (ADMET)</w:t>
            </w:r>
            <w:r w:rsidR="001F618A">
              <w:rPr>
                <w:rFonts w:ascii="Times New Roman" w:eastAsia="Times New Roman" w:hAnsi="Times New Roman" w:cs="Times New Roman"/>
                <w:bCs/>
                <w:sz w:val="24"/>
                <w:szCs w:val="24"/>
                <w:lang w:val="en-US"/>
              </w:rPr>
              <w:t xml:space="preserve"> </w:t>
            </w:r>
          </w:p>
        </w:tc>
        <w:tc>
          <w:tcPr>
            <w:tcW w:w="780" w:type="dxa"/>
            <w:vAlign w:val="bottom"/>
            <w:hideMark/>
          </w:tcPr>
          <w:p w:rsidR="004C14E0" w:rsidRPr="004C14E0" w:rsidRDefault="004C14E0" w:rsidP="004C14E0">
            <w:pPr>
              <w:spacing w:line="276" w:lineRule="auto"/>
              <w:jc w:val="right"/>
              <w:rPr>
                <w:rFonts w:ascii="Times New Roman" w:eastAsia="Calibri" w:hAnsi="Times New Roman" w:cs="Times New Roman"/>
                <w:sz w:val="24"/>
                <w:szCs w:val="24"/>
                <w:lang w:val="en-US"/>
              </w:rPr>
            </w:pPr>
            <w:r w:rsidRPr="004C14E0">
              <w:rPr>
                <w:rFonts w:ascii="Times New Roman" w:eastAsia="Calibri" w:hAnsi="Times New Roman" w:cs="Times New Roman"/>
                <w:sz w:val="24"/>
                <w:szCs w:val="24"/>
                <w:lang w:val="en-US"/>
              </w:rPr>
              <w:t>35</w:t>
            </w:r>
          </w:p>
        </w:tc>
      </w:tr>
      <w:tr w:rsidR="004C14E0" w:rsidRPr="004C14E0" w:rsidTr="004C14E0">
        <w:trPr>
          <w:trHeight w:val="514"/>
        </w:trPr>
        <w:tc>
          <w:tcPr>
            <w:tcW w:w="460" w:type="dxa"/>
            <w:vAlign w:val="bottom"/>
            <w:hideMark/>
          </w:tcPr>
          <w:p w:rsidR="004C14E0" w:rsidRPr="004C14E0" w:rsidRDefault="004C14E0" w:rsidP="004C14E0">
            <w:pPr>
              <w:spacing w:line="276" w:lineRule="auto"/>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3.4</w:t>
            </w:r>
          </w:p>
        </w:tc>
        <w:tc>
          <w:tcPr>
            <w:tcW w:w="8140" w:type="dxa"/>
            <w:gridSpan w:val="6"/>
            <w:vAlign w:val="bottom"/>
            <w:hideMark/>
          </w:tcPr>
          <w:p w:rsidR="004C14E0" w:rsidRPr="004C14E0" w:rsidRDefault="004C14E0" w:rsidP="004C14E0">
            <w:pPr>
              <w:spacing w:line="276" w:lineRule="auto"/>
              <w:ind w:left="200"/>
              <w:rPr>
                <w:rFonts w:ascii="Times New Roman" w:eastAsia="Times New Roman" w:hAnsi="Times New Roman" w:cs="Times New Roman"/>
                <w:sz w:val="24"/>
                <w:szCs w:val="24"/>
                <w:lang w:val="en-US"/>
              </w:rPr>
            </w:pPr>
            <w:r w:rsidRPr="004C14E0">
              <w:rPr>
                <w:rFonts w:ascii="Times New Roman" w:eastAsia="Calibri" w:hAnsi="Times New Roman" w:cs="Times New Roman"/>
                <w:bCs/>
                <w:sz w:val="24"/>
                <w:szCs w:val="24"/>
                <w:lang w:val="en-US"/>
              </w:rPr>
              <w:t xml:space="preserve">Methods of </w:t>
            </w:r>
            <w:r w:rsidRPr="004C14E0">
              <w:rPr>
                <w:rFonts w:ascii="Times New Roman" w:eastAsia="Times New Roman" w:hAnsi="Times New Roman" w:cs="Times New Roman"/>
                <w:sz w:val="24"/>
                <w:szCs w:val="24"/>
                <w:lang w:val="en-US"/>
              </w:rPr>
              <w:t>Statistical Analysis</w:t>
            </w:r>
          </w:p>
        </w:tc>
        <w:tc>
          <w:tcPr>
            <w:tcW w:w="780" w:type="dxa"/>
            <w:vAlign w:val="bottom"/>
            <w:hideMark/>
          </w:tcPr>
          <w:p w:rsidR="004C14E0" w:rsidRPr="004C14E0" w:rsidRDefault="004C14E0" w:rsidP="004C14E0">
            <w:pPr>
              <w:spacing w:line="276" w:lineRule="auto"/>
              <w:jc w:val="right"/>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36</w:t>
            </w:r>
          </w:p>
        </w:tc>
      </w:tr>
      <w:tr w:rsidR="004C14E0" w:rsidRPr="004C14E0" w:rsidTr="004C14E0">
        <w:trPr>
          <w:trHeight w:val="682"/>
        </w:trPr>
        <w:tc>
          <w:tcPr>
            <w:tcW w:w="8600" w:type="dxa"/>
            <w:gridSpan w:val="7"/>
            <w:vAlign w:val="bottom"/>
            <w:hideMark/>
          </w:tcPr>
          <w:p w:rsidR="004C14E0" w:rsidRPr="004C14E0" w:rsidRDefault="004C14E0" w:rsidP="004C14E0">
            <w:pPr>
              <w:spacing w:line="276" w:lineRule="auto"/>
              <w:rPr>
                <w:rFonts w:ascii="Times New Roman" w:eastAsia="Times New Roman" w:hAnsi="Times New Roman" w:cs="Times New Roman"/>
                <w:b/>
                <w:sz w:val="24"/>
                <w:szCs w:val="24"/>
                <w:lang w:val="en-US"/>
              </w:rPr>
            </w:pPr>
            <w:r w:rsidRPr="004C14E0">
              <w:rPr>
                <w:rFonts w:ascii="Times New Roman" w:eastAsia="Times New Roman" w:hAnsi="Times New Roman" w:cs="Times New Roman"/>
                <w:b/>
                <w:sz w:val="24"/>
                <w:szCs w:val="24"/>
                <w:lang w:val="en-US"/>
              </w:rPr>
              <w:t>CHAPTER FOUR: RESULTS</w:t>
            </w:r>
          </w:p>
        </w:tc>
        <w:tc>
          <w:tcPr>
            <w:tcW w:w="780" w:type="dxa"/>
            <w:vAlign w:val="bottom"/>
            <w:hideMark/>
          </w:tcPr>
          <w:p w:rsidR="004C14E0" w:rsidRPr="004C14E0" w:rsidRDefault="004C14E0" w:rsidP="004C14E0">
            <w:pPr>
              <w:spacing w:line="276" w:lineRule="auto"/>
              <w:jc w:val="right"/>
              <w:rPr>
                <w:rFonts w:ascii="Times New Roman" w:eastAsia="Times New Roman" w:hAnsi="Times New Roman" w:cs="Times New Roman"/>
                <w:b/>
                <w:sz w:val="24"/>
                <w:szCs w:val="24"/>
                <w:lang w:val="en-US"/>
              </w:rPr>
            </w:pPr>
            <w:r w:rsidRPr="004C14E0">
              <w:rPr>
                <w:rFonts w:ascii="Times New Roman" w:eastAsia="Times New Roman" w:hAnsi="Times New Roman" w:cs="Times New Roman"/>
                <w:b/>
                <w:sz w:val="24"/>
                <w:szCs w:val="24"/>
                <w:lang w:val="en-US"/>
              </w:rPr>
              <w:t>37</w:t>
            </w:r>
          </w:p>
        </w:tc>
      </w:tr>
      <w:tr w:rsidR="004C14E0" w:rsidRPr="004C14E0" w:rsidTr="004C14E0">
        <w:trPr>
          <w:trHeight w:val="516"/>
        </w:trPr>
        <w:tc>
          <w:tcPr>
            <w:tcW w:w="460" w:type="dxa"/>
            <w:vAlign w:val="bottom"/>
            <w:hideMark/>
          </w:tcPr>
          <w:p w:rsidR="004C14E0" w:rsidRPr="004C14E0" w:rsidRDefault="004C14E0" w:rsidP="004C14E0">
            <w:pPr>
              <w:spacing w:line="276" w:lineRule="auto"/>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lastRenderedPageBreak/>
              <w:t>4.1</w:t>
            </w:r>
          </w:p>
        </w:tc>
        <w:tc>
          <w:tcPr>
            <w:tcW w:w="8140" w:type="dxa"/>
            <w:gridSpan w:val="6"/>
            <w:vAlign w:val="bottom"/>
            <w:hideMark/>
          </w:tcPr>
          <w:p w:rsidR="004C14E0" w:rsidRPr="004C14E0" w:rsidRDefault="004C14E0" w:rsidP="004C14E0">
            <w:pPr>
              <w:spacing w:line="276" w:lineRule="auto"/>
              <w:rPr>
                <w:rFonts w:ascii="Times New Roman" w:eastAsia="Times New Roman" w:hAnsi="Times New Roman" w:cs="Times New Roman"/>
                <w:sz w:val="24"/>
                <w:szCs w:val="24"/>
                <w:lang w:val="en-US"/>
              </w:rPr>
            </w:pPr>
            <w:r w:rsidRPr="004C14E0">
              <w:rPr>
                <w:rFonts w:ascii="Times New Roman" w:eastAsia="Calibri" w:hAnsi="Times New Roman" w:cs="Times New Roman"/>
                <w:bCs/>
                <w:sz w:val="24"/>
                <w:szCs w:val="24"/>
                <w:lang w:val="en-US"/>
              </w:rPr>
              <w:t xml:space="preserve">ELISA Quantification of Human </w:t>
            </w:r>
            <w:r w:rsidR="001F618A">
              <w:rPr>
                <w:rFonts w:ascii="Times New Roman" w:eastAsia="Calibri" w:hAnsi="Times New Roman" w:cs="Times New Roman"/>
                <w:sz w:val="24"/>
                <w:szCs w:val="24"/>
                <w:lang w:val="en-US"/>
              </w:rPr>
              <w:t>SPOP, AR, and SRC-3</w:t>
            </w:r>
          </w:p>
        </w:tc>
        <w:tc>
          <w:tcPr>
            <w:tcW w:w="780" w:type="dxa"/>
            <w:vAlign w:val="bottom"/>
            <w:hideMark/>
          </w:tcPr>
          <w:p w:rsidR="004C14E0" w:rsidRPr="004C14E0" w:rsidRDefault="004C14E0" w:rsidP="004C14E0">
            <w:pPr>
              <w:spacing w:line="276" w:lineRule="auto"/>
              <w:jc w:val="right"/>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37</w:t>
            </w:r>
          </w:p>
        </w:tc>
      </w:tr>
      <w:tr w:rsidR="004C14E0" w:rsidRPr="004C14E0" w:rsidTr="004C14E0">
        <w:trPr>
          <w:trHeight w:val="516"/>
        </w:trPr>
        <w:tc>
          <w:tcPr>
            <w:tcW w:w="460" w:type="dxa"/>
            <w:vAlign w:val="bottom"/>
            <w:hideMark/>
          </w:tcPr>
          <w:p w:rsidR="004C14E0" w:rsidRPr="004C14E0" w:rsidRDefault="004C14E0" w:rsidP="004C14E0">
            <w:pPr>
              <w:spacing w:line="276" w:lineRule="auto"/>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4.2</w:t>
            </w:r>
          </w:p>
        </w:tc>
        <w:tc>
          <w:tcPr>
            <w:tcW w:w="8140" w:type="dxa"/>
            <w:gridSpan w:val="6"/>
            <w:vAlign w:val="bottom"/>
            <w:hideMark/>
          </w:tcPr>
          <w:p w:rsidR="004C14E0" w:rsidRPr="004C14E0" w:rsidRDefault="004C14E0" w:rsidP="004C14E0">
            <w:pPr>
              <w:spacing w:line="276" w:lineRule="auto"/>
              <w:rPr>
                <w:rFonts w:ascii="Times New Roman" w:eastAsia="Times New Roman" w:hAnsi="Times New Roman" w:cs="Times New Roman"/>
                <w:sz w:val="24"/>
                <w:szCs w:val="24"/>
                <w:lang w:val="en-US"/>
              </w:rPr>
            </w:pPr>
            <w:r w:rsidRPr="004C14E0">
              <w:rPr>
                <w:rFonts w:ascii="Times New Roman" w:eastAsia="Calibri" w:hAnsi="Times New Roman" w:cs="Times New Roman"/>
                <w:bCs/>
                <w:sz w:val="24"/>
                <w:szCs w:val="24"/>
                <w:lang w:val="en-US"/>
              </w:rPr>
              <w:t>Computational Analysis</w:t>
            </w:r>
          </w:p>
        </w:tc>
        <w:tc>
          <w:tcPr>
            <w:tcW w:w="780" w:type="dxa"/>
            <w:vAlign w:val="bottom"/>
            <w:hideMark/>
          </w:tcPr>
          <w:p w:rsidR="004C14E0" w:rsidRPr="004C14E0" w:rsidRDefault="004C14E0" w:rsidP="004C14E0">
            <w:pPr>
              <w:spacing w:line="276" w:lineRule="auto"/>
              <w:jc w:val="right"/>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40</w:t>
            </w:r>
          </w:p>
        </w:tc>
      </w:tr>
      <w:tr w:rsidR="004C14E0" w:rsidRPr="004C14E0" w:rsidTr="004C14E0">
        <w:trPr>
          <w:trHeight w:val="516"/>
        </w:trPr>
        <w:tc>
          <w:tcPr>
            <w:tcW w:w="460" w:type="dxa"/>
            <w:vAlign w:val="bottom"/>
            <w:hideMark/>
          </w:tcPr>
          <w:p w:rsidR="004C14E0" w:rsidRPr="004C14E0" w:rsidRDefault="004C14E0" w:rsidP="004C14E0">
            <w:pPr>
              <w:spacing w:line="276" w:lineRule="auto"/>
              <w:rPr>
                <w:rFonts w:ascii="Times New Roman" w:eastAsia="Times New Roman" w:hAnsi="Times New Roman" w:cs="Times New Roman"/>
                <w:sz w:val="24"/>
                <w:szCs w:val="24"/>
                <w:lang w:val="en-US"/>
              </w:rPr>
            </w:pPr>
          </w:p>
        </w:tc>
        <w:tc>
          <w:tcPr>
            <w:tcW w:w="8140" w:type="dxa"/>
            <w:gridSpan w:val="6"/>
            <w:vAlign w:val="bottom"/>
            <w:hideMark/>
          </w:tcPr>
          <w:p w:rsidR="004C14E0" w:rsidRPr="004C14E0" w:rsidRDefault="004C14E0" w:rsidP="004C14E0">
            <w:pPr>
              <w:spacing w:line="276" w:lineRule="auto"/>
              <w:ind w:left="200"/>
              <w:rPr>
                <w:rFonts w:ascii="Times New Roman" w:eastAsia="Times New Roman" w:hAnsi="Times New Roman" w:cs="Times New Roman"/>
                <w:sz w:val="24"/>
                <w:szCs w:val="24"/>
              </w:rPr>
            </w:pPr>
            <w:r w:rsidRPr="004C14E0">
              <w:rPr>
                <w:rFonts w:ascii="Times New Roman" w:eastAsia="Calibri" w:hAnsi="Times New Roman" w:cs="Times New Roman"/>
                <w:sz w:val="24"/>
                <w:szCs w:val="24"/>
                <w:lang w:val="en-US"/>
              </w:rPr>
              <w:t xml:space="preserve">4.2.1 </w:t>
            </w:r>
            <w:r w:rsidRPr="004C14E0">
              <w:rPr>
                <w:rFonts w:ascii="Times New Roman" w:eastAsia="Times New Roman" w:hAnsi="Times New Roman" w:cs="Times New Roman"/>
                <w:sz w:val="24"/>
                <w:szCs w:val="24"/>
                <w:lang w:val="en-US"/>
              </w:rPr>
              <w:t>Ligands</w:t>
            </w:r>
          </w:p>
        </w:tc>
        <w:tc>
          <w:tcPr>
            <w:tcW w:w="780" w:type="dxa"/>
            <w:vAlign w:val="bottom"/>
            <w:hideMark/>
          </w:tcPr>
          <w:p w:rsidR="004C14E0" w:rsidRPr="004C14E0" w:rsidRDefault="004C14E0" w:rsidP="004C14E0">
            <w:pPr>
              <w:spacing w:line="276" w:lineRule="auto"/>
              <w:jc w:val="right"/>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40</w:t>
            </w:r>
          </w:p>
        </w:tc>
      </w:tr>
      <w:tr w:rsidR="004C14E0" w:rsidRPr="004C14E0" w:rsidTr="004C14E0">
        <w:trPr>
          <w:trHeight w:val="516"/>
        </w:trPr>
        <w:tc>
          <w:tcPr>
            <w:tcW w:w="460" w:type="dxa"/>
            <w:vAlign w:val="bottom"/>
            <w:hideMark/>
          </w:tcPr>
          <w:p w:rsidR="004C14E0" w:rsidRPr="004C14E0" w:rsidRDefault="004C14E0" w:rsidP="004C14E0">
            <w:pPr>
              <w:spacing w:line="276" w:lineRule="auto"/>
              <w:rPr>
                <w:rFonts w:ascii="Times New Roman" w:eastAsia="Times New Roman" w:hAnsi="Times New Roman" w:cs="Times New Roman"/>
                <w:sz w:val="24"/>
                <w:szCs w:val="24"/>
                <w:lang w:val="en-US"/>
              </w:rPr>
            </w:pPr>
          </w:p>
        </w:tc>
        <w:tc>
          <w:tcPr>
            <w:tcW w:w="8140" w:type="dxa"/>
            <w:gridSpan w:val="6"/>
            <w:vAlign w:val="bottom"/>
            <w:hideMark/>
          </w:tcPr>
          <w:p w:rsidR="004C14E0" w:rsidRPr="004C14E0" w:rsidRDefault="004C14E0" w:rsidP="004C14E0">
            <w:pPr>
              <w:spacing w:line="276" w:lineRule="auto"/>
              <w:ind w:left="140"/>
              <w:rPr>
                <w:rFonts w:ascii="Times New Roman" w:eastAsia="Times New Roman" w:hAnsi="Times New Roman" w:cs="Times New Roman"/>
                <w:sz w:val="24"/>
                <w:szCs w:val="24"/>
              </w:rPr>
            </w:pPr>
            <w:r w:rsidRPr="004C14E0">
              <w:rPr>
                <w:rFonts w:ascii="Times New Roman" w:eastAsia="Times New Roman" w:hAnsi="Times New Roman" w:cs="Times New Roman"/>
                <w:sz w:val="24"/>
                <w:szCs w:val="24"/>
                <w:lang w:val="en-US"/>
              </w:rPr>
              <w:t>4.2.2  Physicochemical Properties</w:t>
            </w:r>
          </w:p>
        </w:tc>
        <w:tc>
          <w:tcPr>
            <w:tcW w:w="780" w:type="dxa"/>
            <w:vAlign w:val="bottom"/>
            <w:hideMark/>
          </w:tcPr>
          <w:p w:rsidR="004C14E0" w:rsidRPr="004C14E0" w:rsidRDefault="004C14E0" w:rsidP="004C14E0">
            <w:pPr>
              <w:spacing w:line="276" w:lineRule="auto"/>
              <w:jc w:val="right"/>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42</w:t>
            </w:r>
          </w:p>
        </w:tc>
      </w:tr>
      <w:tr w:rsidR="004C14E0" w:rsidRPr="004C14E0" w:rsidTr="004C14E0">
        <w:trPr>
          <w:trHeight w:val="514"/>
        </w:trPr>
        <w:tc>
          <w:tcPr>
            <w:tcW w:w="460" w:type="dxa"/>
            <w:vAlign w:val="bottom"/>
            <w:hideMark/>
          </w:tcPr>
          <w:p w:rsidR="004C14E0" w:rsidRPr="004C14E0" w:rsidRDefault="004C14E0" w:rsidP="004C14E0">
            <w:pPr>
              <w:spacing w:line="276" w:lineRule="auto"/>
              <w:rPr>
                <w:rFonts w:ascii="Times New Roman" w:eastAsia="Times New Roman" w:hAnsi="Times New Roman" w:cs="Times New Roman"/>
                <w:sz w:val="24"/>
                <w:szCs w:val="24"/>
                <w:lang w:val="en-US"/>
              </w:rPr>
            </w:pPr>
          </w:p>
        </w:tc>
        <w:tc>
          <w:tcPr>
            <w:tcW w:w="8140" w:type="dxa"/>
            <w:gridSpan w:val="6"/>
            <w:vAlign w:val="bottom"/>
            <w:hideMark/>
          </w:tcPr>
          <w:p w:rsidR="004C14E0" w:rsidRPr="004C14E0" w:rsidRDefault="004C14E0" w:rsidP="004C14E0">
            <w:pPr>
              <w:spacing w:line="276" w:lineRule="auto"/>
              <w:ind w:left="140"/>
              <w:rPr>
                <w:rFonts w:ascii="Times New Roman" w:eastAsia="Times New Roman" w:hAnsi="Times New Roman" w:cs="Times New Roman"/>
                <w:sz w:val="24"/>
                <w:szCs w:val="24"/>
              </w:rPr>
            </w:pPr>
            <w:r w:rsidRPr="004C14E0">
              <w:rPr>
                <w:rFonts w:ascii="Times New Roman" w:eastAsia="Calibri" w:hAnsi="Times New Roman" w:cs="Times New Roman"/>
                <w:sz w:val="24"/>
                <w:szCs w:val="24"/>
                <w:lang w:val="en-US"/>
              </w:rPr>
              <w:t xml:space="preserve">4.2.3   </w:t>
            </w:r>
            <w:r w:rsidRPr="004C14E0">
              <w:rPr>
                <w:rFonts w:ascii="Times New Roman" w:eastAsia="Times New Roman" w:hAnsi="Times New Roman" w:cs="Times New Roman"/>
                <w:sz w:val="24"/>
                <w:szCs w:val="24"/>
                <w:lang w:val="en-US"/>
              </w:rPr>
              <w:t>Drug-likeness results</w:t>
            </w:r>
          </w:p>
        </w:tc>
        <w:tc>
          <w:tcPr>
            <w:tcW w:w="780" w:type="dxa"/>
            <w:vAlign w:val="bottom"/>
            <w:hideMark/>
          </w:tcPr>
          <w:p w:rsidR="004C14E0" w:rsidRPr="004C14E0" w:rsidRDefault="004C14E0" w:rsidP="004C14E0">
            <w:pPr>
              <w:spacing w:line="276" w:lineRule="auto"/>
              <w:jc w:val="right"/>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42</w:t>
            </w:r>
          </w:p>
        </w:tc>
      </w:tr>
      <w:tr w:rsidR="004C14E0" w:rsidRPr="004C14E0" w:rsidTr="004C14E0">
        <w:trPr>
          <w:trHeight w:val="514"/>
        </w:trPr>
        <w:tc>
          <w:tcPr>
            <w:tcW w:w="460" w:type="dxa"/>
            <w:vAlign w:val="bottom"/>
          </w:tcPr>
          <w:p w:rsidR="004C14E0" w:rsidRPr="004C14E0" w:rsidRDefault="004C14E0" w:rsidP="004C14E0">
            <w:pPr>
              <w:spacing w:line="276" w:lineRule="auto"/>
              <w:rPr>
                <w:rFonts w:ascii="Times New Roman" w:eastAsia="Times New Roman" w:hAnsi="Times New Roman" w:cs="Times New Roman"/>
                <w:sz w:val="24"/>
                <w:szCs w:val="24"/>
                <w:lang w:val="en-US"/>
              </w:rPr>
            </w:pPr>
          </w:p>
        </w:tc>
        <w:tc>
          <w:tcPr>
            <w:tcW w:w="8140" w:type="dxa"/>
            <w:gridSpan w:val="6"/>
            <w:vAlign w:val="bottom"/>
            <w:hideMark/>
          </w:tcPr>
          <w:p w:rsidR="004C14E0" w:rsidRPr="004C14E0" w:rsidRDefault="004C14E0" w:rsidP="004C14E0">
            <w:pPr>
              <w:spacing w:line="276" w:lineRule="auto"/>
              <w:ind w:left="140"/>
              <w:rPr>
                <w:rFonts w:ascii="Times New Roman" w:eastAsia="Calibri" w:hAnsi="Times New Roman" w:cs="Times New Roman"/>
                <w:sz w:val="24"/>
                <w:szCs w:val="24"/>
                <w:lang w:val="en-US"/>
              </w:rPr>
            </w:pPr>
            <w:r w:rsidRPr="004C14E0">
              <w:rPr>
                <w:rFonts w:ascii="Times New Roman" w:eastAsia="Calibri" w:hAnsi="Times New Roman" w:cs="Times New Roman"/>
                <w:sz w:val="24"/>
                <w:szCs w:val="24"/>
                <w:lang w:val="en-US"/>
              </w:rPr>
              <w:t xml:space="preserve">4.2.4   </w:t>
            </w:r>
            <w:r w:rsidRPr="004C14E0">
              <w:rPr>
                <w:rFonts w:ascii="Times New Roman" w:eastAsia="Times New Roman" w:hAnsi="Times New Roman" w:cs="Times New Roman"/>
                <w:sz w:val="24"/>
                <w:szCs w:val="24"/>
                <w:lang w:val="en-US"/>
              </w:rPr>
              <w:t>Virtual screening and molecular docking analyses</w:t>
            </w:r>
          </w:p>
        </w:tc>
        <w:tc>
          <w:tcPr>
            <w:tcW w:w="780" w:type="dxa"/>
            <w:vAlign w:val="bottom"/>
            <w:hideMark/>
          </w:tcPr>
          <w:p w:rsidR="004C14E0" w:rsidRPr="004C14E0" w:rsidRDefault="004C14E0" w:rsidP="004C14E0">
            <w:pPr>
              <w:spacing w:line="276" w:lineRule="auto"/>
              <w:jc w:val="right"/>
              <w:rPr>
                <w:rFonts w:ascii="Times New Roman" w:eastAsia="Calibri" w:hAnsi="Times New Roman" w:cs="Times New Roman"/>
                <w:sz w:val="24"/>
                <w:szCs w:val="24"/>
                <w:lang w:val="en-US"/>
              </w:rPr>
            </w:pPr>
            <w:r w:rsidRPr="004C14E0">
              <w:rPr>
                <w:rFonts w:ascii="Times New Roman" w:eastAsia="Calibri" w:hAnsi="Times New Roman" w:cs="Times New Roman"/>
                <w:sz w:val="24"/>
                <w:szCs w:val="24"/>
                <w:lang w:val="en-US"/>
              </w:rPr>
              <w:t>42</w:t>
            </w:r>
          </w:p>
        </w:tc>
      </w:tr>
      <w:tr w:rsidR="004C14E0" w:rsidRPr="004C14E0" w:rsidTr="004C14E0">
        <w:trPr>
          <w:trHeight w:val="514"/>
        </w:trPr>
        <w:tc>
          <w:tcPr>
            <w:tcW w:w="460" w:type="dxa"/>
            <w:vAlign w:val="bottom"/>
          </w:tcPr>
          <w:p w:rsidR="004C14E0" w:rsidRPr="004C14E0" w:rsidRDefault="004C14E0" w:rsidP="004C14E0">
            <w:pPr>
              <w:spacing w:line="276" w:lineRule="auto"/>
              <w:rPr>
                <w:rFonts w:ascii="Times New Roman" w:eastAsia="Times New Roman" w:hAnsi="Times New Roman" w:cs="Times New Roman"/>
                <w:sz w:val="24"/>
                <w:szCs w:val="24"/>
                <w:lang w:val="en-US"/>
              </w:rPr>
            </w:pPr>
          </w:p>
        </w:tc>
        <w:tc>
          <w:tcPr>
            <w:tcW w:w="8140" w:type="dxa"/>
            <w:gridSpan w:val="6"/>
            <w:vAlign w:val="bottom"/>
            <w:hideMark/>
          </w:tcPr>
          <w:p w:rsidR="004C14E0" w:rsidRPr="004C14E0" w:rsidRDefault="004C14E0" w:rsidP="004C14E0">
            <w:pPr>
              <w:spacing w:line="276" w:lineRule="auto"/>
              <w:ind w:left="140"/>
              <w:rPr>
                <w:rFonts w:ascii="Times New Roman" w:eastAsia="Calibri" w:hAnsi="Times New Roman" w:cs="Times New Roman"/>
                <w:sz w:val="24"/>
                <w:szCs w:val="24"/>
                <w:lang w:val="en-US"/>
              </w:rPr>
            </w:pPr>
            <w:r w:rsidRPr="004C14E0">
              <w:rPr>
                <w:rFonts w:ascii="Times New Roman" w:eastAsia="Calibri" w:hAnsi="Times New Roman" w:cs="Times New Roman"/>
                <w:sz w:val="24"/>
                <w:szCs w:val="24"/>
                <w:lang w:val="en-US"/>
              </w:rPr>
              <w:t xml:space="preserve">4.2.5    </w:t>
            </w:r>
            <w:r w:rsidRPr="004C14E0">
              <w:rPr>
                <w:rFonts w:ascii="Times New Roman" w:eastAsia="Times New Roman" w:hAnsi="Times New Roman" w:cs="Times New Roman"/>
                <w:sz w:val="24"/>
                <w:szCs w:val="24"/>
                <w:lang w:val="en-US"/>
              </w:rPr>
              <w:t>Predicted ADMET profiles of the isolated compounds</w:t>
            </w:r>
          </w:p>
        </w:tc>
        <w:tc>
          <w:tcPr>
            <w:tcW w:w="780" w:type="dxa"/>
            <w:vAlign w:val="bottom"/>
            <w:hideMark/>
          </w:tcPr>
          <w:p w:rsidR="004C14E0" w:rsidRPr="004C14E0" w:rsidRDefault="004C14E0" w:rsidP="004C14E0">
            <w:pPr>
              <w:spacing w:line="276" w:lineRule="auto"/>
              <w:jc w:val="right"/>
              <w:rPr>
                <w:rFonts w:ascii="Times New Roman" w:eastAsia="Calibri" w:hAnsi="Times New Roman" w:cs="Times New Roman"/>
                <w:sz w:val="24"/>
                <w:szCs w:val="24"/>
                <w:lang w:val="en-US"/>
              </w:rPr>
            </w:pPr>
            <w:r w:rsidRPr="004C14E0">
              <w:rPr>
                <w:rFonts w:ascii="Times New Roman" w:eastAsia="Calibri" w:hAnsi="Times New Roman" w:cs="Times New Roman"/>
                <w:sz w:val="24"/>
                <w:szCs w:val="24"/>
                <w:lang w:val="en-US"/>
              </w:rPr>
              <w:t>50</w:t>
            </w:r>
          </w:p>
        </w:tc>
      </w:tr>
      <w:tr w:rsidR="004C14E0" w:rsidRPr="004C14E0" w:rsidTr="004C14E0">
        <w:trPr>
          <w:trHeight w:val="684"/>
        </w:trPr>
        <w:tc>
          <w:tcPr>
            <w:tcW w:w="8600" w:type="dxa"/>
            <w:gridSpan w:val="7"/>
            <w:vAlign w:val="bottom"/>
            <w:hideMark/>
          </w:tcPr>
          <w:p w:rsidR="004C14E0" w:rsidRPr="004C14E0" w:rsidRDefault="004C14E0" w:rsidP="004C14E0">
            <w:pPr>
              <w:spacing w:line="276" w:lineRule="auto"/>
              <w:rPr>
                <w:rFonts w:ascii="Times New Roman" w:eastAsia="Times New Roman" w:hAnsi="Times New Roman" w:cs="Times New Roman"/>
                <w:b/>
                <w:sz w:val="24"/>
                <w:szCs w:val="24"/>
                <w:lang w:val="en-US"/>
              </w:rPr>
            </w:pPr>
            <w:r w:rsidRPr="004C14E0">
              <w:rPr>
                <w:rFonts w:ascii="Times New Roman" w:eastAsia="Times New Roman" w:hAnsi="Times New Roman" w:cs="Times New Roman"/>
                <w:b/>
                <w:sz w:val="24"/>
                <w:szCs w:val="24"/>
                <w:lang w:val="en-US"/>
              </w:rPr>
              <w:t>CHAPTER FIVE: DISCUSSION</w:t>
            </w:r>
          </w:p>
        </w:tc>
        <w:tc>
          <w:tcPr>
            <w:tcW w:w="780" w:type="dxa"/>
            <w:vAlign w:val="bottom"/>
            <w:hideMark/>
          </w:tcPr>
          <w:p w:rsidR="004C14E0" w:rsidRPr="004C14E0" w:rsidRDefault="004C14E0" w:rsidP="004C14E0">
            <w:pPr>
              <w:spacing w:line="276" w:lineRule="auto"/>
              <w:jc w:val="right"/>
              <w:rPr>
                <w:rFonts w:ascii="Times New Roman" w:eastAsia="Times New Roman" w:hAnsi="Times New Roman" w:cs="Times New Roman"/>
                <w:b/>
                <w:sz w:val="24"/>
                <w:szCs w:val="24"/>
                <w:lang w:val="en-US"/>
              </w:rPr>
            </w:pPr>
            <w:r w:rsidRPr="004C14E0">
              <w:rPr>
                <w:rFonts w:ascii="Times New Roman" w:eastAsia="Times New Roman" w:hAnsi="Times New Roman" w:cs="Times New Roman"/>
                <w:b/>
                <w:sz w:val="24"/>
                <w:szCs w:val="24"/>
                <w:lang w:val="en-US"/>
              </w:rPr>
              <w:t>53</w:t>
            </w:r>
          </w:p>
        </w:tc>
      </w:tr>
      <w:tr w:rsidR="004C14E0" w:rsidRPr="004C14E0" w:rsidTr="004C14E0">
        <w:trPr>
          <w:trHeight w:val="516"/>
        </w:trPr>
        <w:tc>
          <w:tcPr>
            <w:tcW w:w="460" w:type="dxa"/>
            <w:vAlign w:val="bottom"/>
            <w:hideMark/>
          </w:tcPr>
          <w:p w:rsidR="004C14E0" w:rsidRPr="004C14E0" w:rsidRDefault="004C14E0" w:rsidP="004C14E0">
            <w:pPr>
              <w:spacing w:line="276" w:lineRule="auto"/>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5.1</w:t>
            </w:r>
          </w:p>
        </w:tc>
        <w:tc>
          <w:tcPr>
            <w:tcW w:w="8140" w:type="dxa"/>
            <w:gridSpan w:val="6"/>
            <w:vAlign w:val="bottom"/>
            <w:hideMark/>
          </w:tcPr>
          <w:p w:rsidR="004C14E0" w:rsidRPr="004C14E0" w:rsidRDefault="004C14E0" w:rsidP="004C14E0">
            <w:pPr>
              <w:spacing w:line="276" w:lineRule="auto"/>
              <w:rPr>
                <w:rFonts w:ascii="Times New Roman" w:eastAsia="Times New Roman" w:hAnsi="Times New Roman" w:cs="Times New Roman"/>
                <w:sz w:val="24"/>
                <w:szCs w:val="24"/>
                <w:lang w:val="en-US"/>
              </w:rPr>
            </w:pPr>
            <w:r w:rsidRPr="004C14E0">
              <w:rPr>
                <w:rFonts w:ascii="Times New Roman" w:eastAsia="Calibri" w:hAnsi="Times New Roman" w:cs="Times New Roman"/>
                <w:sz w:val="24"/>
                <w:szCs w:val="24"/>
                <w:lang w:val="en-US"/>
              </w:rPr>
              <w:t>Human SPOP, AR, SRC-3 Protein Quantification by ELISA Assay</w:t>
            </w:r>
          </w:p>
        </w:tc>
        <w:tc>
          <w:tcPr>
            <w:tcW w:w="780" w:type="dxa"/>
            <w:vAlign w:val="bottom"/>
            <w:hideMark/>
          </w:tcPr>
          <w:p w:rsidR="004C14E0" w:rsidRPr="004C14E0" w:rsidRDefault="004C14E0" w:rsidP="004C14E0">
            <w:pPr>
              <w:spacing w:line="276" w:lineRule="auto"/>
              <w:jc w:val="right"/>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53</w:t>
            </w:r>
          </w:p>
        </w:tc>
      </w:tr>
      <w:tr w:rsidR="004C14E0" w:rsidRPr="004C14E0" w:rsidTr="004C14E0">
        <w:trPr>
          <w:trHeight w:val="653"/>
        </w:trPr>
        <w:tc>
          <w:tcPr>
            <w:tcW w:w="460" w:type="dxa"/>
            <w:vAlign w:val="bottom"/>
            <w:hideMark/>
          </w:tcPr>
          <w:p w:rsidR="004C14E0" w:rsidRPr="004C14E0" w:rsidRDefault="004C14E0" w:rsidP="004C14E0">
            <w:pPr>
              <w:spacing w:line="276" w:lineRule="auto"/>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5.2</w:t>
            </w:r>
          </w:p>
        </w:tc>
        <w:tc>
          <w:tcPr>
            <w:tcW w:w="8140" w:type="dxa"/>
            <w:gridSpan w:val="6"/>
            <w:vAlign w:val="bottom"/>
            <w:hideMark/>
          </w:tcPr>
          <w:p w:rsidR="004C14E0" w:rsidRPr="004C14E0" w:rsidRDefault="004C14E0" w:rsidP="004C14E0">
            <w:pPr>
              <w:spacing w:line="276" w:lineRule="auto"/>
              <w:rPr>
                <w:rFonts w:ascii="Times New Roman" w:eastAsia="Times New Roman" w:hAnsi="Times New Roman" w:cs="Times New Roman"/>
                <w:sz w:val="24"/>
                <w:szCs w:val="24"/>
                <w:lang w:val="en-US"/>
              </w:rPr>
            </w:pPr>
            <w:r w:rsidRPr="004C14E0">
              <w:rPr>
                <w:rFonts w:ascii="Times New Roman" w:eastAsia="Calibri" w:hAnsi="Times New Roman" w:cs="Times New Roman"/>
                <w:sz w:val="24"/>
                <w:szCs w:val="24"/>
                <w:lang w:val="en-US"/>
              </w:rPr>
              <w:t>Computational Analysis</w:t>
            </w:r>
          </w:p>
        </w:tc>
        <w:tc>
          <w:tcPr>
            <w:tcW w:w="780" w:type="dxa"/>
            <w:vAlign w:val="bottom"/>
            <w:hideMark/>
          </w:tcPr>
          <w:p w:rsidR="004C14E0" w:rsidRPr="004C14E0" w:rsidRDefault="004C14E0" w:rsidP="004C14E0">
            <w:pPr>
              <w:spacing w:line="276" w:lineRule="auto"/>
              <w:jc w:val="right"/>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54</w:t>
            </w:r>
          </w:p>
        </w:tc>
      </w:tr>
      <w:tr w:rsidR="004C14E0" w:rsidRPr="004C14E0" w:rsidTr="004C14E0">
        <w:trPr>
          <w:trHeight w:val="684"/>
        </w:trPr>
        <w:tc>
          <w:tcPr>
            <w:tcW w:w="7860" w:type="dxa"/>
            <w:gridSpan w:val="6"/>
            <w:vAlign w:val="bottom"/>
            <w:hideMark/>
          </w:tcPr>
          <w:p w:rsidR="004C14E0" w:rsidRPr="004C14E0" w:rsidRDefault="004C14E0" w:rsidP="004C14E0">
            <w:pPr>
              <w:spacing w:line="276" w:lineRule="auto"/>
              <w:rPr>
                <w:rFonts w:ascii="Times New Roman" w:eastAsia="Times New Roman" w:hAnsi="Times New Roman" w:cs="Times New Roman"/>
                <w:b/>
                <w:sz w:val="24"/>
                <w:szCs w:val="24"/>
                <w:lang w:val="en-US"/>
              </w:rPr>
            </w:pPr>
            <w:r w:rsidRPr="004C14E0">
              <w:rPr>
                <w:rFonts w:ascii="Times New Roman" w:eastAsia="Times New Roman" w:hAnsi="Times New Roman" w:cs="Times New Roman"/>
                <w:b/>
                <w:sz w:val="24"/>
                <w:szCs w:val="24"/>
                <w:lang w:val="en-US"/>
              </w:rPr>
              <w:t>CHAPTER SIX: CONCLUSION AND RECOMMENDATIONS</w:t>
            </w:r>
          </w:p>
        </w:tc>
        <w:tc>
          <w:tcPr>
            <w:tcW w:w="1520" w:type="dxa"/>
            <w:gridSpan w:val="2"/>
            <w:vAlign w:val="bottom"/>
            <w:hideMark/>
          </w:tcPr>
          <w:p w:rsidR="004C14E0" w:rsidRPr="004C14E0" w:rsidRDefault="004C14E0" w:rsidP="004C14E0">
            <w:pPr>
              <w:spacing w:line="276" w:lineRule="auto"/>
              <w:jc w:val="right"/>
              <w:rPr>
                <w:rFonts w:ascii="Times New Roman" w:eastAsia="Times New Roman" w:hAnsi="Times New Roman" w:cs="Times New Roman"/>
                <w:b/>
                <w:sz w:val="24"/>
                <w:szCs w:val="24"/>
                <w:lang w:val="en-US"/>
              </w:rPr>
            </w:pPr>
            <w:r w:rsidRPr="004C14E0">
              <w:rPr>
                <w:rFonts w:ascii="Times New Roman" w:eastAsia="Times New Roman" w:hAnsi="Times New Roman" w:cs="Times New Roman"/>
                <w:b/>
                <w:sz w:val="24"/>
                <w:szCs w:val="24"/>
                <w:lang w:val="en-US"/>
              </w:rPr>
              <w:t>59</w:t>
            </w:r>
          </w:p>
        </w:tc>
      </w:tr>
      <w:tr w:rsidR="004C14E0" w:rsidRPr="004C14E0" w:rsidTr="004C14E0">
        <w:trPr>
          <w:trHeight w:val="413"/>
        </w:trPr>
        <w:tc>
          <w:tcPr>
            <w:tcW w:w="460" w:type="dxa"/>
            <w:vAlign w:val="bottom"/>
            <w:hideMark/>
          </w:tcPr>
          <w:p w:rsidR="004C14E0" w:rsidRPr="004C14E0" w:rsidRDefault="004C14E0" w:rsidP="004C14E0">
            <w:pPr>
              <w:spacing w:line="276" w:lineRule="auto"/>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6.1</w:t>
            </w:r>
          </w:p>
        </w:tc>
        <w:tc>
          <w:tcPr>
            <w:tcW w:w="7400" w:type="dxa"/>
            <w:gridSpan w:val="5"/>
            <w:vAlign w:val="bottom"/>
            <w:hideMark/>
          </w:tcPr>
          <w:p w:rsidR="004C14E0" w:rsidRPr="004C14E0" w:rsidRDefault="004C14E0" w:rsidP="004C14E0">
            <w:pPr>
              <w:spacing w:line="276" w:lineRule="auto"/>
              <w:ind w:left="200"/>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Summary</w:t>
            </w:r>
          </w:p>
        </w:tc>
        <w:tc>
          <w:tcPr>
            <w:tcW w:w="1520" w:type="dxa"/>
            <w:gridSpan w:val="2"/>
            <w:vAlign w:val="bottom"/>
            <w:hideMark/>
          </w:tcPr>
          <w:p w:rsidR="004C14E0" w:rsidRPr="004C14E0" w:rsidRDefault="004C14E0" w:rsidP="004C14E0">
            <w:pPr>
              <w:spacing w:line="276" w:lineRule="auto"/>
              <w:jc w:val="right"/>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59</w:t>
            </w:r>
          </w:p>
        </w:tc>
      </w:tr>
      <w:tr w:rsidR="004C14E0" w:rsidRPr="004C14E0" w:rsidTr="004C14E0">
        <w:trPr>
          <w:trHeight w:val="514"/>
        </w:trPr>
        <w:tc>
          <w:tcPr>
            <w:tcW w:w="460" w:type="dxa"/>
            <w:vAlign w:val="bottom"/>
            <w:hideMark/>
          </w:tcPr>
          <w:p w:rsidR="004C14E0" w:rsidRPr="004C14E0" w:rsidRDefault="004C14E0" w:rsidP="004C14E0">
            <w:pPr>
              <w:spacing w:line="276" w:lineRule="auto"/>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6.2</w:t>
            </w:r>
          </w:p>
        </w:tc>
        <w:tc>
          <w:tcPr>
            <w:tcW w:w="7400" w:type="dxa"/>
            <w:gridSpan w:val="5"/>
            <w:vAlign w:val="bottom"/>
            <w:hideMark/>
          </w:tcPr>
          <w:p w:rsidR="004C14E0" w:rsidRPr="004C14E0" w:rsidRDefault="004C14E0" w:rsidP="004C14E0">
            <w:pPr>
              <w:spacing w:line="276" w:lineRule="auto"/>
              <w:ind w:left="140"/>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Conclusion</w:t>
            </w:r>
          </w:p>
        </w:tc>
        <w:tc>
          <w:tcPr>
            <w:tcW w:w="1520" w:type="dxa"/>
            <w:gridSpan w:val="2"/>
            <w:vAlign w:val="bottom"/>
            <w:hideMark/>
          </w:tcPr>
          <w:p w:rsidR="004C14E0" w:rsidRPr="004C14E0" w:rsidRDefault="004C14E0" w:rsidP="004C14E0">
            <w:pPr>
              <w:spacing w:line="276" w:lineRule="auto"/>
              <w:jc w:val="right"/>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60</w:t>
            </w:r>
          </w:p>
        </w:tc>
      </w:tr>
      <w:tr w:rsidR="004C14E0" w:rsidRPr="004C14E0" w:rsidTr="004C14E0">
        <w:trPr>
          <w:trHeight w:val="514"/>
        </w:trPr>
        <w:tc>
          <w:tcPr>
            <w:tcW w:w="460" w:type="dxa"/>
            <w:vAlign w:val="bottom"/>
            <w:hideMark/>
          </w:tcPr>
          <w:p w:rsidR="004C14E0" w:rsidRPr="004C14E0" w:rsidRDefault="004C14E0" w:rsidP="004C14E0">
            <w:pPr>
              <w:spacing w:line="276" w:lineRule="auto"/>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6.3</w:t>
            </w:r>
          </w:p>
        </w:tc>
        <w:tc>
          <w:tcPr>
            <w:tcW w:w="7400" w:type="dxa"/>
            <w:gridSpan w:val="5"/>
            <w:vAlign w:val="bottom"/>
            <w:hideMark/>
          </w:tcPr>
          <w:p w:rsidR="004C14E0" w:rsidRPr="004C14E0" w:rsidRDefault="004C14E0" w:rsidP="004C14E0">
            <w:pPr>
              <w:spacing w:line="276" w:lineRule="auto"/>
              <w:ind w:left="140"/>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Contributions to knowledge</w:t>
            </w:r>
          </w:p>
        </w:tc>
        <w:tc>
          <w:tcPr>
            <w:tcW w:w="1520" w:type="dxa"/>
            <w:gridSpan w:val="2"/>
            <w:vAlign w:val="bottom"/>
            <w:hideMark/>
          </w:tcPr>
          <w:p w:rsidR="004C14E0" w:rsidRPr="004C14E0" w:rsidRDefault="004C14E0" w:rsidP="004C14E0">
            <w:pPr>
              <w:spacing w:line="276" w:lineRule="auto"/>
              <w:jc w:val="right"/>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60</w:t>
            </w:r>
          </w:p>
        </w:tc>
      </w:tr>
      <w:tr w:rsidR="004C14E0" w:rsidRPr="004C14E0" w:rsidTr="004C14E0">
        <w:trPr>
          <w:trHeight w:val="514"/>
        </w:trPr>
        <w:tc>
          <w:tcPr>
            <w:tcW w:w="460" w:type="dxa"/>
            <w:vAlign w:val="bottom"/>
            <w:hideMark/>
          </w:tcPr>
          <w:p w:rsidR="004C14E0" w:rsidRPr="004C14E0" w:rsidRDefault="004C14E0" w:rsidP="004C14E0">
            <w:pPr>
              <w:spacing w:line="276" w:lineRule="auto"/>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6.4</w:t>
            </w:r>
          </w:p>
        </w:tc>
        <w:tc>
          <w:tcPr>
            <w:tcW w:w="7400" w:type="dxa"/>
            <w:gridSpan w:val="5"/>
            <w:vAlign w:val="bottom"/>
            <w:hideMark/>
          </w:tcPr>
          <w:p w:rsidR="004C14E0" w:rsidRPr="004C14E0" w:rsidRDefault="004C14E0" w:rsidP="004C14E0">
            <w:pPr>
              <w:spacing w:line="276" w:lineRule="auto"/>
              <w:ind w:left="140"/>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Recommendations</w:t>
            </w:r>
          </w:p>
        </w:tc>
        <w:tc>
          <w:tcPr>
            <w:tcW w:w="1520" w:type="dxa"/>
            <w:gridSpan w:val="2"/>
            <w:vAlign w:val="bottom"/>
            <w:hideMark/>
          </w:tcPr>
          <w:p w:rsidR="004C14E0" w:rsidRPr="004C14E0" w:rsidRDefault="004C14E0" w:rsidP="004C14E0">
            <w:pPr>
              <w:spacing w:line="276" w:lineRule="auto"/>
              <w:jc w:val="right"/>
              <w:rPr>
                <w:rFonts w:ascii="Times New Roman" w:eastAsia="Times New Roman" w:hAnsi="Times New Roman" w:cs="Times New Roman"/>
                <w:sz w:val="24"/>
                <w:szCs w:val="24"/>
                <w:lang w:val="en-US"/>
              </w:rPr>
            </w:pPr>
            <w:r w:rsidRPr="004C14E0">
              <w:rPr>
                <w:rFonts w:ascii="Times New Roman" w:eastAsia="Times New Roman" w:hAnsi="Times New Roman" w:cs="Times New Roman"/>
                <w:sz w:val="24"/>
                <w:szCs w:val="24"/>
                <w:lang w:val="en-US"/>
              </w:rPr>
              <w:t>61</w:t>
            </w:r>
          </w:p>
        </w:tc>
      </w:tr>
      <w:tr w:rsidR="004C14E0" w:rsidRPr="004C14E0" w:rsidTr="004C14E0">
        <w:trPr>
          <w:trHeight w:val="685"/>
        </w:trPr>
        <w:tc>
          <w:tcPr>
            <w:tcW w:w="7860" w:type="dxa"/>
            <w:gridSpan w:val="6"/>
            <w:vAlign w:val="bottom"/>
            <w:hideMark/>
          </w:tcPr>
          <w:p w:rsidR="004C14E0" w:rsidRPr="004C14E0" w:rsidRDefault="004C14E0" w:rsidP="004C14E0">
            <w:pPr>
              <w:spacing w:line="276" w:lineRule="auto"/>
              <w:rPr>
                <w:rFonts w:ascii="Times New Roman" w:eastAsia="Times New Roman" w:hAnsi="Times New Roman" w:cs="Times New Roman"/>
                <w:b/>
                <w:sz w:val="24"/>
                <w:szCs w:val="24"/>
                <w:lang w:val="en-US"/>
              </w:rPr>
            </w:pPr>
            <w:r w:rsidRPr="004C14E0">
              <w:rPr>
                <w:rFonts w:ascii="Times New Roman" w:eastAsia="Times New Roman" w:hAnsi="Times New Roman" w:cs="Times New Roman"/>
                <w:b/>
                <w:sz w:val="24"/>
                <w:szCs w:val="24"/>
                <w:lang w:val="en-US"/>
              </w:rPr>
              <w:t>REFERENCES</w:t>
            </w:r>
          </w:p>
        </w:tc>
        <w:tc>
          <w:tcPr>
            <w:tcW w:w="1520" w:type="dxa"/>
            <w:gridSpan w:val="2"/>
            <w:vAlign w:val="bottom"/>
            <w:hideMark/>
          </w:tcPr>
          <w:p w:rsidR="004C14E0" w:rsidRPr="004C14E0" w:rsidRDefault="004C14E0" w:rsidP="004C14E0">
            <w:pPr>
              <w:spacing w:line="276" w:lineRule="auto"/>
              <w:jc w:val="right"/>
              <w:rPr>
                <w:rFonts w:ascii="Times New Roman" w:eastAsia="Times New Roman" w:hAnsi="Times New Roman" w:cs="Times New Roman"/>
                <w:b/>
                <w:sz w:val="24"/>
                <w:szCs w:val="24"/>
                <w:lang w:val="en-US"/>
              </w:rPr>
            </w:pPr>
            <w:r w:rsidRPr="004C14E0">
              <w:rPr>
                <w:rFonts w:ascii="Times New Roman" w:eastAsia="Times New Roman" w:hAnsi="Times New Roman" w:cs="Times New Roman"/>
                <w:b/>
                <w:sz w:val="24"/>
                <w:szCs w:val="24"/>
                <w:lang w:val="en-US"/>
              </w:rPr>
              <w:t>62</w:t>
            </w:r>
          </w:p>
        </w:tc>
      </w:tr>
    </w:tbl>
    <w:p w:rsidR="00A81F80" w:rsidRDefault="00A81F80" w:rsidP="00A81F80">
      <w:pPr>
        <w:rPr>
          <w:rFonts w:ascii="Times New Roman" w:hAnsi="Times New Roman" w:cs="Times New Roman"/>
          <w:sz w:val="24"/>
          <w:szCs w:val="24"/>
        </w:rPr>
      </w:pPr>
    </w:p>
    <w:p w:rsidR="00F77439" w:rsidRPr="002E7761" w:rsidRDefault="00F77439" w:rsidP="00F77439">
      <w:pPr>
        <w:jc w:val="both"/>
        <w:rPr>
          <w:rFonts w:ascii="Times New Roman" w:eastAsia="Calibri" w:hAnsi="Times New Roman" w:cs="Times New Roman"/>
          <w:sz w:val="24"/>
          <w:szCs w:val="24"/>
        </w:rPr>
      </w:pPr>
    </w:p>
    <w:p w:rsidR="00F77439" w:rsidRPr="002E7761" w:rsidRDefault="00F77439" w:rsidP="00F77439">
      <w:pPr>
        <w:jc w:val="both"/>
        <w:rPr>
          <w:rFonts w:ascii="Times New Roman" w:eastAsia="Calibri" w:hAnsi="Times New Roman" w:cs="Times New Roman"/>
          <w:sz w:val="24"/>
          <w:szCs w:val="24"/>
        </w:rPr>
      </w:pPr>
      <w:r w:rsidRPr="002E7761">
        <w:rPr>
          <w:rFonts w:ascii="Times New Roman" w:eastAsia="Calibri" w:hAnsi="Times New Roman" w:cs="Times New Roman"/>
          <w:sz w:val="24"/>
          <w:szCs w:val="24"/>
        </w:rPr>
        <w:br w:type="page"/>
      </w:r>
    </w:p>
    <w:p w:rsidR="00F77439" w:rsidRPr="002E7761" w:rsidRDefault="00F77439" w:rsidP="00AA625E">
      <w:pPr>
        <w:spacing w:line="360" w:lineRule="auto"/>
        <w:jc w:val="center"/>
        <w:rPr>
          <w:rFonts w:ascii="Times New Roman" w:eastAsia="Calibri" w:hAnsi="Times New Roman" w:cs="Times New Roman"/>
          <w:b/>
          <w:bCs/>
          <w:sz w:val="24"/>
          <w:szCs w:val="24"/>
        </w:rPr>
      </w:pPr>
      <w:r w:rsidRPr="002E7761">
        <w:rPr>
          <w:rFonts w:ascii="Times New Roman" w:eastAsia="Calibri" w:hAnsi="Times New Roman" w:cs="Times New Roman"/>
          <w:b/>
          <w:bCs/>
          <w:sz w:val="24"/>
          <w:szCs w:val="24"/>
        </w:rPr>
        <w:lastRenderedPageBreak/>
        <w:t>LIST OF FIGURES</w:t>
      </w:r>
    </w:p>
    <w:tbl>
      <w:tblPr>
        <w:tblStyle w:val="PlainTable2"/>
        <w:tblW w:w="0" w:type="auto"/>
        <w:tblBorders>
          <w:top w:val="none" w:sz="0" w:space="0" w:color="auto"/>
          <w:bottom w:val="none" w:sz="0" w:space="0" w:color="auto"/>
        </w:tblBorders>
        <w:tblLook w:val="04A0" w:firstRow="1" w:lastRow="0" w:firstColumn="1" w:lastColumn="0" w:noHBand="0" w:noVBand="1"/>
      </w:tblPr>
      <w:tblGrid>
        <w:gridCol w:w="1350"/>
        <w:gridCol w:w="7110"/>
        <w:gridCol w:w="890"/>
      </w:tblGrid>
      <w:tr w:rsidR="00AA625E" w:rsidTr="00AA62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tcBorders>
              <w:bottom w:val="none" w:sz="0" w:space="0" w:color="auto"/>
            </w:tcBorders>
          </w:tcPr>
          <w:p w:rsidR="00AA625E" w:rsidRDefault="00AA625E" w:rsidP="00AA625E">
            <w:pPr>
              <w:spacing w:line="360" w:lineRule="auto"/>
              <w:jc w:val="both"/>
              <w:rPr>
                <w:rFonts w:ascii="Times New Roman" w:eastAsia="Calibri" w:hAnsi="Times New Roman" w:cs="Times New Roman"/>
                <w:b w:val="0"/>
                <w:bCs w:val="0"/>
                <w:sz w:val="24"/>
                <w:szCs w:val="24"/>
              </w:rPr>
            </w:pPr>
            <w:r w:rsidRPr="002E7761">
              <w:rPr>
                <w:rFonts w:ascii="Times New Roman" w:eastAsia="Calibri" w:hAnsi="Times New Roman" w:cs="Times New Roman"/>
                <w:sz w:val="24"/>
                <w:szCs w:val="24"/>
              </w:rPr>
              <w:t>Figure No.</w:t>
            </w:r>
          </w:p>
        </w:tc>
        <w:tc>
          <w:tcPr>
            <w:tcW w:w="7110" w:type="dxa"/>
            <w:tcBorders>
              <w:bottom w:val="none" w:sz="0" w:space="0" w:color="auto"/>
            </w:tcBorders>
          </w:tcPr>
          <w:p w:rsidR="00AA625E" w:rsidRDefault="00AA625E" w:rsidP="00AA625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bCs w:val="0"/>
                <w:sz w:val="24"/>
                <w:szCs w:val="24"/>
              </w:rPr>
            </w:pPr>
            <w:r w:rsidRPr="002E7761">
              <w:rPr>
                <w:rFonts w:ascii="Times New Roman" w:eastAsia="Calibri" w:hAnsi="Times New Roman" w:cs="Times New Roman"/>
                <w:sz w:val="24"/>
                <w:szCs w:val="24"/>
              </w:rPr>
              <w:t>Title</w:t>
            </w:r>
            <w:r w:rsidRPr="002E7761">
              <w:rPr>
                <w:rFonts w:ascii="Times New Roman" w:eastAsia="Calibri" w:hAnsi="Times New Roman" w:cs="Times New Roman"/>
                <w:sz w:val="24"/>
                <w:szCs w:val="24"/>
              </w:rPr>
              <w:tab/>
            </w:r>
          </w:p>
        </w:tc>
        <w:tc>
          <w:tcPr>
            <w:tcW w:w="890" w:type="dxa"/>
            <w:tcBorders>
              <w:bottom w:val="none" w:sz="0" w:space="0" w:color="auto"/>
            </w:tcBorders>
          </w:tcPr>
          <w:p w:rsidR="00AA625E" w:rsidRDefault="00AA625E" w:rsidP="00AA625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bCs w:val="0"/>
                <w:sz w:val="24"/>
                <w:szCs w:val="24"/>
              </w:rPr>
            </w:pPr>
            <w:r w:rsidRPr="002E7761">
              <w:rPr>
                <w:rFonts w:ascii="Times New Roman" w:eastAsia="Calibri" w:hAnsi="Times New Roman" w:cs="Times New Roman"/>
                <w:sz w:val="24"/>
                <w:szCs w:val="24"/>
              </w:rPr>
              <w:t>Page</w:t>
            </w:r>
          </w:p>
        </w:tc>
      </w:tr>
      <w:tr w:rsidR="001C3298" w:rsidTr="00896B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tcBorders>
              <w:top w:val="none" w:sz="0" w:space="0" w:color="auto"/>
              <w:bottom w:val="none" w:sz="0" w:space="0" w:color="auto"/>
            </w:tcBorders>
          </w:tcPr>
          <w:p w:rsidR="001C3298" w:rsidRPr="002E7761" w:rsidRDefault="00121EB0" w:rsidP="001C3298">
            <w:pPr>
              <w:spacing w:line="360" w:lineRule="auto"/>
              <w:jc w:val="both"/>
              <w:rPr>
                <w:rFonts w:ascii="Times New Roman" w:eastAsia="Calibri" w:hAnsi="Times New Roman" w:cs="Times New Roman"/>
                <w:b w:val="0"/>
                <w:bCs w:val="0"/>
                <w:sz w:val="24"/>
                <w:szCs w:val="24"/>
              </w:rPr>
            </w:pPr>
            <w:r w:rsidRPr="00121EB0">
              <w:rPr>
                <w:rFonts w:ascii="Times New Roman" w:eastAsia="Calibri" w:hAnsi="Times New Roman" w:cs="Times New Roman"/>
                <w:b w:val="0"/>
                <w:bCs w:val="0"/>
                <w:sz w:val="24"/>
                <w:szCs w:val="24"/>
              </w:rPr>
              <w:t xml:space="preserve">Figure </w:t>
            </w:r>
            <w:r w:rsidR="001C3298">
              <w:rPr>
                <w:rFonts w:ascii="Times New Roman" w:eastAsia="Calibri" w:hAnsi="Times New Roman" w:cs="Times New Roman"/>
                <w:b w:val="0"/>
                <w:bCs w:val="0"/>
                <w:sz w:val="24"/>
                <w:szCs w:val="24"/>
              </w:rPr>
              <w:t>1</w:t>
            </w:r>
          </w:p>
        </w:tc>
        <w:tc>
          <w:tcPr>
            <w:tcW w:w="7110" w:type="dxa"/>
            <w:tcBorders>
              <w:top w:val="none" w:sz="0" w:space="0" w:color="auto"/>
              <w:bottom w:val="none" w:sz="0" w:space="0" w:color="auto"/>
            </w:tcBorders>
          </w:tcPr>
          <w:p w:rsidR="001C3298" w:rsidRPr="002E7761" w:rsidRDefault="001C3298" w:rsidP="001C329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bCs/>
                <w:sz w:val="24"/>
                <w:szCs w:val="24"/>
              </w:rPr>
            </w:pPr>
            <w:r>
              <w:rPr>
                <w:rFonts w:ascii="Times New Roman" w:hAnsi="Times New Roman" w:cs="Times New Roman"/>
                <w:bCs/>
                <w:sz w:val="24"/>
                <w:szCs w:val="24"/>
                <w:lang w:val="en-US"/>
              </w:rPr>
              <w:t>T</w:t>
            </w:r>
            <w:r w:rsidRPr="00BA6281">
              <w:rPr>
                <w:rFonts w:ascii="Times New Roman" w:hAnsi="Times New Roman" w:cs="Times New Roman"/>
                <w:bCs/>
                <w:sz w:val="24"/>
                <w:szCs w:val="24"/>
                <w:lang w:val="en-US"/>
              </w:rPr>
              <w:t>he prostate</w:t>
            </w:r>
            <w:r w:rsidR="00121EB0">
              <w:rPr>
                <w:rFonts w:ascii="Times New Roman" w:hAnsi="Times New Roman" w:cs="Times New Roman"/>
                <w:bCs/>
                <w:sz w:val="24"/>
                <w:szCs w:val="24"/>
                <w:lang w:val="en-US"/>
              </w:rPr>
              <w:t xml:space="preserve"> gland</w:t>
            </w:r>
          </w:p>
        </w:tc>
        <w:tc>
          <w:tcPr>
            <w:tcW w:w="890" w:type="dxa"/>
            <w:tcBorders>
              <w:top w:val="nil"/>
              <w:left w:val="nil"/>
              <w:bottom w:val="none" w:sz="0" w:space="0" w:color="auto"/>
              <w:right w:val="nil"/>
            </w:tcBorders>
          </w:tcPr>
          <w:p w:rsidR="001C3298" w:rsidRDefault="001C3298" w:rsidP="001C329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b/>
                <w:bCs/>
                <w:sz w:val="24"/>
                <w:szCs w:val="24"/>
              </w:rPr>
              <w:t>6</w:t>
            </w:r>
          </w:p>
        </w:tc>
      </w:tr>
      <w:tr w:rsidR="001C3298" w:rsidTr="00896B0D">
        <w:tc>
          <w:tcPr>
            <w:cnfStyle w:val="001000000000" w:firstRow="0" w:lastRow="0" w:firstColumn="1" w:lastColumn="0" w:oddVBand="0" w:evenVBand="0" w:oddHBand="0" w:evenHBand="0" w:firstRowFirstColumn="0" w:firstRowLastColumn="0" w:lastRowFirstColumn="0" w:lastRowLastColumn="0"/>
            <w:tcW w:w="1350" w:type="dxa"/>
          </w:tcPr>
          <w:p w:rsidR="001C3298" w:rsidRPr="002E7761" w:rsidRDefault="00121EB0" w:rsidP="001C3298">
            <w:pPr>
              <w:spacing w:line="360" w:lineRule="auto"/>
              <w:jc w:val="both"/>
              <w:rPr>
                <w:rFonts w:ascii="Times New Roman" w:eastAsia="Calibri" w:hAnsi="Times New Roman" w:cs="Times New Roman"/>
                <w:b w:val="0"/>
                <w:bCs w:val="0"/>
                <w:sz w:val="24"/>
                <w:szCs w:val="24"/>
              </w:rPr>
            </w:pPr>
            <w:r w:rsidRPr="00121EB0">
              <w:rPr>
                <w:rFonts w:ascii="Times New Roman" w:eastAsia="Calibri" w:hAnsi="Times New Roman" w:cs="Times New Roman"/>
                <w:b w:val="0"/>
                <w:bCs w:val="0"/>
                <w:sz w:val="24"/>
                <w:szCs w:val="24"/>
              </w:rPr>
              <w:t>Figure</w:t>
            </w:r>
            <w:r>
              <w:rPr>
                <w:rFonts w:ascii="Times New Roman" w:eastAsia="Calibri" w:hAnsi="Times New Roman" w:cs="Times New Roman"/>
                <w:b w:val="0"/>
                <w:bCs w:val="0"/>
                <w:sz w:val="24"/>
                <w:szCs w:val="24"/>
              </w:rPr>
              <w:t xml:space="preserve"> </w:t>
            </w:r>
            <w:r w:rsidR="001C3298">
              <w:rPr>
                <w:rFonts w:ascii="Times New Roman" w:eastAsia="Calibri" w:hAnsi="Times New Roman" w:cs="Times New Roman"/>
                <w:b w:val="0"/>
                <w:bCs w:val="0"/>
                <w:sz w:val="24"/>
                <w:szCs w:val="24"/>
              </w:rPr>
              <w:t>2</w:t>
            </w:r>
          </w:p>
        </w:tc>
        <w:tc>
          <w:tcPr>
            <w:tcW w:w="7110" w:type="dxa"/>
          </w:tcPr>
          <w:p w:rsidR="001C3298" w:rsidRPr="002E7761" w:rsidRDefault="001C3298" w:rsidP="001C3298">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24"/>
                <w:szCs w:val="24"/>
              </w:rPr>
            </w:pPr>
            <w:r w:rsidRPr="002E7761">
              <w:rPr>
                <w:rFonts w:ascii="Times New Roman" w:eastAsia="Calibri" w:hAnsi="Times New Roman" w:cs="Times New Roman"/>
                <w:sz w:val="24"/>
                <w:szCs w:val="24"/>
              </w:rPr>
              <w:t xml:space="preserve">Androgen </w:t>
            </w:r>
            <w:proofErr w:type="spellStart"/>
            <w:r w:rsidRPr="002E7761">
              <w:rPr>
                <w:rFonts w:ascii="Times New Roman" w:eastAsia="Calibri" w:hAnsi="Times New Roman" w:cs="Times New Roman"/>
                <w:sz w:val="24"/>
                <w:szCs w:val="24"/>
              </w:rPr>
              <w:t>signaling</w:t>
            </w:r>
            <w:proofErr w:type="spellEnd"/>
            <w:r w:rsidRPr="002E7761">
              <w:rPr>
                <w:rFonts w:ascii="Times New Roman" w:eastAsia="Calibri" w:hAnsi="Times New Roman" w:cs="Times New Roman"/>
                <w:sz w:val="24"/>
                <w:szCs w:val="24"/>
              </w:rPr>
              <w:t xml:space="preserve"> pathway</w:t>
            </w:r>
          </w:p>
        </w:tc>
        <w:tc>
          <w:tcPr>
            <w:tcW w:w="890" w:type="dxa"/>
            <w:tcBorders>
              <w:left w:val="nil"/>
              <w:right w:val="nil"/>
            </w:tcBorders>
          </w:tcPr>
          <w:p w:rsidR="001C3298" w:rsidRDefault="001C3298" w:rsidP="001C3298">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24"/>
                <w:szCs w:val="24"/>
              </w:rPr>
            </w:pPr>
            <w:r>
              <w:rPr>
                <w:rFonts w:ascii="Times New Roman" w:eastAsia="Calibri" w:hAnsi="Times New Roman" w:cs="Times New Roman"/>
                <w:b/>
                <w:bCs/>
                <w:sz w:val="24"/>
                <w:szCs w:val="24"/>
              </w:rPr>
              <w:t>21</w:t>
            </w:r>
          </w:p>
        </w:tc>
      </w:tr>
      <w:tr w:rsidR="001C3298" w:rsidTr="00EC14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tcBorders>
              <w:top w:val="none" w:sz="0" w:space="0" w:color="auto"/>
              <w:bottom w:val="none" w:sz="0" w:space="0" w:color="auto"/>
            </w:tcBorders>
          </w:tcPr>
          <w:p w:rsidR="001C3298" w:rsidRDefault="00121EB0" w:rsidP="001C3298">
            <w:pPr>
              <w:spacing w:line="360" w:lineRule="auto"/>
              <w:jc w:val="both"/>
              <w:rPr>
                <w:rFonts w:ascii="Times New Roman" w:eastAsia="Calibri" w:hAnsi="Times New Roman" w:cs="Times New Roman"/>
                <w:b w:val="0"/>
                <w:bCs w:val="0"/>
                <w:sz w:val="24"/>
                <w:szCs w:val="24"/>
              </w:rPr>
            </w:pPr>
            <w:r w:rsidRPr="00121EB0">
              <w:rPr>
                <w:rFonts w:ascii="Times New Roman" w:eastAsia="Calibri" w:hAnsi="Times New Roman" w:cs="Times New Roman"/>
                <w:b w:val="0"/>
                <w:bCs w:val="0"/>
                <w:sz w:val="24"/>
                <w:szCs w:val="24"/>
              </w:rPr>
              <w:t>Figure</w:t>
            </w:r>
            <w:r>
              <w:rPr>
                <w:rFonts w:ascii="Times New Roman" w:eastAsia="Calibri" w:hAnsi="Times New Roman" w:cs="Times New Roman"/>
                <w:b w:val="0"/>
                <w:bCs w:val="0"/>
                <w:sz w:val="24"/>
                <w:szCs w:val="24"/>
              </w:rPr>
              <w:t xml:space="preserve"> </w:t>
            </w:r>
            <w:r w:rsidR="001C3298">
              <w:rPr>
                <w:rFonts w:ascii="Times New Roman" w:eastAsia="Calibri" w:hAnsi="Times New Roman" w:cs="Times New Roman"/>
                <w:b w:val="0"/>
                <w:bCs w:val="0"/>
                <w:sz w:val="24"/>
                <w:szCs w:val="24"/>
              </w:rPr>
              <w:t>3</w:t>
            </w:r>
          </w:p>
        </w:tc>
        <w:tc>
          <w:tcPr>
            <w:tcW w:w="7110" w:type="dxa"/>
            <w:tcBorders>
              <w:top w:val="none" w:sz="0" w:space="0" w:color="auto"/>
              <w:bottom w:val="none" w:sz="0" w:space="0" w:color="auto"/>
            </w:tcBorders>
          </w:tcPr>
          <w:p w:rsidR="001C3298" w:rsidRPr="002E7761" w:rsidRDefault="001C3298" w:rsidP="001C329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bCs/>
                <w:sz w:val="24"/>
                <w:szCs w:val="24"/>
              </w:rPr>
            </w:pPr>
            <w:proofErr w:type="spellStart"/>
            <w:r w:rsidRPr="002C3845">
              <w:rPr>
                <w:rFonts w:ascii="Times New Roman" w:hAnsi="Times New Roman" w:cs="Times New Roman"/>
                <w:bCs/>
                <w:sz w:val="24"/>
                <w:szCs w:val="24"/>
                <w:lang w:val="en-US"/>
              </w:rPr>
              <w:t>Dysregul</w:t>
            </w:r>
            <w:r>
              <w:rPr>
                <w:rFonts w:ascii="Times New Roman" w:hAnsi="Times New Roman" w:cs="Times New Roman"/>
                <w:bCs/>
                <w:sz w:val="24"/>
                <w:szCs w:val="24"/>
                <w:lang w:val="en-US"/>
              </w:rPr>
              <w:t>ated</w:t>
            </w:r>
            <w:proofErr w:type="spellEnd"/>
            <w:r>
              <w:rPr>
                <w:rFonts w:ascii="Times New Roman" w:hAnsi="Times New Roman" w:cs="Times New Roman"/>
                <w:bCs/>
                <w:sz w:val="24"/>
                <w:szCs w:val="24"/>
                <w:lang w:val="en-US"/>
              </w:rPr>
              <w:t xml:space="preserve"> AR </w:t>
            </w:r>
            <w:proofErr w:type="spellStart"/>
            <w:r>
              <w:rPr>
                <w:rFonts w:ascii="Times New Roman" w:hAnsi="Times New Roman" w:cs="Times New Roman"/>
                <w:bCs/>
                <w:sz w:val="24"/>
                <w:szCs w:val="24"/>
                <w:lang w:val="en-US"/>
              </w:rPr>
              <w:t>signalling</w:t>
            </w:r>
            <w:proofErr w:type="spellEnd"/>
            <w:r>
              <w:rPr>
                <w:rFonts w:ascii="Times New Roman" w:hAnsi="Times New Roman" w:cs="Times New Roman"/>
                <w:bCs/>
                <w:sz w:val="24"/>
                <w:szCs w:val="24"/>
                <w:lang w:val="en-US"/>
              </w:rPr>
              <w:t xml:space="preserve"> in </w:t>
            </w:r>
            <w:proofErr w:type="spellStart"/>
            <w:r>
              <w:rPr>
                <w:rFonts w:ascii="Times New Roman" w:hAnsi="Times New Roman" w:cs="Times New Roman"/>
                <w:bCs/>
                <w:sz w:val="24"/>
                <w:szCs w:val="24"/>
                <w:lang w:val="en-US"/>
              </w:rPr>
              <w:t>PCa</w:t>
            </w:r>
            <w:proofErr w:type="spellEnd"/>
          </w:p>
        </w:tc>
        <w:tc>
          <w:tcPr>
            <w:tcW w:w="890" w:type="dxa"/>
            <w:tcBorders>
              <w:top w:val="none" w:sz="0" w:space="0" w:color="auto"/>
              <w:bottom w:val="none" w:sz="0" w:space="0" w:color="auto"/>
            </w:tcBorders>
          </w:tcPr>
          <w:p w:rsidR="001C3298" w:rsidRDefault="001C3298" w:rsidP="001C329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bCs/>
                <w:sz w:val="24"/>
                <w:szCs w:val="24"/>
              </w:rPr>
            </w:pPr>
            <w:r>
              <w:rPr>
                <w:rFonts w:ascii="Times New Roman" w:eastAsia="Calibri" w:hAnsi="Times New Roman" w:cs="Times New Roman"/>
                <w:b/>
                <w:bCs/>
                <w:sz w:val="24"/>
                <w:szCs w:val="24"/>
              </w:rPr>
              <w:t>22</w:t>
            </w:r>
          </w:p>
        </w:tc>
      </w:tr>
      <w:tr w:rsidR="001C3298" w:rsidTr="00896B0D">
        <w:tc>
          <w:tcPr>
            <w:cnfStyle w:val="001000000000" w:firstRow="0" w:lastRow="0" w:firstColumn="1" w:lastColumn="0" w:oddVBand="0" w:evenVBand="0" w:oddHBand="0" w:evenHBand="0" w:firstRowFirstColumn="0" w:firstRowLastColumn="0" w:lastRowFirstColumn="0" w:lastRowLastColumn="0"/>
            <w:tcW w:w="1350" w:type="dxa"/>
          </w:tcPr>
          <w:p w:rsidR="001C3298" w:rsidRDefault="00121EB0" w:rsidP="001C3298">
            <w:pPr>
              <w:spacing w:line="360" w:lineRule="auto"/>
              <w:jc w:val="both"/>
              <w:rPr>
                <w:rFonts w:ascii="Times New Roman" w:eastAsia="Calibri" w:hAnsi="Times New Roman" w:cs="Times New Roman"/>
                <w:b w:val="0"/>
                <w:bCs w:val="0"/>
                <w:sz w:val="24"/>
                <w:szCs w:val="24"/>
              </w:rPr>
            </w:pPr>
            <w:r w:rsidRPr="00121EB0">
              <w:rPr>
                <w:rFonts w:ascii="Times New Roman" w:eastAsia="Calibri" w:hAnsi="Times New Roman" w:cs="Times New Roman"/>
                <w:b w:val="0"/>
                <w:bCs w:val="0"/>
                <w:sz w:val="24"/>
                <w:szCs w:val="24"/>
              </w:rPr>
              <w:t>Figure</w:t>
            </w:r>
            <w:r>
              <w:rPr>
                <w:rFonts w:ascii="Times New Roman" w:eastAsia="Calibri" w:hAnsi="Times New Roman" w:cs="Times New Roman"/>
                <w:b w:val="0"/>
                <w:bCs w:val="0"/>
                <w:sz w:val="24"/>
                <w:szCs w:val="24"/>
              </w:rPr>
              <w:t xml:space="preserve"> </w:t>
            </w:r>
            <w:r w:rsidR="001C3298">
              <w:rPr>
                <w:rFonts w:ascii="Times New Roman" w:eastAsia="Calibri" w:hAnsi="Times New Roman" w:cs="Times New Roman"/>
                <w:b w:val="0"/>
                <w:bCs w:val="0"/>
                <w:sz w:val="24"/>
                <w:szCs w:val="24"/>
              </w:rPr>
              <w:t>4</w:t>
            </w:r>
          </w:p>
        </w:tc>
        <w:tc>
          <w:tcPr>
            <w:tcW w:w="7110" w:type="dxa"/>
          </w:tcPr>
          <w:p w:rsidR="001C3298" w:rsidRPr="002E7761" w:rsidRDefault="001C3298" w:rsidP="001C3298">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24"/>
                <w:szCs w:val="24"/>
              </w:rPr>
            </w:pPr>
            <w:r w:rsidRPr="002E7761">
              <w:rPr>
                <w:rFonts w:ascii="Times New Roman" w:hAnsi="Times New Roman" w:cs="Times New Roman"/>
                <w:bCs/>
                <w:sz w:val="24"/>
                <w:szCs w:val="24"/>
                <w:lang w:val="en-US"/>
              </w:rPr>
              <w:t>Structure of SPOP protein</w:t>
            </w:r>
          </w:p>
        </w:tc>
        <w:tc>
          <w:tcPr>
            <w:tcW w:w="890" w:type="dxa"/>
            <w:tcBorders>
              <w:left w:val="nil"/>
              <w:right w:val="nil"/>
            </w:tcBorders>
          </w:tcPr>
          <w:p w:rsidR="001C3298" w:rsidRDefault="001C3298" w:rsidP="001C3298">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24"/>
                <w:szCs w:val="24"/>
              </w:rPr>
            </w:pPr>
            <w:r>
              <w:rPr>
                <w:rFonts w:ascii="Times New Roman" w:eastAsia="Calibri" w:hAnsi="Times New Roman" w:cs="Times New Roman"/>
                <w:b/>
                <w:bCs/>
                <w:sz w:val="24"/>
                <w:szCs w:val="24"/>
              </w:rPr>
              <w:t>27</w:t>
            </w:r>
          </w:p>
        </w:tc>
      </w:tr>
      <w:tr w:rsidR="001C3298" w:rsidTr="00EC14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tcBorders>
              <w:top w:val="none" w:sz="0" w:space="0" w:color="auto"/>
              <w:bottom w:val="none" w:sz="0" w:space="0" w:color="auto"/>
            </w:tcBorders>
          </w:tcPr>
          <w:p w:rsidR="001C3298" w:rsidRDefault="00121EB0" w:rsidP="001C3298">
            <w:pPr>
              <w:spacing w:line="360" w:lineRule="auto"/>
              <w:jc w:val="both"/>
              <w:rPr>
                <w:rFonts w:ascii="Times New Roman" w:eastAsia="Calibri" w:hAnsi="Times New Roman" w:cs="Times New Roman"/>
                <w:b w:val="0"/>
                <w:bCs w:val="0"/>
                <w:sz w:val="24"/>
                <w:szCs w:val="24"/>
              </w:rPr>
            </w:pPr>
            <w:r w:rsidRPr="00121EB0">
              <w:rPr>
                <w:rFonts w:ascii="Times New Roman" w:eastAsia="Calibri" w:hAnsi="Times New Roman" w:cs="Times New Roman"/>
                <w:b w:val="0"/>
                <w:bCs w:val="0"/>
                <w:sz w:val="24"/>
                <w:szCs w:val="24"/>
              </w:rPr>
              <w:t>Figure</w:t>
            </w:r>
            <w:r>
              <w:rPr>
                <w:rFonts w:ascii="Times New Roman" w:eastAsia="Calibri" w:hAnsi="Times New Roman" w:cs="Times New Roman"/>
                <w:b w:val="0"/>
                <w:bCs w:val="0"/>
                <w:sz w:val="24"/>
                <w:szCs w:val="24"/>
              </w:rPr>
              <w:t xml:space="preserve"> </w:t>
            </w:r>
            <w:r w:rsidR="001C3298">
              <w:rPr>
                <w:rFonts w:ascii="Times New Roman" w:eastAsia="Calibri" w:hAnsi="Times New Roman" w:cs="Times New Roman"/>
                <w:b w:val="0"/>
                <w:bCs w:val="0"/>
                <w:sz w:val="24"/>
                <w:szCs w:val="24"/>
              </w:rPr>
              <w:t>5</w:t>
            </w:r>
          </w:p>
        </w:tc>
        <w:tc>
          <w:tcPr>
            <w:tcW w:w="7110" w:type="dxa"/>
            <w:tcBorders>
              <w:top w:val="none" w:sz="0" w:space="0" w:color="auto"/>
              <w:bottom w:val="none" w:sz="0" w:space="0" w:color="auto"/>
            </w:tcBorders>
          </w:tcPr>
          <w:p w:rsidR="001C3298" w:rsidRPr="002E7761" w:rsidRDefault="001C3298" w:rsidP="001C329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bCs/>
                <w:sz w:val="24"/>
                <w:szCs w:val="24"/>
              </w:rPr>
            </w:pPr>
            <w:r w:rsidRPr="002E7761">
              <w:rPr>
                <w:rFonts w:ascii="Times New Roman" w:hAnsi="Times New Roman" w:cs="Times New Roman"/>
                <w:bCs/>
                <w:sz w:val="24"/>
                <w:szCs w:val="24"/>
                <w:lang w:val="en-US"/>
              </w:rPr>
              <w:t>The ubiquitin-proteasome system</w:t>
            </w:r>
          </w:p>
        </w:tc>
        <w:tc>
          <w:tcPr>
            <w:tcW w:w="890" w:type="dxa"/>
            <w:tcBorders>
              <w:top w:val="none" w:sz="0" w:space="0" w:color="auto"/>
              <w:bottom w:val="none" w:sz="0" w:space="0" w:color="auto"/>
            </w:tcBorders>
          </w:tcPr>
          <w:p w:rsidR="001C3298" w:rsidRDefault="001C3298" w:rsidP="001C329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bCs/>
                <w:sz w:val="24"/>
                <w:szCs w:val="24"/>
              </w:rPr>
            </w:pPr>
            <w:r>
              <w:rPr>
                <w:rFonts w:ascii="Times New Roman" w:eastAsia="Calibri" w:hAnsi="Times New Roman" w:cs="Times New Roman"/>
                <w:b/>
                <w:bCs/>
                <w:sz w:val="24"/>
                <w:szCs w:val="24"/>
              </w:rPr>
              <w:t>29</w:t>
            </w:r>
          </w:p>
        </w:tc>
      </w:tr>
      <w:tr w:rsidR="001C3298" w:rsidTr="00896B0D">
        <w:tc>
          <w:tcPr>
            <w:cnfStyle w:val="001000000000" w:firstRow="0" w:lastRow="0" w:firstColumn="1" w:lastColumn="0" w:oddVBand="0" w:evenVBand="0" w:oddHBand="0" w:evenHBand="0" w:firstRowFirstColumn="0" w:firstRowLastColumn="0" w:lastRowFirstColumn="0" w:lastRowLastColumn="0"/>
            <w:tcW w:w="1350" w:type="dxa"/>
          </w:tcPr>
          <w:p w:rsidR="001C3298" w:rsidRDefault="00121EB0" w:rsidP="001C3298">
            <w:pPr>
              <w:spacing w:line="360" w:lineRule="auto"/>
              <w:jc w:val="both"/>
              <w:rPr>
                <w:rFonts w:ascii="Times New Roman" w:eastAsia="Calibri" w:hAnsi="Times New Roman" w:cs="Times New Roman"/>
                <w:b w:val="0"/>
                <w:bCs w:val="0"/>
                <w:sz w:val="24"/>
                <w:szCs w:val="24"/>
              </w:rPr>
            </w:pPr>
            <w:r w:rsidRPr="00121EB0">
              <w:rPr>
                <w:rFonts w:ascii="Times New Roman" w:eastAsia="Calibri" w:hAnsi="Times New Roman" w:cs="Times New Roman"/>
                <w:b w:val="0"/>
                <w:bCs w:val="0"/>
                <w:sz w:val="24"/>
                <w:szCs w:val="24"/>
              </w:rPr>
              <w:t>Figure</w:t>
            </w:r>
            <w:r>
              <w:rPr>
                <w:rFonts w:ascii="Times New Roman" w:eastAsia="Calibri" w:hAnsi="Times New Roman" w:cs="Times New Roman"/>
                <w:b w:val="0"/>
                <w:bCs w:val="0"/>
                <w:sz w:val="24"/>
                <w:szCs w:val="24"/>
              </w:rPr>
              <w:t xml:space="preserve"> </w:t>
            </w:r>
            <w:r w:rsidR="001C3298">
              <w:rPr>
                <w:rFonts w:ascii="Times New Roman" w:eastAsia="Calibri" w:hAnsi="Times New Roman" w:cs="Times New Roman"/>
                <w:b w:val="0"/>
                <w:bCs w:val="0"/>
                <w:sz w:val="24"/>
                <w:szCs w:val="24"/>
              </w:rPr>
              <w:t>6</w:t>
            </w:r>
          </w:p>
        </w:tc>
        <w:tc>
          <w:tcPr>
            <w:tcW w:w="7110" w:type="dxa"/>
          </w:tcPr>
          <w:p w:rsidR="001C3298" w:rsidRPr="002E7761" w:rsidRDefault="001C3298" w:rsidP="001C3298">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24"/>
                <w:szCs w:val="24"/>
              </w:rPr>
            </w:pPr>
            <w:r>
              <w:rPr>
                <w:rFonts w:ascii="Times New Roman" w:hAnsi="Times New Roman" w:cs="Times New Roman"/>
                <w:sz w:val="24"/>
                <w:szCs w:val="24"/>
              </w:rPr>
              <w:t xml:space="preserve">Bar graph </w:t>
            </w:r>
            <w:r>
              <w:rPr>
                <w:rFonts w:ascii="Times New Roman" w:eastAsia="Calibri" w:hAnsi="Times New Roman" w:cs="Times New Roman"/>
                <w:sz w:val="24"/>
                <w:szCs w:val="24"/>
              </w:rPr>
              <w:t>of t</w:t>
            </w:r>
            <w:r>
              <w:rPr>
                <w:rFonts w:ascii="Times New Roman" w:hAnsi="Times New Roman" w:cs="Times New Roman"/>
                <w:sz w:val="24"/>
                <w:szCs w:val="24"/>
              </w:rPr>
              <w:t>he levels (</w:t>
            </w:r>
            <w:proofErr w:type="spellStart"/>
            <w:r>
              <w:rPr>
                <w:rFonts w:ascii="Times New Roman" w:hAnsi="Times New Roman" w:cs="Times New Roman"/>
                <w:sz w:val="24"/>
                <w:szCs w:val="24"/>
              </w:rPr>
              <w:t>Mean</w:t>
            </w:r>
            <w:r w:rsidRPr="000C1B02">
              <w:rPr>
                <w:rFonts w:ascii="Times New Roman" w:hAnsi="Times New Roman" w:cs="Times New Roman"/>
                <w:sz w:val="24"/>
                <w:szCs w:val="24"/>
                <w:u w:val="single"/>
              </w:rPr>
              <w:t>+</w:t>
            </w:r>
            <w:r>
              <w:rPr>
                <w:rFonts w:ascii="Times New Roman" w:hAnsi="Times New Roman" w:cs="Times New Roman"/>
                <w:sz w:val="24"/>
                <w:szCs w:val="24"/>
              </w:rPr>
              <w:t>SEM</w:t>
            </w:r>
            <w:proofErr w:type="spellEnd"/>
            <w:r>
              <w:rPr>
                <w:rFonts w:ascii="Times New Roman" w:hAnsi="Times New Roman" w:cs="Times New Roman"/>
                <w:sz w:val="24"/>
                <w:szCs w:val="24"/>
              </w:rPr>
              <w:t>) of SPOP, AR, and SRC-3 in disease and control samples</w:t>
            </w:r>
          </w:p>
        </w:tc>
        <w:tc>
          <w:tcPr>
            <w:tcW w:w="890" w:type="dxa"/>
            <w:tcBorders>
              <w:left w:val="nil"/>
              <w:right w:val="nil"/>
            </w:tcBorders>
          </w:tcPr>
          <w:p w:rsidR="001C3298" w:rsidRDefault="001C3298" w:rsidP="001C3298">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24"/>
                <w:szCs w:val="24"/>
              </w:rPr>
            </w:pPr>
            <w:r>
              <w:rPr>
                <w:rFonts w:ascii="Times New Roman" w:eastAsia="Calibri" w:hAnsi="Times New Roman" w:cs="Times New Roman"/>
                <w:b/>
                <w:bCs/>
                <w:sz w:val="24"/>
                <w:szCs w:val="24"/>
              </w:rPr>
              <w:t>37</w:t>
            </w:r>
          </w:p>
        </w:tc>
      </w:tr>
      <w:tr w:rsidR="001C3298" w:rsidTr="00EC14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tcBorders>
              <w:top w:val="none" w:sz="0" w:space="0" w:color="auto"/>
              <w:bottom w:val="none" w:sz="0" w:space="0" w:color="auto"/>
            </w:tcBorders>
          </w:tcPr>
          <w:p w:rsidR="001C3298" w:rsidRDefault="00121EB0" w:rsidP="001C3298">
            <w:pPr>
              <w:spacing w:line="360" w:lineRule="auto"/>
              <w:jc w:val="both"/>
              <w:rPr>
                <w:rFonts w:ascii="Times New Roman" w:eastAsia="Calibri" w:hAnsi="Times New Roman" w:cs="Times New Roman"/>
                <w:b w:val="0"/>
                <w:bCs w:val="0"/>
                <w:sz w:val="24"/>
                <w:szCs w:val="24"/>
              </w:rPr>
            </w:pPr>
            <w:r w:rsidRPr="00121EB0">
              <w:rPr>
                <w:rFonts w:ascii="Times New Roman" w:eastAsia="Calibri" w:hAnsi="Times New Roman" w:cs="Times New Roman"/>
                <w:b w:val="0"/>
                <w:bCs w:val="0"/>
                <w:sz w:val="24"/>
                <w:szCs w:val="24"/>
              </w:rPr>
              <w:t>Figure</w:t>
            </w:r>
            <w:r>
              <w:rPr>
                <w:rFonts w:ascii="Times New Roman" w:eastAsia="Calibri" w:hAnsi="Times New Roman" w:cs="Times New Roman"/>
                <w:b w:val="0"/>
                <w:bCs w:val="0"/>
                <w:sz w:val="24"/>
                <w:szCs w:val="24"/>
              </w:rPr>
              <w:t xml:space="preserve"> </w:t>
            </w:r>
            <w:r w:rsidR="001C3298">
              <w:rPr>
                <w:rFonts w:ascii="Times New Roman" w:eastAsia="Calibri" w:hAnsi="Times New Roman" w:cs="Times New Roman"/>
                <w:b w:val="0"/>
                <w:bCs w:val="0"/>
                <w:sz w:val="24"/>
                <w:szCs w:val="24"/>
              </w:rPr>
              <w:t>7</w:t>
            </w:r>
          </w:p>
        </w:tc>
        <w:tc>
          <w:tcPr>
            <w:tcW w:w="7110" w:type="dxa"/>
            <w:tcBorders>
              <w:top w:val="none" w:sz="0" w:space="0" w:color="auto"/>
              <w:bottom w:val="none" w:sz="0" w:space="0" w:color="auto"/>
            </w:tcBorders>
          </w:tcPr>
          <w:p w:rsidR="001C3298" w:rsidRPr="002E7761" w:rsidRDefault="001C3298" w:rsidP="001C329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bCs/>
                <w:sz w:val="24"/>
                <w:szCs w:val="24"/>
              </w:rPr>
            </w:pPr>
            <w:r w:rsidRPr="000C1B02">
              <w:rPr>
                <w:rFonts w:ascii="Times New Roman" w:hAnsi="Times New Roman" w:cs="Times New Roman"/>
                <w:sz w:val="24"/>
                <w:szCs w:val="24"/>
              </w:rPr>
              <w:t>Estimation plot of Welch's t test of SPOP protein in disease and control samples</w:t>
            </w:r>
          </w:p>
        </w:tc>
        <w:tc>
          <w:tcPr>
            <w:tcW w:w="890" w:type="dxa"/>
            <w:tcBorders>
              <w:top w:val="none" w:sz="0" w:space="0" w:color="auto"/>
              <w:bottom w:val="none" w:sz="0" w:space="0" w:color="auto"/>
            </w:tcBorders>
          </w:tcPr>
          <w:p w:rsidR="001C3298" w:rsidRDefault="001C3298" w:rsidP="001C329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bCs/>
                <w:sz w:val="24"/>
                <w:szCs w:val="24"/>
              </w:rPr>
            </w:pPr>
            <w:r>
              <w:rPr>
                <w:rFonts w:ascii="Times New Roman" w:eastAsia="Calibri" w:hAnsi="Times New Roman" w:cs="Times New Roman"/>
                <w:b/>
                <w:bCs/>
                <w:sz w:val="24"/>
                <w:szCs w:val="24"/>
              </w:rPr>
              <w:t>38</w:t>
            </w:r>
          </w:p>
        </w:tc>
      </w:tr>
      <w:tr w:rsidR="001C3298" w:rsidTr="00896B0D">
        <w:tc>
          <w:tcPr>
            <w:cnfStyle w:val="001000000000" w:firstRow="0" w:lastRow="0" w:firstColumn="1" w:lastColumn="0" w:oddVBand="0" w:evenVBand="0" w:oddHBand="0" w:evenHBand="0" w:firstRowFirstColumn="0" w:firstRowLastColumn="0" w:lastRowFirstColumn="0" w:lastRowLastColumn="0"/>
            <w:tcW w:w="1350" w:type="dxa"/>
          </w:tcPr>
          <w:p w:rsidR="001C3298" w:rsidRDefault="00121EB0" w:rsidP="001C3298">
            <w:pPr>
              <w:spacing w:line="360" w:lineRule="auto"/>
              <w:jc w:val="both"/>
              <w:rPr>
                <w:rFonts w:ascii="Times New Roman" w:eastAsia="Calibri" w:hAnsi="Times New Roman" w:cs="Times New Roman"/>
                <w:b w:val="0"/>
                <w:bCs w:val="0"/>
                <w:sz w:val="24"/>
                <w:szCs w:val="24"/>
              </w:rPr>
            </w:pPr>
            <w:r w:rsidRPr="00121EB0">
              <w:rPr>
                <w:rFonts w:ascii="Times New Roman" w:eastAsia="Calibri" w:hAnsi="Times New Roman" w:cs="Times New Roman"/>
                <w:b w:val="0"/>
                <w:bCs w:val="0"/>
                <w:sz w:val="24"/>
                <w:szCs w:val="24"/>
              </w:rPr>
              <w:t>Figure</w:t>
            </w:r>
            <w:r>
              <w:rPr>
                <w:rFonts w:ascii="Times New Roman" w:eastAsia="Calibri" w:hAnsi="Times New Roman" w:cs="Times New Roman"/>
                <w:b w:val="0"/>
                <w:bCs w:val="0"/>
                <w:sz w:val="24"/>
                <w:szCs w:val="24"/>
              </w:rPr>
              <w:t xml:space="preserve"> </w:t>
            </w:r>
            <w:r w:rsidR="001C3298">
              <w:rPr>
                <w:rFonts w:ascii="Times New Roman" w:eastAsia="Calibri" w:hAnsi="Times New Roman" w:cs="Times New Roman"/>
                <w:b w:val="0"/>
                <w:bCs w:val="0"/>
                <w:sz w:val="24"/>
                <w:szCs w:val="24"/>
              </w:rPr>
              <w:t>8</w:t>
            </w:r>
          </w:p>
        </w:tc>
        <w:tc>
          <w:tcPr>
            <w:tcW w:w="7110" w:type="dxa"/>
          </w:tcPr>
          <w:p w:rsidR="001C3298" w:rsidRPr="002E7761" w:rsidRDefault="001C3298" w:rsidP="001C3298">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24"/>
                <w:szCs w:val="24"/>
              </w:rPr>
            </w:pPr>
            <w:r w:rsidRPr="000C1B02">
              <w:rPr>
                <w:rFonts w:ascii="Times New Roman" w:hAnsi="Times New Roman" w:cs="Times New Roman"/>
                <w:sz w:val="24"/>
                <w:szCs w:val="24"/>
              </w:rPr>
              <w:t xml:space="preserve">Estimation plot of Welch's t test of </w:t>
            </w:r>
            <w:r>
              <w:rPr>
                <w:rFonts w:ascii="Times New Roman" w:hAnsi="Times New Roman" w:cs="Times New Roman"/>
                <w:sz w:val="24"/>
                <w:szCs w:val="24"/>
              </w:rPr>
              <w:t>AR</w:t>
            </w:r>
            <w:r w:rsidRPr="000C1B02">
              <w:rPr>
                <w:rFonts w:ascii="Times New Roman" w:hAnsi="Times New Roman" w:cs="Times New Roman"/>
                <w:sz w:val="24"/>
                <w:szCs w:val="24"/>
              </w:rPr>
              <w:t xml:space="preserve"> protein in disease and control samples</w:t>
            </w:r>
          </w:p>
        </w:tc>
        <w:tc>
          <w:tcPr>
            <w:tcW w:w="890" w:type="dxa"/>
            <w:tcBorders>
              <w:left w:val="nil"/>
              <w:right w:val="nil"/>
            </w:tcBorders>
          </w:tcPr>
          <w:p w:rsidR="001C3298" w:rsidRDefault="001C3298" w:rsidP="001C3298">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24"/>
                <w:szCs w:val="24"/>
              </w:rPr>
            </w:pPr>
            <w:r>
              <w:rPr>
                <w:rFonts w:ascii="Times New Roman" w:eastAsia="Calibri" w:hAnsi="Times New Roman" w:cs="Times New Roman"/>
                <w:b/>
                <w:bCs/>
                <w:sz w:val="24"/>
                <w:szCs w:val="24"/>
              </w:rPr>
              <w:t>38</w:t>
            </w:r>
          </w:p>
        </w:tc>
      </w:tr>
      <w:tr w:rsidR="001C3298" w:rsidTr="00EC14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tcBorders>
              <w:top w:val="none" w:sz="0" w:space="0" w:color="auto"/>
              <w:bottom w:val="none" w:sz="0" w:space="0" w:color="auto"/>
            </w:tcBorders>
          </w:tcPr>
          <w:p w:rsidR="001C3298" w:rsidRDefault="00121EB0" w:rsidP="001C3298">
            <w:pPr>
              <w:spacing w:line="360" w:lineRule="auto"/>
              <w:jc w:val="both"/>
              <w:rPr>
                <w:rFonts w:ascii="Times New Roman" w:eastAsia="Calibri" w:hAnsi="Times New Roman" w:cs="Times New Roman"/>
                <w:b w:val="0"/>
                <w:bCs w:val="0"/>
                <w:sz w:val="24"/>
                <w:szCs w:val="24"/>
              </w:rPr>
            </w:pPr>
            <w:r w:rsidRPr="00121EB0">
              <w:rPr>
                <w:rFonts w:ascii="Times New Roman" w:eastAsia="Calibri" w:hAnsi="Times New Roman" w:cs="Times New Roman"/>
                <w:b w:val="0"/>
                <w:bCs w:val="0"/>
                <w:sz w:val="24"/>
                <w:szCs w:val="24"/>
              </w:rPr>
              <w:t>Figure</w:t>
            </w:r>
            <w:r>
              <w:rPr>
                <w:rFonts w:ascii="Times New Roman" w:eastAsia="Calibri" w:hAnsi="Times New Roman" w:cs="Times New Roman"/>
                <w:b w:val="0"/>
                <w:bCs w:val="0"/>
                <w:sz w:val="24"/>
                <w:szCs w:val="24"/>
              </w:rPr>
              <w:t xml:space="preserve"> </w:t>
            </w:r>
            <w:r w:rsidR="001C3298">
              <w:rPr>
                <w:rFonts w:ascii="Times New Roman" w:eastAsia="Calibri" w:hAnsi="Times New Roman" w:cs="Times New Roman"/>
                <w:b w:val="0"/>
                <w:bCs w:val="0"/>
                <w:sz w:val="24"/>
                <w:szCs w:val="24"/>
              </w:rPr>
              <w:t>9</w:t>
            </w:r>
          </w:p>
        </w:tc>
        <w:tc>
          <w:tcPr>
            <w:tcW w:w="7110" w:type="dxa"/>
            <w:tcBorders>
              <w:top w:val="none" w:sz="0" w:space="0" w:color="auto"/>
              <w:bottom w:val="none" w:sz="0" w:space="0" w:color="auto"/>
            </w:tcBorders>
          </w:tcPr>
          <w:p w:rsidR="001C3298" w:rsidRPr="002E7761" w:rsidRDefault="001C3298" w:rsidP="001C329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bCs/>
                <w:sz w:val="24"/>
                <w:szCs w:val="24"/>
              </w:rPr>
            </w:pPr>
            <w:r w:rsidRPr="000C1B02">
              <w:rPr>
                <w:rFonts w:ascii="Times New Roman" w:hAnsi="Times New Roman" w:cs="Times New Roman"/>
                <w:sz w:val="24"/>
                <w:szCs w:val="24"/>
              </w:rPr>
              <w:t xml:space="preserve">Estimation plot of Welch's </w:t>
            </w:r>
            <w:r>
              <w:rPr>
                <w:rFonts w:ascii="Times New Roman" w:hAnsi="Times New Roman" w:cs="Times New Roman"/>
                <w:sz w:val="24"/>
                <w:szCs w:val="24"/>
              </w:rPr>
              <w:t>t-test</w:t>
            </w:r>
            <w:r w:rsidRPr="000C1B02">
              <w:rPr>
                <w:rFonts w:ascii="Times New Roman" w:hAnsi="Times New Roman" w:cs="Times New Roman"/>
                <w:sz w:val="24"/>
                <w:szCs w:val="24"/>
              </w:rPr>
              <w:t xml:space="preserve"> of </w:t>
            </w:r>
            <w:r>
              <w:rPr>
                <w:rFonts w:ascii="Times New Roman" w:hAnsi="Times New Roman" w:cs="Times New Roman"/>
                <w:sz w:val="24"/>
                <w:szCs w:val="24"/>
              </w:rPr>
              <w:t>SRC-3</w:t>
            </w:r>
            <w:r w:rsidRPr="000C1B02">
              <w:rPr>
                <w:rFonts w:ascii="Times New Roman" w:hAnsi="Times New Roman" w:cs="Times New Roman"/>
                <w:sz w:val="24"/>
                <w:szCs w:val="24"/>
              </w:rPr>
              <w:t xml:space="preserve"> protein in disease and control samples</w:t>
            </w:r>
          </w:p>
        </w:tc>
        <w:tc>
          <w:tcPr>
            <w:tcW w:w="890" w:type="dxa"/>
            <w:tcBorders>
              <w:top w:val="none" w:sz="0" w:space="0" w:color="auto"/>
              <w:bottom w:val="none" w:sz="0" w:space="0" w:color="auto"/>
            </w:tcBorders>
          </w:tcPr>
          <w:p w:rsidR="001C3298" w:rsidRDefault="001C3298" w:rsidP="001C329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bCs/>
                <w:sz w:val="24"/>
                <w:szCs w:val="24"/>
              </w:rPr>
            </w:pPr>
            <w:r>
              <w:rPr>
                <w:rFonts w:ascii="Times New Roman" w:eastAsia="Calibri" w:hAnsi="Times New Roman" w:cs="Times New Roman"/>
                <w:b/>
                <w:bCs/>
                <w:sz w:val="24"/>
                <w:szCs w:val="24"/>
              </w:rPr>
              <w:t>39</w:t>
            </w:r>
          </w:p>
        </w:tc>
      </w:tr>
      <w:tr w:rsidR="001C3298" w:rsidTr="00896B0D">
        <w:tc>
          <w:tcPr>
            <w:cnfStyle w:val="001000000000" w:firstRow="0" w:lastRow="0" w:firstColumn="1" w:lastColumn="0" w:oddVBand="0" w:evenVBand="0" w:oddHBand="0" w:evenHBand="0" w:firstRowFirstColumn="0" w:firstRowLastColumn="0" w:lastRowFirstColumn="0" w:lastRowLastColumn="0"/>
            <w:tcW w:w="1350" w:type="dxa"/>
          </w:tcPr>
          <w:p w:rsidR="001C3298" w:rsidRDefault="00121EB0" w:rsidP="001C3298">
            <w:pPr>
              <w:spacing w:line="360" w:lineRule="auto"/>
              <w:jc w:val="both"/>
              <w:rPr>
                <w:rFonts w:ascii="Times New Roman" w:eastAsia="Calibri" w:hAnsi="Times New Roman" w:cs="Times New Roman"/>
                <w:b w:val="0"/>
                <w:bCs w:val="0"/>
                <w:sz w:val="24"/>
                <w:szCs w:val="24"/>
              </w:rPr>
            </w:pPr>
            <w:r w:rsidRPr="00121EB0">
              <w:rPr>
                <w:rFonts w:ascii="Times New Roman" w:eastAsia="Calibri" w:hAnsi="Times New Roman" w:cs="Times New Roman"/>
                <w:b w:val="0"/>
                <w:bCs w:val="0"/>
                <w:sz w:val="24"/>
                <w:szCs w:val="24"/>
              </w:rPr>
              <w:t>Figure</w:t>
            </w:r>
            <w:r>
              <w:rPr>
                <w:rFonts w:ascii="Times New Roman" w:eastAsia="Calibri" w:hAnsi="Times New Roman" w:cs="Times New Roman"/>
                <w:b w:val="0"/>
                <w:bCs w:val="0"/>
                <w:sz w:val="24"/>
                <w:szCs w:val="24"/>
              </w:rPr>
              <w:t xml:space="preserve"> </w:t>
            </w:r>
            <w:r w:rsidR="001C3298">
              <w:rPr>
                <w:rFonts w:ascii="Times New Roman" w:eastAsia="Calibri" w:hAnsi="Times New Roman" w:cs="Times New Roman"/>
                <w:b w:val="0"/>
                <w:bCs w:val="0"/>
                <w:sz w:val="24"/>
                <w:szCs w:val="24"/>
              </w:rPr>
              <w:t>10</w:t>
            </w:r>
          </w:p>
        </w:tc>
        <w:tc>
          <w:tcPr>
            <w:tcW w:w="7110" w:type="dxa"/>
          </w:tcPr>
          <w:p w:rsidR="001C3298" w:rsidRPr="000C1B02" w:rsidRDefault="001C3298" w:rsidP="001C3298">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 </w:t>
            </w:r>
            <w:r w:rsidR="00C93BC9">
              <w:rPr>
                <w:rFonts w:ascii="Times New Roman" w:hAnsi="Times New Roman" w:cs="Times New Roman"/>
                <w:sz w:val="24"/>
                <w:szCs w:val="24"/>
              </w:rPr>
              <w:t>Scatter matrix plot of the c</w:t>
            </w:r>
            <w:r w:rsidR="00C93BC9" w:rsidRPr="00427179">
              <w:rPr>
                <w:rFonts w:ascii="Times New Roman" w:hAnsi="Times New Roman" w:cs="Times New Roman"/>
                <w:sz w:val="24"/>
                <w:szCs w:val="24"/>
              </w:rPr>
              <w:t>or</w:t>
            </w:r>
            <w:r w:rsidR="00C93BC9">
              <w:rPr>
                <w:rFonts w:ascii="Times New Roman" w:hAnsi="Times New Roman" w:cs="Times New Roman"/>
                <w:sz w:val="24"/>
                <w:szCs w:val="24"/>
              </w:rPr>
              <w:t xml:space="preserve">relation of SPOP, AR and SRC-3 levels </w:t>
            </w:r>
            <w:r>
              <w:rPr>
                <w:rFonts w:ascii="Times New Roman" w:hAnsi="Times New Roman" w:cs="Times New Roman"/>
                <w:sz w:val="24"/>
                <w:szCs w:val="24"/>
              </w:rPr>
              <w:t>of the c</w:t>
            </w:r>
            <w:r w:rsidRPr="00427179">
              <w:rPr>
                <w:rFonts w:ascii="Times New Roman" w:hAnsi="Times New Roman" w:cs="Times New Roman"/>
                <w:sz w:val="24"/>
                <w:szCs w:val="24"/>
              </w:rPr>
              <w:t>or</w:t>
            </w:r>
            <w:r>
              <w:rPr>
                <w:rFonts w:ascii="Times New Roman" w:hAnsi="Times New Roman" w:cs="Times New Roman"/>
                <w:sz w:val="24"/>
                <w:szCs w:val="24"/>
              </w:rPr>
              <w:t>relation of SPOP, AR and SRC-3 levels</w:t>
            </w:r>
          </w:p>
        </w:tc>
        <w:tc>
          <w:tcPr>
            <w:tcW w:w="890" w:type="dxa"/>
            <w:tcBorders>
              <w:left w:val="nil"/>
              <w:right w:val="nil"/>
            </w:tcBorders>
          </w:tcPr>
          <w:p w:rsidR="001C3298" w:rsidRDefault="001C3298" w:rsidP="001C3298">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24"/>
                <w:szCs w:val="24"/>
              </w:rPr>
            </w:pPr>
            <w:r>
              <w:rPr>
                <w:rFonts w:ascii="Times New Roman" w:eastAsia="Calibri" w:hAnsi="Times New Roman" w:cs="Times New Roman"/>
                <w:b/>
                <w:bCs/>
                <w:sz w:val="24"/>
                <w:szCs w:val="24"/>
              </w:rPr>
              <w:t>40</w:t>
            </w:r>
          </w:p>
        </w:tc>
      </w:tr>
      <w:tr w:rsidR="001C3298" w:rsidTr="00EC14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tcBorders>
              <w:top w:val="none" w:sz="0" w:space="0" w:color="auto"/>
              <w:bottom w:val="none" w:sz="0" w:space="0" w:color="auto"/>
            </w:tcBorders>
          </w:tcPr>
          <w:p w:rsidR="001C3298" w:rsidRDefault="00121EB0" w:rsidP="001C3298">
            <w:pPr>
              <w:spacing w:line="360" w:lineRule="auto"/>
              <w:jc w:val="both"/>
              <w:rPr>
                <w:rFonts w:ascii="Times New Roman" w:eastAsia="Calibri" w:hAnsi="Times New Roman" w:cs="Times New Roman"/>
                <w:b w:val="0"/>
                <w:bCs w:val="0"/>
                <w:sz w:val="24"/>
                <w:szCs w:val="24"/>
              </w:rPr>
            </w:pPr>
            <w:r w:rsidRPr="00121EB0">
              <w:rPr>
                <w:rFonts w:ascii="Times New Roman" w:eastAsia="Calibri" w:hAnsi="Times New Roman" w:cs="Times New Roman"/>
                <w:b w:val="0"/>
                <w:bCs w:val="0"/>
                <w:sz w:val="24"/>
                <w:szCs w:val="24"/>
              </w:rPr>
              <w:t>Figure</w:t>
            </w:r>
            <w:r>
              <w:rPr>
                <w:rFonts w:ascii="Times New Roman" w:eastAsia="Calibri" w:hAnsi="Times New Roman" w:cs="Times New Roman"/>
                <w:b w:val="0"/>
                <w:bCs w:val="0"/>
                <w:sz w:val="24"/>
                <w:szCs w:val="24"/>
              </w:rPr>
              <w:t xml:space="preserve"> </w:t>
            </w:r>
            <w:r w:rsidR="001C3298">
              <w:rPr>
                <w:rFonts w:ascii="Times New Roman" w:eastAsia="Calibri" w:hAnsi="Times New Roman" w:cs="Times New Roman"/>
                <w:b w:val="0"/>
                <w:bCs w:val="0"/>
                <w:sz w:val="24"/>
                <w:szCs w:val="24"/>
              </w:rPr>
              <w:t>11</w:t>
            </w:r>
          </w:p>
        </w:tc>
        <w:tc>
          <w:tcPr>
            <w:tcW w:w="7110" w:type="dxa"/>
            <w:tcBorders>
              <w:top w:val="none" w:sz="0" w:space="0" w:color="auto"/>
              <w:bottom w:val="none" w:sz="0" w:space="0" w:color="auto"/>
            </w:tcBorders>
          </w:tcPr>
          <w:p w:rsidR="001C3298" w:rsidRDefault="001C3298" w:rsidP="001C329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E7761">
              <w:rPr>
                <w:rFonts w:ascii="Times New Roman" w:eastAsia="Times New Roman" w:hAnsi="Times New Roman" w:cs="Times New Roman"/>
                <w:sz w:val="24"/>
                <w:szCs w:val="24"/>
              </w:rPr>
              <w:t>Chemical structure</w:t>
            </w:r>
            <w:r>
              <w:rPr>
                <w:rFonts w:ascii="Times New Roman" w:eastAsia="Times New Roman" w:hAnsi="Times New Roman" w:cs="Times New Roman"/>
                <w:sz w:val="24"/>
                <w:szCs w:val="24"/>
              </w:rPr>
              <w:t>s of selected pure compounds</w:t>
            </w:r>
            <w:r w:rsidRPr="002E7761">
              <w:rPr>
                <w:rFonts w:ascii="Times New Roman" w:eastAsia="Times New Roman" w:hAnsi="Times New Roman" w:cs="Times New Roman"/>
                <w:sz w:val="24"/>
                <w:szCs w:val="24"/>
              </w:rPr>
              <w:t xml:space="preserve"> from </w:t>
            </w:r>
            <w:proofErr w:type="spellStart"/>
            <w:r w:rsidRPr="002E7761">
              <w:rPr>
                <w:rFonts w:ascii="Times New Roman" w:eastAsia="Times New Roman" w:hAnsi="Times New Roman" w:cs="Times New Roman"/>
                <w:i/>
                <w:sz w:val="24"/>
                <w:szCs w:val="24"/>
              </w:rPr>
              <w:t>Caesalpinia</w:t>
            </w:r>
            <w:proofErr w:type="spellEnd"/>
            <w:r w:rsidRPr="002E7761">
              <w:rPr>
                <w:rFonts w:ascii="Times New Roman" w:eastAsia="Times New Roman" w:hAnsi="Times New Roman" w:cs="Times New Roman"/>
                <w:i/>
                <w:sz w:val="24"/>
                <w:szCs w:val="24"/>
              </w:rPr>
              <w:t xml:space="preserve"> </w:t>
            </w:r>
            <w:proofErr w:type="spellStart"/>
            <w:r w:rsidRPr="002E7761">
              <w:rPr>
                <w:rFonts w:ascii="Times New Roman" w:eastAsia="Times New Roman" w:hAnsi="Times New Roman" w:cs="Times New Roman"/>
                <w:i/>
                <w:sz w:val="24"/>
                <w:szCs w:val="24"/>
              </w:rPr>
              <w:t>bonduc</w:t>
            </w:r>
            <w:proofErr w:type="spellEnd"/>
          </w:p>
        </w:tc>
        <w:tc>
          <w:tcPr>
            <w:tcW w:w="890" w:type="dxa"/>
            <w:tcBorders>
              <w:top w:val="none" w:sz="0" w:space="0" w:color="auto"/>
              <w:bottom w:val="none" w:sz="0" w:space="0" w:color="auto"/>
            </w:tcBorders>
          </w:tcPr>
          <w:p w:rsidR="001C3298" w:rsidRDefault="001C3298" w:rsidP="001C329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b/>
                <w:bCs/>
                <w:sz w:val="24"/>
                <w:szCs w:val="24"/>
              </w:rPr>
              <w:t>41</w:t>
            </w:r>
          </w:p>
        </w:tc>
      </w:tr>
      <w:tr w:rsidR="001C3298" w:rsidTr="00896B0D">
        <w:tc>
          <w:tcPr>
            <w:cnfStyle w:val="001000000000" w:firstRow="0" w:lastRow="0" w:firstColumn="1" w:lastColumn="0" w:oddVBand="0" w:evenVBand="0" w:oddHBand="0" w:evenHBand="0" w:firstRowFirstColumn="0" w:firstRowLastColumn="0" w:lastRowFirstColumn="0" w:lastRowLastColumn="0"/>
            <w:tcW w:w="1350" w:type="dxa"/>
          </w:tcPr>
          <w:p w:rsidR="001C3298" w:rsidRDefault="00121EB0" w:rsidP="001C3298">
            <w:pPr>
              <w:spacing w:line="360" w:lineRule="auto"/>
              <w:jc w:val="both"/>
              <w:rPr>
                <w:rFonts w:ascii="Times New Roman" w:eastAsia="Calibri" w:hAnsi="Times New Roman" w:cs="Times New Roman"/>
                <w:b w:val="0"/>
                <w:bCs w:val="0"/>
                <w:sz w:val="24"/>
                <w:szCs w:val="24"/>
              </w:rPr>
            </w:pPr>
            <w:r w:rsidRPr="00121EB0">
              <w:rPr>
                <w:rFonts w:ascii="Times New Roman" w:eastAsia="Calibri" w:hAnsi="Times New Roman" w:cs="Times New Roman"/>
                <w:b w:val="0"/>
                <w:bCs w:val="0"/>
                <w:sz w:val="24"/>
                <w:szCs w:val="24"/>
              </w:rPr>
              <w:t>Figure</w:t>
            </w:r>
            <w:r>
              <w:rPr>
                <w:rFonts w:ascii="Times New Roman" w:eastAsia="Calibri" w:hAnsi="Times New Roman" w:cs="Times New Roman"/>
                <w:b w:val="0"/>
                <w:bCs w:val="0"/>
                <w:sz w:val="24"/>
                <w:szCs w:val="24"/>
              </w:rPr>
              <w:t xml:space="preserve"> </w:t>
            </w:r>
            <w:r w:rsidR="001C3298">
              <w:rPr>
                <w:rFonts w:ascii="Times New Roman" w:eastAsia="Calibri" w:hAnsi="Times New Roman" w:cs="Times New Roman"/>
                <w:b w:val="0"/>
                <w:bCs w:val="0"/>
                <w:sz w:val="24"/>
                <w:szCs w:val="24"/>
              </w:rPr>
              <w:t>12</w:t>
            </w:r>
          </w:p>
        </w:tc>
        <w:tc>
          <w:tcPr>
            <w:tcW w:w="7110" w:type="dxa"/>
          </w:tcPr>
          <w:p w:rsidR="001C3298" w:rsidRPr="002E7761" w:rsidRDefault="001C3298" w:rsidP="001C3298">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Pr="002E7761">
              <w:rPr>
                <w:rFonts w:ascii="Times New Roman" w:eastAsia="Times New Roman" w:hAnsi="Times New Roman" w:cs="Times New Roman"/>
                <w:sz w:val="24"/>
                <w:szCs w:val="24"/>
              </w:rPr>
              <w:t>he 2D and 3D views of</w:t>
            </w:r>
            <w:r>
              <w:rPr>
                <w:rFonts w:ascii="Times New Roman" w:eastAsia="Times New Roman" w:hAnsi="Times New Roman" w:cs="Times New Roman"/>
                <w:sz w:val="24"/>
                <w:szCs w:val="24"/>
              </w:rPr>
              <w:t xml:space="preserve"> the COMP1, 2, 3, 4 and </w:t>
            </w:r>
            <w:proofErr w:type="spellStart"/>
            <w:r w:rsidRPr="002E7761">
              <w:rPr>
                <w:rFonts w:ascii="Times New Roman" w:eastAsia="Times New Roman" w:hAnsi="Times New Roman" w:cs="Times New Roman"/>
                <w:sz w:val="24"/>
                <w:szCs w:val="24"/>
              </w:rPr>
              <w:t>Enzalutamide</w:t>
            </w:r>
            <w:proofErr w:type="spellEnd"/>
            <w:r w:rsidRPr="002E7761">
              <w:rPr>
                <w:rFonts w:ascii="Times New Roman" w:eastAsia="Times New Roman" w:hAnsi="Times New Roman" w:cs="Times New Roman"/>
                <w:sz w:val="24"/>
                <w:szCs w:val="24"/>
              </w:rPr>
              <w:t xml:space="preserve"> interactions with mutant SPOP</w:t>
            </w:r>
          </w:p>
        </w:tc>
        <w:tc>
          <w:tcPr>
            <w:tcW w:w="890" w:type="dxa"/>
            <w:tcBorders>
              <w:left w:val="nil"/>
              <w:right w:val="nil"/>
            </w:tcBorders>
          </w:tcPr>
          <w:p w:rsidR="001C3298" w:rsidRDefault="001C3298" w:rsidP="001C3298">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b/>
                <w:bCs/>
                <w:sz w:val="24"/>
                <w:szCs w:val="24"/>
              </w:rPr>
              <w:t>45</w:t>
            </w:r>
          </w:p>
        </w:tc>
      </w:tr>
      <w:tr w:rsidR="001C3298" w:rsidTr="00EC14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tcBorders>
              <w:top w:val="none" w:sz="0" w:space="0" w:color="auto"/>
              <w:bottom w:val="none" w:sz="0" w:space="0" w:color="auto"/>
            </w:tcBorders>
          </w:tcPr>
          <w:p w:rsidR="001C3298" w:rsidRDefault="00121EB0" w:rsidP="001C3298">
            <w:pPr>
              <w:spacing w:line="360" w:lineRule="auto"/>
              <w:jc w:val="both"/>
              <w:rPr>
                <w:rFonts w:ascii="Times New Roman" w:eastAsia="Calibri" w:hAnsi="Times New Roman" w:cs="Times New Roman"/>
                <w:b w:val="0"/>
                <w:bCs w:val="0"/>
                <w:sz w:val="24"/>
                <w:szCs w:val="24"/>
              </w:rPr>
            </w:pPr>
            <w:r w:rsidRPr="00121EB0">
              <w:rPr>
                <w:rFonts w:ascii="Times New Roman" w:eastAsia="Calibri" w:hAnsi="Times New Roman" w:cs="Times New Roman"/>
                <w:b w:val="0"/>
                <w:bCs w:val="0"/>
                <w:sz w:val="24"/>
                <w:szCs w:val="24"/>
              </w:rPr>
              <w:t>Figure</w:t>
            </w:r>
            <w:r>
              <w:rPr>
                <w:rFonts w:ascii="Times New Roman" w:eastAsia="Calibri" w:hAnsi="Times New Roman" w:cs="Times New Roman"/>
                <w:b w:val="0"/>
                <w:bCs w:val="0"/>
                <w:sz w:val="24"/>
                <w:szCs w:val="24"/>
              </w:rPr>
              <w:t xml:space="preserve"> </w:t>
            </w:r>
            <w:r w:rsidR="001C3298">
              <w:rPr>
                <w:rFonts w:ascii="Times New Roman" w:eastAsia="Calibri" w:hAnsi="Times New Roman" w:cs="Times New Roman"/>
                <w:b w:val="0"/>
                <w:bCs w:val="0"/>
                <w:sz w:val="24"/>
                <w:szCs w:val="24"/>
              </w:rPr>
              <w:t>13</w:t>
            </w:r>
          </w:p>
        </w:tc>
        <w:tc>
          <w:tcPr>
            <w:tcW w:w="7110" w:type="dxa"/>
            <w:tcBorders>
              <w:top w:val="none" w:sz="0" w:space="0" w:color="auto"/>
              <w:bottom w:val="none" w:sz="0" w:space="0" w:color="auto"/>
            </w:tcBorders>
          </w:tcPr>
          <w:p w:rsidR="001C3298" w:rsidRPr="002E7761" w:rsidRDefault="001C3298" w:rsidP="001C329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Pr="002E7761">
              <w:rPr>
                <w:rFonts w:ascii="Times New Roman" w:eastAsia="Times New Roman" w:hAnsi="Times New Roman" w:cs="Times New Roman"/>
                <w:sz w:val="24"/>
                <w:szCs w:val="24"/>
              </w:rPr>
              <w:t xml:space="preserve">he 2D and 3D views of </w:t>
            </w:r>
            <w:r>
              <w:rPr>
                <w:rFonts w:ascii="Times New Roman" w:eastAsia="Times New Roman" w:hAnsi="Times New Roman" w:cs="Times New Roman"/>
                <w:sz w:val="24"/>
                <w:szCs w:val="24"/>
              </w:rPr>
              <w:t xml:space="preserve"> COMP1, 2, 3, 4 and </w:t>
            </w:r>
            <w:proofErr w:type="spellStart"/>
            <w:r>
              <w:rPr>
                <w:rFonts w:ascii="Times New Roman" w:eastAsia="Times New Roman" w:hAnsi="Times New Roman" w:cs="Times New Roman"/>
                <w:sz w:val="24"/>
                <w:szCs w:val="24"/>
              </w:rPr>
              <w:t>Ap</w:t>
            </w:r>
            <w:r w:rsidRPr="002E7761">
              <w:rPr>
                <w:rFonts w:ascii="Times New Roman" w:eastAsia="Times New Roman" w:hAnsi="Times New Roman" w:cs="Times New Roman"/>
                <w:sz w:val="24"/>
                <w:szCs w:val="24"/>
              </w:rPr>
              <w:t>alutamide</w:t>
            </w:r>
            <w:proofErr w:type="spellEnd"/>
            <w:r w:rsidRPr="002E7761">
              <w:rPr>
                <w:rFonts w:ascii="Times New Roman" w:eastAsia="Times New Roman" w:hAnsi="Times New Roman" w:cs="Times New Roman"/>
                <w:sz w:val="24"/>
                <w:szCs w:val="24"/>
              </w:rPr>
              <w:t xml:space="preserve"> interactions with AR-V7</w:t>
            </w:r>
          </w:p>
        </w:tc>
        <w:tc>
          <w:tcPr>
            <w:tcW w:w="890" w:type="dxa"/>
            <w:tcBorders>
              <w:top w:val="none" w:sz="0" w:space="0" w:color="auto"/>
              <w:bottom w:val="none" w:sz="0" w:space="0" w:color="auto"/>
            </w:tcBorders>
          </w:tcPr>
          <w:p w:rsidR="001C3298" w:rsidRDefault="001C3298" w:rsidP="001C329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b/>
                <w:bCs/>
                <w:sz w:val="24"/>
                <w:szCs w:val="24"/>
              </w:rPr>
              <w:t>49</w:t>
            </w:r>
          </w:p>
        </w:tc>
      </w:tr>
    </w:tbl>
    <w:p w:rsidR="00F77439" w:rsidRPr="002E7761" w:rsidRDefault="00F77439" w:rsidP="00AA625E">
      <w:pPr>
        <w:spacing w:line="360" w:lineRule="auto"/>
        <w:jc w:val="both"/>
        <w:rPr>
          <w:rFonts w:ascii="Times New Roman" w:eastAsia="Calibri" w:hAnsi="Times New Roman" w:cs="Times New Roman"/>
          <w:b/>
          <w:bCs/>
          <w:sz w:val="24"/>
          <w:szCs w:val="24"/>
        </w:rPr>
      </w:pPr>
    </w:p>
    <w:p w:rsidR="00F77439" w:rsidRPr="002E7761" w:rsidRDefault="00F77439" w:rsidP="00AA625E">
      <w:pPr>
        <w:spacing w:line="360" w:lineRule="auto"/>
        <w:jc w:val="center"/>
        <w:rPr>
          <w:rFonts w:ascii="Times New Roman" w:eastAsia="Calibri" w:hAnsi="Times New Roman" w:cs="Times New Roman"/>
          <w:b/>
          <w:bCs/>
          <w:sz w:val="24"/>
          <w:szCs w:val="24"/>
        </w:rPr>
      </w:pPr>
    </w:p>
    <w:p w:rsidR="00F77439" w:rsidRPr="002E7761" w:rsidRDefault="00F77439" w:rsidP="00AA625E">
      <w:pPr>
        <w:spacing w:line="360" w:lineRule="auto"/>
        <w:jc w:val="center"/>
        <w:rPr>
          <w:rFonts w:ascii="Times New Roman" w:eastAsia="Calibri" w:hAnsi="Times New Roman" w:cs="Times New Roman"/>
          <w:b/>
          <w:bCs/>
          <w:sz w:val="24"/>
          <w:szCs w:val="24"/>
        </w:rPr>
      </w:pPr>
    </w:p>
    <w:p w:rsidR="00F77439" w:rsidRPr="002E7761" w:rsidRDefault="00F77439" w:rsidP="00AA625E">
      <w:pPr>
        <w:spacing w:line="360" w:lineRule="auto"/>
        <w:jc w:val="center"/>
        <w:rPr>
          <w:rFonts w:ascii="Times New Roman" w:eastAsia="Calibri" w:hAnsi="Times New Roman" w:cs="Times New Roman"/>
          <w:b/>
          <w:bCs/>
          <w:sz w:val="24"/>
          <w:szCs w:val="24"/>
        </w:rPr>
      </w:pPr>
    </w:p>
    <w:p w:rsidR="00F77439" w:rsidRPr="002E7761" w:rsidRDefault="00F77439" w:rsidP="00AA625E">
      <w:pPr>
        <w:spacing w:line="360" w:lineRule="auto"/>
        <w:jc w:val="center"/>
        <w:rPr>
          <w:rFonts w:ascii="Times New Roman" w:eastAsia="Calibri" w:hAnsi="Times New Roman" w:cs="Times New Roman"/>
          <w:b/>
          <w:bCs/>
          <w:sz w:val="24"/>
          <w:szCs w:val="24"/>
        </w:rPr>
      </w:pPr>
    </w:p>
    <w:p w:rsidR="00F77439" w:rsidRPr="002E7761" w:rsidRDefault="00F77439" w:rsidP="00AA625E">
      <w:pPr>
        <w:spacing w:line="360" w:lineRule="auto"/>
        <w:jc w:val="center"/>
        <w:rPr>
          <w:rFonts w:ascii="Times New Roman" w:eastAsia="Calibri" w:hAnsi="Times New Roman" w:cs="Times New Roman"/>
          <w:b/>
          <w:bCs/>
          <w:sz w:val="24"/>
          <w:szCs w:val="24"/>
        </w:rPr>
      </w:pPr>
    </w:p>
    <w:p w:rsidR="00F77439" w:rsidRPr="002E7761" w:rsidRDefault="00F77439" w:rsidP="00F77439">
      <w:pPr>
        <w:rPr>
          <w:rFonts w:ascii="Times New Roman" w:eastAsia="Calibri" w:hAnsi="Times New Roman" w:cs="Times New Roman"/>
          <w:b/>
          <w:bCs/>
          <w:sz w:val="24"/>
          <w:szCs w:val="24"/>
        </w:rPr>
      </w:pPr>
    </w:p>
    <w:p w:rsidR="00F77439" w:rsidRPr="002E7761" w:rsidRDefault="00F77439" w:rsidP="00F77439">
      <w:pPr>
        <w:rPr>
          <w:rFonts w:ascii="Times New Roman" w:eastAsia="Calibri" w:hAnsi="Times New Roman" w:cs="Times New Roman"/>
          <w:b/>
          <w:bCs/>
          <w:sz w:val="24"/>
          <w:szCs w:val="24"/>
        </w:rPr>
      </w:pPr>
    </w:p>
    <w:p w:rsidR="00F77439" w:rsidRPr="00EC1487" w:rsidRDefault="00F77439" w:rsidP="00EC1487">
      <w:pPr>
        <w:jc w:val="center"/>
        <w:rPr>
          <w:rFonts w:ascii="Times New Roman" w:eastAsia="Calibri" w:hAnsi="Times New Roman" w:cs="Times New Roman"/>
          <w:b/>
          <w:bCs/>
          <w:sz w:val="24"/>
          <w:szCs w:val="24"/>
        </w:rPr>
      </w:pPr>
      <w:r w:rsidRPr="002E7761">
        <w:rPr>
          <w:rFonts w:ascii="Times New Roman" w:eastAsia="Calibri" w:hAnsi="Times New Roman" w:cs="Times New Roman"/>
          <w:b/>
          <w:bCs/>
          <w:sz w:val="24"/>
          <w:szCs w:val="24"/>
        </w:rPr>
        <w:lastRenderedPageBreak/>
        <w:t>LIST OF TABLES</w:t>
      </w:r>
    </w:p>
    <w:tbl>
      <w:tblPr>
        <w:tblStyle w:val="PlainTable2"/>
        <w:tblW w:w="0" w:type="auto"/>
        <w:tblBorders>
          <w:top w:val="none" w:sz="0" w:space="0" w:color="auto"/>
          <w:bottom w:val="none" w:sz="0" w:space="0" w:color="auto"/>
        </w:tblBorders>
        <w:tblLook w:val="04A0" w:firstRow="1" w:lastRow="0" w:firstColumn="1" w:lastColumn="0" w:noHBand="0" w:noVBand="1"/>
      </w:tblPr>
      <w:tblGrid>
        <w:gridCol w:w="1350"/>
        <w:gridCol w:w="7110"/>
        <w:gridCol w:w="890"/>
      </w:tblGrid>
      <w:tr w:rsidR="00EC1487" w:rsidTr="00EC148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tcBorders>
              <w:bottom w:val="none" w:sz="0" w:space="0" w:color="auto"/>
            </w:tcBorders>
          </w:tcPr>
          <w:p w:rsidR="00EC1487" w:rsidRDefault="00EC1487" w:rsidP="00EC1487">
            <w:pPr>
              <w:spacing w:line="360" w:lineRule="auto"/>
              <w:jc w:val="both"/>
              <w:rPr>
                <w:rFonts w:ascii="Times New Roman" w:eastAsia="Calibri" w:hAnsi="Times New Roman" w:cs="Times New Roman"/>
                <w:b w:val="0"/>
                <w:bCs w:val="0"/>
                <w:sz w:val="24"/>
                <w:szCs w:val="24"/>
              </w:rPr>
            </w:pPr>
            <w:r>
              <w:rPr>
                <w:rFonts w:ascii="Times New Roman" w:eastAsia="Calibri" w:hAnsi="Times New Roman" w:cs="Times New Roman"/>
                <w:sz w:val="24"/>
                <w:szCs w:val="24"/>
              </w:rPr>
              <w:t>Table</w:t>
            </w:r>
            <w:r w:rsidRPr="002E7761">
              <w:rPr>
                <w:rFonts w:ascii="Times New Roman" w:eastAsia="Calibri" w:hAnsi="Times New Roman" w:cs="Times New Roman"/>
                <w:sz w:val="24"/>
                <w:szCs w:val="24"/>
              </w:rPr>
              <w:t xml:space="preserve"> No.</w:t>
            </w:r>
          </w:p>
        </w:tc>
        <w:tc>
          <w:tcPr>
            <w:tcW w:w="7110" w:type="dxa"/>
            <w:tcBorders>
              <w:bottom w:val="none" w:sz="0" w:space="0" w:color="auto"/>
            </w:tcBorders>
          </w:tcPr>
          <w:p w:rsidR="00EC1487" w:rsidRDefault="00EC1487" w:rsidP="00EC1487">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bCs w:val="0"/>
                <w:sz w:val="24"/>
                <w:szCs w:val="24"/>
              </w:rPr>
            </w:pPr>
            <w:r w:rsidRPr="002E7761">
              <w:rPr>
                <w:rFonts w:ascii="Times New Roman" w:eastAsia="Calibri" w:hAnsi="Times New Roman" w:cs="Times New Roman"/>
                <w:sz w:val="24"/>
                <w:szCs w:val="24"/>
              </w:rPr>
              <w:t>Title</w:t>
            </w:r>
            <w:r w:rsidRPr="002E7761">
              <w:rPr>
                <w:rFonts w:ascii="Times New Roman" w:eastAsia="Calibri" w:hAnsi="Times New Roman" w:cs="Times New Roman"/>
                <w:sz w:val="24"/>
                <w:szCs w:val="24"/>
              </w:rPr>
              <w:tab/>
            </w:r>
          </w:p>
        </w:tc>
        <w:tc>
          <w:tcPr>
            <w:tcW w:w="890" w:type="dxa"/>
            <w:tcBorders>
              <w:bottom w:val="none" w:sz="0" w:space="0" w:color="auto"/>
            </w:tcBorders>
          </w:tcPr>
          <w:p w:rsidR="00EC1487" w:rsidRDefault="00EC1487" w:rsidP="00EC1487">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bCs w:val="0"/>
                <w:sz w:val="24"/>
                <w:szCs w:val="24"/>
              </w:rPr>
            </w:pPr>
            <w:r w:rsidRPr="002E7761">
              <w:rPr>
                <w:rFonts w:ascii="Times New Roman" w:eastAsia="Calibri" w:hAnsi="Times New Roman" w:cs="Times New Roman"/>
                <w:sz w:val="24"/>
                <w:szCs w:val="24"/>
              </w:rPr>
              <w:t>Page</w:t>
            </w:r>
          </w:p>
        </w:tc>
      </w:tr>
      <w:tr w:rsidR="001C3298" w:rsidTr="00896B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tcBorders>
              <w:top w:val="none" w:sz="0" w:space="0" w:color="auto"/>
              <w:bottom w:val="none" w:sz="0" w:space="0" w:color="auto"/>
            </w:tcBorders>
          </w:tcPr>
          <w:p w:rsidR="001C3298" w:rsidRPr="002E7761" w:rsidRDefault="00121EB0" w:rsidP="001C3298">
            <w:pPr>
              <w:spacing w:line="360" w:lineRule="auto"/>
              <w:jc w:val="both"/>
              <w:rPr>
                <w:rFonts w:ascii="Times New Roman" w:eastAsia="Calibri" w:hAnsi="Times New Roman" w:cs="Times New Roman"/>
                <w:b w:val="0"/>
                <w:bCs w:val="0"/>
                <w:sz w:val="24"/>
                <w:szCs w:val="24"/>
              </w:rPr>
            </w:pPr>
            <w:r>
              <w:rPr>
                <w:rFonts w:ascii="Times New Roman" w:eastAsia="Calibri" w:hAnsi="Times New Roman" w:cs="Times New Roman"/>
                <w:b w:val="0"/>
                <w:bCs w:val="0"/>
                <w:sz w:val="24"/>
                <w:szCs w:val="24"/>
              </w:rPr>
              <w:t xml:space="preserve">Table </w:t>
            </w:r>
            <w:r w:rsidR="001C3298">
              <w:rPr>
                <w:rFonts w:ascii="Times New Roman" w:eastAsia="Calibri" w:hAnsi="Times New Roman" w:cs="Times New Roman"/>
                <w:b w:val="0"/>
                <w:bCs w:val="0"/>
                <w:sz w:val="24"/>
                <w:szCs w:val="24"/>
              </w:rPr>
              <w:t>1</w:t>
            </w:r>
          </w:p>
        </w:tc>
        <w:tc>
          <w:tcPr>
            <w:tcW w:w="7110" w:type="dxa"/>
            <w:tcBorders>
              <w:top w:val="none" w:sz="0" w:space="0" w:color="auto"/>
              <w:bottom w:val="none" w:sz="0" w:space="0" w:color="auto"/>
            </w:tcBorders>
          </w:tcPr>
          <w:p w:rsidR="001C3298" w:rsidRPr="002E7761" w:rsidRDefault="001C3298" w:rsidP="001C329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bCs/>
                <w:sz w:val="24"/>
                <w:szCs w:val="24"/>
              </w:rPr>
            </w:pPr>
            <w:r w:rsidRPr="00647351">
              <w:rPr>
                <w:rFonts w:ascii="Times New Roman" w:hAnsi="Times New Roman" w:cs="Times New Roman"/>
                <w:sz w:val="24"/>
                <w:szCs w:val="24"/>
              </w:rPr>
              <w:t>Combination therapies targeting AR and PI3K/AKT/</w:t>
            </w:r>
            <w:proofErr w:type="spellStart"/>
            <w:r w:rsidRPr="00647351">
              <w:rPr>
                <w:rFonts w:ascii="Times New Roman" w:hAnsi="Times New Roman" w:cs="Times New Roman"/>
                <w:sz w:val="24"/>
                <w:szCs w:val="24"/>
              </w:rPr>
              <w:t>mTOR</w:t>
            </w:r>
            <w:proofErr w:type="spellEnd"/>
            <w:r w:rsidRPr="00647351">
              <w:rPr>
                <w:rFonts w:ascii="Times New Roman" w:hAnsi="Times New Roman" w:cs="Times New Roman"/>
                <w:sz w:val="24"/>
                <w:szCs w:val="24"/>
              </w:rPr>
              <w:t xml:space="preserve"> pathways</w:t>
            </w:r>
          </w:p>
        </w:tc>
        <w:tc>
          <w:tcPr>
            <w:tcW w:w="890" w:type="dxa"/>
            <w:tcBorders>
              <w:top w:val="nil"/>
              <w:left w:val="nil"/>
              <w:bottom w:val="none" w:sz="0" w:space="0" w:color="auto"/>
              <w:right w:val="nil"/>
            </w:tcBorders>
          </w:tcPr>
          <w:p w:rsidR="001C3298" w:rsidRDefault="001C3298" w:rsidP="001C329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b/>
                <w:bCs/>
                <w:sz w:val="24"/>
                <w:szCs w:val="24"/>
              </w:rPr>
              <w:t>17</w:t>
            </w:r>
          </w:p>
        </w:tc>
      </w:tr>
      <w:tr w:rsidR="001C3298" w:rsidTr="00896B0D">
        <w:tc>
          <w:tcPr>
            <w:cnfStyle w:val="001000000000" w:firstRow="0" w:lastRow="0" w:firstColumn="1" w:lastColumn="0" w:oddVBand="0" w:evenVBand="0" w:oddHBand="0" w:evenHBand="0" w:firstRowFirstColumn="0" w:firstRowLastColumn="0" w:lastRowFirstColumn="0" w:lastRowLastColumn="0"/>
            <w:tcW w:w="1350" w:type="dxa"/>
          </w:tcPr>
          <w:p w:rsidR="001C3298" w:rsidRPr="002E7761" w:rsidRDefault="00121EB0" w:rsidP="001C3298">
            <w:pPr>
              <w:spacing w:line="360" w:lineRule="auto"/>
              <w:jc w:val="both"/>
              <w:rPr>
                <w:rFonts w:ascii="Times New Roman" w:eastAsia="Calibri" w:hAnsi="Times New Roman" w:cs="Times New Roman"/>
                <w:b w:val="0"/>
                <w:bCs w:val="0"/>
                <w:sz w:val="24"/>
                <w:szCs w:val="24"/>
              </w:rPr>
            </w:pPr>
            <w:r>
              <w:rPr>
                <w:rFonts w:ascii="Times New Roman" w:eastAsia="Calibri" w:hAnsi="Times New Roman" w:cs="Times New Roman"/>
                <w:b w:val="0"/>
                <w:bCs w:val="0"/>
                <w:sz w:val="24"/>
                <w:szCs w:val="24"/>
              </w:rPr>
              <w:t xml:space="preserve">Table </w:t>
            </w:r>
            <w:r w:rsidR="001C3298">
              <w:rPr>
                <w:rFonts w:ascii="Times New Roman" w:eastAsia="Calibri" w:hAnsi="Times New Roman" w:cs="Times New Roman"/>
                <w:b w:val="0"/>
                <w:bCs w:val="0"/>
                <w:sz w:val="24"/>
                <w:szCs w:val="24"/>
              </w:rPr>
              <w:t>2</w:t>
            </w:r>
          </w:p>
        </w:tc>
        <w:tc>
          <w:tcPr>
            <w:tcW w:w="7110" w:type="dxa"/>
          </w:tcPr>
          <w:p w:rsidR="001C3298" w:rsidRPr="002E7761" w:rsidRDefault="001C3298" w:rsidP="001C3298">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24"/>
                <w:szCs w:val="24"/>
              </w:rPr>
            </w:pPr>
            <w:r w:rsidRPr="00FD5C82">
              <w:rPr>
                <w:rFonts w:eastAsia="Times New Roman" w:cs="Times New Roman"/>
                <w:color w:val="000000"/>
                <w:szCs w:val="24"/>
                <w:lang w:eastAsia="de-DE" w:bidi="en-US"/>
              </w:rPr>
              <w:t>Coding exons of SPOP gene</w:t>
            </w:r>
          </w:p>
        </w:tc>
        <w:tc>
          <w:tcPr>
            <w:tcW w:w="890" w:type="dxa"/>
            <w:tcBorders>
              <w:left w:val="nil"/>
              <w:right w:val="nil"/>
            </w:tcBorders>
          </w:tcPr>
          <w:p w:rsidR="001C3298" w:rsidRDefault="001C3298" w:rsidP="001C3298">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24"/>
                <w:szCs w:val="24"/>
              </w:rPr>
            </w:pPr>
            <w:r>
              <w:rPr>
                <w:rFonts w:ascii="Times New Roman" w:eastAsia="Calibri" w:hAnsi="Times New Roman" w:cs="Times New Roman"/>
                <w:b/>
                <w:bCs/>
                <w:sz w:val="24"/>
                <w:szCs w:val="24"/>
              </w:rPr>
              <w:t>26</w:t>
            </w:r>
          </w:p>
        </w:tc>
      </w:tr>
      <w:tr w:rsidR="001C3298" w:rsidTr="00EC14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tcBorders>
              <w:top w:val="none" w:sz="0" w:space="0" w:color="auto"/>
              <w:bottom w:val="none" w:sz="0" w:space="0" w:color="auto"/>
            </w:tcBorders>
          </w:tcPr>
          <w:p w:rsidR="001C3298" w:rsidRDefault="00121EB0" w:rsidP="001C3298">
            <w:pPr>
              <w:spacing w:line="360" w:lineRule="auto"/>
              <w:jc w:val="both"/>
              <w:rPr>
                <w:rFonts w:ascii="Times New Roman" w:eastAsia="Calibri" w:hAnsi="Times New Roman" w:cs="Times New Roman"/>
                <w:b w:val="0"/>
                <w:bCs w:val="0"/>
                <w:sz w:val="24"/>
                <w:szCs w:val="24"/>
              </w:rPr>
            </w:pPr>
            <w:r>
              <w:rPr>
                <w:rFonts w:ascii="Times New Roman" w:eastAsia="Calibri" w:hAnsi="Times New Roman" w:cs="Times New Roman"/>
                <w:b w:val="0"/>
                <w:bCs w:val="0"/>
                <w:sz w:val="24"/>
                <w:szCs w:val="24"/>
              </w:rPr>
              <w:t xml:space="preserve">Table </w:t>
            </w:r>
            <w:r w:rsidR="001C3298">
              <w:rPr>
                <w:rFonts w:ascii="Times New Roman" w:eastAsia="Calibri" w:hAnsi="Times New Roman" w:cs="Times New Roman"/>
                <w:b w:val="0"/>
                <w:bCs w:val="0"/>
                <w:sz w:val="24"/>
                <w:szCs w:val="24"/>
              </w:rPr>
              <w:t>3</w:t>
            </w:r>
          </w:p>
        </w:tc>
        <w:tc>
          <w:tcPr>
            <w:tcW w:w="7110" w:type="dxa"/>
            <w:tcBorders>
              <w:top w:val="none" w:sz="0" w:space="0" w:color="auto"/>
              <w:bottom w:val="none" w:sz="0" w:space="0" w:color="auto"/>
            </w:tcBorders>
          </w:tcPr>
          <w:p w:rsidR="001C3298" w:rsidRPr="002E7761" w:rsidRDefault="001C3298" w:rsidP="001C329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bCs/>
                <w:sz w:val="24"/>
                <w:szCs w:val="24"/>
              </w:rPr>
            </w:pPr>
            <w:r w:rsidRPr="002E7761">
              <w:rPr>
                <w:rFonts w:ascii="Times New Roman" w:eastAsia="Times New Roman" w:hAnsi="Times New Roman" w:cs="Times New Roman"/>
                <w:sz w:val="24"/>
                <w:szCs w:val="24"/>
              </w:rPr>
              <w:t xml:space="preserve">Physicochemical Properties of the Selected Pure Compounds Isolated from </w:t>
            </w:r>
            <w:proofErr w:type="spellStart"/>
            <w:r w:rsidRPr="002E7761">
              <w:rPr>
                <w:rFonts w:ascii="Times New Roman" w:eastAsia="Times New Roman" w:hAnsi="Times New Roman" w:cs="Times New Roman"/>
                <w:i/>
                <w:sz w:val="24"/>
                <w:szCs w:val="24"/>
              </w:rPr>
              <w:t>Caesalpinia</w:t>
            </w:r>
            <w:proofErr w:type="spellEnd"/>
            <w:r w:rsidRPr="002E7761">
              <w:rPr>
                <w:rFonts w:ascii="Times New Roman" w:eastAsia="Times New Roman" w:hAnsi="Times New Roman" w:cs="Times New Roman"/>
                <w:i/>
                <w:sz w:val="24"/>
                <w:szCs w:val="24"/>
              </w:rPr>
              <w:t xml:space="preserve"> </w:t>
            </w:r>
            <w:proofErr w:type="spellStart"/>
            <w:r w:rsidRPr="002E7761">
              <w:rPr>
                <w:rFonts w:ascii="Times New Roman" w:eastAsia="Times New Roman" w:hAnsi="Times New Roman" w:cs="Times New Roman"/>
                <w:i/>
                <w:sz w:val="24"/>
                <w:szCs w:val="24"/>
              </w:rPr>
              <w:t>bonduc</w:t>
            </w:r>
            <w:proofErr w:type="spellEnd"/>
            <w:r w:rsidRPr="002E7761">
              <w:rPr>
                <w:rFonts w:ascii="Times New Roman" w:eastAsia="Times New Roman" w:hAnsi="Times New Roman" w:cs="Times New Roman"/>
                <w:i/>
                <w:sz w:val="24"/>
                <w:szCs w:val="24"/>
              </w:rPr>
              <w:t xml:space="preserve"> </w:t>
            </w:r>
            <w:r w:rsidRPr="002E7761">
              <w:rPr>
                <w:rFonts w:ascii="Times New Roman" w:eastAsia="Times New Roman" w:hAnsi="Times New Roman" w:cs="Times New Roman"/>
                <w:sz w:val="24"/>
                <w:szCs w:val="24"/>
              </w:rPr>
              <w:t xml:space="preserve">and the standard compounds, </w:t>
            </w:r>
            <w:proofErr w:type="spellStart"/>
            <w:r w:rsidRPr="002E7761">
              <w:rPr>
                <w:rFonts w:ascii="Times New Roman" w:eastAsia="Times New Roman" w:hAnsi="Times New Roman" w:cs="Times New Roman"/>
                <w:sz w:val="24"/>
                <w:szCs w:val="24"/>
              </w:rPr>
              <w:t>Enzalutamide</w:t>
            </w:r>
            <w:proofErr w:type="spellEnd"/>
            <w:r w:rsidRPr="002E7761">
              <w:rPr>
                <w:rFonts w:ascii="Times New Roman" w:eastAsia="Times New Roman" w:hAnsi="Times New Roman" w:cs="Times New Roman"/>
                <w:sz w:val="24"/>
                <w:szCs w:val="24"/>
              </w:rPr>
              <w:t xml:space="preserve"> and </w:t>
            </w:r>
            <w:proofErr w:type="spellStart"/>
            <w:r w:rsidRPr="002E7761">
              <w:rPr>
                <w:rFonts w:ascii="Times New Roman" w:eastAsia="Times New Roman" w:hAnsi="Times New Roman" w:cs="Times New Roman"/>
                <w:sz w:val="24"/>
                <w:szCs w:val="24"/>
              </w:rPr>
              <w:t>Apalutamide</w:t>
            </w:r>
            <w:proofErr w:type="spellEnd"/>
          </w:p>
        </w:tc>
        <w:tc>
          <w:tcPr>
            <w:tcW w:w="890" w:type="dxa"/>
            <w:tcBorders>
              <w:top w:val="none" w:sz="0" w:space="0" w:color="auto"/>
              <w:bottom w:val="none" w:sz="0" w:space="0" w:color="auto"/>
            </w:tcBorders>
          </w:tcPr>
          <w:p w:rsidR="001C3298" w:rsidRDefault="001C3298" w:rsidP="001C329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bCs/>
                <w:sz w:val="24"/>
                <w:szCs w:val="24"/>
              </w:rPr>
            </w:pPr>
            <w:r>
              <w:rPr>
                <w:rFonts w:ascii="Times New Roman" w:eastAsia="Calibri" w:hAnsi="Times New Roman" w:cs="Times New Roman"/>
                <w:b/>
                <w:bCs/>
                <w:sz w:val="24"/>
                <w:szCs w:val="24"/>
              </w:rPr>
              <w:t>42</w:t>
            </w:r>
          </w:p>
        </w:tc>
      </w:tr>
      <w:tr w:rsidR="001C3298" w:rsidTr="00896B0D">
        <w:tc>
          <w:tcPr>
            <w:cnfStyle w:val="001000000000" w:firstRow="0" w:lastRow="0" w:firstColumn="1" w:lastColumn="0" w:oddVBand="0" w:evenVBand="0" w:oddHBand="0" w:evenHBand="0" w:firstRowFirstColumn="0" w:firstRowLastColumn="0" w:lastRowFirstColumn="0" w:lastRowLastColumn="0"/>
            <w:tcW w:w="1350" w:type="dxa"/>
          </w:tcPr>
          <w:p w:rsidR="001C3298" w:rsidRDefault="00121EB0" w:rsidP="001C3298">
            <w:pPr>
              <w:spacing w:line="360" w:lineRule="auto"/>
              <w:jc w:val="both"/>
              <w:rPr>
                <w:rFonts w:ascii="Times New Roman" w:eastAsia="Calibri" w:hAnsi="Times New Roman" w:cs="Times New Roman"/>
                <w:b w:val="0"/>
                <w:bCs w:val="0"/>
                <w:sz w:val="24"/>
                <w:szCs w:val="24"/>
              </w:rPr>
            </w:pPr>
            <w:r>
              <w:rPr>
                <w:rFonts w:ascii="Times New Roman" w:eastAsia="Calibri" w:hAnsi="Times New Roman" w:cs="Times New Roman"/>
                <w:b w:val="0"/>
                <w:bCs w:val="0"/>
                <w:sz w:val="24"/>
                <w:szCs w:val="24"/>
              </w:rPr>
              <w:t xml:space="preserve">Table </w:t>
            </w:r>
            <w:r w:rsidR="001C3298">
              <w:rPr>
                <w:rFonts w:ascii="Times New Roman" w:eastAsia="Calibri" w:hAnsi="Times New Roman" w:cs="Times New Roman"/>
                <w:b w:val="0"/>
                <w:bCs w:val="0"/>
                <w:sz w:val="24"/>
                <w:szCs w:val="24"/>
              </w:rPr>
              <w:t>4</w:t>
            </w:r>
          </w:p>
        </w:tc>
        <w:tc>
          <w:tcPr>
            <w:tcW w:w="7110" w:type="dxa"/>
          </w:tcPr>
          <w:p w:rsidR="001C3298" w:rsidRPr="002E7761" w:rsidRDefault="001C3298" w:rsidP="001C3298">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24"/>
                <w:szCs w:val="24"/>
              </w:rPr>
            </w:pPr>
            <w:r w:rsidRPr="002E7761">
              <w:rPr>
                <w:rFonts w:ascii="Times New Roman" w:eastAsia="Times New Roman" w:hAnsi="Times New Roman" w:cs="Times New Roman"/>
                <w:sz w:val="24"/>
                <w:szCs w:val="24"/>
              </w:rPr>
              <w:t>Adherence of isolated and reference compounds to the</w:t>
            </w:r>
            <w:r>
              <w:rPr>
                <w:rFonts w:ascii="Times New Roman" w:eastAsia="Times New Roman" w:hAnsi="Times New Roman" w:cs="Times New Roman"/>
                <w:sz w:val="24"/>
                <w:szCs w:val="24"/>
              </w:rPr>
              <w:t xml:space="preserve"> known drug-likeness guidelines</w:t>
            </w:r>
          </w:p>
        </w:tc>
        <w:tc>
          <w:tcPr>
            <w:tcW w:w="890" w:type="dxa"/>
            <w:tcBorders>
              <w:left w:val="nil"/>
              <w:right w:val="nil"/>
            </w:tcBorders>
          </w:tcPr>
          <w:p w:rsidR="001C3298" w:rsidRDefault="001C3298" w:rsidP="001C3298">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24"/>
                <w:szCs w:val="24"/>
              </w:rPr>
            </w:pPr>
            <w:r>
              <w:rPr>
                <w:rFonts w:ascii="Times New Roman" w:eastAsia="Calibri" w:hAnsi="Times New Roman" w:cs="Times New Roman"/>
                <w:b/>
                <w:bCs/>
                <w:sz w:val="24"/>
                <w:szCs w:val="24"/>
              </w:rPr>
              <w:t>42</w:t>
            </w:r>
          </w:p>
        </w:tc>
      </w:tr>
      <w:tr w:rsidR="001C3298" w:rsidTr="00EC14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tcBorders>
              <w:top w:val="none" w:sz="0" w:space="0" w:color="auto"/>
              <w:bottom w:val="none" w:sz="0" w:space="0" w:color="auto"/>
            </w:tcBorders>
          </w:tcPr>
          <w:p w:rsidR="001C3298" w:rsidRDefault="00121EB0" w:rsidP="001C3298">
            <w:pPr>
              <w:spacing w:line="360" w:lineRule="auto"/>
              <w:jc w:val="both"/>
              <w:rPr>
                <w:rFonts w:ascii="Times New Roman" w:eastAsia="Calibri" w:hAnsi="Times New Roman" w:cs="Times New Roman"/>
                <w:b w:val="0"/>
                <w:bCs w:val="0"/>
                <w:sz w:val="24"/>
                <w:szCs w:val="24"/>
              </w:rPr>
            </w:pPr>
            <w:r>
              <w:rPr>
                <w:rFonts w:ascii="Times New Roman" w:eastAsia="Calibri" w:hAnsi="Times New Roman" w:cs="Times New Roman"/>
                <w:b w:val="0"/>
                <w:bCs w:val="0"/>
                <w:sz w:val="24"/>
                <w:szCs w:val="24"/>
              </w:rPr>
              <w:t xml:space="preserve">Table </w:t>
            </w:r>
            <w:r w:rsidR="001C3298">
              <w:rPr>
                <w:rFonts w:ascii="Times New Roman" w:eastAsia="Calibri" w:hAnsi="Times New Roman" w:cs="Times New Roman"/>
                <w:b w:val="0"/>
                <w:bCs w:val="0"/>
                <w:sz w:val="24"/>
                <w:szCs w:val="24"/>
              </w:rPr>
              <w:t>5</w:t>
            </w:r>
          </w:p>
        </w:tc>
        <w:tc>
          <w:tcPr>
            <w:tcW w:w="7110" w:type="dxa"/>
            <w:tcBorders>
              <w:top w:val="none" w:sz="0" w:space="0" w:color="auto"/>
              <w:bottom w:val="none" w:sz="0" w:space="0" w:color="auto"/>
            </w:tcBorders>
          </w:tcPr>
          <w:p w:rsidR="001C3298" w:rsidRPr="002E7761" w:rsidRDefault="001C3298" w:rsidP="001C329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bCs/>
                <w:sz w:val="24"/>
                <w:szCs w:val="24"/>
              </w:rPr>
            </w:pPr>
            <w:r w:rsidRPr="002E7761">
              <w:rPr>
                <w:rFonts w:ascii="Times New Roman" w:eastAsia="Times New Roman" w:hAnsi="Times New Roman" w:cs="Times New Roman"/>
                <w:sz w:val="24"/>
                <w:szCs w:val="24"/>
              </w:rPr>
              <w:t xml:space="preserve">Molecular docking analysis of pure compounds showing estimated binding free energy and interacting residues in the binding site of </w:t>
            </w:r>
            <w:proofErr w:type="spellStart"/>
            <w:r w:rsidRPr="002E7761">
              <w:rPr>
                <w:rFonts w:ascii="Times New Roman" w:eastAsia="Times New Roman" w:hAnsi="Times New Roman" w:cs="Times New Roman"/>
                <w:sz w:val="24"/>
                <w:szCs w:val="24"/>
              </w:rPr>
              <w:t>mut</w:t>
            </w:r>
            <w:proofErr w:type="spellEnd"/>
            <w:r w:rsidRPr="002E7761">
              <w:rPr>
                <w:rFonts w:ascii="Times New Roman" w:eastAsia="Times New Roman" w:hAnsi="Times New Roman" w:cs="Times New Roman"/>
                <w:sz w:val="24"/>
                <w:szCs w:val="24"/>
              </w:rPr>
              <w:t xml:space="preserve"> SPOP</w:t>
            </w:r>
          </w:p>
        </w:tc>
        <w:tc>
          <w:tcPr>
            <w:tcW w:w="890" w:type="dxa"/>
            <w:tcBorders>
              <w:top w:val="none" w:sz="0" w:space="0" w:color="auto"/>
              <w:bottom w:val="none" w:sz="0" w:space="0" w:color="auto"/>
            </w:tcBorders>
          </w:tcPr>
          <w:p w:rsidR="001C3298" w:rsidRDefault="001C3298" w:rsidP="001C329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bCs/>
                <w:sz w:val="24"/>
                <w:szCs w:val="24"/>
              </w:rPr>
            </w:pPr>
            <w:r>
              <w:rPr>
                <w:rFonts w:ascii="Times New Roman" w:eastAsia="Calibri" w:hAnsi="Times New Roman" w:cs="Times New Roman"/>
                <w:b/>
                <w:bCs/>
                <w:sz w:val="24"/>
                <w:szCs w:val="24"/>
              </w:rPr>
              <w:t>53</w:t>
            </w:r>
          </w:p>
        </w:tc>
      </w:tr>
      <w:tr w:rsidR="001C3298" w:rsidTr="00896B0D">
        <w:tc>
          <w:tcPr>
            <w:cnfStyle w:val="001000000000" w:firstRow="0" w:lastRow="0" w:firstColumn="1" w:lastColumn="0" w:oddVBand="0" w:evenVBand="0" w:oddHBand="0" w:evenHBand="0" w:firstRowFirstColumn="0" w:firstRowLastColumn="0" w:lastRowFirstColumn="0" w:lastRowLastColumn="0"/>
            <w:tcW w:w="1350" w:type="dxa"/>
          </w:tcPr>
          <w:p w:rsidR="001C3298" w:rsidRDefault="00121EB0" w:rsidP="001C3298">
            <w:pPr>
              <w:spacing w:line="360" w:lineRule="auto"/>
              <w:jc w:val="both"/>
              <w:rPr>
                <w:rFonts w:ascii="Times New Roman" w:eastAsia="Calibri" w:hAnsi="Times New Roman" w:cs="Times New Roman"/>
                <w:b w:val="0"/>
                <w:bCs w:val="0"/>
                <w:sz w:val="24"/>
                <w:szCs w:val="24"/>
              </w:rPr>
            </w:pPr>
            <w:r>
              <w:rPr>
                <w:rFonts w:ascii="Times New Roman" w:eastAsia="Calibri" w:hAnsi="Times New Roman" w:cs="Times New Roman"/>
                <w:b w:val="0"/>
                <w:bCs w:val="0"/>
                <w:sz w:val="24"/>
                <w:szCs w:val="24"/>
              </w:rPr>
              <w:t xml:space="preserve">Table </w:t>
            </w:r>
            <w:r w:rsidR="001C3298">
              <w:rPr>
                <w:rFonts w:ascii="Times New Roman" w:eastAsia="Calibri" w:hAnsi="Times New Roman" w:cs="Times New Roman"/>
                <w:b w:val="0"/>
                <w:bCs w:val="0"/>
                <w:sz w:val="24"/>
                <w:szCs w:val="24"/>
              </w:rPr>
              <w:t>6</w:t>
            </w:r>
          </w:p>
        </w:tc>
        <w:tc>
          <w:tcPr>
            <w:tcW w:w="7110" w:type="dxa"/>
          </w:tcPr>
          <w:p w:rsidR="001C3298" w:rsidRPr="002E7761" w:rsidRDefault="001C3298" w:rsidP="001C3298">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24"/>
                <w:szCs w:val="24"/>
              </w:rPr>
            </w:pPr>
            <w:r w:rsidRPr="002E7761">
              <w:rPr>
                <w:rFonts w:ascii="Times New Roman" w:eastAsia="Times New Roman" w:hAnsi="Times New Roman" w:cs="Times New Roman"/>
                <w:sz w:val="24"/>
                <w:szCs w:val="24"/>
              </w:rPr>
              <w:t>Molecular docking analysis of pure compounds showing estimated binding free energy and interacting residues in the binding site of AR-V7</w:t>
            </w:r>
          </w:p>
        </w:tc>
        <w:tc>
          <w:tcPr>
            <w:tcW w:w="890" w:type="dxa"/>
            <w:tcBorders>
              <w:left w:val="nil"/>
              <w:right w:val="nil"/>
            </w:tcBorders>
          </w:tcPr>
          <w:p w:rsidR="001C3298" w:rsidRDefault="001C3298" w:rsidP="001C3298">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24"/>
                <w:szCs w:val="24"/>
              </w:rPr>
            </w:pPr>
            <w:r>
              <w:rPr>
                <w:rFonts w:ascii="Times New Roman" w:eastAsia="Calibri" w:hAnsi="Times New Roman" w:cs="Times New Roman"/>
                <w:b/>
                <w:bCs/>
                <w:sz w:val="24"/>
                <w:szCs w:val="24"/>
              </w:rPr>
              <w:t>57</w:t>
            </w:r>
          </w:p>
        </w:tc>
      </w:tr>
      <w:tr w:rsidR="001C3298" w:rsidTr="00EC14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tcBorders>
              <w:top w:val="none" w:sz="0" w:space="0" w:color="auto"/>
              <w:bottom w:val="none" w:sz="0" w:space="0" w:color="auto"/>
            </w:tcBorders>
          </w:tcPr>
          <w:p w:rsidR="001C3298" w:rsidRDefault="00121EB0" w:rsidP="001C3298">
            <w:pPr>
              <w:spacing w:line="360" w:lineRule="auto"/>
              <w:jc w:val="both"/>
              <w:rPr>
                <w:rFonts w:ascii="Times New Roman" w:eastAsia="Calibri" w:hAnsi="Times New Roman" w:cs="Times New Roman"/>
                <w:b w:val="0"/>
                <w:bCs w:val="0"/>
                <w:sz w:val="24"/>
                <w:szCs w:val="24"/>
              </w:rPr>
            </w:pPr>
            <w:r>
              <w:rPr>
                <w:rFonts w:ascii="Times New Roman" w:eastAsia="Calibri" w:hAnsi="Times New Roman" w:cs="Times New Roman"/>
                <w:b w:val="0"/>
                <w:bCs w:val="0"/>
                <w:sz w:val="24"/>
                <w:szCs w:val="24"/>
              </w:rPr>
              <w:t xml:space="preserve">Table </w:t>
            </w:r>
            <w:r w:rsidR="001C3298">
              <w:rPr>
                <w:rFonts w:ascii="Times New Roman" w:eastAsia="Calibri" w:hAnsi="Times New Roman" w:cs="Times New Roman"/>
                <w:b w:val="0"/>
                <w:bCs w:val="0"/>
                <w:sz w:val="24"/>
                <w:szCs w:val="24"/>
              </w:rPr>
              <w:t>7</w:t>
            </w:r>
          </w:p>
        </w:tc>
        <w:tc>
          <w:tcPr>
            <w:tcW w:w="7110" w:type="dxa"/>
            <w:tcBorders>
              <w:top w:val="none" w:sz="0" w:space="0" w:color="auto"/>
              <w:bottom w:val="none" w:sz="0" w:space="0" w:color="auto"/>
            </w:tcBorders>
          </w:tcPr>
          <w:p w:rsidR="001C3298" w:rsidRPr="002E7761" w:rsidRDefault="001C3298" w:rsidP="001C329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bCs/>
                <w:sz w:val="24"/>
                <w:szCs w:val="24"/>
              </w:rPr>
            </w:pPr>
            <w:r w:rsidRPr="002E7761">
              <w:rPr>
                <w:rFonts w:ascii="Times New Roman" w:eastAsia="Times New Roman" w:hAnsi="Times New Roman" w:cs="Times New Roman"/>
                <w:sz w:val="24"/>
                <w:szCs w:val="24"/>
              </w:rPr>
              <w:t xml:space="preserve">Predicted molecular adsorption profile of selected pure compounds of </w:t>
            </w:r>
            <w:proofErr w:type="spellStart"/>
            <w:r w:rsidRPr="002E7761">
              <w:rPr>
                <w:rFonts w:ascii="Times New Roman" w:eastAsia="Times New Roman" w:hAnsi="Times New Roman" w:cs="Times New Roman"/>
                <w:i/>
                <w:sz w:val="24"/>
                <w:szCs w:val="24"/>
              </w:rPr>
              <w:t>Caesalpinia</w:t>
            </w:r>
            <w:proofErr w:type="spellEnd"/>
            <w:r w:rsidRPr="002E7761">
              <w:rPr>
                <w:rFonts w:ascii="Times New Roman" w:eastAsia="Times New Roman" w:hAnsi="Times New Roman" w:cs="Times New Roman"/>
                <w:i/>
                <w:sz w:val="24"/>
                <w:szCs w:val="24"/>
              </w:rPr>
              <w:t xml:space="preserve"> </w:t>
            </w:r>
            <w:proofErr w:type="spellStart"/>
            <w:r w:rsidRPr="002E7761">
              <w:rPr>
                <w:rFonts w:ascii="Times New Roman" w:eastAsia="Times New Roman" w:hAnsi="Times New Roman" w:cs="Times New Roman"/>
                <w:i/>
                <w:sz w:val="24"/>
                <w:szCs w:val="24"/>
              </w:rPr>
              <w:t>bonduc</w:t>
            </w:r>
            <w:proofErr w:type="spellEnd"/>
          </w:p>
        </w:tc>
        <w:tc>
          <w:tcPr>
            <w:tcW w:w="890" w:type="dxa"/>
            <w:tcBorders>
              <w:top w:val="none" w:sz="0" w:space="0" w:color="auto"/>
              <w:bottom w:val="none" w:sz="0" w:space="0" w:color="auto"/>
            </w:tcBorders>
          </w:tcPr>
          <w:p w:rsidR="001C3298" w:rsidRDefault="001C3298" w:rsidP="001C329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bCs/>
                <w:sz w:val="24"/>
                <w:szCs w:val="24"/>
              </w:rPr>
            </w:pPr>
            <w:r>
              <w:rPr>
                <w:rFonts w:ascii="Times New Roman" w:eastAsia="Calibri" w:hAnsi="Times New Roman" w:cs="Times New Roman"/>
                <w:b/>
                <w:bCs/>
                <w:sz w:val="24"/>
                <w:szCs w:val="24"/>
              </w:rPr>
              <w:t>51</w:t>
            </w:r>
          </w:p>
        </w:tc>
      </w:tr>
      <w:tr w:rsidR="001C3298" w:rsidTr="00896B0D">
        <w:tc>
          <w:tcPr>
            <w:cnfStyle w:val="001000000000" w:firstRow="0" w:lastRow="0" w:firstColumn="1" w:lastColumn="0" w:oddVBand="0" w:evenVBand="0" w:oddHBand="0" w:evenHBand="0" w:firstRowFirstColumn="0" w:firstRowLastColumn="0" w:lastRowFirstColumn="0" w:lastRowLastColumn="0"/>
            <w:tcW w:w="1350" w:type="dxa"/>
          </w:tcPr>
          <w:p w:rsidR="001C3298" w:rsidRDefault="00121EB0" w:rsidP="001C3298">
            <w:pPr>
              <w:spacing w:line="360" w:lineRule="auto"/>
              <w:jc w:val="both"/>
              <w:rPr>
                <w:rFonts w:ascii="Times New Roman" w:eastAsia="Calibri" w:hAnsi="Times New Roman" w:cs="Times New Roman"/>
                <w:b w:val="0"/>
                <w:bCs w:val="0"/>
                <w:sz w:val="24"/>
                <w:szCs w:val="24"/>
              </w:rPr>
            </w:pPr>
            <w:r>
              <w:rPr>
                <w:rFonts w:ascii="Times New Roman" w:eastAsia="Calibri" w:hAnsi="Times New Roman" w:cs="Times New Roman"/>
                <w:b w:val="0"/>
                <w:bCs w:val="0"/>
                <w:sz w:val="24"/>
                <w:szCs w:val="24"/>
              </w:rPr>
              <w:t xml:space="preserve">Table </w:t>
            </w:r>
            <w:r w:rsidR="001C3298">
              <w:rPr>
                <w:rFonts w:ascii="Times New Roman" w:eastAsia="Calibri" w:hAnsi="Times New Roman" w:cs="Times New Roman"/>
                <w:b w:val="0"/>
                <w:bCs w:val="0"/>
                <w:sz w:val="24"/>
                <w:szCs w:val="24"/>
              </w:rPr>
              <w:t>8</w:t>
            </w:r>
          </w:p>
        </w:tc>
        <w:tc>
          <w:tcPr>
            <w:tcW w:w="7110" w:type="dxa"/>
          </w:tcPr>
          <w:p w:rsidR="001C3298" w:rsidRPr="002E7761" w:rsidRDefault="001C3298" w:rsidP="001C3298">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24"/>
                <w:szCs w:val="24"/>
              </w:rPr>
            </w:pPr>
            <w:r w:rsidRPr="002E7761">
              <w:rPr>
                <w:rFonts w:ascii="Times New Roman" w:eastAsia="Times New Roman" w:hAnsi="Times New Roman" w:cs="Times New Roman"/>
                <w:sz w:val="24"/>
                <w:szCs w:val="24"/>
              </w:rPr>
              <w:t>Predicted molecular metabolism profile</w:t>
            </w:r>
            <w:r w:rsidRPr="002E7761">
              <w:rPr>
                <w:rFonts w:ascii="Times New Roman" w:hAnsi="Times New Roman" w:cs="Times New Roman"/>
                <w:sz w:val="24"/>
                <w:szCs w:val="24"/>
              </w:rPr>
              <w:t xml:space="preserve"> </w:t>
            </w:r>
            <w:r w:rsidRPr="002E7761">
              <w:rPr>
                <w:rFonts w:ascii="Times New Roman" w:eastAsia="Times New Roman" w:hAnsi="Times New Roman" w:cs="Times New Roman"/>
                <w:sz w:val="24"/>
                <w:szCs w:val="24"/>
              </w:rPr>
              <w:t xml:space="preserve">of selected pure compounds from </w:t>
            </w:r>
            <w:proofErr w:type="spellStart"/>
            <w:r w:rsidRPr="002E7761">
              <w:rPr>
                <w:rFonts w:ascii="Times New Roman" w:eastAsia="Times New Roman" w:hAnsi="Times New Roman" w:cs="Times New Roman"/>
                <w:i/>
                <w:sz w:val="24"/>
                <w:szCs w:val="24"/>
              </w:rPr>
              <w:t>Caesalpinia</w:t>
            </w:r>
            <w:proofErr w:type="spellEnd"/>
            <w:r w:rsidRPr="002E7761">
              <w:rPr>
                <w:rFonts w:ascii="Times New Roman" w:eastAsia="Times New Roman" w:hAnsi="Times New Roman" w:cs="Times New Roman"/>
                <w:i/>
                <w:sz w:val="24"/>
                <w:szCs w:val="24"/>
              </w:rPr>
              <w:t xml:space="preserve"> </w:t>
            </w:r>
            <w:proofErr w:type="spellStart"/>
            <w:r w:rsidRPr="002E7761">
              <w:rPr>
                <w:rFonts w:ascii="Times New Roman" w:eastAsia="Times New Roman" w:hAnsi="Times New Roman" w:cs="Times New Roman"/>
                <w:i/>
                <w:sz w:val="24"/>
                <w:szCs w:val="24"/>
              </w:rPr>
              <w:t>bonduc</w:t>
            </w:r>
            <w:proofErr w:type="spellEnd"/>
          </w:p>
        </w:tc>
        <w:tc>
          <w:tcPr>
            <w:tcW w:w="890" w:type="dxa"/>
            <w:tcBorders>
              <w:left w:val="nil"/>
              <w:right w:val="nil"/>
            </w:tcBorders>
          </w:tcPr>
          <w:p w:rsidR="001C3298" w:rsidRDefault="001C3298" w:rsidP="001C3298">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24"/>
                <w:szCs w:val="24"/>
              </w:rPr>
            </w:pPr>
            <w:r>
              <w:rPr>
                <w:rFonts w:ascii="Times New Roman" w:eastAsia="Calibri" w:hAnsi="Times New Roman" w:cs="Times New Roman"/>
                <w:b/>
                <w:bCs/>
                <w:sz w:val="24"/>
                <w:szCs w:val="24"/>
              </w:rPr>
              <w:t>51</w:t>
            </w:r>
          </w:p>
        </w:tc>
      </w:tr>
      <w:tr w:rsidR="001C3298" w:rsidTr="00EC14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tcBorders>
              <w:top w:val="none" w:sz="0" w:space="0" w:color="auto"/>
              <w:bottom w:val="none" w:sz="0" w:space="0" w:color="auto"/>
            </w:tcBorders>
          </w:tcPr>
          <w:p w:rsidR="001C3298" w:rsidRDefault="00121EB0" w:rsidP="001C3298">
            <w:pPr>
              <w:spacing w:line="360" w:lineRule="auto"/>
              <w:jc w:val="both"/>
              <w:rPr>
                <w:rFonts w:ascii="Times New Roman" w:eastAsia="Calibri" w:hAnsi="Times New Roman" w:cs="Times New Roman"/>
                <w:b w:val="0"/>
                <w:bCs w:val="0"/>
                <w:sz w:val="24"/>
                <w:szCs w:val="24"/>
              </w:rPr>
            </w:pPr>
            <w:r>
              <w:rPr>
                <w:rFonts w:ascii="Times New Roman" w:eastAsia="Calibri" w:hAnsi="Times New Roman" w:cs="Times New Roman"/>
                <w:b w:val="0"/>
                <w:bCs w:val="0"/>
                <w:sz w:val="24"/>
                <w:szCs w:val="24"/>
              </w:rPr>
              <w:t xml:space="preserve">Table </w:t>
            </w:r>
            <w:r w:rsidR="001C3298">
              <w:rPr>
                <w:rFonts w:ascii="Times New Roman" w:eastAsia="Calibri" w:hAnsi="Times New Roman" w:cs="Times New Roman"/>
                <w:b w:val="0"/>
                <w:bCs w:val="0"/>
                <w:sz w:val="24"/>
                <w:szCs w:val="24"/>
              </w:rPr>
              <w:t>9</w:t>
            </w:r>
          </w:p>
        </w:tc>
        <w:tc>
          <w:tcPr>
            <w:tcW w:w="7110" w:type="dxa"/>
            <w:tcBorders>
              <w:top w:val="none" w:sz="0" w:space="0" w:color="auto"/>
              <w:bottom w:val="none" w:sz="0" w:space="0" w:color="auto"/>
            </w:tcBorders>
          </w:tcPr>
          <w:p w:rsidR="001C3298" w:rsidRPr="002E7761" w:rsidRDefault="001C3298" w:rsidP="001C329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bCs/>
                <w:sz w:val="24"/>
                <w:szCs w:val="24"/>
              </w:rPr>
            </w:pPr>
            <w:r w:rsidRPr="002E7761">
              <w:rPr>
                <w:rFonts w:ascii="Times New Roman" w:eastAsia="Times New Roman" w:hAnsi="Times New Roman" w:cs="Times New Roman"/>
                <w:sz w:val="24"/>
                <w:szCs w:val="24"/>
              </w:rPr>
              <w:t>Predicted molecular toxicity profile of isolated compounds</w:t>
            </w:r>
            <w:r w:rsidRPr="002E7761">
              <w:rPr>
                <w:rFonts w:ascii="Times New Roman" w:hAnsi="Times New Roman" w:cs="Times New Roman"/>
                <w:sz w:val="24"/>
                <w:szCs w:val="24"/>
              </w:rPr>
              <w:t xml:space="preserve"> </w:t>
            </w:r>
            <w:r w:rsidRPr="002E7761">
              <w:rPr>
                <w:rFonts w:ascii="Times New Roman" w:eastAsia="Times New Roman" w:hAnsi="Times New Roman" w:cs="Times New Roman"/>
                <w:sz w:val="24"/>
                <w:szCs w:val="24"/>
              </w:rPr>
              <w:t xml:space="preserve">of selected pure compounds from </w:t>
            </w:r>
            <w:proofErr w:type="spellStart"/>
            <w:r w:rsidRPr="002E7761">
              <w:rPr>
                <w:rFonts w:ascii="Times New Roman" w:eastAsia="Times New Roman" w:hAnsi="Times New Roman" w:cs="Times New Roman"/>
                <w:i/>
                <w:sz w:val="24"/>
                <w:szCs w:val="24"/>
              </w:rPr>
              <w:t>Caesalpinia</w:t>
            </w:r>
            <w:proofErr w:type="spellEnd"/>
            <w:r w:rsidRPr="002E7761">
              <w:rPr>
                <w:rFonts w:ascii="Times New Roman" w:eastAsia="Times New Roman" w:hAnsi="Times New Roman" w:cs="Times New Roman"/>
                <w:i/>
                <w:sz w:val="24"/>
                <w:szCs w:val="24"/>
              </w:rPr>
              <w:t xml:space="preserve"> </w:t>
            </w:r>
            <w:proofErr w:type="spellStart"/>
            <w:r w:rsidRPr="002E7761">
              <w:rPr>
                <w:rFonts w:ascii="Times New Roman" w:eastAsia="Times New Roman" w:hAnsi="Times New Roman" w:cs="Times New Roman"/>
                <w:i/>
                <w:sz w:val="24"/>
                <w:szCs w:val="24"/>
              </w:rPr>
              <w:t>bonduc</w:t>
            </w:r>
            <w:proofErr w:type="spellEnd"/>
          </w:p>
        </w:tc>
        <w:tc>
          <w:tcPr>
            <w:tcW w:w="890" w:type="dxa"/>
            <w:tcBorders>
              <w:top w:val="none" w:sz="0" w:space="0" w:color="auto"/>
              <w:bottom w:val="none" w:sz="0" w:space="0" w:color="auto"/>
            </w:tcBorders>
          </w:tcPr>
          <w:p w:rsidR="001C3298" w:rsidRDefault="001C3298" w:rsidP="001C329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bCs/>
                <w:sz w:val="24"/>
                <w:szCs w:val="24"/>
              </w:rPr>
            </w:pPr>
            <w:r>
              <w:rPr>
                <w:rFonts w:ascii="Times New Roman" w:eastAsia="Calibri" w:hAnsi="Times New Roman" w:cs="Times New Roman"/>
                <w:b/>
                <w:bCs/>
                <w:sz w:val="24"/>
                <w:szCs w:val="24"/>
              </w:rPr>
              <w:t>52</w:t>
            </w:r>
          </w:p>
        </w:tc>
      </w:tr>
    </w:tbl>
    <w:p w:rsidR="00F77439" w:rsidRPr="002E7761" w:rsidRDefault="00F77439" w:rsidP="00F77439">
      <w:pPr>
        <w:jc w:val="both"/>
        <w:rPr>
          <w:rFonts w:ascii="Times New Roman" w:eastAsia="Calibri" w:hAnsi="Times New Roman" w:cs="Times New Roman"/>
          <w:sz w:val="24"/>
          <w:szCs w:val="24"/>
        </w:rPr>
      </w:pPr>
    </w:p>
    <w:p w:rsidR="00F77439" w:rsidRPr="002E7761" w:rsidRDefault="00F77439" w:rsidP="00F77439">
      <w:pPr>
        <w:jc w:val="both"/>
        <w:rPr>
          <w:rFonts w:ascii="Times New Roman" w:eastAsia="Calibri" w:hAnsi="Times New Roman" w:cs="Times New Roman"/>
          <w:sz w:val="24"/>
          <w:szCs w:val="24"/>
        </w:rPr>
      </w:pPr>
    </w:p>
    <w:p w:rsidR="00F77439" w:rsidRPr="002E7761" w:rsidRDefault="00F77439" w:rsidP="00F77439">
      <w:pPr>
        <w:jc w:val="both"/>
        <w:rPr>
          <w:rFonts w:ascii="Times New Roman" w:eastAsia="Calibri" w:hAnsi="Times New Roman" w:cs="Times New Roman"/>
          <w:sz w:val="24"/>
          <w:szCs w:val="24"/>
        </w:rPr>
      </w:pPr>
    </w:p>
    <w:p w:rsidR="00F77439" w:rsidRPr="002E7761" w:rsidRDefault="00F77439" w:rsidP="00F77439">
      <w:pPr>
        <w:jc w:val="both"/>
        <w:rPr>
          <w:rFonts w:ascii="Times New Roman" w:eastAsia="Calibri" w:hAnsi="Times New Roman" w:cs="Times New Roman"/>
          <w:sz w:val="24"/>
          <w:szCs w:val="24"/>
        </w:rPr>
      </w:pPr>
    </w:p>
    <w:p w:rsidR="00F77439" w:rsidRPr="002E7761" w:rsidRDefault="00F77439" w:rsidP="00F77439">
      <w:pPr>
        <w:jc w:val="both"/>
        <w:rPr>
          <w:rFonts w:ascii="Times New Roman" w:eastAsia="Calibri" w:hAnsi="Times New Roman" w:cs="Times New Roman"/>
          <w:sz w:val="24"/>
          <w:szCs w:val="24"/>
        </w:rPr>
      </w:pPr>
    </w:p>
    <w:p w:rsidR="00F77439" w:rsidRPr="002E7761" w:rsidRDefault="00F77439" w:rsidP="00F77439">
      <w:pPr>
        <w:jc w:val="both"/>
        <w:rPr>
          <w:rFonts w:ascii="Times New Roman" w:eastAsia="Calibri" w:hAnsi="Times New Roman" w:cs="Times New Roman"/>
          <w:sz w:val="24"/>
          <w:szCs w:val="24"/>
        </w:rPr>
      </w:pPr>
    </w:p>
    <w:p w:rsidR="00F77439" w:rsidRDefault="00F77439" w:rsidP="00F77439">
      <w:pPr>
        <w:spacing w:line="276" w:lineRule="auto"/>
        <w:rPr>
          <w:rFonts w:ascii="Times New Roman" w:eastAsia="Calibri" w:hAnsi="Times New Roman" w:cs="Times New Roman"/>
          <w:sz w:val="24"/>
          <w:szCs w:val="24"/>
        </w:rPr>
      </w:pPr>
    </w:p>
    <w:p w:rsidR="00EC1487" w:rsidRDefault="00EC1487" w:rsidP="00F77439">
      <w:pPr>
        <w:spacing w:line="276" w:lineRule="auto"/>
        <w:rPr>
          <w:rFonts w:ascii="Times New Roman" w:hAnsi="Times New Roman" w:cs="Times New Roman"/>
          <w:b/>
          <w:sz w:val="24"/>
          <w:szCs w:val="24"/>
        </w:rPr>
      </w:pPr>
    </w:p>
    <w:p w:rsidR="00F16C29" w:rsidRDefault="00F16C29" w:rsidP="00F77439">
      <w:pPr>
        <w:spacing w:line="276" w:lineRule="auto"/>
        <w:rPr>
          <w:rFonts w:ascii="Times New Roman" w:hAnsi="Times New Roman" w:cs="Times New Roman"/>
          <w:b/>
          <w:sz w:val="24"/>
          <w:szCs w:val="24"/>
        </w:rPr>
      </w:pPr>
    </w:p>
    <w:p w:rsidR="00F16C29" w:rsidRDefault="00F16C29" w:rsidP="00F77439">
      <w:pPr>
        <w:spacing w:line="276" w:lineRule="auto"/>
        <w:rPr>
          <w:rFonts w:ascii="Times New Roman" w:hAnsi="Times New Roman" w:cs="Times New Roman"/>
          <w:b/>
          <w:sz w:val="24"/>
          <w:szCs w:val="24"/>
        </w:rPr>
      </w:pPr>
    </w:p>
    <w:p w:rsidR="00F16C29" w:rsidRDefault="00F16C29" w:rsidP="00F77439">
      <w:pPr>
        <w:spacing w:line="276" w:lineRule="auto"/>
        <w:rPr>
          <w:rFonts w:ascii="Times New Roman" w:hAnsi="Times New Roman" w:cs="Times New Roman"/>
          <w:b/>
          <w:sz w:val="24"/>
          <w:szCs w:val="24"/>
        </w:rPr>
      </w:pPr>
    </w:p>
    <w:p w:rsidR="00F16C29" w:rsidRDefault="00F16C29" w:rsidP="00F16C29">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LIST OF ABBREVIATIONS</w:t>
      </w:r>
    </w:p>
    <w:tbl>
      <w:tblPr>
        <w:tblStyle w:val="PlainTable2"/>
        <w:tblW w:w="9630" w:type="dxa"/>
        <w:tblBorders>
          <w:top w:val="none" w:sz="0" w:space="0" w:color="auto"/>
          <w:bottom w:val="none" w:sz="0" w:space="0" w:color="auto"/>
        </w:tblBorders>
        <w:tblLook w:val="04A0" w:firstRow="1" w:lastRow="0" w:firstColumn="1" w:lastColumn="0" w:noHBand="0" w:noVBand="1"/>
      </w:tblPr>
      <w:tblGrid>
        <w:gridCol w:w="1710"/>
        <w:gridCol w:w="7920"/>
      </w:tblGrid>
      <w:tr w:rsidR="00F16C29" w:rsidTr="00F16C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dxa"/>
            <w:tcBorders>
              <w:bottom w:val="none" w:sz="0" w:space="0" w:color="auto"/>
            </w:tcBorders>
            <w:hideMark/>
          </w:tcPr>
          <w:p w:rsidR="00F16C29" w:rsidRDefault="00F16C29">
            <w:pPr>
              <w:spacing w:line="360" w:lineRule="auto"/>
              <w:jc w:val="both"/>
              <w:rPr>
                <w:rFonts w:ascii="Times New Roman" w:eastAsia="Calibri" w:hAnsi="Times New Roman" w:cs="Times New Roman"/>
                <w:b w:val="0"/>
                <w:bCs w:val="0"/>
                <w:sz w:val="24"/>
                <w:szCs w:val="24"/>
              </w:rPr>
            </w:pPr>
            <w:proofErr w:type="spellStart"/>
            <w:r>
              <w:rPr>
                <w:rFonts w:ascii="Times New Roman" w:eastAsia="Calibri" w:hAnsi="Times New Roman" w:cs="Times New Roman"/>
                <w:sz w:val="24"/>
                <w:szCs w:val="24"/>
              </w:rPr>
              <w:t>Abbr</w:t>
            </w:r>
            <w:proofErr w:type="spellEnd"/>
          </w:p>
        </w:tc>
        <w:tc>
          <w:tcPr>
            <w:tcW w:w="7920" w:type="dxa"/>
            <w:tcBorders>
              <w:bottom w:val="none" w:sz="0" w:space="0" w:color="auto"/>
            </w:tcBorders>
            <w:hideMark/>
          </w:tcPr>
          <w:p w:rsidR="00F16C29" w:rsidRDefault="00F16C29">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bCs w:val="0"/>
                <w:sz w:val="24"/>
                <w:szCs w:val="24"/>
              </w:rPr>
            </w:pPr>
            <w:r>
              <w:rPr>
                <w:rFonts w:ascii="Times New Roman" w:eastAsia="Calibri" w:hAnsi="Times New Roman" w:cs="Times New Roman"/>
                <w:sz w:val="24"/>
                <w:szCs w:val="24"/>
              </w:rPr>
              <w:t>Full meaning</w:t>
            </w:r>
          </w:p>
        </w:tc>
      </w:tr>
      <w:tr w:rsidR="00F16C29" w:rsidTr="00F16C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dxa"/>
            <w:tcBorders>
              <w:top w:val="none" w:sz="0" w:space="0" w:color="auto"/>
              <w:bottom w:val="none" w:sz="0" w:space="0" w:color="auto"/>
            </w:tcBorders>
            <w:hideMark/>
          </w:tcPr>
          <w:p w:rsidR="00F16C29" w:rsidRDefault="00F16C29">
            <w:pPr>
              <w:spacing w:line="360" w:lineRule="auto"/>
              <w:jc w:val="both"/>
              <w:rPr>
                <w:rFonts w:ascii="Times New Roman" w:eastAsia="Calibri" w:hAnsi="Times New Roman" w:cs="Times New Roman"/>
                <w:b w:val="0"/>
                <w:sz w:val="24"/>
                <w:szCs w:val="24"/>
              </w:rPr>
            </w:pPr>
            <w:r>
              <w:rPr>
                <w:rFonts w:ascii="Times New Roman" w:hAnsi="Times New Roman" w:cs="Times New Roman"/>
                <w:b w:val="0"/>
                <w:bCs w:val="0"/>
                <w:sz w:val="24"/>
                <w:szCs w:val="24"/>
              </w:rPr>
              <w:t>ADT</w:t>
            </w:r>
          </w:p>
        </w:tc>
        <w:tc>
          <w:tcPr>
            <w:tcW w:w="7920" w:type="dxa"/>
            <w:tcBorders>
              <w:top w:val="none" w:sz="0" w:space="0" w:color="auto"/>
              <w:bottom w:val="none" w:sz="0" w:space="0" w:color="auto"/>
            </w:tcBorders>
            <w:hideMark/>
          </w:tcPr>
          <w:p w:rsidR="00F16C29" w:rsidRDefault="00F16C2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Pr>
                <w:rFonts w:ascii="Times New Roman" w:hAnsi="Times New Roman" w:cs="Times New Roman"/>
                <w:bCs/>
                <w:sz w:val="24"/>
                <w:szCs w:val="24"/>
              </w:rPr>
              <w:t xml:space="preserve">Androgen deprivation therapy </w:t>
            </w:r>
          </w:p>
        </w:tc>
      </w:tr>
      <w:tr w:rsidR="00F16C29" w:rsidTr="00F16C29">
        <w:tc>
          <w:tcPr>
            <w:cnfStyle w:val="001000000000" w:firstRow="0" w:lastRow="0" w:firstColumn="1" w:lastColumn="0" w:oddVBand="0" w:evenVBand="0" w:oddHBand="0" w:evenHBand="0" w:firstRowFirstColumn="0" w:firstRowLastColumn="0" w:lastRowFirstColumn="0" w:lastRowLastColumn="0"/>
            <w:tcW w:w="1710" w:type="dxa"/>
            <w:hideMark/>
          </w:tcPr>
          <w:p w:rsidR="00F16C29" w:rsidRDefault="00F16C29">
            <w:pPr>
              <w:spacing w:line="360" w:lineRule="auto"/>
              <w:jc w:val="both"/>
              <w:rPr>
                <w:rFonts w:ascii="Times New Roman" w:hAnsi="Times New Roman" w:cs="Times New Roman"/>
                <w:b w:val="0"/>
                <w:bCs w:val="0"/>
                <w:sz w:val="24"/>
                <w:szCs w:val="24"/>
              </w:rPr>
            </w:pPr>
            <w:r>
              <w:rPr>
                <w:rFonts w:ascii="Times New Roman" w:eastAsia="Times New Roman" w:hAnsi="Times New Roman" w:cs="Times New Roman"/>
                <w:b w:val="0"/>
                <w:bCs w:val="0"/>
                <w:sz w:val="24"/>
                <w:szCs w:val="24"/>
              </w:rPr>
              <w:t>ADMET</w:t>
            </w:r>
          </w:p>
        </w:tc>
        <w:tc>
          <w:tcPr>
            <w:tcW w:w="7920" w:type="dxa"/>
            <w:hideMark/>
          </w:tcPr>
          <w:p w:rsidR="00F16C29" w:rsidRDefault="00F16C2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Pr>
                <w:rFonts w:ascii="Times New Roman" w:eastAsia="Times New Roman" w:hAnsi="Times New Roman" w:cs="Times New Roman"/>
                <w:bCs/>
                <w:sz w:val="24"/>
                <w:szCs w:val="24"/>
              </w:rPr>
              <w:t>Absorption Distribution Metabolism Excretion and Toxicity</w:t>
            </w:r>
          </w:p>
        </w:tc>
      </w:tr>
      <w:tr w:rsidR="00F16C29" w:rsidTr="00F16C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dxa"/>
            <w:tcBorders>
              <w:top w:val="none" w:sz="0" w:space="0" w:color="auto"/>
              <w:bottom w:val="none" w:sz="0" w:space="0" w:color="auto"/>
            </w:tcBorders>
            <w:hideMark/>
          </w:tcPr>
          <w:p w:rsidR="00F16C29" w:rsidRDefault="00F16C29">
            <w:pPr>
              <w:spacing w:line="360" w:lineRule="auto"/>
              <w:jc w:val="both"/>
              <w:rPr>
                <w:rFonts w:ascii="Times New Roman" w:eastAsia="Calibri" w:hAnsi="Times New Roman" w:cs="Times New Roman"/>
                <w:b w:val="0"/>
                <w:bCs w:val="0"/>
                <w:sz w:val="24"/>
                <w:szCs w:val="24"/>
              </w:rPr>
            </w:pPr>
            <w:r>
              <w:rPr>
                <w:rFonts w:ascii="Times New Roman" w:eastAsia="Calibri" w:hAnsi="Times New Roman" w:cs="Times New Roman"/>
                <w:b w:val="0"/>
                <w:bCs w:val="0"/>
                <w:sz w:val="24"/>
                <w:szCs w:val="24"/>
              </w:rPr>
              <w:t>AR</w:t>
            </w:r>
          </w:p>
        </w:tc>
        <w:tc>
          <w:tcPr>
            <w:tcW w:w="7920" w:type="dxa"/>
            <w:tcBorders>
              <w:top w:val="none" w:sz="0" w:space="0" w:color="auto"/>
              <w:bottom w:val="none" w:sz="0" w:space="0" w:color="auto"/>
            </w:tcBorders>
            <w:hideMark/>
          </w:tcPr>
          <w:p w:rsidR="00F16C29" w:rsidRDefault="00F16C2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Cs/>
                <w:sz w:val="24"/>
                <w:szCs w:val="24"/>
              </w:rPr>
            </w:pPr>
            <w:r>
              <w:rPr>
                <w:rFonts w:ascii="Times New Roman" w:hAnsi="Times New Roman" w:cs="Times New Roman"/>
                <w:sz w:val="24"/>
                <w:szCs w:val="24"/>
              </w:rPr>
              <w:t>Androgen Receptor</w:t>
            </w:r>
          </w:p>
        </w:tc>
      </w:tr>
      <w:tr w:rsidR="00F16C29" w:rsidTr="00F16C29">
        <w:tc>
          <w:tcPr>
            <w:cnfStyle w:val="001000000000" w:firstRow="0" w:lastRow="0" w:firstColumn="1" w:lastColumn="0" w:oddVBand="0" w:evenVBand="0" w:oddHBand="0" w:evenHBand="0" w:firstRowFirstColumn="0" w:firstRowLastColumn="0" w:lastRowFirstColumn="0" w:lastRowLastColumn="0"/>
            <w:tcW w:w="1710" w:type="dxa"/>
            <w:hideMark/>
          </w:tcPr>
          <w:p w:rsidR="00F16C29" w:rsidRDefault="00F16C29">
            <w:pPr>
              <w:spacing w:line="360" w:lineRule="auto"/>
              <w:jc w:val="both"/>
              <w:rPr>
                <w:rFonts w:ascii="Times New Roman" w:eastAsia="Calibri" w:hAnsi="Times New Roman" w:cs="Times New Roman"/>
                <w:b w:val="0"/>
                <w:bCs w:val="0"/>
                <w:sz w:val="24"/>
                <w:szCs w:val="24"/>
              </w:rPr>
            </w:pPr>
            <w:r>
              <w:rPr>
                <w:rFonts w:ascii="Times New Roman" w:hAnsi="Times New Roman" w:cs="Times New Roman"/>
                <w:b w:val="0"/>
                <w:sz w:val="24"/>
                <w:szCs w:val="24"/>
              </w:rPr>
              <w:t>AR-V7</w:t>
            </w:r>
          </w:p>
        </w:tc>
        <w:tc>
          <w:tcPr>
            <w:tcW w:w="7920" w:type="dxa"/>
            <w:hideMark/>
          </w:tcPr>
          <w:p w:rsidR="00F16C29" w:rsidRDefault="00F16C2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sz w:val="24"/>
                <w:szCs w:val="24"/>
              </w:rPr>
            </w:pPr>
            <w:r>
              <w:rPr>
                <w:rFonts w:ascii="Times New Roman" w:hAnsi="Times New Roman" w:cs="Times New Roman"/>
                <w:sz w:val="24"/>
                <w:szCs w:val="24"/>
              </w:rPr>
              <w:t>Androgen Receptor Variant 7</w:t>
            </w:r>
          </w:p>
        </w:tc>
      </w:tr>
      <w:tr w:rsidR="00F16C29" w:rsidTr="00F16C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dxa"/>
            <w:tcBorders>
              <w:top w:val="none" w:sz="0" w:space="0" w:color="auto"/>
              <w:bottom w:val="none" w:sz="0" w:space="0" w:color="auto"/>
            </w:tcBorders>
            <w:hideMark/>
          </w:tcPr>
          <w:p w:rsidR="00F16C29" w:rsidRDefault="00F16C29">
            <w:pPr>
              <w:spacing w:line="360" w:lineRule="auto"/>
              <w:jc w:val="both"/>
              <w:rPr>
                <w:rFonts w:ascii="Times New Roman" w:hAnsi="Times New Roman" w:cs="Times New Roman"/>
                <w:b w:val="0"/>
                <w:sz w:val="24"/>
                <w:szCs w:val="24"/>
              </w:rPr>
            </w:pPr>
            <w:r>
              <w:rPr>
                <w:rFonts w:ascii="Times New Roman" w:eastAsia="Calibri" w:hAnsi="Times New Roman" w:cs="Times New Roman"/>
                <w:b w:val="0"/>
                <w:bCs w:val="0"/>
                <w:sz w:val="24"/>
              </w:rPr>
              <w:t>ARSIs</w:t>
            </w:r>
          </w:p>
        </w:tc>
        <w:tc>
          <w:tcPr>
            <w:tcW w:w="7920" w:type="dxa"/>
            <w:tcBorders>
              <w:top w:val="none" w:sz="0" w:space="0" w:color="auto"/>
              <w:bottom w:val="none" w:sz="0" w:space="0" w:color="auto"/>
            </w:tcBorders>
            <w:hideMark/>
          </w:tcPr>
          <w:p w:rsidR="00F16C29" w:rsidRDefault="00F16C2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eastAsia="Calibri" w:hAnsi="Times New Roman" w:cs="Times New Roman"/>
                <w:bCs/>
                <w:sz w:val="24"/>
              </w:rPr>
              <w:t xml:space="preserve">Androgen Receptor </w:t>
            </w:r>
            <w:proofErr w:type="spellStart"/>
            <w:r>
              <w:rPr>
                <w:rFonts w:ascii="Times New Roman" w:eastAsia="Calibri" w:hAnsi="Times New Roman" w:cs="Times New Roman"/>
                <w:bCs/>
                <w:sz w:val="24"/>
              </w:rPr>
              <w:t>Signaling</w:t>
            </w:r>
            <w:proofErr w:type="spellEnd"/>
            <w:r>
              <w:rPr>
                <w:rFonts w:ascii="Times New Roman" w:eastAsia="Calibri" w:hAnsi="Times New Roman" w:cs="Times New Roman"/>
                <w:bCs/>
                <w:sz w:val="24"/>
              </w:rPr>
              <w:t xml:space="preserve"> Inhibitors </w:t>
            </w:r>
          </w:p>
        </w:tc>
      </w:tr>
      <w:tr w:rsidR="00F16C29" w:rsidTr="00F16C29">
        <w:tc>
          <w:tcPr>
            <w:cnfStyle w:val="001000000000" w:firstRow="0" w:lastRow="0" w:firstColumn="1" w:lastColumn="0" w:oddVBand="0" w:evenVBand="0" w:oddHBand="0" w:evenHBand="0" w:firstRowFirstColumn="0" w:firstRowLastColumn="0" w:lastRowFirstColumn="0" w:lastRowLastColumn="0"/>
            <w:tcW w:w="1710" w:type="dxa"/>
            <w:hideMark/>
          </w:tcPr>
          <w:p w:rsidR="00F16C29" w:rsidRDefault="00F16C29">
            <w:pPr>
              <w:spacing w:line="360" w:lineRule="auto"/>
              <w:jc w:val="both"/>
              <w:rPr>
                <w:rFonts w:ascii="Times New Roman" w:hAnsi="Times New Roman" w:cs="Times New Roman"/>
                <w:b w:val="0"/>
                <w:sz w:val="24"/>
                <w:szCs w:val="24"/>
              </w:rPr>
            </w:pPr>
            <w:proofErr w:type="spellStart"/>
            <w:r>
              <w:rPr>
                <w:rFonts w:ascii="Times New Roman" w:hAnsi="Times New Roman" w:cs="Times New Roman"/>
                <w:b w:val="0"/>
                <w:sz w:val="24"/>
                <w:szCs w:val="24"/>
              </w:rPr>
              <w:t>ctDNA</w:t>
            </w:r>
            <w:proofErr w:type="spellEnd"/>
          </w:p>
        </w:tc>
        <w:tc>
          <w:tcPr>
            <w:tcW w:w="7920" w:type="dxa"/>
            <w:hideMark/>
          </w:tcPr>
          <w:p w:rsidR="00F16C29" w:rsidRDefault="00F16C2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circulating </w:t>
            </w:r>
            <w:proofErr w:type="spellStart"/>
            <w:r>
              <w:rPr>
                <w:rFonts w:ascii="Times New Roman" w:hAnsi="Times New Roman" w:cs="Times New Roman"/>
                <w:sz w:val="24"/>
                <w:szCs w:val="24"/>
              </w:rPr>
              <w:t>tumor</w:t>
            </w:r>
            <w:proofErr w:type="spellEnd"/>
            <w:r>
              <w:rPr>
                <w:rFonts w:ascii="Times New Roman" w:hAnsi="Times New Roman" w:cs="Times New Roman"/>
                <w:sz w:val="24"/>
                <w:szCs w:val="24"/>
              </w:rPr>
              <w:t xml:space="preserve"> DNA </w:t>
            </w:r>
          </w:p>
        </w:tc>
      </w:tr>
      <w:tr w:rsidR="00F16C29" w:rsidTr="00F16C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dxa"/>
            <w:tcBorders>
              <w:top w:val="none" w:sz="0" w:space="0" w:color="auto"/>
              <w:bottom w:val="none" w:sz="0" w:space="0" w:color="auto"/>
            </w:tcBorders>
            <w:hideMark/>
          </w:tcPr>
          <w:p w:rsidR="00F16C29" w:rsidRDefault="00F16C29">
            <w:pPr>
              <w:spacing w:line="360" w:lineRule="auto"/>
              <w:jc w:val="both"/>
              <w:rPr>
                <w:rFonts w:ascii="Times New Roman" w:eastAsia="Calibri" w:hAnsi="Times New Roman" w:cs="Times New Roman"/>
                <w:b w:val="0"/>
                <w:bCs w:val="0"/>
                <w:sz w:val="24"/>
                <w:szCs w:val="24"/>
              </w:rPr>
            </w:pPr>
            <w:r>
              <w:rPr>
                <w:rFonts w:ascii="Times New Roman" w:eastAsia="Times New Roman" w:hAnsi="Times New Roman" w:cs="Times New Roman"/>
                <w:b w:val="0"/>
                <w:sz w:val="24"/>
                <w:szCs w:val="24"/>
              </w:rPr>
              <w:t>COMP1</w:t>
            </w:r>
          </w:p>
        </w:tc>
        <w:tc>
          <w:tcPr>
            <w:tcW w:w="7920" w:type="dxa"/>
            <w:tcBorders>
              <w:top w:val="none" w:sz="0" w:space="0" w:color="auto"/>
              <w:bottom w:val="none" w:sz="0" w:space="0" w:color="auto"/>
            </w:tcBorders>
            <w:hideMark/>
          </w:tcPr>
          <w:p w:rsidR="00F16C29" w:rsidRDefault="00F16C2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Cs/>
                <w:sz w:val="24"/>
                <w:szCs w:val="24"/>
              </w:rPr>
            </w:pPr>
            <w:r>
              <w:rPr>
                <w:rFonts w:ascii="Times New Roman" w:hAnsi="Times New Roman" w:cs="Times New Roman"/>
                <w:sz w:val="24"/>
                <w:szCs w:val="24"/>
              </w:rPr>
              <w:t>4,4'-dihydroxy-2'-methoxy-chalcone (2'-methoxyisoliquiritigenin)</w:t>
            </w:r>
          </w:p>
        </w:tc>
      </w:tr>
      <w:tr w:rsidR="00F16C29" w:rsidTr="00F16C29">
        <w:tc>
          <w:tcPr>
            <w:cnfStyle w:val="001000000000" w:firstRow="0" w:lastRow="0" w:firstColumn="1" w:lastColumn="0" w:oddVBand="0" w:evenVBand="0" w:oddHBand="0" w:evenHBand="0" w:firstRowFirstColumn="0" w:firstRowLastColumn="0" w:lastRowFirstColumn="0" w:lastRowLastColumn="0"/>
            <w:tcW w:w="1710" w:type="dxa"/>
            <w:hideMark/>
          </w:tcPr>
          <w:p w:rsidR="00F16C29" w:rsidRDefault="00F16C29">
            <w:pPr>
              <w:spacing w:line="360" w:lineRule="auto"/>
              <w:jc w:val="both"/>
              <w:rPr>
                <w:rFonts w:ascii="Times New Roman" w:eastAsia="Times New Roman" w:hAnsi="Times New Roman" w:cs="Times New Roman"/>
                <w:b w:val="0"/>
                <w:sz w:val="24"/>
                <w:szCs w:val="24"/>
              </w:rPr>
            </w:pPr>
            <w:r>
              <w:rPr>
                <w:rFonts w:ascii="Times New Roman" w:eastAsia="Times New Roman" w:hAnsi="Times New Roman" w:cs="Times New Roman"/>
                <w:b w:val="0"/>
                <w:sz w:val="24"/>
                <w:szCs w:val="24"/>
              </w:rPr>
              <w:t>COMP2</w:t>
            </w:r>
          </w:p>
        </w:tc>
        <w:tc>
          <w:tcPr>
            <w:tcW w:w="7920" w:type="dxa"/>
            <w:hideMark/>
          </w:tcPr>
          <w:p w:rsidR="00F16C29" w:rsidRDefault="00F16C2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Pr>
                <w:rFonts w:ascii="Times New Roman" w:hAnsi="Times New Roman" w:cs="Times New Roman"/>
                <w:sz w:val="24"/>
                <w:szCs w:val="24"/>
              </w:rPr>
              <w:t>7,4'-dihydroxy-3,11-dehydrohomoisoflavanone</w:t>
            </w:r>
          </w:p>
        </w:tc>
      </w:tr>
      <w:tr w:rsidR="00F16C29" w:rsidTr="00F16C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dxa"/>
            <w:tcBorders>
              <w:top w:val="none" w:sz="0" w:space="0" w:color="auto"/>
              <w:bottom w:val="none" w:sz="0" w:space="0" w:color="auto"/>
            </w:tcBorders>
            <w:hideMark/>
          </w:tcPr>
          <w:p w:rsidR="00F16C29" w:rsidRDefault="00F16C29">
            <w:pPr>
              <w:spacing w:line="360" w:lineRule="auto"/>
              <w:jc w:val="both"/>
              <w:rPr>
                <w:rFonts w:ascii="Times New Roman" w:eastAsia="Times New Roman" w:hAnsi="Times New Roman" w:cs="Times New Roman"/>
                <w:b w:val="0"/>
                <w:sz w:val="24"/>
                <w:szCs w:val="24"/>
              </w:rPr>
            </w:pPr>
            <w:r>
              <w:rPr>
                <w:rFonts w:ascii="Times New Roman" w:eastAsia="Times New Roman" w:hAnsi="Times New Roman" w:cs="Times New Roman"/>
                <w:b w:val="0"/>
                <w:sz w:val="24"/>
                <w:szCs w:val="24"/>
              </w:rPr>
              <w:t>COMP3</w:t>
            </w:r>
          </w:p>
        </w:tc>
        <w:tc>
          <w:tcPr>
            <w:tcW w:w="7920" w:type="dxa"/>
            <w:tcBorders>
              <w:top w:val="none" w:sz="0" w:space="0" w:color="auto"/>
              <w:bottom w:val="none" w:sz="0" w:space="0" w:color="auto"/>
            </w:tcBorders>
            <w:hideMark/>
          </w:tcPr>
          <w:p w:rsidR="00F16C29" w:rsidRDefault="00F16C2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Pr>
                <w:rFonts w:ascii="Times New Roman" w:hAnsi="Times New Roman" w:cs="Times New Roman"/>
                <w:sz w:val="24"/>
                <w:szCs w:val="24"/>
              </w:rPr>
              <w:t>5,7,3',4'-tetrahydroxy-flavone (</w:t>
            </w:r>
            <w:proofErr w:type="spellStart"/>
            <w:r>
              <w:rPr>
                <w:rFonts w:ascii="Times New Roman" w:hAnsi="Times New Roman" w:cs="Times New Roman"/>
                <w:sz w:val="24"/>
                <w:szCs w:val="24"/>
              </w:rPr>
              <w:t>Luteolin</w:t>
            </w:r>
            <w:proofErr w:type="spellEnd"/>
            <w:r>
              <w:rPr>
                <w:rFonts w:ascii="Times New Roman" w:hAnsi="Times New Roman" w:cs="Times New Roman"/>
                <w:sz w:val="24"/>
                <w:szCs w:val="24"/>
              </w:rPr>
              <w:t>)</w:t>
            </w:r>
          </w:p>
        </w:tc>
      </w:tr>
      <w:tr w:rsidR="00F16C29" w:rsidTr="00F16C29">
        <w:tc>
          <w:tcPr>
            <w:cnfStyle w:val="001000000000" w:firstRow="0" w:lastRow="0" w:firstColumn="1" w:lastColumn="0" w:oddVBand="0" w:evenVBand="0" w:oddHBand="0" w:evenHBand="0" w:firstRowFirstColumn="0" w:firstRowLastColumn="0" w:lastRowFirstColumn="0" w:lastRowLastColumn="0"/>
            <w:tcW w:w="1710" w:type="dxa"/>
            <w:hideMark/>
          </w:tcPr>
          <w:p w:rsidR="00F16C29" w:rsidRDefault="00F16C29">
            <w:pPr>
              <w:spacing w:line="360" w:lineRule="auto"/>
              <w:jc w:val="both"/>
              <w:rPr>
                <w:rFonts w:ascii="Times New Roman" w:eastAsia="Times New Roman" w:hAnsi="Times New Roman" w:cs="Times New Roman"/>
                <w:b w:val="0"/>
                <w:sz w:val="24"/>
                <w:szCs w:val="24"/>
              </w:rPr>
            </w:pPr>
            <w:r>
              <w:rPr>
                <w:rFonts w:ascii="Times New Roman" w:eastAsia="Times New Roman" w:hAnsi="Times New Roman" w:cs="Times New Roman"/>
                <w:b w:val="0"/>
                <w:sz w:val="24"/>
                <w:szCs w:val="24"/>
              </w:rPr>
              <w:t>COMP4</w:t>
            </w:r>
          </w:p>
        </w:tc>
        <w:tc>
          <w:tcPr>
            <w:tcW w:w="7920" w:type="dxa"/>
            <w:hideMark/>
          </w:tcPr>
          <w:p w:rsidR="00F16C29" w:rsidRDefault="00F16C2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Pr>
                <w:rFonts w:ascii="Times New Roman" w:hAnsi="Times New Roman" w:cs="Times New Roman"/>
                <w:sz w:val="24"/>
                <w:szCs w:val="24"/>
              </w:rPr>
              <w:t>7,3',4'-tetrahydroxy-3-methoxyflavone (quercetin-3-methyl ether)</w:t>
            </w:r>
          </w:p>
        </w:tc>
      </w:tr>
      <w:tr w:rsidR="00F16C29" w:rsidTr="00F16C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dxa"/>
            <w:tcBorders>
              <w:top w:val="none" w:sz="0" w:space="0" w:color="auto"/>
              <w:bottom w:val="none" w:sz="0" w:space="0" w:color="auto"/>
            </w:tcBorders>
            <w:hideMark/>
          </w:tcPr>
          <w:p w:rsidR="00F16C29" w:rsidRDefault="00F16C29">
            <w:pPr>
              <w:spacing w:line="360" w:lineRule="auto"/>
              <w:jc w:val="both"/>
              <w:rPr>
                <w:rFonts w:ascii="Times New Roman" w:eastAsia="Times New Roman" w:hAnsi="Times New Roman" w:cs="Times New Roman"/>
                <w:b w:val="0"/>
                <w:sz w:val="24"/>
                <w:szCs w:val="24"/>
              </w:rPr>
            </w:pPr>
            <w:r>
              <w:rPr>
                <w:rFonts w:ascii="Times New Roman" w:hAnsi="Times New Roman" w:cs="Times New Roman"/>
                <w:b w:val="0"/>
                <w:bCs w:val="0"/>
                <w:sz w:val="24"/>
                <w:szCs w:val="24"/>
              </w:rPr>
              <w:t>DHEA</w:t>
            </w:r>
          </w:p>
        </w:tc>
        <w:tc>
          <w:tcPr>
            <w:tcW w:w="7920" w:type="dxa"/>
            <w:tcBorders>
              <w:top w:val="none" w:sz="0" w:space="0" w:color="auto"/>
              <w:bottom w:val="none" w:sz="0" w:space="0" w:color="auto"/>
            </w:tcBorders>
            <w:hideMark/>
          </w:tcPr>
          <w:p w:rsidR="00F16C29" w:rsidRDefault="00F16C2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Pr>
                <w:rFonts w:ascii="Times New Roman" w:hAnsi="Times New Roman" w:cs="Times New Roman"/>
                <w:bCs/>
                <w:sz w:val="24"/>
                <w:szCs w:val="24"/>
              </w:rPr>
              <w:t>Dehydroepiandrosterone</w:t>
            </w:r>
            <w:proofErr w:type="spellEnd"/>
            <w:r>
              <w:rPr>
                <w:rFonts w:ascii="Times New Roman" w:hAnsi="Times New Roman" w:cs="Times New Roman"/>
                <w:bCs/>
                <w:sz w:val="24"/>
                <w:szCs w:val="24"/>
              </w:rPr>
              <w:t xml:space="preserve"> </w:t>
            </w:r>
          </w:p>
        </w:tc>
      </w:tr>
      <w:tr w:rsidR="00F16C29" w:rsidTr="00F16C29">
        <w:tc>
          <w:tcPr>
            <w:cnfStyle w:val="001000000000" w:firstRow="0" w:lastRow="0" w:firstColumn="1" w:lastColumn="0" w:oddVBand="0" w:evenVBand="0" w:oddHBand="0" w:evenHBand="0" w:firstRowFirstColumn="0" w:firstRowLastColumn="0" w:lastRowFirstColumn="0" w:lastRowLastColumn="0"/>
            <w:tcW w:w="1710" w:type="dxa"/>
            <w:hideMark/>
          </w:tcPr>
          <w:p w:rsidR="00F16C29" w:rsidRDefault="00F16C29">
            <w:pPr>
              <w:spacing w:line="360" w:lineRule="auto"/>
              <w:jc w:val="both"/>
              <w:rPr>
                <w:rFonts w:ascii="Times New Roman" w:eastAsia="Times New Roman" w:hAnsi="Times New Roman" w:cs="Times New Roman"/>
                <w:b w:val="0"/>
                <w:sz w:val="24"/>
                <w:szCs w:val="24"/>
              </w:rPr>
            </w:pPr>
            <w:r>
              <w:rPr>
                <w:rFonts w:ascii="Times New Roman" w:hAnsi="Times New Roman" w:cs="Times New Roman"/>
                <w:b w:val="0"/>
                <w:bCs w:val="0"/>
                <w:sz w:val="24"/>
                <w:szCs w:val="24"/>
              </w:rPr>
              <w:t>DHT</w:t>
            </w:r>
          </w:p>
        </w:tc>
        <w:tc>
          <w:tcPr>
            <w:tcW w:w="7920" w:type="dxa"/>
            <w:hideMark/>
          </w:tcPr>
          <w:p w:rsidR="00F16C29" w:rsidRDefault="00F16C2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Pr>
                <w:rFonts w:ascii="Times New Roman" w:hAnsi="Times New Roman" w:cs="Times New Roman"/>
                <w:bCs/>
                <w:sz w:val="24"/>
                <w:szCs w:val="24"/>
              </w:rPr>
              <w:t>Dihydrotestosterone</w:t>
            </w:r>
            <w:proofErr w:type="spellEnd"/>
            <w:r>
              <w:rPr>
                <w:rFonts w:ascii="Times New Roman" w:hAnsi="Times New Roman" w:cs="Times New Roman"/>
                <w:bCs/>
                <w:sz w:val="24"/>
                <w:szCs w:val="24"/>
              </w:rPr>
              <w:t xml:space="preserve"> </w:t>
            </w:r>
          </w:p>
        </w:tc>
      </w:tr>
      <w:tr w:rsidR="00F16C29" w:rsidTr="00F16C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dxa"/>
            <w:tcBorders>
              <w:top w:val="none" w:sz="0" w:space="0" w:color="auto"/>
              <w:bottom w:val="none" w:sz="0" w:space="0" w:color="auto"/>
            </w:tcBorders>
            <w:hideMark/>
          </w:tcPr>
          <w:p w:rsidR="00F16C29" w:rsidRDefault="00F16C29">
            <w:pPr>
              <w:spacing w:line="360" w:lineRule="auto"/>
              <w:jc w:val="both"/>
              <w:rPr>
                <w:rFonts w:ascii="Times New Roman" w:eastAsia="Calibri" w:hAnsi="Times New Roman" w:cs="Times New Roman"/>
                <w:b w:val="0"/>
                <w:bCs w:val="0"/>
                <w:sz w:val="24"/>
                <w:szCs w:val="24"/>
              </w:rPr>
            </w:pPr>
            <w:r>
              <w:rPr>
                <w:rFonts w:ascii="Times New Roman" w:eastAsia="Calibri" w:hAnsi="Times New Roman" w:cs="Times New Roman"/>
                <w:b w:val="0"/>
                <w:bCs w:val="0"/>
                <w:sz w:val="24"/>
                <w:szCs w:val="24"/>
              </w:rPr>
              <w:t>ELISA</w:t>
            </w:r>
          </w:p>
        </w:tc>
        <w:tc>
          <w:tcPr>
            <w:tcW w:w="7920" w:type="dxa"/>
            <w:tcBorders>
              <w:top w:val="none" w:sz="0" w:space="0" w:color="auto"/>
              <w:bottom w:val="none" w:sz="0" w:space="0" w:color="auto"/>
            </w:tcBorders>
            <w:hideMark/>
          </w:tcPr>
          <w:p w:rsidR="00F16C29" w:rsidRDefault="00F16C2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Cs/>
                <w:sz w:val="24"/>
                <w:szCs w:val="24"/>
              </w:rPr>
            </w:pPr>
            <w:r>
              <w:rPr>
                <w:rFonts w:ascii="Times New Roman" w:hAnsi="Times New Roman" w:cs="Times New Roman"/>
                <w:sz w:val="24"/>
                <w:szCs w:val="24"/>
              </w:rPr>
              <w:t xml:space="preserve">Enzyme-linked </w:t>
            </w:r>
            <w:proofErr w:type="spellStart"/>
            <w:r>
              <w:rPr>
                <w:rFonts w:ascii="Times New Roman" w:hAnsi="Times New Roman" w:cs="Times New Roman"/>
                <w:sz w:val="24"/>
                <w:szCs w:val="24"/>
              </w:rPr>
              <w:t>immunosorbent</w:t>
            </w:r>
            <w:proofErr w:type="spellEnd"/>
            <w:r>
              <w:rPr>
                <w:rFonts w:ascii="Times New Roman" w:hAnsi="Times New Roman" w:cs="Times New Roman"/>
                <w:sz w:val="24"/>
                <w:szCs w:val="24"/>
              </w:rPr>
              <w:t xml:space="preserve"> assay</w:t>
            </w:r>
          </w:p>
        </w:tc>
      </w:tr>
      <w:tr w:rsidR="00F16C29" w:rsidTr="00F16C29">
        <w:tc>
          <w:tcPr>
            <w:cnfStyle w:val="001000000000" w:firstRow="0" w:lastRow="0" w:firstColumn="1" w:lastColumn="0" w:oddVBand="0" w:evenVBand="0" w:oddHBand="0" w:evenHBand="0" w:firstRowFirstColumn="0" w:firstRowLastColumn="0" w:lastRowFirstColumn="0" w:lastRowLastColumn="0"/>
            <w:tcW w:w="1710" w:type="dxa"/>
            <w:hideMark/>
          </w:tcPr>
          <w:p w:rsidR="00F16C29" w:rsidRDefault="00F16C29">
            <w:pPr>
              <w:spacing w:line="360" w:lineRule="auto"/>
              <w:jc w:val="both"/>
              <w:rPr>
                <w:rFonts w:ascii="Times New Roman" w:eastAsia="Calibri" w:hAnsi="Times New Roman" w:cs="Times New Roman"/>
                <w:b w:val="0"/>
                <w:bCs w:val="0"/>
                <w:sz w:val="24"/>
                <w:szCs w:val="24"/>
              </w:rPr>
            </w:pPr>
            <w:proofErr w:type="spellStart"/>
            <w:r>
              <w:rPr>
                <w:rFonts w:ascii="Times New Roman" w:eastAsia="Calibri" w:hAnsi="Times New Roman" w:cs="Times New Roman"/>
                <w:b w:val="0"/>
                <w:bCs w:val="0"/>
                <w:sz w:val="24"/>
                <w:szCs w:val="24"/>
              </w:rPr>
              <w:t>P</w:t>
            </w:r>
            <w:r w:rsidR="009504DB">
              <w:rPr>
                <w:rFonts w:ascii="Times New Roman" w:eastAsia="Calibri" w:hAnsi="Times New Roman" w:cs="Times New Roman"/>
                <w:b w:val="0"/>
                <w:bCs w:val="0"/>
                <w:sz w:val="24"/>
                <w:szCs w:val="24"/>
              </w:rPr>
              <w:t>c</w:t>
            </w:r>
            <w:r>
              <w:rPr>
                <w:rFonts w:ascii="Times New Roman" w:eastAsia="Calibri" w:hAnsi="Times New Roman" w:cs="Times New Roman"/>
                <w:b w:val="0"/>
                <w:bCs w:val="0"/>
                <w:sz w:val="24"/>
                <w:szCs w:val="24"/>
              </w:rPr>
              <w:t>a</w:t>
            </w:r>
            <w:proofErr w:type="spellEnd"/>
          </w:p>
        </w:tc>
        <w:tc>
          <w:tcPr>
            <w:tcW w:w="7920" w:type="dxa"/>
            <w:hideMark/>
          </w:tcPr>
          <w:p w:rsidR="00F16C29" w:rsidRDefault="00F16C2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sz w:val="24"/>
                <w:szCs w:val="24"/>
              </w:rPr>
            </w:pPr>
            <w:r>
              <w:rPr>
                <w:rFonts w:ascii="Times New Roman" w:hAnsi="Times New Roman" w:cs="Times New Roman"/>
                <w:sz w:val="24"/>
                <w:szCs w:val="24"/>
              </w:rPr>
              <w:t>Prostate cancer</w:t>
            </w:r>
          </w:p>
        </w:tc>
      </w:tr>
      <w:tr w:rsidR="00F16C29" w:rsidTr="00F16C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dxa"/>
            <w:tcBorders>
              <w:top w:val="none" w:sz="0" w:space="0" w:color="auto"/>
              <w:bottom w:val="none" w:sz="0" w:space="0" w:color="auto"/>
            </w:tcBorders>
            <w:hideMark/>
          </w:tcPr>
          <w:p w:rsidR="00F16C29" w:rsidRDefault="00F16C29">
            <w:pPr>
              <w:spacing w:line="360" w:lineRule="auto"/>
              <w:jc w:val="both"/>
              <w:rPr>
                <w:rFonts w:ascii="Times New Roman" w:eastAsia="Calibri" w:hAnsi="Times New Roman" w:cs="Times New Roman"/>
                <w:b w:val="0"/>
                <w:bCs w:val="0"/>
                <w:sz w:val="24"/>
                <w:szCs w:val="24"/>
              </w:rPr>
            </w:pPr>
            <w:r>
              <w:rPr>
                <w:rFonts w:ascii="Times New Roman" w:eastAsia="Calibri" w:hAnsi="Times New Roman" w:cs="Times New Roman"/>
                <w:b w:val="0"/>
                <w:sz w:val="24"/>
                <w:szCs w:val="24"/>
              </w:rPr>
              <w:t>PSA</w:t>
            </w:r>
          </w:p>
        </w:tc>
        <w:tc>
          <w:tcPr>
            <w:tcW w:w="7920" w:type="dxa"/>
            <w:tcBorders>
              <w:top w:val="none" w:sz="0" w:space="0" w:color="auto"/>
              <w:bottom w:val="none" w:sz="0" w:space="0" w:color="auto"/>
            </w:tcBorders>
            <w:hideMark/>
          </w:tcPr>
          <w:p w:rsidR="00F16C29" w:rsidRDefault="00F16C2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eastAsia="Calibri" w:hAnsi="Times New Roman" w:cs="Times New Roman"/>
                <w:sz w:val="24"/>
                <w:szCs w:val="24"/>
              </w:rPr>
              <w:t xml:space="preserve">Prostate-Specific Antigen </w:t>
            </w:r>
          </w:p>
        </w:tc>
      </w:tr>
      <w:tr w:rsidR="00F16C29" w:rsidTr="00F16C29">
        <w:tc>
          <w:tcPr>
            <w:cnfStyle w:val="001000000000" w:firstRow="0" w:lastRow="0" w:firstColumn="1" w:lastColumn="0" w:oddVBand="0" w:evenVBand="0" w:oddHBand="0" w:evenHBand="0" w:firstRowFirstColumn="0" w:firstRowLastColumn="0" w:lastRowFirstColumn="0" w:lastRowLastColumn="0"/>
            <w:tcW w:w="1710" w:type="dxa"/>
            <w:hideMark/>
          </w:tcPr>
          <w:p w:rsidR="00F16C29" w:rsidRDefault="00F16C29">
            <w:pPr>
              <w:spacing w:line="360" w:lineRule="auto"/>
              <w:jc w:val="both"/>
              <w:rPr>
                <w:rFonts w:ascii="Times New Roman" w:eastAsia="Calibri" w:hAnsi="Times New Roman" w:cs="Times New Roman"/>
                <w:b w:val="0"/>
                <w:bCs w:val="0"/>
                <w:sz w:val="24"/>
                <w:szCs w:val="24"/>
              </w:rPr>
            </w:pPr>
            <w:r>
              <w:rPr>
                <w:rFonts w:ascii="Times New Roman" w:eastAsia="Calibri" w:hAnsi="Times New Roman" w:cs="Times New Roman"/>
                <w:b w:val="0"/>
                <w:bCs w:val="0"/>
                <w:sz w:val="24"/>
                <w:szCs w:val="24"/>
              </w:rPr>
              <w:t>SPOP</w:t>
            </w:r>
          </w:p>
        </w:tc>
        <w:tc>
          <w:tcPr>
            <w:tcW w:w="7920" w:type="dxa"/>
            <w:hideMark/>
          </w:tcPr>
          <w:p w:rsidR="00F16C29" w:rsidRDefault="00F16C2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sz w:val="24"/>
                <w:szCs w:val="24"/>
              </w:rPr>
            </w:pPr>
            <w:r>
              <w:rPr>
                <w:rFonts w:ascii="Times New Roman" w:hAnsi="Times New Roman" w:cs="Times New Roman"/>
                <w:sz w:val="24"/>
                <w:szCs w:val="24"/>
              </w:rPr>
              <w:t>Speckle Type POZ Protein</w:t>
            </w:r>
          </w:p>
        </w:tc>
      </w:tr>
      <w:tr w:rsidR="00F16C29" w:rsidTr="00F16C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dxa"/>
            <w:tcBorders>
              <w:top w:val="none" w:sz="0" w:space="0" w:color="auto"/>
              <w:bottom w:val="none" w:sz="0" w:space="0" w:color="auto"/>
            </w:tcBorders>
            <w:hideMark/>
          </w:tcPr>
          <w:p w:rsidR="00F16C29" w:rsidRDefault="00F16C29">
            <w:pPr>
              <w:spacing w:line="360" w:lineRule="auto"/>
              <w:jc w:val="both"/>
              <w:rPr>
                <w:rFonts w:ascii="Times New Roman" w:eastAsia="Calibri" w:hAnsi="Times New Roman" w:cs="Times New Roman"/>
                <w:b w:val="0"/>
                <w:bCs w:val="0"/>
                <w:sz w:val="24"/>
                <w:szCs w:val="24"/>
              </w:rPr>
            </w:pPr>
            <w:r>
              <w:rPr>
                <w:rFonts w:ascii="Times New Roman" w:eastAsia="Calibri" w:hAnsi="Times New Roman" w:cs="Times New Roman"/>
                <w:b w:val="0"/>
                <w:bCs w:val="0"/>
                <w:sz w:val="24"/>
                <w:szCs w:val="24"/>
              </w:rPr>
              <w:t>SRC-3</w:t>
            </w:r>
          </w:p>
        </w:tc>
        <w:tc>
          <w:tcPr>
            <w:tcW w:w="7920" w:type="dxa"/>
            <w:tcBorders>
              <w:top w:val="none" w:sz="0" w:space="0" w:color="auto"/>
              <w:bottom w:val="none" w:sz="0" w:space="0" w:color="auto"/>
            </w:tcBorders>
            <w:hideMark/>
          </w:tcPr>
          <w:p w:rsidR="00F16C29" w:rsidRDefault="00F16C2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Cs/>
                <w:sz w:val="24"/>
                <w:szCs w:val="24"/>
              </w:rPr>
            </w:pPr>
            <w:r>
              <w:rPr>
                <w:rFonts w:ascii="Times New Roman" w:hAnsi="Times New Roman" w:cs="Times New Roman"/>
                <w:sz w:val="24"/>
                <w:szCs w:val="24"/>
              </w:rPr>
              <w:t xml:space="preserve">Steroid Receptor </w:t>
            </w:r>
            <w:proofErr w:type="spellStart"/>
            <w:r>
              <w:rPr>
                <w:rFonts w:ascii="Times New Roman" w:hAnsi="Times New Roman" w:cs="Times New Roman"/>
                <w:sz w:val="24"/>
                <w:szCs w:val="24"/>
              </w:rPr>
              <w:t>Coactivator</w:t>
            </w:r>
            <w:proofErr w:type="spellEnd"/>
            <w:r>
              <w:rPr>
                <w:rFonts w:ascii="Times New Roman" w:hAnsi="Times New Roman" w:cs="Times New Roman"/>
                <w:sz w:val="24"/>
                <w:szCs w:val="24"/>
              </w:rPr>
              <w:t xml:space="preserve"> 3</w:t>
            </w:r>
          </w:p>
        </w:tc>
      </w:tr>
    </w:tbl>
    <w:p w:rsidR="00F16C29" w:rsidRDefault="00F16C29" w:rsidP="00F16C29">
      <w:pPr>
        <w:jc w:val="both"/>
        <w:rPr>
          <w:rFonts w:ascii="Times New Roman" w:hAnsi="Times New Roman" w:cs="Times New Roman"/>
          <w:sz w:val="24"/>
          <w:szCs w:val="24"/>
        </w:rPr>
      </w:pPr>
    </w:p>
    <w:p w:rsidR="00F16C29" w:rsidRDefault="00F16C29" w:rsidP="00F77439">
      <w:pPr>
        <w:spacing w:line="276" w:lineRule="auto"/>
        <w:rPr>
          <w:rFonts w:ascii="Times New Roman" w:hAnsi="Times New Roman" w:cs="Times New Roman"/>
          <w:b/>
          <w:sz w:val="24"/>
          <w:szCs w:val="24"/>
        </w:rPr>
      </w:pPr>
    </w:p>
    <w:p w:rsidR="00F16C29" w:rsidRDefault="00F16C29" w:rsidP="00F77439">
      <w:pPr>
        <w:spacing w:line="276" w:lineRule="auto"/>
        <w:rPr>
          <w:rFonts w:ascii="Times New Roman" w:hAnsi="Times New Roman" w:cs="Times New Roman"/>
          <w:b/>
          <w:sz w:val="24"/>
          <w:szCs w:val="24"/>
        </w:rPr>
      </w:pPr>
    </w:p>
    <w:p w:rsidR="00F16C29" w:rsidRDefault="00F16C29" w:rsidP="00F77439">
      <w:pPr>
        <w:spacing w:line="276" w:lineRule="auto"/>
        <w:rPr>
          <w:rFonts w:ascii="Times New Roman" w:hAnsi="Times New Roman" w:cs="Times New Roman"/>
          <w:b/>
          <w:sz w:val="24"/>
          <w:szCs w:val="24"/>
        </w:rPr>
      </w:pPr>
    </w:p>
    <w:p w:rsidR="00F16C29" w:rsidRDefault="00F16C29" w:rsidP="00F77439">
      <w:pPr>
        <w:spacing w:line="276" w:lineRule="auto"/>
        <w:rPr>
          <w:rFonts w:ascii="Times New Roman" w:hAnsi="Times New Roman" w:cs="Times New Roman"/>
          <w:b/>
          <w:sz w:val="24"/>
          <w:szCs w:val="24"/>
        </w:rPr>
      </w:pPr>
    </w:p>
    <w:p w:rsidR="00F16C29" w:rsidRDefault="00F16C29" w:rsidP="00F77439">
      <w:pPr>
        <w:spacing w:line="276" w:lineRule="auto"/>
        <w:rPr>
          <w:rFonts w:ascii="Times New Roman" w:hAnsi="Times New Roman" w:cs="Times New Roman"/>
          <w:b/>
          <w:sz w:val="24"/>
          <w:szCs w:val="24"/>
        </w:rPr>
      </w:pPr>
    </w:p>
    <w:p w:rsidR="00F16C29" w:rsidRDefault="00F16C29" w:rsidP="00F77439">
      <w:pPr>
        <w:spacing w:line="276" w:lineRule="auto"/>
        <w:rPr>
          <w:rFonts w:ascii="Times New Roman" w:hAnsi="Times New Roman" w:cs="Times New Roman"/>
          <w:b/>
          <w:sz w:val="24"/>
          <w:szCs w:val="24"/>
        </w:rPr>
      </w:pPr>
    </w:p>
    <w:p w:rsidR="00F16C29" w:rsidRDefault="00F16C29" w:rsidP="00F77439">
      <w:pPr>
        <w:spacing w:line="276" w:lineRule="auto"/>
        <w:rPr>
          <w:rFonts w:ascii="Times New Roman" w:hAnsi="Times New Roman" w:cs="Times New Roman"/>
          <w:b/>
          <w:sz w:val="24"/>
          <w:szCs w:val="24"/>
        </w:rPr>
      </w:pPr>
    </w:p>
    <w:p w:rsidR="00F16C29" w:rsidRDefault="00F16C29" w:rsidP="00F77439">
      <w:pPr>
        <w:spacing w:line="276" w:lineRule="auto"/>
        <w:rPr>
          <w:rFonts w:ascii="Times New Roman" w:hAnsi="Times New Roman" w:cs="Times New Roman"/>
          <w:b/>
          <w:sz w:val="24"/>
          <w:szCs w:val="24"/>
        </w:rPr>
      </w:pPr>
    </w:p>
    <w:p w:rsidR="00A81F80" w:rsidRDefault="00A81F80" w:rsidP="00F77439">
      <w:pPr>
        <w:spacing w:line="276" w:lineRule="auto"/>
        <w:rPr>
          <w:rFonts w:ascii="Times New Roman" w:hAnsi="Times New Roman" w:cs="Times New Roman"/>
          <w:b/>
          <w:sz w:val="24"/>
          <w:szCs w:val="24"/>
        </w:rPr>
      </w:pPr>
    </w:p>
    <w:p w:rsidR="00A81F80" w:rsidRPr="002E7761" w:rsidRDefault="00A81F80" w:rsidP="00F77439">
      <w:pPr>
        <w:spacing w:line="276" w:lineRule="auto"/>
        <w:rPr>
          <w:rFonts w:ascii="Times New Roman" w:hAnsi="Times New Roman" w:cs="Times New Roman"/>
          <w:b/>
          <w:sz w:val="24"/>
          <w:szCs w:val="24"/>
        </w:rPr>
      </w:pPr>
    </w:p>
    <w:p w:rsidR="004F20FF" w:rsidRDefault="004F20FF" w:rsidP="00F77439">
      <w:pPr>
        <w:spacing w:line="276" w:lineRule="auto"/>
        <w:jc w:val="center"/>
        <w:rPr>
          <w:rFonts w:ascii="Times New Roman" w:hAnsi="Times New Roman" w:cs="Times New Roman"/>
          <w:b/>
          <w:sz w:val="24"/>
          <w:szCs w:val="24"/>
        </w:rPr>
      </w:pPr>
    </w:p>
    <w:p w:rsidR="00F77439" w:rsidRPr="002E7761" w:rsidRDefault="00F77439" w:rsidP="00F77439">
      <w:pPr>
        <w:spacing w:line="276" w:lineRule="auto"/>
        <w:jc w:val="center"/>
        <w:rPr>
          <w:rFonts w:ascii="Times New Roman" w:hAnsi="Times New Roman" w:cs="Times New Roman"/>
          <w:b/>
          <w:sz w:val="24"/>
          <w:szCs w:val="24"/>
        </w:rPr>
      </w:pPr>
      <w:r w:rsidRPr="002E7761">
        <w:rPr>
          <w:rFonts w:ascii="Times New Roman" w:hAnsi="Times New Roman" w:cs="Times New Roman"/>
          <w:b/>
          <w:sz w:val="24"/>
          <w:szCs w:val="24"/>
        </w:rPr>
        <w:lastRenderedPageBreak/>
        <w:t>ABSTRACT</w:t>
      </w:r>
    </w:p>
    <w:p w:rsidR="00ED7C8D" w:rsidRPr="00103F16" w:rsidRDefault="000B471F" w:rsidP="00103F16">
      <w:pPr>
        <w:jc w:val="both"/>
        <w:rPr>
          <w:rFonts w:ascii="Times New Roman" w:eastAsia="Times New Roman" w:hAnsi="Times New Roman" w:cs="Times New Roman"/>
          <w:sz w:val="24"/>
          <w:szCs w:val="24"/>
          <w:lang w:val="en-US"/>
        </w:rPr>
      </w:pPr>
      <w:r w:rsidRPr="000B471F">
        <w:rPr>
          <w:rFonts w:ascii="Times New Roman" w:hAnsi="Times New Roman" w:cs="Times New Roman"/>
          <w:sz w:val="24"/>
          <w:szCs w:val="24"/>
        </w:rPr>
        <w:t>Prostate cancer (</w:t>
      </w:r>
      <w:proofErr w:type="spellStart"/>
      <w:r w:rsidRPr="000B471F">
        <w:rPr>
          <w:rFonts w:ascii="Times New Roman" w:hAnsi="Times New Roman" w:cs="Times New Roman"/>
          <w:sz w:val="24"/>
          <w:szCs w:val="24"/>
        </w:rPr>
        <w:t>PCa</w:t>
      </w:r>
      <w:proofErr w:type="spellEnd"/>
      <w:r w:rsidRPr="000B471F">
        <w:rPr>
          <w:rFonts w:ascii="Times New Roman" w:hAnsi="Times New Roman" w:cs="Times New Roman"/>
          <w:sz w:val="24"/>
          <w:szCs w:val="24"/>
        </w:rPr>
        <w:t xml:space="preserve">) is one of the most common male cancers and one of the main cancer-related causes of mortality in men. </w:t>
      </w:r>
      <w:r w:rsidR="00103F16" w:rsidRPr="00103F16">
        <w:rPr>
          <w:rFonts w:ascii="Times New Roman" w:eastAsia="Times New Roman" w:hAnsi="Times New Roman" w:cs="Times New Roman"/>
          <w:sz w:val="24"/>
          <w:szCs w:val="24"/>
          <w:lang w:val="en-US"/>
        </w:rPr>
        <w:t>In 2020, there were more than 1.4 million fresh instanc</w:t>
      </w:r>
      <w:r w:rsidR="00103F16">
        <w:rPr>
          <w:rFonts w:ascii="Times New Roman" w:eastAsia="Times New Roman" w:hAnsi="Times New Roman" w:cs="Times New Roman"/>
          <w:sz w:val="24"/>
          <w:szCs w:val="24"/>
          <w:lang w:val="en-US"/>
        </w:rPr>
        <w:t xml:space="preserve">es of </w:t>
      </w:r>
      <w:proofErr w:type="spellStart"/>
      <w:r w:rsidR="00103F16">
        <w:rPr>
          <w:rFonts w:ascii="Times New Roman" w:eastAsia="Times New Roman" w:hAnsi="Times New Roman" w:cs="Times New Roman"/>
          <w:sz w:val="24"/>
          <w:szCs w:val="24"/>
          <w:lang w:val="en-US"/>
        </w:rPr>
        <w:t>PCa</w:t>
      </w:r>
      <w:proofErr w:type="spellEnd"/>
      <w:r w:rsidR="00103F16">
        <w:rPr>
          <w:rFonts w:ascii="Times New Roman" w:eastAsia="Times New Roman" w:hAnsi="Times New Roman" w:cs="Times New Roman"/>
          <w:sz w:val="24"/>
          <w:szCs w:val="24"/>
          <w:lang w:val="en-US"/>
        </w:rPr>
        <w:t xml:space="preserve"> worldwide</w:t>
      </w:r>
      <w:r w:rsidRPr="000B471F">
        <w:rPr>
          <w:rFonts w:ascii="Times New Roman" w:hAnsi="Times New Roman" w:cs="Times New Roman"/>
          <w:sz w:val="24"/>
          <w:szCs w:val="24"/>
        </w:rPr>
        <w:t xml:space="preserve">. Therefore, more new and efficient therapeutic targets and biomarkers are needed urgently for better </w:t>
      </w:r>
      <w:proofErr w:type="spellStart"/>
      <w:r w:rsidRPr="000B471F">
        <w:rPr>
          <w:rFonts w:ascii="Times New Roman" w:hAnsi="Times New Roman" w:cs="Times New Roman"/>
          <w:sz w:val="24"/>
          <w:szCs w:val="24"/>
        </w:rPr>
        <w:t>PCa</w:t>
      </w:r>
      <w:proofErr w:type="spellEnd"/>
      <w:r w:rsidRPr="000B471F">
        <w:rPr>
          <w:rFonts w:ascii="Times New Roman" w:hAnsi="Times New Roman" w:cs="Times New Roman"/>
          <w:sz w:val="24"/>
          <w:szCs w:val="24"/>
        </w:rPr>
        <w:t xml:space="preserve"> management. This study aimed to</w:t>
      </w:r>
      <w:r w:rsidR="00820222">
        <w:rPr>
          <w:rFonts w:ascii="Times New Roman" w:hAnsi="Times New Roman" w:cs="Times New Roman"/>
          <w:sz w:val="24"/>
          <w:szCs w:val="24"/>
        </w:rPr>
        <w:t xml:space="preserve"> </w:t>
      </w:r>
      <w:r w:rsidRPr="000B471F">
        <w:rPr>
          <w:rFonts w:ascii="Times New Roman" w:hAnsi="Times New Roman" w:cs="Times New Roman"/>
          <w:sz w:val="24"/>
          <w:szCs w:val="24"/>
        </w:rPr>
        <w:t xml:space="preserve">quantify SPOP, AR, and SRC-3 proteins in </w:t>
      </w:r>
      <w:proofErr w:type="spellStart"/>
      <w:r w:rsidRPr="000B471F">
        <w:rPr>
          <w:rFonts w:ascii="Times New Roman" w:hAnsi="Times New Roman" w:cs="Times New Roman"/>
          <w:sz w:val="24"/>
          <w:szCs w:val="24"/>
        </w:rPr>
        <w:t>PCa</w:t>
      </w:r>
      <w:proofErr w:type="spellEnd"/>
      <w:r w:rsidRPr="000B471F">
        <w:rPr>
          <w:rFonts w:ascii="Times New Roman" w:hAnsi="Times New Roman" w:cs="Times New Roman"/>
          <w:sz w:val="24"/>
          <w:szCs w:val="24"/>
        </w:rPr>
        <w:t xml:space="preserve"> patients and non-cancer controls, and screen the potential inhibitors toward mutated SPOP and Androgen Receptor Variant 7 (AR-V7) computationally. A case-control study design was used, selecting 40 </w:t>
      </w:r>
      <w:proofErr w:type="spellStart"/>
      <w:r w:rsidRPr="000B471F">
        <w:rPr>
          <w:rFonts w:ascii="Times New Roman" w:hAnsi="Times New Roman" w:cs="Times New Roman"/>
          <w:sz w:val="24"/>
          <w:szCs w:val="24"/>
        </w:rPr>
        <w:t>PCa</w:t>
      </w:r>
      <w:proofErr w:type="spellEnd"/>
      <w:r w:rsidRPr="000B471F">
        <w:rPr>
          <w:rFonts w:ascii="Times New Roman" w:hAnsi="Times New Roman" w:cs="Times New Roman"/>
          <w:sz w:val="24"/>
          <w:szCs w:val="24"/>
        </w:rPr>
        <w:t xml:space="preserve"> patients with histologically confirmed cases and 40 healthy controls. Plasma levels of SPOP, AR, and SRC-3 were estimated by ELISA. Moreover, computational analysis, with the use of simulations, was conducted to predict the physiochemical properties of some selected compounds from </w:t>
      </w:r>
      <w:proofErr w:type="spellStart"/>
      <w:r w:rsidRPr="000B471F">
        <w:rPr>
          <w:rFonts w:ascii="Times New Roman" w:hAnsi="Times New Roman" w:cs="Times New Roman"/>
          <w:sz w:val="24"/>
          <w:szCs w:val="24"/>
        </w:rPr>
        <w:t>Caesalpinia</w:t>
      </w:r>
      <w:proofErr w:type="spellEnd"/>
      <w:r w:rsidRPr="000B471F">
        <w:rPr>
          <w:rFonts w:ascii="Times New Roman" w:hAnsi="Times New Roman" w:cs="Times New Roman"/>
          <w:sz w:val="24"/>
          <w:szCs w:val="24"/>
        </w:rPr>
        <w:t xml:space="preserve"> </w:t>
      </w:r>
      <w:proofErr w:type="spellStart"/>
      <w:r w:rsidRPr="000B471F">
        <w:rPr>
          <w:rFonts w:ascii="Times New Roman" w:hAnsi="Times New Roman" w:cs="Times New Roman"/>
          <w:sz w:val="24"/>
          <w:szCs w:val="24"/>
        </w:rPr>
        <w:t>bonduc</w:t>
      </w:r>
      <w:proofErr w:type="spellEnd"/>
      <w:r w:rsidRPr="000B471F">
        <w:rPr>
          <w:rFonts w:ascii="Times New Roman" w:hAnsi="Times New Roman" w:cs="Times New Roman"/>
          <w:sz w:val="24"/>
          <w:szCs w:val="24"/>
        </w:rPr>
        <w:t>, drug-likeness, and binding affinity toward mutant SPOP and AR-V7.</w:t>
      </w:r>
      <w:r w:rsidR="008D02A9" w:rsidRPr="008D02A9">
        <w:rPr>
          <w:rFonts w:ascii="Times New Roman" w:hAnsi="Times New Roman" w:cs="Times New Roman"/>
          <w:sz w:val="24"/>
          <w:szCs w:val="24"/>
        </w:rPr>
        <w:t xml:space="preserve">The mean SPOP, AR, and SRC-3 levels did not differ significantly between </w:t>
      </w:r>
      <w:proofErr w:type="spellStart"/>
      <w:r w:rsidR="008D02A9" w:rsidRPr="008D02A9">
        <w:rPr>
          <w:rFonts w:ascii="Times New Roman" w:hAnsi="Times New Roman" w:cs="Times New Roman"/>
          <w:sz w:val="24"/>
          <w:szCs w:val="24"/>
        </w:rPr>
        <w:t>PCa</w:t>
      </w:r>
      <w:proofErr w:type="spellEnd"/>
      <w:r w:rsidR="008D02A9" w:rsidRPr="008D02A9">
        <w:rPr>
          <w:rFonts w:ascii="Times New Roman" w:hAnsi="Times New Roman" w:cs="Times New Roman"/>
          <w:sz w:val="24"/>
          <w:szCs w:val="24"/>
        </w:rPr>
        <w:t xml:space="preserve"> and controls (p &gt; 0.05). </w:t>
      </w:r>
      <w:r w:rsidR="00DB0C4E" w:rsidRPr="00DB0C4E">
        <w:rPr>
          <w:rFonts w:ascii="Times New Roman" w:hAnsi="Times New Roman" w:cs="Times New Roman"/>
          <w:sz w:val="24"/>
          <w:szCs w:val="24"/>
        </w:rPr>
        <w:t xml:space="preserve">Pearson correlation analysis revealed a very strong positive correlation between AR and SRC-3 levels (r = 0.9, p &lt; 0.0001), SPOP and AR levels was moderately high (r = 0.7, p &lt; 0.0001), while the correlation between SPOP and SRC-3 was more moderate (r = 0.6, p &lt; 0.0001). </w:t>
      </w:r>
      <w:r w:rsidR="008D02A9" w:rsidRPr="008D02A9">
        <w:rPr>
          <w:rFonts w:ascii="Times New Roman" w:hAnsi="Times New Roman" w:cs="Times New Roman"/>
          <w:sz w:val="24"/>
          <w:szCs w:val="24"/>
        </w:rPr>
        <w:t xml:space="preserve">Computational analyses identified 4 </w:t>
      </w:r>
      <w:r w:rsidR="008D02A9" w:rsidRPr="008D02A9">
        <w:rPr>
          <w:rFonts w:ascii="Times New Roman" w:hAnsi="Times New Roman" w:cs="Times New Roman"/>
          <w:i/>
          <w:sz w:val="24"/>
          <w:szCs w:val="24"/>
        </w:rPr>
        <w:t xml:space="preserve">C. </w:t>
      </w:r>
      <w:proofErr w:type="spellStart"/>
      <w:r w:rsidR="008D02A9" w:rsidRPr="008D02A9">
        <w:rPr>
          <w:rFonts w:ascii="Times New Roman" w:hAnsi="Times New Roman" w:cs="Times New Roman"/>
          <w:i/>
          <w:sz w:val="24"/>
          <w:szCs w:val="24"/>
        </w:rPr>
        <w:t>bonduc</w:t>
      </w:r>
      <w:proofErr w:type="spellEnd"/>
      <w:r w:rsidR="008D02A9" w:rsidRPr="008D02A9">
        <w:rPr>
          <w:rFonts w:ascii="Times New Roman" w:hAnsi="Times New Roman" w:cs="Times New Roman"/>
          <w:sz w:val="24"/>
          <w:szCs w:val="24"/>
        </w:rPr>
        <w:t xml:space="preserve"> compounds; 4,4'-dihydroxy-2'-methoxy-chalcone (2'-methoxyisoliquiritigenin), 7,4'-dihydroxy-3,11-dehydrohomoisoflavanone, 5,7,3',4'-tetrahydroxy-flavone (</w:t>
      </w:r>
      <w:proofErr w:type="spellStart"/>
      <w:r w:rsidR="008D02A9" w:rsidRPr="008D02A9">
        <w:rPr>
          <w:rFonts w:ascii="Times New Roman" w:hAnsi="Times New Roman" w:cs="Times New Roman"/>
          <w:sz w:val="24"/>
          <w:szCs w:val="24"/>
        </w:rPr>
        <w:t>Luteolin</w:t>
      </w:r>
      <w:proofErr w:type="spellEnd"/>
      <w:r w:rsidR="008D02A9" w:rsidRPr="008D02A9">
        <w:rPr>
          <w:rFonts w:ascii="Times New Roman" w:hAnsi="Times New Roman" w:cs="Times New Roman"/>
          <w:sz w:val="24"/>
          <w:szCs w:val="24"/>
        </w:rPr>
        <w:t xml:space="preserve">), 7,3',4'-tetrahydroxy-3-methoxyflavone (quercetin-3-methyl ether) designated as </w:t>
      </w:r>
      <w:r w:rsidR="008D02A9">
        <w:rPr>
          <w:rFonts w:ascii="Times New Roman" w:eastAsia="Times New Roman" w:hAnsi="Times New Roman" w:cs="Times New Roman"/>
          <w:sz w:val="24"/>
          <w:szCs w:val="24"/>
        </w:rPr>
        <w:t xml:space="preserve">COMP1, </w:t>
      </w:r>
      <w:r w:rsidR="008D02A9">
        <w:rPr>
          <w:rFonts w:ascii="Times New Roman" w:hAnsi="Times New Roman" w:cs="Times New Roman"/>
          <w:sz w:val="24"/>
          <w:szCs w:val="24"/>
        </w:rPr>
        <w:t>COMP</w:t>
      </w:r>
      <w:r w:rsidR="008D02A9">
        <w:rPr>
          <w:rFonts w:ascii="Times New Roman" w:eastAsia="Times New Roman" w:hAnsi="Times New Roman" w:cs="Times New Roman"/>
          <w:sz w:val="24"/>
          <w:szCs w:val="24"/>
        </w:rPr>
        <w:t xml:space="preserve">2, </w:t>
      </w:r>
      <w:r w:rsidR="008D02A9">
        <w:rPr>
          <w:rFonts w:ascii="Times New Roman" w:hAnsi="Times New Roman" w:cs="Times New Roman"/>
          <w:sz w:val="24"/>
          <w:szCs w:val="24"/>
        </w:rPr>
        <w:t>COMP</w:t>
      </w:r>
      <w:r w:rsidR="008D02A9">
        <w:rPr>
          <w:rFonts w:ascii="Times New Roman" w:eastAsia="Times New Roman" w:hAnsi="Times New Roman" w:cs="Times New Roman"/>
          <w:sz w:val="24"/>
          <w:szCs w:val="24"/>
        </w:rPr>
        <w:t xml:space="preserve">3 and </w:t>
      </w:r>
      <w:r w:rsidR="008D02A9">
        <w:rPr>
          <w:rFonts w:ascii="Times New Roman" w:hAnsi="Times New Roman" w:cs="Times New Roman"/>
          <w:sz w:val="24"/>
          <w:szCs w:val="24"/>
        </w:rPr>
        <w:t>COMP</w:t>
      </w:r>
      <w:r w:rsidR="008D02A9">
        <w:rPr>
          <w:rFonts w:ascii="Times New Roman" w:eastAsia="Times New Roman" w:hAnsi="Times New Roman" w:cs="Times New Roman"/>
          <w:sz w:val="24"/>
          <w:szCs w:val="24"/>
        </w:rPr>
        <w:t xml:space="preserve">4 </w:t>
      </w:r>
      <w:r w:rsidR="008D02A9" w:rsidRPr="008D02A9">
        <w:rPr>
          <w:rFonts w:ascii="Times New Roman" w:hAnsi="Times New Roman" w:cs="Times New Roman"/>
          <w:sz w:val="24"/>
          <w:szCs w:val="24"/>
        </w:rPr>
        <w:t xml:space="preserve">respectively, with </w:t>
      </w:r>
      <w:proofErr w:type="spellStart"/>
      <w:r w:rsidR="008D02A9" w:rsidRPr="008D02A9">
        <w:rPr>
          <w:rFonts w:ascii="Times New Roman" w:hAnsi="Times New Roman" w:cs="Times New Roman"/>
          <w:sz w:val="24"/>
          <w:szCs w:val="24"/>
        </w:rPr>
        <w:t>favorable</w:t>
      </w:r>
      <w:proofErr w:type="spellEnd"/>
      <w:r w:rsidR="008D02A9" w:rsidRPr="008D02A9">
        <w:rPr>
          <w:rFonts w:ascii="Times New Roman" w:hAnsi="Times New Roman" w:cs="Times New Roman"/>
          <w:sz w:val="24"/>
          <w:szCs w:val="24"/>
        </w:rPr>
        <w:t xml:space="preserve"> physicochemical properties and drug-likeness. M</w:t>
      </w:r>
      <w:r w:rsidR="008D02A9">
        <w:rPr>
          <w:rFonts w:ascii="Times New Roman" w:hAnsi="Times New Roman" w:cs="Times New Roman"/>
          <w:sz w:val="24"/>
          <w:szCs w:val="24"/>
        </w:rPr>
        <w:t>olecular docking showed that COMP2 and COMP3</w:t>
      </w:r>
      <w:r w:rsidR="008D02A9" w:rsidRPr="008D02A9">
        <w:rPr>
          <w:rFonts w:ascii="Times New Roman" w:hAnsi="Times New Roman" w:cs="Times New Roman"/>
          <w:sz w:val="24"/>
          <w:szCs w:val="24"/>
        </w:rPr>
        <w:t xml:space="preserve"> exhibited stronger binding affinities to mutant SPOP than </w:t>
      </w:r>
      <w:proofErr w:type="spellStart"/>
      <w:r w:rsidR="008D02A9" w:rsidRPr="008D02A9">
        <w:rPr>
          <w:rFonts w:ascii="Times New Roman" w:hAnsi="Times New Roman" w:cs="Times New Roman"/>
          <w:sz w:val="24"/>
          <w:szCs w:val="24"/>
        </w:rPr>
        <w:t>Enzalutamide</w:t>
      </w:r>
      <w:proofErr w:type="spellEnd"/>
      <w:r w:rsidR="008D02A9" w:rsidRPr="008D02A9">
        <w:rPr>
          <w:rFonts w:ascii="Times New Roman" w:hAnsi="Times New Roman" w:cs="Times New Roman"/>
          <w:sz w:val="24"/>
          <w:szCs w:val="24"/>
        </w:rPr>
        <w:t xml:space="preserve">. </w:t>
      </w:r>
      <w:r w:rsidR="008D02A9">
        <w:rPr>
          <w:rFonts w:ascii="Times New Roman" w:hAnsi="Times New Roman" w:cs="Times New Roman"/>
          <w:sz w:val="24"/>
          <w:szCs w:val="24"/>
        </w:rPr>
        <w:t>COMP2, COMP3, and COMP4</w:t>
      </w:r>
      <w:r w:rsidR="008D02A9" w:rsidRPr="008D02A9">
        <w:rPr>
          <w:rFonts w:ascii="Times New Roman" w:hAnsi="Times New Roman" w:cs="Times New Roman"/>
          <w:sz w:val="24"/>
          <w:szCs w:val="24"/>
        </w:rPr>
        <w:t xml:space="preserve"> also showed stronger binding to AR-V7 than </w:t>
      </w:r>
      <w:proofErr w:type="spellStart"/>
      <w:r w:rsidR="008D02A9" w:rsidRPr="008D02A9">
        <w:rPr>
          <w:rFonts w:ascii="Times New Roman" w:hAnsi="Times New Roman" w:cs="Times New Roman"/>
          <w:sz w:val="24"/>
          <w:szCs w:val="24"/>
        </w:rPr>
        <w:t>Apalutamide</w:t>
      </w:r>
      <w:proofErr w:type="spellEnd"/>
      <w:r w:rsidR="008D02A9" w:rsidRPr="008D02A9">
        <w:rPr>
          <w:rFonts w:ascii="Times New Roman" w:hAnsi="Times New Roman" w:cs="Times New Roman"/>
          <w:sz w:val="24"/>
          <w:szCs w:val="24"/>
        </w:rPr>
        <w:t xml:space="preserve">. While SPOP, AR, and SRC-3 levels did not differ between </w:t>
      </w:r>
      <w:proofErr w:type="spellStart"/>
      <w:r w:rsidR="008D02A9" w:rsidRPr="008D02A9">
        <w:rPr>
          <w:rFonts w:ascii="Times New Roman" w:hAnsi="Times New Roman" w:cs="Times New Roman"/>
          <w:sz w:val="24"/>
          <w:szCs w:val="24"/>
        </w:rPr>
        <w:t>PCa</w:t>
      </w:r>
      <w:proofErr w:type="spellEnd"/>
      <w:r w:rsidR="008D02A9" w:rsidRPr="008D02A9">
        <w:rPr>
          <w:rFonts w:ascii="Times New Roman" w:hAnsi="Times New Roman" w:cs="Times New Roman"/>
          <w:sz w:val="24"/>
          <w:szCs w:val="24"/>
        </w:rPr>
        <w:t xml:space="preserve"> and controls, </w:t>
      </w:r>
      <w:r w:rsidR="00DB0C4E">
        <w:rPr>
          <w:rFonts w:ascii="Times New Roman" w:hAnsi="Times New Roman" w:cs="Times New Roman"/>
          <w:sz w:val="24"/>
          <w:szCs w:val="24"/>
        </w:rPr>
        <w:t>correlation</w:t>
      </w:r>
      <w:r w:rsidR="00DB0C4E" w:rsidRPr="00DB0C4E">
        <w:rPr>
          <w:rFonts w:ascii="Times New Roman" w:hAnsi="Times New Roman" w:cs="Times New Roman"/>
          <w:sz w:val="24"/>
          <w:szCs w:val="24"/>
        </w:rPr>
        <w:t xml:space="preserve"> results suggest a meaningful interplay between SPOP, AR, and SRC-3 in the context of prostate cancer</w:t>
      </w:r>
      <w:r w:rsidR="008D02A9" w:rsidRPr="008D02A9">
        <w:rPr>
          <w:rFonts w:ascii="Times New Roman" w:hAnsi="Times New Roman" w:cs="Times New Roman"/>
          <w:sz w:val="24"/>
          <w:szCs w:val="24"/>
          <w:lang w:val="en-US"/>
        </w:rPr>
        <w:t xml:space="preserve">. Larger cohort proteomic profiling studies should be conducted to validate this study's findings and establish the clinical relevance of protein profiling in prostate cancer management. </w:t>
      </w:r>
      <w:r w:rsidR="008D02A9" w:rsidRPr="008D02A9">
        <w:rPr>
          <w:rFonts w:ascii="Times New Roman" w:hAnsi="Times New Roman" w:cs="Times New Roman"/>
          <w:sz w:val="24"/>
          <w:szCs w:val="24"/>
        </w:rPr>
        <w:t xml:space="preserve">Computational analyses identified </w:t>
      </w:r>
      <w:r w:rsidR="008D02A9" w:rsidRPr="008D02A9">
        <w:rPr>
          <w:rFonts w:ascii="Times New Roman" w:hAnsi="Times New Roman" w:cs="Times New Roman"/>
          <w:i/>
          <w:sz w:val="24"/>
          <w:szCs w:val="24"/>
        </w:rPr>
        <w:t xml:space="preserve">C. </w:t>
      </w:r>
      <w:proofErr w:type="spellStart"/>
      <w:r w:rsidR="008D02A9" w:rsidRPr="008D02A9">
        <w:rPr>
          <w:rFonts w:ascii="Times New Roman" w:hAnsi="Times New Roman" w:cs="Times New Roman"/>
          <w:i/>
          <w:sz w:val="24"/>
          <w:szCs w:val="24"/>
        </w:rPr>
        <w:t>bonduc</w:t>
      </w:r>
      <w:proofErr w:type="spellEnd"/>
      <w:r w:rsidR="008D02A9" w:rsidRPr="008D02A9">
        <w:rPr>
          <w:rFonts w:ascii="Times New Roman" w:hAnsi="Times New Roman" w:cs="Times New Roman"/>
          <w:sz w:val="24"/>
          <w:szCs w:val="24"/>
        </w:rPr>
        <w:t xml:space="preserve"> compounds</w:t>
      </w:r>
      <w:r w:rsidR="00103F16">
        <w:rPr>
          <w:rFonts w:ascii="Times New Roman" w:hAnsi="Times New Roman" w:cs="Times New Roman"/>
          <w:sz w:val="24"/>
          <w:szCs w:val="24"/>
        </w:rPr>
        <w:t>:</w:t>
      </w:r>
      <w:r w:rsidR="008D02A9" w:rsidRPr="008D02A9">
        <w:rPr>
          <w:rFonts w:ascii="Times New Roman" w:hAnsi="Times New Roman" w:cs="Times New Roman"/>
          <w:sz w:val="24"/>
          <w:szCs w:val="24"/>
        </w:rPr>
        <w:t xml:space="preserve"> </w:t>
      </w:r>
      <w:proofErr w:type="spellStart"/>
      <w:r w:rsidR="00103F16" w:rsidRPr="008D02A9">
        <w:rPr>
          <w:rFonts w:ascii="Times New Roman" w:hAnsi="Times New Roman" w:cs="Times New Roman"/>
          <w:sz w:val="24"/>
          <w:szCs w:val="24"/>
        </w:rPr>
        <w:t>Luteolin</w:t>
      </w:r>
      <w:proofErr w:type="spellEnd"/>
      <w:r w:rsidR="00103F16" w:rsidRPr="008D02A9">
        <w:rPr>
          <w:rFonts w:ascii="Times New Roman" w:hAnsi="Times New Roman" w:cs="Times New Roman"/>
          <w:sz w:val="24"/>
          <w:szCs w:val="24"/>
        </w:rPr>
        <w:t>, quercetin-3-methyl ether</w:t>
      </w:r>
      <w:r w:rsidR="00103F16">
        <w:rPr>
          <w:rFonts w:ascii="Times New Roman" w:hAnsi="Times New Roman" w:cs="Times New Roman"/>
          <w:sz w:val="24"/>
          <w:szCs w:val="24"/>
        </w:rPr>
        <w:t>,</w:t>
      </w:r>
      <w:r w:rsidR="00103F16" w:rsidRPr="008D02A9">
        <w:rPr>
          <w:rFonts w:ascii="Times New Roman" w:hAnsi="Times New Roman" w:cs="Times New Roman"/>
          <w:sz w:val="24"/>
          <w:szCs w:val="24"/>
        </w:rPr>
        <w:t xml:space="preserve"> </w:t>
      </w:r>
      <w:r w:rsidR="008D02A9" w:rsidRPr="008D02A9">
        <w:rPr>
          <w:rFonts w:ascii="Times New Roman" w:hAnsi="Times New Roman" w:cs="Times New Roman"/>
          <w:sz w:val="24"/>
          <w:szCs w:val="24"/>
        </w:rPr>
        <w:t>7</w:t>
      </w:r>
      <w:proofErr w:type="gramStart"/>
      <w:r w:rsidR="008D02A9" w:rsidRPr="008D02A9">
        <w:rPr>
          <w:rFonts w:ascii="Times New Roman" w:hAnsi="Times New Roman" w:cs="Times New Roman"/>
          <w:sz w:val="24"/>
          <w:szCs w:val="24"/>
        </w:rPr>
        <w:t>,4'</w:t>
      </w:r>
      <w:proofErr w:type="gramEnd"/>
      <w:r w:rsidR="008D02A9" w:rsidRPr="008D02A9">
        <w:rPr>
          <w:rFonts w:ascii="Times New Roman" w:hAnsi="Times New Roman" w:cs="Times New Roman"/>
          <w:sz w:val="24"/>
          <w:szCs w:val="24"/>
        </w:rPr>
        <w:t>-dihydrox</w:t>
      </w:r>
      <w:r w:rsidR="00103F16">
        <w:rPr>
          <w:rFonts w:ascii="Times New Roman" w:hAnsi="Times New Roman" w:cs="Times New Roman"/>
          <w:sz w:val="24"/>
          <w:szCs w:val="24"/>
        </w:rPr>
        <w:t xml:space="preserve">y-3,11-dehydrohomoisoflavanone </w:t>
      </w:r>
      <w:r w:rsidR="008D02A9" w:rsidRPr="008D02A9">
        <w:rPr>
          <w:rFonts w:ascii="Times New Roman" w:hAnsi="Times New Roman" w:cs="Times New Roman"/>
          <w:sz w:val="24"/>
          <w:szCs w:val="24"/>
        </w:rPr>
        <w:t xml:space="preserve">with promising therapeutic potential targeting mutant SPOP and AR-V7. </w:t>
      </w:r>
      <w:r w:rsidR="008D02A9" w:rsidRPr="008D02A9">
        <w:rPr>
          <w:rFonts w:ascii="Times New Roman" w:hAnsi="Times New Roman" w:cs="Times New Roman"/>
          <w:sz w:val="24"/>
          <w:szCs w:val="24"/>
          <w:lang w:val="en-US"/>
        </w:rPr>
        <w:t>For their clinical utility to be established, more validation is necessary</w:t>
      </w:r>
      <w:r w:rsidR="00CA37EA">
        <w:rPr>
          <w:rFonts w:ascii="Times New Roman" w:hAnsi="Times New Roman" w:cs="Times New Roman"/>
          <w:color w:val="1A1A1A"/>
          <w:sz w:val="24"/>
          <w:szCs w:val="24"/>
          <w:shd w:val="clear" w:color="auto" w:fill="FFFFFF"/>
        </w:rPr>
        <w:t>.</w:t>
      </w:r>
    </w:p>
    <w:p w:rsidR="00ED7C8D" w:rsidRPr="00ED7C8D" w:rsidRDefault="00ED7C8D" w:rsidP="00103F16">
      <w:pPr>
        <w:jc w:val="both"/>
        <w:rPr>
          <w:rFonts w:ascii="Times New Roman" w:hAnsi="Times New Roman" w:cs="Times New Roman"/>
          <w:sz w:val="24"/>
          <w:szCs w:val="24"/>
          <w:lang w:val="en-US"/>
        </w:rPr>
      </w:pPr>
    </w:p>
    <w:p w:rsidR="00ED7C8D" w:rsidRPr="00ED7C8D" w:rsidRDefault="00ED7C8D" w:rsidP="00103F16">
      <w:pPr>
        <w:jc w:val="both"/>
        <w:rPr>
          <w:rFonts w:ascii="Times New Roman" w:hAnsi="Times New Roman" w:cs="Times New Roman"/>
          <w:sz w:val="24"/>
          <w:szCs w:val="24"/>
          <w:lang w:val="en-US"/>
        </w:rPr>
        <w:sectPr w:rsidR="00ED7C8D" w:rsidRPr="00ED7C8D" w:rsidSect="00ED7C8D">
          <w:pgSz w:w="12240" w:h="15840"/>
          <w:pgMar w:top="1440" w:right="1440" w:bottom="428" w:left="1440" w:header="0" w:footer="0" w:gutter="0"/>
          <w:pgNumType w:fmt="lowerRoman" w:start="1"/>
          <w:cols w:space="0" w:equalWidth="0">
            <w:col w:w="9360"/>
          </w:cols>
          <w:titlePg/>
          <w:docGrid w:linePitch="360"/>
        </w:sectPr>
      </w:pPr>
    </w:p>
    <w:p w:rsidR="00A56BED" w:rsidRDefault="00A56BED" w:rsidP="006D3376">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CHAPTER ONE</w:t>
      </w:r>
    </w:p>
    <w:p w:rsidR="00F77439" w:rsidRDefault="00F77439" w:rsidP="006D3376">
      <w:pPr>
        <w:spacing w:line="360" w:lineRule="auto"/>
        <w:jc w:val="center"/>
        <w:rPr>
          <w:rFonts w:ascii="Times New Roman" w:hAnsi="Times New Roman" w:cs="Times New Roman"/>
          <w:b/>
          <w:sz w:val="24"/>
          <w:szCs w:val="24"/>
        </w:rPr>
      </w:pPr>
      <w:r w:rsidRPr="002E7761">
        <w:rPr>
          <w:rFonts w:ascii="Times New Roman" w:hAnsi="Times New Roman" w:cs="Times New Roman"/>
          <w:b/>
          <w:sz w:val="24"/>
          <w:szCs w:val="24"/>
        </w:rPr>
        <w:t>INTRODUCTION</w:t>
      </w:r>
    </w:p>
    <w:p w:rsidR="00A56BED" w:rsidRPr="00A56BED" w:rsidRDefault="00A56BED" w:rsidP="006D3376">
      <w:pPr>
        <w:pStyle w:val="ListParagraph"/>
        <w:numPr>
          <w:ilvl w:val="1"/>
          <w:numId w:val="1"/>
        </w:numPr>
        <w:spacing w:line="360" w:lineRule="auto"/>
        <w:jc w:val="both"/>
        <w:rPr>
          <w:rFonts w:ascii="Times New Roman" w:hAnsi="Times New Roman" w:cs="Times New Roman"/>
          <w:b/>
          <w:sz w:val="24"/>
          <w:szCs w:val="24"/>
        </w:rPr>
      </w:pPr>
      <w:r w:rsidRPr="002E7761">
        <w:rPr>
          <w:rFonts w:ascii="Times New Roman" w:hAnsi="Times New Roman" w:cs="Times New Roman"/>
          <w:b/>
          <w:sz w:val="24"/>
          <w:szCs w:val="24"/>
        </w:rPr>
        <w:t>Background of the Study</w:t>
      </w:r>
    </w:p>
    <w:p w:rsidR="00933FD3" w:rsidRPr="00AC43D3" w:rsidRDefault="00F57195" w:rsidP="0036448A">
      <w:pPr>
        <w:spacing w:line="360" w:lineRule="auto"/>
        <w:jc w:val="both"/>
        <w:rPr>
          <w:rFonts w:ascii="Times New Roman" w:hAnsi="Times New Roman" w:cs="Times New Roman"/>
          <w:sz w:val="24"/>
          <w:szCs w:val="24"/>
          <w:lang w:val="en-US"/>
        </w:rPr>
      </w:pPr>
      <w:r w:rsidRPr="00F57195">
        <w:rPr>
          <w:rFonts w:ascii="Times New Roman" w:hAnsi="Times New Roman" w:cs="Times New Roman"/>
          <w:sz w:val="24"/>
          <w:szCs w:val="24"/>
        </w:rPr>
        <w:t xml:space="preserve">Among the world's major causes of death today is cancer. According to GLOBOCAN 2020, </w:t>
      </w:r>
      <w:r w:rsidR="0036448A">
        <w:rPr>
          <w:rFonts w:ascii="Times New Roman" w:hAnsi="Times New Roman" w:cs="Times New Roman"/>
          <w:sz w:val="24"/>
          <w:szCs w:val="24"/>
          <w:lang w:val="en-US"/>
        </w:rPr>
        <w:t>a</w:t>
      </w:r>
      <w:r w:rsidR="00AC43D3" w:rsidRPr="00AC43D3">
        <w:rPr>
          <w:rFonts w:ascii="Times New Roman" w:hAnsi="Times New Roman" w:cs="Times New Roman"/>
          <w:sz w:val="24"/>
          <w:szCs w:val="24"/>
          <w:lang w:val="en-US"/>
        </w:rPr>
        <w:t>bout 10 million cancer deaths and 19 million new instances of the disease have been documented wo</w:t>
      </w:r>
      <w:r w:rsidR="00AC43D3">
        <w:rPr>
          <w:rFonts w:ascii="Times New Roman" w:hAnsi="Times New Roman" w:cs="Times New Roman"/>
          <w:sz w:val="24"/>
          <w:szCs w:val="24"/>
          <w:lang w:val="en-US"/>
        </w:rPr>
        <w:t>rldwide, according to estimates</w:t>
      </w:r>
      <w:r w:rsidRPr="00F57195">
        <w:rPr>
          <w:rFonts w:ascii="Times New Roman" w:hAnsi="Times New Roman" w:cs="Times New Roman"/>
          <w:sz w:val="24"/>
          <w:szCs w:val="24"/>
        </w:rPr>
        <w:t xml:space="preserve"> </w:t>
      </w:r>
      <w:r w:rsidRPr="00F57195">
        <w:rPr>
          <w:rFonts w:ascii="Times New Roman" w:hAnsi="Times New Roman" w:cs="Times New Roman"/>
          <w:sz w:val="24"/>
          <w:szCs w:val="24"/>
        </w:rPr>
        <w:fldChar w:fldCharType="begin"/>
      </w:r>
      <w:r w:rsidRPr="00F57195">
        <w:rPr>
          <w:rFonts w:ascii="Times New Roman" w:hAnsi="Times New Roman" w:cs="Times New Roman"/>
          <w:sz w:val="24"/>
          <w:szCs w:val="24"/>
        </w:rPr>
        <w:instrText xml:space="preserve"> ADDIN ZOTERO_ITEM CSL_CITATION {"citationID":"ynHGZimr","properties":{"formattedCitation":"(Sung et al., 2021a)","plainCitation":"(Sung et al., 2021a)","dontUpdate":true,"noteIndex":0},"citationItems":[{"id":"L5u5rlKu/dg6vEdAL","uris":["http://zotero.org/users/local/5h3IsIkb/items/NCJLADNP"],"itemData":{"id":219,"type":"article-journal","abstract":"This article provides an update on the global cancer burden using the GLOBOCAN 2020 estimates of cancer incidence and mortality produced by the International Agency for Research on Cancer. Worldwide, an estimated 19.3 million new cancer cases (18.1 million excluding nonmelanoma skin cancer) and almost 10.0 million cancer deaths (9.9 million excluding nonmelanoma skin cancer) occurred in 2020. Female breast cancer has surpassed lung cancer as the most commonly diagnosed cancer, with an estimated 2.3 million new cases (11.7%), followed by lung (11.4%), colorectal (10.0 %), prostate (7.3%), and stomach (5.6%) cancers. Lung cancer remained the leading cause of cancer death, with an estimated 1.8 million deaths (18%), followed by colorectal (9.4%), liver (8.3%), stomach (7.7%), and female breast (6.9%) cancers. Overall incidence was from 2-fold to 3-fold higher in transitioned versus transitioning countries for both sexes, whereas mortality varied &lt;2-fold for men and little for women. Death rates for female breast and cervical cancers, however, were considerably higher in transitioning versus transitioned countries (15.0 vs 12.8 per 100,000 and 12.4 vs 5.2 per 100,000, respectively). The global cancer burden is expected to be 28.4 million cases in 2040, a 47% rise from 2020, with a larger increase in transitioning (64% to 95%) versus transitioned (32% to 56%) countries due to demographic changes, although this may be further exacerbated by increasing risk factors associated with globalization and a growing economy. Efforts to build a sustainable infrastructure for the dissemination of cancer prevention measures and provision of cancer care in transitioning countries is critical for global cancer control.","container-title":"CA: a cancer journal for clinicians","DOI":"10.3322/caac.21660","ISSN":"1542-4863","issue":"3","journalAbbreviation":"CA Cancer J Clin","language":"eng","note":"PMID: 33538338","page":"209-249","source":"PubMed","title":"Global Cancer Statistics 2020: GLOBOCAN Estimates of Incidence and Mortality Worldwide for 36 Cancers in 185 Countries","title-short":"Global Cancer Statistics 2020","volume":"71","author":[{"family":"Sung","given":"Hyuna"},{"family":"Ferlay","given":"Jacques"},{"family":"Siegel","given":"Rebecca L."},{"family":"Laversanne","given":"Mathieu"},{"family":"Soerjomataram","given":"Isabelle"},{"family":"Jemal","given":"Ahmedin"},{"family":"Bray","given":"Freddie"}],"issued":{"date-parts":[["2021",5]]}}}],"schema":"https://github.com/citation-style-language/schema/raw/master/csl-citation.json"} </w:instrText>
      </w:r>
      <w:r w:rsidRPr="00F57195">
        <w:rPr>
          <w:rFonts w:ascii="Times New Roman" w:hAnsi="Times New Roman" w:cs="Times New Roman"/>
          <w:sz w:val="24"/>
          <w:szCs w:val="24"/>
        </w:rPr>
        <w:fldChar w:fldCharType="separate"/>
      </w:r>
      <w:r w:rsidRPr="00F57195">
        <w:rPr>
          <w:rFonts w:ascii="Times New Roman" w:hAnsi="Times New Roman" w:cs="Times New Roman"/>
          <w:sz w:val="24"/>
          <w:szCs w:val="24"/>
        </w:rPr>
        <w:t>(Sung et al., 2021)</w:t>
      </w:r>
      <w:r w:rsidRPr="00F57195">
        <w:rPr>
          <w:rFonts w:ascii="Times New Roman" w:hAnsi="Times New Roman" w:cs="Times New Roman"/>
          <w:sz w:val="24"/>
          <w:szCs w:val="24"/>
        </w:rPr>
        <w:fldChar w:fldCharType="end"/>
      </w:r>
      <w:r w:rsidRPr="00F57195">
        <w:rPr>
          <w:rFonts w:ascii="Times New Roman" w:hAnsi="Times New Roman" w:cs="Times New Roman"/>
          <w:sz w:val="24"/>
          <w:szCs w:val="24"/>
        </w:rPr>
        <w:t>. Prostate cancer (</w:t>
      </w:r>
      <w:proofErr w:type="spellStart"/>
      <w:r w:rsidRPr="00F57195">
        <w:rPr>
          <w:rFonts w:ascii="Times New Roman" w:hAnsi="Times New Roman" w:cs="Times New Roman"/>
          <w:sz w:val="24"/>
          <w:szCs w:val="24"/>
        </w:rPr>
        <w:t>PCa</w:t>
      </w:r>
      <w:proofErr w:type="spellEnd"/>
      <w:r w:rsidRPr="00F57195">
        <w:rPr>
          <w:rFonts w:ascii="Times New Roman" w:hAnsi="Times New Roman" w:cs="Times New Roman"/>
          <w:sz w:val="24"/>
          <w:szCs w:val="24"/>
        </w:rPr>
        <w:t xml:space="preserve">) affects a small walnut-shaped organ called the prostate gland in the male reproductive system and is one of the cancers. It is </w:t>
      </w:r>
      <w:r w:rsidR="0036448A" w:rsidRPr="0036448A">
        <w:rPr>
          <w:rFonts w:ascii="Times New Roman" w:hAnsi="Times New Roman" w:cs="Times New Roman"/>
          <w:sz w:val="24"/>
          <w:szCs w:val="24"/>
        </w:rPr>
        <w:t xml:space="preserve">among the most </w:t>
      </w:r>
      <w:r w:rsidRPr="00F57195">
        <w:rPr>
          <w:rFonts w:ascii="Times New Roman" w:hAnsi="Times New Roman" w:cs="Times New Roman"/>
          <w:sz w:val="24"/>
          <w:szCs w:val="24"/>
        </w:rPr>
        <w:t xml:space="preserve">frequent cancers diagnosed in men, </w:t>
      </w:r>
      <w:r w:rsidR="0036448A" w:rsidRPr="0036448A">
        <w:rPr>
          <w:rFonts w:ascii="Times New Roman" w:hAnsi="Times New Roman" w:cs="Times New Roman"/>
          <w:sz w:val="24"/>
          <w:szCs w:val="24"/>
        </w:rPr>
        <w:t>It continues</w:t>
      </w:r>
      <w:r w:rsidR="0036448A">
        <w:rPr>
          <w:rFonts w:ascii="Times New Roman" w:hAnsi="Times New Roman" w:cs="Times New Roman"/>
          <w:sz w:val="24"/>
          <w:szCs w:val="24"/>
        </w:rPr>
        <w:t xml:space="preserve"> to be a major cause of cancer </w:t>
      </w:r>
      <w:r w:rsidRPr="00F57195">
        <w:rPr>
          <w:rFonts w:ascii="Times New Roman" w:hAnsi="Times New Roman" w:cs="Times New Roman"/>
          <w:sz w:val="24"/>
          <w:szCs w:val="24"/>
        </w:rPr>
        <w:t xml:space="preserve">mortality worldwide </w:t>
      </w:r>
      <w:r w:rsidRPr="00F57195">
        <w:rPr>
          <w:rFonts w:ascii="Times New Roman" w:hAnsi="Times New Roman" w:cs="Times New Roman"/>
          <w:sz w:val="24"/>
          <w:szCs w:val="24"/>
          <w:lang w:val="en-US"/>
        </w:rPr>
        <w:fldChar w:fldCharType="begin"/>
      </w:r>
      <w:r w:rsidRPr="00F57195">
        <w:rPr>
          <w:rFonts w:ascii="Times New Roman" w:hAnsi="Times New Roman" w:cs="Times New Roman"/>
          <w:sz w:val="24"/>
          <w:szCs w:val="24"/>
          <w:lang w:val="en-US"/>
        </w:rPr>
        <w:instrText xml:space="preserve"> ADDIN ZOTERO_ITEM CSL_CITATION {"citationID":"Mmmh4zHk","properties":{"formattedCitation":"(Ellinger et al., 2022)","plainCitation":"(Ellinger et al., 2022)","noteIndex":0},"citationItems":[{"id":239,"uris":["http://zotero.org/users/local/7J0d6nia/items/KZAZBMWY","http://zotero.org/users/11300200/items/KZAZBMWY"],"itemData":{"id":239,"type":"article-journal","abstract":"Abstract\n            According to GLOBOCAN, about 1.41 million new prostate cancer (PCa) cases were registered in the year 2020 globally. The corresponding socio-economic burden is enormous. Anti-cancer mRNA-based therapy is a promising approach, the principle of which is currently applied for anti-COVID-19 vaccination, undergoing a detailed investigation in populations considering its short- and long-term effectiveness and potential side effects. Pragmatically considered, it will take years or even decades to make mRNA therapy working for any type of cancers, and if possible, for individual malignancy sub-types which are many specifically for the PCa. Actually, the costs of treating PCa are increasing more rapidly than those of any other cancer. The trend has to be reversed now, not in a couple of years. In general, two main components are making currently applied reactive (management of clinically manifested disease) PCa treatment particularly expensive. On one hand, it is rapidly increasing incidence of the disease and metastatic PCa as its subtype. To this end, rapidly increasing PCa incidence rates in young and middle-aged male sub-populations should be taken into account as a long-term contributor to the metastatic disease potentially developed later on in life. On the other hand, patient stratification to differentiate between non-metastatic PCa (no need for an extensive and costly treatment) and particularly aggressive cancer subtypes requiring personalised treatment algorithms is challenging. Considering current statistics, it becomes obvious that reactive medicine got at its limit in PCa management. Multi-professional expertise is unavoidable to create and implement anti-PCa programmes in the population. In our strategic paper, we exemplify challenging PCa management by providing detailed expert recommendations for primary (health risk assessment), secondary (prediction and prevention of metastatic disease in PCa) and tertiary (making palliative care to the management of chronic disease) care in the framework of predictive, preventive and personalised medicine.","container-title":"EPMA Journal","DOI":"10.1007/s13167-022-00276-3","ISSN":"1878-5077, 1878-5085","issue":"1","journalAbbreviation":"EPMA Journal","language":"en","page":"1-7","source":"DOI.org (Crossref)","title":"Prostate cancer treatment costs increase more rapidly than for any other cancer—how to reverse the trend?","volume":"13","author":[{"family":"Ellinger","given":"J."},{"family":"Alajati","given":"A."},{"family":"Kubatka","given":"P."},{"family":"Giordano","given":"F. A."},{"family":"Ritter","given":"M."},{"family":"Costigliola","given":"V."},{"family":"Golubnitschaja","given":"O."}],"issued":{"date-parts":[["2022",3]]}}}],"schema":"https://github.com/citation-style-language/schema/raw/master/csl-citation.json"} </w:instrText>
      </w:r>
      <w:r w:rsidRPr="00F57195">
        <w:rPr>
          <w:rFonts w:ascii="Times New Roman" w:hAnsi="Times New Roman" w:cs="Times New Roman"/>
          <w:sz w:val="24"/>
          <w:szCs w:val="24"/>
          <w:lang w:val="en-US"/>
        </w:rPr>
        <w:fldChar w:fldCharType="separate"/>
      </w:r>
      <w:r w:rsidRPr="00F57195">
        <w:rPr>
          <w:rFonts w:ascii="Times New Roman" w:hAnsi="Times New Roman" w:cs="Times New Roman"/>
          <w:sz w:val="24"/>
        </w:rPr>
        <w:t>(Ellinger et al., 2022)</w:t>
      </w:r>
      <w:r w:rsidRPr="00F57195">
        <w:rPr>
          <w:rFonts w:ascii="Times New Roman" w:hAnsi="Times New Roman" w:cs="Times New Roman"/>
          <w:sz w:val="24"/>
          <w:szCs w:val="24"/>
          <w:lang w:val="en-US"/>
        </w:rPr>
        <w:fldChar w:fldCharType="end"/>
      </w:r>
      <w:r w:rsidR="00F77439" w:rsidRPr="002E7761">
        <w:rPr>
          <w:rFonts w:ascii="Times New Roman" w:hAnsi="Times New Roman" w:cs="Times New Roman"/>
          <w:sz w:val="24"/>
          <w:szCs w:val="24"/>
          <w:lang w:val="en-US"/>
        </w:rPr>
        <w:t xml:space="preserve">. The frequency of </w:t>
      </w:r>
      <w:proofErr w:type="spellStart"/>
      <w:r w:rsidR="00F77439" w:rsidRPr="002E7761">
        <w:rPr>
          <w:rFonts w:ascii="Times New Roman" w:hAnsi="Times New Roman" w:cs="Times New Roman"/>
          <w:sz w:val="24"/>
          <w:szCs w:val="24"/>
          <w:lang w:val="en-US"/>
        </w:rPr>
        <w:t>PCa</w:t>
      </w:r>
      <w:proofErr w:type="spellEnd"/>
      <w:r w:rsidR="00F77439" w:rsidRPr="002E7761">
        <w:rPr>
          <w:rFonts w:ascii="Times New Roman" w:hAnsi="Times New Roman" w:cs="Times New Roman"/>
          <w:sz w:val="24"/>
          <w:szCs w:val="24"/>
          <w:lang w:val="en-US"/>
        </w:rPr>
        <w:t xml:space="preserve"> has risen over the past few years, with an </w:t>
      </w:r>
      <w:r w:rsidRPr="00F57195">
        <w:rPr>
          <w:rFonts w:ascii="Times New Roman" w:hAnsi="Times New Roman" w:cs="Times New Roman"/>
          <w:sz w:val="24"/>
          <w:szCs w:val="24"/>
          <w:lang w:val="en-US"/>
        </w:rPr>
        <w:t xml:space="preserve">approximately 1 in 52 males between the ages of 50 and 59 </w:t>
      </w:r>
      <w:r w:rsidR="00F77439" w:rsidRPr="002E7761">
        <w:rPr>
          <w:rFonts w:ascii="Times New Roman" w:hAnsi="Times New Roman" w:cs="Times New Roman"/>
          <w:sz w:val="24"/>
          <w:szCs w:val="24"/>
          <w:lang w:val="en-US"/>
        </w:rPr>
        <w:t xml:space="preserve">developing the disease in their lifetime </w:t>
      </w:r>
      <w:r w:rsidR="00F77439" w:rsidRPr="002E7761">
        <w:rPr>
          <w:rFonts w:ascii="Times New Roman" w:hAnsi="Times New Roman" w:cs="Times New Roman"/>
          <w:sz w:val="24"/>
          <w:szCs w:val="24"/>
          <w:lang w:val="en-US"/>
        </w:rPr>
        <w:fldChar w:fldCharType="begin"/>
      </w:r>
      <w:r w:rsidR="00F77439" w:rsidRPr="002E7761">
        <w:rPr>
          <w:rFonts w:ascii="Times New Roman" w:hAnsi="Times New Roman" w:cs="Times New Roman"/>
          <w:sz w:val="24"/>
          <w:szCs w:val="24"/>
          <w:lang w:val="en-US"/>
        </w:rPr>
        <w:instrText xml:space="preserve"> ADDIN ZOTERO_ITEM CSL_CITATION {"citationID":"9GqgmIVf","properties":{"formattedCitation":"(Nevedomskaya, Baumgart &amp; Haendler, 2018)","plainCitation":"(Nevedomskaya, Baumgart &amp; Haendler, 2018)","noteIndex":0},"citationItems":[{"id":340,"uris":["http://zotero.org/users/local/7J0d6nia/items/7F98NLDN","http://zotero.org/users/11300200/items/7F98NLDN"],"itemData":{"id":340,"type":"article-journal","abstract":"Novel drugs, drug sequences and combinations have improved the outcome of prostate cancer in recent years. The latest approvals include abiraterone acetate, enzalutamide and apalutamide which target androgen receptor (AR) signaling, radium-223 dichloride for reduction of bone metastases, sipuleucel-T immunotherapy and taxane-based chemotherapy. Adding abiraterone acetate to androgen deprivation therapy (ADT) in order to achieve complete androgen blockade has proven highly beneficial for treatment of locally advanced prostate cancer and metastatic hormone-sensitive prostate cancer (mHSPC). Also, ADT together with docetaxel treatment showed significant benefit in mHSPC. Ongoing clinical trials for different subgroups of prostate cancer patients include the evaluation of the second-generation AR antagonists enzalutamide, apalutamide and darolutamide, of inhibitors of the phosphatidylinositol-4,5-bisphosphate 3-kinase (PI3K) pathway, of inhibitors of DNA damage response, of targeted alpha therapy and of prostate-specific membrane antigen (PSMA) targeting approaches. Advanced clinical studies with immune checkpoint inhibitors have shown limited benefits in prostate cancer and more trials are needed to demonstrate efficacy. The identification of improved, personalized treatments will be much supported by the major progress recently made in the molecular characterization of early- and late-stage prostate cancer using &amp;ldquo;omics&amp;rdquo; technologies. This has already led to novel classifications of prostate tumors based on gene expression profiles and mutation status, and should greatly help in the choice of novel targeted therapies best tailored to the needs of patients.","container-title":"International Journal of Molecular Sciences","DOI":"10.3390/ijms19051359","ISSN":"1422-0067","issue":"5","journalAbbreviation":"Int J Mol Sci","language":"eng","note":"PMID: 29734647\nPMCID: PMC5983695","page":"1359","source":"PubMed","title":"Recent Advances in Prostate Cancer Treatment and Drug Discovery","volume":"19","author":[{"family":"Nevedomskaya","given":"Ekaterina"},{"family":"Baumgart","given":"Simon J."},{"family":"Haendler","given":"Bernard"}],"issued":{"date-parts":[["2018",5,4]]}}}],"schema":"https://github.com/citation-style-language/schema/raw/master/csl-citation.json"} </w:instrText>
      </w:r>
      <w:r w:rsidR="00F77439" w:rsidRPr="002E7761">
        <w:rPr>
          <w:rFonts w:ascii="Times New Roman" w:hAnsi="Times New Roman" w:cs="Times New Roman"/>
          <w:sz w:val="24"/>
          <w:szCs w:val="24"/>
          <w:lang w:val="en-US"/>
        </w:rPr>
        <w:fldChar w:fldCharType="separate"/>
      </w:r>
      <w:r w:rsidR="00167D83" w:rsidRPr="00167D83">
        <w:rPr>
          <w:rFonts w:ascii="Times New Roman" w:hAnsi="Times New Roman" w:cs="Times New Roman"/>
          <w:sz w:val="24"/>
        </w:rPr>
        <w:t>(Nevedomskaya, Baumgart &amp; Haendler, 2018)</w:t>
      </w:r>
      <w:r w:rsidR="00F77439" w:rsidRPr="002E7761">
        <w:rPr>
          <w:rFonts w:ascii="Times New Roman" w:hAnsi="Times New Roman" w:cs="Times New Roman"/>
          <w:sz w:val="24"/>
          <w:szCs w:val="24"/>
          <w:lang w:val="en-US"/>
        </w:rPr>
        <w:fldChar w:fldCharType="end"/>
      </w:r>
      <w:r w:rsidR="00F77439" w:rsidRPr="002E7761">
        <w:rPr>
          <w:rFonts w:ascii="Times New Roman" w:hAnsi="Times New Roman" w:cs="Times New Roman"/>
          <w:sz w:val="24"/>
          <w:szCs w:val="24"/>
          <w:lang w:val="en-US"/>
        </w:rPr>
        <w:t xml:space="preserve">. Age increases the risk of </w:t>
      </w:r>
      <w:proofErr w:type="spellStart"/>
      <w:r w:rsidR="00F77439" w:rsidRPr="002E7761">
        <w:rPr>
          <w:rFonts w:ascii="Times New Roman" w:hAnsi="Times New Roman" w:cs="Times New Roman"/>
          <w:sz w:val="24"/>
          <w:szCs w:val="24"/>
          <w:lang w:val="en-US"/>
        </w:rPr>
        <w:t>PCa</w:t>
      </w:r>
      <w:proofErr w:type="spellEnd"/>
      <w:r w:rsidR="00F77439" w:rsidRPr="002E7761">
        <w:rPr>
          <w:rFonts w:ascii="Times New Roman" w:hAnsi="Times New Roman" w:cs="Times New Roman"/>
          <w:sz w:val="24"/>
          <w:szCs w:val="24"/>
          <w:lang w:val="en-US"/>
        </w:rPr>
        <w:t xml:space="preserve">, with men over fifty being diagnosed with the majority of cases. </w:t>
      </w:r>
      <w:r w:rsidR="0036448A" w:rsidRPr="0036448A">
        <w:rPr>
          <w:rFonts w:ascii="Times New Roman" w:hAnsi="Times New Roman" w:cs="Times New Roman"/>
          <w:sz w:val="24"/>
          <w:szCs w:val="24"/>
          <w:lang w:val="en-US"/>
        </w:rPr>
        <w:t>In 2020, the number of new cases</w:t>
      </w:r>
      <w:r w:rsidR="0036448A">
        <w:rPr>
          <w:rFonts w:ascii="Times New Roman" w:hAnsi="Times New Roman" w:cs="Times New Roman"/>
          <w:sz w:val="24"/>
          <w:szCs w:val="24"/>
          <w:lang w:val="en-US"/>
        </w:rPr>
        <w:t xml:space="preserve"> of cancer exceeded 1.4 million </w:t>
      </w:r>
      <w:r w:rsidRPr="00F57195">
        <w:rPr>
          <w:rFonts w:ascii="Times New Roman" w:hAnsi="Times New Roman" w:cs="Times New Roman"/>
          <w:sz w:val="24"/>
          <w:szCs w:val="24"/>
          <w:lang w:val="en-US"/>
        </w:rPr>
        <w:t xml:space="preserve">worldwide </w:t>
      </w:r>
      <w:r w:rsidRPr="00F57195">
        <w:rPr>
          <w:rFonts w:ascii="Times New Roman" w:hAnsi="Times New Roman" w:cs="Times New Roman"/>
          <w:sz w:val="24"/>
          <w:szCs w:val="24"/>
          <w:lang w:val="en-US"/>
        </w:rPr>
        <w:fldChar w:fldCharType="begin"/>
      </w:r>
      <w:r w:rsidRPr="00F57195">
        <w:rPr>
          <w:rFonts w:ascii="Times New Roman" w:hAnsi="Times New Roman" w:cs="Times New Roman"/>
          <w:sz w:val="24"/>
          <w:szCs w:val="24"/>
          <w:lang w:val="en-US"/>
        </w:rPr>
        <w:instrText xml:space="preserve"> ADDIN ZOTERO_ITEM CSL_CITATION {"citationID":"dDZEArjQ","properties":{"formattedCitation":"(Wang et al., 2022)","plainCitation":"(Wang et al., 2022)","noteIndex":0},"citationItems":[{"id":299,"uris":["http://zotero.org/users/local/7J0d6nia/items/X6ADMKCK","http://zotero.org/users/11300200/items/X6ADMKCK"],"itemData":{"id":299,"type":"article-journal","abstract":"Aims\n              To evaluate current status of prostate cancer incidence and mortality worldwide, and compare the global trends of incidence and mortality in the past two decades and in the most recent period.\n            \n            \n              Methods\n              Data on the incidence and mortality of prostate cancer for 174 countries in 2020 were obtained from the GLOBOCAN 2020 database, and associations with the human development index (HDI) were evaluated. Data for trend analyses in 89 countries from 2000 to 2019 were retrieved from the Global Burden of Disease 2019 platform. Age standardized incidence rate (ASIR) and mortality rate (ASMR) were calculated by using the Segi's population. The average annual percent changes (AAPC) of ASIRs and ASMRs were evaluated by joinpoint regression analysis.\n            \n            \n              Results\n              \n                A total of 1 414 259 new cases of prostate cancer and 375 304 related deaths were reported in 2020 globally. HDI was positively correlated with ASIRs (\n                P\n                &amp;lt; 0.001) and negatively correlated with ASMRs (\n                P\n                &amp;lt; 0.001). In the past two decades, ASIRs have been increasing in 65 countries, stable in 15 countries and decreasing in 9 countries, and ASMRs have been increasing in 19 countries, stable in 25 countries and decreasing in 45 countries, respectively. In the most recent period, 44 countries have increasing ASIRs, and 32 countries have decreasing ASMRs, respectively. For instance, in the United States of America, the AAPC of ASIRs significantly decreased by 0.62% and ASMRs significantly decreased by 1.22% from 2000 to 2019, while the AAPC from 2015 to 2019 significantly increased by 0.49% for ASIRs and significantly increased by 0.48% for ASMRs.\n              \n            \n            \n              Conclusion\n              The magnitude of increasing incidence and decreasing mortality of prostate cancer is attenuated in the recent period. Further study is needed to analyze the absolute effect of risk factors, PSA screening and treatment.","container-title":"Frontiers in Public Health","DOI":"10.3389/fpubh.2022.811044","ISSN":"2296-2565","journalAbbreviation":"Front. Public Health","page":"811044","source":"DOI.org (Crossref)","title":"Prostate Cancer Incidence and Mortality: Global Status and Temporal Trends in 89 Countries From 2000 to 2019","title-short":"Prostate Cancer Incidence and Mortality","volume":"10","author":[{"family":"Wang","given":"Le"},{"family":"Lu","given":"Bin"},{"family":"He","given":"Mengjie"},{"family":"Wang","given":"Youqing"},{"family":"Wang","given":"Zongping"},{"family":"Du","given":"Lingbin"}],"issued":{"date-parts":[["2022",2,16]]}}}],"schema":"https://github.com/citation-style-language/schema/raw/master/csl-citation.json"} </w:instrText>
      </w:r>
      <w:r w:rsidRPr="00F57195">
        <w:rPr>
          <w:rFonts w:ascii="Times New Roman" w:hAnsi="Times New Roman" w:cs="Times New Roman"/>
          <w:sz w:val="24"/>
          <w:szCs w:val="24"/>
          <w:lang w:val="en-US"/>
        </w:rPr>
        <w:fldChar w:fldCharType="separate"/>
      </w:r>
      <w:r w:rsidRPr="00F57195">
        <w:rPr>
          <w:rFonts w:ascii="Times New Roman" w:hAnsi="Times New Roman" w:cs="Times New Roman"/>
          <w:sz w:val="24"/>
          <w:szCs w:val="24"/>
          <w:lang w:val="en-US"/>
        </w:rPr>
        <w:t>(Wang et al., 2022)</w:t>
      </w:r>
      <w:r w:rsidRPr="00F57195">
        <w:rPr>
          <w:rFonts w:ascii="Times New Roman" w:hAnsi="Times New Roman" w:cs="Times New Roman"/>
          <w:sz w:val="24"/>
          <w:szCs w:val="24"/>
          <w:lang w:val="en-US"/>
        </w:rPr>
        <w:fldChar w:fldCharType="end"/>
      </w:r>
      <w:r w:rsidR="00F77439" w:rsidRPr="002E7761">
        <w:rPr>
          <w:rFonts w:ascii="Times New Roman" w:hAnsi="Times New Roman" w:cs="Times New Roman"/>
          <w:sz w:val="24"/>
          <w:szCs w:val="24"/>
          <w:lang w:val="en-US"/>
        </w:rPr>
        <w:t>. Men from Europe,</w:t>
      </w:r>
      <w:r w:rsidR="0036448A">
        <w:rPr>
          <w:rFonts w:ascii="Times New Roman" w:hAnsi="Times New Roman" w:cs="Times New Roman"/>
          <w:sz w:val="24"/>
          <w:szCs w:val="24"/>
          <w:lang w:val="en-US"/>
        </w:rPr>
        <w:t xml:space="preserve"> </w:t>
      </w:r>
      <w:r w:rsidR="0036448A" w:rsidRPr="002E7761">
        <w:rPr>
          <w:rFonts w:ascii="Times New Roman" w:hAnsi="Times New Roman" w:cs="Times New Roman"/>
          <w:sz w:val="24"/>
          <w:szCs w:val="24"/>
          <w:lang w:val="en-US"/>
        </w:rPr>
        <w:t>Northern America</w:t>
      </w:r>
      <w:r w:rsidR="0036448A">
        <w:rPr>
          <w:rFonts w:ascii="Times New Roman" w:hAnsi="Times New Roman" w:cs="Times New Roman"/>
          <w:sz w:val="24"/>
          <w:szCs w:val="24"/>
          <w:lang w:val="en-US"/>
        </w:rPr>
        <w:t>,</w:t>
      </w:r>
      <w:r w:rsidR="00F77439" w:rsidRPr="002E7761">
        <w:rPr>
          <w:rFonts w:ascii="Times New Roman" w:hAnsi="Times New Roman" w:cs="Times New Roman"/>
          <w:sz w:val="24"/>
          <w:szCs w:val="24"/>
          <w:lang w:val="en-US"/>
        </w:rPr>
        <w:t xml:space="preserve"> Lati</w:t>
      </w:r>
      <w:r w:rsidR="0036448A">
        <w:rPr>
          <w:rFonts w:ascii="Times New Roman" w:hAnsi="Times New Roman" w:cs="Times New Roman"/>
          <w:sz w:val="24"/>
          <w:szCs w:val="24"/>
          <w:lang w:val="en-US"/>
        </w:rPr>
        <w:t>n America, and the Caribbean</w:t>
      </w:r>
      <w:r w:rsidR="00F77439" w:rsidRPr="002E7761">
        <w:rPr>
          <w:rFonts w:ascii="Times New Roman" w:hAnsi="Times New Roman" w:cs="Times New Roman"/>
          <w:sz w:val="24"/>
          <w:szCs w:val="24"/>
          <w:lang w:val="en-US"/>
        </w:rPr>
        <w:t xml:space="preserve"> have high </w:t>
      </w:r>
      <w:r w:rsidR="0036448A">
        <w:rPr>
          <w:rFonts w:ascii="Times New Roman" w:hAnsi="Times New Roman" w:cs="Times New Roman"/>
          <w:sz w:val="24"/>
          <w:szCs w:val="24"/>
          <w:lang w:val="en-US"/>
        </w:rPr>
        <w:t>i</w:t>
      </w:r>
      <w:r w:rsidR="0036448A" w:rsidRPr="0036448A">
        <w:rPr>
          <w:rFonts w:ascii="Times New Roman" w:hAnsi="Times New Roman" w:cs="Times New Roman"/>
          <w:sz w:val="24"/>
          <w:szCs w:val="24"/>
          <w:lang w:val="en-US"/>
        </w:rPr>
        <w:t xml:space="preserve">ncidences, but lower death rates when compared to those from Asia and Africa </w:t>
      </w:r>
      <w:r w:rsidR="00F77439" w:rsidRPr="002E7761">
        <w:rPr>
          <w:rFonts w:ascii="Times New Roman" w:hAnsi="Times New Roman" w:cs="Times New Roman"/>
          <w:sz w:val="24"/>
          <w:szCs w:val="24"/>
          <w:lang w:val="en-US"/>
        </w:rPr>
        <w:t xml:space="preserve">which have shown lower incidence and  higher </w:t>
      </w:r>
      <w:proofErr w:type="spellStart"/>
      <w:r w:rsidR="00F77439" w:rsidRPr="002E7761">
        <w:rPr>
          <w:rFonts w:ascii="Times New Roman" w:hAnsi="Times New Roman" w:cs="Times New Roman"/>
          <w:sz w:val="24"/>
          <w:szCs w:val="24"/>
          <w:lang w:val="en-US"/>
        </w:rPr>
        <w:t>PCa</w:t>
      </w:r>
      <w:proofErr w:type="spellEnd"/>
      <w:r w:rsidR="00F77439" w:rsidRPr="002E7761">
        <w:rPr>
          <w:rFonts w:ascii="Times New Roman" w:hAnsi="Times New Roman" w:cs="Times New Roman"/>
          <w:sz w:val="24"/>
          <w:szCs w:val="24"/>
          <w:lang w:val="en-US"/>
        </w:rPr>
        <w:t xml:space="preserve"> mortality rates </w:t>
      </w:r>
      <w:r w:rsidR="00F77439" w:rsidRPr="002E7761">
        <w:rPr>
          <w:rFonts w:ascii="Times New Roman" w:hAnsi="Times New Roman" w:cs="Times New Roman"/>
          <w:sz w:val="24"/>
          <w:szCs w:val="24"/>
          <w:lang w:val="en-US"/>
        </w:rPr>
        <w:fldChar w:fldCharType="begin"/>
      </w:r>
      <w:r w:rsidR="00F77439" w:rsidRPr="002E7761">
        <w:rPr>
          <w:rFonts w:ascii="Times New Roman" w:hAnsi="Times New Roman" w:cs="Times New Roman"/>
          <w:sz w:val="24"/>
          <w:szCs w:val="24"/>
          <w:lang w:val="en-US"/>
        </w:rPr>
        <w:instrText xml:space="preserve"> ADDIN ZOTERO_ITEM CSL_CITATION {"citationID":"VEpTqhlr","properties":{"formattedCitation":"(Osadchuk &amp; Osadchuk, 2022)","plainCitation":"(Osadchuk &amp; Osadchuk, 2022)","noteIndex":0},"citationItems":[{"id":237,"uris":["http://zotero.org/users/local/7J0d6nia/items/MK68P9ZK","http://zotero.org/users/11300200/items/MK68P9ZK"],"itemData":{"id":237,"type":"article-journal","container-title":"Russian Journal of Genetics","DOI":"10.1134/S1022795422020119","ISSN":"1022-7954, 1608-3369","issue":"3","journalAbbreviation":"Russ J Genet","language":"en","page":"247-264","source":"DOI.org (Crossref)","title":"Role of CAG and GGC Polymorphism of the Androgen Receptor Gene in Male Fertility","volume":"58","author":[{"family":"Osadchuk","given":"L. V."},{"family":"Osadchuk","given":"A. V."}],"issued":{"date-parts":[["2022",3]]}}}],"schema":"https://github.com/citation-style-language/schema/raw/master/csl-citation.json"} </w:instrText>
      </w:r>
      <w:r w:rsidR="00F77439" w:rsidRPr="002E7761">
        <w:rPr>
          <w:rFonts w:ascii="Times New Roman" w:hAnsi="Times New Roman" w:cs="Times New Roman"/>
          <w:sz w:val="24"/>
          <w:szCs w:val="24"/>
          <w:lang w:val="en-US"/>
        </w:rPr>
        <w:fldChar w:fldCharType="separate"/>
      </w:r>
      <w:r w:rsidR="00167D83" w:rsidRPr="00167D83">
        <w:rPr>
          <w:rFonts w:ascii="Times New Roman" w:hAnsi="Times New Roman" w:cs="Times New Roman"/>
          <w:sz w:val="24"/>
        </w:rPr>
        <w:t>(Osadchuk &amp; Osadchuk, 2022)</w:t>
      </w:r>
      <w:r w:rsidR="00F77439" w:rsidRPr="002E7761">
        <w:rPr>
          <w:rFonts w:ascii="Times New Roman" w:hAnsi="Times New Roman" w:cs="Times New Roman"/>
          <w:sz w:val="24"/>
          <w:szCs w:val="24"/>
          <w:lang w:val="en-US"/>
        </w:rPr>
        <w:fldChar w:fldCharType="end"/>
      </w:r>
      <w:r w:rsidR="00F77439" w:rsidRPr="002E7761">
        <w:rPr>
          <w:rFonts w:ascii="Times New Roman" w:hAnsi="Times New Roman" w:cs="Times New Roman"/>
          <w:sz w:val="24"/>
          <w:szCs w:val="24"/>
          <w:lang w:val="en-US"/>
        </w:rPr>
        <w:t xml:space="preserve">. A lot of factors could be responsible for the disparities in incidence and mortality of </w:t>
      </w:r>
      <w:proofErr w:type="spellStart"/>
      <w:r w:rsidR="00F77439" w:rsidRPr="002E7761">
        <w:rPr>
          <w:rFonts w:ascii="Times New Roman" w:hAnsi="Times New Roman" w:cs="Times New Roman"/>
          <w:sz w:val="24"/>
          <w:szCs w:val="24"/>
          <w:lang w:val="en-US"/>
        </w:rPr>
        <w:t>PCa</w:t>
      </w:r>
      <w:proofErr w:type="spellEnd"/>
      <w:r w:rsidR="00F77439" w:rsidRPr="002E7761">
        <w:rPr>
          <w:rFonts w:ascii="Times New Roman" w:hAnsi="Times New Roman" w:cs="Times New Roman"/>
          <w:sz w:val="24"/>
          <w:szCs w:val="24"/>
          <w:lang w:val="en-US"/>
        </w:rPr>
        <w:t xml:space="preserve"> according to geographic and racial distribution </w:t>
      </w:r>
      <w:r w:rsidR="00F77439" w:rsidRPr="002E7761">
        <w:rPr>
          <w:rFonts w:ascii="Times New Roman" w:hAnsi="Times New Roman" w:cs="Times New Roman"/>
          <w:sz w:val="24"/>
          <w:szCs w:val="24"/>
          <w:lang w:val="en-US"/>
        </w:rPr>
        <w:fldChar w:fldCharType="begin"/>
      </w:r>
      <w:r w:rsidR="00F77439" w:rsidRPr="002E7761">
        <w:rPr>
          <w:rFonts w:ascii="Times New Roman" w:hAnsi="Times New Roman" w:cs="Times New Roman"/>
          <w:sz w:val="24"/>
          <w:szCs w:val="24"/>
          <w:lang w:val="en-US"/>
        </w:rPr>
        <w:instrText xml:space="preserve"> ADDIN ZOTERO_ITEM CSL_CITATION {"citationID":"iXzI6En8","properties":{"formattedCitation":"(Wang et al., 2022; Badal et al., 2020)","plainCitation":"(Wang et al., 2022; Badal et al., 2020)","noteIndex":0},"citationItems":[{"id":299,"uris":["http://zotero.org/users/local/7J0d6nia/items/X6ADMKCK","http://zotero.org/users/11300200/items/X6ADMKCK"],"itemData":{"id":299,"type":"article-journal","abstract":"Aims\n              To evaluate current status of prostate cancer incidence and mortality worldwide, and compare the global trends of incidence and mortality in the past two decades and in the most recent period.\n            \n            \n              Methods\n              Data on the incidence and mortality of prostate cancer for 174 countries in 2020 were obtained from the GLOBOCAN 2020 database, and associations with the human development index (HDI) were evaluated. Data for trend analyses in 89 countries from 2000 to 2019 were retrieved from the Global Burden of Disease 2019 platform. Age standardized incidence rate (ASIR) and mortality rate (ASMR) were calculated by using the Segi's population. The average annual percent changes (AAPC) of ASIRs and ASMRs were evaluated by joinpoint regression analysis.\n            \n            \n              Results\n              \n                A total of 1 414 259 new cases of prostate cancer and 375 304 related deaths were reported in 2020 globally. HDI was positively correlated with ASIRs (\n                P\n                &amp;lt; 0.001) and negatively correlated with ASMRs (\n                P\n                &amp;lt; 0.001). In the past two decades, ASIRs have been increasing in 65 countries, stable in 15 countries and decreasing in 9 countries, and ASMRs have been increasing in 19 countries, stable in 25 countries and decreasing in 45 countries, respectively. In the most recent period, 44 countries have increasing ASIRs, and 32 countries have decreasing ASMRs, respectively. For instance, in the United States of America, the AAPC of ASIRs significantly decreased by 0.62% and ASMRs significantly decreased by 1.22% from 2000 to 2019, while the AAPC from 2015 to 2019 significantly increased by 0.49% for ASIRs and significantly increased by 0.48% for ASMRs.\n              \n            \n            \n              Conclusion\n              The magnitude of increasing incidence and decreasing mortality of prostate cancer is attenuated in the recent period. Further study is needed to analyze the absolute effect of risk factors, PSA screening and treatment.","container-title":"Frontiers in Public Health","DOI":"10.3389/fpubh.2022.811044","ISSN":"2296-2565","journalAbbreviation":"Front. Public Health","page":"811044","source":"DOI.org (Crossref)","title":"Prostate Cancer Incidence and Mortality: Global Status and Temporal Trends in 89 Countries From 2000 to 2019","title-short":"Prostate Cancer Incidence and Mortality","volume":"10","author":[{"family":"Wang","given":"Le"},{"family":"Lu","given":"Bin"},{"family":"He","given":"Mengjie"},{"family":"Wang","given":"Youqing"},{"family":"Wang","given":"Zongping"},{"family":"Du","given":"Lingbin"}],"issued":{"date-parts":[["2022",2,16]]}}},{"id":236,"uris":["http://zotero.org/users/local/7J0d6nia/items/AM8WQKYV","http://zotero.org/users/11300200/items/AM8WQKYV"],"itemData":{"id":236,"type":"article-journal","container-title":"The Prostate","DOI":"10.1002/pros.23923","ISSN":"0270-4137, 1097-0045","issue":"1","journalAbbreviation":"Prostate","language":"en","page":"3-16","source":"DOI.org (Crossref)","title":"Disparities in prostate cancer incidence and mortality rates: Solvable or not?","title-short":"Disparities in prostate cancer incidence and mortality rates","volume":"80","author":[{"family":"Badal","given":"Simone"},{"family":"Aiken","given":"William"},{"family":"Morrison","given":"Belinda"},{"family":"Valentine","given":"Henkel"},{"family":"Bryan","given":"Sophia"},{"family":"Gachii","given":"Andrew"},{"family":"Ragin","given":"Camille"}],"issued":{"date-parts":[["2020",1]]}}}],"schema":"https://github.com/citation-style-language/schema/raw/master/csl-citation.json"} </w:instrText>
      </w:r>
      <w:r w:rsidR="00F77439" w:rsidRPr="002E7761">
        <w:rPr>
          <w:rFonts w:ascii="Times New Roman" w:hAnsi="Times New Roman" w:cs="Times New Roman"/>
          <w:sz w:val="24"/>
          <w:szCs w:val="24"/>
          <w:lang w:val="en-US"/>
        </w:rPr>
        <w:fldChar w:fldCharType="separate"/>
      </w:r>
      <w:r w:rsidR="00167D83" w:rsidRPr="00167D83">
        <w:rPr>
          <w:rFonts w:ascii="Times New Roman" w:hAnsi="Times New Roman" w:cs="Times New Roman"/>
          <w:sz w:val="24"/>
        </w:rPr>
        <w:t>(Wang et al., 2022; Badal et al., 2020)</w:t>
      </w:r>
      <w:r w:rsidR="00F77439" w:rsidRPr="002E7761">
        <w:rPr>
          <w:rFonts w:ascii="Times New Roman" w:hAnsi="Times New Roman" w:cs="Times New Roman"/>
          <w:sz w:val="24"/>
          <w:szCs w:val="24"/>
          <w:lang w:val="en-US"/>
        </w:rPr>
        <w:fldChar w:fldCharType="end"/>
      </w:r>
      <w:r w:rsidR="00F77439" w:rsidRPr="002E7761">
        <w:rPr>
          <w:rFonts w:ascii="Times New Roman" w:hAnsi="Times New Roman" w:cs="Times New Roman"/>
          <w:sz w:val="24"/>
          <w:szCs w:val="24"/>
          <w:lang w:val="en-US"/>
        </w:rPr>
        <w:t xml:space="preserve">. </w:t>
      </w:r>
    </w:p>
    <w:p w:rsidR="00A7035C" w:rsidRPr="0036448A" w:rsidRDefault="00A56BED" w:rsidP="00F57195">
      <w:pPr>
        <w:spacing w:line="360" w:lineRule="auto"/>
        <w:jc w:val="both"/>
        <w:rPr>
          <w:sz w:val="24"/>
          <w:szCs w:val="24"/>
          <w:lang w:val="en-US"/>
        </w:rPr>
      </w:pPr>
      <w:r>
        <w:rPr>
          <w:rFonts w:ascii="Times New Roman" w:hAnsi="Times New Roman" w:cs="Times New Roman"/>
          <w:sz w:val="24"/>
          <w:szCs w:val="24"/>
          <w:lang w:val="en-US"/>
        </w:rPr>
        <w:t>In Africa</w:t>
      </w:r>
      <w:r w:rsidR="00F77439" w:rsidRPr="002E7761">
        <w:rPr>
          <w:rFonts w:ascii="Times New Roman" w:hAnsi="Times New Roman" w:cs="Times New Roman"/>
          <w:sz w:val="24"/>
          <w:szCs w:val="24"/>
          <w:lang w:val="en-US"/>
        </w:rPr>
        <w:t>, sp</w:t>
      </w:r>
      <w:r>
        <w:rPr>
          <w:rFonts w:ascii="Times New Roman" w:hAnsi="Times New Roman" w:cs="Times New Roman"/>
          <w:sz w:val="24"/>
          <w:szCs w:val="24"/>
          <w:lang w:val="en-US"/>
        </w:rPr>
        <w:t>ecifically Nigeria</w:t>
      </w:r>
      <w:r w:rsidR="00F77439" w:rsidRPr="002E7761">
        <w:rPr>
          <w:rFonts w:ascii="Times New Roman" w:hAnsi="Times New Roman" w:cs="Times New Roman"/>
          <w:sz w:val="24"/>
          <w:szCs w:val="24"/>
          <w:lang w:val="en-US"/>
        </w:rPr>
        <w:t>, prostate cancer poses a growing challenge to public health due to its increasing prevalence.</w:t>
      </w:r>
      <w:r w:rsidR="00933FD3">
        <w:rPr>
          <w:rFonts w:ascii="Times New Roman" w:hAnsi="Times New Roman" w:cs="Times New Roman"/>
          <w:b/>
          <w:bCs/>
          <w:sz w:val="24"/>
          <w:szCs w:val="24"/>
        </w:rPr>
        <w:t xml:space="preserve"> </w:t>
      </w:r>
      <w:r w:rsidR="00C2285F" w:rsidRPr="006A4801">
        <w:rPr>
          <w:sz w:val="24"/>
          <w:szCs w:val="24"/>
        </w:rPr>
        <w:t>In diagnosing and treating cancers, interest in developing and implementing biomarkers has widely increased over recent years</w:t>
      </w:r>
      <w:r w:rsidR="00C2285F">
        <w:rPr>
          <w:sz w:val="24"/>
          <w:szCs w:val="24"/>
        </w:rPr>
        <w:t xml:space="preserve"> </w:t>
      </w:r>
      <w:r w:rsidR="00C2285F" w:rsidRPr="00A7035C">
        <w:rPr>
          <w:rFonts w:ascii="Times New Roman" w:hAnsi="Times New Roman" w:cs="Times New Roman"/>
          <w:bCs/>
          <w:sz w:val="24"/>
          <w:szCs w:val="24"/>
          <w:lang w:val="en-US"/>
        </w:rPr>
        <w:fldChar w:fldCharType="begin"/>
      </w:r>
      <w:r w:rsidR="00C2285F">
        <w:rPr>
          <w:rFonts w:ascii="Times New Roman" w:hAnsi="Times New Roman" w:cs="Times New Roman"/>
          <w:bCs/>
          <w:sz w:val="24"/>
          <w:szCs w:val="24"/>
        </w:rPr>
        <w:instrText xml:space="preserve"> ADDIN ZOTERO_ITEM CSL_CITATION {"citationID":"tGmJVhVk","properties":{"formattedCitation":"(Sinobiologoical, 2023)","plainCitation":"(Sinobiologoical, 2023)","noteIndex":0},"citationItems":[{"id":1,"uris":["http://zotero.org/users/11300200/items/V9S7J74S"],"itemData":{"id":1,"type":"webpage","title":"Cancer Biomarker Discovery | Sino Biological","URL":"https://www.sinobiological.com/resource/cancer-biomarker/discovery","author":[{"family":"Sinobiologoical","given":""}],"accessed":{"date-parts":[["2023",6,4]]},"issued":{"date-parts":[["2023"]]}}}],"schema":"https://github.com/citation-style-language/schema/raw/master/csl-citation.json"} </w:instrText>
      </w:r>
      <w:r w:rsidR="00C2285F" w:rsidRPr="00A7035C">
        <w:rPr>
          <w:rFonts w:ascii="Times New Roman" w:hAnsi="Times New Roman" w:cs="Times New Roman"/>
          <w:bCs/>
          <w:sz w:val="24"/>
          <w:szCs w:val="24"/>
          <w:lang w:val="en-US"/>
        </w:rPr>
        <w:fldChar w:fldCharType="separate"/>
      </w:r>
      <w:r w:rsidR="00C2285F" w:rsidRPr="00A7035C">
        <w:rPr>
          <w:rFonts w:ascii="Times New Roman" w:hAnsi="Times New Roman" w:cs="Times New Roman"/>
          <w:sz w:val="24"/>
          <w:szCs w:val="24"/>
          <w:lang w:val="en-US"/>
        </w:rPr>
        <w:t>(Sinobiologoical, 2023)</w:t>
      </w:r>
      <w:r w:rsidR="00C2285F" w:rsidRPr="00A7035C">
        <w:rPr>
          <w:rFonts w:ascii="Times New Roman" w:hAnsi="Times New Roman" w:cs="Times New Roman"/>
          <w:sz w:val="24"/>
          <w:szCs w:val="24"/>
          <w:lang w:val="en-US"/>
        </w:rPr>
        <w:fldChar w:fldCharType="end"/>
      </w:r>
      <w:r w:rsidR="00C2285F" w:rsidRPr="006A4801">
        <w:rPr>
          <w:sz w:val="24"/>
          <w:szCs w:val="24"/>
        </w:rPr>
        <w:t xml:space="preserve">. </w:t>
      </w:r>
      <w:r w:rsidR="0036448A" w:rsidRPr="0036448A">
        <w:rPr>
          <w:sz w:val="24"/>
          <w:szCs w:val="24"/>
          <w:lang w:val="en-US"/>
        </w:rPr>
        <w:t>Biomarkers are biological substances present in bodily</w:t>
      </w:r>
      <w:r w:rsidR="0036448A">
        <w:rPr>
          <w:sz w:val="24"/>
          <w:szCs w:val="24"/>
          <w:lang w:val="en-US"/>
        </w:rPr>
        <w:t xml:space="preserve"> fluids such as blood or tissue</w:t>
      </w:r>
      <w:r w:rsidR="00C2285F">
        <w:rPr>
          <w:sz w:val="24"/>
          <w:szCs w:val="24"/>
        </w:rPr>
        <w:t>, indicating</w:t>
      </w:r>
      <w:r w:rsidR="00C2285F" w:rsidRPr="006A4801">
        <w:rPr>
          <w:sz w:val="24"/>
          <w:szCs w:val="24"/>
        </w:rPr>
        <w:t xml:space="preserve"> an abnormal process, condition, or disease. </w:t>
      </w:r>
      <w:r w:rsidR="00987628" w:rsidRPr="00987628">
        <w:rPr>
          <w:sz w:val="24"/>
          <w:szCs w:val="24"/>
          <w:lang w:val="en-US"/>
        </w:rPr>
        <w:t>They have great potential to significantly improve precision medicine through early cancer detection, prognosis, and therapy response tracking</w:t>
      </w:r>
      <w:r w:rsidR="00C2285F" w:rsidRPr="006A4801">
        <w:rPr>
          <w:sz w:val="24"/>
          <w:szCs w:val="24"/>
        </w:rPr>
        <w:t xml:space="preserve">. This creates, in oncology, an everlasting quest for early diagnosis and </w:t>
      </w:r>
      <w:r w:rsidR="00C2285F">
        <w:rPr>
          <w:sz w:val="24"/>
          <w:szCs w:val="24"/>
        </w:rPr>
        <w:t xml:space="preserve">the </w:t>
      </w:r>
      <w:r w:rsidR="00C2285F" w:rsidRPr="006A4801">
        <w:rPr>
          <w:sz w:val="24"/>
          <w:szCs w:val="24"/>
        </w:rPr>
        <w:t>establishment of effective treatment strategies. Although tissue biopsies have been used</w:t>
      </w:r>
      <w:r w:rsidR="00C2285F">
        <w:rPr>
          <w:sz w:val="24"/>
          <w:szCs w:val="24"/>
        </w:rPr>
        <w:t xml:space="preserve"> for many years</w:t>
      </w:r>
      <w:r w:rsidR="00C2285F" w:rsidRPr="006A4801">
        <w:rPr>
          <w:sz w:val="24"/>
          <w:szCs w:val="24"/>
        </w:rPr>
        <w:t xml:space="preserve"> as a cornerstone of cancer diagnosis and management, this need for non-invasive biomarkers is rapidly changing the landscape of cancer diagnosis and treatment. Non-invasive biomarkers range from a high diversity of circulating </w:t>
      </w:r>
      <w:proofErr w:type="spellStart"/>
      <w:r w:rsidR="00C2285F" w:rsidRPr="006A4801">
        <w:rPr>
          <w:sz w:val="24"/>
          <w:szCs w:val="24"/>
        </w:rPr>
        <w:t>tumor</w:t>
      </w:r>
      <w:proofErr w:type="spellEnd"/>
      <w:r w:rsidR="00C2285F" w:rsidRPr="006A4801">
        <w:rPr>
          <w:sz w:val="24"/>
          <w:szCs w:val="24"/>
        </w:rPr>
        <w:t xml:space="preserve"> DNA and </w:t>
      </w:r>
      <w:proofErr w:type="spellStart"/>
      <w:r w:rsidR="00C2285F" w:rsidRPr="006A4801">
        <w:rPr>
          <w:sz w:val="24"/>
          <w:szCs w:val="24"/>
        </w:rPr>
        <w:t>exosomes</w:t>
      </w:r>
      <w:proofErr w:type="spellEnd"/>
      <w:r w:rsidR="00C2285F" w:rsidRPr="006A4801">
        <w:rPr>
          <w:sz w:val="24"/>
          <w:szCs w:val="24"/>
        </w:rPr>
        <w:t xml:space="preserve"> to microRNAs and metabolites</w:t>
      </w:r>
      <w:r w:rsidR="00C2285F">
        <w:rPr>
          <w:sz w:val="24"/>
          <w:szCs w:val="24"/>
        </w:rPr>
        <w:t xml:space="preserve"> </w:t>
      </w:r>
      <w:r w:rsidR="00C2285F" w:rsidRPr="00A7035C">
        <w:rPr>
          <w:rFonts w:ascii="Times New Roman" w:hAnsi="Times New Roman" w:cs="Times New Roman"/>
          <w:sz w:val="24"/>
          <w:szCs w:val="24"/>
          <w:lang w:val="en-US"/>
        </w:rPr>
        <w:fldChar w:fldCharType="begin"/>
      </w:r>
      <w:r w:rsidR="00C2285F">
        <w:rPr>
          <w:rFonts w:ascii="Times New Roman" w:hAnsi="Times New Roman" w:cs="Times New Roman"/>
          <w:sz w:val="24"/>
          <w:szCs w:val="24"/>
        </w:rPr>
        <w:instrText xml:space="preserve"> ADDIN ZOTERO_ITEM CSL_CITATION {"citationID":"hmiv6uJv","properties":{"formattedCitation":"(Lianidou, Strati &amp; Markou, 2014; Marrugo-Ram\\uc0\\u237{}rez, Mir &amp; Samitier, 2018)","plainCitation":"(Lianidou, Strati &amp; Markou, 2014; Marrugo-Ramírez, Mir &amp; Samitier, 2018)","noteIndex":0},"citationItems":[{"id":"7rizevf8/qZIYiz8U","uris":["http://zotero.org/users/local/bZO8acg2/items/I6UTPL3Z"],"itemData":{"id":43,"type":"article-journal","abstract":"The presence of circulating tumor cells (CTCs) in peripheral blood can serve as a “liquid biopsy” approach and has thus emerged lately as one of the hottest fields in cancer research. CTCs can be isolated from blood in a non-invasive approach, and can be used to follow patients over time since these cells can provide significant information for a better understanding of tumor biology and tumor cell dissemination. CTC molecular characterization offers the unique potential to better understand the biology of metastasis and resistance to established therapies, and analysis of these cells presents a promising field for both advanced and early-stage patients. CTC detection, enumeration, and molecular characterization are very challenging since CTCs are rare, and the amount of available sample is very limited. Since detection of CTCs has been shown to be of considerable utility in the clinical management of patients with solid cancers, various analytical systems for their isolation and detection have been developed. New areas of research are directed towards developing novel assays for single-CTC isolation and molecular characterization. The clinical significance of CTCs has been evaluated in many types of solid cancers, and the CTC enumeration test in metastatic breast, colorectal, and prostate cancer was cleared by the FDA almost a decade ago. This review is mainly focused on the clinical potential of CTCs as novel biomarkers in 10 different types of solid cancers: breast, ovarian, prostate, lung, colorectal, hepatocellular carcinoma, pancreatic, head and neck, bladder cancer and melanoma.","container-title":"Critical Reviews in Clinical Laboratory Sciences","DOI":"10.3109/10408363.2014.896316","ISSN":"1040-8363","issue":"3","note":"publisher: Taylor &amp; Francis\n_eprint: https://doi.org/10.3109/10408363.2014.896316\nPMID: 24641350","page":"160-171","source":"Taylor and Francis+NEJM","title":"Circulating tumor cells as promising novel biomarkers in solid cancers","volume":"51","author":[{"family":"Lianidou","given":"Evi S."},{"family":"Strati","given":"Areti"},{"family":"Markou","given":"Athina"}],"issued":{"date-parts":[["2014",6,1]]}}},{"id":"7rizevf8/q8YnGmPe","uris":["http://zotero.org/users/local/bZO8acg2/items/3K9DTNLK"],"itemData":{"id":39,"type":"article-journal","abstract":"Cancer is one of the greatest threats facing our society, being the second leading cause of death globally. Currents strategies for cancer diagnosis consist of the extraction of a solid tissue from the affected area. This sample enables the study of specific biomarkers and the genetic nature of the tumor. However, the tissue extraction is risky and painful for the patient and in some cases is unavailable in inaccessible tumors. Moreover, a solid biopsy is expensive and time consuming and cannot be applied repeatedly. New alternatives that overcome these drawbacks are rising up nowadays, such as liquid biopsy. A liquid biopsy is the analysis of biomarkers in a non-solid biological tissue, mainly blood, which has remarkable advantages over the traditional method; it has no risk, it is non-invasive and painless, it does not require surgery and reduces cost and diagnosis time. The most studied cancer non-invasive biomarkers are circulating tumor cells (CTCs), circulating tumor DNA (ctDNA), and exosomes. These circulating biomarkers play a key role in the understanding of metastasis and tumorigenesis, which could provide a better insight into the evolution of the tumor dynamics during treatment and disease progression. Improvements in isolation technologies, based on a higher grade of purification of CTCs, exosomes, and ctDNA, will provide a better characterization of biomarkers and give rise to a wide range of clinical applications, such as early detection of diseases, and the prediction of treatment responses due to the discovery of personalized tumor-related biomarkers.","container-title":"International Journal of Molecular Sciences","DOI":"10.3390/ijms19102877","ISSN":"1422-0067","issue":"10","language":"en","license":"http://creativecommons.org/licenses/by/3.0/","note":"number: 10\npublisher: Multidisciplinary Digital Publishing Institute","page":"2877","source":"www.mdpi.com","title":"Blood-Based Cancer Biomarkers in Liquid Biopsy: A Promising Non-Invasive Alternative to Tissue Biopsy","title-short":"Blood-Based Cancer Biomarkers in Liquid Biopsy","volume":"19","author":[{"family":"Marrugo-Ramírez","given":"José"},{"family":"Mir","given":"Mònica"},{"family":"Samitier","given":"Josep"}],"issued":{"date-parts":[["2018",10]]}}}],"schema":"https://github.com/citation-style-language/schema/raw/master/csl-citation.json"} </w:instrText>
      </w:r>
      <w:r w:rsidR="00C2285F" w:rsidRPr="00A7035C">
        <w:rPr>
          <w:rFonts w:ascii="Times New Roman" w:hAnsi="Times New Roman" w:cs="Times New Roman"/>
          <w:sz w:val="24"/>
          <w:szCs w:val="24"/>
          <w:lang w:val="en-US"/>
        </w:rPr>
        <w:fldChar w:fldCharType="separate"/>
      </w:r>
      <w:r w:rsidR="00C2285F" w:rsidRPr="00A7035C">
        <w:rPr>
          <w:rFonts w:ascii="Times New Roman" w:hAnsi="Times New Roman" w:cs="Times New Roman"/>
          <w:sz w:val="24"/>
          <w:szCs w:val="24"/>
          <w:lang w:val="en-US"/>
        </w:rPr>
        <w:t>(Lianidou, Strati &amp; Markou, 2014; Marrugo-Ramírez, Mir &amp; Samitier, 2018)</w:t>
      </w:r>
      <w:r w:rsidR="00C2285F" w:rsidRPr="00A7035C">
        <w:rPr>
          <w:rFonts w:ascii="Times New Roman" w:hAnsi="Times New Roman" w:cs="Times New Roman"/>
          <w:sz w:val="24"/>
          <w:szCs w:val="24"/>
          <w:lang w:val="en-US"/>
        </w:rPr>
        <w:fldChar w:fldCharType="end"/>
      </w:r>
      <w:r w:rsidR="00C2285F" w:rsidRPr="006A4801">
        <w:rPr>
          <w:sz w:val="24"/>
          <w:szCs w:val="24"/>
        </w:rPr>
        <w:t xml:space="preserve">. </w:t>
      </w:r>
      <w:r w:rsidR="00C2285F">
        <w:rPr>
          <w:sz w:val="24"/>
          <w:szCs w:val="24"/>
        </w:rPr>
        <w:t>Biomarkers</w:t>
      </w:r>
      <w:r w:rsidR="00C2285F" w:rsidRPr="006A4801">
        <w:rPr>
          <w:sz w:val="24"/>
          <w:szCs w:val="24"/>
        </w:rPr>
        <w:t xml:space="preserve"> of this nature enable early detection and real-time monitoring, </w:t>
      </w:r>
      <w:r w:rsidR="00C2285F" w:rsidRPr="006A4801">
        <w:rPr>
          <w:sz w:val="24"/>
          <w:szCs w:val="24"/>
        </w:rPr>
        <w:lastRenderedPageBreak/>
        <w:t xml:space="preserve">allowing the development of opportunities </w:t>
      </w:r>
      <w:r w:rsidR="00C2285F">
        <w:rPr>
          <w:sz w:val="24"/>
          <w:szCs w:val="24"/>
        </w:rPr>
        <w:t>to apply</w:t>
      </w:r>
      <w:r w:rsidR="00C2285F" w:rsidRPr="006A4801">
        <w:rPr>
          <w:sz w:val="24"/>
          <w:szCs w:val="24"/>
        </w:rPr>
        <w:t xml:space="preserve"> individualized treatment strategies. </w:t>
      </w:r>
      <w:r w:rsidR="00C2285F">
        <w:rPr>
          <w:sz w:val="24"/>
          <w:szCs w:val="24"/>
        </w:rPr>
        <w:t>Identifying and validating</w:t>
      </w:r>
      <w:r w:rsidR="00C2285F" w:rsidRPr="006A4801">
        <w:rPr>
          <w:sz w:val="24"/>
          <w:szCs w:val="24"/>
        </w:rPr>
        <w:t xml:space="preserve"> these biomarkers in the era of precision medicine </w:t>
      </w:r>
      <w:r w:rsidR="00C2285F">
        <w:rPr>
          <w:sz w:val="24"/>
          <w:szCs w:val="24"/>
        </w:rPr>
        <w:t>bears</w:t>
      </w:r>
      <w:r w:rsidR="00C2285F" w:rsidRPr="006A4801">
        <w:rPr>
          <w:sz w:val="24"/>
          <w:szCs w:val="24"/>
        </w:rPr>
        <w:t xml:space="preserve"> </w:t>
      </w:r>
      <w:r w:rsidR="00C2285F">
        <w:rPr>
          <w:sz w:val="24"/>
          <w:szCs w:val="24"/>
        </w:rPr>
        <w:t>the colossal</w:t>
      </w:r>
      <w:r w:rsidR="00C2285F" w:rsidRPr="006A4801">
        <w:rPr>
          <w:sz w:val="24"/>
          <w:szCs w:val="24"/>
        </w:rPr>
        <w:t xml:space="preserve"> potential to revolutionize the clinical landscape of cancer care</w:t>
      </w:r>
      <w:r w:rsidR="00C2285F">
        <w:rPr>
          <w:sz w:val="24"/>
          <w:szCs w:val="24"/>
        </w:rPr>
        <w:t xml:space="preserve"> </w:t>
      </w:r>
      <w:r w:rsidR="00C2285F">
        <w:rPr>
          <w:sz w:val="24"/>
          <w:szCs w:val="24"/>
        </w:rPr>
        <w:fldChar w:fldCharType="begin"/>
      </w:r>
      <w:r w:rsidR="00C2285F">
        <w:rPr>
          <w:sz w:val="24"/>
          <w:szCs w:val="24"/>
        </w:rPr>
        <w:instrText xml:space="preserve"> ADDIN ZOTERO_ITEM CSL_CITATION {"citationID":"ENuPIZeH","properties":{"formattedCitation":"(Zakari et al., 2024)","plainCitation":"(Zakari et al., 2024)","noteIndex":0},"citationItems":[{"id":1292,"uris":["http://zotero.org/users/11300200/items/Q4RJ3KHR"],"itemData":{"id":1292,"type":"article-journal","abstract":"Cancer remains a global health challenge, necessitating continuous advancements in diagnostic and treatment strategies. This review focuses on the utility of non-invasive biomarkers in cancer diagnosis and treatment, their role in early detection, disease monitoring, and personalized therapeutic interventions. Through a systematic review of the literature, we identified 45 relevant studies that highlight the potential of these biomarkers across various cancer types, such as breast, prostate, lung, and colorectal cancers. The non-invasive biomarkers discussed include liquid biopsies, epigenetic markers, non-coding RNAs, exosomal cargo, and metabolites. Notably, liquid biopsies, particularly those based on circulating tumour DNA (ctDNA), have emerged as the most promising method for early, non-invasive cancer detection due to their ability to provide comprehensive genetic and epigenetic information from easily accessible blood samples. This review demonstrates how non-invasive biomarkers can facilitate early cancer detection, accurate subtyping, and tailored treatment strategies, thereby improving patient outcomes. It underscores the transformative potential of non-invasive biomarkers in oncology, highlighting their application for enhancing early detection, survival rates, and treatment precision in cancer care.\n            \n              Systematic review registration\n              \n                https://www.crd.york.ac.uk/prospero/display_record.php?ID=CRD42023474749 PROSPERO\n                , identifier CRD42023474749.","container-title":"Frontiers in Oncology","DOI":"10.3389/fonc.2024.1405267","ISSN":"2234-943X","journalAbbreviation":"Front. Oncol.","page":"1405267","source":"DOI.org (Crossref)","title":"Emerging biomarkers for non-invasive diagnosis and treatment of cancer: a systematic review","title-short":"Emerging biomarkers for non-invasive diagnosis and treatment of cancer","volume":"14","author":[{"family":"Zakari","given":"Suleiman"},{"family":"Niels","given":"Nguedia K."},{"family":"Olagunju","given":"Grace V."},{"family":"Nnaji","given":"Precious C."},{"family":"Ogunniyi","given":"Oluwabusayo"},{"family":"Tebamifor","given":"Mercy"},{"family":"Israel","given":"Emmanuel N."},{"family":"Atawodi","given":"Sunday E."},{"family":"Ogunlana","given":"Olubanke Olujoke"}],"issued":{"date-parts":[["2024",7,26]]}}}],"schema":"https://github.com/citation-style-language/schema/raw/master/csl-citation.json"} </w:instrText>
      </w:r>
      <w:r w:rsidR="00C2285F">
        <w:rPr>
          <w:sz w:val="24"/>
          <w:szCs w:val="24"/>
        </w:rPr>
        <w:fldChar w:fldCharType="separate"/>
      </w:r>
      <w:r w:rsidR="00C2285F" w:rsidRPr="006A4801">
        <w:rPr>
          <w:rFonts w:ascii="Calibri" w:hAnsi="Calibri" w:cs="Calibri"/>
          <w:sz w:val="24"/>
        </w:rPr>
        <w:t>(Zakari et al., 2024)</w:t>
      </w:r>
      <w:r w:rsidR="00C2285F">
        <w:rPr>
          <w:sz w:val="24"/>
          <w:szCs w:val="24"/>
        </w:rPr>
        <w:fldChar w:fldCharType="end"/>
      </w:r>
      <w:r w:rsidR="00A7035C" w:rsidRPr="00A7035C">
        <w:rPr>
          <w:rFonts w:ascii="Times New Roman" w:hAnsi="Times New Roman" w:cs="Times New Roman"/>
          <w:sz w:val="24"/>
          <w:szCs w:val="24"/>
          <w:lang w:val="en-US"/>
        </w:rPr>
        <w:t xml:space="preserve">. </w:t>
      </w:r>
    </w:p>
    <w:p w:rsidR="0068603B" w:rsidRPr="00C2285F" w:rsidRDefault="00C2285F" w:rsidP="00987628">
      <w:pPr>
        <w:spacing w:line="360" w:lineRule="auto"/>
        <w:jc w:val="both"/>
        <w:rPr>
          <w:rFonts w:ascii="Times New Roman" w:hAnsi="Times New Roman" w:cs="Times New Roman"/>
          <w:bCs/>
          <w:sz w:val="24"/>
          <w:szCs w:val="24"/>
          <w:lang w:val="en-US"/>
        </w:rPr>
      </w:pPr>
      <w:r w:rsidRPr="00C2285F">
        <w:rPr>
          <w:rFonts w:ascii="Times New Roman" w:hAnsi="Times New Roman" w:cs="Times New Roman"/>
          <w:bCs/>
          <w:sz w:val="24"/>
          <w:szCs w:val="24"/>
          <w:lang w:val="en-US"/>
        </w:rPr>
        <w:t xml:space="preserve">According to </w:t>
      </w:r>
      <w:r w:rsidRPr="00C2285F">
        <w:rPr>
          <w:rFonts w:ascii="Times New Roman" w:hAnsi="Times New Roman" w:cs="Times New Roman"/>
          <w:bCs/>
          <w:sz w:val="24"/>
          <w:szCs w:val="24"/>
          <w:lang w:val="en-US"/>
        </w:rPr>
        <w:fldChar w:fldCharType="begin"/>
      </w:r>
      <w:r w:rsidRPr="00C2285F">
        <w:rPr>
          <w:rFonts w:ascii="Times New Roman" w:hAnsi="Times New Roman" w:cs="Times New Roman"/>
          <w:bCs/>
          <w:sz w:val="24"/>
          <w:szCs w:val="24"/>
          <w:lang w:val="en-US"/>
        </w:rPr>
        <w:instrText xml:space="preserve"> ADDIN ZOTERO_ITEM CSL_CITATION {"citationID":"D2kg8XST","properties":{"formattedCitation":"(Nakazawa et al., 2021)","plainCitation":"(Nakazawa et al., 2021)","noteIndex":0},"citationItems":[{"id":429,"uris":["http://zotero.org/users/11300200/items/3CBFLZ3T"],"itemData":{"id":429,"type":"article-journal","abstract":"151\n            Background: Point mutations in the gene encoding speckle-type pox virus and zinc finger protein (SPOP) are the most frequently identified mutations in prostate cancer, occurring at a frequency of 6-15% across localized and disseminated cancers. Recently, SPOP gene alterations have gained attention as they appear to define a novel subclass of prostate cancers. Previous studies show that patients with mutant SPOP (mtSPOP) had superior responses to androgen deprivation therapy (ADT) and exhibit more favorable responses to abiraterone compared to wild type SPOP (wtSPOP). Methods: We retrospectively identified 59 prostate cancer patients at a single institution (Johns Hopkins) with somatic SPOP mutations from genomic testing of primary tumors (n=45), metastatic lesions (n=12), or liquid biopsies (n=2). Patient records were reviewed to determine baseline characteristics, therapies received, and clinical outcomes. The primary outcomes included best PSA response and progression-free survival (PFS) on ADT in the hormone sensitive prostate cancer (HSPC) setting and on abiraterone and/or enzalutamide in the first-line castration resistant prostate cancer (CRPC) setting. PFS was defined as either PSA, radiographic, or clinical progression. Results: The median age at diagnosis was 64 years (range 46 to 85). 17/59 (28.8%) were Black. F133 was the most frequently mutated residue, occurring in 33 (55.9%) instances (Table). There were two patients who harbored two mutations in the SPOP gene. The most frequently co-occurring mutation was in APC (15/59 [25.4%] patients), resulting in Wnt pathway activation. Concurrent ERG fusions were not observed with this cohort (0/59 [0%] patients). 41/59 (69.4%) were diagnosed with Gleason 8-10 disease. 21/59 (35.5%) were diagnosed with de novo metastatic disease. 50/59 (84.7%) patients received ADT for recurrent or metastatic disease. Median PFS on ADT was 40.7 (95% CI 23.4-71.9) months. Of the 27/59 (45.8%) patients who progressed to CRPC, 20/59 (33.9%) patients received abiraterone and 13/59 (22.0%) received enzalutamide; 9/59 (15.3%) patients received both agents. Median PFS was 7.8 (95% CI 6.7-NR) months on abiraterone and 7.3 (95% CI 3.2-NR) months on enzalutamide. Other notable therapies received in the CRPC setting include docetaxel (5/59 [8.5%] patients), cabazitaxel (5/59 [8.5%] patients), and PARP inhibitor olaparib or rucaparib (4/59 [6.8%] patients). Conclusions: SPOP mutations define a unique subset of prostate cancers enriched for black patients, high Gleason scores, absence of ERG fusions, and Wnt pathway activation. Clinical outcomes to first-line ADT appear longer than expected for genomically-unselected patients. [Table: see text]","container-title":"Journal of Clinical Oncology","DOI":"10.1200/JCO.2021.39.6_suppl.151","ISSN":"0732-183X, 1527-7755","issue":"6_suppl","journalAbbreviation":"JCO","language":"en","page":"151-151","source":"DOI.org (Crossref)","title":"&lt;i&gt;SPOP&lt;/i&gt; mutations in prostate cancer: Clinical and genomic features.","title-short":"&lt;i&gt;SPOP&lt;/i&gt; mutations in prostate cancer","volume":"39","author":[{"family":"Nakazawa","given":"Mari"},{"family":"Fang","given":"Mike"},{"family":"Issacsson Velho","given":"Pedro"},{"family":"Antonarakis","given":"Emmanuel S."}],"issued":{"date-parts":[["2021",2,20]]}}}],"schema":"https://github.com/citation-style-language/schema/raw/master/csl-citation.json"} </w:instrText>
      </w:r>
      <w:r w:rsidRPr="00C2285F">
        <w:rPr>
          <w:rFonts w:ascii="Times New Roman" w:hAnsi="Times New Roman" w:cs="Times New Roman"/>
          <w:bCs/>
          <w:sz w:val="24"/>
          <w:szCs w:val="24"/>
          <w:lang w:val="en-US"/>
        </w:rPr>
        <w:fldChar w:fldCharType="separate"/>
      </w:r>
      <w:r w:rsidRPr="00C2285F">
        <w:rPr>
          <w:rFonts w:ascii="Times New Roman" w:hAnsi="Times New Roman" w:cs="Times New Roman"/>
          <w:bCs/>
          <w:sz w:val="24"/>
          <w:szCs w:val="24"/>
        </w:rPr>
        <w:t>(Nakazawa et al., 2021)</w:t>
      </w:r>
      <w:r w:rsidRPr="00C2285F">
        <w:rPr>
          <w:rFonts w:ascii="Times New Roman" w:hAnsi="Times New Roman" w:cs="Times New Roman"/>
          <w:bCs/>
          <w:sz w:val="24"/>
          <w:szCs w:val="24"/>
          <w:lang w:val="en-US"/>
        </w:rPr>
        <w:fldChar w:fldCharType="end"/>
      </w:r>
      <w:r w:rsidRPr="00C2285F">
        <w:rPr>
          <w:rFonts w:ascii="Times New Roman" w:hAnsi="Times New Roman" w:cs="Times New Roman"/>
          <w:bCs/>
          <w:sz w:val="24"/>
          <w:szCs w:val="24"/>
          <w:lang w:val="en-US"/>
        </w:rPr>
        <w:t xml:space="preserve">, SPOP is a member of the E3 ubiquitin ligase that controls the degradation of several proteins implicated in the advancement of cancer, including the androgen receptor. The SPOP gene has been associated with </w:t>
      </w:r>
      <w:proofErr w:type="spellStart"/>
      <w:r w:rsidRPr="00C2285F">
        <w:rPr>
          <w:rFonts w:ascii="Times New Roman" w:hAnsi="Times New Roman" w:cs="Times New Roman"/>
          <w:bCs/>
          <w:sz w:val="24"/>
          <w:szCs w:val="24"/>
          <w:lang w:val="en-US"/>
        </w:rPr>
        <w:t>PCa</w:t>
      </w:r>
      <w:proofErr w:type="spellEnd"/>
      <w:r w:rsidRPr="00C2285F">
        <w:rPr>
          <w:rFonts w:ascii="Times New Roman" w:hAnsi="Times New Roman" w:cs="Times New Roman"/>
          <w:bCs/>
          <w:sz w:val="24"/>
          <w:szCs w:val="24"/>
          <w:lang w:val="en-US"/>
        </w:rPr>
        <w:t xml:space="preserve"> mutations</w:t>
      </w:r>
      <w:r>
        <w:rPr>
          <w:rFonts w:ascii="Times New Roman" w:hAnsi="Times New Roman" w:cs="Times New Roman"/>
          <w:bCs/>
          <w:sz w:val="24"/>
          <w:szCs w:val="24"/>
          <w:lang w:val="en-US"/>
        </w:rPr>
        <w:t>, and altered protein</w:t>
      </w:r>
      <w:r w:rsidR="0068603B" w:rsidRPr="0068603B">
        <w:rPr>
          <w:rFonts w:ascii="Times New Roman" w:hAnsi="Times New Roman" w:cs="Times New Roman"/>
          <w:bCs/>
          <w:sz w:val="24"/>
          <w:szCs w:val="24"/>
          <w:lang w:val="en-US"/>
        </w:rPr>
        <w:t xml:space="preserve"> levels may indicate aberrant AR signaling</w:t>
      </w:r>
      <w:r w:rsidR="0068603B">
        <w:rPr>
          <w:rFonts w:ascii="Times New Roman" w:hAnsi="Times New Roman" w:cs="Times New Roman"/>
          <w:bCs/>
          <w:sz w:val="24"/>
          <w:szCs w:val="24"/>
          <w:lang w:val="en-US"/>
        </w:rPr>
        <w:t xml:space="preserve"> </w:t>
      </w:r>
      <w:r w:rsidR="0068603B" w:rsidRPr="002E7761">
        <w:rPr>
          <w:rFonts w:ascii="Times New Roman" w:hAnsi="Times New Roman" w:cs="Times New Roman"/>
          <w:sz w:val="24"/>
          <w:szCs w:val="24"/>
          <w:lang w:val="en-US"/>
        </w:rPr>
        <w:fldChar w:fldCharType="begin"/>
      </w:r>
      <w:r w:rsidR="0068603B" w:rsidRPr="002E7761">
        <w:rPr>
          <w:rFonts w:ascii="Times New Roman" w:hAnsi="Times New Roman" w:cs="Times New Roman"/>
          <w:sz w:val="24"/>
          <w:szCs w:val="24"/>
          <w:lang w:val="en-US"/>
        </w:rPr>
        <w:instrText xml:space="preserve"> ADDIN ZOTERO_ITEM CSL_CITATION {"citationID":"fGvA9CLx","properties":{"formattedCitation":"(Szwarc et al., 2014)","plainCitation":"(Szwarc et al., 2014)","noteIndex":0},"citationItems":[{"id":563,"uris":["http://zotero.org/users/11300200/items/FJTWLSU3"],"itemData":{"id":563,"type":"article-journal","container-title":"Biology of Reproduction","DOI":"10.1095/biolreprod.114.125021","ISSN":"0006-3363, 1529-7268","issue":"5","language":"en","source":"DOI.org (Crossref)","title":"The p160/Steroid Receptor Coactivator Family: Potent Arbiters of Uterine Physiology and Dysfunction1","title-short":"The p160/Steroid Receptor Coactivator Family","URL":"https://academic.oup.com/biolreprod/article-lookup/doi/10.1095/biolreprod.114.125021","volume":"91","author":[{"family":"Szwarc","given":"Maria M."},{"family":"Kommagani","given":"Ramakrishna"},{"family":"Lessey","given":"Bruce A."},{"family":"Lydon","given":"John P."}],"accessed":{"date-parts":[["2023",10,7]]},"issued":{"date-parts":[["2014",11,1]]}}}],"schema":"https://github.com/citation-style-language/schema/raw/master/csl-citation.json"} </w:instrText>
      </w:r>
      <w:r w:rsidR="0068603B" w:rsidRPr="002E7761">
        <w:rPr>
          <w:rFonts w:ascii="Times New Roman" w:hAnsi="Times New Roman" w:cs="Times New Roman"/>
          <w:sz w:val="24"/>
          <w:szCs w:val="24"/>
          <w:lang w:val="en-US"/>
        </w:rPr>
        <w:fldChar w:fldCharType="separate"/>
      </w:r>
      <w:r w:rsidR="0068603B" w:rsidRPr="00167D83">
        <w:rPr>
          <w:rFonts w:ascii="Times New Roman" w:hAnsi="Times New Roman" w:cs="Times New Roman"/>
          <w:sz w:val="24"/>
        </w:rPr>
        <w:t>(Szwarc et al., 2014)</w:t>
      </w:r>
      <w:r w:rsidR="0068603B" w:rsidRPr="002E7761">
        <w:rPr>
          <w:rFonts w:ascii="Times New Roman" w:hAnsi="Times New Roman" w:cs="Times New Roman"/>
          <w:sz w:val="24"/>
          <w:szCs w:val="24"/>
          <w:lang w:val="en-US"/>
        </w:rPr>
        <w:fldChar w:fldCharType="end"/>
      </w:r>
      <w:r w:rsidR="00A7035C" w:rsidRPr="00A7035C">
        <w:rPr>
          <w:rFonts w:ascii="Times New Roman" w:hAnsi="Times New Roman" w:cs="Times New Roman"/>
          <w:bCs/>
          <w:sz w:val="24"/>
          <w:szCs w:val="24"/>
          <w:lang w:val="en-US"/>
        </w:rPr>
        <w:t>.</w:t>
      </w:r>
      <w:r w:rsidR="0068603B">
        <w:rPr>
          <w:rFonts w:ascii="Times New Roman" w:hAnsi="Times New Roman" w:cs="Times New Roman"/>
          <w:sz w:val="24"/>
          <w:szCs w:val="24"/>
          <w:lang w:val="en-US"/>
        </w:rPr>
        <w:t xml:space="preserve"> </w:t>
      </w:r>
      <w:r w:rsidR="0068603B" w:rsidRPr="0068603B">
        <w:rPr>
          <w:rFonts w:ascii="Times New Roman" w:hAnsi="Times New Roman" w:cs="Times New Roman"/>
          <w:bCs/>
          <w:sz w:val="24"/>
          <w:szCs w:val="24"/>
          <w:lang w:val="en-US"/>
        </w:rPr>
        <w:t xml:space="preserve">Detecting SPOP protein levels </w:t>
      </w:r>
      <w:r>
        <w:rPr>
          <w:rFonts w:ascii="Times New Roman" w:hAnsi="Times New Roman" w:cs="Times New Roman"/>
          <w:bCs/>
          <w:sz w:val="24"/>
          <w:szCs w:val="24"/>
          <w:lang w:val="en-US"/>
        </w:rPr>
        <w:t xml:space="preserve">might offer perceptions of </w:t>
      </w:r>
      <w:r w:rsidR="0068603B" w:rsidRPr="0068603B">
        <w:rPr>
          <w:rFonts w:ascii="Times New Roman" w:hAnsi="Times New Roman" w:cs="Times New Roman"/>
          <w:bCs/>
          <w:sz w:val="24"/>
          <w:szCs w:val="24"/>
          <w:lang w:val="en-US"/>
        </w:rPr>
        <w:t>the functional</w:t>
      </w:r>
      <w:r>
        <w:rPr>
          <w:rFonts w:ascii="Times New Roman" w:hAnsi="Times New Roman" w:cs="Times New Roman"/>
          <w:bCs/>
          <w:sz w:val="24"/>
          <w:szCs w:val="24"/>
          <w:lang w:val="en-US"/>
        </w:rPr>
        <w:t xml:space="preserve"> status of AR in </w:t>
      </w:r>
      <w:proofErr w:type="spellStart"/>
      <w:r>
        <w:rPr>
          <w:rFonts w:ascii="Times New Roman" w:hAnsi="Times New Roman" w:cs="Times New Roman"/>
          <w:bCs/>
          <w:sz w:val="24"/>
          <w:szCs w:val="24"/>
          <w:lang w:val="en-US"/>
        </w:rPr>
        <w:t>PCa</w:t>
      </w:r>
      <w:proofErr w:type="spellEnd"/>
      <w:r w:rsidR="0068603B" w:rsidRPr="0068603B">
        <w:rPr>
          <w:rFonts w:ascii="Times New Roman" w:hAnsi="Times New Roman" w:cs="Times New Roman"/>
          <w:bCs/>
          <w:sz w:val="24"/>
          <w:szCs w:val="24"/>
          <w:lang w:val="en-US"/>
        </w:rPr>
        <w:t xml:space="preserve"> patients. Elevated SPOP levels may correlate with enhanced AR activity, while reduced levels could indicate a potential loss of function due to mutations</w:t>
      </w:r>
      <w:r w:rsidR="00F12E86">
        <w:rPr>
          <w:rFonts w:ascii="Times New Roman" w:hAnsi="Times New Roman" w:cs="Times New Roman"/>
          <w:bCs/>
          <w:sz w:val="24"/>
          <w:szCs w:val="24"/>
          <w:lang w:val="en-US"/>
        </w:rPr>
        <w:t xml:space="preserve"> </w:t>
      </w:r>
      <w:r w:rsidR="00F12E86">
        <w:rPr>
          <w:rFonts w:ascii="Times New Roman" w:hAnsi="Times New Roman" w:cs="Times New Roman"/>
          <w:bCs/>
          <w:sz w:val="24"/>
          <w:szCs w:val="24"/>
          <w:lang w:val="en-US"/>
        </w:rPr>
        <w:fldChar w:fldCharType="begin"/>
      </w:r>
      <w:r w:rsidR="00F12E86">
        <w:rPr>
          <w:rFonts w:ascii="Times New Roman" w:hAnsi="Times New Roman" w:cs="Times New Roman"/>
          <w:bCs/>
          <w:sz w:val="24"/>
          <w:szCs w:val="24"/>
          <w:lang w:val="en-US"/>
        </w:rPr>
        <w:instrText xml:space="preserve"> ADDIN ZOTERO_ITEM CSL_CITATION {"citationID":"ceL8wRqj","properties":{"formattedCitation":"(Grbesa et al., 2021)","plainCitation":"(Grbesa et al., 2021)","noteIndex":0},"citationItems":[{"id":443,"uris":["http://zotero.org/users/11300200/items/A64KPQ6P"],"itemData":{"id":443,"type":"report","abstract":"Abstract\n          \n            The normal androgen receptor (AR) cistrome and transcriptional program are fundamentally altered in prostate cancer (PCa). Here, we show that\n            SPOP\n            mutations, an early event in prostate tumorigenesis, reshape the chromatin landscape and AR-directed transcriptional program in normal prostate cells. Induction of\n            SPOP\n            mutation results in DNA accessibility and AR binding patterns found in human PCa. Consistent with dependency on this AR reprogramming, castration of\n            SPOP\n            mutant mouse models results in the loss of neoplastic phenotypes. Finally, human\n            SPOP\n            mutant PCa show improved response to AR-targeted therapies. Together, these results show that a single genomic alteration may be sufficient to reprogram the chromatin of normal prostate cells toward oncogenic phenotypes and that\n            SPOP\n            mutant tumors may be preferentially dependent on AR signaling through this mechanism.","genre":"preprint","language":"en","note":"DOI: 10.1101/2021.04.20.440154","publisher":"Cancer Biology","source":"DOI.org (Crossref)","title":"&lt;i&gt;SPOP&lt;/i&gt; mutation confers sensitivity to AR-targeted therapy in prostate cancer by reshaping the androgen-driven chromatin landscape","URL":"http://biorxiv.org/lookup/doi/10.1101/2021.04.20.440154","author":[{"family":"Grbesa","given":"Ivana"},{"family":"Augello","given":"Michael A."},{"family":"Liu","given":"Deli"},{"family":"McNally","given":"Dylan R."},{"family":"Gaffney","given":"Christopher D."},{"family":"Huang","given":"Dennis"},{"family":"Lin","given":"Kevin"},{"family":"Goueli","given":"Ramy"},{"family":"Robinson","given":"Brian D."},{"family":"Khani","given":"Francesca"},{"family":"Deonarine","given":"Lesa D."},{"family":"Blattner","given":"Mirjam"},{"family":"Elemento","given":"Olivier"},{"family":"Davicioni","given":"Elai"},{"family":"Sboner","given":"Andrea"},{"family":"Barbieri","given":"Christopher E."}],"accessed":{"date-parts":[["2023",8,20]]},"issued":{"date-parts":[["2021",4,21]]}}}],"schema":"https://github.com/citation-style-language/schema/raw/master/csl-citation.json"} </w:instrText>
      </w:r>
      <w:r w:rsidR="00F12E86">
        <w:rPr>
          <w:rFonts w:ascii="Times New Roman" w:hAnsi="Times New Roman" w:cs="Times New Roman"/>
          <w:bCs/>
          <w:sz w:val="24"/>
          <w:szCs w:val="24"/>
          <w:lang w:val="en-US"/>
        </w:rPr>
        <w:fldChar w:fldCharType="separate"/>
      </w:r>
      <w:r w:rsidR="00F12E86" w:rsidRPr="00F12E86">
        <w:rPr>
          <w:rFonts w:ascii="Times New Roman" w:hAnsi="Times New Roman" w:cs="Times New Roman"/>
          <w:sz w:val="24"/>
        </w:rPr>
        <w:t>(Grbesa et al., 2021)</w:t>
      </w:r>
      <w:r w:rsidR="00F12E86">
        <w:rPr>
          <w:rFonts w:ascii="Times New Roman" w:hAnsi="Times New Roman" w:cs="Times New Roman"/>
          <w:bCs/>
          <w:sz w:val="24"/>
          <w:szCs w:val="24"/>
          <w:lang w:val="en-US"/>
        </w:rPr>
        <w:fldChar w:fldCharType="end"/>
      </w:r>
      <w:r w:rsidR="0068603B" w:rsidRPr="0068603B">
        <w:rPr>
          <w:rFonts w:ascii="Times New Roman" w:hAnsi="Times New Roman" w:cs="Times New Roman"/>
          <w:bCs/>
          <w:sz w:val="24"/>
          <w:szCs w:val="24"/>
          <w:lang w:val="en-US"/>
        </w:rPr>
        <w:t xml:space="preserve">. </w:t>
      </w:r>
      <w:r w:rsidRPr="00C2285F">
        <w:rPr>
          <w:rFonts w:ascii="Times New Roman" w:hAnsi="Times New Roman" w:cs="Times New Roman"/>
          <w:bCs/>
          <w:sz w:val="24"/>
          <w:szCs w:val="24"/>
          <w:lang w:val="en-US"/>
        </w:rPr>
        <w:t>Therefore, SPOP may function as a biomarker to identify people who could gain from</w:t>
      </w:r>
      <w:r w:rsidR="0068603B" w:rsidRPr="0068603B">
        <w:rPr>
          <w:rFonts w:ascii="Times New Roman" w:hAnsi="Times New Roman" w:cs="Times New Roman"/>
          <w:bCs/>
          <w:sz w:val="24"/>
          <w:szCs w:val="24"/>
          <w:lang w:val="en-US"/>
        </w:rPr>
        <w:t xml:space="preserve"> targeted therapies </w:t>
      </w:r>
      <w:r>
        <w:rPr>
          <w:rFonts w:ascii="Times New Roman" w:hAnsi="Times New Roman" w:cs="Times New Roman"/>
          <w:bCs/>
          <w:sz w:val="24"/>
          <w:szCs w:val="24"/>
          <w:lang w:val="en-US"/>
        </w:rPr>
        <w:t>to modulate</w:t>
      </w:r>
      <w:r w:rsidR="0068603B" w:rsidRPr="0068603B">
        <w:rPr>
          <w:rFonts w:ascii="Times New Roman" w:hAnsi="Times New Roman" w:cs="Times New Roman"/>
          <w:bCs/>
          <w:sz w:val="24"/>
          <w:szCs w:val="24"/>
          <w:lang w:val="en-US"/>
        </w:rPr>
        <w:t xml:space="preserve"> AR signaling.</w:t>
      </w:r>
      <w:r w:rsidR="0068603B" w:rsidRPr="0068603B">
        <w:rPr>
          <w:rFonts w:ascii="Times New Roman" w:hAnsi="Times New Roman" w:cs="Times New Roman"/>
          <w:b/>
          <w:bCs/>
          <w:sz w:val="24"/>
          <w:szCs w:val="24"/>
          <w:lang w:val="en-US"/>
        </w:rPr>
        <w:t xml:space="preserve"> </w:t>
      </w:r>
      <w:r w:rsidR="00987628" w:rsidRPr="00987628">
        <w:rPr>
          <w:rFonts w:ascii="Times New Roman" w:hAnsi="Times New Roman" w:cs="Times New Roman"/>
          <w:bCs/>
          <w:sz w:val="24"/>
          <w:szCs w:val="24"/>
          <w:lang w:val="en-US"/>
        </w:rPr>
        <w:t>One known factor influenci</w:t>
      </w:r>
      <w:r w:rsidR="00987628">
        <w:rPr>
          <w:rFonts w:ascii="Times New Roman" w:hAnsi="Times New Roman" w:cs="Times New Roman"/>
          <w:bCs/>
          <w:sz w:val="24"/>
          <w:szCs w:val="24"/>
          <w:lang w:val="en-US"/>
        </w:rPr>
        <w:t xml:space="preserve">ng the development of </w:t>
      </w:r>
      <w:proofErr w:type="spellStart"/>
      <w:r w:rsidR="00987628">
        <w:rPr>
          <w:rFonts w:ascii="Times New Roman" w:hAnsi="Times New Roman" w:cs="Times New Roman"/>
          <w:bCs/>
          <w:sz w:val="24"/>
          <w:szCs w:val="24"/>
          <w:lang w:val="en-US"/>
        </w:rPr>
        <w:t>PCa</w:t>
      </w:r>
      <w:proofErr w:type="spellEnd"/>
      <w:r w:rsidR="00987628">
        <w:rPr>
          <w:rFonts w:ascii="Times New Roman" w:hAnsi="Times New Roman" w:cs="Times New Roman"/>
          <w:bCs/>
          <w:sz w:val="24"/>
          <w:szCs w:val="24"/>
          <w:lang w:val="en-US"/>
        </w:rPr>
        <w:t xml:space="preserve"> is the androgen receptor (AR) </w:t>
      </w:r>
      <w:r w:rsidR="00F12E86">
        <w:rPr>
          <w:rFonts w:ascii="Times New Roman" w:hAnsi="Times New Roman" w:cs="Times New Roman"/>
          <w:bCs/>
          <w:sz w:val="24"/>
          <w:szCs w:val="24"/>
          <w:lang w:val="en-US"/>
        </w:rPr>
        <w:fldChar w:fldCharType="begin"/>
      </w:r>
      <w:r w:rsidR="00F12E86">
        <w:rPr>
          <w:rFonts w:ascii="Times New Roman" w:hAnsi="Times New Roman" w:cs="Times New Roman"/>
          <w:bCs/>
          <w:sz w:val="24"/>
          <w:szCs w:val="24"/>
          <w:lang w:val="en-US"/>
        </w:rPr>
        <w:instrText xml:space="preserve"> ADDIN ZOTERO_ITEM CSL_CITATION {"citationID":"spOLlVQj","properties":{"formattedCitation":"(Feng &amp; He, 2019)","plainCitation":"(Feng &amp; He, 2019)","noteIndex":0},"citationItems":[{"id":209,"uris":["http://zotero.org/users/local/7J0d6nia/items/BDQUSZQ7","http://zotero.org/users/11300200/items/BDQUSZQ7"],"itemData":{"id":209,"type":"article-journal","container-title":"Frontiers in oncology","note":"publisher: Frontiers Media SA","page":"858","source":"Google Scholar","title":"Androgen receptor signaling in the development of castration-resistant prostate cancer","volume":"9","author":[{"family":"Feng","given":"Qin"},{"family":"He","given":"Bin"}],"issued":{"date-parts":[["2019"]]}}}],"schema":"https://github.com/citation-style-language/schema/raw/master/csl-citation.json"} </w:instrText>
      </w:r>
      <w:r w:rsidR="00F12E86">
        <w:rPr>
          <w:rFonts w:ascii="Times New Roman" w:hAnsi="Times New Roman" w:cs="Times New Roman"/>
          <w:bCs/>
          <w:sz w:val="24"/>
          <w:szCs w:val="24"/>
          <w:lang w:val="en-US"/>
        </w:rPr>
        <w:fldChar w:fldCharType="separate"/>
      </w:r>
      <w:r w:rsidR="00F12E86" w:rsidRPr="00F12E86">
        <w:rPr>
          <w:rFonts w:ascii="Times New Roman" w:hAnsi="Times New Roman" w:cs="Times New Roman"/>
          <w:sz w:val="24"/>
        </w:rPr>
        <w:t>(Feng &amp; He, 2019)</w:t>
      </w:r>
      <w:r w:rsidR="00F12E86">
        <w:rPr>
          <w:rFonts w:ascii="Times New Roman" w:hAnsi="Times New Roman" w:cs="Times New Roman"/>
          <w:bCs/>
          <w:sz w:val="24"/>
          <w:szCs w:val="24"/>
          <w:lang w:val="en-US"/>
        </w:rPr>
        <w:fldChar w:fldCharType="end"/>
      </w:r>
      <w:r w:rsidR="0068603B" w:rsidRPr="0068603B">
        <w:rPr>
          <w:rFonts w:ascii="Times New Roman" w:hAnsi="Times New Roman" w:cs="Times New Roman"/>
          <w:bCs/>
          <w:sz w:val="24"/>
          <w:szCs w:val="24"/>
          <w:lang w:val="en-US"/>
        </w:rPr>
        <w:t>. Quantifying AR protein levels in plasma could provide valuable prognostic information, as higher levels of AR may be associated with more aggressive disease and resistance to conventional therapies. Additionally, the detection of AR variants, such as AR-V7, could help identify patients who are less likely to respond to androgen deprivation therapy (ADT) and may require alternative treatment strategies. Therefore, AR levels could serve as a predictive biomarker for treatment response and disease progression.</w:t>
      </w:r>
      <w:r w:rsidR="0068603B" w:rsidRPr="0068603B">
        <w:rPr>
          <w:rFonts w:ascii="Times New Roman" w:hAnsi="Times New Roman" w:cs="Times New Roman"/>
          <w:b/>
          <w:bCs/>
          <w:sz w:val="24"/>
          <w:szCs w:val="24"/>
          <w:lang w:val="en-US"/>
        </w:rPr>
        <w:t xml:space="preserve"> </w:t>
      </w:r>
      <w:r w:rsidR="0068603B" w:rsidRPr="0068603B">
        <w:rPr>
          <w:rFonts w:ascii="Times New Roman" w:hAnsi="Times New Roman" w:cs="Times New Roman"/>
          <w:bCs/>
          <w:sz w:val="24"/>
          <w:szCs w:val="24"/>
          <w:lang w:val="en-US"/>
        </w:rPr>
        <w:t xml:space="preserve">SRC-3 is a </w:t>
      </w:r>
      <w:proofErr w:type="spellStart"/>
      <w:r w:rsidR="0068603B" w:rsidRPr="0068603B">
        <w:rPr>
          <w:rFonts w:ascii="Times New Roman" w:hAnsi="Times New Roman" w:cs="Times New Roman"/>
          <w:bCs/>
          <w:sz w:val="24"/>
          <w:szCs w:val="24"/>
          <w:lang w:val="en-US"/>
        </w:rPr>
        <w:t>coactivator</w:t>
      </w:r>
      <w:proofErr w:type="spellEnd"/>
      <w:r w:rsidR="0068603B" w:rsidRPr="0068603B">
        <w:rPr>
          <w:rFonts w:ascii="Times New Roman" w:hAnsi="Times New Roman" w:cs="Times New Roman"/>
          <w:bCs/>
          <w:sz w:val="24"/>
          <w:szCs w:val="24"/>
          <w:lang w:val="en-US"/>
        </w:rPr>
        <w:t xml:space="preserve"> that enhances AR transcriptional activity and is implicated in the development of resistance to AR-targeted therapies</w:t>
      </w:r>
      <w:r w:rsidR="0068603B">
        <w:rPr>
          <w:rFonts w:ascii="Times New Roman" w:hAnsi="Times New Roman" w:cs="Times New Roman"/>
          <w:bCs/>
          <w:sz w:val="24"/>
          <w:szCs w:val="24"/>
          <w:lang w:val="en-US"/>
        </w:rPr>
        <w:t xml:space="preserve"> </w:t>
      </w:r>
      <w:r w:rsidR="0068603B" w:rsidRPr="002E7761">
        <w:rPr>
          <w:rFonts w:ascii="Times New Roman" w:hAnsi="Times New Roman" w:cs="Times New Roman"/>
          <w:sz w:val="24"/>
          <w:szCs w:val="24"/>
          <w:lang w:val="en-US"/>
        </w:rPr>
        <w:fldChar w:fldCharType="begin"/>
      </w:r>
      <w:r w:rsidR="00F12E86">
        <w:rPr>
          <w:rFonts w:ascii="Times New Roman" w:hAnsi="Times New Roman" w:cs="Times New Roman"/>
          <w:sz w:val="24"/>
          <w:szCs w:val="24"/>
          <w:lang w:val="en-US"/>
        </w:rPr>
        <w:instrText xml:space="preserve"> ADDIN ZOTERO_ITEM CSL_CITATION {"citationID":"zPYACoLP","properties":{"formattedCitation":"(Szwarc et al., 2014)","plainCitation":"(Szwarc et al., 2014)","noteIndex":0},"citationItems":[{"id":563,"uris":["http://zotero.org/users/11300200/items/FJTWLSU3"],"itemData":{"id":563,"type":"article-journal","container-title":"Biology of Reproduction","DOI":"10.1095/biolreprod.114.125021","ISSN":"0006-3363, 1529-7268","issue":"5","language":"en","source":"DOI.org (Crossref)","title":"The p160/Steroid Receptor Coactivator Family: Potent Arbiters of Uterine Physiology and Dysfunction1","title-short":"The p160/Steroid Receptor Coactivator Family","URL":"https://academic.oup.com/biolreprod/article-lookup/doi/10.1095/biolreprod.114.125021","volume":"91","author":[{"family":"Szwarc","given":"Maria M."},{"family":"Kommagani","given":"Ramakrishna"},{"family":"Lessey","given":"Bruce A."},{"family":"Lydon","given":"John P."}],"accessed":{"date-parts":[["2023",10,7]]},"issued":{"date-parts":[["2014",11,1]]}}}],"schema":"https://github.com/citation-style-language/schema/raw/master/csl-citation.json"} </w:instrText>
      </w:r>
      <w:r w:rsidR="0068603B" w:rsidRPr="002E7761">
        <w:rPr>
          <w:rFonts w:ascii="Times New Roman" w:hAnsi="Times New Roman" w:cs="Times New Roman"/>
          <w:sz w:val="24"/>
          <w:szCs w:val="24"/>
          <w:lang w:val="en-US"/>
        </w:rPr>
        <w:fldChar w:fldCharType="separate"/>
      </w:r>
      <w:r w:rsidR="0068603B" w:rsidRPr="00167D83">
        <w:rPr>
          <w:rFonts w:ascii="Times New Roman" w:hAnsi="Times New Roman" w:cs="Times New Roman"/>
          <w:sz w:val="24"/>
        </w:rPr>
        <w:t>(Szwarc et al., 2014)</w:t>
      </w:r>
      <w:r w:rsidR="0068603B" w:rsidRPr="002E7761">
        <w:rPr>
          <w:rFonts w:ascii="Times New Roman" w:hAnsi="Times New Roman" w:cs="Times New Roman"/>
          <w:sz w:val="24"/>
          <w:szCs w:val="24"/>
          <w:lang w:val="en-US"/>
        </w:rPr>
        <w:fldChar w:fldCharType="end"/>
      </w:r>
      <w:r w:rsidR="00987628">
        <w:rPr>
          <w:rFonts w:ascii="Times New Roman" w:hAnsi="Times New Roman" w:cs="Times New Roman"/>
          <w:bCs/>
          <w:sz w:val="24"/>
          <w:szCs w:val="24"/>
          <w:lang w:val="en-US"/>
        </w:rPr>
        <w:t xml:space="preserve">. Elevated SRC-3 levels </w:t>
      </w:r>
      <w:r w:rsidR="00987628" w:rsidRPr="00987628">
        <w:rPr>
          <w:rFonts w:ascii="Times New Roman" w:hAnsi="Times New Roman" w:cs="Times New Roman"/>
          <w:bCs/>
          <w:sz w:val="24"/>
          <w:szCs w:val="24"/>
          <w:lang w:val="en-US"/>
        </w:rPr>
        <w:t>have been linke</w:t>
      </w:r>
      <w:r w:rsidR="00987628">
        <w:rPr>
          <w:rFonts w:ascii="Times New Roman" w:hAnsi="Times New Roman" w:cs="Times New Roman"/>
          <w:bCs/>
          <w:sz w:val="24"/>
          <w:szCs w:val="24"/>
          <w:lang w:val="en-US"/>
        </w:rPr>
        <w:t xml:space="preserve">d to advanced </w:t>
      </w:r>
      <w:proofErr w:type="spellStart"/>
      <w:r w:rsidR="00987628">
        <w:rPr>
          <w:rFonts w:ascii="Times New Roman" w:hAnsi="Times New Roman" w:cs="Times New Roman"/>
          <w:bCs/>
          <w:sz w:val="24"/>
          <w:szCs w:val="24"/>
          <w:lang w:val="en-US"/>
        </w:rPr>
        <w:t>PCa</w:t>
      </w:r>
      <w:proofErr w:type="spellEnd"/>
      <w:r w:rsidR="00987628">
        <w:rPr>
          <w:rFonts w:ascii="Times New Roman" w:hAnsi="Times New Roman" w:cs="Times New Roman"/>
          <w:bCs/>
          <w:sz w:val="24"/>
          <w:szCs w:val="24"/>
          <w:lang w:val="en-US"/>
        </w:rPr>
        <w:t xml:space="preserve"> </w:t>
      </w:r>
      <w:r w:rsidR="0068603B" w:rsidRPr="0068603B">
        <w:rPr>
          <w:rFonts w:ascii="Times New Roman" w:hAnsi="Times New Roman" w:cs="Times New Roman"/>
          <w:bCs/>
          <w:sz w:val="24"/>
          <w:szCs w:val="24"/>
          <w:lang w:val="en-US"/>
        </w:rPr>
        <w:t>and poor clinical outcomes</w:t>
      </w:r>
      <w:r w:rsidR="00F12E86">
        <w:rPr>
          <w:rFonts w:ascii="Times New Roman" w:hAnsi="Times New Roman" w:cs="Times New Roman"/>
          <w:bCs/>
          <w:sz w:val="24"/>
          <w:szCs w:val="24"/>
          <w:lang w:val="en-US"/>
        </w:rPr>
        <w:t xml:space="preserve"> </w:t>
      </w:r>
      <w:r w:rsidR="00F12E86">
        <w:rPr>
          <w:rFonts w:ascii="Times New Roman" w:hAnsi="Times New Roman" w:cs="Times New Roman"/>
          <w:bCs/>
          <w:sz w:val="24"/>
          <w:szCs w:val="24"/>
          <w:lang w:val="en-US"/>
        </w:rPr>
        <w:fldChar w:fldCharType="begin"/>
      </w:r>
      <w:r w:rsidR="00F12E86">
        <w:rPr>
          <w:rFonts w:ascii="Times New Roman" w:hAnsi="Times New Roman" w:cs="Times New Roman"/>
          <w:bCs/>
          <w:sz w:val="24"/>
          <w:szCs w:val="24"/>
          <w:lang w:val="en-US"/>
        </w:rPr>
        <w:instrText xml:space="preserve"> ADDIN ZOTERO_ITEM CSL_CITATION {"citationID":"anb6P6Vq","properties":{"formattedCitation":"(Li, Deng &amp; Chen, 2021)","plainCitation":"(Li, Deng &amp; Chen, 2021)","noteIndex":0},"citationItems":[{"id":551,"uris":["http://zotero.org/users/11300200/items/X3SIZXLE"],"itemData":{"id":551,"type":"article-journal","container-title":"International journal of molecular sciences","ISSN":"1422-0067","issue":"9","journalAbbreviation":"International journal of molecular sciences","note":"publisher: MDPI","page":"4760","title":"SRC-3, a steroid receptor coactivator: implication in cancer","volume":"22","author":[{"family":"Li","given":"Licen"},{"family":"Deng","given":"Chu-Xia"},{"family":"Chen","given":"Qiang"}],"issued":{"date-parts":[["2021"]]}}}],"schema":"https://github.com/citation-style-language/schema/raw/master/csl-citation.json"} </w:instrText>
      </w:r>
      <w:r w:rsidR="00F12E86">
        <w:rPr>
          <w:rFonts w:ascii="Times New Roman" w:hAnsi="Times New Roman" w:cs="Times New Roman"/>
          <w:bCs/>
          <w:sz w:val="24"/>
          <w:szCs w:val="24"/>
          <w:lang w:val="en-US"/>
        </w:rPr>
        <w:fldChar w:fldCharType="separate"/>
      </w:r>
      <w:r w:rsidR="00F12E86" w:rsidRPr="00F12E86">
        <w:rPr>
          <w:rFonts w:ascii="Times New Roman" w:hAnsi="Times New Roman" w:cs="Times New Roman"/>
          <w:sz w:val="24"/>
        </w:rPr>
        <w:t>(Li, Deng &amp; Chen, 2021)</w:t>
      </w:r>
      <w:r w:rsidR="00F12E86">
        <w:rPr>
          <w:rFonts w:ascii="Times New Roman" w:hAnsi="Times New Roman" w:cs="Times New Roman"/>
          <w:bCs/>
          <w:sz w:val="24"/>
          <w:szCs w:val="24"/>
          <w:lang w:val="en-US"/>
        </w:rPr>
        <w:fldChar w:fldCharType="end"/>
      </w:r>
      <w:r w:rsidR="0068603B" w:rsidRPr="0068603B">
        <w:rPr>
          <w:rFonts w:ascii="Times New Roman" w:hAnsi="Times New Roman" w:cs="Times New Roman"/>
          <w:bCs/>
          <w:sz w:val="24"/>
          <w:szCs w:val="24"/>
          <w:lang w:val="en-US"/>
        </w:rPr>
        <w:t>. Measuring SRC-3 protein levels in plasma could provide insights into the tumor's reliance on AR signaling and its potential for resistance to therapy. As such, SRC-3 could function as a biomarker for identifying patients at risk of treatment failure, allowing for timely intervention with alternative therapeutic approaches.</w:t>
      </w:r>
    </w:p>
    <w:p w:rsidR="00F77439" w:rsidRPr="004B07BF" w:rsidRDefault="0068603B" w:rsidP="006D3376">
      <w:pPr>
        <w:spacing w:line="360" w:lineRule="auto"/>
        <w:jc w:val="both"/>
        <w:rPr>
          <w:rFonts w:ascii="Times New Roman" w:hAnsi="Times New Roman" w:cs="Times New Roman"/>
          <w:sz w:val="24"/>
          <w:szCs w:val="24"/>
          <w:lang w:val="en-US"/>
        </w:rPr>
      </w:pPr>
      <w:r w:rsidRPr="0068603B">
        <w:rPr>
          <w:rFonts w:ascii="Times New Roman" w:hAnsi="Times New Roman" w:cs="Times New Roman"/>
          <w:sz w:val="24"/>
          <w:szCs w:val="24"/>
          <w:lang w:val="en-US"/>
        </w:rPr>
        <w:t>The detection of SPOP, AR, and SRC-3 p</w:t>
      </w:r>
      <w:r w:rsidR="00C2285F">
        <w:rPr>
          <w:rFonts w:ascii="Times New Roman" w:hAnsi="Times New Roman" w:cs="Times New Roman"/>
          <w:sz w:val="24"/>
          <w:szCs w:val="24"/>
          <w:lang w:val="en-US"/>
        </w:rPr>
        <w:t xml:space="preserve">rotein levels in </w:t>
      </w:r>
      <w:proofErr w:type="spellStart"/>
      <w:r w:rsidR="00C2285F">
        <w:rPr>
          <w:rFonts w:ascii="Times New Roman" w:hAnsi="Times New Roman" w:cs="Times New Roman"/>
          <w:sz w:val="24"/>
          <w:szCs w:val="24"/>
          <w:lang w:val="en-US"/>
        </w:rPr>
        <w:t>PCa</w:t>
      </w:r>
      <w:proofErr w:type="spellEnd"/>
      <w:r w:rsidRPr="0068603B">
        <w:rPr>
          <w:rFonts w:ascii="Times New Roman" w:hAnsi="Times New Roman" w:cs="Times New Roman"/>
          <w:sz w:val="24"/>
          <w:szCs w:val="24"/>
          <w:lang w:val="en-US"/>
        </w:rPr>
        <w:t xml:space="preserve"> patients presents </w:t>
      </w:r>
      <w:r w:rsidR="00C2285F" w:rsidRPr="00C2285F">
        <w:rPr>
          <w:rFonts w:ascii="Times New Roman" w:hAnsi="Times New Roman" w:cs="Times New Roman"/>
          <w:sz w:val="24"/>
          <w:szCs w:val="24"/>
          <w:lang w:val="en-US"/>
        </w:rPr>
        <w:t>a viable method for finding biomarkers</w:t>
      </w:r>
      <w:r w:rsidRPr="0068603B">
        <w:rPr>
          <w:rFonts w:ascii="Times New Roman" w:hAnsi="Times New Roman" w:cs="Times New Roman"/>
          <w:sz w:val="24"/>
          <w:szCs w:val="24"/>
          <w:lang w:val="en-US"/>
        </w:rPr>
        <w:t xml:space="preserve"> that could enhance diagnosis, prognosis, and treatment strategies. </w:t>
      </w:r>
      <w:r w:rsidR="00C2285F" w:rsidRPr="00C2285F">
        <w:rPr>
          <w:rFonts w:ascii="Times New Roman" w:hAnsi="Times New Roman" w:cs="Times New Roman"/>
          <w:sz w:val="24"/>
          <w:szCs w:val="24"/>
          <w:lang w:val="en-US"/>
        </w:rPr>
        <w:t>Every one of these proteins is essential to the mole</w:t>
      </w:r>
      <w:r w:rsidR="00C2285F">
        <w:rPr>
          <w:rFonts w:ascii="Times New Roman" w:hAnsi="Times New Roman" w:cs="Times New Roman"/>
          <w:sz w:val="24"/>
          <w:szCs w:val="24"/>
          <w:lang w:val="en-US"/>
        </w:rPr>
        <w:t xml:space="preserve">cular pathways connected to </w:t>
      </w:r>
      <w:proofErr w:type="spellStart"/>
      <w:r w:rsidR="00C2285F">
        <w:rPr>
          <w:rFonts w:ascii="Times New Roman" w:hAnsi="Times New Roman" w:cs="Times New Roman"/>
          <w:sz w:val="24"/>
          <w:szCs w:val="24"/>
          <w:lang w:val="en-US"/>
        </w:rPr>
        <w:t>PCa</w:t>
      </w:r>
      <w:proofErr w:type="spellEnd"/>
      <w:r w:rsidRPr="0068603B">
        <w:rPr>
          <w:rFonts w:ascii="Times New Roman" w:hAnsi="Times New Roman" w:cs="Times New Roman"/>
          <w:sz w:val="24"/>
          <w:szCs w:val="24"/>
          <w:lang w:val="en-US"/>
        </w:rPr>
        <w:t>, making them valuable candidates for furt</w:t>
      </w:r>
      <w:r>
        <w:rPr>
          <w:rFonts w:ascii="Times New Roman" w:hAnsi="Times New Roman" w:cs="Times New Roman"/>
          <w:sz w:val="24"/>
          <w:szCs w:val="24"/>
          <w:lang w:val="en-US"/>
        </w:rPr>
        <w:t>her investigation as biomarkers</w:t>
      </w:r>
      <w:r w:rsidR="00F77439" w:rsidRPr="002E7761">
        <w:rPr>
          <w:rFonts w:ascii="Times New Roman" w:hAnsi="Times New Roman" w:cs="Times New Roman"/>
          <w:sz w:val="24"/>
          <w:szCs w:val="24"/>
          <w:lang w:val="en-US"/>
        </w:rPr>
        <w:t>. If successful, the research outcomes may</w:t>
      </w:r>
      <w:r w:rsidR="00DC25D3">
        <w:rPr>
          <w:rFonts w:ascii="Times New Roman" w:hAnsi="Times New Roman" w:cs="Times New Roman"/>
          <w:sz w:val="24"/>
          <w:szCs w:val="24"/>
          <w:lang w:val="en-US"/>
        </w:rPr>
        <w:t xml:space="preserve"> also</w:t>
      </w:r>
      <w:r w:rsidR="00F77439" w:rsidRPr="002E7761">
        <w:rPr>
          <w:rFonts w:ascii="Times New Roman" w:hAnsi="Times New Roman" w:cs="Times New Roman"/>
          <w:sz w:val="24"/>
          <w:szCs w:val="24"/>
          <w:lang w:val="en-US"/>
        </w:rPr>
        <w:t xml:space="preserve"> contribute</w:t>
      </w:r>
      <w:r w:rsidR="00613283">
        <w:rPr>
          <w:rFonts w:ascii="Times New Roman" w:hAnsi="Times New Roman" w:cs="Times New Roman"/>
          <w:sz w:val="24"/>
          <w:szCs w:val="24"/>
          <w:lang w:val="en-US"/>
        </w:rPr>
        <w:t xml:space="preserve"> to</w:t>
      </w:r>
      <w:r w:rsidR="00F77439" w:rsidRPr="002E7761">
        <w:rPr>
          <w:rFonts w:ascii="Times New Roman" w:hAnsi="Times New Roman" w:cs="Times New Roman"/>
          <w:sz w:val="24"/>
          <w:szCs w:val="24"/>
          <w:lang w:val="en-US"/>
        </w:rPr>
        <w:t xml:space="preserve"> </w:t>
      </w:r>
      <w:r w:rsidR="00613283" w:rsidRPr="00613283">
        <w:rPr>
          <w:rFonts w:ascii="Times New Roman" w:hAnsi="Times New Roman" w:cs="Times New Roman"/>
          <w:sz w:val="24"/>
          <w:szCs w:val="24"/>
          <w:lang w:val="en-US"/>
        </w:rPr>
        <w:t xml:space="preserve">enabling the creation of novel treatment approaches customized </w:t>
      </w:r>
      <w:r w:rsidR="00613283">
        <w:rPr>
          <w:rFonts w:ascii="Times New Roman" w:hAnsi="Times New Roman" w:cs="Times New Roman"/>
          <w:sz w:val="24"/>
          <w:szCs w:val="24"/>
          <w:lang w:val="en-US"/>
        </w:rPr>
        <w:t xml:space="preserve">to </w:t>
      </w:r>
      <w:r>
        <w:rPr>
          <w:rFonts w:ascii="Times New Roman" w:hAnsi="Times New Roman" w:cs="Times New Roman"/>
          <w:sz w:val="24"/>
          <w:szCs w:val="24"/>
          <w:lang w:val="en-US"/>
        </w:rPr>
        <w:t xml:space="preserve">the molecular </w:t>
      </w:r>
      <w:r w:rsidR="00613283">
        <w:rPr>
          <w:rFonts w:ascii="Times New Roman" w:hAnsi="Times New Roman" w:cs="Times New Roman"/>
          <w:sz w:val="24"/>
          <w:szCs w:val="24"/>
          <w:lang w:val="en-US"/>
        </w:rPr>
        <w:t xml:space="preserve">profiles of </w:t>
      </w:r>
      <w:proofErr w:type="spellStart"/>
      <w:r w:rsidR="00613283">
        <w:rPr>
          <w:rFonts w:ascii="Times New Roman" w:hAnsi="Times New Roman" w:cs="Times New Roman"/>
          <w:sz w:val="24"/>
          <w:szCs w:val="24"/>
          <w:lang w:val="en-US"/>
        </w:rPr>
        <w:t>PCa</w:t>
      </w:r>
      <w:proofErr w:type="spellEnd"/>
      <w:r w:rsidR="00F77439" w:rsidRPr="002E7761">
        <w:rPr>
          <w:rFonts w:ascii="Times New Roman" w:hAnsi="Times New Roman" w:cs="Times New Roman"/>
          <w:sz w:val="24"/>
          <w:szCs w:val="24"/>
          <w:lang w:val="en-US"/>
        </w:rPr>
        <w:t xml:space="preserve"> patients, ultimately leading to improved treatment</w:t>
      </w:r>
      <w:r w:rsidR="004B07BF">
        <w:rPr>
          <w:rFonts w:ascii="Times New Roman" w:hAnsi="Times New Roman" w:cs="Times New Roman"/>
          <w:sz w:val="24"/>
          <w:szCs w:val="24"/>
          <w:lang w:val="en-US"/>
        </w:rPr>
        <w:t xml:space="preserve"> efficacy and patient outcomes.</w:t>
      </w:r>
    </w:p>
    <w:p w:rsidR="00F77439" w:rsidRPr="00F90936" w:rsidRDefault="00F77439" w:rsidP="006D3376">
      <w:pPr>
        <w:pStyle w:val="ListParagraph"/>
        <w:numPr>
          <w:ilvl w:val="1"/>
          <w:numId w:val="1"/>
        </w:numPr>
        <w:spacing w:line="360" w:lineRule="auto"/>
        <w:jc w:val="both"/>
        <w:rPr>
          <w:rFonts w:ascii="Times New Roman" w:hAnsi="Times New Roman" w:cs="Times New Roman"/>
          <w:b/>
          <w:sz w:val="24"/>
          <w:szCs w:val="24"/>
        </w:rPr>
      </w:pPr>
      <w:r w:rsidRPr="00F90936">
        <w:rPr>
          <w:rFonts w:ascii="Times New Roman" w:hAnsi="Times New Roman" w:cs="Times New Roman"/>
          <w:b/>
          <w:sz w:val="24"/>
          <w:szCs w:val="24"/>
        </w:rPr>
        <w:lastRenderedPageBreak/>
        <w:t>Statement of the Research Problem</w:t>
      </w:r>
    </w:p>
    <w:p w:rsidR="00775C68" w:rsidRPr="00613283" w:rsidRDefault="00775C68" w:rsidP="0068603B">
      <w:pPr>
        <w:spacing w:line="360" w:lineRule="auto"/>
        <w:jc w:val="both"/>
        <w:rPr>
          <w:rFonts w:ascii="Times New Roman" w:eastAsia="Times New Roman" w:hAnsi="Times New Roman" w:cs="Times New Roman"/>
          <w:sz w:val="24"/>
          <w:szCs w:val="24"/>
          <w:lang w:val="en-US"/>
        </w:rPr>
      </w:pPr>
      <w:r w:rsidRPr="00F90936">
        <w:rPr>
          <w:rFonts w:ascii="Times New Roman" w:eastAsia="Times New Roman" w:hAnsi="Times New Roman" w:cs="Times New Roman"/>
          <w:sz w:val="24"/>
          <w:szCs w:val="24"/>
        </w:rPr>
        <w:t xml:space="preserve">Prostate cancer represents a significant global health challenge, exhibiting particularly concerning trends in Sub-Saharan Africa. While developed nations have historically reported higher incidence rates, African countries and black Men are experiencing a concerning rise in both incidence and mortality rates </w:t>
      </w:r>
      <w:r w:rsidRPr="00F90936">
        <w:rPr>
          <w:rFonts w:ascii="Times New Roman" w:eastAsia="Times New Roman" w:hAnsi="Times New Roman" w:cs="Times New Roman"/>
          <w:sz w:val="24"/>
          <w:szCs w:val="24"/>
        </w:rPr>
        <w:fldChar w:fldCharType="begin"/>
      </w:r>
      <w:r w:rsidRPr="00F90936">
        <w:rPr>
          <w:rFonts w:ascii="Times New Roman" w:eastAsia="Times New Roman" w:hAnsi="Times New Roman" w:cs="Times New Roman"/>
          <w:sz w:val="24"/>
          <w:szCs w:val="24"/>
        </w:rPr>
        <w:instrText xml:space="preserve"> ADDIN ZOTERO_ITEM CSL_CITATION {"citationID":"mv3cNRpB","properties":{"formattedCitation":"(Marima et al., 2021; Dronca et al., 2023)","plainCitation":"(Marima et al., 2021; Dronca et al., 2023)","noteIndex":0},"citationItems":[{"id":1203,"uris":["http://zotero.org/users/11300200/items/MSKGTWZB"],"itemData":{"id":1203,"type":"article-journal","abstract":"Prostate cancer (PCa) is one of the leading causes of deaths in men globally. This is a heterogeneous and complex disease that urgently warrants further insight into its pathology. Developed countries have thus far the highest PCa incidence rates, with comparatively low mortality rates. Even though PCa in the Asian population seems to have high incidence and mortality rates, the African countries are emerging as the focal center for this disease. It has also been reported that the Sub-Saharan (SSA) countries have both the highest incidence and mortality rates. To date, few studies have reported the link between PCa and African populations. Adequate evidence is still missing to fully comprehend this relationship. While it has been brought to attention that racial, geographical and socioeconomic status are contributing factors, men of African descent across the globe, irrespective of their geographical position have higher PCa incidence and mortality rates compared to their white counterparts. To date, hormone therapy is the mainstay treatment of PCa, while the dysregulation of androgen receptor (AR) signaling is a hallmark of PCa. One of the emerging problems with this therapeutic approach is resistance to antiandrogens, and that AR splice isoforms implicated in the progression of PCa lack the therapeutic ligand-binding domain (LBD) target. AR splice variants targeted therapy is emerging and in clinical trials. Leveraging PCa transcriptomics is key towards PCa precision medicine. The aim of this review is to outline the PCa epidemiology globally and in Africa, PCa associated risk factors, discuss AR signaling and PCa mechanisms, the role of dysregulated splicing in PCa as novel prognostic indicators and therapeutic targets.","container-title":"American Journal of Cancer Research","ISSN":"2156-6976","issue":"4","journalAbbreviation":"Am J Cancer Res","language":"eng","note":"PMID: 33948343\nPMCID: PMC8085879","page":"1012-1030","source":"PubMed","title":"Prostate cancer racial, socioeconomic, geographic disparities: targeting the genomic landscape and splicing events in search for diagnostic, prognostic and therapeutic targets","title-short":"Prostate cancer racial, socioeconomic, geographic disparities","volume":"11","author":[{"family":"Marima","given":"Rahaba"},{"family":"Hull","given":"Rodney"},{"family":"Mathabe","given":"Kgomotso"},{"family":"Setlai","given":"Botle"},{"family":"Batra","given":"Jyotsna"},{"family":"Sartor","given":"Oliver"},{"family":"Mehrotra","given":"Ravi"},{"family":"Dlamini","given":"Zodwa"}],"issued":{"date-parts":[["2021"]]}},"label":"page"},{"id":1205,"uris":["http://zotero.org/users/11300200/items/GVHYAVBI"],"itemData":{"id":1205,"type":"article-journal","abstract":"Abstract\n            Background: A recent report from the AACR has found that black men (BM) men have prostate cancer (CaP) death rates that are more than 2 times those for men of any other race or ethnicity. Yet, BM are less likely to receive cutting-edge, or even standard of care treatment compared to their white counterparts. Limited access to care, transportation, patient perception and medical mistrust, as well as cost of care are major contributing factors. Meeting patients where they are and offering treatment in or closer to their homes should help reduce psychological distress and increase access to care and treatment compliance. As part of the iCCaRE for Black men Consortium, we propose a PCHC model which leverages Mayo Clinic Advanced Care at Home (ACH) program and provides a package of care to support the administration of cancer therapy and/or supportive care/symptom management to CaP patients in their homes by specialist healthcare professionals. The objectives of our pilot study are to understand patients’ choice of therapy in choosing the place of treatment and to evaluate the feasibility and impact of PCHC on clinical outcomes, as well as patient reported-outcomes (PRO) and health related quality of life (HQOL). Methodology: For Aim 1, structured questionnaires are used to assess patient preference for location of therapy, at the infusion center or in the home, as well as perceived difficulties and advantages; follow up qualitative data will be collected through semi-structured interviews to capture patients’ thoughts, feelings, attitudes, and questions towards cancer treatments being administered at home versus in a hospital setting. Aim 2 is an observational study of BM with advanced CaP who are participating in a pragmatic, practice-based randomized clinical trial to track acceptability by and impact of home administration of cancer directed or supportive therapy. Results: For Aim 1, data is used to identify themes regarding perceived advantages and concerns of PCHC and inform our understanding of the proportion of patients who are willing to receive and would benefit from this level of care at home. For Aim 2, the following outcomes are evaluated: (a) time to first ER visit and to first hospitalization; (b) HRQoL and quality-adjusted survival; (c) patient satisfaction and compliance, including home time, adherence with symptom self-reporting and compliance with treatment, level of comfort interacting with the care team by phone or tablet, ability to reach a team member for questions or concerns; (d) cost, including out of pocket cost for patients. Conclusion: Our project will provide data on patient understanding and acceptability of cancer care at home and strategies for overcoming cancer care delivery disparities and barriers of access to care for underserved communities. The expected outcome of our project is that PCHC intervention will positively impact CaP treatment, patients’ access and experience with healthcare by developing a new concept of closer-to home cancer care delivery that will reach more patients in underserved communities.\n            Citation Format: Roxana Dronca, Rohit Rao, Michael Maniaci, Folakemi Odedina, Ernest Kaninjing, Kimlin Ashing, Solomon Rotimi, Manisha Salinas, Sha’Reff Rashad, Arnold Merriweather, John McCall, Ebenezer Erefah, Ayinde Yahaya. Feasibility of patient-centered home care (PCHC) to reduce disparities in Black men (BM) with advanced prostate cancer (CaP): An iCCaRE Consortium for prostate cancer in Black men project [abstract]. In: Proceedings of the 15th AACR Conference on the Science of Cancer Health Disparities in Racial/Ethnic Minorities and the Medically Underserved; 2022 Sep 16-19; Philadelphia, PA. Philadelphia (PA): AACR; Cancer Epidemiol Biomarkers Prev 2022;31(1 Suppl):Abstract nr B046.","container-title":"Cancer Epidemiology, Biomarkers &amp; Prevention","DOI":"10.1158/1538-7755.DISP22-B046","ISSN":"1538-7755","issue":"1_Supplement","language":"en","page":"B046-B046","source":"DOI.org (Crossref)","title":"Abstract B046: Feasibility of patient-centered home care (PCHC) to reduce disparities in Black men (BM) with advanced prostate cancer (CaP): An iCCaRE Consortium for prostate cancer in Black men project","title-short":"Abstract B046","volume":"32","author":[{"family":"Dronca","given":"Roxana"},{"family":"Rao","given":"Rohit"},{"family":"Maniaci","given":"Michael"},{"family":"Odedina","given":"Folakemi"},{"family":"Kaninjing","given":"Ernest"},{"family":"Ashing","given":"Kimlin"},{"family":"Rotimi","given":"Solomon"},{"family":"Salinas","given":"Manisha"},{"family":"Rashad","given":"Sha’Reff"},{"family":"Merriweather","given":"Arnold"},{"family":"McCall","given":"John"},{"family":"Erefah","given":"Ebenezer"},{"family":"Yahaya","given":"Ayinde"}],"issued":{"date-parts":[["2023",1,1]]}}}],"schema":"https://github.com/citation-style-language/schema/raw/master/csl-citation.json"} </w:instrText>
      </w:r>
      <w:r w:rsidRPr="00F90936">
        <w:rPr>
          <w:rFonts w:ascii="Times New Roman" w:eastAsia="Times New Roman" w:hAnsi="Times New Roman" w:cs="Times New Roman"/>
          <w:sz w:val="24"/>
          <w:szCs w:val="24"/>
        </w:rPr>
        <w:fldChar w:fldCharType="separate"/>
      </w:r>
      <w:r w:rsidR="00167D83" w:rsidRPr="00167D83">
        <w:rPr>
          <w:rFonts w:ascii="Times New Roman" w:hAnsi="Times New Roman" w:cs="Times New Roman"/>
          <w:sz w:val="24"/>
        </w:rPr>
        <w:t>(Marima et al., 2021; Dronca et al., 2023)</w:t>
      </w:r>
      <w:r w:rsidRPr="00F90936">
        <w:rPr>
          <w:rFonts w:ascii="Times New Roman" w:eastAsia="Times New Roman" w:hAnsi="Times New Roman" w:cs="Times New Roman"/>
          <w:sz w:val="24"/>
          <w:szCs w:val="24"/>
        </w:rPr>
        <w:fldChar w:fldCharType="end"/>
      </w:r>
      <w:r w:rsidRPr="00F90936">
        <w:rPr>
          <w:rFonts w:ascii="Times New Roman" w:eastAsia="Times New Roman" w:hAnsi="Times New Roman" w:cs="Times New Roman"/>
          <w:sz w:val="24"/>
          <w:szCs w:val="24"/>
        </w:rPr>
        <w:t xml:space="preserve">. </w:t>
      </w:r>
      <w:r w:rsidR="00613283">
        <w:rPr>
          <w:rFonts w:ascii="Times New Roman" w:eastAsia="Times New Roman" w:hAnsi="Times New Roman" w:cs="Times New Roman"/>
          <w:sz w:val="24"/>
          <w:szCs w:val="24"/>
          <w:lang w:val="en-US"/>
        </w:rPr>
        <w:t>This disparity</w:t>
      </w:r>
      <w:r w:rsidR="00613283" w:rsidRPr="00613283">
        <w:rPr>
          <w:rFonts w:ascii="Times New Roman" w:eastAsia="Times New Roman" w:hAnsi="Times New Roman" w:cs="Times New Roman"/>
          <w:sz w:val="24"/>
          <w:szCs w:val="24"/>
          <w:lang w:val="en-US"/>
        </w:rPr>
        <w:t xml:space="preserve"> emphasiz</w:t>
      </w:r>
      <w:r w:rsidR="00613283">
        <w:rPr>
          <w:rFonts w:ascii="Times New Roman" w:eastAsia="Times New Roman" w:hAnsi="Times New Roman" w:cs="Times New Roman"/>
          <w:sz w:val="24"/>
          <w:szCs w:val="24"/>
          <w:lang w:val="en-US"/>
        </w:rPr>
        <w:t>es how urgently study is needed</w:t>
      </w:r>
      <w:r w:rsidRPr="00F90936">
        <w:rPr>
          <w:rFonts w:ascii="Times New Roman" w:eastAsia="Times New Roman" w:hAnsi="Times New Roman" w:cs="Times New Roman"/>
          <w:sz w:val="24"/>
          <w:szCs w:val="24"/>
        </w:rPr>
        <w:t xml:space="preserve"> focused on understanding the unique aspects of </w:t>
      </w:r>
      <w:proofErr w:type="spellStart"/>
      <w:r w:rsidRPr="00F90936">
        <w:rPr>
          <w:rFonts w:ascii="Times New Roman" w:eastAsia="Times New Roman" w:hAnsi="Times New Roman" w:cs="Times New Roman"/>
          <w:sz w:val="24"/>
          <w:szCs w:val="24"/>
        </w:rPr>
        <w:t>PCa</w:t>
      </w:r>
      <w:proofErr w:type="spellEnd"/>
      <w:r w:rsidRPr="00F90936">
        <w:rPr>
          <w:rFonts w:ascii="Times New Roman" w:eastAsia="Times New Roman" w:hAnsi="Times New Roman" w:cs="Times New Roman"/>
          <w:sz w:val="24"/>
          <w:szCs w:val="24"/>
        </w:rPr>
        <w:t xml:space="preserve"> in African populations, paving the way for tailored diagnostic, prognostic, and therapeutic strategies. </w:t>
      </w:r>
      <w:r w:rsidR="00F90936" w:rsidRPr="00F90936">
        <w:rPr>
          <w:rFonts w:ascii="Times New Roman" w:hAnsi="Times New Roman" w:cs="Times New Roman"/>
          <w:sz w:val="24"/>
          <w:szCs w:val="24"/>
        </w:rPr>
        <w:t xml:space="preserve">While biomarkers like </w:t>
      </w:r>
      <w:r w:rsidR="00613283">
        <w:rPr>
          <w:rFonts w:ascii="Times New Roman" w:hAnsi="Times New Roman" w:cs="Times New Roman"/>
          <w:sz w:val="24"/>
          <w:szCs w:val="24"/>
        </w:rPr>
        <w:t xml:space="preserve">the AR, </w:t>
      </w:r>
      <w:r w:rsidR="00F90936" w:rsidRPr="00F90936">
        <w:rPr>
          <w:rFonts w:ascii="Times New Roman" w:hAnsi="Times New Roman" w:cs="Times New Roman"/>
          <w:sz w:val="24"/>
          <w:szCs w:val="24"/>
        </w:rPr>
        <w:t>SPOP, SRC-3</w:t>
      </w:r>
      <w:r w:rsidR="00613283">
        <w:rPr>
          <w:rFonts w:ascii="Times New Roman" w:hAnsi="Times New Roman" w:cs="Times New Roman"/>
          <w:sz w:val="24"/>
          <w:szCs w:val="24"/>
        </w:rPr>
        <w:t xml:space="preserve"> </w:t>
      </w:r>
      <w:r w:rsidR="00F90936" w:rsidRPr="00F90936">
        <w:rPr>
          <w:rFonts w:ascii="Times New Roman" w:hAnsi="Times New Roman" w:cs="Times New Roman"/>
          <w:sz w:val="24"/>
          <w:szCs w:val="24"/>
        </w:rPr>
        <w:t>have been implicated in</w:t>
      </w:r>
      <w:r w:rsidR="00613283">
        <w:rPr>
          <w:rFonts w:ascii="Times New Roman" w:hAnsi="Times New Roman" w:cs="Times New Roman"/>
          <w:sz w:val="24"/>
          <w:szCs w:val="24"/>
        </w:rPr>
        <w:t xml:space="preserve"> </w:t>
      </w:r>
      <w:proofErr w:type="spellStart"/>
      <w:r w:rsidR="00613283">
        <w:rPr>
          <w:rFonts w:ascii="Times New Roman" w:hAnsi="Times New Roman" w:cs="Times New Roman"/>
          <w:sz w:val="24"/>
          <w:szCs w:val="24"/>
        </w:rPr>
        <w:t>PCa</w:t>
      </w:r>
      <w:proofErr w:type="spellEnd"/>
      <w:r w:rsidR="00F90936" w:rsidRPr="00F90936">
        <w:rPr>
          <w:rFonts w:ascii="Times New Roman" w:hAnsi="Times New Roman" w:cs="Times New Roman"/>
          <w:sz w:val="24"/>
          <w:szCs w:val="24"/>
        </w:rPr>
        <w:t xml:space="preserve">, their specific roles in African patients remain poorly understood </w:t>
      </w:r>
      <w:r w:rsidR="00F90936" w:rsidRPr="00F90936">
        <w:rPr>
          <w:rFonts w:ascii="Times New Roman" w:hAnsi="Times New Roman" w:cs="Times New Roman"/>
          <w:sz w:val="24"/>
          <w:szCs w:val="24"/>
        </w:rPr>
        <w:fldChar w:fldCharType="begin"/>
      </w:r>
      <w:r w:rsidR="00144310">
        <w:rPr>
          <w:rFonts w:ascii="Times New Roman" w:hAnsi="Times New Roman" w:cs="Times New Roman"/>
          <w:sz w:val="24"/>
          <w:szCs w:val="24"/>
        </w:rPr>
        <w:instrText xml:space="preserve"> ADDIN ZOTERO_ITEM CSL_CITATION {"citationID":"L5kDcV3u","properties":{"formattedCitation":"(Blattner et al., 2017)","plainCitation":"(Blattner et al., 2017)","noteIndex":0},"citationItems":[{"id":378,"uris":["http://zotero.org/users/11300200/items/8KYK2LUY"],"itemData":{"id":378,"type":"article-journal","container-title":"Cancer Cell","DOI":"10.1016/j.ccell.2017.02.004","ISSN":"15356108","issue":"3","journalAbbreviation":"Cancer Cell","language":"en","page":"436-451","source":"DOI.org (Crossref)","title":"SPOP Mutation Drives Prostate Tumorigenesis In Vivo through Coordinate Regulation of PI3K/mTOR and AR Signaling","volume":"31","author":[{"family":"Blattner","given":"Mirjam"},{"family":"Liu","given":"Deli"},{"family":"Robinson","given":"Brian D."},{"family":"Huang","given":"Dennis"},{"family":"Poliakov","given":"Anton"},{"family":"Gao","given":"Dong"},{"family":"Nataraj","given":"Srilakshmi"},{"family":"Deonarine","given":"Lesa D."},{"family":"Augello","given":"Michael A."},{"family":"Sailer","given":"Verena"},{"family":"Ponnala","given":"Lalit"},{"family":"Ittmann","given":"Michael"},{"family":"Chinnaiyan","given":"Arul M."},{"family":"Sboner","given":"Andrea"},{"family":"Chen","given":"Yu"},{"family":"Rubin","given":"Mark A."},{"family":"Barbieri","given":"Christopher E."}],"issued":{"date-parts":[["2017",3]]}}}],"schema":"https://github.com/citation-style-language/schema/raw/master/csl-citation.json"} </w:instrText>
      </w:r>
      <w:r w:rsidR="00F90936" w:rsidRPr="00F90936">
        <w:rPr>
          <w:rFonts w:ascii="Times New Roman" w:hAnsi="Times New Roman" w:cs="Times New Roman"/>
          <w:sz w:val="24"/>
          <w:szCs w:val="24"/>
        </w:rPr>
        <w:fldChar w:fldCharType="separate"/>
      </w:r>
      <w:r w:rsidR="00167D83" w:rsidRPr="00167D83">
        <w:rPr>
          <w:rFonts w:ascii="Times New Roman" w:hAnsi="Times New Roman" w:cs="Times New Roman"/>
          <w:sz w:val="24"/>
        </w:rPr>
        <w:t>(Blattner et al., 2017)</w:t>
      </w:r>
      <w:r w:rsidR="00F90936" w:rsidRPr="00F90936">
        <w:rPr>
          <w:rFonts w:ascii="Times New Roman" w:hAnsi="Times New Roman" w:cs="Times New Roman"/>
          <w:sz w:val="24"/>
          <w:szCs w:val="24"/>
        </w:rPr>
        <w:fldChar w:fldCharType="end"/>
      </w:r>
      <w:r w:rsidR="00F90936" w:rsidRPr="00F90936">
        <w:rPr>
          <w:rFonts w:ascii="Times New Roman" w:hAnsi="Times New Roman" w:cs="Times New Roman"/>
          <w:sz w:val="24"/>
          <w:szCs w:val="24"/>
        </w:rPr>
        <w:t xml:space="preserve">. </w:t>
      </w:r>
      <w:r w:rsidRPr="00F90936">
        <w:rPr>
          <w:rFonts w:ascii="Times New Roman" w:eastAsia="Times New Roman" w:hAnsi="Times New Roman" w:cs="Times New Roman"/>
          <w:sz w:val="24"/>
          <w:szCs w:val="24"/>
        </w:rPr>
        <w:t xml:space="preserve">The heterogeneity of </w:t>
      </w:r>
      <w:proofErr w:type="spellStart"/>
      <w:r w:rsidRPr="00F90936">
        <w:rPr>
          <w:rFonts w:ascii="Times New Roman" w:eastAsia="Times New Roman" w:hAnsi="Times New Roman" w:cs="Times New Roman"/>
          <w:sz w:val="24"/>
          <w:szCs w:val="24"/>
        </w:rPr>
        <w:t>PCa</w:t>
      </w:r>
      <w:proofErr w:type="spellEnd"/>
      <w:r w:rsidRPr="00F90936">
        <w:rPr>
          <w:rFonts w:ascii="Times New Roman" w:eastAsia="Times New Roman" w:hAnsi="Times New Roman" w:cs="Times New Roman"/>
          <w:sz w:val="24"/>
          <w:szCs w:val="24"/>
        </w:rPr>
        <w:t xml:space="preserve"> necessitates investigation into the molecular underpinnings driving its development and progression</w:t>
      </w:r>
      <w:r w:rsidR="00DC25D3">
        <w:rPr>
          <w:rFonts w:ascii="Times New Roman" w:eastAsia="Times New Roman" w:hAnsi="Times New Roman" w:cs="Times New Roman"/>
          <w:sz w:val="24"/>
          <w:szCs w:val="24"/>
        </w:rPr>
        <w:t xml:space="preserve"> in Nigeria</w:t>
      </w:r>
      <w:r w:rsidRPr="00F90936">
        <w:rPr>
          <w:rFonts w:ascii="Times New Roman" w:eastAsia="Times New Roman" w:hAnsi="Times New Roman" w:cs="Times New Roman"/>
          <w:sz w:val="24"/>
          <w:szCs w:val="24"/>
        </w:rPr>
        <w:t>. SPOP, SRC-3, a</w:t>
      </w:r>
      <w:r w:rsidR="00535927">
        <w:rPr>
          <w:rFonts w:ascii="Times New Roman" w:eastAsia="Times New Roman" w:hAnsi="Times New Roman" w:cs="Times New Roman"/>
          <w:sz w:val="24"/>
          <w:szCs w:val="24"/>
        </w:rPr>
        <w:t>nd the androgen receptor are significant</w:t>
      </w:r>
      <w:r w:rsidRPr="00F90936">
        <w:rPr>
          <w:rFonts w:ascii="Times New Roman" w:eastAsia="Times New Roman" w:hAnsi="Times New Roman" w:cs="Times New Roman"/>
          <w:sz w:val="24"/>
          <w:szCs w:val="24"/>
        </w:rPr>
        <w:t xml:space="preserve"> </w:t>
      </w:r>
      <w:proofErr w:type="spellStart"/>
      <w:r w:rsidRPr="00F90936">
        <w:rPr>
          <w:rFonts w:ascii="Times New Roman" w:eastAsia="Times New Roman" w:hAnsi="Times New Roman" w:cs="Times New Roman"/>
          <w:sz w:val="24"/>
          <w:szCs w:val="24"/>
        </w:rPr>
        <w:t>PCa</w:t>
      </w:r>
      <w:proofErr w:type="spellEnd"/>
      <w:r w:rsidRPr="00F90936">
        <w:rPr>
          <w:rFonts w:ascii="Times New Roman" w:eastAsia="Times New Roman" w:hAnsi="Times New Roman" w:cs="Times New Roman"/>
          <w:sz w:val="24"/>
          <w:szCs w:val="24"/>
        </w:rPr>
        <w:t xml:space="preserve"> pathogenesis players, making them relevant investigative targets.</w:t>
      </w:r>
      <w:r w:rsidR="00F90936" w:rsidRPr="00F90936">
        <w:rPr>
          <w:rFonts w:ascii="Times New Roman" w:eastAsia="Times New Roman" w:hAnsi="Times New Roman" w:cs="Times New Roman"/>
          <w:sz w:val="24"/>
          <w:szCs w:val="24"/>
        </w:rPr>
        <w:t xml:space="preserve"> </w:t>
      </w:r>
    </w:p>
    <w:p w:rsidR="00F77439" w:rsidRPr="002E7761" w:rsidRDefault="00F77439" w:rsidP="006D3376">
      <w:pPr>
        <w:pStyle w:val="ListParagraph"/>
        <w:numPr>
          <w:ilvl w:val="1"/>
          <w:numId w:val="1"/>
        </w:numPr>
        <w:spacing w:line="360" w:lineRule="auto"/>
        <w:jc w:val="both"/>
        <w:rPr>
          <w:rFonts w:ascii="Times New Roman" w:hAnsi="Times New Roman" w:cs="Times New Roman"/>
          <w:b/>
          <w:sz w:val="24"/>
          <w:szCs w:val="24"/>
        </w:rPr>
      </w:pPr>
      <w:r w:rsidRPr="002E7761">
        <w:rPr>
          <w:rFonts w:ascii="Times New Roman" w:hAnsi="Times New Roman" w:cs="Times New Roman"/>
          <w:b/>
          <w:sz w:val="24"/>
          <w:szCs w:val="24"/>
        </w:rPr>
        <w:t>Research Questions</w:t>
      </w:r>
    </w:p>
    <w:p w:rsidR="00F77439" w:rsidRPr="002E7761" w:rsidRDefault="00F77439" w:rsidP="006D3376">
      <w:pPr>
        <w:pStyle w:val="ListParagraph"/>
        <w:numPr>
          <w:ilvl w:val="0"/>
          <w:numId w:val="2"/>
        </w:numPr>
        <w:spacing w:line="360" w:lineRule="auto"/>
        <w:jc w:val="both"/>
        <w:rPr>
          <w:rFonts w:ascii="Times New Roman" w:hAnsi="Times New Roman" w:cs="Times New Roman"/>
          <w:sz w:val="24"/>
          <w:szCs w:val="24"/>
        </w:rPr>
      </w:pPr>
      <w:r w:rsidRPr="002E7761">
        <w:rPr>
          <w:rFonts w:ascii="Times New Roman" w:hAnsi="Times New Roman" w:cs="Times New Roman"/>
          <w:sz w:val="24"/>
          <w:szCs w:val="24"/>
        </w:rPr>
        <w:t>What are the specific SPOP mutations present in prostate cancer patients from Southwest Nigeria, and how do they differ from known mutations in other populations?</w:t>
      </w:r>
    </w:p>
    <w:p w:rsidR="00F77439" w:rsidRDefault="0068603B" w:rsidP="0068603B">
      <w:pPr>
        <w:pStyle w:val="ListParagraph"/>
        <w:numPr>
          <w:ilvl w:val="0"/>
          <w:numId w:val="2"/>
        </w:numPr>
        <w:spacing w:line="360" w:lineRule="auto"/>
        <w:jc w:val="both"/>
        <w:rPr>
          <w:rFonts w:ascii="Times New Roman" w:hAnsi="Times New Roman" w:cs="Times New Roman"/>
          <w:sz w:val="24"/>
          <w:szCs w:val="24"/>
        </w:rPr>
      </w:pPr>
      <w:r w:rsidRPr="0068603B">
        <w:rPr>
          <w:rFonts w:ascii="Times New Roman" w:hAnsi="Times New Roman" w:cs="Times New Roman"/>
          <w:sz w:val="24"/>
          <w:szCs w:val="24"/>
        </w:rPr>
        <w:t xml:space="preserve">What are the </w:t>
      </w:r>
      <w:r>
        <w:rPr>
          <w:rFonts w:ascii="Times New Roman" w:hAnsi="Times New Roman" w:cs="Times New Roman"/>
          <w:sz w:val="24"/>
          <w:szCs w:val="24"/>
        </w:rPr>
        <w:t>SPOP, AR, and SRC-3 protein levels</w:t>
      </w:r>
      <w:r w:rsidR="00613283">
        <w:rPr>
          <w:rFonts w:ascii="Times New Roman" w:hAnsi="Times New Roman" w:cs="Times New Roman"/>
          <w:sz w:val="24"/>
          <w:szCs w:val="24"/>
        </w:rPr>
        <w:t xml:space="preserve"> in </w:t>
      </w:r>
      <w:proofErr w:type="spellStart"/>
      <w:r w:rsidR="00613283">
        <w:rPr>
          <w:rFonts w:ascii="Times New Roman" w:hAnsi="Times New Roman" w:cs="Times New Roman"/>
          <w:sz w:val="24"/>
          <w:szCs w:val="24"/>
        </w:rPr>
        <w:t>PCa</w:t>
      </w:r>
      <w:proofErr w:type="spellEnd"/>
      <w:r w:rsidRPr="0068603B">
        <w:rPr>
          <w:rFonts w:ascii="Times New Roman" w:hAnsi="Times New Roman" w:cs="Times New Roman"/>
          <w:sz w:val="24"/>
          <w:szCs w:val="24"/>
        </w:rPr>
        <w:t xml:space="preserve"> patients compared to healthy </w:t>
      </w:r>
      <w:r w:rsidR="00613283">
        <w:rPr>
          <w:rFonts w:ascii="Times New Roman" w:hAnsi="Times New Roman" w:cs="Times New Roman"/>
          <w:sz w:val="24"/>
          <w:szCs w:val="24"/>
        </w:rPr>
        <w:t>people</w:t>
      </w:r>
      <w:r>
        <w:rPr>
          <w:rFonts w:ascii="Times New Roman" w:hAnsi="Times New Roman" w:cs="Times New Roman"/>
          <w:sz w:val="24"/>
          <w:szCs w:val="24"/>
        </w:rPr>
        <w:t xml:space="preserve"> from Southwest Nigeria</w:t>
      </w:r>
      <w:r w:rsidR="00F77439" w:rsidRPr="002E7761">
        <w:rPr>
          <w:rFonts w:ascii="Times New Roman" w:hAnsi="Times New Roman" w:cs="Times New Roman"/>
          <w:sz w:val="24"/>
          <w:szCs w:val="24"/>
        </w:rPr>
        <w:t>?</w:t>
      </w:r>
    </w:p>
    <w:p w:rsidR="0068603B" w:rsidRDefault="0068603B" w:rsidP="0068603B">
      <w:pPr>
        <w:pStyle w:val="ListParagraph"/>
        <w:numPr>
          <w:ilvl w:val="0"/>
          <w:numId w:val="2"/>
        </w:numPr>
        <w:spacing w:line="360" w:lineRule="auto"/>
        <w:jc w:val="both"/>
        <w:rPr>
          <w:rFonts w:ascii="Times New Roman" w:hAnsi="Times New Roman" w:cs="Times New Roman"/>
          <w:sz w:val="24"/>
          <w:szCs w:val="24"/>
        </w:rPr>
      </w:pPr>
      <w:r w:rsidRPr="0068603B">
        <w:rPr>
          <w:rFonts w:ascii="Times New Roman" w:hAnsi="Times New Roman" w:cs="Times New Roman"/>
          <w:sz w:val="24"/>
          <w:szCs w:val="24"/>
        </w:rPr>
        <w:t xml:space="preserve">Is there a statistically significant correlation between the </w:t>
      </w:r>
      <w:r w:rsidR="00613283">
        <w:rPr>
          <w:rFonts w:ascii="Times New Roman" w:hAnsi="Times New Roman" w:cs="Times New Roman"/>
          <w:sz w:val="24"/>
          <w:szCs w:val="24"/>
        </w:rPr>
        <w:t xml:space="preserve">AR, SPOP, SRC-3 </w:t>
      </w:r>
      <w:r>
        <w:rPr>
          <w:rFonts w:ascii="Times New Roman" w:hAnsi="Times New Roman" w:cs="Times New Roman"/>
          <w:sz w:val="24"/>
          <w:szCs w:val="24"/>
        </w:rPr>
        <w:t>protein levels</w:t>
      </w:r>
      <w:r w:rsidRPr="0068603B">
        <w:rPr>
          <w:rFonts w:ascii="Times New Roman" w:hAnsi="Times New Roman" w:cs="Times New Roman"/>
          <w:sz w:val="24"/>
          <w:szCs w:val="24"/>
        </w:rPr>
        <w:t xml:space="preserve"> in</w:t>
      </w:r>
      <w:r>
        <w:rPr>
          <w:rFonts w:ascii="Times New Roman" w:hAnsi="Times New Roman" w:cs="Times New Roman"/>
          <w:sz w:val="24"/>
          <w:szCs w:val="24"/>
        </w:rPr>
        <w:t xml:space="preserve"> the study cohorts?</w:t>
      </w:r>
    </w:p>
    <w:p w:rsidR="0068603B" w:rsidRPr="0068603B" w:rsidRDefault="0068603B" w:rsidP="0068603B">
      <w:pPr>
        <w:pStyle w:val="ListParagraph"/>
        <w:numPr>
          <w:ilvl w:val="0"/>
          <w:numId w:val="2"/>
        </w:numPr>
        <w:spacing w:line="360" w:lineRule="auto"/>
        <w:jc w:val="both"/>
        <w:rPr>
          <w:rFonts w:ascii="Times New Roman" w:hAnsi="Times New Roman" w:cs="Times New Roman"/>
          <w:sz w:val="24"/>
          <w:szCs w:val="24"/>
        </w:rPr>
      </w:pPr>
      <w:r w:rsidRPr="0068603B">
        <w:rPr>
          <w:rFonts w:ascii="Times New Roman" w:hAnsi="Times New Roman" w:cs="Times New Roman"/>
          <w:sz w:val="24"/>
          <w:szCs w:val="24"/>
        </w:rPr>
        <w:t>What are the binding affinities of selected compounds against mutant SPOP and AR-V7, and how do these compare to standard therapeutic agents?</w:t>
      </w:r>
    </w:p>
    <w:p w:rsidR="0068603B" w:rsidRPr="002E7761" w:rsidRDefault="0068603B" w:rsidP="0068603B">
      <w:pPr>
        <w:pStyle w:val="ListParagraph"/>
        <w:numPr>
          <w:ilvl w:val="0"/>
          <w:numId w:val="2"/>
        </w:numPr>
        <w:spacing w:line="360" w:lineRule="auto"/>
        <w:jc w:val="both"/>
        <w:rPr>
          <w:rFonts w:ascii="Times New Roman" w:hAnsi="Times New Roman" w:cs="Times New Roman"/>
          <w:sz w:val="24"/>
          <w:szCs w:val="24"/>
        </w:rPr>
      </w:pPr>
      <w:r w:rsidRPr="0068603B">
        <w:rPr>
          <w:rFonts w:ascii="Times New Roman" w:hAnsi="Times New Roman" w:cs="Times New Roman"/>
          <w:sz w:val="24"/>
          <w:szCs w:val="24"/>
        </w:rPr>
        <w:t>What are the interaction profiles of selected compounds with mutant SPOP and AR-V7, and how do these interactions contribute to their potential therapeutic efficacy?</w:t>
      </w:r>
    </w:p>
    <w:p w:rsidR="00F77439" w:rsidRPr="002E7761" w:rsidRDefault="00F77439" w:rsidP="00613283">
      <w:pPr>
        <w:pStyle w:val="ListParagraph"/>
        <w:numPr>
          <w:ilvl w:val="1"/>
          <w:numId w:val="1"/>
        </w:numPr>
        <w:spacing w:before="240" w:line="360" w:lineRule="auto"/>
        <w:jc w:val="both"/>
        <w:rPr>
          <w:rFonts w:ascii="Times New Roman" w:hAnsi="Times New Roman" w:cs="Times New Roman"/>
          <w:b/>
          <w:sz w:val="24"/>
          <w:szCs w:val="24"/>
        </w:rPr>
      </w:pPr>
      <w:r w:rsidRPr="002E7761">
        <w:rPr>
          <w:rFonts w:ascii="Times New Roman" w:hAnsi="Times New Roman" w:cs="Times New Roman"/>
          <w:b/>
          <w:sz w:val="24"/>
          <w:szCs w:val="24"/>
        </w:rPr>
        <w:t>Aim and Objectives</w:t>
      </w:r>
    </w:p>
    <w:p w:rsidR="00F77439" w:rsidRPr="00613283" w:rsidRDefault="00613283" w:rsidP="00613283">
      <w:pPr>
        <w:spacing w:before="100" w:beforeAutospacing="1" w:after="100" w:afterAutospacing="1" w:line="360" w:lineRule="auto"/>
        <w:jc w:val="both"/>
        <w:rPr>
          <w:rFonts w:ascii="Times New Roman" w:hAnsi="Times New Roman" w:cs="Times New Roman"/>
          <w:sz w:val="24"/>
          <w:szCs w:val="24"/>
          <w:lang w:val="en-US"/>
        </w:rPr>
      </w:pPr>
      <w:r w:rsidRPr="00613283">
        <w:rPr>
          <w:rFonts w:ascii="Times New Roman" w:hAnsi="Times New Roman" w:cs="Times New Roman"/>
          <w:sz w:val="24"/>
          <w:szCs w:val="24"/>
          <w:lang w:val="en-US"/>
        </w:rPr>
        <w:t xml:space="preserve">This work aims to investigate variations in </w:t>
      </w:r>
      <w:r>
        <w:rPr>
          <w:rFonts w:ascii="Times New Roman" w:hAnsi="Times New Roman" w:cs="Times New Roman"/>
          <w:sz w:val="24"/>
          <w:szCs w:val="24"/>
          <w:lang w:val="en-US"/>
        </w:rPr>
        <w:t xml:space="preserve">SPOP gene </w:t>
      </w:r>
      <w:r w:rsidR="00F90936">
        <w:rPr>
          <w:rFonts w:ascii="Times New Roman" w:eastAsia="Times New Roman" w:hAnsi="Times New Roman" w:cs="Times New Roman"/>
          <w:sz w:val="24"/>
          <w:szCs w:val="24"/>
          <w:lang w:val="en-US"/>
        </w:rPr>
        <w:t>and</w:t>
      </w:r>
      <w:r w:rsidR="00F90936" w:rsidRPr="007F656F">
        <w:rPr>
          <w:rFonts w:ascii="Times New Roman" w:eastAsia="Times New Roman" w:hAnsi="Times New Roman" w:cs="Times New Roman"/>
          <w:sz w:val="24"/>
          <w:szCs w:val="24"/>
          <w:lang w:val="en-US"/>
        </w:rPr>
        <w:t xml:space="preserve"> assess the leve</w:t>
      </w:r>
      <w:r w:rsidR="00F90936">
        <w:rPr>
          <w:rFonts w:ascii="Times New Roman" w:eastAsia="Times New Roman" w:hAnsi="Times New Roman" w:cs="Times New Roman"/>
          <w:sz w:val="24"/>
          <w:szCs w:val="24"/>
          <w:lang w:val="en-US"/>
        </w:rPr>
        <w:t>ls of SPOP</w:t>
      </w:r>
      <w:r>
        <w:rPr>
          <w:rFonts w:ascii="Times New Roman" w:eastAsia="Times New Roman" w:hAnsi="Times New Roman" w:cs="Times New Roman"/>
          <w:sz w:val="24"/>
          <w:szCs w:val="24"/>
          <w:lang w:val="en-US"/>
        </w:rPr>
        <w:t xml:space="preserve"> AR, and </w:t>
      </w:r>
      <w:r w:rsidR="00F90936" w:rsidRPr="007F656F">
        <w:rPr>
          <w:rFonts w:ascii="Times New Roman" w:eastAsia="Times New Roman" w:hAnsi="Times New Roman" w:cs="Times New Roman"/>
          <w:sz w:val="24"/>
          <w:szCs w:val="24"/>
          <w:lang w:val="en-US"/>
        </w:rPr>
        <w:t>SRC</w:t>
      </w:r>
      <w:r w:rsidR="00F90936">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lang w:val="en-US"/>
        </w:rPr>
        <w:t>3</w:t>
      </w:r>
      <w:r w:rsidR="00F90936" w:rsidRPr="007F656F">
        <w:rPr>
          <w:rFonts w:ascii="Times New Roman" w:eastAsia="Times New Roman" w:hAnsi="Times New Roman" w:cs="Times New Roman"/>
          <w:sz w:val="24"/>
          <w:szCs w:val="24"/>
          <w:lang w:val="en-US"/>
        </w:rPr>
        <w:t xml:space="preserve"> </w:t>
      </w:r>
      <w:r w:rsidR="00DC25D3">
        <w:rPr>
          <w:rFonts w:ascii="Times New Roman" w:eastAsia="Times New Roman" w:hAnsi="Times New Roman" w:cs="Times New Roman"/>
          <w:sz w:val="24"/>
          <w:szCs w:val="24"/>
          <w:lang w:val="en-US"/>
        </w:rPr>
        <w:t xml:space="preserve">proteins </w:t>
      </w:r>
      <w:r>
        <w:rPr>
          <w:rFonts w:ascii="Times New Roman" w:eastAsia="Times New Roman" w:hAnsi="Times New Roman" w:cs="Times New Roman"/>
          <w:sz w:val="24"/>
          <w:szCs w:val="24"/>
          <w:lang w:val="en-US"/>
        </w:rPr>
        <w:t xml:space="preserve">in Nigerian </w:t>
      </w:r>
      <w:proofErr w:type="spellStart"/>
      <w:r>
        <w:rPr>
          <w:rFonts w:ascii="Times New Roman" w:eastAsia="Times New Roman" w:hAnsi="Times New Roman" w:cs="Times New Roman"/>
          <w:sz w:val="24"/>
          <w:szCs w:val="24"/>
          <w:lang w:val="en-US"/>
        </w:rPr>
        <w:t>PCa</w:t>
      </w:r>
      <w:proofErr w:type="spellEnd"/>
      <w:r w:rsidR="00F90936">
        <w:rPr>
          <w:rFonts w:ascii="Times New Roman" w:eastAsia="Times New Roman" w:hAnsi="Times New Roman" w:cs="Times New Roman"/>
          <w:sz w:val="24"/>
          <w:szCs w:val="24"/>
          <w:lang w:val="en-US"/>
        </w:rPr>
        <w:t xml:space="preserve"> patients and explore the </w:t>
      </w:r>
      <w:r w:rsidR="00F90936" w:rsidRPr="00F90936">
        <w:rPr>
          <w:rFonts w:ascii="Times New Roman" w:eastAsia="Times New Roman" w:hAnsi="Times New Roman" w:cs="Times New Roman"/>
          <w:i/>
          <w:sz w:val="24"/>
          <w:szCs w:val="24"/>
          <w:lang w:val="en-US"/>
        </w:rPr>
        <w:t>In-Silico</w:t>
      </w:r>
      <w:r w:rsidR="00F90936">
        <w:rPr>
          <w:rFonts w:ascii="Times New Roman" w:eastAsia="Times New Roman" w:hAnsi="Times New Roman" w:cs="Times New Roman"/>
          <w:sz w:val="24"/>
          <w:szCs w:val="24"/>
          <w:lang w:val="en-US"/>
        </w:rPr>
        <w:t xml:space="preserve"> therapeutic targeting opportunities</w:t>
      </w:r>
      <w:r w:rsidR="00DC25D3">
        <w:rPr>
          <w:rFonts w:ascii="Times New Roman" w:eastAsia="Times New Roman" w:hAnsi="Times New Roman" w:cs="Times New Roman"/>
          <w:sz w:val="24"/>
          <w:szCs w:val="24"/>
          <w:lang w:val="en-US"/>
        </w:rPr>
        <w:t xml:space="preserve"> of the androgen receptor signa</w:t>
      </w:r>
      <w:r w:rsidR="00F90936">
        <w:rPr>
          <w:rFonts w:ascii="Times New Roman" w:eastAsia="Times New Roman" w:hAnsi="Times New Roman" w:cs="Times New Roman"/>
          <w:sz w:val="24"/>
          <w:szCs w:val="24"/>
          <w:lang w:val="en-US"/>
        </w:rPr>
        <w:t>ling</w:t>
      </w:r>
      <w:r w:rsidR="00F90936" w:rsidRPr="007F656F">
        <w:rPr>
          <w:rFonts w:ascii="Times New Roman" w:eastAsia="Times New Roman" w:hAnsi="Times New Roman" w:cs="Times New Roman"/>
          <w:sz w:val="24"/>
          <w:szCs w:val="24"/>
          <w:lang w:val="en-US"/>
        </w:rPr>
        <w:t xml:space="preserve"> pathway</w:t>
      </w:r>
      <w:r w:rsidR="00F90936">
        <w:rPr>
          <w:rFonts w:ascii="Times New Roman" w:eastAsia="Times New Roman" w:hAnsi="Times New Roman" w:cs="Times New Roman"/>
          <w:sz w:val="24"/>
          <w:szCs w:val="24"/>
          <w:lang w:val="en-US"/>
        </w:rPr>
        <w:t xml:space="preserve">. </w:t>
      </w:r>
      <w:r w:rsidR="00F77439" w:rsidRPr="002E7761">
        <w:rPr>
          <w:rFonts w:ascii="Times New Roman" w:hAnsi="Times New Roman" w:cs="Times New Roman"/>
          <w:sz w:val="24"/>
          <w:szCs w:val="24"/>
        </w:rPr>
        <w:t>This has the potential to make significant contributi</w:t>
      </w:r>
      <w:r w:rsidR="00A7035C">
        <w:rPr>
          <w:rFonts w:ascii="Times New Roman" w:hAnsi="Times New Roman" w:cs="Times New Roman"/>
          <w:sz w:val="24"/>
          <w:szCs w:val="24"/>
        </w:rPr>
        <w:t xml:space="preserve">ons to our understanding of their </w:t>
      </w:r>
      <w:r w:rsidR="00DC25D3">
        <w:rPr>
          <w:rFonts w:ascii="Times New Roman" w:hAnsi="Times New Roman" w:cs="Times New Roman"/>
          <w:sz w:val="24"/>
          <w:szCs w:val="24"/>
        </w:rPr>
        <w:t>role</w:t>
      </w:r>
      <w:r w:rsidR="00A7035C">
        <w:rPr>
          <w:rFonts w:ascii="Times New Roman" w:hAnsi="Times New Roman" w:cs="Times New Roman"/>
          <w:sz w:val="24"/>
          <w:szCs w:val="24"/>
        </w:rPr>
        <w:t>s</w:t>
      </w:r>
      <w:r w:rsidR="00DC25D3">
        <w:rPr>
          <w:rFonts w:ascii="Times New Roman" w:hAnsi="Times New Roman" w:cs="Times New Roman"/>
          <w:sz w:val="24"/>
          <w:szCs w:val="24"/>
        </w:rPr>
        <w:t xml:space="preserve"> in our</w:t>
      </w:r>
      <w:r w:rsidR="00F90936">
        <w:rPr>
          <w:rFonts w:ascii="Times New Roman" w:hAnsi="Times New Roman" w:cs="Times New Roman"/>
          <w:sz w:val="24"/>
          <w:szCs w:val="24"/>
        </w:rPr>
        <w:t xml:space="preserve"> population</w:t>
      </w:r>
      <w:r w:rsidR="00F77439" w:rsidRPr="002E7761">
        <w:rPr>
          <w:rFonts w:ascii="Times New Roman" w:hAnsi="Times New Roman" w:cs="Times New Roman"/>
          <w:sz w:val="24"/>
          <w:szCs w:val="24"/>
        </w:rPr>
        <w:t>. The specific objectives are to:</w:t>
      </w:r>
    </w:p>
    <w:p w:rsidR="00933FD3" w:rsidRDefault="00933FD3" w:rsidP="00933FD3">
      <w:pPr>
        <w:pStyle w:val="ListParagraph"/>
        <w:numPr>
          <w:ilvl w:val="0"/>
          <w:numId w:val="3"/>
        </w:numPr>
        <w:spacing w:line="360" w:lineRule="auto"/>
        <w:jc w:val="both"/>
        <w:rPr>
          <w:rFonts w:ascii="Times New Roman" w:hAnsi="Times New Roman" w:cs="Times New Roman"/>
          <w:sz w:val="24"/>
          <w:szCs w:val="24"/>
        </w:rPr>
      </w:pPr>
      <w:bookmarkStart w:id="2" w:name="_Hlk139370331"/>
      <w:r>
        <w:rPr>
          <w:rFonts w:ascii="Times New Roman" w:hAnsi="Times New Roman" w:cs="Times New Roman"/>
          <w:sz w:val="24"/>
          <w:szCs w:val="24"/>
        </w:rPr>
        <w:t>I</w:t>
      </w:r>
      <w:r w:rsidRPr="00933FD3">
        <w:rPr>
          <w:rFonts w:ascii="Times New Roman" w:hAnsi="Times New Roman" w:cs="Times New Roman"/>
          <w:sz w:val="24"/>
          <w:szCs w:val="24"/>
        </w:rPr>
        <w:t>dentify and characterize SPOP mutations in prostate cancer patient</w:t>
      </w:r>
      <w:r>
        <w:rPr>
          <w:rFonts w:ascii="Times New Roman" w:hAnsi="Times New Roman" w:cs="Times New Roman"/>
          <w:sz w:val="24"/>
          <w:szCs w:val="24"/>
        </w:rPr>
        <w:t>s from Nigeria using Sanger sequencing.</w:t>
      </w:r>
    </w:p>
    <w:p w:rsidR="00A7035C" w:rsidRPr="00A7035C" w:rsidRDefault="00A7035C" w:rsidP="00A7035C">
      <w:pPr>
        <w:pStyle w:val="ListParagraph"/>
        <w:numPr>
          <w:ilvl w:val="0"/>
          <w:numId w:val="3"/>
        </w:numPr>
        <w:spacing w:line="360" w:lineRule="auto"/>
        <w:jc w:val="both"/>
        <w:rPr>
          <w:rFonts w:ascii="Times New Roman" w:hAnsi="Times New Roman" w:cs="Times New Roman"/>
          <w:sz w:val="24"/>
          <w:szCs w:val="24"/>
        </w:rPr>
      </w:pPr>
      <w:r w:rsidRPr="00A7035C">
        <w:rPr>
          <w:rFonts w:ascii="Times New Roman" w:hAnsi="Times New Roman" w:cs="Times New Roman"/>
          <w:sz w:val="24"/>
          <w:szCs w:val="24"/>
        </w:rPr>
        <w:lastRenderedPageBreak/>
        <w:t xml:space="preserve">Quantify the levels of SPOP, AR, and SRC-3 proteins in prostate cancer patients vs. </w:t>
      </w:r>
      <w:r w:rsidR="00933FD3">
        <w:rPr>
          <w:rFonts w:ascii="Times New Roman" w:hAnsi="Times New Roman" w:cs="Times New Roman"/>
          <w:sz w:val="24"/>
          <w:szCs w:val="24"/>
        </w:rPr>
        <w:t>healthy controls</w:t>
      </w:r>
      <w:r w:rsidRPr="00A7035C">
        <w:rPr>
          <w:rFonts w:ascii="Times New Roman" w:hAnsi="Times New Roman" w:cs="Times New Roman"/>
          <w:sz w:val="24"/>
          <w:szCs w:val="24"/>
        </w:rPr>
        <w:t>.</w:t>
      </w:r>
    </w:p>
    <w:p w:rsidR="00A7035C" w:rsidRPr="00A7035C" w:rsidRDefault="00A7035C" w:rsidP="00A7035C">
      <w:pPr>
        <w:pStyle w:val="ListParagraph"/>
        <w:numPr>
          <w:ilvl w:val="0"/>
          <w:numId w:val="3"/>
        </w:numPr>
        <w:spacing w:line="360" w:lineRule="auto"/>
        <w:jc w:val="both"/>
        <w:rPr>
          <w:rFonts w:ascii="Times New Roman" w:hAnsi="Times New Roman" w:cs="Times New Roman"/>
          <w:sz w:val="24"/>
          <w:szCs w:val="24"/>
        </w:rPr>
      </w:pPr>
      <w:r w:rsidRPr="00A7035C">
        <w:rPr>
          <w:rFonts w:ascii="Times New Roman" w:hAnsi="Times New Roman" w:cs="Times New Roman"/>
          <w:sz w:val="24"/>
          <w:szCs w:val="24"/>
        </w:rPr>
        <w:t>Assess the correlation between SPOP, SRC-3, and AR levels in the study cohorts.</w:t>
      </w:r>
    </w:p>
    <w:p w:rsidR="00933FD3" w:rsidRPr="00933FD3" w:rsidRDefault="00933FD3" w:rsidP="00933FD3">
      <w:pPr>
        <w:pStyle w:val="ListParagraph"/>
        <w:numPr>
          <w:ilvl w:val="0"/>
          <w:numId w:val="3"/>
        </w:numPr>
        <w:spacing w:line="360" w:lineRule="auto"/>
        <w:jc w:val="both"/>
        <w:rPr>
          <w:rFonts w:ascii="Times New Roman" w:hAnsi="Times New Roman" w:cs="Times New Roman"/>
          <w:bCs/>
          <w:sz w:val="24"/>
          <w:szCs w:val="24"/>
        </w:rPr>
      </w:pPr>
      <w:r>
        <w:rPr>
          <w:rFonts w:ascii="Times New Roman" w:hAnsi="Times New Roman" w:cs="Times New Roman"/>
          <w:sz w:val="24"/>
          <w:szCs w:val="24"/>
        </w:rPr>
        <w:t>E</w:t>
      </w:r>
      <w:r w:rsidRPr="00933FD3">
        <w:rPr>
          <w:rFonts w:ascii="Times New Roman" w:hAnsi="Times New Roman" w:cs="Times New Roman"/>
          <w:bCs/>
          <w:sz w:val="24"/>
          <w:szCs w:val="24"/>
        </w:rPr>
        <w:t>valuate the binding affinities of selected compounds against mutant SPOP and AR-V7 and compare these affinities to those of standard therapeutic agents.</w:t>
      </w:r>
    </w:p>
    <w:p w:rsidR="00933FD3" w:rsidRPr="00F90936" w:rsidRDefault="00933FD3" w:rsidP="00933FD3">
      <w:pPr>
        <w:pStyle w:val="ListParagraph"/>
        <w:numPr>
          <w:ilvl w:val="0"/>
          <w:numId w:val="3"/>
        </w:numPr>
        <w:spacing w:line="360" w:lineRule="auto"/>
        <w:jc w:val="both"/>
        <w:rPr>
          <w:rFonts w:ascii="Times New Roman" w:hAnsi="Times New Roman" w:cs="Times New Roman"/>
          <w:bCs/>
          <w:sz w:val="24"/>
          <w:szCs w:val="24"/>
        </w:rPr>
      </w:pPr>
      <w:proofErr w:type="spellStart"/>
      <w:r>
        <w:rPr>
          <w:rFonts w:ascii="Times New Roman" w:hAnsi="Times New Roman" w:cs="Times New Roman"/>
          <w:bCs/>
          <w:sz w:val="24"/>
          <w:szCs w:val="24"/>
        </w:rPr>
        <w:t>A</w:t>
      </w:r>
      <w:r w:rsidRPr="00933FD3">
        <w:rPr>
          <w:rFonts w:ascii="Times New Roman" w:hAnsi="Times New Roman" w:cs="Times New Roman"/>
          <w:bCs/>
          <w:sz w:val="24"/>
          <w:szCs w:val="24"/>
        </w:rPr>
        <w:t>nalyze</w:t>
      </w:r>
      <w:proofErr w:type="spellEnd"/>
      <w:r w:rsidRPr="00933FD3">
        <w:rPr>
          <w:rFonts w:ascii="Times New Roman" w:hAnsi="Times New Roman" w:cs="Times New Roman"/>
          <w:bCs/>
          <w:sz w:val="24"/>
          <w:szCs w:val="24"/>
        </w:rPr>
        <w:t xml:space="preserve"> the interaction profiles of selected compounds with mutant SPOP and AR-V7 and determine how these interactions may contribute to their potential therapeutic efficacy.</w:t>
      </w:r>
    </w:p>
    <w:bookmarkEnd w:id="2"/>
    <w:p w:rsidR="00F77439" w:rsidRPr="0068545B" w:rsidRDefault="00F77439" w:rsidP="00F90936">
      <w:pPr>
        <w:pStyle w:val="ListParagraph"/>
        <w:numPr>
          <w:ilvl w:val="1"/>
          <w:numId w:val="1"/>
        </w:numPr>
        <w:spacing w:before="240" w:line="360" w:lineRule="auto"/>
        <w:jc w:val="both"/>
        <w:rPr>
          <w:rFonts w:ascii="Times New Roman" w:hAnsi="Times New Roman" w:cs="Times New Roman"/>
          <w:b/>
          <w:sz w:val="24"/>
          <w:szCs w:val="24"/>
        </w:rPr>
      </w:pPr>
      <w:r w:rsidRPr="0068545B">
        <w:rPr>
          <w:rFonts w:ascii="Times New Roman" w:hAnsi="Times New Roman" w:cs="Times New Roman"/>
          <w:b/>
          <w:sz w:val="24"/>
          <w:szCs w:val="24"/>
        </w:rPr>
        <w:t>Justification for the Study</w:t>
      </w:r>
    </w:p>
    <w:p w:rsidR="00F77439" w:rsidRPr="00613283" w:rsidRDefault="00613283" w:rsidP="0068545B">
      <w:pPr>
        <w:spacing w:line="360" w:lineRule="auto"/>
        <w:jc w:val="both"/>
        <w:rPr>
          <w:rFonts w:ascii="Times New Roman" w:hAnsi="Times New Roman" w:cs="Times New Roman"/>
          <w:bCs/>
          <w:sz w:val="24"/>
          <w:szCs w:val="24"/>
          <w:lang w:val="en-US"/>
        </w:rPr>
      </w:pPr>
      <w:proofErr w:type="spellStart"/>
      <w:r w:rsidRPr="00613283">
        <w:rPr>
          <w:rFonts w:ascii="Times New Roman" w:hAnsi="Times New Roman" w:cs="Times New Roman"/>
          <w:bCs/>
          <w:sz w:val="24"/>
          <w:szCs w:val="24"/>
          <w:lang w:val="en-US"/>
        </w:rPr>
        <w:t>PCa</w:t>
      </w:r>
      <w:proofErr w:type="spellEnd"/>
      <w:r w:rsidRPr="00613283">
        <w:rPr>
          <w:rFonts w:ascii="Times New Roman" w:hAnsi="Times New Roman" w:cs="Times New Roman"/>
          <w:bCs/>
          <w:sz w:val="24"/>
          <w:szCs w:val="24"/>
          <w:lang w:val="en-US"/>
        </w:rPr>
        <w:t xml:space="preserve"> is the second most common cancer to receive a diagnosis, and it is also the sixth most common cause of cancer-related mort</w:t>
      </w:r>
      <w:r>
        <w:rPr>
          <w:rFonts w:ascii="Times New Roman" w:hAnsi="Times New Roman" w:cs="Times New Roman"/>
          <w:bCs/>
          <w:sz w:val="24"/>
          <w:szCs w:val="24"/>
          <w:lang w:val="en-US"/>
        </w:rPr>
        <w:t>ality internationally for males</w:t>
      </w:r>
      <w:r w:rsidR="00F77439" w:rsidRPr="0068545B">
        <w:rPr>
          <w:rFonts w:ascii="Times New Roman" w:hAnsi="Times New Roman" w:cs="Times New Roman"/>
          <w:bCs/>
          <w:sz w:val="24"/>
          <w:szCs w:val="24"/>
          <w:lang w:val="en-US"/>
        </w:rPr>
        <w:t xml:space="preserve"> </w:t>
      </w:r>
      <w:r w:rsidR="00F77439" w:rsidRPr="0068545B">
        <w:rPr>
          <w:rFonts w:ascii="Times New Roman" w:hAnsi="Times New Roman" w:cs="Times New Roman"/>
          <w:bCs/>
          <w:sz w:val="24"/>
          <w:szCs w:val="24"/>
          <w:lang w:val="en-US"/>
        </w:rPr>
        <w:fldChar w:fldCharType="begin"/>
      </w:r>
      <w:r w:rsidR="00F12E86">
        <w:rPr>
          <w:rFonts w:ascii="Times New Roman" w:hAnsi="Times New Roman" w:cs="Times New Roman"/>
          <w:bCs/>
          <w:sz w:val="24"/>
          <w:szCs w:val="24"/>
          <w:lang w:val="en-US"/>
        </w:rPr>
        <w:instrText xml:space="preserve"> ADDIN ZOTERO_ITEM CSL_CITATION {"citationID":"jfbf6Uiw","properties":{"formattedCitation":"(Culp et al., 2020)","plainCitation":"(Culp et al., 2020)","noteIndex":0},"citationItems":[{"id":"L5u5rlKu/EHYLmJsf","uris":["http://zotero.org/users/local/OwdIOSSe/items/CS4C3UCB"],"itemData":{"id":407,"type":"article-journal","container-title":"European Urology","DOI":"10.1016/j.eururo.2019.08.005","ISSN":"03022838","issue":"1","journalAbbreviation":"European Urology","language":"en","page":"38-52","source":"DOI.org (Crossref)","title":"Recent Global Patterns in Prostate Cancer Incidence and Mortality Rates","volume":"77","author":[{"family":"Culp","given":"MaryBeth B."},{"family":"Soerjomataram","given":"Isabelle"},{"family":"Efstathiou","given":"Jason A."},{"family":"Bray","given":"Freddie"},{"family":"Jemal","given":"Ahmedin"}],"issued":{"date-parts":[["2020",1]]}}}],"schema":"https://github.com/citation-style-language/schema/raw/master/csl-citation.json"} </w:instrText>
      </w:r>
      <w:r w:rsidR="00F77439" w:rsidRPr="0068545B">
        <w:rPr>
          <w:rFonts w:ascii="Times New Roman" w:hAnsi="Times New Roman" w:cs="Times New Roman"/>
          <w:bCs/>
          <w:sz w:val="24"/>
          <w:szCs w:val="24"/>
          <w:lang w:val="en-US"/>
        </w:rPr>
        <w:fldChar w:fldCharType="separate"/>
      </w:r>
      <w:r w:rsidR="00167D83" w:rsidRPr="00167D83">
        <w:rPr>
          <w:rFonts w:ascii="Times New Roman" w:hAnsi="Times New Roman" w:cs="Times New Roman"/>
          <w:sz w:val="24"/>
        </w:rPr>
        <w:t>(Culp et al., 2020)</w:t>
      </w:r>
      <w:r w:rsidR="00F77439" w:rsidRPr="0068545B">
        <w:rPr>
          <w:rFonts w:ascii="Times New Roman" w:hAnsi="Times New Roman" w:cs="Times New Roman"/>
          <w:sz w:val="24"/>
          <w:szCs w:val="24"/>
        </w:rPr>
        <w:fldChar w:fldCharType="end"/>
      </w:r>
      <w:r w:rsidR="00F77439" w:rsidRPr="0068545B">
        <w:rPr>
          <w:rFonts w:ascii="Times New Roman" w:hAnsi="Times New Roman" w:cs="Times New Roman"/>
          <w:bCs/>
          <w:sz w:val="24"/>
          <w:szCs w:val="24"/>
          <w:lang w:val="en-US"/>
        </w:rPr>
        <w:t xml:space="preserve">. Due to population expansion and </w:t>
      </w:r>
      <w:r>
        <w:rPr>
          <w:rFonts w:ascii="Times New Roman" w:hAnsi="Times New Roman" w:cs="Times New Roman"/>
          <w:bCs/>
          <w:sz w:val="24"/>
          <w:szCs w:val="24"/>
          <w:lang w:val="en-US"/>
        </w:rPr>
        <w:t xml:space="preserve">aging, </w:t>
      </w:r>
      <w:r w:rsidRPr="00613283">
        <w:rPr>
          <w:rFonts w:ascii="Times New Roman" w:hAnsi="Times New Roman" w:cs="Times New Roman"/>
          <w:bCs/>
          <w:sz w:val="24"/>
          <w:szCs w:val="24"/>
          <w:lang w:val="en-US"/>
        </w:rPr>
        <w:t xml:space="preserve">By 2040, it is anticipated that there will be approximately 2.3 million new instances of </w:t>
      </w:r>
      <w:proofErr w:type="spellStart"/>
      <w:r w:rsidRPr="00613283">
        <w:rPr>
          <w:rFonts w:ascii="Times New Roman" w:hAnsi="Times New Roman" w:cs="Times New Roman"/>
          <w:bCs/>
          <w:sz w:val="24"/>
          <w:szCs w:val="24"/>
          <w:lang w:val="en-US"/>
        </w:rPr>
        <w:t>PCa</w:t>
      </w:r>
      <w:proofErr w:type="spellEnd"/>
      <w:r w:rsidRPr="00613283">
        <w:rPr>
          <w:rFonts w:ascii="Times New Roman" w:hAnsi="Times New Roman" w:cs="Times New Roman"/>
          <w:bCs/>
          <w:sz w:val="24"/>
          <w:szCs w:val="24"/>
          <w:lang w:val="en-US"/>
        </w:rPr>
        <w:t xml:space="preserve"> worldwide, with 7</w:t>
      </w:r>
      <w:r>
        <w:rPr>
          <w:rFonts w:ascii="Times New Roman" w:hAnsi="Times New Roman" w:cs="Times New Roman"/>
          <w:bCs/>
          <w:sz w:val="24"/>
          <w:szCs w:val="24"/>
          <w:lang w:val="en-US"/>
        </w:rPr>
        <w:t xml:space="preserve">40,000 deaths from the disease </w:t>
      </w:r>
      <w:r w:rsidR="00F77439" w:rsidRPr="0068545B">
        <w:rPr>
          <w:rFonts w:ascii="Times New Roman" w:hAnsi="Times New Roman" w:cs="Times New Roman"/>
          <w:bCs/>
          <w:sz w:val="24"/>
          <w:szCs w:val="24"/>
          <w:lang w:val="en-US"/>
        </w:rPr>
        <w:fldChar w:fldCharType="begin"/>
      </w:r>
      <w:r w:rsidR="00F12E86">
        <w:rPr>
          <w:rFonts w:ascii="Times New Roman" w:hAnsi="Times New Roman" w:cs="Times New Roman"/>
          <w:bCs/>
          <w:sz w:val="24"/>
          <w:szCs w:val="24"/>
          <w:lang w:val="en-US"/>
        </w:rPr>
        <w:instrText xml:space="preserve"> ADDIN ZOTERO_ITEM CSL_CITATION {"citationID":"fWhBj5EY","properties":{"formattedCitation":"(Culp et al., 2020)","plainCitation":"(Culp et al., 2020)","noteIndex":0},"citationItems":[{"id":"L5u5rlKu/EHYLmJsf","uris":["http://zotero.org/users/local/OwdIOSSe/items/CS4C3UCB"],"itemData":{"id":407,"type":"article-journal","container-title":"European Urology","DOI":"10.1016/j.eururo.2019.08.005","ISSN":"03022838","issue":"1","journalAbbreviation":"European Urology","language":"en","page":"38-52","source":"DOI.org (Crossref)","title":"Recent Global Patterns in Prostate Cancer Incidence and Mortality Rates","volume":"77","author":[{"family":"Culp","given":"MaryBeth B."},{"family":"Soerjomataram","given":"Isabelle"},{"family":"Efstathiou","given":"Jason A."},{"family":"Bray","given":"Freddie"},{"family":"Jemal","given":"Ahmedin"}],"issued":{"date-parts":[["2020",1]]}}}],"schema":"https://github.com/citation-style-language/schema/raw/master/csl-citation.json"} </w:instrText>
      </w:r>
      <w:r w:rsidR="00F77439" w:rsidRPr="0068545B">
        <w:rPr>
          <w:rFonts w:ascii="Times New Roman" w:hAnsi="Times New Roman" w:cs="Times New Roman"/>
          <w:bCs/>
          <w:sz w:val="24"/>
          <w:szCs w:val="24"/>
          <w:lang w:val="en-US"/>
        </w:rPr>
        <w:fldChar w:fldCharType="separate"/>
      </w:r>
      <w:r w:rsidR="00167D83" w:rsidRPr="00167D83">
        <w:rPr>
          <w:rFonts w:ascii="Times New Roman" w:hAnsi="Times New Roman" w:cs="Times New Roman"/>
          <w:sz w:val="24"/>
        </w:rPr>
        <w:t>(Culp et al., 2020)</w:t>
      </w:r>
      <w:r w:rsidR="00F77439" w:rsidRPr="0068545B">
        <w:rPr>
          <w:rFonts w:ascii="Times New Roman" w:hAnsi="Times New Roman" w:cs="Times New Roman"/>
          <w:sz w:val="24"/>
          <w:szCs w:val="24"/>
        </w:rPr>
        <w:fldChar w:fldCharType="end"/>
      </w:r>
      <w:r w:rsidR="00F77439" w:rsidRPr="0068545B">
        <w:rPr>
          <w:rFonts w:ascii="Times New Roman" w:hAnsi="Times New Roman" w:cs="Times New Roman"/>
          <w:bCs/>
          <w:sz w:val="24"/>
          <w:szCs w:val="24"/>
          <w:lang w:val="en-US"/>
        </w:rPr>
        <w:t xml:space="preserve">. </w:t>
      </w:r>
      <w:proofErr w:type="spellStart"/>
      <w:r>
        <w:rPr>
          <w:rFonts w:ascii="Times New Roman" w:hAnsi="Times New Roman" w:cs="Times New Roman"/>
          <w:sz w:val="24"/>
          <w:szCs w:val="24"/>
        </w:rPr>
        <w:t>PCa</w:t>
      </w:r>
      <w:proofErr w:type="spellEnd"/>
      <w:r w:rsidR="0068545B" w:rsidRPr="0068545B">
        <w:rPr>
          <w:rFonts w:ascii="Times New Roman" w:hAnsi="Times New Roman" w:cs="Times New Roman"/>
          <w:sz w:val="24"/>
          <w:szCs w:val="24"/>
        </w:rPr>
        <w:t xml:space="preserve"> presents a significant and growing health burden in Sub-Saharan Africa, with Nigeria bearing a substantial portion of this burden. Despite this, research on the molecular drivers of </w:t>
      </w:r>
      <w:proofErr w:type="spellStart"/>
      <w:r w:rsidR="0068545B" w:rsidRPr="0068545B">
        <w:rPr>
          <w:rFonts w:ascii="Times New Roman" w:hAnsi="Times New Roman" w:cs="Times New Roman"/>
          <w:sz w:val="24"/>
          <w:szCs w:val="24"/>
        </w:rPr>
        <w:t>PCa</w:t>
      </w:r>
      <w:proofErr w:type="spellEnd"/>
      <w:r w:rsidR="0068545B" w:rsidRPr="0068545B">
        <w:rPr>
          <w:rFonts w:ascii="Times New Roman" w:hAnsi="Times New Roman" w:cs="Times New Roman"/>
          <w:sz w:val="24"/>
          <w:szCs w:val="24"/>
        </w:rPr>
        <w:t xml:space="preserve"> in African populations, particularly in the context of personalized medicine, remains limited. This lack of understanding contributes to disparities in diagnosis, treatment, and, ultimately, outcomes for Nigerian men. </w:t>
      </w:r>
      <w:r w:rsidR="00F77439" w:rsidRPr="0068545B">
        <w:rPr>
          <w:rFonts w:ascii="Times New Roman" w:hAnsi="Times New Roman" w:cs="Times New Roman"/>
          <w:bCs/>
          <w:sz w:val="24"/>
          <w:szCs w:val="24"/>
          <w:lang w:val="en-US"/>
        </w:rPr>
        <w:t xml:space="preserve">This study's justification is rooted in the pressing need </w:t>
      </w:r>
      <w:r w:rsidRPr="00613283">
        <w:rPr>
          <w:rFonts w:ascii="Times New Roman" w:hAnsi="Times New Roman" w:cs="Times New Roman"/>
          <w:bCs/>
          <w:sz w:val="24"/>
          <w:szCs w:val="24"/>
          <w:lang w:val="en-US"/>
        </w:rPr>
        <w:t xml:space="preserve">to improve our comprehension of the molecular environment surrounding </w:t>
      </w:r>
      <w:proofErr w:type="spellStart"/>
      <w:r w:rsidRPr="00613283">
        <w:rPr>
          <w:rFonts w:ascii="Times New Roman" w:hAnsi="Times New Roman" w:cs="Times New Roman"/>
          <w:bCs/>
          <w:sz w:val="24"/>
          <w:szCs w:val="24"/>
          <w:lang w:val="en-US"/>
        </w:rPr>
        <w:t>PCa</w:t>
      </w:r>
      <w:proofErr w:type="spellEnd"/>
      <w:r w:rsidRPr="00613283">
        <w:rPr>
          <w:rFonts w:ascii="Times New Roman" w:hAnsi="Times New Roman" w:cs="Times New Roman"/>
          <w:bCs/>
          <w:sz w:val="24"/>
          <w:szCs w:val="24"/>
          <w:lang w:val="en-US"/>
        </w:rPr>
        <w:t xml:space="preserve"> in Nigeria</w:t>
      </w:r>
      <w:r w:rsidR="0068545B" w:rsidRPr="0068545B">
        <w:rPr>
          <w:rFonts w:ascii="Times New Roman" w:hAnsi="Times New Roman" w:cs="Times New Roman"/>
          <w:bCs/>
          <w:sz w:val="24"/>
          <w:szCs w:val="24"/>
          <w:lang w:val="en-US"/>
        </w:rPr>
        <w:t xml:space="preserve">, </w:t>
      </w:r>
      <w:r w:rsidR="00775C68" w:rsidRPr="0068545B">
        <w:rPr>
          <w:rFonts w:ascii="Times New Roman" w:hAnsi="Times New Roman" w:cs="Times New Roman"/>
          <w:sz w:val="24"/>
          <w:szCs w:val="24"/>
        </w:rPr>
        <w:t xml:space="preserve">specifically focusing on the roles of SPOP, SRC-3, and AR. By investigating these biomarkers in a population under-represented in current research, this study will contribute valuable insights into the unique aspects of </w:t>
      </w:r>
      <w:proofErr w:type="spellStart"/>
      <w:r w:rsidR="00775C68" w:rsidRPr="0068545B">
        <w:rPr>
          <w:rFonts w:ascii="Times New Roman" w:hAnsi="Times New Roman" w:cs="Times New Roman"/>
          <w:sz w:val="24"/>
          <w:szCs w:val="24"/>
        </w:rPr>
        <w:t>PCa</w:t>
      </w:r>
      <w:proofErr w:type="spellEnd"/>
      <w:r w:rsidR="00775C68" w:rsidRPr="0068545B">
        <w:rPr>
          <w:rFonts w:ascii="Times New Roman" w:hAnsi="Times New Roman" w:cs="Times New Roman"/>
          <w:sz w:val="24"/>
          <w:szCs w:val="24"/>
        </w:rPr>
        <w:t xml:space="preserve"> in this de</w:t>
      </w:r>
      <w:r w:rsidR="00FE2D03" w:rsidRPr="0068545B">
        <w:rPr>
          <w:rFonts w:ascii="Times New Roman" w:hAnsi="Times New Roman" w:cs="Times New Roman"/>
          <w:sz w:val="24"/>
          <w:szCs w:val="24"/>
        </w:rPr>
        <w:t xml:space="preserve">mographic. </w:t>
      </w:r>
    </w:p>
    <w:p w:rsidR="00F77439" w:rsidRPr="002E7761" w:rsidRDefault="00F77439" w:rsidP="0084692D">
      <w:pPr>
        <w:pStyle w:val="ListParagraph"/>
        <w:numPr>
          <w:ilvl w:val="1"/>
          <w:numId w:val="1"/>
        </w:numPr>
        <w:spacing w:line="480" w:lineRule="auto"/>
        <w:rPr>
          <w:rFonts w:ascii="Times New Roman" w:hAnsi="Times New Roman" w:cs="Times New Roman"/>
          <w:b/>
          <w:sz w:val="24"/>
          <w:szCs w:val="24"/>
        </w:rPr>
      </w:pPr>
      <w:r w:rsidRPr="002E7761">
        <w:rPr>
          <w:rFonts w:ascii="Times New Roman" w:hAnsi="Times New Roman" w:cs="Times New Roman"/>
          <w:b/>
          <w:sz w:val="24"/>
          <w:szCs w:val="24"/>
        </w:rPr>
        <w:t>Scope of the Study</w:t>
      </w:r>
    </w:p>
    <w:p w:rsidR="00F77439" w:rsidRPr="00987628" w:rsidRDefault="00613283" w:rsidP="0084692D">
      <w:pPr>
        <w:pStyle w:val="NormalWeb"/>
        <w:spacing w:line="480" w:lineRule="auto"/>
        <w:jc w:val="both"/>
        <w:rPr>
          <w:lang w:val="en-US"/>
        </w:rPr>
      </w:pPr>
      <w:r w:rsidRPr="00613283">
        <w:rPr>
          <w:lang w:val="en-US"/>
        </w:rPr>
        <w:t xml:space="preserve">The range of this inquiry </w:t>
      </w:r>
      <w:r w:rsidR="00F77439" w:rsidRPr="002E7761">
        <w:rPr>
          <w:lang w:val="en-US"/>
        </w:rPr>
        <w:t>encompasses an investigation of SPOP mutations in prostate cancer patients</w:t>
      </w:r>
      <w:r w:rsidR="00A7035C">
        <w:rPr>
          <w:lang w:val="en-US"/>
        </w:rPr>
        <w:t xml:space="preserve"> from </w:t>
      </w:r>
      <w:r w:rsidR="00F77439" w:rsidRPr="002E7761">
        <w:rPr>
          <w:lang w:val="en-US"/>
        </w:rPr>
        <w:t xml:space="preserve">Nigeria. </w:t>
      </w:r>
      <w:r w:rsidR="0084692D">
        <w:t xml:space="preserve">This study was conducted at some selected tertiary </w:t>
      </w:r>
      <w:r w:rsidR="00535927">
        <w:t>hospitals</w:t>
      </w:r>
      <w:r w:rsidR="0084692D">
        <w:t xml:space="preserve"> in Nigeria, enrolling a defined cohort of diagnosed </w:t>
      </w:r>
      <w:r w:rsidR="00987628">
        <w:rPr>
          <w:lang w:val="en-US"/>
        </w:rPr>
        <w:t xml:space="preserve">patients with </w:t>
      </w:r>
      <w:proofErr w:type="spellStart"/>
      <w:r w:rsidR="00987628">
        <w:rPr>
          <w:lang w:val="en-US"/>
        </w:rPr>
        <w:t>PCa</w:t>
      </w:r>
      <w:proofErr w:type="spellEnd"/>
      <w:r w:rsidR="00987628" w:rsidRPr="00987628">
        <w:rPr>
          <w:lang w:val="en-US"/>
        </w:rPr>
        <w:t xml:space="preserve"> and a control g</w:t>
      </w:r>
      <w:r w:rsidR="00987628">
        <w:rPr>
          <w:lang w:val="en-US"/>
        </w:rPr>
        <w:t>roup of men without the disease</w:t>
      </w:r>
      <w:r w:rsidR="0084692D">
        <w:t>. The study will involve collecting blood samp</w:t>
      </w:r>
      <w:r w:rsidR="00A7035C">
        <w:t>les from all participants. Plasma</w:t>
      </w:r>
      <w:r w:rsidR="0084692D">
        <w:t xml:space="preserve"> samples will be </w:t>
      </w:r>
      <w:proofErr w:type="spellStart"/>
      <w:r w:rsidR="0084692D">
        <w:t>analyzed</w:t>
      </w:r>
      <w:proofErr w:type="spellEnd"/>
      <w:r w:rsidR="0084692D">
        <w:t xml:space="preserve"> to </w:t>
      </w:r>
      <w:r w:rsidR="00535927">
        <w:t>quantify</w:t>
      </w:r>
      <w:r w:rsidR="0084692D">
        <w:t xml:space="preserve"> SPOP, SRC-3,</w:t>
      </w:r>
      <w:r w:rsidR="00A7035C">
        <w:t xml:space="preserve"> and AR circulation</w:t>
      </w:r>
      <w:r w:rsidR="0084692D">
        <w:t xml:space="preserve"> levels using highly sensitive molecular techniques like ELISA. Additionally, </w:t>
      </w:r>
      <w:r w:rsidR="0084692D" w:rsidRPr="00BB6FD4">
        <w:rPr>
          <w:i/>
        </w:rPr>
        <w:t xml:space="preserve">in </w:t>
      </w:r>
      <w:proofErr w:type="spellStart"/>
      <w:r w:rsidR="0084692D" w:rsidRPr="00BB6FD4">
        <w:rPr>
          <w:i/>
        </w:rPr>
        <w:t>silico</w:t>
      </w:r>
      <w:proofErr w:type="spellEnd"/>
      <w:r w:rsidR="0084692D">
        <w:t xml:space="preserve"> analyses will be employed to explore potential therapeutic targets within the identified molecular pathways, leveraging </w:t>
      </w:r>
      <w:r w:rsidR="0084692D">
        <w:lastRenderedPageBreak/>
        <w:t xml:space="preserve">publicly available databases and bioinformatics tools. The findings will contribute to a deeper understanding of </w:t>
      </w:r>
      <w:proofErr w:type="spellStart"/>
      <w:r w:rsidR="0084692D">
        <w:t>PCa</w:t>
      </w:r>
      <w:proofErr w:type="spellEnd"/>
      <w:r w:rsidR="0084692D">
        <w:t xml:space="preserve"> in Nigerian men and inform the development of targeted therapeutic strategies.</w:t>
      </w:r>
    </w:p>
    <w:p w:rsidR="00F77439" w:rsidRPr="002E7761" w:rsidRDefault="00F77439" w:rsidP="006D3376">
      <w:pPr>
        <w:spacing w:line="360" w:lineRule="auto"/>
        <w:jc w:val="both"/>
        <w:rPr>
          <w:rFonts w:ascii="Times New Roman" w:hAnsi="Times New Roman" w:cs="Times New Roman"/>
          <w:sz w:val="24"/>
          <w:szCs w:val="24"/>
          <w:lang w:val="en-US"/>
        </w:rPr>
      </w:pPr>
    </w:p>
    <w:p w:rsidR="00F77439" w:rsidRPr="002E7761" w:rsidRDefault="00F77439" w:rsidP="006D3376">
      <w:pPr>
        <w:spacing w:line="360" w:lineRule="auto"/>
        <w:jc w:val="both"/>
        <w:rPr>
          <w:rFonts w:ascii="Times New Roman" w:hAnsi="Times New Roman" w:cs="Times New Roman"/>
          <w:sz w:val="24"/>
          <w:szCs w:val="24"/>
          <w:lang w:val="en-US"/>
        </w:rPr>
      </w:pPr>
    </w:p>
    <w:p w:rsidR="00F77439" w:rsidRPr="002E7761" w:rsidRDefault="00F77439" w:rsidP="006D3376">
      <w:pPr>
        <w:spacing w:line="360" w:lineRule="auto"/>
        <w:jc w:val="both"/>
        <w:rPr>
          <w:rFonts w:ascii="Times New Roman" w:hAnsi="Times New Roman" w:cs="Times New Roman"/>
          <w:sz w:val="24"/>
          <w:szCs w:val="24"/>
          <w:lang w:val="en-US"/>
        </w:rPr>
      </w:pPr>
    </w:p>
    <w:p w:rsidR="00F77439" w:rsidRPr="002E7761" w:rsidRDefault="00F77439" w:rsidP="006D3376">
      <w:pPr>
        <w:spacing w:line="360" w:lineRule="auto"/>
        <w:jc w:val="both"/>
        <w:rPr>
          <w:rFonts w:ascii="Times New Roman" w:hAnsi="Times New Roman" w:cs="Times New Roman"/>
          <w:sz w:val="24"/>
          <w:szCs w:val="24"/>
          <w:lang w:val="en-US"/>
        </w:rPr>
      </w:pPr>
    </w:p>
    <w:p w:rsidR="00F77439" w:rsidRPr="002E7761" w:rsidRDefault="00F77439" w:rsidP="006D3376">
      <w:pPr>
        <w:spacing w:line="360" w:lineRule="auto"/>
        <w:jc w:val="both"/>
        <w:rPr>
          <w:rFonts w:ascii="Times New Roman" w:hAnsi="Times New Roman" w:cs="Times New Roman"/>
          <w:sz w:val="24"/>
          <w:szCs w:val="24"/>
          <w:lang w:val="en-US"/>
        </w:rPr>
      </w:pPr>
    </w:p>
    <w:p w:rsidR="00F77439" w:rsidRPr="002E7761" w:rsidRDefault="00F77439" w:rsidP="006D3376">
      <w:pPr>
        <w:spacing w:line="360" w:lineRule="auto"/>
        <w:jc w:val="both"/>
        <w:rPr>
          <w:rFonts w:ascii="Times New Roman" w:hAnsi="Times New Roman" w:cs="Times New Roman"/>
          <w:sz w:val="24"/>
          <w:szCs w:val="24"/>
          <w:lang w:val="en-US"/>
        </w:rPr>
      </w:pPr>
    </w:p>
    <w:p w:rsidR="00F77439" w:rsidRDefault="00F77439" w:rsidP="006D3376">
      <w:pPr>
        <w:spacing w:line="360" w:lineRule="auto"/>
        <w:jc w:val="both"/>
        <w:rPr>
          <w:rFonts w:ascii="Times New Roman" w:hAnsi="Times New Roman" w:cs="Times New Roman"/>
          <w:sz w:val="24"/>
          <w:szCs w:val="24"/>
          <w:lang w:val="en-US"/>
        </w:rPr>
      </w:pPr>
    </w:p>
    <w:p w:rsidR="00535927" w:rsidRDefault="00535927" w:rsidP="006D3376">
      <w:pPr>
        <w:spacing w:line="360" w:lineRule="auto"/>
        <w:jc w:val="both"/>
        <w:rPr>
          <w:rFonts w:ascii="Times New Roman" w:hAnsi="Times New Roman" w:cs="Times New Roman"/>
          <w:sz w:val="24"/>
          <w:szCs w:val="24"/>
          <w:lang w:val="en-US"/>
        </w:rPr>
      </w:pPr>
    </w:p>
    <w:p w:rsidR="00535927" w:rsidRDefault="00535927" w:rsidP="006D3376">
      <w:pPr>
        <w:spacing w:line="360" w:lineRule="auto"/>
        <w:jc w:val="both"/>
        <w:rPr>
          <w:rFonts w:ascii="Times New Roman" w:hAnsi="Times New Roman" w:cs="Times New Roman"/>
          <w:sz w:val="24"/>
          <w:szCs w:val="24"/>
          <w:lang w:val="en-US"/>
        </w:rPr>
      </w:pPr>
    </w:p>
    <w:p w:rsidR="00535927" w:rsidRDefault="00535927" w:rsidP="006D3376">
      <w:pPr>
        <w:spacing w:line="360" w:lineRule="auto"/>
        <w:jc w:val="both"/>
        <w:rPr>
          <w:rFonts w:ascii="Times New Roman" w:hAnsi="Times New Roman" w:cs="Times New Roman"/>
          <w:sz w:val="24"/>
          <w:szCs w:val="24"/>
          <w:lang w:val="en-US"/>
        </w:rPr>
      </w:pPr>
    </w:p>
    <w:p w:rsidR="00535927" w:rsidRPr="002E7761" w:rsidRDefault="00535927" w:rsidP="006D3376">
      <w:pPr>
        <w:spacing w:line="360" w:lineRule="auto"/>
        <w:jc w:val="both"/>
        <w:rPr>
          <w:rFonts w:ascii="Times New Roman" w:hAnsi="Times New Roman" w:cs="Times New Roman"/>
          <w:sz w:val="24"/>
          <w:szCs w:val="24"/>
          <w:lang w:val="en-US"/>
        </w:rPr>
      </w:pPr>
    </w:p>
    <w:p w:rsidR="004B07BF" w:rsidRDefault="004B07BF" w:rsidP="00BA6281">
      <w:pPr>
        <w:spacing w:line="360" w:lineRule="auto"/>
        <w:rPr>
          <w:rFonts w:ascii="Times New Roman" w:hAnsi="Times New Roman" w:cs="Times New Roman"/>
          <w:sz w:val="24"/>
          <w:szCs w:val="24"/>
          <w:lang w:val="en-US"/>
        </w:rPr>
      </w:pPr>
    </w:p>
    <w:p w:rsidR="006559DA" w:rsidRDefault="006559DA" w:rsidP="00BA6281">
      <w:pPr>
        <w:spacing w:line="360" w:lineRule="auto"/>
        <w:rPr>
          <w:rFonts w:ascii="Times New Roman" w:hAnsi="Times New Roman" w:cs="Times New Roman"/>
          <w:sz w:val="24"/>
          <w:szCs w:val="24"/>
          <w:lang w:val="en-US"/>
        </w:rPr>
      </w:pPr>
    </w:p>
    <w:p w:rsidR="006559DA" w:rsidRDefault="006559DA" w:rsidP="00BA6281">
      <w:pPr>
        <w:spacing w:line="360" w:lineRule="auto"/>
        <w:rPr>
          <w:rFonts w:ascii="Times New Roman" w:hAnsi="Times New Roman" w:cs="Times New Roman"/>
          <w:sz w:val="24"/>
          <w:szCs w:val="24"/>
          <w:lang w:val="en-US"/>
        </w:rPr>
      </w:pPr>
    </w:p>
    <w:p w:rsidR="006559DA" w:rsidRDefault="006559DA" w:rsidP="00BA6281">
      <w:pPr>
        <w:spacing w:line="360" w:lineRule="auto"/>
        <w:rPr>
          <w:rFonts w:ascii="Times New Roman" w:hAnsi="Times New Roman" w:cs="Times New Roman"/>
          <w:sz w:val="24"/>
          <w:szCs w:val="24"/>
          <w:lang w:val="en-US"/>
        </w:rPr>
      </w:pPr>
    </w:p>
    <w:p w:rsidR="006559DA" w:rsidRDefault="006559DA" w:rsidP="00BA6281">
      <w:pPr>
        <w:spacing w:line="360" w:lineRule="auto"/>
        <w:rPr>
          <w:rFonts w:ascii="Times New Roman" w:hAnsi="Times New Roman" w:cs="Times New Roman"/>
          <w:sz w:val="24"/>
          <w:szCs w:val="24"/>
          <w:lang w:val="en-US"/>
        </w:rPr>
      </w:pPr>
    </w:p>
    <w:p w:rsidR="006559DA" w:rsidRDefault="006559DA" w:rsidP="00BA6281">
      <w:pPr>
        <w:spacing w:line="360" w:lineRule="auto"/>
        <w:rPr>
          <w:rFonts w:ascii="Times New Roman" w:hAnsi="Times New Roman" w:cs="Times New Roman"/>
          <w:sz w:val="24"/>
          <w:szCs w:val="24"/>
          <w:lang w:val="en-US"/>
        </w:rPr>
      </w:pPr>
    </w:p>
    <w:p w:rsidR="0068545B" w:rsidRDefault="0068545B" w:rsidP="00BA6281">
      <w:pPr>
        <w:spacing w:line="360" w:lineRule="auto"/>
        <w:rPr>
          <w:rFonts w:ascii="Times New Roman" w:hAnsi="Times New Roman" w:cs="Times New Roman"/>
          <w:sz w:val="24"/>
          <w:szCs w:val="24"/>
          <w:lang w:val="en-US"/>
        </w:rPr>
      </w:pPr>
    </w:p>
    <w:p w:rsidR="00F04B2E" w:rsidRDefault="00F04B2E" w:rsidP="00BA6281">
      <w:pPr>
        <w:spacing w:line="360" w:lineRule="auto"/>
        <w:rPr>
          <w:rFonts w:ascii="Times New Roman" w:hAnsi="Times New Roman" w:cs="Times New Roman"/>
          <w:b/>
          <w:sz w:val="24"/>
          <w:szCs w:val="24"/>
        </w:rPr>
      </w:pPr>
    </w:p>
    <w:p w:rsidR="00456BF9" w:rsidRDefault="00456BF9" w:rsidP="00BA6281">
      <w:pPr>
        <w:spacing w:line="360" w:lineRule="auto"/>
        <w:rPr>
          <w:rFonts w:ascii="Times New Roman" w:hAnsi="Times New Roman" w:cs="Times New Roman"/>
          <w:b/>
          <w:sz w:val="24"/>
          <w:szCs w:val="24"/>
        </w:rPr>
      </w:pPr>
    </w:p>
    <w:p w:rsidR="00456BF9" w:rsidRDefault="00456BF9" w:rsidP="00BA6281">
      <w:pPr>
        <w:spacing w:line="360" w:lineRule="auto"/>
        <w:rPr>
          <w:rFonts w:ascii="Times New Roman" w:hAnsi="Times New Roman" w:cs="Times New Roman"/>
          <w:b/>
          <w:sz w:val="24"/>
          <w:szCs w:val="24"/>
        </w:rPr>
      </w:pPr>
    </w:p>
    <w:p w:rsidR="00775C68" w:rsidRDefault="00775C68" w:rsidP="006D3376">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CHAPTER TWO</w:t>
      </w:r>
    </w:p>
    <w:p w:rsidR="00F77439" w:rsidRPr="002E7761" w:rsidRDefault="00F77439" w:rsidP="006D3376">
      <w:pPr>
        <w:spacing w:line="360" w:lineRule="auto"/>
        <w:jc w:val="center"/>
        <w:rPr>
          <w:rFonts w:ascii="Times New Roman" w:hAnsi="Times New Roman" w:cs="Times New Roman"/>
          <w:b/>
          <w:sz w:val="24"/>
          <w:szCs w:val="24"/>
        </w:rPr>
      </w:pPr>
      <w:r w:rsidRPr="002E7761">
        <w:rPr>
          <w:rFonts w:ascii="Times New Roman" w:hAnsi="Times New Roman" w:cs="Times New Roman"/>
          <w:b/>
          <w:sz w:val="24"/>
          <w:szCs w:val="24"/>
        </w:rPr>
        <w:t>LITERATURE REVIEW</w:t>
      </w:r>
    </w:p>
    <w:p w:rsidR="00F77439" w:rsidRPr="00BA6281" w:rsidRDefault="00BA6281" w:rsidP="006D3376">
      <w:pPr>
        <w:spacing w:line="360" w:lineRule="auto"/>
        <w:jc w:val="both"/>
        <w:rPr>
          <w:rFonts w:ascii="Times New Roman" w:hAnsi="Times New Roman" w:cs="Times New Roman"/>
          <w:b/>
          <w:sz w:val="24"/>
          <w:szCs w:val="24"/>
          <w:lang w:val="en-US"/>
        </w:rPr>
      </w:pPr>
      <w:r w:rsidRPr="00BA6281">
        <w:rPr>
          <w:rFonts w:ascii="Times New Roman" w:hAnsi="Times New Roman" w:cs="Times New Roman"/>
          <w:b/>
          <w:sz w:val="24"/>
          <w:szCs w:val="24"/>
          <w:lang w:val="en-US"/>
        </w:rPr>
        <w:t>2.1 The Prostate Gland</w:t>
      </w:r>
    </w:p>
    <w:p w:rsidR="00BA6281" w:rsidRDefault="00456BF9" w:rsidP="00456BF9">
      <w:pPr>
        <w:spacing w:line="360" w:lineRule="auto"/>
        <w:jc w:val="both"/>
        <w:rPr>
          <w:rFonts w:ascii="Times New Roman" w:hAnsi="Times New Roman" w:cs="Times New Roman"/>
          <w:bCs/>
          <w:sz w:val="24"/>
          <w:szCs w:val="24"/>
          <w:lang w:val="en-US"/>
        </w:rPr>
      </w:pPr>
      <w:r w:rsidRPr="00456BF9">
        <w:rPr>
          <w:rFonts w:ascii="Times New Roman" w:hAnsi="Times New Roman" w:cs="Times New Roman"/>
          <w:bCs/>
          <w:sz w:val="24"/>
          <w:szCs w:val="24"/>
          <w:lang w:val="en-US"/>
        </w:rPr>
        <w:t>The prostate gland is a little gland located right belo</w:t>
      </w:r>
      <w:r>
        <w:rPr>
          <w:rFonts w:ascii="Times New Roman" w:hAnsi="Times New Roman" w:cs="Times New Roman"/>
          <w:bCs/>
          <w:sz w:val="24"/>
          <w:szCs w:val="24"/>
          <w:lang w:val="en-US"/>
        </w:rPr>
        <w:t>w the bladder in men (Figure 1)</w:t>
      </w:r>
      <w:r w:rsidR="00BA6281" w:rsidRPr="00BA6281">
        <w:rPr>
          <w:rFonts w:ascii="Times New Roman" w:hAnsi="Times New Roman" w:cs="Times New Roman"/>
          <w:bCs/>
          <w:sz w:val="24"/>
          <w:szCs w:val="24"/>
          <w:lang w:val="en-US"/>
        </w:rPr>
        <w:t xml:space="preserve">. It produces and secretes a fluid that constitutes a sizable portion of semen. It is situated anterior to the rectum, superior to the urogenital diaphragm, and posterior to the inferior pubis </w:t>
      </w:r>
      <w:proofErr w:type="spellStart"/>
      <w:r w:rsidR="00BA6281" w:rsidRPr="00BA6281">
        <w:rPr>
          <w:rFonts w:ascii="Times New Roman" w:hAnsi="Times New Roman" w:cs="Times New Roman"/>
          <w:bCs/>
          <w:sz w:val="24"/>
          <w:szCs w:val="24"/>
          <w:lang w:val="en-US"/>
        </w:rPr>
        <w:t>symphysis</w:t>
      </w:r>
      <w:proofErr w:type="spellEnd"/>
      <w:r w:rsidR="00BA6281" w:rsidRPr="00BA6281">
        <w:rPr>
          <w:rFonts w:ascii="Times New Roman" w:hAnsi="Times New Roman" w:cs="Times New Roman"/>
          <w:bCs/>
          <w:sz w:val="24"/>
          <w:szCs w:val="24"/>
          <w:lang w:val="en-US"/>
        </w:rPr>
        <w:t xml:space="preserve">. It has a horse-chestnut shape, </w:t>
      </w:r>
      <w:r w:rsidRPr="00456BF9">
        <w:rPr>
          <w:rFonts w:ascii="Times New Roman" w:hAnsi="Times New Roman" w:cs="Times New Roman"/>
          <w:bCs/>
          <w:sz w:val="24"/>
          <w:szCs w:val="24"/>
          <w:lang w:val="en-US"/>
        </w:rPr>
        <w:t>envelops the urethra immediately belo</w:t>
      </w:r>
      <w:r>
        <w:rPr>
          <w:rFonts w:ascii="Times New Roman" w:hAnsi="Times New Roman" w:cs="Times New Roman"/>
          <w:bCs/>
          <w:sz w:val="24"/>
          <w:szCs w:val="24"/>
          <w:lang w:val="en-US"/>
        </w:rPr>
        <w:t xml:space="preserve">w the bladder's base </w:t>
      </w:r>
      <w:r w:rsidR="00BA6281" w:rsidRPr="00BA6281">
        <w:rPr>
          <w:rFonts w:ascii="Times New Roman" w:hAnsi="Times New Roman" w:cs="Times New Roman"/>
          <w:bCs/>
          <w:sz w:val="24"/>
          <w:szCs w:val="24"/>
          <w:lang w:val="en-US"/>
        </w:rPr>
        <w:fldChar w:fldCharType="begin"/>
      </w:r>
      <w:r w:rsidR="00316921">
        <w:rPr>
          <w:rFonts w:ascii="Times New Roman" w:hAnsi="Times New Roman" w:cs="Times New Roman"/>
          <w:bCs/>
          <w:sz w:val="24"/>
          <w:szCs w:val="24"/>
          <w:lang w:val="en-US"/>
        </w:rPr>
        <w:instrText xml:space="preserve"> ADDIN ZOTERO_ITEM CSL_CITATION {"citationID":"rBqvE8Pe","properties":{"formattedCitation":"(Svintsitskaya, Hryn &amp; Katsenko, 2021)","plainCitation":"(Svintsitskaya, Hryn &amp; Katsenko, 2021)","noteIndex":0},"citationItems":[{"id":215,"uris":["http://zotero.org/users/local/7J0d6nia/items/4PMVLPQL","http://zotero.org/users/11300200/items/4PMVLPQL"],"itemData":{"id":215,"type":"article-journal","note":"publisher: Вінниця: Nova Knyha","title":"Anatomy of the Urinary and Reproductive Systems. Structural Features in Childhood. Abnormalities","author":[{"family":"Svintsitskaya","given":"NL"},{"family":"Hryn","given":"VH"},{"family":"Katsenko","given":"AL"}],"issued":{"date-parts":[["2021"]]}}}],"schema":"https://github.com/citation-style-language/schema/raw/master/csl-citation.json"} </w:instrText>
      </w:r>
      <w:r w:rsidR="00BA6281" w:rsidRPr="00BA6281">
        <w:rPr>
          <w:rFonts w:ascii="Times New Roman" w:hAnsi="Times New Roman" w:cs="Times New Roman"/>
          <w:bCs/>
          <w:sz w:val="24"/>
          <w:szCs w:val="24"/>
          <w:lang w:val="en-US"/>
        </w:rPr>
        <w:fldChar w:fldCharType="separate"/>
      </w:r>
      <w:r w:rsidR="00167D83" w:rsidRPr="00167D83">
        <w:rPr>
          <w:rFonts w:ascii="Times New Roman" w:hAnsi="Times New Roman" w:cs="Times New Roman"/>
          <w:sz w:val="24"/>
        </w:rPr>
        <w:t>(Svintsitskaya, Hryn &amp; Katsenko, 2021)</w:t>
      </w:r>
      <w:r w:rsidR="00BA6281" w:rsidRPr="00BA6281">
        <w:rPr>
          <w:rFonts w:ascii="Times New Roman" w:hAnsi="Times New Roman" w:cs="Times New Roman"/>
          <w:bCs/>
          <w:sz w:val="24"/>
          <w:szCs w:val="24"/>
          <w:lang w:val="en-US"/>
        </w:rPr>
        <w:fldChar w:fldCharType="end"/>
      </w:r>
      <w:r>
        <w:rPr>
          <w:rFonts w:ascii="Times New Roman" w:hAnsi="Times New Roman" w:cs="Times New Roman"/>
          <w:bCs/>
          <w:sz w:val="24"/>
          <w:szCs w:val="24"/>
          <w:lang w:val="en-US"/>
        </w:rPr>
        <w:t>. I</w:t>
      </w:r>
      <w:r w:rsidR="00BA6281" w:rsidRPr="00BA6281">
        <w:rPr>
          <w:rFonts w:ascii="Times New Roman" w:hAnsi="Times New Roman" w:cs="Times New Roman"/>
          <w:bCs/>
          <w:sz w:val="24"/>
          <w:szCs w:val="24"/>
          <w:lang w:val="en-US"/>
        </w:rPr>
        <w:t>t contains a variety of substances</w:t>
      </w:r>
      <w:r>
        <w:rPr>
          <w:rFonts w:ascii="Times New Roman" w:hAnsi="Times New Roman" w:cs="Times New Roman"/>
          <w:bCs/>
          <w:sz w:val="24"/>
          <w:szCs w:val="24"/>
          <w:lang w:val="en-US"/>
        </w:rPr>
        <w:t>,</w:t>
      </w:r>
      <w:r w:rsidR="00BA6281" w:rsidRPr="00BA6281">
        <w:rPr>
          <w:rFonts w:ascii="Times New Roman" w:hAnsi="Times New Roman" w:cs="Times New Roman"/>
          <w:bCs/>
          <w:sz w:val="24"/>
          <w:szCs w:val="24"/>
          <w:lang w:val="en-US"/>
        </w:rPr>
        <w:t xml:space="preserve"> includin</w:t>
      </w:r>
      <w:r>
        <w:rPr>
          <w:rFonts w:ascii="Times New Roman" w:hAnsi="Times New Roman" w:cs="Times New Roman"/>
          <w:bCs/>
          <w:sz w:val="24"/>
          <w:szCs w:val="24"/>
          <w:lang w:val="en-US"/>
        </w:rPr>
        <w:t xml:space="preserve">g </w:t>
      </w:r>
      <w:proofErr w:type="spellStart"/>
      <w:r w:rsidRPr="00BA6281">
        <w:rPr>
          <w:rFonts w:ascii="Times New Roman" w:hAnsi="Times New Roman" w:cs="Times New Roman"/>
          <w:bCs/>
          <w:sz w:val="24"/>
          <w:szCs w:val="24"/>
          <w:lang w:val="en-US"/>
        </w:rPr>
        <w:t>spermine</w:t>
      </w:r>
      <w:proofErr w:type="spellEnd"/>
      <w:r w:rsidRPr="00BA6281">
        <w:rPr>
          <w:rFonts w:ascii="Times New Roman" w:hAnsi="Times New Roman" w:cs="Times New Roman"/>
          <w:bCs/>
          <w:sz w:val="24"/>
          <w:szCs w:val="24"/>
          <w:lang w:val="en-US"/>
        </w:rPr>
        <w:t>,</w:t>
      </w:r>
      <w:r w:rsidRPr="00456BF9">
        <w:rPr>
          <w:rFonts w:ascii="Times New Roman" w:hAnsi="Times New Roman" w:cs="Times New Roman"/>
          <w:bCs/>
          <w:sz w:val="24"/>
          <w:szCs w:val="24"/>
          <w:lang w:val="en-US"/>
        </w:rPr>
        <w:t xml:space="preserve"> </w:t>
      </w:r>
      <w:r>
        <w:rPr>
          <w:rFonts w:ascii="Times New Roman" w:hAnsi="Times New Roman" w:cs="Times New Roman"/>
          <w:bCs/>
          <w:sz w:val="24"/>
          <w:szCs w:val="24"/>
          <w:lang w:val="en-US"/>
        </w:rPr>
        <w:t>potassium,</w:t>
      </w:r>
      <w:r w:rsidRPr="00456BF9">
        <w:rPr>
          <w:rFonts w:ascii="Times New Roman" w:hAnsi="Times New Roman" w:cs="Times New Roman"/>
          <w:bCs/>
          <w:sz w:val="24"/>
          <w:szCs w:val="24"/>
          <w:lang w:val="en-US"/>
        </w:rPr>
        <w:t xml:space="preserve"> </w:t>
      </w:r>
      <w:r w:rsidRPr="00BA6281">
        <w:rPr>
          <w:rFonts w:ascii="Times New Roman" w:hAnsi="Times New Roman" w:cs="Times New Roman"/>
          <w:bCs/>
          <w:sz w:val="24"/>
          <w:szCs w:val="24"/>
          <w:lang w:val="en-US"/>
        </w:rPr>
        <w:t xml:space="preserve"> amino acids</w:t>
      </w:r>
      <w:r>
        <w:rPr>
          <w:rFonts w:ascii="Times New Roman" w:hAnsi="Times New Roman" w:cs="Times New Roman"/>
          <w:bCs/>
          <w:sz w:val="24"/>
          <w:szCs w:val="24"/>
          <w:lang w:val="en-US"/>
        </w:rPr>
        <w:t>, zinc, citric acid</w:t>
      </w:r>
      <w:r w:rsidR="00BA6281" w:rsidRPr="00BA6281">
        <w:rPr>
          <w:rFonts w:ascii="Times New Roman" w:hAnsi="Times New Roman" w:cs="Times New Roman"/>
          <w:bCs/>
          <w:sz w:val="24"/>
          <w:szCs w:val="24"/>
          <w:lang w:val="en-US"/>
        </w:rPr>
        <w:t xml:space="preserve">, prostaglandins, and enzymes such as acid </w:t>
      </w:r>
      <w:r w:rsidRPr="00BA6281">
        <w:rPr>
          <w:rFonts w:ascii="Times New Roman" w:hAnsi="Times New Roman" w:cs="Times New Roman"/>
          <w:bCs/>
          <w:sz w:val="24"/>
          <w:szCs w:val="24"/>
          <w:lang w:val="en-US"/>
        </w:rPr>
        <w:t>lactic dehydrogenase, prostate-specific antigen</w:t>
      </w:r>
      <w:r>
        <w:rPr>
          <w:rFonts w:ascii="Times New Roman" w:hAnsi="Times New Roman" w:cs="Times New Roman"/>
          <w:bCs/>
          <w:sz w:val="24"/>
          <w:szCs w:val="24"/>
          <w:lang w:val="en-US"/>
        </w:rPr>
        <w:t>,</w:t>
      </w:r>
      <w:r w:rsidRPr="00BA6281">
        <w:rPr>
          <w:rFonts w:ascii="Times New Roman" w:hAnsi="Times New Roman" w:cs="Times New Roman"/>
          <w:bCs/>
          <w:sz w:val="24"/>
          <w:szCs w:val="24"/>
          <w:lang w:val="en-US"/>
        </w:rPr>
        <w:t xml:space="preserve"> </w:t>
      </w:r>
      <w:r>
        <w:rPr>
          <w:rFonts w:ascii="Times New Roman" w:hAnsi="Times New Roman" w:cs="Times New Roman"/>
          <w:bCs/>
          <w:sz w:val="24"/>
          <w:szCs w:val="24"/>
          <w:lang w:val="en-US"/>
        </w:rPr>
        <w:t>phosphatase</w:t>
      </w:r>
      <w:r w:rsidR="00BA6281" w:rsidRPr="00BA6281">
        <w:rPr>
          <w:rFonts w:ascii="Times New Roman" w:hAnsi="Times New Roman" w:cs="Times New Roman"/>
          <w:bCs/>
          <w:sz w:val="24"/>
          <w:szCs w:val="24"/>
          <w:lang w:val="en-US"/>
        </w:rPr>
        <w:t xml:space="preserve">, and </w:t>
      </w:r>
      <w:proofErr w:type="spellStart"/>
      <w:r w:rsidR="00BA6281" w:rsidRPr="00BA6281">
        <w:rPr>
          <w:rFonts w:ascii="Times New Roman" w:hAnsi="Times New Roman" w:cs="Times New Roman"/>
          <w:bCs/>
          <w:sz w:val="24"/>
          <w:szCs w:val="24"/>
          <w:lang w:val="en-US"/>
        </w:rPr>
        <w:t>glucuronidase</w:t>
      </w:r>
      <w:proofErr w:type="spellEnd"/>
      <w:r w:rsidR="00BA6281" w:rsidRPr="00BA6281">
        <w:rPr>
          <w:rFonts w:ascii="Times New Roman" w:hAnsi="Times New Roman" w:cs="Times New Roman"/>
          <w:bCs/>
          <w:sz w:val="24"/>
          <w:szCs w:val="24"/>
          <w:lang w:val="en-US"/>
        </w:rPr>
        <w:t xml:space="preserve">. </w:t>
      </w:r>
      <w:r w:rsidRPr="00456BF9">
        <w:rPr>
          <w:rFonts w:ascii="Times New Roman" w:hAnsi="Times New Roman" w:cs="Times New Roman"/>
          <w:bCs/>
          <w:sz w:val="24"/>
          <w:szCs w:val="24"/>
          <w:lang w:val="en-US"/>
        </w:rPr>
        <w:t>Sperm are supported and shielded by the prostatic fluid while they traverse</w:t>
      </w:r>
      <w:r>
        <w:rPr>
          <w:rFonts w:ascii="Times New Roman" w:hAnsi="Times New Roman" w:cs="Times New Roman"/>
          <w:bCs/>
          <w:sz w:val="24"/>
          <w:szCs w:val="24"/>
          <w:lang w:val="en-US"/>
        </w:rPr>
        <w:t xml:space="preserve"> the female reproductive system</w:t>
      </w:r>
      <w:r w:rsidR="00BA6281" w:rsidRPr="00BA6281">
        <w:rPr>
          <w:rFonts w:ascii="Times New Roman" w:hAnsi="Times New Roman" w:cs="Times New Roman"/>
          <w:bCs/>
          <w:sz w:val="24"/>
          <w:szCs w:val="24"/>
          <w:lang w:val="en-US"/>
        </w:rPr>
        <w:t>. By encouraging sperm viability and motility, these secretory substances improve fertility. Physically, the prostate may help regulate the bladder's ability to release urine through mass, musculature, and position. It also helps to neutralize the acidity of the vagina, which can be harmful to sperm. The amount and composition of prostatic fluid produced can vary depending on various factors such as age, health, and sexual activity.</w:t>
      </w:r>
    </w:p>
    <w:p w:rsidR="00BA6281" w:rsidRPr="00BA6281" w:rsidRDefault="00BA6281" w:rsidP="006C4570">
      <w:pPr>
        <w:spacing w:line="360" w:lineRule="auto"/>
        <w:jc w:val="center"/>
        <w:rPr>
          <w:rFonts w:ascii="Times New Roman" w:hAnsi="Times New Roman" w:cs="Times New Roman"/>
          <w:bCs/>
          <w:sz w:val="24"/>
          <w:szCs w:val="24"/>
          <w:lang w:val="en-US"/>
        </w:rPr>
      </w:pPr>
      <w:r w:rsidRPr="00BA6281">
        <w:rPr>
          <w:rFonts w:ascii="Times New Roman" w:hAnsi="Times New Roman" w:cs="Times New Roman"/>
          <w:bCs/>
          <w:noProof/>
          <w:sz w:val="24"/>
          <w:szCs w:val="24"/>
          <w:lang w:val="en-US"/>
        </w:rPr>
        <w:drawing>
          <wp:inline distT="0" distB="0" distL="0" distR="0" wp14:anchorId="00141185" wp14:editId="1CF0C4AE">
            <wp:extent cx="2943225" cy="3267075"/>
            <wp:effectExtent l="0" t="0" r="9525"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rostate imag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47937" cy="3272305"/>
                    </a:xfrm>
                    <a:prstGeom prst="rect">
                      <a:avLst/>
                    </a:prstGeom>
                  </pic:spPr>
                </pic:pic>
              </a:graphicData>
            </a:graphic>
          </wp:inline>
        </w:drawing>
      </w:r>
    </w:p>
    <w:p w:rsidR="00BA6281" w:rsidRPr="00BA6281" w:rsidRDefault="00BA6281" w:rsidP="006C4570">
      <w:pPr>
        <w:spacing w:line="360" w:lineRule="auto"/>
        <w:jc w:val="center"/>
        <w:rPr>
          <w:rFonts w:ascii="Times New Roman" w:hAnsi="Times New Roman" w:cs="Times New Roman"/>
          <w:bCs/>
          <w:sz w:val="24"/>
          <w:szCs w:val="24"/>
          <w:lang w:val="en-US"/>
        </w:rPr>
      </w:pPr>
      <w:r w:rsidRPr="00BA6281">
        <w:rPr>
          <w:rFonts w:ascii="Times New Roman" w:hAnsi="Times New Roman" w:cs="Times New Roman"/>
          <w:bCs/>
          <w:sz w:val="24"/>
          <w:szCs w:val="24"/>
          <w:lang w:val="en-US"/>
        </w:rPr>
        <w:t>Figure 1:</w:t>
      </w:r>
      <w:r>
        <w:rPr>
          <w:rFonts w:ascii="Times New Roman" w:hAnsi="Times New Roman" w:cs="Times New Roman"/>
          <w:bCs/>
          <w:sz w:val="24"/>
          <w:szCs w:val="24"/>
          <w:lang w:val="en-US"/>
        </w:rPr>
        <w:t xml:space="preserve"> T</w:t>
      </w:r>
      <w:r w:rsidR="00456BF9">
        <w:rPr>
          <w:rFonts w:ascii="Times New Roman" w:hAnsi="Times New Roman" w:cs="Times New Roman"/>
          <w:bCs/>
          <w:sz w:val="24"/>
          <w:szCs w:val="24"/>
          <w:lang w:val="en-US"/>
        </w:rPr>
        <w:t xml:space="preserve">he </w:t>
      </w:r>
      <w:r>
        <w:rPr>
          <w:rFonts w:ascii="Times New Roman" w:hAnsi="Times New Roman" w:cs="Times New Roman"/>
          <w:bCs/>
          <w:sz w:val="24"/>
          <w:szCs w:val="24"/>
          <w:lang w:val="en-US"/>
        </w:rPr>
        <w:t>male reproductive system</w:t>
      </w:r>
      <w:r w:rsidR="00456BF9">
        <w:rPr>
          <w:rFonts w:ascii="Times New Roman" w:hAnsi="Times New Roman" w:cs="Times New Roman"/>
          <w:bCs/>
          <w:sz w:val="24"/>
          <w:szCs w:val="24"/>
          <w:lang w:val="en-US"/>
        </w:rPr>
        <w:t xml:space="preserve"> showing the prostate gland</w:t>
      </w:r>
      <w:r w:rsidRPr="00BA6281">
        <w:rPr>
          <w:rFonts w:ascii="Times New Roman" w:hAnsi="Times New Roman" w:cs="Times New Roman"/>
          <w:bCs/>
          <w:sz w:val="24"/>
          <w:szCs w:val="24"/>
          <w:lang w:val="en-US"/>
        </w:rPr>
        <w:t xml:space="preserve"> </w:t>
      </w:r>
      <w:r w:rsidRPr="00BA6281">
        <w:rPr>
          <w:rFonts w:ascii="Times New Roman" w:hAnsi="Times New Roman" w:cs="Times New Roman"/>
          <w:bCs/>
          <w:sz w:val="24"/>
          <w:szCs w:val="24"/>
          <w:lang w:val="en-US"/>
        </w:rPr>
        <w:fldChar w:fldCharType="begin"/>
      </w:r>
      <w:r w:rsidR="00316921">
        <w:rPr>
          <w:rFonts w:ascii="Times New Roman" w:hAnsi="Times New Roman" w:cs="Times New Roman"/>
          <w:bCs/>
          <w:sz w:val="24"/>
          <w:szCs w:val="24"/>
          <w:lang w:val="en-US"/>
        </w:rPr>
        <w:instrText xml:space="preserve"> ADDIN ZOTERO_ITEM CSL_CITATION {"citationID":"an8qHdwL","properties":{"formattedCitation":"(CDC, 2023)","plainCitation":"(CDC, 2023)","noteIndex":0},"citationItems":[{"id":232,"uris":["http://zotero.org/users/local/7J0d6nia/items/MXH4BXKX","http://zotero.org/users/11300200/items/MXH4BXKX"],"itemData":{"id":232,"type":"webpage","container-title":"Prostate Cancer","title":"What Is Prostate Cancer? | CDC","URL":"https://www.cdc.gov/cancer/prostate/basic_info/what-is-prostate-cancer.htm","author":[{"family":"CDC","given":""}],"accessed":{"date-parts":[["2023",2,13]]},"issued":{"date-parts":[["2023"]]}}}],"schema":"https://github.com/citation-style-language/schema/raw/master/csl-citation.json"} </w:instrText>
      </w:r>
      <w:r w:rsidRPr="00BA6281">
        <w:rPr>
          <w:rFonts w:ascii="Times New Roman" w:hAnsi="Times New Roman" w:cs="Times New Roman"/>
          <w:bCs/>
          <w:sz w:val="24"/>
          <w:szCs w:val="24"/>
          <w:lang w:val="en-US"/>
        </w:rPr>
        <w:fldChar w:fldCharType="separate"/>
      </w:r>
      <w:r w:rsidR="00167D83" w:rsidRPr="00167D83">
        <w:rPr>
          <w:rFonts w:ascii="Times New Roman" w:hAnsi="Times New Roman" w:cs="Times New Roman"/>
          <w:sz w:val="24"/>
        </w:rPr>
        <w:t>(CDC, 2023)</w:t>
      </w:r>
      <w:r w:rsidRPr="00BA6281">
        <w:rPr>
          <w:rFonts w:ascii="Times New Roman" w:hAnsi="Times New Roman" w:cs="Times New Roman"/>
          <w:bCs/>
          <w:sz w:val="24"/>
          <w:szCs w:val="24"/>
          <w:lang w:val="en-US"/>
        </w:rPr>
        <w:fldChar w:fldCharType="end"/>
      </w:r>
      <w:r w:rsidRPr="00BA6281">
        <w:rPr>
          <w:rFonts w:ascii="Times New Roman" w:hAnsi="Times New Roman" w:cs="Times New Roman"/>
          <w:bCs/>
          <w:sz w:val="24"/>
          <w:szCs w:val="24"/>
          <w:lang w:val="en-US"/>
        </w:rPr>
        <w:t>.</w:t>
      </w:r>
    </w:p>
    <w:p w:rsidR="00BA6281" w:rsidRDefault="00BA6281" w:rsidP="00BA6281">
      <w:pPr>
        <w:spacing w:line="360" w:lineRule="auto"/>
        <w:jc w:val="both"/>
        <w:rPr>
          <w:rFonts w:ascii="Times New Roman" w:hAnsi="Times New Roman" w:cs="Times New Roman"/>
          <w:bCs/>
          <w:sz w:val="24"/>
          <w:szCs w:val="24"/>
          <w:lang w:val="en-US"/>
        </w:rPr>
      </w:pPr>
      <w:r w:rsidRPr="00BA6281">
        <w:rPr>
          <w:rFonts w:ascii="Times New Roman" w:hAnsi="Times New Roman" w:cs="Times New Roman"/>
          <w:bCs/>
          <w:sz w:val="24"/>
          <w:szCs w:val="24"/>
          <w:lang w:val="en-US"/>
        </w:rPr>
        <w:lastRenderedPageBreak/>
        <w:t xml:space="preserve"> At 9 to 10 weeks of embryonic stage, the prostate, which develops from the urogenital sinus, becomes visible for the first time </w:t>
      </w:r>
      <w:r w:rsidRPr="00BA6281">
        <w:rPr>
          <w:rFonts w:ascii="Times New Roman" w:hAnsi="Times New Roman" w:cs="Times New Roman"/>
          <w:bCs/>
          <w:sz w:val="24"/>
          <w:szCs w:val="24"/>
          <w:lang w:val="en-US"/>
        </w:rPr>
        <w:fldChar w:fldCharType="begin"/>
      </w:r>
      <w:r w:rsidR="00316921">
        <w:rPr>
          <w:rFonts w:ascii="Times New Roman" w:hAnsi="Times New Roman" w:cs="Times New Roman"/>
          <w:bCs/>
          <w:sz w:val="24"/>
          <w:szCs w:val="24"/>
          <w:lang w:val="en-US"/>
        </w:rPr>
        <w:instrText xml:space="preserve"> ADDIN ZOTERO_ITEM CSL_CITATION {"citationID":"pCeGWUwT","properties":{"formattedCitation":"(Aaron, Franco &amp; Hayward, 2016)","plainCitation":"(Aaron, Franco &amp; Hayward, 2016)","noteIndex":0},"citationItems":[{"id":214,"uris":["http://zotero.org/users/local/7J0d6nia/items/PNPSGP3H","http://zotero.org/users/11300200/items/PNPSGP3H"],"itemData":{"id":214,"type":"article-journal","container-title":"Urologic Clinics of North America","DOI":"10.1016/j.ucl.2016.04.012","ISSN":"00940143","issue":"3","journalAbbreviation":"Urologic Clinics of North America","language":"en","page":"279-288","source":"DOI.org (Crossref)","title":"Review of Prostate Anatomy and Embryology and the Etiology of Benign Prostatic Hyperplasia","volume":"43","author":[{"family":"Aaron","given":"LaTayia"},{"family":"Franco","given":"Omar E."},{"family":"Hayward","given":"Simon W."}],"issued":{"date-parts":[["2016",8]]}}}],"schema":"https://github.com/citation-style-language/schema/raw/master/csl-citation.json"} </w:instrText>
      </w:r>
      <w:r w:rsidRPr="00BA6281">
        <w:rPr>
          <w:rFonts w:ascii="Times New Roman" w:hAnsi="Times New Roman" w:cs="Times New Roman"/>
          <w:bCs/>
          <w:sz w:val="24"/>
          <w:szCs w:val="24"/>
          <w:lang w:val="en-US"/>
        </w:rPr>
        <w:fldChar w:fldCharType="separate"/>
      </w:r>
      <w:r w:rsidR="00167D83" w:rsidRPr="00167D83">
        <w:rPr>
          <w:rFonts w:ascii="Times New Roman" w:hAnsi="Times New Roman" w:cs="Times New Roman"/>
          <w:sz w:val="24"/>
        </w:rPr>
        <w:t>(Aaron, Franco &amp; Hayward, 2016)</w:t>
      </w:r>
      <w:r w:rsidRPr="00BA6281">
        <w:rPr>
          <w:rFonts w:ascii="Times New Roman" w:hAnsi="Times New Roman" w:cs="Times New Roman"/>
          <w:bCs/>
          <w:sz w:val="24"/>
          <w:szCs w:val="24"/>
          <w:lang w:val="en-US"/>
        </w:rPr>
        <w:fldChar w:fldCharType="end"/>
      </w:r>
      <w:r w:rsidRPr="00BA6281">
        <w:rPr>
          <w:rFonts w:ascii="Times New Roman" w:hAnsi="Times New Roman" w:cs="Times New Roman"/>
          <w:bCs/>
          <w:sz w:val="24"/>
          <w:szCs w:val="24"/>
          <w:lang w:val="en-US"/>
        </w:rPr>
        <w:t>. In the urogenital sinus mesenchyme, testosterone from the fetal testis at this time promotes the formation of endodermal buds. The urogenital sinus mesenchyme causes the urogenital sinus epithelium to go through prostatic ductal morphogenesis and differentiation under the influence of androgens. A coordinated series of actions take place during the complex androgen-dependent process of prostatic growth in both the gland's stromal and epithelial compartments.</w:t>
      </w:r>
      <w:r>
        <w:rPr>
          <w:rFonts w:ascii="Times New Roman" w:hAnsi="Times New Roman" w:cs="Times New Roman"/>
          <w:bCs/>
          <w:sz w:val="24"/>
          <w:szCs w:val="24"/>
          <w:lang w:val="en-US"/>
        </w:rPr>
        <w:t xml:space="preserve"> </w:t>
      </w:r>
      <w:r w:rsidRPr="00BA6281">
        <w:rPr>
          <w:rFonts w:ascii="Times New Roman" w:hAnsi="Times New Roman" w:cs="Times New Roman"/>
          <w:bCs/>
          <w:sz w:val="24"/>
          <w:szCs w:val="24"/>
          <w:lang w:val="en-US"/>
        </w:rPr>
        <w:t xml:space="preserve">While the urogenital sinus mesenchyme in the presence of androgen is necessary for epithelial differentiation, the presence and differentiation status of the developing prostatic epithelium are necessary for stromal differentiation </w:t>
      </w:r>
      <w:r w:rsidRPr="00BA6281">
        <w:rPr>
          <w:rFonts w:ascii="Times New Roman" w:hAnsi="Times New Roman" w:cs="Times New Roman"/>
          <w:bCs/>
          <w:sz w:val="24"/>
          <w:szCs w:val="24"/>
          <w:lang w:val="en-US"/>
        </w:rPr>
        <w:fldChar w:fldCharType="begin"/>
      </w:r>
      <w:r w:rsidR="00316921">
        <w:rPr>
          <w:rFonts w:ascii="Times New Roman" w:hAnsi="Times New Roman" w:cs="Times New Roman"/>
          <w:bCs/>
          <w:sz w:val="24"/>
          <w:szCs w:val="24"/>
          <w:lang w:val="en-US"/>
        </w:rPr>
        <w:instrText xml:space="preserve"> ADDIN ZOTERO_ITEM CSL_CITATION {"citationID":"mbcADxCO","properties":{"formattedCitation":"(Budipitojo et al., 2020)","plainCitation":"(Budipitojo et al., 2020)","noteIndex":0},"citationItems":[{"id":216,"uris":["http://zotero.org/users/local/7J0d6nia/items/GFQJEUUB","http://zotero.org/users/11300200/items/GFQJEUUB"],"itemData":{"id":216,"type":"article-journal","title":"Reproductive Glands of the Sunda Porcupine (Hystrix Javanica)","author":[{"family":"Budipitojo","given":"Teguh"},{"family":"Mahesty","given":"Synthia Regita Noor"},{"family":"Padeta","given":"Irma"},{"family":"Khasanah","given":"Linda Miftakhul"}],"issued":{"date-parts":[["2020"]]}}}],"schema":"https://github.com/citation-style-language/schema/raw/master/csl-citation.json"} </w:instrText>
      </w:r>
      <w:r w:rsidRPr="00BA6281">
        <w:rPr>
          <w:rFonts w:ascii="Times New Roman" w:hAnsi="Times New Roman" w:cs="Times New Roman"/>
          <w:bCs/>
          <w:sz w:val="24"/>
          <w:szCs w:val="24"/>
          <w:lang w:val="en-US"/>
        </w:rPr>
        <w:fldChar w:fldCharType="separate"/>
      </w:r>
      <w:r w:rsidR="00167D83" w:rsidRPr="00167D83">
        <w:rPr>
          <w:rFonts w:ascii="Times New Roman" w:hAnsi="Times New Roman" w:cs="Times New Roman"/>
          <w:sz w:val="24"/>
        </w:rPr>
        <w:t>(Budipitojo et al., 2020)</w:t>
      </w:r>
      <w:r w:rsidRPr="00BA6281">
        <w:rPr>
          <w:rFonts w:ascii="Times New Roman" w:hAnsi="Times New Roman" w:cs="Times New Roman"/>
          <w:bCs/>
          <w:sz w:val="24"/>
          <w:szCs w:val="24"/>
          <w:lang w:val="en-US"/>
        </w:rPr>
        <w:fldChar w:fldCharType="end"/>
      </w:r>
      <w:r w:rsidRPr="00BA6281">
        <w:rPr>
          <w:rFonts w:ascii="Times New Roman" w:hAnsi="Times New Roman" w:cs="Times New Roman"/>
          <w:bCs/>
          <w:sz w:val="24"/>
          <w:szCs w:val="24"/>
          <w:lang w:val="en-US"/>
        </w:rPr>
        <w:t xml:space="preserve">. Until adolescence, its development enters a dormant stage. The gland's size during this time span stays constant at 1g. A significant androgen-driven rise in gland size that reaches 20g around the age of 20 characterizes the pubertal phase </w:t>
      </w:r>
      <w:r w:rsidRPr="00BA6281">
        <w:rPr>
          <w:rFonts w:ascii="Times New Roman" w:hAnsi="Times New Roman" w:cs="Times New Roman"/>
          <w:bCs/>
          <w:sz w:val="24"/>
          <w:szCs w:val="24"/>
          <w:lang w:val="en-US"/>
        </w:rPr>
        <w:fldChar w:fldCharType="begin"/>
      </w:r>
      <w:r w:rsidR="00316921">
        <w:rPr>
          <w:rFonts w:ascii="Times New Roman" w:hAnsi="Times New Roman" w:cs="Times New Roman"/>
          <w:bCs/>
          <w:sz w:val="24"/>
          <w:szCs w:val="24"/>
          <w:lang w:val="en-US"/>
        </w:rPr>
        <w:instrText xml:space="preserve"> ADDIN ZOTERO_ITEM CSL_CITATION {"citationID":"8SA75uwt","properties":{"formattedCitation":"(Handelsman, 2000)","plainCitation":"(Handelsman, 2000)","noteIndex":0},"citationItems":[{"id":213,"uris":["http://zotero.org/users/local/7J0d6nia/items/7KPUXHHX","http://zotero.org/users/11300200/items/7KPUXHHX"],"itemData":{"id":213,"type":"chapter","abstract":"Testosterone, together with its bioactive metabolites dihydrotestosterone and estradiol, determines the development and maintenance of male sexual differentiation and the characteristic mature masculine features. Defects in androgen action at various epochs of life produce characteristic clinical features. From an outline of the biochemistry and physiology of androgen action, the pathophysiology of defects in androgen action are derived and defined. The pharmacology of testosterone and its applications to replacement therapy for pathological hypogonadism as well as for pharmacological androgen therapy based on using either testosterone or synthetic androgens is described. For complete coverage of all related areas of Endocrinology, please visit our on-line FREE web-text, WWW.ENDOTEXT.ORG.","call-number":"NBK279000","container-title":"Endotext","event-place":"South Dartmouth (MA)","language":"eng","license":"Copyright © 2000-2023, MDText.com, Inc.","note":"PMID: 25905231","publisher":"MDText.com, Inc.","publisher-place":"South Dartmouth (MA)","source":"PubMed","title":"Androgen Physiology, Pharmacology, Use and Misuse","URL":"http://www.ncbi.nlm.nih.gov/books/NBK279000/","author":[{"family":"Handelsman","given":"David J."}],"editor":[{"family":"Feingold","given":"Kenneth R."},{"family":"Anawalt","given":"Bradley"},{"family":"Blackman","given":"Marc R."},{"family":"Boyce","given":"Alison"},{"family":"Chrousos","given":"George"},{"family":"Corpas","given":"Emiliano"},{"family":"Herder","given":"Wouter W.","non-dropping-particle":"de"},{"family":"Dhatariya","given":"Ketan"},{"family":"Hofland","given":"Johannes"},{"family":"Dungan","given":"Kathleen"},{"family":"Hofland","given":"Johannes"},{"family":"Kalra","given":"Sanjay"},{"family":"Kaltsas","given":"Gregory"},{"family":"Kapoor","given":"Nitin"},{"family":"Koch","given":"Christian"},{"family":"Kopp","given":"Peter"},{"family":"Korbonits","given":"Márta"},{"family":"Kovacs","given":"Christopher S."},{"family":"Kuohung","given":"Wendy"},{"family":"Laferrère","given":"Blandine"},{"family":"Levy","given":"Miles"},{"family":"McGee","given":"Elizabeth A."},{"family":"McLachlan","given":"Robert"},{"family":"New","given":"Maria"},{"family":"Purnell","given":"Jonathan"},{"family":"Sahay","given":"Rakesh"},{"family":"Singer","given":"Frederick"},{"family":"Sperling","given":"Mark A."},{"family":"Stratakis","given":"Constantine A."},{"family":"Trence","given":"Dace L."},{"family":"Wilson","given":"Don P."}],"accessed":{"date-parts":[["2023",2,18]]},"issued":{"date-parts":[["2000"]]}}}],"schema":"https://github.com/citation-style-language/schema/raw/master/csl-citation.json"} </w:instrText>
      </w:r>
      <w:r w:rsidRPr="00BA6281">
        <w:rPr>
          <w:rFonts w:ascii="Times New Roman" w:hAnsi="Times New Roman" w:cs="Times New Roman"/>
          <w:bCs/>
          <w:sz w:val="24"/>
          <w:szCs w:val="24"/>
          <w:lang w:val="en-US"/>
        </w:rPr>
        <w:fldChar w:fldCharType="separate"/>
      </w:r>
      <w:r w:rsidR="00167D83" w:rsidRPr="00167D83">
        <w:rPr>
          <w:rFonts w:ascii="Times New Roman" w:hAnsi="Times New Roman" w:cs="Times New Roman"/>
          <w:sz w:val="24"/>
        </w:rPr>
        <w:t>(Handelsman, 2000)</w:t>
      </w:r>
      <w:r w:rsidRPr="00BA6281">
        <w:rPr>
          <w:rFonts w:ascii="Times New Roman" w:hAnsi="Times New Roman" w:cs="Times New Roman"/>
          <w:bCs/>
          <w:sz w:val="24"/>
          <w:szCs w:val="24"/>
          <w:lang w:val="en-US"/>
        </w:rPr>
        <w:fldChar w:fldCharType="end"/>
      </w:r>
      <w:r w:rsidRPr="00BA6281">
        <w:rPr>
          <w:rFonts w:ascii="Times New Roman" w:hAnsi="Times New Roman" w:cs="Times New Roman"/>
          <w:bCs/>
          <w:sz w:val="24"/>
          <w:szCs w:val="24"/>
          <w:lang w:val="en-US"/>
        </w:rPr>
        <w:t xml:space="preserve">. Because of hyperplasia, inflammation, and atrophy in its transitional zone, the prostate gland's size remains constant for nearly 30 years before increasing starting at age 50. </w:t>
      </w:r>
    </w:p>
    <w:p w:rsidR="00BA6281" w:rsidRPr="00BA6281" w:rsidRDefault="00BA6281" w:rsidP="006D3376">
      <w:pPr>
        <w:spacing w:line="360" w:lineRule="auto"/>
        <w:jc w:val="both"/>
        <w:rPr>
          <w:rFonts w:ascii="Times New Roman" w:hAnsi="Times New Roman" w:cs="Times New Roman"/>
          <w:bCs/>
          <w:sz w:val="24"/>
          <w:szCs w:val="24"/>
          <w:lang w:val="en-US"/>
        </w:rPr>
      </w:pPr>
      <w:r w:rsidRPr="00BA6281">
        <w:rPr>
          <w:rFonts w:ascii="Times New Roman" w:hAnsi="Times New Roman" w:cs="Times New Roman"/>
          <w:bCs/>
          <w:sz w:val="24"/>
          <w:szCs w:val="24"/>
          <w:lang w:val="en-US"/>
        </w:rPr>
        <w:t xml:space="preserve">In males, the testes' </w:t>
      </w:r>
      <w:proofErr w:type="spellStart"/>
      <w:r w:rsidRPr="00BA6281">
        <w:rPr>
          <w:rFonts w:ascii="Times New Roman" w:hAnsi="Times New Roman" w:cs="Times New Roman"/>
          <w:bCs/>
          <w:sz w:val="24"/>
          <w:szCs w:val="24"/>
          <w:lang w:val="en-US"/>
        </w:rPr>
        <w:t>Leydig</w:t>
      </w:r>
      <w:proofErr w:type="spellEnd"/>
      <w:r w:rsidRPr="00BA6281">
        <w:rPr>
          <w:rFonts w:ascii="Times New Roman" w:hAnsi="Times New Roman" w:cs="Times New Roman"/>
          <w:bCs/>
          <w:sz w:val="24"/>
          <w:szCs w:val="24"/>
          <w:lang w:val="en-US"/>
        </w:rPr>
        <w:t xml:space="preserve"> cells serve as the body's main source of androgens like testosterone </w:t>
      </w:r>
      <w:r w:rsidRPr="00BA6281">
        <w:rPr>
          <w:rFonts w:ascii="Times New Roman" w:hAnsi="Times New Roman" w:cs="Times New Roman"/>
          <w:bCs/>
          <w:sz w:val="24"/>
          <w:szCs w:val="24"/>
          <w:lang w:val="en-US"/>
        </w:rPr>
        <w:fldChar w:fldCharType="begin"/>
      </w:r>
      <w:r w:rsidR="00316921">
        <w:rPr>
          <w:rFonts w:ascii="Times New Roman" w:hAnsi="Times New Roman" w:cs="Times New Roman"/>
          <w:bCs/>
          <w:sz w:val="24"/>
          <w:szCs w:val="24"/>
          <w:lang w:val="en-US"/>
        </w:rPr>
        <w:instrText xml:space="preserve"> ADDIN ZOTERO_ITEM CSL_CITATION {"citationID":"rpd1N31M","properties":{"formattedCitation":"(Gurung, Yetiskul &amp; Jialal, 2021)","plainCitation":"(Gurung, Yetiskul &amp; Jialal, 2021)","noteIndex":0},"citationItems":[{"id":212,"uris":["http://zotero.org/users/local/7J0d6nia/items/9NCQYPR4","http://zotero.org/users/11300200/items/9NCQYPR4"],"itemData":{"id":212,"type":"chapter","container-title":"StatPearls [Internet]","publisher":"StatPearls Publishing","source":"Google Scholar","title":"Physiology, male reproductive system","author":[{"family":"Gurung","given":"Purnima"},{"family":"Yetiskul","given":"Ekrem"},{"family":"Jialal","given":"Ishwarlal"}],"issued":{"date-parts":[["2021"]]}}}],"schema":"https://github.com/citation-style-language/schema/raw/master/csl-citation.json"} </w:instrText>
      </w:r>
      <w:r w:rsidRPr="00BA6281">
        <w:rPr>
          <w:rFonts w:ascii="Times New Roman" w:hAnsi="Times New Roman" w:cs="Times New Roman"/>
          <w:bCs/>
          <w:sz w:val="24"/>
          <w:szCs w:val="24"/>
          <w:lang w:val="en-US"/>
        </w:rPr>
        <w:fldChar w:fldCharType="separate"/>
      </w:r>
      <w:r w:rsidR="00167D83" w:rsidRPr="00167D83">
        <w:rPr>
          <w:rFonts w:ascii="Times New Roman" w:hAnsi="Times New Roman" w:cs="Times New Roman"/>
          <w:sz w:val="24"/>
        </w:rPr>
        <w:t>(Gurung, Yetiskul &amp; Jialal, 2021)</w:t>
      </w:r>
      <w:r w:rsidRPr="00BA6281">
        <w:rPr>
          <w:rFonts w:ascii="Times New Roman" w:hAnsi="Times New Roman" w:cs="Times New Roman"/>
          <w:bCs/>
          <w:sz w:val="24"/>
          <w:szCs w:val="24"/>
          <w:lang w:val="en-US"/>
        </w:rPr>
        <w:fldChar w:fldCharType="end"/>
      </w:r>
      <w:r w:rsidRPr="00BA6281">
        <w:rPr>
          <w:rFonts w:ascii="Times New Roman" w:hAnsi="Times New Roman" w:cs="Times New Roman"/>
          <w:bCs/>
          <w:sz w:val="24"/>
          <w:szCs w:val="24"/>
          <w:lang w:val="en-US"/>
        </w:rPr>
        <w:t xml:space="preserve">. These cells respond to the pituitary gland's luteinizing hormone (LH), which stimulates them to produce and secrete testosterone. However, the adrenal cortex, which is part of the adrenal gland located on top of the kidneys, also contributes to the production of androgens in males. The adrenal cortex produces a precursor hormone called </w:t>
      </w:r>
      <w:proofErr w:type="spellStart"/>
      <w:r w:rsidRPr="00BA6281">
        <w:rPr>
          <w:rFonts w:ascii="Times New Roman" w:hAnsi="Times New Roman" w:cs="Times New Roman"/>
          <w:bCs/>
          <w:sz w:val="24"/>
          <w:szCs w:val="24"/>
          <w:lang w:val="en-US"/>
        </w:rPr>
        <w:t>dehydroepiandrosterone</w:t>
      </w:r>
      <w:proofErr w:type="spellEnd"/>
      <w:r w:rsidRPr="00BA6281">
        <w:rPr>
          <w:rFonts w:ascii="Times New Roman" w:hAnsi="Times New Roman" w:cs="Times New Roman"/>
          <w:bCs/>
          <w:sz w:val="24"/>
          <w:szCs w:val="24"/>
          <w:lang w:val="en-US"/>
        </w:rPr>
        <w:t xml:space="preserve"> (DHEA), which may be transform to testosterone in peripheral tissues such as testes </w:t>
      </w:r>
      <w:r w:rsidRPr="00BA6281">
        <w:rPr>
          <w:rFonts w:ascii="Times New Roman" w:hAnsi="Times New Roman" w:cs="Times New Roman"/>
          <w:bCs/>
          <w:sz w:val="24"/>
          <w:szCs w:val="24"/>
          <w:lang w:val="en-US"/>
        </w:rPr>
        <w:fldChar w:fldCharType="begin"/>
      </w:r>
      <w:r w:rsidR="00316921">
        <w:rPr>
          <w:rFonts w:ascii="Times New Roman" w:hAnsi="Times New Roman" w:cs="Times New Roman"/>
          <w:bCs/>
          <w:sz w:val="24"/>
          <w:szCs w:val="24"/>
          <w:lang w:val="en-US"/>
        </w:rPr>
        <w:instrText xml:space="preserve"> ADDIN ZOTERO_ITEM CSL_CITATION {"citationID":"AkvuseVK","properties":{"formattedCitation":"(Gurung, Yetiskul &amp; Jialal, 2021)","plainCitation":"(Gurung, Yetiskul &amp; Jialal, 2021)","noteIndex":0},"citationItems":[{"id":212,"uris":["http://zotero.org/users/local/7J0d6nia/items/9NCQYPR4","http://zotero.org/users/11300200/items/9NCQYPR4"],"itemData":{"id":212,"type":"chapter","container-title":"StatPearls [Internet]","publisher":"StatPearls Publishing","source":"Google Scholar","title":"Physiology, male reproductive system","author":[{"family":"Gurung","given":"Purnima"},{"family":"Yetiskul","given":"Ekrem"},{"family":"Jialal","given":"Ishwarlal"}],"issued":{"date-parts":[["2021"]]}}}],"schema":"https://github.com/citation-style-language/schema/raw/master/csl-citation.json"} </w:instrText>
      </w:r>
      <w:r w:rsidRPr="00BA6281">
        <w:rPr>
          <w:rFonts w:ascii="Times New Roman" w:hAnsi="Times New Roman" w:cs="Times New Roman"/>
          <w:bCs/>
          <w:sz w:val="24"/>
          <w:szCs w:val="24"/>
          <w:lang w:val="en-US"/>
        </w:rPr>
        <w:fldChar w:fldCharType="separate"/>
      </w:r>
      <w:r w:rsidR="00167D83" w:rsidRPr="00167D83">
        <w:rPr>
          <w:rFonts w:ascii="Times New Roman" w:hAnsi="Times New Roman" w:cs="Times New Roman"/>
          <w:sz w:val="24"/>
        </w:rPr>
        <w:t>(Gurung, Yetiskul &amp; Jialal, 2021)</w:t>
      </w:r>
      <w:r w:rsidRPr="00BA6281">
        <w:rPr>
          <w:rFonts w:ascii="Times New Roman" w:hAnsi="Times New Roman" w:cs="Times New Roman"/>
          <w:bCs/>
          <w:sz w:val="24"/>
          <w:szCs w:val="24"/>
          <w:lang w:val="en-US"/>
        </w:rPr>
        <w:fldChar w:fldCharType="end"/>
      </w:r>
      <w:r w:rsidRPr="00BA6281">
        <w:rPr>
          <w:rFonts w:ascii="Times New Roman" w:hAnsi="Times New Roman" w:cs="Times New Roman"/>
          <w:bCs/>
          <w:sz w:val="24"/>
          <w:szCs w:val="24"/>
          <w:lang w:val="en-US"/>
        </w:rPr>
        <w:t xml:space="preserve">. Androgens, which include testosterone and 5-dihydrotestosterone (DHT), are responsible for the growth, differentiation, and maintenance of prostatic tissues and the development of male sexual organs and secondary sex characteristics </w:t>
      </w:r>
      <w:r w:rsidRPr="00BA6281">
        <w:rPr>
          <w:rFonts w:ascii="Times New Roman" w:hAnsi="Times New Roman" w:cs="Times New Roman"/>
          <w:bCs/>
          <w:sz w:val="24"/>
          <w:szCs w:val="24"/>
          <w:lang w:val="en-US"/>
        </w:rPr>
        <w:fldChar w:fldCharType="begin"/>
      </w:r>
      <w:r w:rsidR="00316921">
        <w:rPr>
          <w:rFonts w:ascii="Times New Roman" w:hAnsi="Times New Roman" w:cs="Times New Roman"/>
          <w:bCs/>
          <w:sz w:val="24"/>
          <w:szCs w:val="24"/>
          <w:lang w:val="en-US"/>
        </w:rPr>
        <w:instrText xml:space="preserve"> ADDIN ZOTERO_ITEM CSL_CITATION {"citationID":"ksTQbI7Q","properties":{"formattedCitation":"(Carpenter et al., 2021)","plainCitation":"(Carpenter et al., 2021)","noteIndex":0},"citationItems":[{"id":315,"uris":["http://zotero.org/users/local/7J0d6nia/items/89ZFRWUG","http://zotero.org/users/11300200/items/89ZFRWUG"],"itemData":{"id":315,"type":"article-journal","abstract":"Prostate cancer (PCa) is one of the leading causes of cancer-related deaths in men. Although androgen deprivation therapies (ADT) and antiandrogens confer increased survival rates, most patients eventually develop castration resistant disease (CRPC). Previous studies have shown that these treatments have limited cytotoxicity, and instead, promote tumor cell growth arrest. We show here that PCa cells grown in either charcoal-stripped serum or exposed to the antiandrogen, bicalutamide, undergo a senescent growth arrest marked by morphological changes, upregulated senescence-associated-β-galactosidase (SA-β-Gal), cathepsin D accumulation, and expression of the senescence-associated secretory phenotype (SASP). The senescent growth arrest is, however, transient, as cells can resume proliferation upon restoration of normo-androgenic conditions. Intriguingly, enrichment for senescent cells confirmed that ADT-induced senescent cells recover their proliferative capacity, even under prolonged androgen deprivation, and form androgen-independent outgrowths. Transplantation of the enriched senescent population into castrated, syngeneic mice confirmed that senescent cells escape the growth arrest and form castration-resistant tumors in vivo. Outgrowth from senescence was associated with increased expression of constitutively active androgen receptor splice variants, a common mechanism of resistance to ADT. Finally, the selective elimination of senescent PCa cells following ADT in vitro by the senolytic navitoclax (ABT-263) interfered with the development of androgen-independent outgrowth. Taken together, these data support the premise that ADT-induced senescence is a transient cell state from which CRPC populations can emerge, identifying senescence as a potential driver of disease progression. Furthermore, it is feasible that senolytic therapy to eliminate senescent PCa cells could delay disease recurrence and/or progression to androgen independence.","container-title":"Biochemical Pharmacology","DOI":"10.1016/j.bcp.2021.114765","ISSN":"1873-2968","journalAbbreviation":"Biochem Pharmacol","language":"eng","note":"PMID: 34536356","page":"114765","source":"PubMed","title":"Androgen-deprivation induced senescence in prostate cancer cells is permissive for the development of castration-resistance but susceptible to senolytic therapy","volume":"193","author":[{"family":"Carpenter","given":"Valerie"},{"family":"Saleh","given":"Tareq"},{"family":"Min Lee","given":"So"},{"family":"Murray","given":"Graeme"},{"family":"Reed","given":"Jason"},{"family":"Souers","given":"Andrew"},{"family":"Faber","given":"Anthony C."},{"family":"Harada","given":"Hisashi"},{"family":"Gewirtz","given":"David A."}],"issued":{"date-parts":[["2021",11]]}}}],"schema":"https://github.com/citation-style-language/schema/raw/master/csl-citation.json"} </w:instrText>
      </w:r>
      <w:r w:rsidRPr="00BA6281">
        <w:rPr>
          <w:rFonts w:ascii="Times New Roman" w:hAnsi="Times New Roman" w:cs="Times New Roman"/>
          <w:bCs/>
          <w:sz w:val="24"/>
          <w:szCs w:val="24"/>
          <w:lang w:val="en-US"/>
        </w:rPr>
        <w:fldChar w:fldCharType="separate"/>
      </w:r>
      <w:r w:rsidR="00167D83" w:rsidRPr="00167D83">
        <w:rPr>
          <w:rFonts w:ascii="Times New Roman" w:hAnsi="Times New Roman" w:cs="Times New Roman"/>
          <w:sz w:val="24"/>
        </w:rPr>
        <w:t>(Carpenter et al., 2021)</w:t>
      </w:r>
      <w:r w:rsidRPr="00BA6281">
        <w:rPr>
          <w:rFonts w:ascii="Times New Roman" w:hAnsi="Times New Roman" w:cs="Times New Roman"/>
          <w:bCs/>
          <w:sz w:val="24"/>
          <w:szCs w:val="24"/>
          <w:lang w:val="en-US"/>
        </w:rPr>
        <w:fldChar w:fldCharType="end"/>
      </w:r>
      <w:r w:rsidRPr="00BA6281">
        <w:rPr>
          <w:rFonts w:ascii="Times New Roman" w:hAnsi="Times New Roman" w:cs="Times New Roman"/>
          <w:bCs/>
          <w:sz w:val="24"/>
          <w:szCs w:val="24"/>
          <w:lang w:val="en-US"/>
        </w:rPr>
        <w:t xml:space="preserve">. Testosterone and DHT have distinct functions during the development of male sexual differentiation. Testosterone and its metabolite DHT play important roles in </w:t>
      </w:r>
      <w:r>
        <w:rPr>
          <w:rFonts w:ascii="Times New Roman" w:hAnsi="Times New Roman" w:cs="Times New Roman"/>
          <w:bCs/>
          <w:sz w:val="24"/>
          <w:szCs w:val="24"/>
          <w:lang w:val="en-US"/>
        </w:rPr>
        <w:t>developing and differentiating</w:t>
      </w:r>
      <w:r w:rsidR="00456BF9">
        <w:rPr>
          <w:rFonts w:ascii="Times New Roman" w:hAnsi="Times New Roman" w:cs="Times New Roman"/>
          <w:bCs/>
          <w:sz w:val="24"/>
          <w:szCs w:val="24"/>
          <w:lang w:val="en-US"/>
        </w:rPr>
        <w:t xml:space="preserve"> male reproductive structures</w:t>
      </w:r>
      <w:r w:rsidRPr="00BA6281">
        <w:rPr>
          <w:rFonts w:ascii="Times New Roman" w:hAnsi="Times New Roman" w:cs="Times New Roman"/>
          <w:bCs/>
          <w:sz w:val="24"/>
          <w:szCs w:val="24"/>
          <w:lang w:val="en-US"/>
        </w:rPr>
        <w:t xml:space="preserve">. The androgen receptor interacts differently with each androgen, with DHT binding to the receptor with higher affinity than testosterone </w:t>
      </w:r>
      <w:r w:rsidRPr="00BA6281">
        <w:rPr>
          <w:rFonts w:ascii="Times New Roman" w:hAnsi="Times New Roman" w:cs="Times New Roman"/>
          <w:bCs/>
          <w:sz w:val="24"/>
          <w:szCs w:val="24"/>
          <w:lang w:val="en-US"/>
        </w:rPr>
        <w:fldChar w:fldCharType="begin"/>
      </w:r>
      <w:r w:rsidR="00316921">
        <w:rPr>
          <w:rFonts w:ascii="Times New Roman" w:hAnsi="Times New Roman" w:cs="Times New Roman"/>
          <w:bCs/>
          <w:sz w:val="24"/>
          <w:szCs w:val="24"/>
          <w:lang w:val="en-US"/>
        </w:rPr>
        <w:instrText xml:space="preserve"> ADDIN ZOTERO_ITEM CSL_CITATION {"citationID":"xw45uuLq","properties":{"formattedCitation":"(Alemany, 2022)","plainCitation":"(Alemany, 2022)","noteIndex":0},"citationItems":[{"id":211,"uris":["http://zotero.org/users/11300200/items/WVGPLUQN"],"itemData":{"id":211,"type":"article-journal","abstract":"Androgens are an important and diverse group of steroid hormone molecular species. They play varied functional roles, such as the control of metabolic energy fate and partition, the maintenance of skeletal and body protein and integrity and the development of brain capabilities and behavioral setup (including those factors defining maleness). In addition, androgens are the precursors of estrogens, with which they share an extensive control of the reproductive mechanisms (in both sexes). In this review, the types of androgens, their functions and signaling are tabulated and described, including some less-known functions. The close interrelationship between corticosteroids and androgens is also analyzed, centered in the adrenal cortex, together with the main feedback control systems of the hypothalamic–hypophysis–gonads axis, and its modulation by the metabolic environment, sex, age and health. Testosterone (T) is singled out because of its high synthesis rate and turnover, but also because age-related hypogonadism is a key signal for the biologically planned early obsolescence of men, and the delayed onset of a faster rate of functional losses in women after menopause. The close collaboration of T with estradiol (E2) active in the maintenance of body metabolic systems is also presented Their parallel insufficiency has been directly related to the ravages of senescence and the metabolic syndrome constellation of disorders. The clinical use of T to correct hypoandrogenism helps maintain the functionality of core metabolism, limiting excess fat deposition, sarcopenia and cognoscitive frailty (part of these effects are due to the E2 generated from T). The effectiveness of using lipophilic T esters for T replacement treatments is analyzed in depth, and the main problems derived from their application are discussed.","container-title":"International Journal of Molecular Sciences","DOI":"10.3390/ijms231911952","ISSN":"1422-0067","issue":"19","journalAbbreviation":"IJMS","language":"en","page":"11952","source":"DOI.org (Crossref)","title":"The Roles of Androgens in Humans: Biology, Metabolic Regulation and Health","title-short":"The Roles of Androgens in Humans","volume":"23","author":[{"family":"Alemany","given":"Marià"}],"issued":{"date-parts":[["2022",10,8]]}}}],"schema":"https://github.com/citation-style-language/schema/raw/master/csl-citation.json"} </w:instrText>
      </w:r>
      <w:r w:rsidRPr="00BA6281">
        <w:rPr>
          <w:rFonts w:ascii="Times New Roman" w:hAnsi="Times New Roman" w:cs="Times New Roman"/>
          <w:bCs/>
          <w:sz w:val="24"/>
          <w:szCs w:val="24"/>
          <w:lang w:val="en-US"/>
        </w:rPr>
        <w:fldChar w:fldCharType="separate"/>
      </w:r>
      <w:r w:rsidR="00167D83" w:rsidRPr="00167D83">
        <w:rPr>
          <w:rFonts w:ascii="Times New Roman" w:hAnsi="Times New Roman" w:cs="Times New Roman"/>
          <w:sz w:val="24"/>
        </w:rPr>
        <w:t>(Alemany, 2022)</w:t>
      </w:r>
      <w:r w:rsidRPr="00BA6281">
        <w:rPr>
          <w:rFonts w:ascii="Times New Roman" w:hAnsi="Times New Roman" w:cs="Times New Roman"/>
          <w:bCs/>
          <w:sz w:val="24"/>
          <w:szCs w:val="24"/>
          <w:lang w:val="en-US"/>
        </w:rPr>
        <w:fldChar w:fldCharType="end"/>
      </w:r>
      <w:r w:rsidRPr="00BA6281">
        <w:rPr>
          <w:rFonts w:ascii="Times New Roman" w:hAnsi="Times New Roman" w:cs="Times New Roman"/>
          <w:bCs/>
          <w:sz w:val="24"/>
          <w:szCs w:val="24"/>
          <w:lang w:val="en-US"/>
        </w:rPr>
        <w:t xml:space="preserve">. </w:t>
      </w:r>
      <w:r w:rsidR="00456BF9" w:rsidRPr="00456BF9">
        <w:rPr>
          <w:rFonts w:ascii="Times New Roman" w:hAnsi="Times New Roman" w:cs="Times New Roman"/>
          <w:bCs/>
          <w:sz w:val="24"/>
          <w:szCs w:val="24"/>
          <w:lang w:val="en-US"/>
        </w:rPr>
        <w:t>For instance, tissues that are androgen-sensitive and react to DHT rather than testosterone include the penis, scrotum, prostate gland, and urethra. Compared to testosterone, DHT is a more powerful androgen with a higher aff</w:t>
      </w:r>
      <w:r w:rsidR="00456BF9">
        <w:rPr>
          <w:rFonts w:ascii="Times New Roman" w:hAnsi="Times New Roman" w:cs="Times New Roman"/>
          <w:bCs/>
          <w:sz w:val="24"/>
          <w:szCs w:val="24"/>
          <w:lang w:val="en-US"/>
        </w:rPr>
        <w:t>inity for the androgen receptor</w:t>
      </w:r>
      <w:r w:rsidRPr="00BA6281">
        <w:rPr>
          <w:rFonts w:ascii="Times New Roman" w:hAnsi="Times New Roman" w:cs="Times New Roman"/>
          <w:bCs/>
          <w:sz w:val="24"/>
          <w:szCs w:val="24"/>
          <w:lang w:val="en-US"/>
        </w:rPr>
        <w:t xml:space="preserve">, which explains why it is the active ligand in these tissues </w:t>
      </w:r>
      <w:r w:rsidRPr="00BA6281">
        <w:rPr>
          <w:rFonts w:ascii="Times New Roman" w:hAnsi="Times New Roman" w:cs="Times New Roman"/>
          <w:bCs/>
          <w:sz w:val="24"/>
          <w:szCs w:val="24"/>
          <w:lang w:val="en-US"/>
        </w:rPr>
        <w:fldChar w:fldCharType="begin"/>
      </w:r>
      <w:r w:rsidR="00316921">
        <w:rPr>
          <w:rFonts w:ascii="Times New Roman" w:hAnsi="Times New Roman" w:cs="Times New Roman"/>
          <w:bCs/>
          <w:sz w:val="24"/>
          <w:szCs w:val="24"/>
          <w:lang w:val="en-US"/>
        </w:rPr>
        <w:instrText xml:space="preserve"> ADDIN ZOTERO_ITEM CSL_CITATION {"citationID":"w8ij6z64","properties":{"formattedCitation":"(Feng &amp; He, 2019)","plainCitation":"(Feng &amp; He, 2019)","noteIndex":0},"citationItems":[{"id":209,"uris":["http://zotero.org/users/local/7J0d6nia/items/BDQUSZQ7","http://zotero.org/users/11300200/items/BDQUSZQ7"],"itemData":{"id":209,"type":"article-journal","container-title":"Frontiers in oncology","note":"publisher: Frontiers Media SA","page":"858","source":"Google Scholar","title":"Androgen receptor signaling in the development of castration-resistant prostate cancer","volume":"9","author":[{"family":"Feng","given":"Qin"},{"family":"He","given":"Bin"}],"issued":{"date-parts":[["2019"]]}}}],"schema":"https://github.com/citation-style-language/schema/raw/master/csl-citation.json"} </w:instrText>
      </w:r>
      <w:r w:rsidRPr="00BA6281">
        <w:rPr>
          <w:rFonts w:ascii="Times New Roman" w:hAnsi="Times New Roman" w:cs="Times New Roman"/>
          <w:bCs/>
          <w:sz w:val="24"/>
          <w:szCs w:val="24"/>
          <w:lang w:val="en-US"/>
        </w:rPr>
        <w:fldChar w:fldCharType="separate"/>
      </w:r>
      <w:r w:rsidR="00167D83" w:rsidRPr="00167D83">
        <w:rPr>
          <w:rFonts w:ascii="Times New Roman" w:hAnsi="Times New Roman" w:cs="Times New Roman"/>
          <w:sz w:val="24"/>
        </w:rPr>
        <w:t>(Feng &amp; He, 2019)</w:t>
      </w:r>
      <w:r w:rsidRPr="00BA6281">
        <w:rPr>
          <w:rFonts w:ascii="Times New Roman" w:hAnsi="Times New Roman" w:cs="Times New Roman"/>
          <w:bCs/>
          <w:sz w:val="24"/>
          <w:szCs w:val="24"/>
          <w:lang w:val="en-US"/>
        </w:rPr>
        <w:fldChar w:fldCharType="end"/>
      </w:r>
      <w:r w:rsidRPr="00BA6281">
        <w:rPr>
          <w:rFonts w:ascii="Times New Roman" w:hAnsi="Times New Roman" w:cs="Times New Roman"/>
          <w:bCs/>
          <w:sz w:val="24"/>
          <w:szCs w:val="24"/>
          <w:lang w:val="en-US"/>
        </w:rPr>
        <w:t xml:space="preserve">. Nevertheless, testosterone can achieve high local concentrations through diffusion from </w:t>
      </w:r>
      <w:r w:rsidRPr="00BA6281">
        <w:rPr>
          <w:rFonts w:ascii="Times New Roman" w:hAnsi="Times New Roman" w:cs="Times New Roman"/>
          <w:bCs/>
          <w:sz w:val="24"/>
          <w:szCs w:val="24"/>
          <w:lang w:val="en-US"/>
        </w:rPr>
        <w:lastRenderedPageBreak/>
        <w:t xml:space="preserve">neighboring testis during sexual differentiation to make up for its lower androgenic potency. The testosterone signal is amplified by conversion to DHT in locations that are further away, such as the urogenital sinus and urogenital tubercle. In addition to its role in the development of male reproductive structures, testosterone and DHT also have many other physiological functions in males, including the regulation of secondary sexual characteristics, such as body hair growth, muscle mass, and voice deepening, as well as the maintenance of bone density and the production of sperm </w:t>
      </w:r>
      <w:r w:rsidRPr="00BA6281">
        <w:rPr>
          <w:rFonts w:ascii="Times New Roman" w:hAnsi="Times New Roman" w:cs="Times New Roman"/>
          <w:bCs/>
          <w:sz w:val="24"/>
          <w:szCs w:val="24"/>
          <w:lang w:val="en-US"/>
        </w:rPr>
        <w:fldChar w:fldCharType="begin"/>
      </w:r>
      <w:r w:rsidR="00316921">
        <w:rPr>
          <w:rFonts w:ascii="Times New Roman" w:hAnsi="Times New Roman" w:cs="Times New Roman"/>
          <w:bCs/>
          <w:sz w:val="24"/>
          <w:szCs w:val="24"/>
          <w:lang w:val="en-US"/>
        </w:rPr>
        <w:instrText xml:space="preserve"> ADDIN ZOTERO_ITEM CSL_CITATION {"citationID":"L1HZBpEb","properties":{"formattedCitation":"(Molina, 2013)","plainCitation":"(Molina, 2013)","noteIndex":0},"citationItems":[{"id":210,"uris":["http://zotero.org/users/local/7J0d6nia/items/LH8A6HE4","http://zotero.org/users/11300200/items/LH8A6HE4"],"itemData":{"id":210,"type":"chapter","abstract":"Describe the physiologic functions of the principal components of the male reproductive system. Describe the endocrine regulation of testicular function by gonadotropin-releasing hormone, follicle-stimulating hormone, luteinizing hormone, testosterone, and inhibin.Identify the cell of origin for testosterone, its biosynthesis, mechanism of transport within the blood, metabolism, and clearance. List other physiologically produced androgens.List the target organs or cell types, the cellular mechanisms of action, and the physiologic effects of testosterone.Describe spermatogenesis and the role of different cell types in this process.Understand the neural, vascular, and endocrine factors involved in the erection and ejaculation response.Compare and contrast the actions of testosterone, dihydrotestosterone, estradiol, and müllerian inhibitory factor in the process of sexual differentiation.Identify the causes and consequences of androgen oversecretion and undersecretion in prepubertal and postpubescent adult males.","container-title":"Endocrine Physiology","edition":"4","event-place":"New York, NY","publisher":"The McGraw-Hill Companies","publisher-place":"New York, NY","source":"Access Medicine","title":"Chapter 8. Male Reproductive System","URL":"accessmedicine.mhmedical.com/content.aspx?aid=57307916","author":[{"family":"Molina","given":"Patricia E."}],"accessed":{"date-parts":[["2023",2,18]]},"issued":{"date-parts":[["2013"]]}}}],"schema":"https://github.com/citation-style-language/schema/raw/master/csl-citation.json"} </w:instrText>
      </w:r>
      <w:r w:rsidRPr="00BA6281">
        <w:rPr>
          <w:rFonts w:ascii="Times New Roman" w:hAnsi="Times New Roman" w:cs="Times New Roman"/>
          <w:bCs/>
          <w:sz w:val="24"/>
          <w:szCs w:val="24"/>
          <w:lang w:val="en-US"/>
        </w:rPr>
        <w:fldChar w:fldCharType="separate"/>
      </w:r>
      <w:r w:rsidR="00167D83" w:rsidRPr="00167D83">
        <w:rPr>
          <w:rFonts w:ascii="Times New Roman" w:hAnsi="Times New Roman" w:cs="Times New Roman"/>
          <w:sz w:val="24"/>
        </w:rPr>
        <w:t>(Molina, 2013)</w:t>
      </w:r>
      <w:r w:rsidRPr="00BA6281">
        <w:rPr>
          <w:rFonts w:ascii="Times New Roman" w:hAnsi="Times New Roman" w:cs="Times New Roman"/>
          <w:bCs/>
          <w:sz w:val="24"/>
          <w:szCs w:val="24"/>
          <w:lang w:val="en-US"/>
        </w:rPr>
        <w:fldChar w:fldCharType="end"/>
      </w:r>
      <w:r w:rsidRPr="00BA6281">
        <w:rPr>
          <w:rFonts w:ascii="Times New Roman" w:hAnsi="Times New Roman" w:cs="Times New Roman"/>
          <w:bCs/>
          <w:sz w:val="24"/>
          <w:szCs w:val="24"/>
          <w:lang w:val="en-US"/>
        </w:rPr>
        <w:t>.</w:t>
      </w:r>
    </w:p>
    <w:p w:rsidR="00F77439" w:rsidRPr="002E7761" w:rsidRDefault="00BA6281" w:rsidP="006D3376">
      <w:pPr>
        <w:spacing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2.2 </w:t>
      </w:r>
      <w:r w:rsidR="00F77439" w:rsidRPr="002E7761">
        <w:rPr>
          <w:rFonts w:ascii="Times New Roman" w:hAnsi="Times New Roman" w:cs="Times New Roman"/>
          <w:b/>
          <w:bCs/>
          <w:sz w:val="24"/>
          <w:szCs w:val="24"/>
          <w:lang w:val="en-US"/>
        </w:rPr>
        <w:t>Prostate Cancer</w:t>
      </w:r>
    </w:p>
    <w:p w:rsidR="00F77439" w:rsidRPr="002E7761" w:rsidRDefault="00456BF9" w:rsidP="004F2D93">
      <w:pPr>
        <w:spacing w:line="360" w:lineRule="auto"/>
        <w:jc w:val="both"/>
        <w:rPr>
          <w:rFonts w:ascii="Times New Roman" w:hAnsi="Times New Roman" w:cs="Times New Roman"/>
          <w:sz w:val="24"/>
          <w:szCs w:val="24"/>
          <w:lang w:val="en-US"/>
        </w:rPr>
      </w:pPr>
      <w:r w:rsidRPr="00456BF9">
        <w:rPr>
          <w:rFonts w:ascii="Times New Roman" w:hAnsi="Times New Roman" w:cs="Times New Roman"/>
          <w:sz w:val="24"/>
          <w:szCs w:val="24"/>
          <w:lang w:val="en-US"/>
        </w:rPr>
        <w:t>A common and complica</w:t>
      </w:r>
      <w:r>
        <w:rPr>
          <w:rFonts w:ascii="Times New Roman" w:hAnsi="Times New Roman" w:cs="Times New Roman"/>
          <w:sz w:val="24"/>
          <w:szCs w:val="24"/>
          <w:lang w:val="en-US"/>
        </w:rPr>
        <w:t>ted illness is prostate cancer (</w:t>
      </w:r>
      <w:proofErr w:type="spellStart"/>
      <w:r>
        <w:rPr>
          <w:rFonts w:ascii="Times New Roman" w:hAnsi="Times New Roman" w:cs="Times New Roman"/>
          <w:sz w:val="24"/>
          <w:szCs w:val="24"/>
          <w:lang w:val="en-US"/>
        </w:rPr>
        <w:t>PCa</w:t>
      </w:r>
      <w:proofErr w:type="spellEnd"/>
      <w:r>
        <w:rPr>
          <w:rFonts w:ascii="Times New Roman" w:hAnsi="Times New Roman" w:cs="Times New Roman"/>
          <w:sz w:val="24"/>
          <w:szCs w:val="24"/>
          <w:lang w:val="en-US"/>
        </w:rPr>
        <w:t>)</w:t>
      </w:r>
      <w:r w:rsidR="004F6C03">
        <w:rPr>
          <w:rFonts w:ascii="Times New Roman" w:hAnsi="Times New Roman" w:cs="Times New Roman"/>
          <w:sz w:val="24"/>
          <w:szCs w:val="24"/>
          <w:lang w:val="en-US"/>
        </w:rPr>
        <w:t>, which</w:t>
      </w:r>
      <w:r w:rsidR="00F77439" w:rsidRPr="002E7761">
        <w:rPr>
          <w:rFonts w:ascii="Times New Roman" w:hAnsi="Times New Roman" w:cs="Times New Roman"/>
          <w:sz w:val="24"/>
          <w:szCs w:val="24"/>
          <w:lang w:val="en-US"/>
        </w:rPr>
        <w:t xml:space="preserve"> continues to be a significant health concern worldwide. Characterized by the uncontrolled growth of cells in the prostate gland, this malignancy primarily affects older men. </w:t>
      </w:r>
      <w:r>
        <w:rPr>
          <w:rFonts w:ascii="Times New Roman" w:hAnsi="Times New Roman" w:cs="Times New Roman"/>
          <w:sz w:val="24"/>
          <w:szCs w:val="24"/>
          <w:lang w:val="en-US"/>
        </w:rPr>
        <w:t xml:space="preserve">The incidence of </w:t>
      </w:r>
      <w:proofErr w:type="spellStart"/>
      <w:r>
        <w:rPr>
          <w:rFonts w:ascii="Times New Roman" w:hAnsi="Times New Roman" w:cs="Times New Roman"/>
          <w:sz w:val="24"/>
          <w:szCs w:val="24"/>
          <w:lang w:val="en-US"/>
        </w:rPr>
        <w:t>PCa</w:t>
      </w:r>
      <w:proofErr w:type="spellEnd"/>
      <w:r w:rsidR="00F77439" w:rsidRPr="002E7761">
        <w:rPr>
          <w:rFonts w:ascii="Times New Roman" w:hAnsi="Times New Roman" w:cs="Times New Roman"/>
          <w:sz w:val="24"/>
          <w:szCs w:val="24"/>
          <w:lang w:val="en-US"/>
        </w:rPr>
        <w:t xml:space="preserve"> has risen over the years, and its impact on public health underscores the need for comprehensive research and effective manage</w:t>
      </w:r>
      <w:r>
        <w:rPr>
          <w:rFonts w:ascii="Times New Roman" w:hAnsi="Times New Roman" w:cs="Times New Roman"/>
          <w:sz w:val="24"/>
          <w:szCs w:val="24"/>
          <w:lang w:val="en-US"/>
        </w:rPr>
        <w:t xml:space="preserve">ment strategies. </w:t>
      </w:r>
      <w:r w:rsidR="00F77439" w:rsidRPr="002E7761">
        <w:rPr>
          <w:rFonts w:ascii="Times New Roman" w:hAnsi="Times New Roman" w:cs="Times New Roman"/>
          <w:sz w:val="24"/>
          <w:szCs w:val="24"/>
          <w:lang w:val="en-US"/>
        </w:rPr>
        <w:t xml:space="preserve">The risk factors for developing prostate cancer include age, family history, ethnicity, and genetic predisposition. African American men are at a higher risk, highlighting the influence of both genetic and environmental factors. It is crucial to remember that the prevalence of </w:t>
      </w:r>
      <w:proofErr w:type="spellStart"/>
      <w:r w:rsidR="00F77439" w:rsidRPr="002E7761">
        <w:rPr>
          <w:rFonts w:ascii="Times New Roman" w:hAnsi="Times New Roman" w:cs="Times New Roman"/>
          <w:sz w:val="24"/>
          <w:szCs w:val="24"/>
          <w:lang w:val="en-US"/>
        </w:rPr>
        <w:t>PCa</w:t>
      </w:r>
      <w:proofErr w:type="spellEnd"/>
      <w:r w:rsidR="00F77439" w:rsidRPr="002E7761">
        <w:rPr>
          <w:rFonts w:ascii="Times New Roman" w:hAnsi="Times New Roman" w:cs="Times New Roman"/>
          <w:sz w:val="24"/>
          <w:szCs w:val="24"/>
          <w:lang w:val="en-US"/>
        </w:rPr>
        <w:t xml:space="preserve"> is predicted to rise as a result of both population aging and economic growth. Three known risk factors for </w:t>
      </w:r>
      <w:proofErr w:type="spellStart"/>
      <w:r w:rsidR="00F77439" w:rsidRPr="002E7761">
        <w:rPr>
          <w:rFonts w:ascii="Times New Roman" w:hAnsi="Times New Roman" w:cs="Times New Roman"/>
          <w:sz w:val="24"/>
          <w:szCs w:val="24"/>
          <w:lang w:val="en-US"/>
        </w:rPr>
        <w:t>PCa</w:t>
      </w:r>
      <w:proofErr w:type="spellEnd"/>
      <w:r w:rsidR="00F77439" w:rsidRPr="002E7761">
        <w:rPr>
          <w:rFonts w:ascii="Times New Roman" w:hAnsi="Times New Roman" w:cs="Times New Roman"/>
          <w:sz w:val="24"/>
          <w:szCs w:val="24"/>
          <w:lang w:val="en-US"/>
        </w:rPr>
        <w:t xml:space="preserve"> are getting older, being black, and having a family history of the condition. The incidence of </w:t>
      </w:r>
      <w:proofErr w:type="spellStart"/>
      <w:r w:rsidR="00F77439" w:rsidRPr="002E7761">
        <w:rPr>
          <w:rFonts w:ascii="Times New Roman" w:hAnsi="Times New Roman" w:cs="Times New Roman"/>
          <w:sz w:val="24"/>
          <w:szCs w:val="24"/>
          <w:lang w:val="en-US"/>
        </w:rPr>
        <w:t>PCa</w:t>
      </w:r>
      <w:proofErr w:type="spellEnd"/>
      <w:r w:rsidR="00F77439" w:rsidRPr="002E7761">
        <w:rPr>
          <w:rFonts w:ascii="Times New Roman" w:hAnsi="Times New Roman" w:cs="Times New Roman"/>
          <w:sz w:val="24"/>
          <w:szCs w:val="24"/>
          <w:lang w:val="en-US"/>
        </w:rPr>
        <w:t xml:space="preserve"> varies widely across different populations and regions, with higher incidence rates and low mortality being observed in Western countries compared to Asian and African populations </w:t>
      </w:r>
      <w:r w:rsidR="00F77439" w:rsidRPr="002E7761">
        <w:rPr>
          <w:rFonts w:ascii="Times New Roman" w:hAnsi="Times New Roman" w:cs="Times New Roman"/>
          <w:sz w:val="24"/>
          <w:szCs w:val="24"/>
          <w:lang w:val="en-US"/>
        </w:rPr>
        <w:fldChar w:fldCharType="begin"/>
      </w:r>
      <w:r w:rsidR="00F77439" w:rsidRPr="002E7761">
        <w:rPr>
          <w:rFonts w:ascii="Times New Roman" w:hAnsi="Times New Roman" w:cs="Times New Roman"/>
          <w:sz w:val="24"/>
          <w:szCs w:val="24"/>
          <w:lang w:val="en-US"/>
        </w:rPr>
        <w:instrText xml:space="preserve"> ADDIN ZOTERO_ITEM CSL_CITATION {"citationID":"9R1mWKu1","properties":{"formattedCitation":"(Wang et al., 2022)","plainCitation":"(Wang et al., 2022)","noteIndex":0},"citationItems":[{"id":299,"uris":["http://zotero.org/users/local/7J0d6nia/items/X6ADMKCK","http://zotero.org/users/11300200/items/X6ADMKCK"],"itemData":{"id":299,"type":"article-journal","abstract":"Aims\n              To evaluate current status of prostate cancer incidence and mortality worldwide, and compare the global trends of incidence and mortality in the past two decades and in the most recent period.\n            \n            \n              Methods\n              Data on the incidence and mortality of prostate cancer for 174 countries in 2020 were obtained from the GLOBOCAN 2020 database, and associations with the human development index (HDI) were evaluated. Data for trend analyses in 89 countries from 2000 to 2019 were retrieved from the Global Burden of Disease 2019 platform. Age standardized incidence rate (ASIR) and mortality rate (ASMR) were calculated by using the Segi's population. The average annual percent changes (AAPC) of ASIRs and ASMRs were evaluated by joinpoint regression analysis.\n            \n            \n              Results\n              \n                A total of 1 414 259 new cases of prostate cancer and 375 304 related deaths were reported in 2020 globally. HDI was positively correlated with ASIRs (\n                P\n                &amp;lt; 0.001) and negatively correlated with ASMRs (\n                P\n                &amp;lt; 0.001). In the past two decades, ASIRs have been increasing in 65 countries, stable in 15 countries and decreasing in 9 countries, and ASMRs have been increasing in 19 countries, stable in 25 countries and decreasing in 45 countries, respectively. In the most recent period, 44 countries have increasing ASIRs, and 32 countries have decreasing ASMRs, respectively. For instance, in the United States of America, the AAPC of ASIRs significantly decreased by 0.62% and ASMRs significantly decreased by 1.22% from 2000 to 2019, while the AAPC from 2015 to 2019 significantly increased by 0.49% for ASIRs and significantly increased by 0.48% for ASMRs.\n              \n            \n            \n              Conclusion\n              The magnitude of increasing incidence and decreasing mortality of prostate cancer is attenuated in the recent period. Further study is needed to analyze the absolute effect of risk factors, PSA screening and treatment.","container-title":"Frontiers in Public Health","DOI":"10.3389/fpubh.2022.811044","ISSN":"2296-2565","journalAbbreviation":"Front. Public Health","page":"811044","source":"DOI.org (Crossref)","title":"Prostate Cancer Incidence and Mortality: Global Status and Temporal Trends in 89 Countries From 2000 to 2019","title-short":"Prostate Cancer Incidence and Mortality","volume":"10","author":[{"family":"Wang","given":"Le"},{"family":"Lu","given":"Bin"},{"family":"He","given":"Mengjie"},{"family":"Wang","given":"Youqing"},{"family":"Wang","given":"Zongping"},{"family":"Du","given":"Lingbin"}],"issued":{"date-parts":[["2022",2,16]]}}}],"schema":"https://github.com/citation-style-language/schema/raw/master/csl-citation.json"} </w:instrText>
      </w:r>
      <w:r w:rsidR="00F77439" w:rsidRPr="002E7761">
        <w:rPr>
          <w:rFonts w:ascii="Times New Roman" w:hAnsi="Times New Roman" w:cs="Times New Roman"/>
          <w:sz w:val="24"/>
          <w:szCs w:val="24"/>
          <w:lang w:val="en-US"/>
        </w:rPr>
        <w:fldChar w:fldCharType="separate"/>
      </w:r>
      <w:r w:rsidR="00167D83" w:rsidRPr="00167D83">
        <w:rPr>
          <w:rFonts w:ascii="Times New Roman" w:hAnsi="Times New Roman" w:cs="Times New Roman"/>
          <w:sz w:val="24"/>
        </w:rPr>
        <w:t>(Wang et al., 2022)</w:t>
      </w:r>
      <w:r w:rsidR="00F77439" w:rsidRPr="002E7761">
        <w:rPr>
          <w:rFonts w:ascii="Times New Roman" w:hAnsi="Times New Roman" w:cs="Times New Roman"/>
          <w:sz w:val="24"/>
          <w:szCs w:val="24"/>
          <w:lang w:val="en-US"/>
        </w:rPr>
        <w:fldChar w:fldCharType="end"/>
      </w:r>
      <w:r w:rsidR="00F77439" w:rsidRPr="002E7761">
        <w:rPr>
          <w:rFonts w:ascii="Times New Roman" w:hAnsi="Times New Roman" w:cs="Times New Roman"/>
          <w:sz w:val="24"/>
          <w:szCs w:val="24"/>
          <w:lang w:val="en-US"/>
        </w:rPr>
        <w:t xml:space="preserve">. However, this </w:t>
      </w:r>
      <w:r w:rsidR="00DC48E2">
        <w:rPr>
          <w:rFonts w:ascii="Times New Roman" w:hAnsi="Times New Roman" w:cs="Times New Roman"/>
          <w:sz w:val="24"/>
          <w:szCs w:val="24"/>
          <w:lang w:val="en-US"/>
        </w:rPr>
        <w:t xml:space="preserve">is in contrast to African countries, including Nigeria, which has a low incidence but a </w:t>
      </w:r>
      <w:r w:rsidR="00F77439" w:rsidRPr="002E7761">
        <w:rPr>
          <w:rFonts w:ascii="Times New Roman" w:hAnsi="Times New Roman" w:cs="Times New Roman"/>
          <w:sz w:val="24"/>
          <w:szCs w:val="24"/>
          <w:lang w:val="en-US"/>
        </w:rPr>
        <w:t xml:space="preserve">higher mortality. </w:t>
      </w:r>
      <w:r w:rsidR="00DC48E2">
        <w:rPr>
          <w:rFonts w:ascii="Times New Roman" w:hAnsi="Times New Roman" w:cs="Times New Roman"/>
          <w:sz w:val="24"/>
          <w:szCs w:val="24"/>
          <w:lang w:val="en-US"/>
        </w:rPr>
        <w:t>These disparities</w:t>
      </w:r>
      <w:r w:rsidR="00F77439" w:rsidRPr="002E7761">
        <w:rPr>
          <w:rFonts w:ascii="Times New Roman" w:hAnsi="Times New Roman" w:cs="Times New Roman"/>
          <w:sz w:val="24"/>
          <w:szCs w:val="24"/>
          <w:lang w:val="en-US"/>
        </w:rPr>
        <w:t xml:space="preserve"> could be due to environment, va</w:t>
      </w:r>
      <w:r w:rsidR="00DC48E2">
        <w:rPr>
          <w:rFonts w:ascii="Times New Roman" w:hAnsi="Times New Roman" w:cs="Times New Roman"/>
          <w:sz w:val="24"/>
          <w:szCs w:val="24"/>
          <w:lang w:val="en-US"/>
        </w:rPr>
        <w:t xml:space="preserve">riations in genetic factors, </w:t>
      </w:r>
      <w:r w:rsidR="00F77439" w:rsidRPr="002E7761">
        <w:rPr>
          <w:rFonts w:ascii="Times New Roman" w:hAnsi="Times New Roman" w:cs="Times New Roman"/>
          <w:sz w:val="24"/>
          <w:szCs w:val="24"/>
          <w:lang w:val="en-US"/>
        </w:rPr>
        <w:t>improved access to health care and increased awareness of the disease (</w:t>
      </w:r>
      <w:proofErr w:type="spellStart"/>
      <w:r w:rsidR="00F77439" w:rsidRPr="002E7761">
        <w:rPr>
          <w:rFonts w:ascii="Times New Roman" w:hAnsi="Times New Roman" w:cs="Times New Roman"/>
          <w:sz w:val="24"/>
          <w:szCs w:val="24"/>
          <w:lang w:val="en-US"/>
        </w:rPr>
        <w:t>Badal</w:t>
      </w:r>
      <w:proofErr w:type="spellEnd"/>
      <w:r w:rsidR="00F77439" w:rsidRPr="002E7761">
        <w:rPr>
          <w:rFonts w:ascii="Times New Roman" w:hAnsi="Times New Roman" w:cs="Times New Roman"/>
          <w:sz w:val="24"/>
          <w:szCs w:val="24"/>
          <w:lang w:val="en-US"/>
        </w:rPr>
        <w:t xml:space="preserve"> et al., 2020). According to some hospital-based studies, between 8 and 10% of men</w:t>
      </w:r>
      <w:r w:rsidR="00EF0368">
        <w:rPr>
          <w:rFonts w:ascii="Times New Roman" w:hAnsi="Times New Roman" w:cs="Times New Roman"/>
          <w:sz w:val="24"/>
          <w:szCs w:val="24"/>
          <w:lang w:val="en-US"/>
        </w:rPr>
        <w:t xml:space="preserve"> had subclinical </w:t>
      </w:r>
      <w:proofErr w:type="spellStart"/>
      <w:r w:rsidR="00EF0368">
        <w:rPr>
          <w:rFonts w:ascii="Times New Roman" w:hAnsi="Times New Roman" w:cs="Times New Roman"/>
          <w:sz w:val="24"/>
          <w:szCs w:val="24"/>
          <w:lang w:val="en-US"/>
        </w:rPr>
        <w:t>PCa</w:t>
      </w:r>
      <w:proofErr w:type="spellEnd"/>
      <w:r w:rsidR="00F77439" w:rsidRPr="002E7761">
        <w:rPr>
          <w:rFonts w:ascii="Times New Roman" w:hAnsi="Times New Roman" w:cs="Times New Roman"/>
          <w:sz w:val="24"/>
          <w:szCs w:val="24"/>
          <w:lang w:val="en-US"/>
        </w:rPr>
        <w:t xml:space="preserve"> at autopsy, which was comparable to earlier reported Nigerian studies with less extensive tissue sampling but much less than estimates for other populations like African-Americans and African-Americans </w:t>
      </w:r>
      <w:r w:rsidR="00F77439" w:rsidRPr="002E7761">
        <w:rPr>
          <w:rFonts w:ascii="Times New Roman" w:hAnsi="Times New Roman" w:cs="Times New Roman"/>
          <w:sz w:val="24"/>
          <w:szCs w:val="24"/>
          <w:lang w:val="en-US"/>
        </w:rPr>
        <w:fldChar w:fldCharType="begin"/>
      </w:r>
      <w:r w:rsidR="00F77439" w:rsidRPr="002E7761">
        <w:rPr>
          <w:rFonts w:ascii="Times New Roman" w:hAnsi="Times New Roman" w:cs="Times New Roman"/>
          <w:sz w:val="24"/>
          <w:szCs w:val="24"/>
          <w:lang w:val="en-US"/>
        </w:rPr>
        <w:instrText xml:space="preserve"> ADDIN ZOTERO_ITEM CSL_CITATION {"citationID":"7tV0zn3m","properties":{"formattedCitation":"(Bosland et al., 2021)","plainCitation":"(Bosland et al., 2021)","noteIndex":0},"citationItems":[{"id":298,"uris":["http://zotero.org/users/local/7J0d6nia/items/K8IF979Z","http://zotero.org/users/11300200/items/K8IF979Z"],"itemData":{"id":298,"type":"article-journal","container-title":"The Prostate","DOI":"10.1002/pros.24133","ISSN":"0270-4137, 1097-0045","issue":"9","journalAbbreviation":"The Prostate","language":"en","page":"553-559","source":"DOI.org (Crossref)","title":"Prevalence of prostate cancer at autopsy in Nigeria—A preliminary report","volume":"81","author":[{"family":"Bosland","given":"Maarten C."},{"family":"Nettey","given":"Oluwarotimi S."},{"family":"Phillips","given":"Adekoyejo A."},{"family":"Anunobi","given":"Charles C."},{"family":"Akinloye","given":"Oluyemi"},{"family":"Ekanem","given":"Ima‐Obong A."},{"family":"Bassey","given":"Ima‐Abasi E."},{"family":"Mehta","given":"Vikas"},{"family":"Macias","given":"Virgilia"},{"family":"Kwast","given":"Theodorus H."},{"family":"Murphy","given":"Adam B."}],"issued":{"date-parts":[["2021",6]]}}}],"schema":"https://github.com/citation-style-language/schema/raw/master/csl-citation.json"} </w:instrText>
      </w:r>
      <w:r w:rsidR="00F77439" w:rsidRPr="002E7761">
        <w:rPr>
          <w:rFonts w:ascii="Times New Roman" w:hAnsi="Times New Roman" w:cs="Times New Roman"/>
          <w:sz w:val="24"/>
          <w:szCs w:val="24"/>
          <w:lang w:val="en-US"/>
        </w:rPr>
        <w:fldChar w:fldCharType="separate"/>
      </w:r>
      <w:r w:rsidR="00167D83" w:rsidRPr="00167D83">
        <w:rPr>
          <w:rFonts w:ascii="Times New Roman" w:hAnsi="Times New Roman" w:cs="Times New Roman"/>
          <w:sz w:val="24"/>
        </w:rPr>
        <w:t>(Bosland et al., 2021)</w:t>
      </w:r>
      <w:r w:rsidR="00F77439" w:rsidRPr="002E7761">
        <w:rPr>
          <w:rFonts w:ascii="Times New Roman" w:hAnsi="Times New Roman" w:cs="Times New Roman"/>
          <w:sz w:val="24"/>
          <w:szCs w:val="24"/>
          <w:lang w:val="en-US"/>
        </w:rPr>
        <w:fldChar w:fldCharType="end"/>
      </w:r>
      <w:r w:rsidR="00F77439" w:rsidRPr="002E7761">
        <w:rPr>
          <w:rFonts w:ascii="Times New Roman" w:hAnsi="Times New Roman" w:cs="Times New Roman"/>
          <w:sz w:val="24"/>
          <w:szCs w:val="24"/>
          <w:lang w:val="en-US"/>
        </w:rPr>
        <w:t xml:space="preserve">. </w:t>
      </w:r>
      <w:r w:rsidR="00EF0368" w:rsidRPr="00EF0368">
        <w:rPr>
          <w:rFonts w:ascii="Times New Roman" w:hAnsi="Times New Roman" w:cs="Times New Roman"/>
          <w:sz w:val="24"/>
          <w:szCs w:val="24"/>
          <w:lang w:val="en-US"/>
        </w:rPr>
        <w:t>To learn more about the actual preva</w:t>
      </w:r>
      <w:r w:rsidR="00EF0368">
        <w:rPr>
          <w:rFonts w:ascii="Times New Roman" w:hAnsi="Times New Roman" w:cs="Times New Roman"/>
          <w:sz w:val="24"/>
          <w:szCs w:val="24"/>
          <w:lang w:val="en-US"/>
        </w:rPr>
        <w:t xml:space="preserve">lence and natural history of </w:t>
      </w:r>
      <w:proofErr w:type="spellStart"/>
      <w:r w:rsidR="00EF0368">
        <w:rPr>
          <w:rFonts w:ascii="Times New Roman" w:hAnsi="Times New Roman" w:cs="Times New Roman"/>
          <w:sz w:val="24"/>
          <w:szCs w:val="24"/>
          <w:lang w:val="en-US"/>
        </w:rPr>
        <w:t>PCa</w:t>
      </w:r>
      <w:proofErr w:type="spellEnd"/>
      <w:r w:rsidR="00F77439" w:rsidRPr="002E7761">
        <w:rPr>
          <w:rFonts w:ascii="Times New Roman" w:hAnsi="Times New Roman" w:cs="Times New Roman"/>
          <w:sz w:val="24"/>
          <w:szCs w:val="24"/>
          <w:lang w:val="en-US"/>
        </w:rPr>
        <w:t xml:space="preserve"> in Nigeria and Africa as a whole, more extensive studies are needed.</w:t>
      </w:r>
    </w:p>
    <w:p w:rsidR="00F77439" w:rsidRPr="002E7761" w:rsidRDefault="00775C68" w:rsidP="006D3376">
      <w:pPr>
        <w:spacing w:line="360"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2</w:t>
      </w:r>
      <w:r w:rsidR="00BA6281">
        <w:rPr>
          <w:rFonts w:ascii="Times New Roman" w:eastAsia="Calibri" w:hAnsi="Times New Roman" w:cs="Times New Roman"/>
          <w:b/>
          <w:bCs/>
          <w:sz w:val="24"/>
          <w:szCs w:val="24"/>
        </w:rPr>
        <w:t>.3</w:t>
      </w:r>
      <w:r w:rsidR="00F77439" w:rsidRPr="002E7761">
        <w:rPr>
          <w:rFonts w:ascii="Times New Roman" w:eastAsia="Calibri" w:hAnsi="Times New Roman" w:cs="Times New Roman"/>
          <w:b/>
          <w:bCs/>
          <w:sz w:val="24"/>
          <w:szCs w:val="24"/>
        </w:rPr>
        <w:t xml:space="preserve"> Incidence and Risk Factors of Prostate Cancer</w:t>
      </w:r>
    </w:p>
    <w:p w:rsidR="00F77439" w:rsidRPr="002E7761" w:rsidRDefault="00F77439" w:rsidP="006D3376">
      <w:pPr>
        <w:spacing w:line="360" w:lineRule="auto"/>
        <w:jc w:val="both"/>
        <w:rPr>
          <w:rFonts w:ascii="Times New Roman" w:eastAsia="Calibri" w:hAnsi="Times New Roman" w:cs="Times New Roman"/>
          <w:sz w:val="24"/>
          <w:szCs w:val="24"/>
        </w:rPr>
      </w:pPr>
      <w:r w:rsidRPr="002E7761">
        <w:rPr>
          <w:rFonts w:ascii="Times New Roman" w:eastAsia="Calibri" w:hAnsi="Times New Roman" w:cs="Times New Roman"/>
          <w:sz w:val="24"/>
          <w:szCs w:val="24"/>
        </w:rPr>
        <w:t xml:space="preserve">The incidence of </w:t>
      </w:r>
      <w:proofErr w:type="spellStart"/>
      <w:r w:rsidRPr="002E7761">
        <w:rPr>
          <w:rFonts w:ascii="Times New Roman" w:eastAsia="Calibri" w:hAnsi="Times New Roman" w:cs="Times New Roman"/>
          <w:sz w:val="24"/>
          <w:szCs w:val="24"/>
        </w:rPr>
        <w:t>PCa</w:t>
      </w:r>
      <w:proofErr w:type="spellEnd"/>
      <w:r w:rsidRPr="002E7761">
        <w:rPr>
          <w:rFonts w:ascii="Times New Roman" w:eastAsia="Calibri" w:hAnsi="Times New Roman" w:cs="Times New Roman"/>
          <w:sz w:val="24"/>
          <w:szCs w:val="24"/>
        </w:rPr>
        <w:t xml:space="preserve"> varies widely across different populations and regions, with higher incidence rates and low mortality being observed in Western countries compared to Asian and African populations </w:t>
      </w:r>
      <w:r w:rsidRPr="002E7761">
        <w:rPr>
          <w:rFonts w:ascii="Times New Roman" w:eastAsia="Calibri" w:hAnsi="Times New Roman" w:cs="Times New Roman"/>
          <w:sz w:val="24"/>
          <w:szCs w:val="24"/>
        </w:rPr>
        <w:fldChar w:fldCharType="begin"/>
      </w:r>
      <w:r w:rsidRPr="002E7761">
        <w:rPr>
          <w:rFonts w:ascii="Times New Roman" w:eastAsia="Calibri" w:hAnsi="Times New Roman" w:cs="Times New Roman"/>
          <w:sz w:val="24"/>
          <w:szCs w:val="24"/>
        </w:rPr>
        <w:instrText xml:space="preserve"> ADDIN ZOTERO_ITEM CSL_CITATION {"citationID":"HeHjgGv6","properties":{"formattedCitation":"(Wang et al., 2022)","plainCitation":"(Wang et al., 2022)","noteIndex":0},"citationItems":[{"id":299,"uris":["http://zotero.org/users/local/7J0d6nia/items/X6ADMKCK","http://zotero.org/users/11300200/items/X6ADMKCK"],"itemData":{"id":299,"type":"article-journal","abstract":"Aims\n              To evaluate current status of prostate cancer incidence and mortality worldwide, and compare the global trends of incidence and mortality in the past two decades and in the most recent period.\n            \n            \n              Methods\n              Data on the incidence and mortality of prostate cancer for 174 countries in 2020 were obtained from the GLOBOCAN 2020 database, and associations with the human development index (HDI) were evaluated. Data for trend analyses in 89 countries from 2000 to 2019 were retrieved from the Global Burden of Disease 2019 platform. Age standardized incidence rate (ASIR) and mortality rate (ASMR) were calculated by using the Segi's population. The average annual percent changes (AAPC) of ASIRs and ASMRs were evaluated by joinpoint regression analysis.\n            \n            \n              Results\n              \n                A total of 1 414 259 new cases of prostate cancer and 375 304 related deaths were reported in 2020 globally. HDI was positively correlated with ASIRs (\n                P\n                &amp;lt; 0.001) and negatively correlated with ASMRs (\n                P\n                &amp;lt; 0.001). In the past two decades, ASIRs have been increasing in 65 countries, stable in 15 countries and decreasing in 9 countries, and ASMRs have been increasing in 19 countries, stable in 25 countries and decreasing in 45 countries, respectively. In the most recent period, 44 countries have increasing ASIRs, and 32 countries have decreasing ASMRs, respectively. For instance, in the United States of America, the AAPC of ASIRs significantly decreased by 0.62% and ASMRs significantly decreased by 1.22% from 2000 to 2019, while the AAPC from 2015 to 2019 significantly increased by 0.49% for ASIRs and significantly increased by 0.48% for ASMRs.\n              \n            \n            \n              Conclusion\n              The magnitude of increasing incidence and decreasing mortality of prostate cancer is attenuated in the recent period. Further study is needed to analyze the absolute effect of risk factors, PSA screening and treatment.","container-title":"Frontiers in Public Health","DOI":"10.3389/fpubh.2022.811044","ISSN":"2296-2565","journalAbbreviation":"Front. Public Health","page":"811044","source":"DOI.org (Crossref)","title":"Prostate Cancer Incidence and Mortality: Global Status and Temporal Trends in 89 Countries From 2000 to 2019","title-short":"Prostate Cancer Incidence and Mortality","volume":"10","author":[{"family":"Wang","given":"Le"},{"family":"Lu","given":"Bin"},{"family":"He","given":"Mengjie"},{"family":"Wang","given":"Youqing"},{"family":"Wang","given":"Zongping"},{"family":"Du","given":"Lingbin"}],"issued":{"date-parts":[["2022",2,16]]}}}],"schema":"https://github.com/citation-style-language/schema/raw/master/csl-citation.json"} </w:instrText>
      </w:r>
      <w:r w:rsidRPr="002E7761">
        <w:rPr>
          <w:rFonts w:ascii="Times New Roman" w:eastAsia="Calibri" w:hAnsi="Times New Roman" w:cs="Times New Roman"/>
          <w:sz w:val="24"/>
          <w:szCs w:val="24"/>
        </w:rPr>
        <w:fldChar w:fldCharType="separate"/>
      </w:r>
      <w:r w:rsidR="00167D83" w:rsidRPr="00167D83">
        <w:rPr>
          <w:rFonts w:ascii="Times New Roman" w:hAnsi="Times New Roman" w:cs="Times New Roman"/>
          <w:sz w:val="24"/>
        </w:rPr>
        <w:t>(Wang et al., 2022)</w:t>
      </w:r>
      <w:r w:rsidRPr="002E7761">
        <w:rPr>
          <w:rFonts w:ascii="Times New Roman" w:eastAsia="Calibri" w:hAnsi="Times New Roman" w:cs="Times New Roman"/>
          <w:sz w:val="24"/>
          <w:szCs w:val="24"/>
        </w:rPr>
        <w:fldChar w:fldCharType="end"/>
      </w:r>
      <w:r w:rsidRPr="002E7761">
        <w:rPr>
          <w:rFonts w:ascii="Times New Roman" w:eastAsia="Calibri" w:hAnsi="Times New Roman" w:cs="Times New Roman"/>
          <w:sz w:val="24"/>
          <w:szCs w:val="24"/>
        </w:rPr>
        <w:t xml:space="preserve">. However, this in contrast to African countries </w:t>
      </w:r>
      <w:r w:rsidRPr="002E7761">
        <w:rPr>
          <w:rFonts w:ascii="Times New Roman" w:eastAsia="Calibri" w:hAnsi="Times New Roman" w:cs="Times New Roman"/>
          <w:sz w:val="24"/>
          <w:szCs w:val="24"/>
        </w:rPr>
        <w:lastRenderedPageBreak/>
        <w:t>including Nigeria, that has low incidence but higher mortality. This disparities could be due to environment, variations in genetic factors and improved access to health care and increased awareness of the disease (</w:t>
      </w:r>
      <w:proofErr w:type="spellStart"/>
      <w:r w:rsidRPr="002E7761">
        <w:rPr>
          <w:rFonts w:ascii="Times New Roman" w:eastAsia="Calibri" w:hAnsi="Times New Roman" w:cs="Times New Roman"/>
          <w:sz w:val="24"/>
          <w:szCs w:val="24"/>
        </w:rPr>
        <w:t>Badal</w:t>
      </w:r>
      <w:proofErr w:type="spellEnd"/>
      <w:r w:rsidRPr="002E7761">
        <w:rPr>
          <w:rFonts w:ascii="Times New Roman" w:eastAsia="Calibri" w:hAnsi="Times New Roman" w:cs="Times New Roman"/>
          <w:sz w:val="24"/>
          <w:szCs w:val="24"/>
        </w:rPr>
        <w:t xml:space="preserve"> et al., 2020). Family history, age, genetics, and lifestyle choices are among the risk factors for </w:t>
      </w:r>
      <w:proofErr w:type="spellStart"/>
      <w:r w:rsidRPr="002E7761">
        <w:rPr>
          <w:rFonts w:ascii="Times New Roman" w:eastAsia="Calibri" w:hAnsi="Times New Roman" w:cs="Times New Roman"/>
          <w:sz w:val="24"/>
          <w:szCs w:val="24"/>
        </w:rPr>
        <w:t>PCa</w:t>
      </w:r>
      <w:proofErr w:type="spellEnd"/>
      <w:r w:rsidRPr="002E7761">
        <w:rPr>
          <w:rFonts w:ascii="Times New Roman" w:eastAsia="Calibri" w:hAnsi="Times New Roman" w:cs="Times New Roman"/>
          <w:sz w:val="24"/>
          <w:szCs w:val="24"/>
        </w:rPr>
        <w:t xml:space="preserve"> that have been identified.</w:t>
      </w:r>
      <w:r w:rsidRPr="002E7761">
        <w:rPr>
          <w:rFonts w:ascii="Times New Roman" w:hAnsi="Times New Roman" w:cs="Times New Roman"/>
          <w:sz w:val="24"/>
          <w:szCs w:val="24"/>
        </w:rPr>
        <w:t xml:space="preserve"> </w:t>
      </w:r>
      <w:r w:rsidRPr="002E7761">
        <w:rPr>
          <w:rFonts w:ascii="Times New Roman" w:eastAsia="Calibri" w:hAnsi="Times New Roman" w:cs="Times New Roman"/>
          <w:sz w:val="24"/>
          <w:szCs w:val="24"/>
        </w:rPr>
        <w:t xml:space="preserve">According to a cohort study on </w:t>
      </w:r>
      <w:proofErr w:type="spellStart"/>
      <w:r w:rsidRPr="002E7761">
        <w:rPr>
          <w:rFonts w:ascii="Times New Roman" w:eastAsia="Calibri" w:hAnsi="Times New Roman" w:cs="Times New Roman"/>
          <w:sz w:val="24"/>
          <w:szCs w:val="24"/>
        </w:rPr>
        <w:t>PCa</w:t>
      </w:r>
      <w:proofErr w:type="spellEnd"/>
      <w:r w:rsidRPr="002E7761">
        <w:rPr>
          <w:rFonts w:ascii="Times New Roman" w:eastAsia="Calibri" w:hAnsi="Times New Roman" w:cs="Times New Roman"/>
          <w:sz w:val="24"/>
          <w:szCs w:val="24"/>
        </w:rPr>
        <w:t xml:space="preserve"> risk factors among </w:t>
      </w:r>
      <w:r w:rsidR="00DC48E2">
        <w:rPr>
          <w:rFonts w:ascii="Times New Roman" w:eastAsia="Calibri" w:hAnsi="Times New Roman" w:cs="Times New Roman"/>
          <w:sz w:val="24"/>
          <w:szCs w:val="24"/>
        </w:rPr>
        <w:t>West</w:t>
      </w:r>
      <w:r w:rsidRPr="002E7761">
        <w:rPr>
          <w:rFonts w:ascii="Times New Roman" w:eastAsia="Calibri" w:hAnsi="Times New Roman" w:cs="Times New Roman"/>
          <w:sz w:val="24"/>
          <w:szCs w:val="24"/>
        </w:rPr>
        <w:t xml:space="preserve"> African men, lack of information, regular alcohol and tobacco use, inactivity, and obesity were all linked to the disease </w:t>
      </w:r>
      <w:r w:rsidRPr="002E7761">
        <w:rPr>
          <w:rFonts w:ascii="Times New Roman" w:eastAsia="Calibri" w:hAnsi="Times New Roman" w:cs="Times New Roman"/>
          <w:sz w:val="24"/>
          <w:szCs w:val="24"/>
        </w:rPr>
        <w:fldChar w:fldCharType="begin"/>
      </w:r>
      <w:r w:rsidRPr="002E7761">
        <w:rPr>
          <w:rFonts w:ascii="Times New Roman" w:eastAsia="Calibri" w:hAnsi="Times New Roman" w:cs="Times New Roman"/>
          <w:sz w:val="24"/>
          <w:szCs w:val="24"/>
        </w:rPr>
        <w:instrText xml:space="preserve"> ADDIN ZOTERO_ITEM CSL_CITATION {"citationID":"qttcKOb6","properties":{"formattedCitation":"(Oladoyinbo et al., 2020)","plainCitation":"(Oladoyinbo et al., 2020)","noteIndex":0},"citationItems":[{"id":284,"uris":["http://zotero.org/users/local/7J0d6nia/items/JZXZJMNB","http://zotero.org/users/11300200/items/JZXZJMNB"],"itemData":{"id":284,"type":"article-journal","abstract":"Prostate cancer (CaP) has been identified as the most common cancer among men globally with higher prevalence, incidence and mortality rates in black men. This study aims to assess the risk factors for CaP among West African men residing in Nigeria, Cameroun and the United States. A validated CaPTC familial cohort study questionnaire was used to collect data on the respondents’ characteristics, alcohol consumption pattern, smoking pattern, knowledge of CaP, physical activity level and cancer status. Anthropometric measurements were taken using standard procedures. Data was summarised using descriptive statistics and penalized maximum likelihood logistic regression analysis via Firth method was used to determine association between CaP status and independent variables. The results show that 2.21% reported to have been diagnosed of CaP out of which 90.91% resides in Nigeria. Median age of the respondents is 47 years, 62.21% had poor knowledge of CaP, and 17.11% had central obesity.  More than half (62.07%) of the study participants currently drink alcohol, 24.4% are current smokers and 51.5% engage in low physical activity. Number of daughters (OR=1.2435, 95%CI: 1.0045, 1.5393), consistent alcohol drinkers in years (OR=1.0484, 95%CI: 1.0151, 1.0829) and glasses of drink on a typical occasion (OR=1.2145, 95%CI: 1.0560, 1.3968) were associated with CaP status. In the multiple logistic regression, only number of daughters (OR=1.2531, 95%CI: 1.0055, 1.5617) is associated with CaP status. In conclusion, poor knowledge of CaP was observed among the respondents. Alcohol consumption, increased number of glasses of alcohol consumed on typical occasion and increasing number of daughters are associated with CaP status and increased risk of the disease.","container-title":"Cancer Health Disparities","ISSN":"2573-9530","journalAbbreviation":"CHD","language":"en","license":"Copyright (c) 2019 Cancer Health Disparities","source":"www.companyofscientists.com","title":"Risk Factors for Prostate Cancer in West African Men: The Prostate Cancer Transatlantic Consortium (CaPTC) Cohort Study","title-short":"Risk Factors for Prostate Cancer in West African Men","URL":"https://www.companyofscientists.com","volume":"4","author":[{"family":"Oladoyinbo","given":"Catherine Adebukola"},{"family":"Akinbule","given":"Oluwafunke Opeyemi"},{"family":"Bolajoko","given":"Opeyemi Oreoluwa"},{"family":"Aheto","given":"Justice Moses"},{"family":"Faruk","given":"Mohammed"},{"family":"Bassey","given":"Iya Eze"},{"family":"Odedina","given":"Folakemi"},{"family":"Ogunlana","given":"Olubanke Olujoke"},{"family":"Ogunsanya","given":"Motolani"},{"family":"Suleiman","given":"Aishatu Maude"},{"family":"Obialor","given":"Stanley"},{"family":"Gali","given":"Rebecca"}],"accessed":{"date-parts":[["2023",2,10]]},"issued":{"date-parts":[["2020"]]}}}],"schema":"https://github.com/citation-style-language/schema/raw/master/csl-citation.json"} </w:instrText>
      </w:r>
      <w:r w:rsidRPr="002E7761">
        <w:rPr>
          <w:rFonts w:ascii="Times New Roman" w:eastAsia="Calibri" w:hAnsi="Times New Roman" w:cs="Times New Roman"/>
          <w:sz w:val="24"/>
          <w:szCs w:val="24"/>
        </w:rPr>
        <w:fldChar w:fldCharType="separate"/>
      </w:r>
      <w:r w:rsidR="00167D83" w:rsidRPr="00167D83">
        <w:rPr>
          <w:rFonts w:ascii="Times New Roman" w:hAnsi="Times New Roman" w:cs="Times New Roman"/>
          <w:sz w:val="24"/>
        </w:rPr>
        <w:t>(Oladoyinbo et al., 2020)</w:t>
      </w:r>
      <w:r w:rsidRPr="002E7761">
        <w:rPr>
          <w:rFonts w:ascii="Times New Roman" w:eastAsia="Calibri" w:hAnsi="Times New Roman" w:cs="Times New Roman"/>
          <w:sz w:val="24"/>
          <w:szCs w:val="24"/>
        </w:rPr>
        <w:fldChar w:fldCharType="end"/>
      </w:r>
      <w:r w:rsidRPr="002E7761">
        <w:rPr>
          <w:rFonts w:ascii="Times New Roman" w:eastAsia="Calibri" w:hAnsi="Times New Roman" w:cs="Times New Roman"/>
          <w:sz w:val="24"/>
          <w:szCs w:val="24"/>
        </w:rPr>
        <w:t xml:space="preserve">. Genetic, lifestyle, and environmental factors </w:t>
      </w:r>
      <w:r w:rsidR="006C4570">
        <w:rPr>
          <w:rFonts w:ascii="Times New Roman" w:eastAsia="Calibri" w:hAnsi="Times New Roman" w:cs="Times New Roman"/>
          <w:sz w:val="24"/>
          <w:szCs w:val="24"/>
        </w:rPr>
        <w:t xml:space="preserve">contribute to the incidence of prostate cancer, among </w:t>
      </w:r>
      <w:r w:rsidRPr="002E7761">
        <w:rPr>
          <w:rFonts w:ascii="Times New Roman" w:eastAsia="Calibri" w:hAnsi="Times New Roman" w:cs="Times New Roman"/>
          <w:sz w:val="24"/>
          <w:szCs w:val="24"/>
        </w:rPr>
        <w:t>which age is the most significant risk factor, with the incidence of the disease increasing with age. F</w:t>
      </w:r>
      <w:r w:rsidR="00EF0368">
        <w:rPr>
          <w:rFonts w:ascii="Times New Roman" w:eastAsia="Calibri" w:hAnsi="Times New Roman" w:cs="Times New Roman"/>
          <w:sz w:val="24"/>
          <w:szCs w:val="24"/>
        </w:rPr>
        <w:t xml:space="preserve">amily history of </w:t>
      </w:r>
      <w:proofErr w:type="spellStart"/>
      <w:r w:rsidR="00EF0368">
        <w:rPr>
          <w:rFonts w:ascii="Times New Roman" w:eastAsia="Calibri" w:hAnsi="Times New Roman" w:cs="Times New Roman"/>
          <w:sz w:val="24"/>
          <w:szCs w:val="24"/>
        </w:rPr>
        <w:t>PCa</w:t>
      </w:r>
      <w:proofErr w:type="spellEnd"/>
      <w:r w:rsidRPr="002E7761">
        <w:rPr>
          <w:rFonts w:ascii="Times New Roman" w:eastAsia="Calibri" w:hAnsi="Times New Roman" w:cs="Times New Roman"/>
          <w:sz w:val="24"/>
          <w:szCs w:val="24"/>
        </w:rPr>
        <w:t xml:space="preserve"> is also an important risk factor, with men who have a first-degree relative with the disease having a higher ri</w:t>
      </w:r>
      <w:r w:rsidR="00EF0368">
        <w:rPr>
          <w:rFonts w:ascii="Times New Roman" w:eastAsia="Calibri" w:hAnsi="Times New Roman" w:cs="Times New Roman"/>
          <w:sz w:val="24"/>
          <w:szCs w:val="24"/>
        </w:rPr>
        <w:t xml:space="preserve">sk of developing </w:t>
      </w:r>
      <w:proofErr w:type="spellStart"/>
      <w:r w:rsidR="00EF0368">
        <w:rPr>
          <w:rFonts w:ascii="Times New Roman" w:eastAsia="Calibri" w:hAnsi="Times New Roman" w:cs="Times New Roman"/>
          <w:sz w:val="24"/>
          <w:szCs w:val="24"/>
        </w:rPr>
        <w:t>PCa</w:t>
      </w:r>
      <w:proofErr w:type="spellEnd"/>
      <w:r w:rsidRPr="002E7761">
        <w:rPr>
          <w:rFonts w:ascii="Times New Roman" w:eastAsia="Calibri" w:hAnsi="Times New Roman" w:cs="Times New Roman"/>
          <w:sz w:val="24"/>
          <w:szCs w:val="24"/>
        </w:rPr>
        <w:t xml:space="preserve">. Genetics also play a significant role in the development of </w:t>
      </w:r>
      <w:proofErr w:type="spellStart"/>
      <w:r w:rsidRPr="002E7761">
        <w:rPr>
          <w:rFonts w:ascii="Times New Roman" w:eastAsia="Calibri" w:hAnsi="Times New Roman" w:cs="Times New Roman"/>
          <w:sz w:val="24"/>
          <w:szCs w:val="24"/>
        </w:rPr>
        <w:t>PCa</w:t>
      </w:r>
      <w:proofErr w:type="spellEnd"/>
      <w:r w:rsidRPr="002E7761">
        <w:rPr>
          <w:rFonts w:ascii="Times New Roman" w:eastAsia="Calibri" w:hAnsi="Times New Roman" w:cs="Times New Roman"/>
          <w:sz w:val="24"/>
          <w:szCs w:val="24"/>
        </w:rPr>
        <w:t>, with specific genetic variations in genes</w:t>
      </w:r>
      <w:r w:rsidR="006C4570">
        <w:rPr>
          <w:rFonts w:ascii="Times New Roman" w:eastAsia="Calibri" w:hAnsi="Times New Roman" w:cs="Times New Roman"/>
          <w:sz w:val="24"/>
          <w:szCs w:val="24"/>
        </w:rPr>
        <w:t>, such as the AR gene,</w:t>
      </w:r>
      <w:r w:rsidRPr="002E7761">
        <w:rPr>
          <w:rFonts w:ascii="Times New Roman" w:eastAsia="Calibri" w:hAnsi="Times New Roman" w:cs="Times New Roman"/>
          <w:sz w:val="24"/>
          <w:szCs w:val="24"/>
        </w:rPr>
        <w:t xml:space="preserve"> being associated with an increased risk of the disease </w:t>
      </w:r>
      <w:r w:rsidRPr="002E7761">
        <w:rPr>
          <w:rFonts w:ascii="Times New Roman" w:eastAsia="Calibri" w:hAnsi="Times New Roman" w:cs="Times New Roman"/>
          <w:sz w:val="24"/>
          <w:szCs w:val="24"/>
        </w:rPr>
        <w:fldChar w:fldCharType="begin"/>
      </w:r>
      <w:r w:rsidRPr="002E7761">
        <w:rPr>
          <w:rFonts w:ascii="Times New Roman" w:eastAsia="Calibri" w:hAnsi="Times New Roman" w:cs="Times New Roman"/>
          <w:sz w:val="24"/>
          <w:szCs w:val="24"/>
        </w:rPr>
        <w:instrText xml:space="preserve"> ADDIN ZOTERO_ITEM CSL_CITATION {"citationID":"fSATbbIS","properties":{"formattedCitation":"(Conteduca et al., 2019)","plainCitation":"(Conteduca et al., 2019)","noteIndex":0},"citationItems":[{"id":357,"uris":["http://zotero.org/users/local/7J0d6nia/items/6JJJTAIP","http://zotero.org/users/11300200/items/6JJJTAIP"],"itemData":{"id":357,"type":"article-journal","container-title":"Cancers","ISSN":"2072-6694","issue":"11","journalAbbreviation":"Cancers","note":"publisher: MDPI","page":"1719","title":"Plasma androgen receptor in prostate cancer","volume":"11","author":[{"family":"Conteduca","given":"Vincenza"},{"family":"Gurioli","given":"Giorgia"},{"family":"Brighi","given":"Nicole"},{"family":"Lolli","given":"Cristian"},{"family":"Schepisi","given":"Giuseppe"},{"family":"Casadei","given":"Chiara"},{"family":"Burgio","given":"Salvatore Luca"},{"family":"Gargiulo","given":"Stefania"},{"family":"Ravaglia","given":"Giorgia"},{"family":"Rossi","given":"Lorena"}],"issued":{"date-parts":[["2019"]]}}}],"schema":"https://github.com/citation-style-language/schema/raw/master/csl-citation.json"} </w:instrText>
      </w:r>
      <w:r w:rsidRPr="002E7761">
        <w:rPr>
          <w:rFonts w:ascii="Times New Roman" w:eastAsia="Calibri" w:hAnsi="Times New Roman" w:cs="Times New Roman"/>
          <w:sz w:val="24"/>
          <w:szCs w:val="24"/>
        </w:rPr>
        <w:fldChar w:fldCharType="separate"/>
      </w:r>
      <w:r w:rsidR="00167D83" w:rsidRPr="00167D83">
        <w:rPr>
          <w:rFonts w:ascii="Times New Roman" w:hAnsi="Times New Roman" w:cs="Times New Roman"/>
          <w:sz w:val="24"/>
        </w:rPr>
        <w:t>(Conteduca et al., 2019)</w:t>
      </w:r>
      <w:r w:rsidRPr="002E7761">
        <w:rPr>
          <w:rFonts w:ascii="Times New Roman" w:eastAsia="Calibri" w:hAnsi="Times New Roman" w:cs="Times New Roman"/>
          <w:sz w:val="24"/>
          <w:szCs w:val="24"/>
        </w:rPr>
        <w:fldChar w:fldCharType="end"/>
      </w:r>
      <w:r w:rsidRPr="002E7761">
        <w:rPr>
          <w:rFonts w:ascii="Times New Roman" w:eastAsia="Calibri" w:hAnsi="Times New Roman" w:cs="Times New Roman"/>
          <w:sz w:val="24"/>
          <w:szCs w:val="24"/>
        </w:rPr>
        <w:t>. Lifestyle factors, including diet and physical activity, have also been shown to impact prostate cancer risk. For example, a diet high in animal fat and low in fruits and vegetables has been linked to an increased risk of prostate cancer, while physical activity has been associated with a reduced risk of the disease. In particular</w:t>
      </w:r>
      <w:r w:rsidR="006C4570">
        <w:rPr>
          <w:rFonts w:ascii="Times New Roman" w:eastAsia="Calibri" w:hAnsi="Times New Roman" w:cs="Times New Roman"/>
          <w:sz w:val="24"/>
          <w:szCs w:val="24"/>
        </w:rPr>
        <w:t>,</w:t>
      </w:r>
      <w:r w:rsidRPr="002E7761">
        <w:rPr>
          <w:rFonts w:ascii="Times New Roman" w:eastAsia="Calibri" w:hAnsi="Times New Roman" w:cs="Times New Roman"/>
          <w:sz w:val="24"/>
          <w:szCs w:val="24"/>
        </w:rPr>
        <w:t xml:space="preserve"> in populations with a high burden of the disease, like Nigeria, more research is needed to ascertain the relative contributions of genetic, lifestyle, and environmental factors to the incidence of </w:t>
      </w:r>
      <w:proofErr w:type="spellStart"/>
      <w:r w:rsidRPr="002E7761">
        <w:rPr>
          <w:rFonts w:ascii="Times New Roman" w:eastAsia="Calibri" w:hAnsi="Times New Roman" w:cs="Times New Roman"/>
          <w:sz w:val="24"/>
          <w:szCs w:val="24"/>
        </w:rPr>
        <w:t>PCa</w:t>
      </w:r>
      <w:proofErr w:type="spellEnd"/>
      <w:r w:rsidRPr="002E7761">
        <w:rPr>
          <w:rFonts w:ascii="Times New Roman" w:eastAsia="Calibri" w:hAnsi="Times New Roman" w:cs="Times New Roman"/>
          <w:sz w:val="24"/>
          <w:szCs w:val="24"/>
        </w:rPr>
        <w:t xml:space="preserve">. We can work to lessen the effects of this disease on men and their families by understanding the incidence and risk factors for </w:t>
      </w:r>
      <w:proofErr w:type="spellStart"/>
      <w:r w:rsidRPr="002E7761">
        <w:rPr>
          <w:rFonts w:ascii="Times New Roman" w:eastAsia="Calibri" w:hAnsi="Times New Roman" w:cs="Times New Roman"/>
          <w:sz w:val="24"/>
          <w:szCs w:val="24"/>
        </w:rPr>
        <w:t>PCa</w:t>
      </w:r>
      <w:proofErr w:type="spellEnd"/>
      <w:r w:rsidRPr="002E7761">
        <w:rPr>
          <w:rFonts w:ascii="Times New Roman" w:eastAsia="Calibri" w:hAnsi="Times New Roman" w:cs="Times New Roman"/>
          <w:sz w:val="24"/>
          <w:szCs w:val="24"/>
        </w:rPr>
        <w:t>.</w:t>
      </w:r>
    </w:p>
    <w:p w:rsidR="00F77439" w:rsidRPr="002E7761" w:rsidRDefault="00775C68" w:rsidP="006D3376">
      <w:pPr>
        <w:spacing w:line="360" w:lineRule="auto"/>
        <w:jc w:val="both"/>
        <w:rPr>
          <w:rFonts w:ascii="Times New Roman" w:eastAsia="Calibri" w:hAnsi="Times New Roman" w:cs="Times New Roman"/>
          <w:b/>
          <w:bCs/>
          <w:sz w:val="24"/>
          <w:szCs w:val="24"/>
        </w:rPr>
      </w:pPr>
      <w:r>
        <w:rPr>
          <w:rFonts w:ascii="Times New Roman" w:eastAsia="Calibri" w:hAnsi="Times New Roman" w:cs="Times New Roman"/>
          <w:b/>
          <w:sz w:val="24"/>
          <w:szCs w:val="24"/>
        </w:rPr>
        <w:t>2</w:t>
      </w:r>
      <w:r w:rsidR="00BA6281">
        <w:rPr>
          <w:rFonts w:ascii="Times New Roman" w:eastAsia="Calibri" w:hAnsi="Times New Roman" w:cs="Times New Roman"/>
          <w:b/>
          <w:sz w:val="24"/>
          <w:szCs w:val="24"/>
        </w:rPr>
        <w:t>.4</w:t>
      </w:r>
      <w:r w:rsidR="00F77439" w:rsidRPr="002E7761">
        <w:rPr>
          <w:rFonts w:ascii="Times New Roman" w:eastAsia="Calibri" w:hAnsi="Times New Roman" w:cs="Times New Roman"/>
          <w:b/>
          <w:sz w:val="24"/>
          <w:szCs w:val="24"/>
        </w:rPr>
        <w:t xml:space="preserve"> </w:t>
      </w:r>
      <w:r w:rsidR="00F77439" w:rsidRPr="002E7761">
        <w:rPr>
          <w:rFonts w:ascii="Times New Roman" w:eastAsia="Calibri" w:hAnsi="Times New Roman" w:cs="Times New Roman"/>
          <w:b/>
          <w:bCs/>
          <w:sz w:val="24"/>
          <w:szCs w:val="24"/>
        </w:rPr>
        <w:t>Diagnosis of Prostate Cancer</w:t>
      </w:r>
    </w:p>
    <w:p w:rsidR="00F77439" w:rsidRPr="00EE2C71" w:rsidRDefault="00F77439" w:rsidP="00EE2C71">
      <w:pPr>
        <w:spacing w:line="360" w:lineRule="auto"/>
        <w:jc w:val="both"/>
        <w:rPr>
          <w:rFonts w:ascii="Times New Roman" w:eastAsia="Calibri" w:hAnsi="Times New Roman" w:cs="Times New Roman"/>
          <w:sz w:val="24"/>
          <w:szCs w:val="24"/>
          <w:lang w:val="en-US"/>
        </w:rPr>
      </w:pPr>
      <w:r w:rsidRPr="002E7761">
        <w:rPr>
          <w:rFonts w:ascii="Times New Roman" w:eastAsia="Calibri" w:hAnsi="Times New Roman" w:cs="Times New Roman"/>
          <w:sz w:val="24"/>
          <w:szCs w:val="24"/>
        </w:rPr>
        <w:t xml:space="preserve">Several diagnostic tests and biomarkers have been </w:t>
      </w:r>
      <w:r w:rsidR="00EE2C71" w:rsidRPr="00EE2C71">
        <w:rPr>
          <w:rFonts w:ascii="Times New Roman" w:eastAsia="Calibri" w:hAnsi="Times New Roman" w:cs="Times New Roman"/>
          <w:sz w:val="24"/>
          <w:szCs w:val="24"/>
          <w:lang w:val="en-US"/>
        </w:rPr>
        <w:t xml:space="preserve">created to facilitate the detection </w:t>
      </w:r>
      <w:r w:rsidRPr="002E7761">
        <w:rPr>
          <w:rFonts w:ascii="Times New Roman" w:eastAsia="Calibri" w:hAnsi="Times New Roman" w:cs="Times New Roman"/>
          <w:sz w:val="24"/>
          <w:szCs w:val="24"/>
        </w:rPr>
        <w:t>a</w:t>
      </w:r>
      <w:r w:rsidR="00EE2C71">
        <w:rPr>
          <w:rFonts w:ascii="Times New Roman" w:eastAsia="Calibri" w:hAnsi="Times New Roman" w:cs="Times New Roman"/>
          <w:sz w:val="24"/>
          <w:szCs w:val="24"/>
        </w:rPr>
        <w:t xml:space="preserve">nd management of </w:t>
      </w:r>
      <w:proofErr w:type="spellStart"/>
      <w:r w:rsidR="00EE2C71">
        <w:rPr>
          <w:rFonts w:ascii="Times New Roman" w:eastAsia="Calibri" w:hAnsi="Times New Roman" w:cs="Times New Roman"/>
          <w:sz w:val="24"/>
          <w:szCs w:val="24"/>
        </w:rPr>
        <w:t>PCa</w:t>
      </w:r>
      <w:proofErr w:type="spellEnd"/>
      <w:r w:rsidRPr="002E7761">
        <w:rPr>
          <w:rFonts w:ascii="Times New Roman" w:eastAsia="Calibri" w:hAnsi="Times New Roman" w:cs="Times New Roman"/>
          <w:sz w:val="24"/>
          <w:szCs w:val="24"/>
        </w:rPr>
        <w:t xml:space="preserve">. Therefore, </w:t>
      </w:r>
      <w:r w:rsidR="00EE2C71">
        <w:rPr>
          <w:rFonts w:ascii="Times New Roman" w:eastAsia="Calibri" w:hAnsi="Times New Roman" w:cs="Times New Roman"/>
          <w:sz w:val="24"/>
          <w:szCs w:val="24"/>
        </w:rPr>
        <w:t xml:space="preserve">it is conceivable </w:t>
      </w:r>
      <w:r w:rsidRPr="002E7761">
        <w:rPr>
          <w:rFonts w:ascii="Times New Roman" w:eastAsia="Calibri" w:hAnsi="Times New Roman" w:cs="Times New Roman"/>
          <w:sz w:val="24"/>
          <w:szCs w:val="24"/>
        </w:rPr>
        <w:t>to effectively treat and, in some cases, completely eradicate prostate cancer if detected very early (</w:t>
      </w:r>
      <w:proofErr w:type="spellStart"/>
      <w:r w:rsidRPr="002E7761">
        <w:rPr>
          <w:rFonts w:ascii="Times New Roman" w:eastAsia="Calibri" w:hAnsi="Times New Roman" w:cs="Times New Roman"/>
          <w:sz w:val="24"/>
          <w:szCs w:val="24"/>
        </w:rPr>
        <w:t>Alarcón-Zendejas</w:t>
      </w:r>
      <w:proofErr w:type="spellEnd"/>
      <w:r w:rsidRPr="002E7761">
        <w:rPr>
          <w:rFonts w:ascii="Times New Roman" w:eastAsia="Calibri" w:hAnsi="Times New Roman" w:cs="Times New Roman"/>
          <w:sz w:val="24"/>
          <w:szCs w:val="24"/>
        </w:rPr>
        <w:t xml:space="preserve"> et al., 2022). Hence, </w:t>
      </w:r>
      <w:r w:rsidR="00EE2C71">
        <w:rPr>
          <w:rFonts w:ascii="Times New Roman" w:eastAsia="Calibri" w:hAnsi="Times New Roman" w:cs="Times New Roman"/>
          <w:sz w:val="24"/>
          <w:szCs w:val="24"/>
        </w:rPr>
        <w:t>a necessity exists</w:t>
      </w:r>
      <w:r w:rsidR="00EE2C71" w:rsidRPr="00EE2C71">
        <w:rPr>
          <w:rFonts w:ascii="Times New Roman" w:eastAsia="Calibri" w:hAnsi="Times New Roman" w:cs="Times New Roman"/>
          <w:sz w:val="24"/>
          <w:szCs w:val="24"/>
        </w:rPr>
        <w:t xml:space="preserve"> </w:t>
      </w:r>
      <w:r w:rsidRPr="002E7761">
        <w:rPr>
          <w:rFonts w:ascii="Times New Roman" w:eastAsia="Calibri" w:hAnsi="Times New Roman" w:cs="Times New Roman"/>
          <w:sz w:val="24"/>
          <w:szCs w:val="24"/>
        </w:rPr>
        <w:t xml:space="preserve">for efficient methods of </w:t>
      </w:r>
      <w:r w:rsidR="00EE2C71">
        <w:rPr>
          <w:rFonts w:ascii="Times New Roman" w:eastAsia="Calibri" w:hAnsi="Times New Roman" w:cs="Times New Roman"/>
          <w:sz w:val="24"/>
          <w:szCs w:val="24"/>
        </w:rPr>
        <w:t>prompt</w:t>
      </w:r>
      <w:r w:rsidR="00EE2C71" w:rsidRPr="00EE2C71">
        <w:rPr>
          <w:rFonts w:ascii="Times New Roman" w:eastAsia="Calibri" w:hAnsi="Times New Roman" w:cs="Times New Roman"/>
          <w:sz w:val="24"/>
          <w:szCs w:val="24"/>
        </w:rPr>
        <w:t xml:space="preserve"> identification </w:t>
      </w:r>
      <w:r w:rsidR="00EE2C71">
        <w:rPr>
          <w:rFonts w:ascii="Times New Roman" w:eastAsia="Calibri" w:hAnsi="Times New Roman" w:cs="Times New Roman"/>
          <w:sz w:val="24"/>
          <w:szCs w:val="24"/>
        </w:rPr>
        <w:t xml:space="preserve">of </w:t>
      </w:r>
      <w:proofErr w:type="spellStart"/>
      <w:r w:rsidR="00EE2C71">
        <w:rPr>
          <w:rFonts w:ascii="Times New Roman" w:eastAsia="Calibri" w:hAnsi="Times New Roman" w:cs="Times New Roman"/>
          <w:sz w:val="24"/>
          <w:szCs w:val="24"/>
        </w:rPr>
        <w:t>PCa</w:t>
      </w:r>
      <w:proofErr w:type="spellEnd"/>
      <w:r w:rsidR="00EE2C71">
        <w:rPr>
          <w:rFonts w:ascii="Times New Roman" w:eastAsia="Calibri" w:hAnsi="Times New Roman" w:cs="Times New Roman"/>
          <w:sz w:val="24"/>
          <w:szCs w:val="24"/>
        </w:rPr>
        <w:t xml:space="preserve">. The following are some </w:t>
      </w:r>
      <w:r w:rsidRPr="002E7761">
        <w:rPr>
          <w:rFonts w:ascii="Times New Roman" w:eastAsia="Calibri" w:hAnsi="Times New Roman" w:cs="Times New Roman"/>
          <w:sz w:val="24"/>
          <w:szCs w:val="24"/>
        </w:rPr>
        <w:t>diagnostic tests and biomarkers for prostate cancer</w:t>
      </w:r>
      <w:r w:rsidR="00EE2C71">
        <w:rPr>
          <w:rFonts w:ascii="Times New Roman" w:eastAsia="Calibri" w:hAnsi="Times New Roman" w:cs="Times New Roman"/>
          <w:sz w:val="24"/>
          <w:szCs w:val="24"/>
        </w:rPr>
        <w:t xml:space="preserve"> managements;</w:t>
      </w:r>
      <w:r w:rsidRPr="002E7761">
        <w:rPr>
          <w:rFonts w:ascii="Times New Roman" w:eastAsia="Calibri" w:hAnsi="Times New Roman" w:cs="Times New Roman"/>
          <w:sz w:val="24"/>
          <w:szCs w:val="24"/>
        </w:rPr>
        <w:t xml:space="preserve"> </w:t>
      </w:r>
    </w:p>
    <w:p w:rsidR="00F77439" w:rsidRPr="002E7761" w:rsidRDefault="00F77439" w:rsidP="006D3376">
      <w:pPr>
        <w:pStyle w:val="ListParagraph"/>
        <w:numPr>
          <w:ilvl w:val="0"/>
          <w:numId w:val="21"/>
        </w:numPr>
        <w:spacing w:after="0" w:line="360" w:lineRule="auto"/>
        <w:jc w:val="both"/>
        <w:rPr>
          <w:rFonts w:ascii="Times New Roman" w:eastAsia="Calibri" w:hAnsi="Times New Roman" w:cs="Times New Roman"/>
          <w:b/>
          <w:sz w:val="24"/>
          <w:szCs w:val="24"/>
        </w:rPr>
      </w:pPr>
      <w:r w:rsidRPr="002E7761">
        <w:rPr>
          <w:rFonts w:ascii="Times New Roman" w:eastAsia="Calibri" w:hAnsi="Times New Roman" w:cs="Times New Roman"/>
          <w:b/>
          <w:sz w:val="24"/>
          <w:szCs w:val="24"/>
        </w:rPr>
        <w:t>Prostate-Specific Antigen (PSA) Test</w:t>
      </w:r>
    </w:p>
    <w:p w:rsidR="00F77439" w:rsidRPr="00EE2C71" w:rsidRDefault="00F77439" w:rsidP="00EE2C71">
      <w:pPr>
        <w:spacing w:line="360" w:lineRule="auto"/>
        <w:jc w:val="both"/>
        <w:rPr>
          <w:rFonts w:ascii="Times New Roman" w:eastAsia="Calibri" w:hAnsi="Times New Roman" w:cs="Times New Roman"/>
          <w:sz w:val="24"/>
          <w:szCs w:val="24"/>
          <w:lang w:val="en-US"/>
        </w:rPr>
      </w:pPr>
      <w:r w:rsidRPr="002E7761">
        <w:rPr>
          <w:rFonts w:ascii="Times New Roman" w:eastAsia="Calibri" w:hAnsi="Times New Roman" w:cs="Times New Roman"/>
          <w:sz w:val="24"/>
          <w:szCs w:val="24"/>
        </w:rPr>
        <w:t xml:space="preserve">The PSA test </w:t>
      </w:r>
      <w:r w:rsidR="00EE2C71">
        <w:rPr>
          <w:rFonts w:ascii="Times New Roman" w:eastAsia="Calibri" w:hAnsi="Times New Roman" w:cs="Times New Roman"/>
          <w:sz w:val="24"/>
          <w:szCs w:val="24"/>
        </w:rPr>
        <w:t xml:space="preserve">is a </w:t>
      </w:r>
      <w:r w:rsidR="00EE2C71" w:rsidRPr="00EE2C71">
        <w:rPr>
          <w:rFonts w:ascii="Times New Roman" w:eastAsia="Calibri" w:hAnsi="Times New Roman" w:cs="Times New Roman"/>
          <w:sz w:val="24"/>
          <w:szCs w:val="24"/>
          <w:lang w:val="en-US"/>
        </w:rPr>
        <w:t>common diagnostic method for</w:t>
      </w:r>
      <w:r w:rsidR="00EE2C71">
        <w:rPr>
          <w:rFonts w:ascii="Times New Roman" w:eastAsia="Calibri" w:hAnsi="Times New Roman" w:cs="Times New Roman"/>
          <w:sz w:val="24"/>
          <w:szCs w:val="24"/>
        </w:rPr>
        <w:t xml:space="preserve"> </w:t>
      </w:r>
      <w:proofErr w:type="spellStart"/>
      <w:r w:rsidR="00EE2C71">
        <w:rPr>
          <w:rFonts w:ascii="Times New Roman" w:eastAsia="Calibri" w:hAnsi="Times New Roman" w:cs="Times New Roman"/>
          <w:sz w:val="24"/>
          <w:szCs w:val="24"/>
        </w:rPr>
        <w:t>PCa</w:t>
      </w:r>
      <w:proofErr w:type="spellEnd"/>
      <w:r w:rsidR="00EE2C71">
        <w:rPr>
          <w:rFonts w:ascii="Times New Roman" w:eastAsia="Calibri" w:hAnsi="Times New Roman" w:cs="Times New Roman"/>
          <w:sz w:val="24"/>
          <w:szCs w:val="24"/>
        </w:rPr>
        <w:t>. It</w:t>
      </w:r>
      <w:r w:rsidRPr="002E7761">
        <w:rPr>
          <w:rFonts w:ascii="Times New Roman" w:eastAsia="Calibri" w:hAnsi="Times New Roman" w:cs="Times New Roman"/>
          <w:sz w:val="24"/>
          <w:szCs w:val="24"/>
        </w:rPr>
        <w:t xml:space="preserve"> measures the level of PSA in</w:t>
      </w:r>
      <w:r w:rsidR="00EE2C71">
        <w:rPr>
          <w:rFonts w:ascii="Times New Roman" w:eastAsia="Calibri" w:hAnsi="Times New Roman" w:cs="Times New Roman"/>
          <w:sz w:val="24"/>
          <w:szCs w:val="24"/>
        </w:rPr>
        <w:t xml:space="preserve"> the blood</w:t>
      </w:r>
      <w:r w:rsidRPr="002E7761">
        <w:rPr>
          <w:rFonts w:ascii="Times New Roman" w:eastAsia="Calibri" w:hAnsi="Times New Roman" w:cs="Times New Roman"/>
          <w:sz w:val="24"/>
          <w:szCs w:val="24"/>
        </w:rPr>
        <w:t xml:space="preserve">. </w:t>
      </w:r>
      <w:proofErr w:type="spellStart"/>
      <w:r w:rsidR="00EE2C71">
        <w:rPr>
          <w:rFonts w:ascii="Times New Roman" w:eastAsia="Calibri" w:hAnsi="Times New Roman" w:cs="Times New Roman"/>
          <w:sz w:val="24"/>
          <w:szCs w:val="24"/>
        </w:rPr>
        <w:t>PCa</w:t>
      </w:r>
      <w:proofErr w:type="spellEnd"/>
      <w:r w:rsidR="00EE2C71">
        <w:rPr>
          <w:rFonts w:ascii="Times New Roman" w:eastAsia="Calibri" w:hAnsi="Times New Roman" w:cs="Times New Roman"/>
          <w:sz w:val="24"/>
          <w:szCs w:val="24"/>
        </w:rPr>
        <w:t xml:space="preserve"> </w:t>
      </w:r>
      <w:r w:rsidR="00EE2C71" w:rsidRPr="00EE2C71">
        <w:rPr>
          <w:rFonts w:ascii="Times New Roman" w:eastAsia="Calibri" w:hAnsi="Times New Roman" w:cs="Times New Roman"/>
          <w:sz w:val="24"/>
          <w:szCs w:val="24"/>
          <w:lang w:val="en-US"/>
        </w:rPr>
        <w:t>may be indicated by high levels of PSA, a protein t</w:t>
      </w:r>
      <w:r w:rsidR="00EE2C71">
        <w:rPr>
          <w:rFonts w:ascii="Times New Roman" w:eastAsia="Calibri" w:hAnsi="Times New Roman" w:cs="Times New Roman"/>
          <w:sz w:val="24"/>
          <w:szCs w:val="24"/>
          <w:lang w:val="en-US"/>
        </w:rPr>
        <w:t xml:space="preserve">hat the prostate gland produces </w:t>
      </w:r>
      <w:r w:rsidRPr="002E7761">
        <w:rPr>
          <w:rFonts w:ascii="Times New Roman" w:eastAsia="Calibri" w:hAnsi="Times New Roman" w:cs="Times New Roman"/>
          <w:sz w:val="24"/>
          <w:szCs w:val="24"/>
        </w:rPr>
        <w:t>(Mahmoud et al., 2023). However, there are concerns about the over diagnosis and overtreat</w:t>
      </w:r>
      <w:r w:rsidR="00EE2C71">
        <w:rPr>
          <w:rFonts w:ascii="Times New Roman" w:eastAsia="Calibri" w:hAnsi="Times New Roman" w:cs="Times New Roman"/>
          <w:sz w:val="24"/>
          <w:szCs w:val="24"/>
        </w:rPr>
        <w:t xml:space="preserve">ment of indolent </w:t>
      </w:r>
      <w:proofErr w:type="spellStart"/>
      <w:r w:rsidR="00EE2C71">
        <w:rPr>
          <w:rFonts w:ascii="Times New Roman" w:eastAsia="Calibri" w:hAnsi="Times New Roman" w:cs="Times New Roman"/>
          <w:sz w:val="24"/>
          <w:szCs w:val="24"/>
        </w:rPr>
        <w:t>PCa</w:t>
      </w:r>
      <w:proofErr w:type="spellEnd"/>
      <w:r w:rsidRPr="002E7761">
        <w:rPr>
          <w:rFonts w:ascii="Times New Roman" w:eastAsia="Calibri" w:hAnsi="Times New Roman" w:cs="Times New Roman"/>
          <w:sz w:val="24"/>
          <w:szCs w:val="24"/>
        </w:rPr>
        <w:t xml:space="preserve"> due to </w:t>
      </w:r>
      <w:r w:rsidR="00EE2C71">
        <w:rPr>
          <w:rFonts w:ascii="Times New Roman" w:eastAsia="Calibri" w:hAnsi="Times New Roman" w:cs="Times New Roman"/>
          <w:sz w:val="24"/>
          <w:szCs w:val="24"/>
          <w:lang w:val="en-US"/>
        </w:rPr>
        <w:t>t</w:t>
      </w:r>
      <w:r w:rsidR="00EE2C71" w:rsidRPr="00EE2C71">
        <w:rPr>
          <w:rFonts w:ascii="Times New Roman" w:eastAsia="Calibri" w:hAnsi="Times New Roman" w:cs="Times New Roman"/>
          <w:sz w:val="24"/>
          <w:szCs w:val="24"/>
          <w:lang w:val="en-US"/>
        </w:rPr>
        <w:t>he absence of precision in the PSA</w:t>
      </w:r>
      <w:r w:rsidRPr="002E7761">
        <w:rPr>
          <w:rFonts w:ascii="Times New Roman" w:eastAsia="Calibri" w:hAnsi="Times New Roman" w:cs="Times New Roman"/>
          <w:sz w:val="24"/>
          <w:szCs w:val="24"/>
        </w:rPr>
        <w:t xml:space="preserve">. In some cases, elevated PSA levels may be due to non-cancerous conditions, such as an enlarged prostate or </w:t>
      </w:r>
      <w:r w:rsidRPr="002E7761">
        <w:rPr>
          <w:rFonts w:ascii="Times New Roman" w:eastAsia="Calibri" w:hAnsi="Times New Roman" w:cs="Times New Roman"/>
          <w:sz w:val="24"/>
          <w:szCs w:val="24"/>
        </w:rPr>
        <w:lastRenderedPageBreak/>
        <w:t>prostatitis (Mahmoud et al., 2023). Several modifications to the PSA test have been developed to increase its specificity, including the use of PSA density and PSA velocity.</w:t>
      </w:r>
    </w:p>
    <w:p w:rsidR="00F77439" w:rsidRPr="002E7761" w:rsidRDefault="00F77439" w:rsidP="006D3376">
      <w:pPr>
        <w:pStyle w:val="ListParagraph"/>
        <w:numPr>
          <w:ilvl w:val="0"/>
          <w:numId w:val="21"/>
        </w:numPr>
        <w:spacing w:after="0" w:line="360" w:lineRule="auto"/>
        <w:jc w:val="both"/>
        <w:rPr>
          <w:rFonts w:ascii="Times New Roman" w:eastAsia="Calibri" w:hAnsi="Times New Roman" w:cs="Times New Roman"/>
          <w:b/>
          <w:sz w:val="24"/>
          <w:szCs w:val="24"/>
        </w:rPr>
      </w:pPr>
      <w:proofErr w:type="spellStart"/>
      <w:r w:rsidRPr="002E7761">
        <w:rPr>
          <w:rFonts w:ascii="Times New Roman" w:eastAsia="Calibri" w:hAnsi="Times New Roman" w:cs="Times New Roman"/>
          <w:b/>
          <w:sz w:val="24"/>
          <w:szCs w:val="24"/>
        </w:rPr>
        <w:t>Multiparametric</w:t>
      </w:r>
      <w:proofErr w:type="spellEnd"/>
      <w:r w:rsidRPr="002E7761">
        <w:rPr>
          <w:rFonts w:ascii="Times New Roman" w:eastAsia="Calibri" w:hAnsi="Times New Roman" w:cs="Times New Roman"/>
          <w:b/>
          <w:sz w:val="24"/>
          <w:szCs w:val="24"/>
        </w:rPr>
        <w:t xml:space="preserve"> Magnetic Resonance Imaging (</w:t>
      </w:r>
      <w:proofErr w:type="spellStart"/>
      <w:r w:rsidRPr="002E7761">
        <w:rPr>
          <w:rFonts w:ascii="Times New Roman" w:eastAsia="Calibri" w:hAnsi="Times New Roman" w:cs="Times New Roman"/>
          <w:b/>
          <w:sz w:val="24"/>
          <w:szCs w:val="24"/>
        </w:rPr>
        <w:t>mpMRI</w:t>
      </w:r>
      <w:proofErr w:type="spellEnd"/>
      <w:r w:rsidRPr="002E7761">
        <w:rPr>
          <w:rFonts w:ascii="Times New Roman" w:eastAsia="Calibri" w:hAnsi="Times New Roman" w:cs="Times New Roman"/>
          <w:b/>
          <w:sz w:val="24"/>
          <w:szCs w:val="24"/>
        </w:rPr>
        <w:t>)</w:t>
      </w:r>
    </w:p>
    <w:p w:rsidR="00F77439" w:rsidRPr="00FE6953" w:rsidRDefault="009C22D0" w:rsidP="006D3376">
      <w:pPr>
        <w:spacing w:line="360" w:lineRule="auto"/>
        <w:jc w:val="both"/>
        <w:rPr>
          <w:rFonts w:ascii="Times New Roman" w:eastAsia="Calibri" w:hAnsi="Times New Roman" w:cs="Times New Roman"/>
          <w:sz w:val="24"/>
          <w:szCs w:val="24"/>
          <w:lang w:val="en-US"/>
        </w:rPr>
      </w:pPr>
      <w:proofErr w:type="spellStart"/>
      <w:r>
        <w:rPr>
          <w:rFonts w:ascii="Times New Roman" w:eastAsia="Calibri" w:hAnsi="Times New Roman" w:cs="Times New Roman"/>
          <w:sz w:val="24"/>
          <w:szCs w:val="24"/>
          <w:lang w:val="en-US"/>
        </w:rPr>
        <w:t>PCa</w:t>
      </w:r>
      <w:r w:rsidR="00FE6953" w:rsidRPr="00FE6953">
        <w:rPr>
          <w:rFonts w:ascii="Times New Roman" w:eastAsia="Calibri" w:hAnsi="Times New Roman" w:cs="Times New Roman"/>
          <w:sz w:val="24"/>
          <w:szCs w:val="24"/>
          <w:lang w:val="en-US"/>
        </w:rPr>
        <w:t>mpMRI</w:t>
      </w:r>
      <w:proofErr w:type="spellEnd"/>
      <w:r w:rsidR="00FE6953" w:rsidRPr="00FE6953">
        <w:rPr>
          <w:rFonts w:ascii="Times New Roman" w:eastAsia="Calibri" w:hAnsi="Times New Roman" w:cs="Times New Roman"/>
          <w:sz w:val="24"/>
          <w:szCs w:val="24"/>
          <w:lang w:val="en-US"/>
        </w:rPr>
        <w:t xml:space="preserve"> is a non-invasive imaging method that has demonstra</w:t>
      </w:r>
      <w:r>
        <w:rPr>
          <w:rFonts w:ascii="Times New Roman" w:eastAsia="Calibri" w:hAnsi="Times New Roman" w:cs="Times New Roman"/>
          <w:sz w:val="24"/>
          <w:szCs w:val="24"/>
          <w:lang w:val="en-US"/>
        </w:rPr>
        <w:t xml:space="preserve">ted potential </w:t>
      </w:r>
      <w:proofErr w:type="gramStart"/>
      <w:r>
        <w:rPr>
          <w:rFonts w:ascii="Times New Roman" w:eastAsia="Calibri" w:hAnsi="Times New Roman" w:cs="Times New Roman"/>
          <w:sz w:val="24"/>
          <w:szCs w:val="24"/>
          <w:lang w:val="en-US"/>
        </w:rPr>
        <w:t xml:space="preserve">in </w:t>
      </w:r>
      <w:r w:rsidR="00FE6953" w:rsidRPr="00FE6953">
        <w:rPr>
          <w:rFonts w:ascii="Times New Roman" w:eastAsia="Calibri" w:hAnsi="Times New Roman" w:cs="Times New Roman"/>
          <w:sz w:val="24"/>
          <w:szCs w:val="24"/>
          <w:lang w:val="en-US"/>
        </w:rPr>
        <w:t xml:space="preserve"> identification</w:t>
      </w:r>
      <w:proofErr w:type="gramEnd"/>
      <w:r w:rsidR="00FE6953" w:rsidRPr="00FE6953">
        <w:rPr>
          <w:rFonts w:ascii="Times New Roman" w:eastAsia="Calibri" w:hAnsi="Times New Roman" w:cs="Times New Roman"/>
          <w:sz w:val="24"/>
          <w:szCs w:val="24"/>
          <w:lang w:val="en-US"/>
        </w:rPr>
        <w:t xml:space="preserve"> and localization. With the use of this approach, which combines functional and anatomical imaging, precise images of the prostate gland can be obtained, making it possible to identify </w:t>
      </w:r>
      <w:r w:rsidR="00FE6953">
        <w:rPr>
          <w:rFonts w:ascii="Times New Roman" w:eastAsia="Calibri" w:hAnsi="Times New Roman" w:cs="Times New Roman"/>
          <w:sz w:val="24"/>
          <w:szCs w:val="24"/>
          <w:lang w:val="en-US"/>
        </w:rPr>
        <w:t>areas that may require a biopsy</w:t>
      </w:r>
      <w:r w:rsidR="00F77439" w:rsidRPr="002E7761">
        <w:rPr>
          <w:rFonts w:ascii="Times New Roman" w:eastAsia="Calibri" w:hAnsi="Times New Roman" w:cs="Times New Roman"/>
          <w:sz w:val="24"/>
          <w:szCs w:val="24"/>
        </w:rPr>
        <w:t>.</w:t>
      </w:r>
    </w:p>
    <w:p w:rsidR="00F77439" w:rsidRPr="002E7761" w:rsidRDefault="00F77439" w:rsidP="006D3376">
      <w:pPr>
        <w:pStyle w:val="ListParagraph"/>
        <w:numPr>
          <w:ilvl w:val="0"/>
          <w:numId w:val="21"/>
        </w:numPr>
        <w:spacing w:after="0" w:line="360" w:lineRule="auto"/>
        <w:jc w:val="both"/>
        <w:rPr>
          <w:rFonts w:ascii="Times New Roman" w:eastAsia="Calibri" w:hAnsi="Times New Roman" w:cs="Times New Roman"/>
          <w:b/>
          <w:sz w:val="24"/>
          <w:szCs w:val="24"/>
        </w:rPr>
      </w:pPr>
      <w:r w:rsidRPr="002E7761">
        <w:rPr>
          <w:rFonts w:ascii="Times New Roman" w:eastAsia="Calibri" w:hAnsi="Times New Roman" w:cs="Times New Roman"/>
          <w:b/>
          <w:sz w:val="24"/>
          <w:szCs w:val="24"/>
        </w:rPr>
        <w:t>Prostate Cancer Antigen 3 (PCA3)</w:t>
      </w:r>
    </w:p>
    <w:p w:rsidR="00F77439" w:rsidRPr="009C22D0" w:rsidRDefault="00F77439" w:rsidP="006D3376">
      <w:pPr>
        <w:spacing w:line="360" w:lineRule="auto"/>
        <w:jc w:val="both"/>
        <w:rPr>
          <w:rFonts w:ascii="Times New Roman" w:eastAsia="Calibri" w:hAnsi="Times New Roman" w:cs="Times New Roman"/>
          <w:sz w:val="24"/>
          <w:szCs w:val="24"/>
          <w:lang w:val="en-US"/>
        </w:rPr>
      </w:pPr>
      <w:r w:rsidRPr="002E7761">
        <w:rPr>
          <w:rFonts w:ascii="Times New Roman" w:eastAsia="Calibri" w:hAnsi="Times New Roman" w:cs="Times New Roman"/>
          <w:sz w:val="24"/>
          <w:szCs w:val="24"/>
        </w:rPr>
        <w:t xml:space="preserve">PCA3 is a biomarker that is </w:t>
      </w:r>
      <w:r w:rsidR="009C22D0">
        <w:rPr>
          <w:rFonts w:ascii="Times New Roman" w:eastAsia="Calibri" w:hAnsi="Times New Roman" w:cs="Times New Roman"/>
          <w:sz w:val="24"/>
          <w:szCs w:val="24"/>
        </w:rPr>
        <w:t xml:space="preserve">overexpressed in </w:t>
      </w:r>
      <w:proofErr w:type="spellStart"/>
      <w:r w:rsidR="009C22D0">
        <w:rPr>
          <w:rFonts w:ascii="Times New Roman" w:eastAsia="Calibri" w:hAnsi="Times New Roman" w:cs="Times New Roman"/>
          <w:sz w:val="24"/>
          <w:szCs w:val="24"/>
        </w:rPr>
        <w:t>PCa</w:t>
      </w:r>
      <w:proofErr w:type="spellEnd"/>
      <w:r w:rsidRPr="002E7761">
        <w:rPr>
          <w:rFonts w:ascii="Times New Roman" w:eastAsia="Calibri" w:hAnsi="Times New Roman" w:cs="Times New Roman"/>
          <w:sz w:val="24"/>
          <w:szCs w:val="24"/>
        </w:rPr>
        <w:t xml:space="preserve"> tissue. The PCA3 test measures the level of PCA3 mRNA in urine samples collected after a digital rectal exam. The PCA3 test has shown promise in improving th</w:t>
      </w:r>
      <w:r w:rsidR="009C22D0">
        <w:rPr>
          <w:rFonts w:ascii="Times New Roman" w:eastAsia="Calibri" w:hAnsi="Times New Roman" w:cs="Times New Roman"/>
          <w:sz w:val="24"/>
          <w:szCs w:val="24"/>
        </w:rPr>
        <w:t xml:space="preserve">e </w:t>
      </w:r>
      <w:r w:rsidR="009C22D0" w:rsidRPr="009C22D0">
        <w:rPr>
          <w:rFonts w:ascii="Times New Roman" w:eastAsia="Calibri" w:hAnsi="Times New Roman" w:cs="Times New Roman"/>
          <w:sz w:val="24"/>
          <w:szCs w:val="24"/>
          <w:lang w:val="en-US"/>
        </w:rPr>
        <w:t xml:space="preserve">detection specificity of </w:t>
      </w:r>
      <w:proofErr w:type="spellStart"/>
      <w:r w:rsidR="009C22D0" w:rsidRPr="009C22D0">
        <w:rPr>
          <w:rFonts w:ascii="Times New Roman" w:eastAsia="Calibri" w:hAnsi="Times New Roman" w:cs="Times New Roman"/>
          <w:sz w:val="24"/>
          <w:szCs w:val="24"/>
          <w:lang w:val="en-US"/>
        </w:rPr>
        <w:t>PCa</w:t>
      </w:r>
      <w:proofErr w:type="spellEnd"/>
      <w:r w:rsidRPr="002E7761">
        <w:rPr>
          <w:rFonts w:ascii="Times New Roman" w:eastAsia="Calibri" w:hAnsi="Times New Roman" w:cs="Times New Roman"/>
          <w:sz w:val="24"/>
          <w:szCs w:val="24"/>
        </w:rPr>
        <w:t xml:space="preserve">, particularly </w:t>
      </w:r>
      <w:r w:rsidR="009C22D0">
        <w:rPr>
          <w:rFonts w:ascii="Times New Roman" w:eastAsia="Calibri" w:hAnsi="Times New Roman" w:cs="Times New Roman"/>
          <w:sz w:val="24"/>
          <w:szCs w:val="24"/>
          <w:lang w:val="en-US"/>
        </w:rPr>
        <w:t>a</w:t>
      </w:r>
      <w:r w:rsidR="009C22D0" w:rsidRPr="009C22D0">
        <w:rPr>
          <w:rFonts w:ascii="Times New Roman" w:eastAsia="Calibri" w:hAnsi="Times New Roman" w:cs="Times New Roman"/>
          <w:sz w:val="24"/>
          <w:szCs w:val="24"/>
          <w:lang w:val="en-US"/>
        </w:rPr>
        <w:t xml:space="preserve">mong males </w:t>
      </w:r>
      <w:r w:rsidR="009C22D0">
        <w:rPr>
          <w:rFonts w:ascii="Times New Roman" w:eastAsia="Calibri" w:hAnsi="Times New Roman" w:cs="Times New Roman"/>
          <w:sz w:val="24"/>
          <w:szCs w:val="24"/>
          <w:lang w:val="en-US"/>
        </w:rPr>
        <w:t>with</w:t>
      </w:r>
      <w:r w:rsidR="009C22D0" w:rsidRPr="009C22D0">
        <w:rPr>
          <w:rFonts w:ascii="Times New Roman" w:eastAsia="Calibri" w:hAnsi="Times New Roman" w:cs="Times New Roman"/>
          <w:sz w:val="24"/>
          <w:szCs w:val="24"/>
          <w:lang w:val="en-US"/>
        </w:rPr>
        <w:t xml:space="preserve"> high PSA levels</w:t>
      </w:r>
      <w:r w:rsidRPr="002E7761">
        <w:rPr>
          <w:rFonts w:ascii="Times New Roman" w:eastAsia="Calibri" w:hAnsi="Times New Roman" w:cs="Times New Roman"/>
          <w:sz w:val="24"/>
          <w:szCs w:val="24"/>
        </w:rPr>
        <w:t xml:space="preserve"> and negative biopsy results.</w:t>
      </w:r>
    </w:p>
    <w:p w:rsidR="00F77439" w:rsidRPr="002E7761" w:rsidRDefault="00F77439" w:rsidP="006D3376">
      <w:pPr>
        <w:pStyle w:val="ListParagraph"/>
        <w:numPr>
          <w:ilvl w:val="0"/>
          <w:numId w:val="21"/>
        </w:numPr>
        <w:spacing w:after="0" w:line="360" w:lineRule="auto"/>
        <w:jc w:val="both"/>
        <w:rPr>
          <w:rFonts w:ascii="Times New Roman" w:eastAsia="Calibri" w:hAnsi="Times New Roman" w:cs="Times New Roman"/>
          <w:b/>
          <w:sz w:val="24"/>
          <w:szCs w:val="24"/>
        </w:rPr>
      </w:pPr>
      <w:r w:rsidRPr="002E7761">
        <w:rPr>
          <w:rFonts w:ascii="Times New Roman" w:eastAsia="Calibri" w:hAnsi="Times New Roman" w:cs="Times New Roman"/>
          <w:b/>
          <w:sz w:val="24"/>
          <w:szCs w:val="24"/>
        </w:rPr>
        <w:t>Prostate Health Index (PHI)</w:t>
      </w:r>
    </w:p>
    <w:p w:rsidR="00F77439" w:rsidRPr="009C22D0" w:rsidRDefault="009C22D0" w:rsidP="006D3376">
      <w:pPr>
        <w:spacing w:line="360" w:lineRule="auto"/>
        <w:jc w:val="both"/>
        <w:rPr>
          <w:rFonts w:ascii="Times New Roman" w:eastAsia="Calibri" w:hAnsi="Times New Roman" w:cs="Times New Roman"/>
          <w:sz w:val="24"/>
          <w:szCs w:val="24"/>
          <w:lang w:val="en-US"/>
        </w:rPr>
      </w:pPr>
      <w:r w:rsidRPr="009C22D0">
        <w:rPr>
          <w:rFonts w:ascii="Times New Roman" w:eastAsia="Calibri" w:hAnsi="Times New Roman" w:cs="Times New Roman"/>
          <w:sz w:val="24"/>
          <w:szCs w:val="24"/>
          <w:lang w:val="en-US"/>
        </w:rPr>
        <w:t xml:space="preserve">A blood test called the PHI test combines the pro PSA isoform, free PSA, and total PSA. The Food and Drug Administration has approved PHI (FDA). A combined score from this test can be used to estimate the likelihood of prostate cancer after biopsy. </w:t>
      </w:r>
      <w:proofErr w:type="spellStart"/>
      <w:r w:rsidRPr="009C22D0">
        <w:rPr>
          <w:rFonts w:ascii="Times New Roman" w:eastAsia="Calibri" w:hAnsi="Times New Roman" w:cs="Times New Roman"/>
          <w:sz w:val="24"/>
          <w:szCs w:val="24"/>
          <w:lang w:val="en-US"/>
        </w:rPr>
        <w:t>Farha</w:t>
      </w:r>
      <w:proofErr w:type="spellEnd"/>
      <w:r w:rsidRPr="009C22D0">
        <w:rPr>
          <w:rFonts w:ascii="Times New Roman" w:eastAsia="Calibri" w:hAnsi="Times New Roman" w:cs="Times New Roman"/>
          <w:sz w:val="24"/>
          <w:szCs w:val="24"/>
          <w:lang w:val="en-US"/>
        </w:rPr>
        <w:t xml:space="preserve"> and Salami (2022) indicate that this test is the most reasonably priced prostate cancer test that is commercially accessible in the United States and that it complies with the National Comprehensive Cancer Network (NCCN</w:t>
      </w:r>
      <w:r>
        <w:rPr>
          <w:rFonts w:ascii="Times New Roman" w:eastAsia="Calibri" w:hAnsi="Times New Roman" w:cs="Times New Roman"/>
          <w:sz w:val="24"/>
          <w:szCs w:val="24"/>
          <w:lang w:val="en-US"/>
        </w:rPr>
        <w:t>) recommendations</w:t>
      </w:r>
      <w:r w:rsidR="00F77439" w:rsidRPr="002E7761">
        <w:rPr>
          <w:rFonts w:ascii="Times New Roman" w:eastAsia="Calibri" w:hAnsi="Times New Roman" w:cs="Times New Roman"/>
          <w:sz w:val="24"/>
          <w:szCs w:val="24"/>
        </w:rPr>
        <w:t xml:space="preserve">. The PHI test has been shown to improve the specificity of prostate cancer detection compared to the traditional PSA test, particularly in men with PSA levels between 2 and 10 </w:t>
      </w:r>
      <w:proofErr w:type="spellStart"/>
      <w:r w:rsidR="00F77439" w:rsidRPr="002E7761">
        <w:rPr>
          <w:rFonts w:ascii="Times New Roman" w:eastAsia="Calibri" w:hAnsi="Times New Roman" w:cs="Times New Roman"/>
          <w:sz w:val="24"/>
          <w:szCs w:val="24"/>
        </w:rPr>
        <w:t>ng</w:t>
      </w:r>
      <w:proofErr w:type="spellEnd"/>
      <w:r w:rsidR="00F77439" w:rsidRPr="002E7761">
        <w:rPr>
          <w:rFonts w:ascii="Times New Roman" w:eastAsia="Calibri" w:hAnsi="Times New Roman" w:cs="Times New Roman"/>
          <w:sz w:val="24"/>
          <w:szCs w:val="24"/>
        </w:rPr>
        <w:t>/</w:t>
      </w:r>
      <w:proofErr w:type="spellStart"/>
      <w:r w:rsidR="00F77439" w:rsidRPr="002E7761">
        <w:rPr>
          <w:rFonts w:ascii="Times New Roman" w:eastAsia="Calibri" w:hAnsi="Times New Roman" w:cs="Times New Roman"/>
          <w:sz w:val="24"/>
          <w:szCs w:val="24"/>
        </w:rPr>
        <w:t>mL.</w:t>
      </w:r>
      <w:proofErr w:type="spellEnd"/>
    </w:p>
    <w:p w:rsidR="00F77439" w:rsidRPr="002E7761" w:rsidRDefault="00F77439" w:rsidP="006D3376">
      <w:pPr>
        <w:pStyle w:val="ListParagraph"/>
        <w:numPr>
          <w:ilvl w:val="0"/>
          <w:numId w:val="21"/>
        </w:numPr>
        <w:spacing w:after="0" w:line="360" w:lineRule="auto"/>
        <w:jc w:val="both"/>
        <w:rPr>
          <w:rFonts w:ascii="Times New Roman" w:eastAsia="Calibri" w:hAnsi="Times New Roman" w:cs="Times New Roman"/>
          <w:b/>
          <w:sz w:val="24"/>
          <w:szCs w:val="24"/>
        </w:rPr>
      </w:pPr>
      <w:proofErr w:type="spellStart"/>
      <w:r w:rsidRPr="002E7761">
        <w:rPr>
          <w:rFonts w:ascii="Times New Roman" w:eastAsia="Calibri" w:hAnsi="Times New Roman" w:cs="Times New Roman"/>
          <w:b/>
          <w:sz w:val="24"/>
          <w:szCs w:val="24"/>
        </w:rPr>
        <w:t>Myprostate</w:t>
      </w:r>
      <w:proofErr w:type="spellEnd"/>
      <w:r w:rsidRPr="002E7761">
        <w:rPr>
          <w:rFonts w:ascii="Times New Roman" w:eastAsia="Calibri" w:hAnsi="Times New Roman" w:cs="Times New Roman"/>
          <w:b/>
          <w:sz w:val="24"/>
          <w:szCs w:val="24"/>
        </w:rPr>
        <w:t xml:space="preserve"> Score (MPS)</w:t>
      </w:r>
    </w:p>
    <w:p w:rsidR="00F77439" w:rsidRPr="002E7761" w:rsidRDefault="00F77439" w:rsidP="006D3376">
      <w:pPr>
        <w:spacing w:line="360" w:lineRule="auto"/>
        <w:jc w:val="both"/>
        <w:rPr>
          <w:rFonts w:ascii="Times New Roman" w:eastAsia="Calibri" w:hAnsi="Times New Roman" w:cs="Times New Roman"/>
          <w:sz w:val="24"/>
          <w:szCs w:val="24"/>
        </w:rPr>
      </w:pPr>
      <w:r w:rsidRPr="002E7761">
        <w:rPr>
          <w:rFonts w:ascii="Times New Roman" w:eastAsia="Calibri" w:hAnsi="Times New Roman" w:cs="Times New Roman"/>
          <w:sz w:val="24"/>
          <w:szCs w:val="24"/>
        </w:rPr>
        <w:t>MPS is an early screening method for prostate cancer that combines three specific urinary markers (TMPRSS2: ERG fusion gene expression, PCA3, and PSA) to generate a score between 0 to 100. This score range increases with the probability of identifying Gleason score greater or equal to 7 prostate cancer and is categorized into low, intermediate, or high-risk groups. The urinary gene expression assay requires a urine sample after a digital rectal exam (DRE). Jiao et al. (2021) found that MPS is a more cost-effective approach than magnetic resonance imaging (MRI) in guiding biopsy decisions for men with unspecified PSA levels. However, it is important to note that MPS is not yet approved by the FDA and is not recommended by the NCCN.</w:t>
      </w:r>
    </w:p>
    <w:p w:rsidR="00F77439" w:rsidRPr="002E7761" w:rsidRDefault="00F77439" w:rsidP="006D3376">
      <w:pPr>
        <w:pStyle w:val="ListParagraph"/>
        <w:numPr>
          <w:ilvl w:val="0"/>
          <w:numId w:val="21"/>
        </w:numPr>
        <w:spacing w:after="0" w:line="360" w:lineRule="auto"/>
        <w:jc w:val="both"/>
        <w:rPr>
          <w:rFonts w:ascii="Times New Roman" w:eastAsia="Calibri" w:hAnsi="Times New Roman" w:cs="Times New Roman"/>
          <w:b/>
          <w:sz w:val="24"/>
          <w:szCs w:val="24"/>
        </w:rPr>
      </w:pPr>
      <w:r w:rsidRPr="002E7761">
        <w:rPr>
          <w:rFonts w:ascii="Times New Roman" w:eastAsia="Calibri" w:hAnsi="Times New Roman" w:cs="Times New Roman"/>
          <w:b/>
          <w:sz w:val="24"/>
          <w:szCs w:val="24"/>
        </w:rPr>
        <w:t>4Kscore Test</w:t>
      </w:r>
    </w:p>
    <w:p w:rsidR="00F77439" w:rsidRPr="009C22D0" w:rsidRDefault="009C22D0" w:rsidP="006D3376">
      <w:pPr>
        <w:spacing w:line="360" w:lineRule="auto"/>
        <w:jc w:val="both"/>
        <w:rPr>
          <w:rFonts w:ascii="Times New Roman" w:eastAsia="Calibri" w:hAnsi="Times New Roman" w:cs="Times New Roman"/>
          <w:sz w:val="24"/>
          <w:szCs w:val="24"/>
          <w:lang w:val="en-US"/>
        </w:rPr>
      </w:pPr>
      <w:r w:rsidRPr="009C22D0">
        <w:rPr>
          <w:rFonts w:ascii="Times New Roman" w:eastAsia="Calibri" w:hAnsi="Times New Roman" w:cs="Times New Roman"/>
          <w:sz w:val="24"/>
          <w:szCs w:val="24"/>
          <w:lang w:val="en-US"/>
        </w:rPr>
        <w:lastRenderedPageBreak/>
        <w:t xml:space="preserve">Blood tests known as the 4Kscore test examine the concentrations of four </w:t>
      </w:r>
      <w:proofErr w:type="spellStart"/>
      <w:r w:rsidRPr="009C22D0">
        <w:rPr>
          <w:rFonts w:ascii="Times New Roman" w:eastAsia="Calibri" w:hAnsi="Times New Roman" w:cs="Times New Roman"/>
          <w:sz w:val="24"/>
          <w:szCs w:val="24"/>
          <w:lang w:val="en-US"/>
        </w:rPr>
        <w:t>kallikrein</w:t>
      </w:r>
      <w:proofErr w:type="spellEnd"/>
      <w:r w:rsidRPr="009C22D0">
        <w:rPr>
          <w:rFonts w:ascii="Times New Roman" w:eastAsia="Calibri" w:hAnsi="Times New Roman" w:cs="Times New Roman"/>
          <w:sz w:val="24"/>
          <w:szCs w:val="24"/>
          <w:lang w:val="en-US"/>
        </w:rPr>
        <w:t xml:space="preserve"> markers in the blood: human </w:t>
      </w:r>
      <w:proofErr w:type="spellStart"/>
      <w:r w:rsidRPr="009C22D0">
        <w:rPr>
          <w:rFonts w:ascii="Times New Roman" w:eastAsia="Calibri" w:hAnsi="Times New Roman" w:cs="Times New Roman"/>
          <w:sz w:val="24"/>
          <w:szCs w:val="24"/>
          <w:lang w:val="en-US"/>
        </w:rPr>
        <w:t>kallikrein</w:t>
      </w:r>
      <w:proofErr w:type="spellEnd"/>
      <w:r w:rsidRPr="009C22D0">
        <w:rPr>
          <w:rFonts w:ascii="Times New Roman" w:eastAsia="Calibri" w:hAnsi="Times New Roman" w:cs="Times New Roman"/>
          <w:sz w:val="24"/>
          <w:szCs w:val="24"/>
          <w:lang w:val="en-US"/>
        </w:rPr>
        <w:t>-related peptidase 2 (hK2), total PSA, free PSA, and intact PSA. When compared to the conventional PSA test, it has been demonstrated that the 4Kscore test increases the accura</w:t>
      </w:r>
      <w:r>
        <w:rPr>
          <w:rFonts w:ascii="Times New Roman" w:eastAsia="Calibri" w:hAnsi="Times New Roman" w:cs="Times New Roman"/>
          <w:sz w:val="24"/>
          <w:szCs w:val="24"/>
          <w:lang w:val="en-US"/>
        </w:rPr>
        <w:t>cy of prostate cancer detection</w:t>
      </w:r>
      <w:r w:rsidR="00F77439" w:rsidRPr="002E7761">
        <w:rPr>
          <w:rFonts w:ascii="Times New Roman" w:eastAsia="Calibri" w:hAnsi="Times New Roman" w:cs="Times New Roman"/>
          <w:sz w:val="24"/>
          <w:szCs w:val="24"/>
        </w:rPr>
        <w:t>.</w:t>
      </w:r>
      <w:r>
        <w:rPr>
          <w:rFonts w:ascii="Times New Roman" w:eastAsia="Calibri" w:hAnsi="Times New Roman" w:cs="Times New Roman"/>
          <w:sz w:val="24"/>
          <w:szCs w:val="24"/>
          <w:lang w:val="en-US"/>
        </w:rPr>
        <w:t xml:space="preserve"> </w:t>
      </w:r>
      <w:r w:rsidR="00F77439" w:rsidRPr="002E7761">
        <w:rPr>
          <w:rFonts w:ascii="Times New Roman" w:eastAsia="Calibri" w:hAnsi="Times New Roman" w:cs="Times New Roman"/>
          <w:sz w:val="24"/>
          <w:szCs w:val="24"/>
        </w:rPr>
        <w:t>The latest advances in diagnostic tests and biomarkers for prostate cancer have shown promise in improving the accuracy and specificity of prostate cancer detection. The use of these tests and biomarkers in combination with traditional diagnostic methods may improve the detection of clinically significant prostate cancer and reduce the over diagnosis and overtreatment of indolent disease.</w:t>
      </w:r>
    </w:p>
    <w:p w:rsidR="00F77439" w:rsidRPr="002E7761" w:rsidRDefault="00775C68" w:rsidP="006D3376">
      <w:pPr>
        <w:spacing w:line="360" w:lineRule="auto"/>
        <w:jc w:val="both"/>
        <w:rPr>
          <w:rFonts w:ascii="Times New Roman" w:eastAsia="Calibri" w:hAnsi="Times New Roman" w:cs="Times New Roman"/>
          <w:b/>
          <w:sz w:val="24"/>
          <w:szCs w:val="24"/>
        </w:rPr>
      </w:pPr>
      <w:r>
        <w:rPr>
          <w:rFonts w:ascii="Times New Roman" w:eastAsia="Calibri" w:hAnsi="Times New Roman" w:cs="Times New Roman"/>
          <w:b/>
          <w:bCs/>
          <w:sz w:val="24"/>
          <w:szCs w:val="24"/>
        </w:rPr>
        <w:t>2</w:t>
      </w:r>
      <w:r w:rsidR="00BA6281">
        <w:rPr>
          <w:rFonts w:ascii="Times New Roman" w:eastAsia="Calibri" w:hAnsi="Times New Roman" w:cs="Times New Roman"/>
          <w:b/>
          <w:bCs/>
          <w:sz w:val="24"/>
          <w:szCs w:val="24"/>
        </w:rPr>
        <w:t>.5</w:t>
      </w:r>
      <w:r w:rsidR="00F77439" w:rsidRPr="002E7761">
        <w:rPr>
          <w:rFonts w:ascii="Times New Roman" w:eastAsia="Calibri" w:hAnsi="Times New Roman" w:cs="Times New Roman"/>
          <w:b/>
          <w:bCs/>
          <w:sz w:val="24"/>
          <w:szCs w:val="24"/>
        </w:rPr>
        <w:t xml:space="preserve"> Treatment of Prostate Cancer</w:t>
      </w:r>
    </w:p>
    <w:p w:rsidR="00F77439" w:rsidRPr="002E7761" w:rsidRDefault="00F77439" w:rsidP="006D3376">
      <w:pPr>
        <w:spacing w:line="360" w:lineRule="auto"/>
        <w:jc w:val="both"/>
        <w:rPr>
          <w:rFonts w:ascii="Times New Roman" w:eastAsia="Calibri" w:hAnsi="Times New Roman" w:cs="Times New Roman"/>
          <w:sz w:val="24"/>
          <w:szCs w:val="24"/>
        </w:rPr>
      </w:pPr>
      <w:r w:rsidRPr="002E7761">
        <w:rPr>
          <w:rFonts w:ascii="Times New Roman" w:eastAsia="Calibri" w:hAnsi="Times New Roman" w:cs="Times New Roman"/>
          <w:sz w:val="24"/>
          <w:szCs w:val="24"/>
        </w:rPr>
        <w:t xml:space="preserve">As a form of cancer affecting men </w:t>
      </w:r>
      <w:r w:rsidRPr="002E7761">
        <w:rPr>
          <w:rFonts w:ascii="Times New Roman" w:eastAsia="Calibri" w:hAnsi="Times New Roman" w:cs="Times New Roman"/>
          <w:sz w:val="24"/>
          <w:szCs w:val="24"/>
        </w:rPr>
        <w:fldChar w:fldCharType="begin"/>
      </w:r>
      <w:r w:rsidRPr="002E7761">
        <w:rPr>
          <w:rFonts w:ascii="Times New Roman" w:eastAsia="Calibri" w:hAnsi="Times New Roman" w:cs="Times New Roman"/>
          <w:sz w:val="24"/>
          <w:szCs w:val="24"/>
        </w:rPr>
        <w:instrText xml:space="preserve"> ADDIN ZOTERO_ITEM CSL_CITATION {"citationID":"EuS4T9Oy","properties":{"formattedCitation":"(Rosellini et al., 2021)","plainCitation":"(Rosellini et al., 2021)","noteIndex":0},"citationItems":[{"id":309,"uris":["http://zotero.org/users/local/7J0d6nia/items/VPEIJ2WC","http://zotero.org/users/11300200/items/VPEIJ2WC"],"itemData":{"id":309,"type":"article-journal","abstract":"Prostate cancer is the most frequent malignancy in the worldwide male population; it is also one of the most common among all the leading cancer-related death causes. In the last two decades, the therapeutic scenario of metastatic castration-resistant prostate cancer has been enriched by the use of chemotherapy and androgen receptor signaling inhibitors (ARSI) and, more recently, by immunotherapy and poly(ADP-ribose) polymerase (PARP) inhibitors. At the same time, several trials have shown the survival benefits related to the administration of novel ARSIs among patients with non-castration-resistant metastatic disease along with nonmetastatic castration-resistant cancer too. Consequently, the therapeutic course of this malignancy has been radically expanded, ensuring survival benefits never seen before. Among the more recently emerging agents, the so-called \"antibody-drug conjugates\" (ADCs) are noteworthy because of their clinical practice changing outcomes obtained in the management of other malignancies (including breast cancer). The ADCs are novel compounds consisting of cytotoxic agents (also known as the payload) linked to specific antibodies able to recognize antigens expressed over cancer cells' surfaces. As for prostate cancer, researchers are focusing on STEAP1, TROP2, PSMA, CD46 and B7-H3 as optimal antigens which may be targeted by ADCs. In this paper, we review the pivotal trials that have currently changed the therapeutic approach to prostate cancer, both in the nonmetastatic castration-resistant and metastatic settings. Therefore, we focus on recently published and ongoing trials designed to investigate the clinical activity of ADCs against prostate malignancy, characterizing these agents. Lastly, we briefly discuss some ADCs-related issues with corresponding strategies to overwhelm them, along with future perspectives for these promising novel compounds.","container-title":"International Journal of Molecular Sciences","DOI":"10.3390/ijms22041551","ISSN":"1422-0067","issue":"4","journalAbbreviation":"Int J Mol Sci","language":"eng","note":"PMID: 33557050\nPMCID: PMC7913806","page":"1551","source":"PubMed","title":"Treating Prostate Cancer by Antibody-Drug Conjugates","volume":"22","author":[{"family":"Rosellini","given":"Matteo"},{"family":"Santoni","given":"Matteo"},{"family":"Mollica","given":"Veronica"},{"family":"Rizzo","given":"Alessandro"},{"family":"Cimadamore","given":"Alessia"},{"family":"Scarpelli","given":"Marina"},{"family":"Storti","given":"Nadia"},{"family":"Battelli","given":"Nicola"},{"family":"Montironi","given":"Rodolfo"},{"family":"Massari","given":"Francesco"}],"issued":{"date-parts":[["2021",2,4]]}}}],"schema":"https://github.com/citation-style-language/schema/raw/master/csl-citation.json"} </w:instrText>
      </w:r>
      <w:r w:rsidRPr="002E7761">
        <w:rPr>
          <w:rFonts w:ascii="Times New Roman" w:eastAsia="Calibri" w:hAnsi="Times New Roman" w:cs="Times New Roman"/>
          <w:sz w:val="24"/>
          <w:szCs w:val="24"/>
        </w:rPr>
        <w:fldChar w:fldCharType="separate"/>
      </w:r>
      <w:r w:rsidR="00167D83" w:rsidRPr="00167D83">
        <w:rPr>
          <w:rFonts w:ascii="Times New Roman" w:hAnsi="Times New Roman" w:cs="Times New Roman"/>
          <w:sz w:val="24"/>
        </w:rPr>
        <w:t>(Rosellini et al., 2021)</w:t>
      </w:r>
      <w:r w:rsidRPr="002E7761">
        <w:rPr>
          <w:rFonts w:ascii="Times New Roman" w:eastAsia="Calibri" w:hAnsi="Times New Roman" w:cs="Times New Roman"/>
          <w:sz w:val="24"/>
          <w:szCs w:val="24"/>
        </w:rPr>
        <w:fldChar w:fldCharType="end"/>
      </w:r>
      <w:r w:rsidRPr="002E7761">
        <w:rPr>
          <w:rFonts w:ascii="Times New Roman" w:eastAsia="Calibri" w:hAnsi="Times New Roman" w:cs="Times New Roman"/>
          <w:sz w:val="24"/>
          <w:szCs w:val="24"/>
        </w:rPr>
        <w:t xml:space="preserve">, and its effective treatment is crucial in reducing its impact on patients and society. Active surveillance is a management strategy in which patients are monitored regularly with blood tests, digital rectal exams, and imaging studies to detect any progression of the cancer. Primary prevention is a treatment option for patients with low-risk </w:t>
      </w:r>
      <w:proofErr w:type="spellStart"/>
      <w:r w:rsidRPr="002E7761">
        <w:rPr>
          <w:rFonts w:ascii="Times New Roman" w:eastAsia="Calibri" w:hAnsi="Times New Roman" w:cs="Times New Roman"/>
          <w:sz w:val="24"/>
          <w:szCs w:val="24"/>
        </w:rPr>
        <w:t>PCa</w:t>
      </w:r>
      <w:proofErr w:type="spellEnd"/>
      <w:r w:rsidRPr="002E7761">
        <w:rPr>
          <w:rFonts w:ascii="Times New Roman" w:eastAsia="Calibri" w:hAnsi="Times New Roman" w:cs="Times New Roman"/>
          <w:sz w:val="24"/>
          <w:szCs w:val="24"/>
        </w:rPr>
        <w:t xml:space="preserve"> that has been shown to be safe and effective in a small number of patients </w:t>
      </w:r>
      <w:r w:rsidRPr="002E7761">
        <w:rPr>
          <w:rFonts w:ascii="Times New Roman" w:eastAsia="Calibri" w:hAnsi="Times New Roman" w:cs="Times New Roman"/>
          <w:sz w:val="24"/>
          <w:szCs w:val="24"/>
        </w:rPr>
        <w:fldChar w:fldCharType="begin"/>
      </w:r>
      <w:r w:rsidRPr="002E7761">
        <w:rPr>
          <w:rFonts w:ascii="Times New Roman" w:eastAsia="Calibri" w:hAnsi="Times New Roman" w:cs="Times New Roman"/>
          <w:sz w:val="24"/>
          <w:szCs w:val="24"/>
        </w:rPr>
        <w:instrText xml:space="preserve"> ADDIN ZOTERO_ITEM CSL_CITATION {"citationID":"dyhZ6lsA","properties":{"formattedCitation":"(Mohler et al., 2019)","plainCitation":"(Mohler et al., 2019)","noteIndex":0},"citationItems":[{"id":221,"uris":["http://zotero.org/users/local/7J0d6nia/items/XZ8SYZ7Q","http://zotero.org/users/11300200/items/XZ8SYZ7Q"],"itemData":{"id":221,"type":"article-journal","abstract":"The NCCN Guidelines for Prostate Cancer include recommendations regarding diagnosis, risk stratification and workup, treatment options for localized disease, and management of recurrent and advanced disease for clinicians who treat patients with prostate cancer. The portions of the guidelines included herein focus on the roles of germline and somatic genetic testing, risk stratification with nomograms and tumor multigene molecular testing, androgen deprivation therapy, secondary hormonal therapy, chemotherapy, and immunotherapy in patients with prostate cancer.","container-title":"Journal of the National Comprehensive Cancer Network","DOI":"10.6004/jnccn.2019.0023","ISSN":"1540-1405, 1540-1413","issue":"5","page":"479-505","source":"DOI.org (Crossref)","title":"Prostate Cancer, Version 2.2019, NCCN Clinical Practice Guidelines in Oncology","volume":"17","author":[{"family":"Mohler","given":"James L."},{"family":"Antonarakis","given":"Emmanuel S."},{"family":"Armstrong","given":"Andrew J."},{"family":"D’Amico","given":"Anthony V."},{"family":"Davis","given":"Brian J."},{"family":"Dorff","given":"Tanya"},{"family":"Eastham","given":"James A."},{"family":"Enke","given":"Charles A."},{"family":"Farrington","given":"Thomas A."},{"family":"Higano","given":"Celestia S."},{"family":"Horwitz","given":"Eric Mark"},{"family":"Hurwitz","given":"Michael"},{"family":"Ippolito","given":"Joseph E."},{"family":"Kane","given":"Christopher J."},{"family":"Kuettel","given":"Michael R."},{"family":"Lang","given":"Joshua M."},{"family":"McKenney","given":"Jesse"},{"family":"Netto","given":"George"},{"family":"Penson","given":"David F."},{"family":"Plimack","given":"Elizabeth R."},{"family":"Pow-Sang","given":"Julio M."},{"family":"Pugh","given":"Thomas J."},{"family":"Richey","given":"Sylvia"},{"family":"Roach","given":"Mack"},{"family":"Rosenfeld","given":"Stan"},{"family":"Schaeffer","given":"Edward"},{"family":"Shabsigh","given":"Ahmad"},{"family":"Small","given":"Eric J."},{"family":"Spratt","given":"Daniel E."},{"family":"Srinivas","given":"Sandy"},{"family":"Tward","given":"Jonathan"},{"family":"Shead","given":"Dorothy A."},{"family":"Freedman-Cass","given":"Deborah A."}],"issued":{"date-parts":[["2019",5]]}}}],"schema":"https://github.com/citation-style-language/schema/raw/master/csl-citation.json"} </w:instrText>
      </w:r>
      <w:r w:rsidRPr="002E7761">
        <w:rPr>
          <w:rFonts w:ascii="Times New Roman" w:eastAsia="Calibri" w:hAnsi="Times New Roman" w:cs="Times New Roman"/>
          <w:sz w:val="24"/>
          <w:szCs w:val="24"/>
        </w:rPr>
        <w:fldChar w:fldCharType="separate"/>
      </w:r>
      <w:r w:rsidR="00167D83" w:rsidRPr="00167D83">
        <w:rPr>
          <w:rFonts w:ascii="Times New Roman" w:hAnsi="Times New Roman" w:cs="Times New Roman"/>
          <w:sz w:val="24"/>
        </w:rPr>
        <w:t>(Mohler et al., 2019)</w:t>
      </w:r>
      <w:r w:rsidRPr="002E7761">
        <w:rPr>
          <w:rFonts w:ascii="Times New Roman" w:eastAsia="Calibri" w:hAnsi="Times New Roman" w:cs="Times New Roman"/>
          <w:sz w:val="24"/>
          <w:szCs w:val="24"/>
        </w:rPr>
        <w:fldChar w:fldCharType="end"/>
      </w:r>
      <w:r w:rsidRPr="002E7761">
        <w:rPr>
          <w:rFonts w:ascii="Times New Roman" w:eastAsia="Calibri" w:hAnsi="Times New Roman" w:cs="Times New Roman"/>
          <w:sz w:val="24"/>
          <w:szCs w:val="24"/>
        </w:rPr>
        <w:t>.</w:t>
      </w:r>
      <w:r w:rsidRPr="002E7761">
        <w:rPr>
          <w:rFonts w:ascii="Times New Roman" w:hAnsi="Times New Roman" w:cs="Times New Roman"/>
          <w:sz w:val="24"/>
          <w:szCs w:val="24"/>
        </w:rPr>
        <w:t xml:space="preserve"> </w:t>
      </w:r>
      <w:proofErr w:type="spellStart"/>
      <w:r w:rsidRPr="002E7761">
        <w:rPr>
          <w:rFonts w:ascii="Times New Roman" w:eastAsia="Calibri" w:hAnsi="Times New Roman" w:cs="Times New Roman"/>
          <w:sz w:val="24"/>
          <w:szCs w:val="24"/>
        </w:rPr>
        <w:t>PCa</w:t>
      </w:r>
      <w:proofErr w:type="spellEnd"/>
      <w:r w:rsidRPr="002E7761">
        <w:rPr>
          <w:rFonts w:ascii="Times New Roman" w:eastAsia="Calibri" w:hAnsi="Times New Roman" w:cs="Times New Roman"/>
          <w:sz w:val="24"/>
          <w:szCs w:val="24"/>
        </w:rPr>
        <w:t xml:space="preserve"> treatment differs depending on the cancer's stage and grade, as well as the patient's age and overall health. Active surveillance, surgery, radiation therapy, hormonal therapy, chemotherapy, and a combination of treatments are all treatment options for </w:t>
      </w:r>
      <w:proofErr w:type="spellStart"/>
      <w:r w:rsidRPr="002E7761">
        <w:rPr>
          <w:rFonts w:ascii="Times New Roman" w:eastAsia="Calibri" w:hAnsi="Times New Roman" w:cs="Times New Roman"/>
          <w:sz w:val="24"/>
          <w:szCs w:val="24"/>
        </w:rPr>
        <w:t>PCa</w:t>
      </w:r>
      <w:proofErr w:type="spellEnd"/>
      <w:r w:rsidRPr="002E7761">
        <w:rPr>
          <w:rFonts w:ascii="Times New Roman" w:eastAsia="Calibri" w:hAnsi="Times New Roman" w:cs="Times New Roman"/>
          <w:sz w:val="24"/>
          <w:szCs w:val="24"/>
        </w:rPr>
        <w:t xml:space="preserve"> </w:t>
      </w:r>
      <w:r w:rsidRPr="002E7761">
        <w:rPr>
          <w:rFonts w:ascii="Times New Roman" w:eastAsia="Calibri" w:hAnsi="Times New Roman" w:cs="Times New Roman"/>
          <w:sz w:val="24"/>
          <w:szCs w:val="24"/>
        </w:rPr>
        <w:fldChar w:fldCharType="begin"/>
      </w:r>
      <w:r w:rsidRPr="002E7761">
        <w:rPr>
          <w:rFonts w:ascii="Times New Roman" w:eastAsia="Calibri" w:hAnsi="Times New Roman" w:cs="Times New Roman"/>
          <w:sz w:val="24"/>
          <w:szCs w:val="24"/>
        </w:rPr>
        <w:instrText xml:space="preserve"> ADDIN ZOTERO_ITEM CSL_CITATION {"citationID":"8T8kapx1","properties":{"formattedCitation":"(Mohler et al., 2019)","plainCitation":"(Mohler et al., 2019)","noteIndex":0},"citationItems":[{"id":221,"uris":["http://zotero.org/users/local/7J0d6nia/items/XZ8SYZ7Q","http://zotero.org/users/11300200/items/XZ8SYZ7Q"],"itemData":{"id":221,"type":"article-journal","abstract":"The NCCN Guidelines for Prostate Cancer include recommendations regarding diagnosis, risk stratification and workup, treatment options for localized disease, and management of recurrent and advanced disease for clinicians who treat patients with prostate cancer. The portions of the guidelines included herein focus on the roles of germline and somatic genetic testing, risk stratification with nomograms and tumor multigene molecular testing, androgen deprivation therapy, secondary hormonal therapy, chemotherapy, and immunotherapy in patients with prostate cancer.","container-title":"Journal of the National Comprehensive Cancer Network","DOI":"10.6004/jnccn.2019.0023","ISSN":"1540-1405, 1540-1413","issue":"5","page":"479-505","source":"DOI.org (Crossref)","title":"Prostate Cancer, Version 2.2019, NCCN Clinical Practice Guidelines in Oncology","volume":"17","author":[{"family":"Mohler","given":"James L."},{"family":"Antonarakis","given":"Emmanuel S."},{"family":"Armstrong","given":"Andrew J."},{"family":"D’Amico","given":"Anthony V."},{"family":"Davis","given":"Brian J."},{"family":"Dorff","given":"Tanya"},{"family":"Eastham","given":"James A."},{"family":"Enke","given":"Charles A."},{"family":"Farrington","given":"Thomas A."},{"family":"Higano","given":"Celestia S."},{"family":"Horwitz","given":"Eric Mark"},{"family":"Hurwitz","given":"Michael"},{"family":"Ippolito","given":"Joseph E."},{"family":"Kane","given":"Christopher J."},{"family":"Kuettel","given":"Michael R."},{"family":"Lang","given":"Joshua M."},{"family":"McKenney","given":"Jesse"},{"family":"Netto","given":"George"},{"family":"Penson","given":"David F."},{"family":"Plimack","given":"Elizabeth R."},{"family":"Pow-Sang","given":"Julio M."},{"family":"Pugh","given":"Thomas J."},{"family":"Richey","given":"Sylvia"},{"family":"Roach","given":"Mack"},{"family":"Rosenfeld","given":"Stan"},{"family":"Schaeffer","given":"Edward"},{"family":"Shabsigh","given":"Ahmad"},{"family":"Small","given":"Eric J."},{"family":"Spratt","given":"Daniel E."},{"family":"Srinivas","given":"Sandy"},{"family":"Tward","given":"Jonathan"},{"family":"Shead","given":"Dorothy A."},{"family":"Freedman-Cass","given":"Deborah A."}],"issued":{"date-parts":[["2019",5]]}}}],"schema":"https://github.com/citation-style-language/schema/raw/master/csl-citation.json"} </w:instrText>
      </w:r>
      <w:r w:rsidRPr="002E7761">
        <w:rPr>
          <w:rFonts w:ascii="Times New Roman" w:eastAsia="Calibri" w:hAnsi="Times New Roman" w:cs="Times New Roman"/>
          <w:sz w:val="24"/>
          <w:szCs w:val="24"/>
        </w:rPr>
        <w:fldChar w:fldCharType="separate"/>
      </w:r>
      <w:r w:rsidR="00167D83" w:rsidRPr="00167D83">
        <w:rPr>
          <w:rFonts w:ascii="Times New Roman" w:hAnsi="Times New Roman" w:cs="Times New Roman"/>
          <w:sz w:val="24"/>
        </w:rPr>
        <w:t>(Mohler et al., 2019)</w:t>
      </w:r>
      <w:r w:rsidRPr="002E7761">
        <w:rPr>
          <w:rFonts w:ascii="Times New Roman" w:eastAsia="Calibri" w:hAnsi="Times New Roman" w:cs="Times New Roman"/>
          <w:sz w:val="24"/>
          <w:szCs w:val="24"/>
        </w:rPr>
        <w:fldChar w:fldCharType="end"/>
      </w:r>
      <w:r w:rsidRPr="002E7761">
        <w:rPr>
          <w:rFonts w:ascii="Times New Roman" w:eastAsia="Calibri" w:hAnsi="Times New Roman" w:cs="Times New Roman"/>
          <w:sz w:val="24"/>
          <w:szCs w:val="24"/>
        </w:rPr>
        <w:t xml:space="preserve">. Treatment for </w:t>
      </w:r>
      <w:proofErr w:type="spellStart"/>
      <w:r w:rsidRPr="002E7761">
        <w:rPr>
          <w:rFonts w:ascii="Times New Roman" w:eastAsia="Calibri" w:hAnsi="Times New Roman" w:cs="Times New Roman"/>
          <w:sz w:val="24"/>
          <w:szCs w:val="24"/>
        </w:rPr>
        <w:t>PCa</w:t>
      </w:r>
      <w:proofErr w:type="spellEnd"/>
      <w:r w:rsidRPr="002E7761">
        <w:rPr>
          <w:rFonts w:ascii="Times New Roman" w:eastAsia="Calibri" w:hAnsi="Times New Roman" w:cs="Times New Roman"/>
          <w:sz w:val="24"/>
          <w:szCs w:val="24"/>
        </w:rPr>
        <w:t xml:space="preserve"> will be determined by a number of factors, including the cancer's stage, the patient's overall health, and personal preferences. In the field of cancer treatment, a relatively new type of agent called "antibody-drug conjugates" (ADCs) has shown promising clinical outcomes for various malignancies, including breast cancer </w:t>
      </w:r>
      <w:r w:rsidRPr="002E7761">
        <w:rPr>
          <w:rFonts w:ascii="Times New Roman" w:eastAsia="Calibri" w:hAnsi="Times New Roman" w:cs="Times New Roman"/>
          <w:sz w:val="24"/>
          <w:szCs w:val="24"/>
        </w:rPr>
        <w:fldChar w:fldCharType="begin"/>
      </w:r>
      <w:r w:rsidRPr="002E7761">
        <w:rPr>
          <w:rFonts w:ascii="Times New Roman" w:eastAsia="Calibri" w:hAnsi="Times New Roman" w:cs="Times New Roman"/>
          <w:sz w:val="24"/>
          <w:szCs w:val="24"/>
        </w:rPr>
        <w:instrText xml:space="preserve"> ADDIN ZOTERO_ITEM CSL_CITATION {"citationID":"AQuQ3jda","properties":{"formattedCitation":"(Rosellini et al., 2021; Davis, 2022)","plainCitation":"(Rosellini et al., 2021; Davis, 2022)","noteIndex":0},"citationItems":[{"id":309,"uris":["http://zotero.org/users/local/7J0d6nia/items/VPEIJ2WC","http://zotero.org/users/11300200/items/VPEIJ2WC"],"itemData":{"id":309,"type":"article-journal","abstract":"Prostate cancer is the most frequent malignancy in the worldwide male population; it is also one of the most common among all the leading cancer-related death causes. In the last two decades, the therapeutic scenario of metastatic castration-resistant prostate cancer has been enriched by the use of chemotherapy and androgen receptor signaling inhibitors (ARSI) and, more recently, by immunotherapy and poly(ADP-ribose) polymerase (PARP) inhibitors. At the same time, several trials have shown the survival benefits related to the administration of novel ARSIs among patients with non-castration-resistant metastatic disease along with nonmetastatic castration-resistant cancer too. Consequently, the therapeutic course of this malignancy has been radically expanded, ensuring survival benefits never seen before. Among the more recently emerging agents, the so-called \"antibody-drug conjugates\" (ADCs) are noteworthy because of their clinical practice changing outcomes obtained in the management of other malignancies (including breast cancer). The ADCs are novel compounds consisting of cytotoxic agents (also known as the payload) linked to specific antibodies able to recognize antigens expressed over cancer cells' surfaces. As for prostate cancer, researchers are focusing on STEAP1, TROP2, PSMA, CD46 and B7-H3 as optimal antigens which may be targeted by ADCs. In this paper, we review the pivotal trials that have currently changed the therapeutic approach to prostate cancer, both in the nonmetastatic castration-resistant and metastatic settings. Therefore, we focus on recently published and ongoing trials designed to investigate the clinical activity of ADCs against prostate malignancy, characterizing these agents. Lastly, we briefly discuss some ADCs-related issues with corresponding strategies to overwhelm them, along with future perspectives for these promising novel compounds.","container-title":"International Journal of Molecular Sciences","DOI":"10.3390/ijms22041551","ISSN":"1422-0067","issue":"4","journalAbbreviation":"Int J Mol Sci","language":"eng","note":"PMID: 33557050\nPMCID: PMC7913806","page":"1551","source":"PubMed","title":"Treating Prostate Cancer by Antibody-Drug Conjugates","volume":"22","author":[{"family":"Rosellini","given":"Matteo"},{"family":"Santoni","given":"Matteo"},{"family":"Mollica","given":"Veronica"},{"family":"Rizzo","given":"Alessandro"},{"family":"Cimadamore","given":"Alessia"},{"family":"Scarpelli","given":"Marina"},{"family":"Storti","given":"Nadia"},{"family":"Battelli","given":"Nicola"},{"family":"Montironi","given":"Rodolfo"},{"family":"Massari","given":"Francesco"}],"issued":{"date-parts":[["2021",2,4]]}}},{"id":234,"uris":["http://zotero.org/users/local/7J0d6nia/items/R2AH2BSL","http://zotero.org/users/11300200/items/R2AH2BSL"],"itemData":{"id":234,"type":"article-journal","container-title":"The Lancet","DOI":"10.1016/S0140-6736(22)00427-5","ISSN":"0140-6736","issue":"10336","journalAbbreviation":"The Lancet","language":"en","page":"1670-1671","source":"ScienceDirect","title":"Triplet therapy for prostate cancer","volume":"399","author":[{"family":"Davis","given":"Ian D"}],"issued":{"date-parts":[["2022",4,30]]}}}],"schema":"https://github.com/citation-style-language/schema/raw/master/csl-citation.json"} </w:instrText>
      </w:r>
      <w:r w:rsidRPr="002E7761">
        <w:rPr>
          <w:rFonts w:ascii="Times New Roman" w:eastAsia="Calibri" w:hAnsi="Times New Roman" w:cs="Times New Roman"/>
          <w:sz w:val="24"/>
          <w:szCs w:val="24"/>
        </w:rPr>
        <w:fldChar w:fldCharType="separate"/>
      </w:r>
      <w:r w:rsidR="00167D83" w:rsidRPr="00167D83">
        <w:rPr>
          <w:rFonts w:ascii="Times New Roman" w:hAnsi="Times New Roman" w:cs="Times New Roman"/>
          <w:sz w:val="24"/>
        </w:rPr>
        <w:t>(Rosellini et al., 2021; Davis, 2022)</w:t>
      </w:r>
      <w:r w:rsidRPr="002E7761">
        <w:rPr>
          <w:rFonts w:ascii="Times New Roman" w:eastAsia="Calibri" w:hAnsi="Times New Roman" w:cs="Times New Roman"/>
          <w:sz w:val="24"/>
          <w:szCs w:val="24"/>
        </w:rPr>
        <w:fldChar w:fldCharType="end"/>
      </w:r>
      <w:r w:rsidRPr="002E7761">
        <w:rPr>
          <w:rFonts w:ascii="Times New Roman" w:eastAsia="Calibri" w:hAnsi="Times New Roman" w:cs="Times New Roman"/>
          <w:sz w:val="24"/>
          <w:szCs w:val="24"/>
        </w:rPr>
        <w:t>. ADCs are innovative compounds that link cytotoxic agents to specific antibodies that can identify antigens expressed by cancer cells. Researchers are currently investigating several potential antigens (STEAP1, TROP2, PSMA, CD46, and B7-H3), as suitable targets for ADCs in the treatment of prostate cancer</w:t>
      </w:r>
      <w:r w:rsidRPr="002E7761">
        <w:rPr>
          <w:rFonts w:ascii="Times New Roman" w:hAnsi="Times New Roman" w:cs="Times New Roman"/>
          <w:sz w:val="24"/>
          <w:szCs w:val="24"/>
        </w:rPr>
        <w:t xml:space="preserve"> </w:t>
      </w:r>
      <w:r w:rsidRPr="002E7761">
        <w:rPr>
          <w:rFonts w:ascii="Times New Roman" w:eastAsia="Calibri" w:hAnsi="Times New Roman" w:cs="Times New Roman"/>
          <w:sz w:val="24"/>
          <w:szCs w:val="24"/>
        </w:rPr>
        <w:t xml:space="preserve">The most frequent form of treatment for localized prostate cancer is surgery, which may entail a radical prostatectomy, or removal of the entire prostate gland. This can be done </w:t>
      </w:r>
      <w:proofErr w:type="spellStart"/>
      <w:r w:rsidRPr="002E7761">
        <w:rPr>
          <w:rFonts w:ascii="Times New Roman" w:eastAsia="Calibri" w:hAnsi="Times New Roman" w:cs="Times New Roman"/>
          <w:sz w:val="24"/>
          <w:szCs w:val="24"/>
        </w:rPr>
        <w:t>laparoscopically</w:t>
      </w:r>
      <w:proofErr w:type="spellEnd"/>
      <w:r w:rsidRPr="002E7761">
        <w:rPr>
          <w:rFonts w:ascii="Times New Roman" w:eastAsia="Calibri" w:hAnsi="Times New Roman" w:cs="Times New Roman"/>
          <w:sz w:val="24"/>
          <w:szCs w:val="24"/>
        </w:rPr>
        <w:t xml:space="preserve"> or through an open incision with tiny incisions and specialized tools. Due to its lower morbidity, robotic-assisted laparoscopic prostatectomy has gained popularity as a method for radical prostatectomy </w:t>
      </w:r>
      <w:r w:rsidRPr="002E7761">
        <w:rPr>
          <w:rFonts w:ascii="Times New Roman" w:eastAsia="Calibri" w:hAnsi="Times New Roman" w:cs="Times New Roman"/>
          <w:sz w:val="24"/>
          <w:szCs w:val="24"/>
        </w:rPr>
        <w:fldChar w:fldCharType="begin"/>
      </w:r>
      <w:r w:rsidRPr="002E7761">
        <w:rPr>
          <w:rFonts w:ascii="Times New Roman" w:eastAsia="Calibri" w:hAnsi="Times New Roman" w:cs="Times New Roman"/>
          <w:sz w:val="24"/>
          <w:szCs w:val="24"/>
        </w:rPr>
        <w:instrText xml:space="preserve"> ADDIN ZOTERO_ITEM CSL_CITATION {"citationID":"D9Rpnph5","properties":{"formattedCitation":"(Bertolo et al., 2021)","plainCitation":"(Bertolo et al., 2021)","noteIndex":0},"citationItems":[{"id":220,"uris":["http://zotero.org/users/local/7J0d6nia/items/HEQ6YRSG","http://zotero.org/users/11300200/items/HEQ6YRSG"],"itemData":{"id":220,"type":"article-journal","container-title":"Urology","DOI":"10.1016/j.urology.2021.06.005","ISSN":"00904295","journalAbbreviation":"Urology","language":"en","page":"138-143","source":"DOI.org (Crossref)","title":"Perioperative Outcomes Between Single-Port and “Multi-Port” Robotic Assisted Radical Prostatectomy: Where do we stand?","title-short":"Perioperative Outcomes Between Single-Port and “Multi-Port” Robotic Assisted Radical Prostatectomy","volume":"155","author":[{"family":"Bertolo","given":"Riccardo"},{"family":"Garisto","given":"Juan"},{"family":"Bove","given":"Pierluigi"},{"family":"Mottrie","given":"Alexandre"},{"family":"Rocco","given":"Bernardo"}],"issued":{"date-parts":[["2021",9]]}}}],"schema":"https://github.com/citation-style-language/schema/raw/master/csl-citation.json"} </w:instrText>
      </w:r>
      <w:r w:rsidRPr="002E7761">
        <w:rPr>
          <w:rFonts w:ascii="Times New Roman" w:eastAsia="Calibri" w:hAnsi="Times New Roman" w:cs="Times New Roman"/>
          <w:sz w:val="24"/>
          <w:szCs w:val="24"/>
        </w:rPr>
        <w:fldChar w:fldCharType="separate"/>
      </w:r>
      <w:r w:rsidR="00167D83" w:rsidRPr="00167D83">
        <w:rPr>
          <w:rFonts w:ascii="Times New Roman" w:hAnsi="Times New Roman" w:cs="Times New Roman"/>
          <w:sz w:val="24"/>
        </w:rPr>
        <w:t>(Bertolo et al., 2021)</w:t>
      </w:r>
      <w:r w:rsidRPr="002E7761">
        <w:rPr>
          <w:rFonts w:ascii="Times New Roman" w:eastAsia="Calibri" w:hAnsi="Times New Roman" w:cs="Times New Roman"/>
          <w:sz w:val="24"/>
          <w:szCs w:val="24"/>
        </w:rPr>
        <w:fldChar w:fldCharType="end"/>
      </w:r>
      <w:r w:rsidRPr="002E7761">
        <w:rPr>
          <w:rFonts w:ascii="Times New Roman" w:eastAsia="Calibri" w:hAnsi="Times New Roman" w:cs="Times New Roman"/>
          <w:sz w:val="24"/>
          <w:szCs w:val="24"/>
        </w:rPr>
        <w:t>. Surgery may also be used in some circumstances to remove any lymph nodes that might have cancerous cells in them.</w:t>
      </w:r>
    </w:p>
    <w:p w:rsidR="00F77439" w:rsidRDefault="00F77439" w:rsidP="006D3376">
      <w:pPr>
        <w:spacing w:line="360" w:lineRule="auto"/>
        <w:jc w:val="both"/>
        <w:rPr>
          <w:rFonts w:ascii="Times New Roman" w:eastAsia="Calibri" w:hAnsi="Times New Roman" w:cs="Times New Roman"/>
          <w:sz w:val="24"/>
          <w:szCs w:val="24"/>
        </w:rPr>
      </w:pPr>
      <w:r w:rsidRPr="002E7761">
        <w:rPr>
          <w:rFonts w:ascii="Times New Roman" w:eastAsia="Calibri" w:hAnsi="Times New Roman" w:cs="Times New Roman"/>
          <w:sz w:val="24"/>
          <w:szCs w:val="24"/>
        </w:rPr>
        <w:lastRenderedPageBreak/>
        <w:t xml:space="preserve">Another option for treating prostate cancer is radiation therapy, which can be used either alone or in conjunction with other therapies. Radiation therapy kills cancer cells by using high-energy X-rays or other forms of radiation. Patients with </w:t>
      </w:r>
      <w:proofErr w:type="spellStart"/>
      <w:r w:rsidRPr="002E7761">
        <w:rPr>
          <w:rFonts w:ascii="Times New Roman" w:eastAsia="Calibri" w:hAnsi="Times New Roman" w:cs="Times New Roman"/>
          <w:sz w:val="24"/>
          <w:szCs w:val="24"/>
        </w:rPr>
        <w:t>PCa</w:t>
      </w:r>
      <w:proofErr w:type="spellEnd"/>
      <w:r w:rsidRPr="002E7761">
        <w:rPr>
          <w:rFonts w:ascii="Times New Roman" w:eastAsia="Calibri" w:hAnsi="Times New Roman" w:cs="Times New Roman"/>
          <w:sz w:val="24"/>
          <w:szCs w:val="24"/>
        </w:rPr>
        <w:t xml:space="preserve"> frequently receive radiation therapy, which can be delivered via external beam radiation therapy (EBRT) or </w:t>
      </w:r>
      <w:proofErr w:type="spellStart"/>
      <w:r w:rsidRPr="002E7761">
        <w:rPr>
          <w:rFonts w:ascii="Times New Roman" w:eastAsia="Calibri" w:hAnsi="Times New Roman" w:cs="Times New Roman"/>
          <w:sz w:val="24"/>
          <w:szCs w:val="24"/>
        </w:rPr>
        <w:t>brachytherectomy</w:t>
      </w:r>
      <w:proofErr w:type="spellEnd"/>
      <w:r w:rsidRPr="002E7761">
        <w:rPr>
          <w:rFonts w:ascii="Times New Roman" w:eastAsia="Calibri" w:hAnsi="Times New Roman" w:cs="Times New Roman"/>
          <w:sz w:val="24"/>
          <w:szCs w:val="24"/>
        </w:rPr>
        <w:t xml:space="preserve"> </w:t>
      </w:r>
      <w:r w:rsidRPr="002E7761">
        <w:rPr>
          <w:rFonts w:ascii="Times New Roman" w:eastAsia="Calibri" w:hAnsi="Times New Roman" w:cs="Times New Roman"/>
          <w:sz w:val="24"/>
          <w:szCs w:val="24"/>
        </w:rPr>
        <w:fldChar w:fldCharType="begin"/>
      </w:r>
      <w:r w:rsidRPr="002E7761">
        <w:rPr>
          <w:rFonts w:ascii="Times New Roman" w:eastAsia="Calibri" w:hAnsi="Times New Roman" w:cs="Times New Roman"/>
          <w:sz w:val="24"/>
          <w:szCs w:val="24"/>
        </w:rPr>
        <w:instrText xml:space="preserve"> ADDIN ZOTERO_ITEM CSL_CITATION {"citationID":"IN4ARmr0","properties":{"formattedCitation":"(Bryant et al., 2021)","plainCitation":"(Bryant et al., 2021)","noteIndex":0},"citationItems":[{"id":219,"uris":["http://zotero.org/users/local/7J0d6nia/items/LA5T7I98","http://zotero.org/users/11300200/items/LA5T7I98"],"itemData":{"id":219,"type":"article-journal","abstract":"Abstract\n            Proton therapy is a promising but controversial treatment in the management of prostate cancer. Despite its dosimetric advantages when compared with photon radiation therapy, its increased cost to patients and insurers has raised questions regarding its value. Multiple prospective and retrospective studies have been published documenting the efficacy and safety of proton therapy for patients with localized prostate cancer and for patients requiring adjuvant or salvage pelvic radiation after surgery. The Particle Therapy Co-Operative Group (PTCOG) Genitourinary Subcommittee intends to address current proton therapy indications, advantages, disadvantages, and cost effectiveness. We will also discuss the current landscape of clinical trials. This consensus report can be used to guide clinical practice and research directions.","container-title":"International Journal of Particle Therapy","DOI":"10.14338/IJPT-20-00031.1","ISSN":"2331-5180","issue":"2","language":"en","page":"1-16","source":"DOI.org (Crossref)","title":"Consensus Statement on Proton Therapy for Prostate Cancer","volume":"8","author":[{"family":"Bryant","given":"Curtis M."},{"family":"Henderson","given":"Randal H."},{"family":"Nichols","given":"R. Charles"},{"family":"Mendenhall","given":"William M."},{"family":"Hoppe","given":"Bradford S."},{"family":"Vargas","given":"Carlos E."},{"family":"Daniels","given":"Thomas B."},{"family":"Choo","given":"C. Richard"},{"family":"Parikh","given":"Rahul R."},{"family":"Giap","given":"Huan"},{"family":"Slater","given":"Jerry D."},{"family":"Vapiwala","given":"Neha"},{"family":"Barrett","given":"William"},{"family":"Nanda","given":"Akash"},{"family":"Mishra","given":"Mark V."},{"family":"Choi","given":"Seungtaek"},{"family":"Liao","given":"Jay J."},{"family":"Mendenhall","given":"Nancy P."},{"literal":"the Genitourinary Subcommittee of the Particle Therapy Co-Operative Group"}],"issued":{"date-parts":[["2021",9,1]]}}}],"schema":"https://github.com/citation-style-language/schema/raw/master/csl-citation.json"} </w:instrText>
      </w:r>
      <w:r w:rsidRPr="002E7761">
        <w:rPr>
          <w:rFonts w:ascii="Times New Roman" w:eastAsia="Calibri" w:hAnsi="Times New Roman" w:cs="Times New Roman"/>
          <w:sz w:val="24"/>
          <w:szCs w:val="24"/>
        </w:rPr>
        <w:fldChar w:fldCharType="separate"/>
      </w:r>
      <w:r w:rsidR="00167D83" w:rsidRPr="00167D83">
        <w:rPr>
          <w:rFonts w:ascii="Times New Roman" w:hAnsi="Times New Roman" w:cs="Times New Roman"/>
          <w:sz w:val="24"/>
        </w:rPr>
        <w:t>(Bryant et al., 2021)</w:t>
      </w:r>
      <w:r w:rsidRPr="002E7761">
        <w:rPr>
          <w:rFonts w:ascii="Times New Roman" w:eastAsia="Calibri" w:hAnsi="Times New Roman" w:cs="Times New Roman"/>
          <w:sz w:val="24"/>
          <w:szCs w:val="24"/>
        </w:rPr>
        <w:fldChar w:fldCharType="end"/>
      </w:r>
      <w:r w:rsidRPr="002E7761">
        <w:rPr>
          <w:rFonts w:ascii="Times New Roman" w:eastAsia="Calibri" w:hAnsi="Times New Roman" w:cs="Times New Roman"/>
          <w:sz w:val="24"/>
          <w:szCs w:val="24"/>
        </w:rPr>
        <w:t xml:space="preserve">. EBRT delivers high doses of radiation from outside the body, whereas brachytherapy entails inserting small radioactive pellets directly into the prostate gland. Both treatments have similar success rates and can be used alone or combined with other therapies. The use of proton therapy, which employs charged particles, can reduce excess radiation delivered to patients compared to photon radiation therapy and consequently reduce the risk of gastrointestinal, genitourinary, and sexual toxicities </w:t>
      </w:r>
      <w:r w:rsidRPr="002E7761">
        <w:rPr>
          <w:rFonts w:ascii="Times New Roman" w:eastAsia="Calibri" w:hAnsi="Times New Roman" w:cs="Times New Roman"/>
          <w:sz w:val="24"/>
          <w:szCs w:val="24"/>
        </w:rPr>
        <w:fldChar w:fldCharType="begin"/>
      </w:r>
      <w:r w:rsidRPr="002E7761">
        <w:rPr>
          <w:rFonts w:ascii="Times New Roman" w:eastAsia="Calibri" w:hAnsi="Times New Roman" w:cs="Times New Roman"/>
          <w:sz w:val="24"/>
          <w:szCs w:val="24"/>
        </w:rPr>
        <w:instrText xml:space="preserve"> ADDIN ZOTERO_ITEM CSL_CITATION {"citationID":"JvTUhAei","properties":{"formattedCitation":"(Bryant et al., 2021)","plainCitation":"(Bryant et al., 2021)","noteIndex":0},"citationItems":[{"id":219,"uris":["http://zotero.org/users/local/7J0d6nia/items/LA5T7I98","http://zotero.org/users/11300200/items/LA5T7I98"],"itemData":{"id":219,"type":"article-journal","abstract":"Abstract\n            Proton therapy is a promising but controversial treatment in the management of prostate cancer. Despite its dosimetric advantages when compared with photon radiation therapy, its increased cost to patients and insurers has raised questions regarding its value. Multiple prospective and retrospective studies have been published documenting the efficacy and safety of proton therapy for patients with localized prostate cancer and for patients requiring adjuvant or salvage pelvic radiation after surgery. The Particle Therapy Co-Operative Group (PTCOG) Genitourinary Subcommittee intends to address current proton therapy indications, advantages, disadvantages, and cost effectiveness. We will also discuss the current landscape of clinical trials. This consensus report can be used to guide clinical practice and research directions.","container-title":"International Journal of Particle Therapy","DOI":"10.14338/IJPT-20-00031.1","ISSN":"2331-5180","issue":"2","language":"en","page":"1-16","source":"DOI.org (Crossref)","title":"Consensus Statement on Proton Therapy for Prostate Cancer","volume":"8","author":[{"family":"Bryant","given":"Curtis M."},{"family":"Henderson","given":"Randal H."},{"family":"Nichols","given":"R. Charles"},{"family":"Mendenhall","given":"William M."},{"family":"Hoppe","given":"Bradford S."},{"family":"Vargas","given":"Carlos E."},{"family":"Daniels","given":"Thomas B."},{"family":"Choo","given":"C. Richard"},{"family":"Parikh","given":"Rahul R."},{"family":"Giap","given":"Huan"},{"family":"Slater","given":"Jerry D."},{"family":"Vapiwala","given":"Neha"},{"family":"Barrett","given":"William"},{"family":"Nanda","given":"Akash"},{"family":"Mishra","given":"Mark V."},{"family":"Choi","given":"Seungtaek"},{"family":"Liao","given":"Jay J."},{"family":"Mendenhall","given":"Nancy P."},{"literal":"the Genitourinary Subcommittee of the Particle Therapy Co-Operative Group"}],"issued":{"date-parts":[["2021",9,1]]}}}],"schema":"https://github.com/citation-style-language/schema/raw/master/csl-citation.json"} </w:instrText>
      </w:r>
      <w:r w:rsidRPr="002E7761">
        <w:rPr>
          <w:rFonts w:ascii="Times New Roman" w:eastAsia="Calibri" w:hAnsi="Times New Roman" w:cs="Times New Roman"/>
          <w:sz w:val="24"/>
          <w:szCs w:val="24"/>
        </w:rPr>
        <w:fldChar w:fldCharType="separate"/>
      </w:r>
      <w:r w:rsidR="00167D83" w:rsidRPr="00167D83">
        <w:rPr>
          <w:rFonts w:ascii="Times New Roman" w:hAnsi="Times New Roman" w:cs="Times New Roman"/>
          <w:sz w:val="24"/>
        </w:rPr>
        <w:t>(Bryant et al., 2021)</w:t>
      </w:r>
      <w:r w:rsidRPr="002E7761">
        <w:rPr>
          <w:rFonts w:ascii="Times New Roman" w:eastAsia="Calibri" w:hAnsi="Times New Roman" w:cs="Times New Roman"/>
          <w:sz w:val="24"/>
          <w:szCs w:val="24"/>
        </w:rPr>
        <w:fldChar w:fldCharType="end"/>
      </w:r>
      <w:r w:rsidRPr="002E7761">
        <w:rPr>
          <w:rFonts w:ascii="Times New Roman" w:eastAsia="Calibri" w:hAnsi="Times New Roman" w:cs="Times New Roman"/>
          <w:sz w:val="24"/>
          <w:szCs w:val="24"/>
        </w:rPr>
        <w:t xml:space="preserve">. However, proton therapy is controversial due to its higher cost and lack of high-level evidence supporting its advantages in improving patient quality of life, reducing toxicity, and improving cure rates. Nevertheless, numerous clinical trials and outcome reviews have demonstrated its efficacy in managing prostate cancer. Hormone therapy is another option for the treatment of </w:t>
      </w:r>
      <w:proofErr w:type="spellStart"/>
      <w:r w:rsidRPr="002E7761">
        <w:rPr>
          <w:rFonts w:ascii="Times New Roman" w:eastAsia="Calibri" w:hAnsi="Times New Roman" w:cs="Times New Roman"/>
          <w:sz w:val="24"/>
          <w:szCs w:val="24"/>
        </w:rPr>
        <w:t>PCa</w:t>
      </w:r>
      <w:proofErr w:type="spellEnd"/>
      <w:r w:rsidRPr="002E7761">
        <w:rPr>
          <w:rFonts w:ascii="Times New Roman" w:eastAsia="Calibri" w:hAnsi="Times New Roman" w:cs="Times New Roman"/>
          <w:sz w:val="24"/>
          <w:szCs w:val="24"/>
        </w:rPr>
        <w:t xml:space="preserve">, and works by reducing the level of testosterone, which can slow or stop the growth of prostate cancer cells </w:t>
      </w:r>
      <w:r w:rsidRPr="002E7761">
        <w:rPr>
          <w:rFonts w:ascii="Times New Roman" w:eastAsia="Calibri" w:hAnsi="Times New Roman" w:cs="Times New Roman"/>
          <w:sz w:val="24"/>
          <w:szCs w:val="24"/>
        </w:rPr>
        <w:fldChar w:fldCharType="begin"/>
      </w:r>
      <w:r w:rsidRPr="002E7761">
        <w:rPr>
          <w:rFonts w:ascii="Times New Roman" w:eastAsia="Calibri" w:hAnsi="Times New Roman" w:cs="Times New Roman"/>
          <w:sz w:val="24"/>
          <w:szCs w:val="24"/>
        </w:rPr>
        <w:instrText xml:space="preserve"> ADDIN ZOTERO_ITEM CSL_CITATION {"citationID":"2gTnsvLQ","properties":{"formattedCitation":"(Student et al., 2020)","plainCitation":"(Student et al., 2020)","noteIndex":0},"citationItems":[{"id":218,"uris":["http://zotero.org/users/local/7J0d6nia/items/W7QG9I5R","http://zotero.org/users/11300200/items/W7QG9I5R"],"itemData":{"id":218,"type":"article-journal","container-title":"European Journal of Pharmacology","DOI":"10.1016/j.ejphar.2019.172783","ISSN":"00142999","journalAbbreviation":"European Journal of Pharmacology","language":"en","page":"172783","source":"DOI.org (Crossref)","title":"Anti-androgen hormonal therapy for cancer and other diseases","volume":"866","author":[{"family":"Student","given":"Sebastian"},{"family":"Hejmo","given":"Tomasz"},{"family":"Poterała-Hejmo","given":"Aleksandra"},{"family":"Leśniak","given":"Aleksandra"},{"family":"Bułdak","given":"Rafał"}],"issued":{"date-parts":[["2020",1]]}}}],"schema":"https://github.com/citation-style-language/schema/raw/master/csl-citation.json"} </w:instrText>
      </w:r>
      <w:r w:rsidRPr="002E7761">
        <w:rPr>
          <w:rFonts w:ascii="Times New Roman" w:eastAsia="Calibri" w:hAnsi="Times New Roman" w:cs="Times New Roman"/>
          <w:sz w:val="24"/>
          <w:szCs w:val="24"/>
        </w:rPr>
        <w:fldChar w:fldCharType="separate"/>
      </w:r>
      <w:r w:rsidR="00167D83" w:rsidRPr="00167D83">
        <w:rPr>
          <w:rFonts w:ascii="Times New Roman" w:hAnsi="Times New Roman" w:cs="Times New Roman"/>
          <w:sz w:val="24"/>
        </w:rPr>
        <w:t>(Student et al., 2020)</w:t>
      </w:r>
      <w:r w:rsidRPr="002E7761">
        <w:rPr>
          <w:rFonts w:ascii="Times New Roman" w:eastAsia="Calibri" w:hAnsi="Times New Roman" w:cs="Times New Roman"/>
          <w:sz w:val="24"/>
          <w:szCs w:val="24"/>
        </w:rPr>
        <w:fldChar w:fldCharType="end"/>
      </w:r>
      <w:r w:rsidRPr="002E7761">
        <w:rPr>
          <w:rFonts w:ascii="Times New Roman" w:eastAsia="Calibri" w:hAnsi="Times New Roman" w:cs="Times New Roman"/>
          <w:sz w:val="24"/>
          <w:szCs w:val="24"/>
        </w:rPr>
        <w:t>. Hormone therapy may involve the use of drugs or surgical castration, and may be used as a primary treatment or in combination with other treatments.</w:t>
      </w:r>
      <w:r w:rsidRPr="002E7761">
        <w:rPr>
          <w:rFonts w:ascii="Times New Roman" w:hAnsi="Times New Roman" w:cs="Times New Roman"/>
          <w:sz w:val="24"/>
          <w:szCs w:val="24"/>
        </w:rPr>
        <w:t xml:space="preserve"> Androgen receptor (AR) </w:t>
      </w:r>
      <w:proofErr w:type="spellStart"/>
      <w:r w:rsidRPr="002E7761">
        <w:rPr>
          <w:rFonts w:ascii="Times New Roman" w:hAnsi="Times New Roman" w:cs="Times New Roman"/>
          <w:sz w:val="24"/>
          <w:szCs w:val="24"/>
        </w:rPr>
        <w:t>signaling</w:t>
      </w:r>
      <w:proofErr w:type="spellEnd"/>
      <w:r w:rsidRPr="002E7761">
        <w:rPr>
          <w:rFonts w:ascii="Times New Roman" w:hAnsi="Times New Roman" w:cs="Times New Roman"/>
          <w:sz w:val="24"/>
          <w:szCs w:val="24"/>
        </w:rPr>
        <w:t xml:space="preserve"> plays a critical role in the proliferation and survival of </w:t>
      </w:r>
      <w:proofErr w:type="spellStart"/>
      <w:r w:rsidRPr="002E7761">
        <w:rPr>
          <w:rFonts w:ascii="Times New Roman" w:hAnsi="Times New Roman" w:cs="Times New Roman"/>
          <w:sz w:val="24"/>
          <w:szCs w:val="24"/>
        </w:rPr>
        <w:t>PCa</w:t>
      </w:r>
      <w:proofErr w:type="spellEnd"/>
      <w:r w:rsidRPr="002E7761">
        <w:rPr>
          <w:rFonts w:ascii="Times New Roman" w:hAnsi="Times New Roman" w:cs="Times New Roman"/>
          <w:sz w:val="24"/>
          <w:szCs w:val="24"/>
        </w:rPr>
        <w:t xml:space="preserve"> cells </w:t>
      </w:r>
      <w:r w:rsidRPr="002E7761">
        <w:rPr>
          <w:rFonts w:ascii="Times New Roman" w:hAnsi="Times New Roman" w:cs="Times New Roman"/>
          <w:sz w:val="24"/>
          <w:szCs w:val="24"/>
        </w:rPr>
        <w:fldChar w:fldCharType="begin"/>
      </w:r>
      <w:r w:rsidRPr="002E7761">
        <w:rPr>
          <w:rFonts w:ascii="Times New Roman" w:hAnsi="Times New Roman" w:cs="Times New Roman"/>
          <w:sz w:val="24"/>
          <w:szCs w:val="24"/>
        </w:rPr>
        <w:instrText xml:space="preserve"> ADDIN ZOTERO_ITEM CSL_CITATION {"citationID":"XzZVS2To","properties":{"formattedCitation":"(Student et al., 2020)","plainCitation":"(Student et al., 2020)","noteIndex":0},"citationItems":[{"id":218,"uris":["http://zotero.org/users/local/7J0d6nia/items/W7QG9I5R","http://zotero.org/users/11300200/items/W7QG9I5R"],"itemData":{"id":218,"type":"article-journal","container-title":"European Journal of Pharmacology","DOI":"10.1016/j.ejphar.2019.172783","ISSN":"00142999","journalAbbreviation":"European Journal of Pharmacology","language":"en","page":"172783","source":"DOI.org (Crossref)","title":"Anti-androgen hormonal therapy for cancer and other diseases","volume":"866","author":[{"family":"Student","given":"Sebastian"},{"family":"Hejmo","given":"Tomasz"},{"family":"Poterała-Hejmo","given":"Aleksandra"},{"family":"Leśniak","given":"Aleksandra"},{"family":"Bułdak","given":"Rafał"}],"issued":{"date-parts":[["2020",1]]}}}],"schema":"https://github.com/citation-style-language/schema/raw/master/csl-citation.json"} </w:instrText>
      </w:r>
      <w:r w:rsidRPr="002E7761">
        <w:rPr>
          <w:rFonts w:ascii="Times New Roman" w:hAnsi="Times New Roman" w:cs="Times New Roman"/>
          <w:sz w:val="24"/>
          <w:szCs w:val="24"/>
        </w:rPr>
        <w:fldChar w:fldCharType="separate"/>
      </w:r>
      <w:r w:rsidR="00167D83" w:rsidRPr="00167D83">
        <w:rPr>
          <w:rFonts w:ascii="Times New Roman" w:hAnsi="Times New Roman" w:cs="Times New Roman"/>
          <w:sz w:val="24"/>
        </w:rPr>
        <w:t>(Student et al., 2020)</w:t>
      </w:r>
      <w:r w:rsidRPr="002E7761">
        <w:rPr>
          <w:rFonts w:ascii="Times New Roman" w:hAnsi="Times New Roman" w:cs="Times New Roman"/>
          <w:sz w:val="24"/>
          <w:szCs w:val="24"/>
        </w:rPr>
        <w:fldChar w:fldCharType="end"/>
      </w:r>
      <w:r w:rsidRPr="002E7761">
        <w:rPr>
          <w:rFonts w:ascii="Times New Roman" w:hAnsi="Times New Roman" w:cs="Times New Roman"/>
          <w:sz w:val="24"/>
          <w:szCs w:val="24"/>
        </w:rPr>
        <w:t xml:space="preserve">. When given androgen deprivation therapy (ADT), the majority of patients with metastatic prostate cancer experience high rates of early response. Nonetheless, despite prolonged treatment, disease progression is always seen, with </w:t>
      </w:r>
      <w:proofErr w:type="spellStart"/>
      <w:r w:rsidRPr="002E7761">
        <w:rPr>
          <w:rFonts w:ascii="Times New Roman" w:hAnsi="Times New Roman" w:cs="Times New Roman"/>
          <w:sz w:val="24"/>
          <w:szCs w:val="24"/>
        </w:rPr>
        <w:t>tumor</w:t>
      </w:r>
      <w:proofErr w:type="spellEnd"/>
      <w:r w:rsidRPr="002E7761">
        <w:rPr>
          <w:rFonts w:ascii="Times New Roman" w:hAnsi="Times New Roman" w:cs="Times New Roman"/>
          <w:sz w:val="24"/>
          <w:szCs w:val="24"/>
        </w:rPr>
        <w:t xml:space="preserve"> cells starting to proliferate again. Under ADT </w:t>
      </w:r>
      <w:r w:rsidRPr="002E7761">
        <w:rPr>
          <w:rFonts w:ascii="Times New Roman" w:eastAsia="Calibri" w:hAnsi="Times New Roman" w:cs="Times New Roman"/>
          <w:sz w:val="24"/>
          <w:szCs w:val="24"/>
        </w:rPr>
        <w:t xml:space="preserve">despite low serum testosterone levels, the idea that CRPC is caused by the reactivation of AR </w:t>
      </w:r>
      <w:proofErr w:type="spellStart"/>
      <w:r w:rsidRPr="002E7761">
        <w:rPr>
          <w:rFonts w:ascii="Times New Roman" w:eastAsia="Calibri" w:hAnsi="Times New Roman" w:cs="Times New Roman"/>
          <w:sz w:val="24"/>
          <w:szCs w:val="24"/>
        </w:rPr>
        <w:t>signaling</w:t>
      </w:r>
      <w:proofErr w:type="spellEnd"/>
      <w:r w:rsidRPr="002E7761">
        <w:rPr>
          <w:rFonts w:ascii="Times New Roman" w:eastAsia="Calibri" w:hAnsi="Times New Roman" w:cs="Times New Roman"/>
          <w:sz w:val="24"/>
          <w:szCs w:val="24"/>
        </w:rPr>
        <w:t xml:space="preserve"> makes sense given the rise in serum PSA, an androgen-responsive gene product produced into the blood by </w:t>
      </w:r>
      <w:proofErr w:type="spellStart"/>
      <w:r w:rsidRPr="002E7761">
        <w:rPr>
          <w:rFonts w:ascii="Times New Roman" w:eastAsia="Calibri" w:hAnsi="Times New Roman" w:cs="Times New Roman"/>
          <w:sz w:val="24"/>
          <w:szCs w:val="24"/>
        </w:rPr>
        <w:t>PCa</w:t>
      </w:r>
      <w:proofErr w:type="spellEnd"/>
      <w:r w:rsidRPr="002E7761">
        <w:rPr>
          <w:rFonts w:ascii="Times New Roman" w:eastAsia="Calibri" w:hAnsi="Times New Roman" w:cs="Times New Roman"/>
          <w:sz w:val="24"/>
          <w:szCs w:val="24"/>
        </w:rPr>
        <w:t xml:space="preserve"> cells. </w:t>
      </w:r>
      <w:proofErr w:type="spellStart"/>
      <w:r w:rsidR="009C22D0">
        <w:rPr>
          <w:rFonts w:ascii="Times New Roman" w:eastAsia="Calibri" w:hAnsi="Times New Roman" w:cs="Times New Roman"/>
          <w:sz w:val="24"/>
          <w:szCs w:val="24"/>
        </w:rPr>
        <w:t>PCa</w:t>
      </w:r>
      <w:proofErr w:type="spellEnd"/>
      <w:r w:rsidRPr="002E7761">
        <w:rPr>
          <w:rFonts w:ascii="Times New Roman" w:eastAsia="Calibri" w:hAnsi="Times New Roman" w:cs="Times New Roman"/>
          <w:sz w:val="24"/>
          <w:szCs w:val="24"/>
        </w:rPr>
        <w:t xml:space="preserve"> treatment is a difficult and unique process, and the best course of action will depend on a number of variables. The three main types of treatment are surgery, radiation therapy, and hormone therapy, though a combination of therapies may be used to give patients the best results. Prostate cancer treatment options will continue to advance, and this will be essential to improving patient outcomes and lessening the disease's effects.</w:t>
      </w:r>
    </w:p>
    <w:p w:rsidR="0045562E" w:rsidRPr="00277163" w:rsidRDefault="00680621" w:rsidP="0045562E">
      <w:pPr>
        <w:tabs>
          <w:tab w:val="left" w:pos="4095"/>
        </w:tabs>
        <w:spacing w:line="360" w:lineRule="auto"/>
        <w:jc w:val="both"/>
        <w:rPr>
          <w:rFonts w:ascii="Times New Roman" w:eastAsia="Calibri" w:hAnsi="Times New Roman" w:cs="Times New Roman"/>
          <w:b/>
          <w:bCs/>
          <w:sz w:val="24"/>
        </w:rPr>
      </w:pPr>
      <w:r>
        <w:rPr>
          <w:rFonts w:ascii="Times New Roman" w:eastAsia="Calibri" w:hAnsi="Times New Roman" w:cs="Times New Roman"/>
          <w:b/>
          <w:bCs/>
          <w:sz w:val="24"/>
        </w:rPr>
        <w:t>2.</w:t>
      </w:r>
      <w:r w:rsidR="00BA6281">
        <w:rPr>
          <w:rFonts w:ascii="Times New Roman" w:eastAsia="Calibri" w:hAnsi="Times New Roman" w:cs="Times New Roman"/>
          <w:b/>
          <w:bCs/>
          <w:sz w:val="24"/>
        </w:rPr>
        <w:t>5.</w:t>
      </w:r>
      <w:r w:rsidR="0045562E">
        <w:rPr>
          <w:rFonts w:ascii="Times New Roman" w:eastAsia="Calibri" w:hAnsi="Times New Roman" w:cs="Times New Roman"/>
          <w:b/>
          <w:bCs/>
          <w:sz w:val="24"/>
        </w:rPr>
        <w:t>1</w:t>
      </w:r>
      <w:r w:rsidR="0045562E" w:rsidRPr="00277163">
        <w:rPr>
          <w:rFonts w:ascii="Times New Roman" w:eastAsia="Calibri" w:hAnsi="Times New Roman" w:cs="Times New Roman"/>
          <w:b/>
          <w:bCs/>
          <w:sz w:val="24"/>
        </w:rPr>
        <w:t xml:space="preserve"> Androgen Deprivation Therapy</w:t>
      </w:r>
      <w:r w:rsidR="0045562E">
        <w:rPr>
          <w:rFonts w:ascii="Times New Roman" w:eastAsia="Calibri" w:hAnsi="Times New Roman" w:cs="Times New Roman"/>
          <w:b/>
          <w:bCs/>
          <w:sz w:val="24"/>
        </w:rPr>
        <w:tab/>
      </w:r>
    </w:p>
    <w:p w:rsidR="0045562E" w:rsidRPr="00597490" w:rsidRDefault="00680621" w:rsidP="0045562E">
      <w:pPr>
        <w:spacing w:line="360" w:lineRule="auto"/>
        <w:jc w:val="both"/>
        <w:rPr>
          <w:rFonts w:ascii="Times New Roman" w:eastAsia="Calibri" w:hAnsi="Times New Roman" w:cs="Times New Roman"/>
          <w:bCs/>
          <w:sz w:val="24"/>
        </w:rPr>
      </w:pPr>
      <w:r w:rsidRPr="00680621">
        <w:rPr>
          <w:rFonts w:ascii="Times New Roman" w:eastAsia="Calibri" w:hAnsi="Times New Roman" w:cs="Times New Roman"/>
          <w:bCs/>
          <w:sz w:val="24"/>
        </w:rPr>
        <w:t xml:space="preserve">Androgen Deprivation Therapy </w:t>
      </w:r>
      <w:r>
        <w:rPr>
          <w:rFonts w:ascii="Times New Roman" w:eastAsia="Calibri" w:hAnsi="Times New Roman" w:cs="Times New Roman"/>
          <w:bCs/>
          <w:sz w:val="24"/>
        </w:rPr>
        <w:t>(</w:t>
      </w:r>
      <w:r w:rsidR="0045562E" w:rsidRPr="009D0072">
        <w:rPr>
          <w:rFonts w:ascii="Times New Roman" w:eastAsia="Calibri" w:hAnsi="Times New Roman" w:cs="Times New Roman"/>
          <w:bCs/>
          <w:sz w:val="24"/>
        </w:rPr>
        <w:t>ADT</w:t>
      </w:r>
      <w:r>
        <w:rPr>
          <w:rFonts w:ascii="Times New Roman" w:eastAsia="Calibri" w:hAnsi="Times New Roman" w:cs="Times New Roman"/>
          <w:bCs/>
          <w:sz w:val="24"/>
        </w:rPr>
        <w:t>)</w:t>
      </w:r>
      <w:r w:rsidR="0045562E" w:rsidRPr="009D0072">
        <w:rPr>
          <w:rFonts w:ascii="Times New Roman" w:eastAsia="Calibri" w:hAnsi="Times New Roman" w:cs="Times New Roman"/>
          <w:bCs/>
          <w:sz w:val="24"/>
        </w:rPr>
        <w:t xml:space="preserve"> is a typical prostate treatment opt</w:t>
      </w:r>
      <w:r w:rsidR="0045562E">
        <w:rPr>
          <w:rFonts w:ascii="Times New Roman" w:eastAsia="Calibri" w:hAnsi="Times New Roman" w:cs="Times New Roman"/>
          <w:bCs/>
          <w:sz w:val="24"/>
        </w:rPr>
        <w:t>ion that lowers androgens</w:t>
      </w:r>
      <w:r w:rsidR="0045562E" w:rsidRPr="00277163">
        <w:rPr>
          <w:rFonts w:ascii="Times New Roman" w:eastAsia="Calibri" w:hAnsi="Times New Roman" w:cs="Times New Roman"/>
          <w:bCs/>
          <w:sz w:val="24"/>
        </w:rPr>
        <w:t xml:space="preserve">, such as testosterone, which bind to and activate AR </w:t>
      </w:r>
      <w:r w:rsidR="0045562E" w:rsidRPr="00277163">
        <w:rPr>
          <w:rFonts w:ascii="Times New Roman" w:eastAsia="Calibri" w:hAnsi="Times New Roman" w:cs="Times New Roman"/>
          <w:bCs/>
          <w:sz w:val="24"/>
        </w:rPr>
        <w:fldChar w:fldCharType="begin"/>
      </w:r>
      <w:r w:rsidR="00316921">
        <w:rPr>
          <w:rFonts w:ascii="Times New Roman" w:eastAsia="Calibri" w:hAnsi="Times New Roman" w:cs="Times New Roman"/>
          <w:bCs/>
          <w:sz w:val="24"/>
        </w:rPr>
        <w:instrText xml:space="preserve"> ADDIN ZOTERO_ITEM CSL_CITATION {"citationID":"Ooj7VqUx","properties":{"formattedCitation":"(Fujita &amp; Nonomura, 2019)","plainCitation":"(Fujita &amp; Nonomura, 2019)","noteIndex":0},"citationItems":[{"id":365,"uris":["http://zotero.org/users/11300200/items/QVWKIA44"],"itemData":{"id":365,"type":"article-journal","container-title":"The World Journal of Men's Health","DOI":"10.5534/wjmh.180040","ISSN":"2287-4208, 2287-4690","issue":"3","journalAbbreviation":"World J Mens Health","language":"en","page":"288","source":"DOI.org (Crossref)","title":"Role of Androgen Receptor in Prostate Cancer: A Review","title-short":"Role of Androgen Receptor in Prostate Cancer","volume":"37","author":[{"family":"Fujita","given":"Kazutoshi"},{"family":"Nonomura","given":"Norio"}],"issued":{"date-parts":[["2019"]]}}}],"schema":"https://github.com/citation-style-language/schema/raw/master/csl-citation.json"} </w:instrText>
      </w:r>
      <w:r w:rsidR="0045562E" w:rsidRPr="00277163">
        <w:rPr>
          <w:rFonts w:ascii="Times New Roman" w:eastAsia="Calibri" w:hAnsi="Times New Roman" w:cs="Times New Roman"/>
          <w:bCs/>
          <w:sz w:val="24"/>
        </w:rPr>
        <w:fldChar w:fldCharType="separate"/>
      </w:r>
      <w:r w:rsidR="00167D83" w:rsidRPr="00167D83">
        <w:rPr>
          <w:rFonts w:ascii="Times New Roman" w:hAnsi="Times New Roman" w:cs="Times New Roman"/>
          <w:sz w:val="24"/>
        </w:rPr>
        <w:t>(Fujita &amp; Nonomura, 2019)</w:t>
      </w:r>
      <w:r w:rsidR="0045562E" w:rsidRPr="00277163">
        <w:rPr>
          <w:rFonts w:ascii="Times New Roman" w:eastAsia="Calibri" w:hAnsi="Times New Roman" w:cs="Times New Roman"/>
          <w:bCs/>
          <w:sz w:val="24"/>
        </w:rPr>
        <w:fldChar w:fldCharType="end"/>
      </w:r>
      <w:r w:rsidR="0045562E">
        <w:rPr>
          <w:rFonts w:ascii="Times New Roman" w:eastAsia="Calibri" w:hAnsi="Times New Roman" w:cs="Times New Roman"/>
          <w:bCs/>
          <w:sz w:val="24"/>
        </w:rPr>
        <w:t>. However, many of cancerous</w:t>
      </w:r>
      <w:r w:rsidR="0045562E" w:rsidRPr="00277163">
        <w:rPr>
          <w:rFonts w:ascii="Times New Roman" w:eastAsia="Calibri" w:hAnsi="Times New Roman" w:cs="Times New Roman"/>
          <w:bCs/>
          <w:sz w:val="24"/>
        </w:rPr>
        <w:t xml:space="preserve"> cells eventually </w:t>
      </w:r>
      <w:r w:rsidR="0045562E" w:rsidRPr="00B53BE4">
        <w:rPr>
          <w:rFonts w:ascii="Times New Roman" w:eastAsia="Calibri" w:hAnsi="Times New Roman" w:cs="Times New Roman"/>
          <w:bCs/>
          <w:sz w:val="24"/>
        </w:rPr>
        <w:t>are immune to ADT</w:t>
      </w:r>
      <w:r w:rsidR="0045562E" w:rsidRPr="00277163">
        <w:rPr>
          <w:rFonts w:ascii="Times New Roman" w:eastAsia="Calibri" w:hAnsi="Times New Roman" w:cs="Times New Roman"/>
          <w:bCs/>
          <w:sz w:val="24"/>
        </w:rPr>
        <w:t>, and the develo</w:t>
      </w:r>
      <w:r w:rsidR="0045562E">
        <w:rPr>
          <w:rFonts w:ascii="Times New Roman" w:eastAsia="Calibri" w:hAnsi="Times New Roman" w:cs="Times New Roman"/>
          <w:bCs/>
          <w:sz w:val="24"/>
        </w:rPr>
        <w:t xml:space="preserve">pment of </w:t>
      </w:r>
      <w:r w:rsidR="0045562E">
        <w:rPr>
          <w:rFonts w:ascii="Times New Roman" w:eastAsia="Calibri" w:hAnsi="Times New Roman" w:cs="Times New Roman"/>
          <w:bCs/>
          <w:sz w:val="24"/>
        </w:rPr>
        <w:lastRenderedPageBreak/>
        <w:t xml:space="preserve">castration resistant </w:t>
      </w:r>
      <w:proofErr w:type="spellStart"/>
      <w:r w:rsidR="0045562E">
        <w:rPr>
          <w:rFonts w:ascii="Times New Roman" w:eastAsia="Calibri" w:hAnsi="Times New Roman" w:cs="Times New Roman"/>
          <w:bCs/>
          <w:sz w:val="24"/>
        </w:rPr>
        <w:t>PCa</w:t>
      </w:r>
      <w:proofErr w:type="spellEnd"/>
      <w:r w:rsidR="0045562E">
        <w:rPr>
          <w:rFonts w:ascii="Times New Roman" w:eastAsia="Calibri" w:hAnsi="Times New Roman" w:cs="Times New Roman"/>
          <w:bCs/>
          <w:sz w:val="24"/>
        </w:rPr>
        <w:t xml:space="preserve"> (CRPC) is often implicated</w:t>
      </w:r>
      <w:r w:rsidR="0045562E" w:rsidRPr="00277163">
        <w:rPr>
          <w:rFonts w:ascii="Times New Roman" w:eastAsia="Calibri" w:hAnsi="Times New Roman" w:cs="Times New Roman"/>
          <w:bCs/>
          <w:sz w:val="24"/>
        </w:rPr>
        <w:t xml:space="preserve"> with increased AR activity. ADT can substantially lower the amount of </w:t>
      </w:r>
      <w:r w:rsidR="0045562E">
        <w:rPr>
          <w:rFonts w:ascii="Times New Roman" w:eastAsia="Calibri" w:hAnsi="Times New Roman" w:cs="Times New Roman"/>
          <w:bCs/>
          <w:sz w:val="24"/>
        </w:rPr>
        <w:t xml:space="preserve">available androgens in men with </w:t>
      </w:r>
      <w:proofErr w:type="spellStart"/>
      <w:r w:rsidR="0045562E">
        <w:rPr>
          <w:rFonts w:ascii="Times New Roman" w:eastAsia="Calibri" w:hAnsi="Times New Roman" w:cs="Times New Roman"/>
          <w:bCs/>
          <w:sz w:val="24"/>
        </w:rPr>
        <w:t>PCa</w:t>
      </w:r>
      <w:proofErr w:type="spellEnd"/>
      <w:r w:rsidR="0045562E" w:rsidRPr="00277163">
        <w:rPr>
          <w:rFonts w:ascii="Times New Roman" w:eastAsia="Calibri" w:hAnsi="Times New Roman" w:cs="Times New Roman"/>
          <w:bCs/>
          <w:sz w:val="24"/>
        </w:rPr>
        <w:t xml:space="preserve">, which in turn lowers AR's transcriptional activity </w:t>
      </w:r>
      <w:r w:rsidR="0045562E" w:rsidRPr="00277163">
        <w:rPr>
          <w:rFonts w:ascii="Times New Roman" w:eastAsia="Calibri" w:hAnsi="Times New Roman" w:cs="Times New Roman"/>
          <w:bCs/>
          <w:sz w:val="24"/>
        </w:rPr>
        <w:fldChar w:fldCharType="begin"/>
      </w:r>
      <w:r w:rsidR="00316921">
        <w:rPr>
          <w:rFonts w:ascii="Times New Roman" w:eastAsia="Calibri" w:hAnsi="Times New Roman" w:cs="Times New Roman"/>
          <w:bCs/>
          <w:sz w:val="24"/>
        </w:rPr>
        <w:instrText xml:space="preserve"> ADDIN ZOTERO_ITEM CSL_CITATION {"citationID":"IP80Ompz","properties":{"formattedCitation":"(Ban et al., 2021)","plainCitation":"(Ban et al., 2021)","noteIndex":0},"citationItems":[{"id":200,"uris":["http://zotero.org/users/local/7J0d6nia/items/GA7KYPU6","http://zotero.org/users/11300200/items/GA7KYPU6"],"itemData":{"id":200,"type":"article-journal","abstract":"Prostate cancer patients undergoing androgen deprivation therapy almost invariably develop castration-resistant prostate cancer. Resistance can occur when mutations in the androgen receptor (AR) render anti-androgen drugs ineffective or through the expression of constitutively active splice variants lacking the androgen binding domain entirely (e.g., ARV7). In this study, we are reporting the discovery of a novel AR-NTD covalent inhibitor 1-chloro-3-[(5-([(2S)-3-chloro-2-hydroxypropyl]amino)naphthalen-1-yl)amino]propan-2-ol (VPC-220010) targeting the AR-N-terminal Domain (AR-NTD). VPC-220010 inhibits AR-mediated transcription of full length and truncated variant ARV7, downregulates AR response genes, and selectively reduces the growth of both full-length AR- and truncated AR-dependent prostate cancer cell lines. We show that VPC-220010 disrupts interactions between AR and known coactivators and coregulatory proteins, such as CHD4, FOXA1, ZMIZ1, and several SWI/SNF complex proteins. Taken together, our data suggest that VPC-220010 is a promising small molecule that can be further optimized into effective AR-NTD inhibitor for the treatment of CRPC.","container-title":"Cancers","DOI":"10.3390/cancers13143488","ISSN":"2072-6694","issue":"14","journalAbbreviation":"Cancers","language":"en","page":"3488","source":"DOI.org (Crossref)","title":"Development of an Androgen Receptor Inhibitor Targeting the N-Terminal Domain of Androgen Receptor for Treatment of Castration Resistant Prostate Cancer","volume":"13","author":[{"family":"Ban","given":"Fuqiang"},{"family":"Leblanc","given":"Eric"},{"family":"Cavga","given":"Ayse Derya"},{"family":"Huang","given":"Chia-Chi Flora"},{"family":"Flory","given":"Mark R."},{"family":"Zhang","given":"Fan"},{"family":"Chang","given":"Matthew E. K."},{"family":"Morin","given":"Hélène"},{"family":"Lallous","given":"Nada"},{"family":"Singh","given":"Kriti"},{"family":"Gleave","given":"Martin E."},{"family":"Mohammed","given":"Hisham"},{"family":"Rennie","given":"Paul S."},{"family":"Lack","given":"Nathan A."},{"family":"Cherkasov","given":"Artem"}],"issued":{"date-parts":[["2021",7,12]]}}}],"schema":"https://github.com/citation-style-language/schema/raw/master/csl-citation.json"} </w:instrText>
      </w:r>
      <w:r w:rsidR="0045562E" w:rsidRPr="00277163">
        <w:rPr>
          <w:rFonts w:ascii="Times New Roman" w:eastAsia="Calibri" w:hAnsi="Times New Roman" w:cs="Times New Roman"/>
          <w:bCs/>
          <w:sz w:val="24"/>
        </w:rPr>
        <w:fldChar w:fldCharType="separate"/>
      </w:r>
      <w:r w:rsidR="00167D83" w:rsidRPr="00167D83">
        <w:rPr>
          <w:rFonts w:ascii="Times New Roman" w:hAnsi="Times New Roman" w:cs="Times New Roman"/>
          <w:sz w:val="24"/>
        </w:rPr>
        <w:t>(Ban et al., 2021)</w:t>
      </w:r>
      <w:r w:rsidR="0045562E" w:rsidRPr="00277163">
        <w:rPr>
          <w:rFonts w:ascii="Times New Roman" w:eastAsia="Calibri" w:hAnsi="Times New Roman" w:cs="Times New Roman"/>
          <w:bCs/>
          <w:sz w:val="24"/>
        </w:rPr>
        <w:fldChar w:fldCharType="end"/>
      </w:r>
      <w:r w:rsidR="0045562E" w:rsidRPr="00277163">
        <w:rPr>
          <w:rFonts w:ascii="Times New Roman" w:eastAsia="Calibri" w:hAnsi="Times New Roman" w:cs="Times New Roman"/>
          <w:bCs/>
          <w:sz w:val="24"/>
        </w:rPr>
        <w:t>. AR itself experiences numerous changes as the course of treatment progresses in response to these changes. Prostate cancer that is resistant to treatment and no longer relies on androgens for growth and survival is known as castration-resistant prostate cancer. By using androgen ablation therapy, CRPC is targeted. There are five different types of probable development mechanisms f</w:t>
      </w:r>
      <w:r w:rsidR="0045562E">
        <w:rPr>
          <w:rFonts w:ascii="Times New Roman" w:eastAsia="Calibri" w:hAnsi="Times New Roman" w:cs="Times New Roman"/>
          <w:bCs/>
          <w:sz w:val="24"/>
        </w:rPr>
        <w:t>or CRPC. AR mutations</w:t>
      </w:r>
      <w:r w:rsidR="0045562E" w:rsidRPr="00277163">
        <w:rPr>
          <w:rFonts w:ascii="Times New Roman" w:eastAsia="Calibri" w:hAnsi="Times New Roman" w:cs="Times New Roman"/>
          <w:bCs/>
          <w:sz w:val="24"/>
        </w:rPr>
        <w:t xml:space="preserve">, higher concentrations of co-activators, or enhanced synthesis of the potent androgen </w:t>
      </w:r>
      <w:proofErr w:type="spellStart"/>
      <w:r w:rsidR="0045562E" w:rsidRPr="00277163">
        <w:rPr>
          <w:rFonts w:ascii="Times New Roman" w:eastAsia="Calibri" w:hAnsi="Times New Roman" w:cs="Times New Roman"/>
          <w:bCs/>
          <w:sz w:val="24"/>
        </w:rPr>
        <w:t>dihydrotestosterone</w:t>
      </w:r>
      <w:proofErr w:type="spellEnd"/>
      <w:r w:rsidR="0045562E" w:rsidRPr="00277163">
        <w:rPr>
          <w:rFonts w:ascii="Times New Roman" w:eastAsia="Calibri" w:hAnsi="Times New Roman" w:cs="Times New Roman"/>
          <w:bCs/>
          <w:sz w:val="24"/>
        </w:rPr>
        <w:t xml:space="preserve"> all increase sensitivity to low levels of androgen in the blood in the hypersensitive pathway. The AR and androgen continue to be essential for the growth of </w:t>
      </w:r>
      <w:proofErr w:type="spellStart"/>
      <w:r w:rsidR="0045562E" w:rsidRPr="00277163">
        <w:rPr>
          <w:rFonts w:ascii="Times New Roman" w:eastAsia="Calibri" w:hAnsi="Times New Roman" w:cs="Times New Roman"/>
          <w:bCs/>
          <w:sz w:val="24"/>
        </w:rPr>
        <w:t>tumors</w:t>
      </w:r>
      <w:proofErr w:type="spellEnd"/>
      <w:r w:rsidR="0045562E" w:rsidRPr="00277163">
        <w:rPr>
          <w:rFonts w:ascii="Times New Roman" w:eastAsia="Calibri" w:hAnsi="Times New Roman" w:cs="Times New Roman"/>
          <w:bCs/>
          <w:sz w:val="24"/>
        </w:rPr>
        <w:t xml:space="preserve"> that use this mechanism. All of these ultimately lead to androgen-independent AR activation, which is the fundamental reason for anti-androgen therapy resistance. </w:t>
      </w:r>
      <w:r w:rsidR="0045562E" w:rsidRPr="00BC0416">
        <w:rPr>
          <w:rFonts w:ascii="Times New Roman" w:eastAsia="Calibri" w:hAnsi="Times New Roman" w:cs="Times New Roman"/>
          <w:bCs/>
          <w:sz w:val="24"/>
        </w:rPr>
        <w:t xml:space="preserve">AR can be stimulated regardless of the existence of other hormones and medications, such as progesterone, </w:t>
      </w:r>
      <w:proofErr w:type="spellStart"/>
      <w:r w:rsidR="0045562E" w:rsidRPr="00BC0416">
        <w:rPr>
          <w:rFonts w:ascii="Times New Roman" w:eastAsia="Calibri" w:hAnsi="Times New Roman" w:cs="Times New Roman"/>
          <w:bCs/>
          <w:sz w:val="24"/>
        </w:rPr>
        <w:t>flutamide</w:t>
      </w:r>
      <w:proofErr w:type="spellEnd"/>
      <w:r w:rsidR="0045562E" w:rsidRPr="00BC0416">
        <w:rPr>
          <w:rFonts w:ascii="Times New Roman" w:eastAsia="Calibri" w:hAnsi="Times New Roman" w:cs="Times New Roman"/>
          <w:bCs/>
          <w:sz w:val="24"/>
        </w:rPr>
        <w:t xml:space="preserve">, </w:t>
      </w:r>
      <w:proofErr w:type="spellStart"/>
      <w:r w:rsidR="0045562E" w:rsidRPr="00BC0416">
        <w:rPr>
          <w:rFonts w:ascii="Times New Roman" w:eastAsia="Calibri" w:hAnsi="Times New Roman" w:cs="Times New Roman"/>
          <w:bCs/>
          <w:sz w:val="24"/>
        </w:rPr>
        <w:t>bicalutamide</w:t>
      </w:r>
      <w:proofErr w:type="spellEnd"/>
      <w:r w:rsidR="0045562E" w:rsidRPr="00BC0416">
        <w:rPr>
          <w:rFonts w:ascii="Times New Roman" w:eastAsia="Calibri" w:hAnsi="Times New Roman" w:cs="Times New Roman"/>
          <w:bCs/>
          <w:sz w:val="24"/>
        </w:rPr>
        <w:t xml:space="preserve">, and </w:t>
      </w:r>
      <w:proofErr w:type="spellStart"/>
      <w:r w:rsidR="0045562E" w:rsidRPr="00BC0416">
        <w:rPr>
          <w:rFonts w:ascii="Times New Roman" w:eastAsia="Calibri" w:hAnsi="Times New Roman" w:cs="Times New Roman"/>
          <w:bCs/>
          <w:sz w:val="24"/>
        </w:rPr>
        <w:t>enzalutamide</w:t>
      </w:r>
      <w:proofErr w:type="spellEnd"/>
      <w:r w:rsidR="0045562E" w:rsidRPr="00BC0416">
        <w:rPr>
          <w:rFonts w:ascii="Times New Roman" w:eastAsia="Calibri" w:hAnsi="Times New Roman" w:cs="Times New Roman"/>
          <w:bCs/>
          <w:sz w:val="24"/>
        </w:rPr>
        <w:t xml:space="preserve">, and sustain its transcription activity to promote </w:t>
      </w:r>
      <w:proofErr w:type="spellStart"/>
      <w:r w:rsidR="0045562E" w:rsidRPr="00BC0416">
        <w:rPr>
          <w:rFonts w:ascii="Times New Roman" w:eastAsia="Calibri" w:hAnsi="Times New Roman" w:cs="Times New Roman"/>
          <w:bCs/>
          <w:sz w:val="24"/>
        </w:rPr>
        <w:t>PCa</w:t>
      </w:r>
      <w:proofErr w:type="spellEnd"/>
      <w:r w:rsidR="0045562E" w:rsidRPr="00BC0416">
        <w:rPr>
          <w:rFonts w:ascii="Times New Roman" w:eastAsia="Calibri" w:hAnsi="Times New Roman" w:cs="Times New Roman"/>
          <w:bCs/>
          <w:sz w:val="24"/>
        </w:rPr>
        <w:t xml:space="preserve"> carcinogenesis. The gene amplification and some acquire genetic abnormalities can cause this.</w:t>
      </w:r>
      <w:r w:rsidR="0045562E">
        <w:rPr>
          <w:rFonts w:ascii="Times New Roman" w:eastAsia="Calibri" w:hAnsi="Times New Roman" w:cs="Times New Roman"/>
          <w:bCs/>
          <w:sz w:val="24"/>
        </w:rPr>
        <w:t xml:space="preserve"> </w:t>
      </w:r>
      <w:r w:rsidR="0045562E" w:rsidRPr="00277163">
        <w:rPr>
          <w:rFonts w:ascii="Times New Roman" w:eastAsia="Calibri" w:hAnsi="Times New Roman" w:cs="Times New Roman"/>
          <w:bCs/>
          <w:sz w:val="24"/>
        </w:rPr>
        <w:t xml:space="preserve">The existing treatments for advanced prostate cancer comprise inhibitors of androgen synthesis that suppress the production of testosterone and/or DHT, as well as inhibitors of AR that prevent the binding of ligands at the LBD </w:t>
      </w:r>
      <w:r w:rsidR="0045562E" w:rsidRPr="00277163">
        <w:rPr>
          <w:rFonts w:ascii="Times New Roman" w:eastAsia="Calibri" w:hAnsi="Times New Roman" w:cs="Times New Roman"/>
          <w:bCs/>
          <w:sz w:val="24"/>
        </w:rPr>
        <w:fldChar w:fldCharType="begin"/>
      </w:r>
      <w:r w:rsidR="00316921">
        <w:rPr>
          <w:rFonts w:ascii="Times New Roman" w:eastAsia="Calibri" w:hAnsi="Times New Roman" w:cs="Times New Roman"/>
          <w:bCs/>
          <w:sz w:val="24"/>
        </w:rPr>
        <w:instrText xml:space="preserve"> ADDIN ZOTERO_ITEM CSL_CITATION {"citationID":"CFd72IgP","properties":{"formattedCitation":"(El Kharraz et al., 2021)","plainCitation":"(El Kharraz et al., 2021)","noteIndex":0},"citationItems":[{"id":199,"uris":["http://zotero.org/users/local/7J0d6nia/items/49I63KC6","http://zotero.org/users/11300200/items/49I63KC6"],"itemData":{"id":199,"type":"article-journal","container-title":"EMBO reports","DOI":"10.15252/embr.202152764","ISSN":"1469-221X, 1469-3178","issue":"12","journalAbbreviation":"EMBO Rep","language":"en","source":"DOI.org (Crossref)","title":"The androgen receptor depends on ligand‐binding domain dimerization for transcriptional activation","URL":"https://onlinelibrary.wiley.com/doi/10.15252/embr.202152764","volume":"22","author":[{"family":"El Kharraz","given":"Sarah"},{"family":"Dubois","given":"Vanessa"},{"family":"Royen","given":"Martin E"},{"family":"Houtsmuller","given":"Adriaan B"},{"family":"Pavlova","given":"Ekatarina"},{"family":"Atanassova","given":"Nina"},{"family":"Nguyen","given":"Tien"},{"family":"Voet","given":"Arnout"},{"family":"Eerlings","given":"Roy"},{"family":"Handle","given":"Florian"},{"family":"Prekovic","given":"Stefan"},{"family":"Smeets","given":"Elien"},{"family":"Moris","given":"Lisa"},{"family":"Devlies","given":"Wout"},{"family":"Ohlsson","given":"Claes"},{"family":"Poutanen","given":"Matti"},{"family":"Verstrepen","given":"Kevin J"},{"family":"Carmeliet","given":"Geert"},{"family":"Launonen","given":"Kaisa‐Mari"},{"family":"Helminen","given":"Laura"},{"family":"Palvimo","given":"Jorma J"},{"family":"Libert","given":"Claude"},{"family":"Vanderschueren","given":"Dirk"},{"family":"Helsen","given":"Christine"},{"family":"Claessens","given":"Frank"}],"accessed":{"date-parts":[["2023",2,19]]},"issued":{"date-parts":[["2021",12,6]]}}}],"schema":"https://github.com/citation-style-language/schema/raw/master/csl-citation.json"} </w:instrText>
      </w:r>
      <w:r w:rsidR="0045562E" w:rsidRPr="00277163">
        <w:rPr>
          <w:rFonts w:ascii="Times New Roman" w:eastAsia="Calibri" w:hAnsi="Times New Roman" w:cs="Times New Roman"/>
          <w:bCs/>
          <w:sz w:val="24"/>
        </w:rPr>
        <w:fldChar w:fldCharType="separate"/>
      </w:r>
      <w:r w:rsidR="00167D83" w:rsidRPr="00167D83">
        <w:rPr>
          <w:rFonts w:ascii="Times New Roman" w:hAnsi="Times New Roman" w:cs="Times New Roman"/>
          <w:sz w:val="24"/>
        </w:rPr>
        <w:t>(El Kharraz et al., 2021)</w:t>
      </w:r>
      <w:r w:rsidR="0045562E" w:rsidRPr="00277163">
        <w:rPr>
          <w:rFonts w:ascii="Times New Roman" w:eastAsia="Calibri" w:hAnsi="Times New Roman" w:cs="Times New Roman"/>
          <w:bCs/>
          <w:sz w:val="24"/>
        </w:rPr>
        <w:fldChar w:fldCharType="end"/>
      </w:r>
      <w:r w:rsidR="0045562E" w:rsidRPr="00277163">
        <w:rPr>
          <w:rFonts w:ascii="Times New Roman" w:eastAsia="Calibri" w:hAnsi="Times New Roman" w:cs="Times New Roman"/>
          <w:bCs/>
          <w:sz w:val="24"/>
        </w:rPr>
        <w:t xml:space="preserve">. </w:t>
      </w:r>
      <w:r w:rsidR="0045562E" w:rsidRPr="00BC0416">
        <w:rPr>
          <w:rFonts w:ascii="Times New Roman" w:eastAsia="Calibri" w:hAnsi="Times New Roman" w:cs="Times New Roman"/>
          <w:bCs/>
          <w:sz w:val="24"/>
        </w:rPr>
        <w:t>Nevertheless, LBD-specific therapies may become ineffective due</w:t>
      </w:r>
      <w:r w:rsidR="0045562E">
        <w:rPr>
          <w:rFonts w:ascii="Times New Roman" w:eastAsia="Calibri" w:hAnsi="Times New Roman" w:cs="Times New Roman"/>
          <w:bCs/>
          <w:sz w:val="24"/>
        </w:rPr>
        <w:t xml:space="preserve"> to AR genetic variations and</w:t>
      </w:r>
      <w:r w:rsidR="0045562E" w:rsidRPr="00BC0416">
        <w:rPr>
          <w:rFonts w:ascii="Times New Roman" w:eastAsia="Calibri" w:hAnsi="Times New Roman" w:cs="Times New Roman"/>
          <w:bCs/>
          <w:sz w:val="24"/>
        </w:rPr>
        <w:t xml:space="preserve"> discrepancies. Because they both play crucial </w:t>
      </w:r>
      <w:r w:rsidR="0045562E">
        <w:rPr>
          <w:rFonts w:ascii="Times New Roman" w:eastAsia="Calibri" w:hAnsi="Times New Roman" w:cs="Times New Roman"/>
          <w:bCs/>
          <w:sz w:val="24"/>
        </w:rPr>
        <w:t>part in its</w:t>
      </w:r>
      <w:r w:rsidR="0045562E" w:rsidRPr="00B53BE4">
        <w:rPr>
          <w:rFonts w:ascii="Times New Roman" w:eastAsia="Calibri" w:hAnsi="Times New Roman" w:cs="Times New Roman"/>
          <w:bCs/>
          <w:sz w:val="24"/>
        </w:rPr>
        <w:t xml:space="preserve"> gene transcription action and are less susceptible </w:t>
      </w:r>
      <w:r w:rsidR="0045562E" w:rsidRPr="00BC0416">
        <w:rPr>
          <w:rFonts w:ascii="Times New Roman" w:eastAsia="Calibri" w:hAnsi="Times New Roman" w:cs="Times New Roman"/>
          <w:bCs/>
          <w:sz w:val="24"/>
        </w:rPr>
        <w:t>to AR alternative splicing than the LBD, the DBD and NTD have therefore emerge</w:t>
      </w:r>
      <w:r w:rsidR="0045562E">
        <w:rPr>
          <w:rFonts w:ascii="Times New Roman" w:eastAsia="Calibri" w:hAnsi="Times New Roman" w:cs="Times New Roman"/>
          <w:bCs/>
          <w:sz w:val="24"/>
        </w:rPr>
        <w:t xml:space="preserve">d as new targets for inhibition </w:t>
      </w:r>
      <w:r w:rsidR="0045562E" w:rsidRPr="00277163">
        <w:rPr>
          <w:rFonts w:ascii="Times New Roman" w:eastAsia="Calibri" w:hAnsi="Times New Roman" w:cs="Times New Roman"/>
          <w:bCs/>
          <w:sz w:val="24"/>
        </w:rPr>
        <w:fldChar w:fldCharType="begin"/>
      </w:r>
      <w:r w:rsidR="00316921">
        <w:rPr>
          <w:rFonts w:ascii="Times New Roman" w:eastAsia="Calibri" w:hAnsi="Times New Roman" w:cs="Times New Roman"/>
          <w:bCs/>
          <w:sz w:val="24"/>
        </w:rPr>
        <w:instrText xml:space="preserve"> ADDIN ZOTERO_ITEM CSL_CITATION {"citationID":"53joFutl","properties":{"formattedCitation":"(Severson et al., 2022)","plainCitation":"(Severson et al., 2022)","noteIndex":0},"citationItems":[{"id":336,"uris":["http://zotero.org/users/local/7J0d6nia/items/H7FUT252","http://zotero.org/users/11300200/items/H7FUT252"],"itemData":{"id":336,"type":"article-journal","abstract":"The androgen receptor (AR) is a prostate master transcription factor. It binds to genetic enhancers, where it regulates gene activity and plays a fundamental role in prostate pathophysiology. Previous work has demonstrated that AR-DNA binding is systematically and consistently reprogrammed during prostate tumorigenesis and disease progression. We charted these reprogrammed AR sites and identified genes proximal to them. We were able to devise gene lists based on AR status within specific histological contexts: normal prostate epithelium, primary prostate tumor, and metastatic prostate cancer. We evaluated expression of the genes in these gene sets in subjects from two distinct clinical cohorts-men treated with surgery for localized prostate cancer and men with metastatic prostate cancer. Among men with localized prostate cancer, expression of genes proximal to AR sites lost in the transition from normal prostate to prostate tumor was associated with clinical outcome. Among men with metastatic disease, expression of genes proximal to AR sites gained in metastatic tumors was associated with clinical outcome. These results are consistent with the notion that AR is fundamental to both maintaining differentiation in normal prostate tissue and driving de-differentiation in advanced prostate cancer. More broadly, the study demonstrates the power of incorporating context-dependent epigenetic data into genetic analyses.","container-title":"Clinical Epigenetics","DOI":"10.1186/s13148-022-01278-8","ISSN":"1868-7083","issue":"1","journalAbbreviation":"Clin Epigenetics","language":"eng","note":"PMID: 35509021\nPMCID: PMC9069737","page":"60","source":"PubMed","title":"Androgen receptor reprogramming demarcates prognostic, context-dependent gene sets in primary and metastatic prostate cancer","volume":"14","author":[{"family":"Severson","given":"Tesa"},{"family":"Qiu","given":"Xintao"},{"family":"Alshalalfa","given":"Mohammed"},{"family":"Sjöström","given":"Martin"},{"family":"Quigley","given":"David"},{"family":"Bergman","given":"Andries"},{"family":"Long","given":"Henry"},{"family":"Feng","given":"Felix"},{"family":"Freedman","given":"Matthew L."},{"family":"Zwart","given":"Wilbert"},{"family":"Pomerantz","given":"Mark M."}],"issued":{"date-parts":[["2022",5,4]]}}}],"schema":"https://github.com/citation-style-language/schema/raw/master/csl-citation.json"} </w:instrText>
      </w:r>
      <w:r w:rsidR="0045562E" w:rsidRPr="00277163">
        <w:rPr>
          <w:rFonts w:ascii="Times New Roman" w:eastAsia="Calibri" w:hAnsi="Times New Roman" w:cs="Times New Roman"/>
          <w:bCs/>
          <w:sz w:val="24"/>
        </w:rPr>
        <w:fldChar w:fldCharType="separate"/>
      </w:r>
      <w:r w:rsidR="00167D83" w:rsidRPr="00167D83">
        <w:rPr>
          <w:rFonts w:ascii="Times New Roman" w:hAnsi="Times New Roman" w:cs="Times New Roman"/>
          <w:sz w:val="24"/>
        </w:rPr>
        <w:t>(Severson et al., 2022)</w:t>
      </w:r>
      <w:r w:rsidR="0045562E" w:rsidRPr="00277163">
        <w:rPr>
          <w:rFonts w:ascii="Times New Roman" w:eastAsia="Calibri" w:hAnsi="Times New Roman" w:cs="Times New Roman"/>
          <w:bCs/>
          <w:sz w:val="24"/>
        </w:rPr>
        <w:fldChar w:fldCharType="end"/>
      </w:r>
      <w:r w:rsidR="0045562E" w:rsidRPr="00277163">
        <w:rPr>
          <w:rFonts w:ascii="Times New Roman" w:eastAsia="Calibri" w:hAnsi="Times New Roman" w:cs="Times New Roman"/>
          <w:bCs/>
          <w:sz w:val="24"/>
        </w:rPr>
        <w:t>.</w:t>
      </w:r>
    </w:p>
    <w:p w:rsidR="0045562E" w:rsidRPr="00271C89" w:rsidRDefault="00680621" w:rsidP="0045562E">
      <w:pPr>
        <w:spacing w:line="360" w:lineRule="auto"/>
        <w:jc w:val="both"/>
        <w:rPr>
          <w:rFonts w:ascii="Times New Roman" w:eastAsia="Calibri" w:hAnsi="Times New Roman" w:cs="Times New Roman"/>
          <w:b/>
          <w:bCs/>
          <w:sz w:val="24"/>
        </w:rPr>
      </w:pPr>
      <w:r>
        <w:rPr>
          <w:rFonts w:ascii="Times New Roman" w:eastAsia="Calibri" w:hAnsi="Times New Roman" w:cs="Times New Roman"/>
          <w:b/>
          <w:bCs/>
          <w:sz w:val="24"/>
        </w:rPr>
        <w:t>2.</w:t>
      </w:r>
      <w:r w:rsidR="00BA6281">
        <w:rPr>
          <w:rFonts w:ascii="Times New Roman" w:eastAsia="Calibri" w:hAnsi="Times New Roman" w:cs="Times New Roman"/>
          <w:b/>
          <w:bCs/>
          <w:sz w:val="24"/>
        </w:rPr>
        <w:t>5</w:t>
      </w:r>
      <w:r w:rsidR="0045562E">
        <w:rPr>
          <w:rFonts w:ascii="Times New Roman" w:eastAsia="Calibri" w:hAnsi="Times New Roman" w:cs="Times New Roman"/>
          <w:b/>
          <w:bCs/>
          <w:sz w:val="24"/>
        </w:rPr>
        <w:t>.2</w:t>
      </w:r>
      <w:r w:rsidR="0045562E" w:rsidRPr="00271C89">
        <w:rPr>
          <w:rFonts w:ascii="Times New Roman" w:eastAsia="Calibri" w:hAnsi="Times New Roman" w:cs="Times New Roman"/>
          <w:b/>
          <w:bCs/>
          <w:sz w:val="24"/>
        </w:rPr>
        <w:t> Androgen Receptor</w:t>
      </w:r>
      <w:r w:rsidR="0045562E">
        <w:rPr>
          <w:rFonts w:ascii="Times New Roman" w:eastAsia="Calibri" w:hAnsi="Times New Roman" w:cs="Times New Roman"/>
          <w:b/>
          <w:bCs/>
          <w:sz w:val="24"/>
        </w:rPr>
        <w:t xml:space="preserve"> </w:t>
      </w:r>
      <w:proofErr w:type="spellStart"/>
      <w:r w:rsidR="0045562E">
        <w:rPr>
          <w:rFonts w:ascii="Times New Roman" w:eastAsia="Calibri" w:hAnsi="Times New Roman" w:cs="Times New Roman"/>
          <w:b/>
          <w:bCs/>
          <w:sz w:val="24"/>
        </w:rPr>
        <w:t>Signaling</w:t>
      </w:r>
      <w:proofErr w:type="spellEnd"/>
      <w:r w:rsidR="0045562E">
        <w:rPr>
          <w:rFonts w:ascii="Times New Roman" w:eastAsia="Calibri" w:hAnsi="Times New Roman" w:cs="Times New Roman"/>
          <w:b/>
          <w:bCs/>
          <w:sz w:val="24"/>
        </w:rPr>
        <w:t xml:space="preserve"> Inhibitors (ARSIs)</w:t>
      </w:r>
    </w:p>
    <w:p w:rsidR="0045562E" w:rsidRPr="00414C49" w:rsidRDefault="0045562E" w:rsidP="0045562E">
      <w:pPr>
        <w:spacing w:line="360" w:lineRule="auto"/>
        <w:jc w:val="both"/>
        <w:rPr>
          <w:rFonts w:ascii="Times New Roman" w:eastAsia="Calibri" w:hAnsi="Times New Roman" w:cs="Times New Roman"/>
          <w:sz w:val="24"/>
          <w:lang w:val="en-US"/>
        </w:rPr>
      </w:pPr>
      <w:r w:rsidRPr="006215DA">
        <w:rPr>
          <w:rFonts w:ascii="Times New Roman" w:eastAsia="Calibri" w:hAnsi="Times New Roman" w:cs="Times New Roman"/>
          <w:sz w:val="24"/>
        </w:rPr>
        <w:t xml:space="preserve">Androgen receptor </w:t>
      </w:r>
      <w:proofErr w:type="spellStart"/>
      <w:r w:rsidRPr="006215DA">
        <w:rPr>
          <w:rFonts w:ascii="Times New Roman" w:eastAsia="Calibri" w:hAnsi="Times New Roman" w:cs="Times New Roman"/>
          <w:sz w:val="24"/>
        </w:rPr>
        <w:t>signaling</w:t>
      </w:r>
      <w:proofErr w:type="spellEnd"/>
      <w:r w:rsidRPr="006215DA">
        <w:rPr>
          <w:rFonts w:ascii="Times New Roman" w:eastAsia="Calibri" w:hAnsi="Times New Roman" w:cs="Times New Roman"/>
          <w:sz w:val="24"/>
        </w:rPr>
        <w:t xml:space="preserve"> inhibitors </w:t>
      </w:r>
      <w:r w:rsidRPr="00426BF5">
        <w:rPr>
          <w:rFonts w:ascii="Times New Roman" w:eastAsia="Calibri" w:hAnsi="Times New Roman" w:cs="Times New Roman"/>
          <w:sz w:val="24"/>
        </w:rPr>
        <w:t>are quite a type of medic</w:t>
      </w:r>
      <w:r>
        <w:rPr>
          <w:rFonts w:ascii="Times New Roman" w:eastAsia="Calibri" w:hAnsi="Times New Roman" w:cs="Times New Roman"/>
          <w:sz w:val="24"/>
        </w:rPr>
        <w:t xml:space="preserve">ation utilized for treating </w:t>
      </w:r>
      <w:proofErr w:type="spellStart"/>
      <w:r>
        <w:rPr>
          <w:rFonts w:ascii="Times New Roman" w:eastAsia="Calibri" w:hAnsi="Times New Roman" w:cs="Times New Roman"/>
          <w:sz w:val="24"/>
        </w:rPr>
        <w:t>PCa</w:t>
      </w:r>
      <w:proofErr w:type="spellEnd"/>
      <w:r w:rsidRPr="006215DA">
        <w:rPr>
          <w:rFonts w:ascii="Times New Roman" w:eastAsia="Calibri" w:hAnsi="Times New Roman" w:cs="Times New Roman"/>
          <w:sz w:val="24"/>
        </w:rPr>
        <w:t xml:space="preserve">. </w:t>
      </w:r>
      <w:r w:rsidRPr="00C311E6">
        <w:rPr>
          <w:rFonts w:ascii="Times New Roman" w:eastAsia="Calibri" w:hAnsi="Times New Roman" w:cs="Times New Roman"/>
          <w:sz w:val="24"/>
        </w:rPr>
        <w:t xml:space="preserve">Because AR </w:t>
      </w:r>
      <w:proofErr w:type="spellStart"/>
      <w:r w:rsidRPr="00C311E6">
        <w:rPr>
          <w:rFonts w:ascii="Times New Roman" w:eastAsia="Calibri" w:hAnsi="Times New Roman" w:cs="Times New Roman"/>
          <w:sz w:val="24"/>
        </w:rPr>
        <w:t>signaling</w:t>
      </w:r>
      <w:proofErr w:type="spellEnd"/>
      <w:r w:rsidRPr="00C311E6">
        <w:rPr>
          <w:rFonts w:ascii="Times New Roman" w:eastAsia="Calibri" w:hAnsi="Times New Roman" w:cs="Times New Roman"/>
          <w:sz w:val="24"/>
        </w:rPr>
        <w:t xml:space="preserve"> promotes </w:t>
      </w:r>
      <w:proofErr w:type="spellStart"/>
      <w:r w:rsidRPr="00C311E6">
        <w:rPr>
          <w:rFonts w:ascii="Times New Roman" w:eastAsia="Calibri" w:hAnsi="Times New Roman" w:cs="Times New Roman"/>
          <w:sz w:val="24"/>
        </w:rPr>
        <w:t>tumor</w:t>
      </w:r>
      <w:proofErr w:type="spellEnd"/>
      <w:r w:rsidRPr="00C311E6">
        <w:rPr>
          <w:rFonts w:ascii="Times New Roman" w:eastAsia="Calibri" w:hAnsi="Times New Roman" w:cs="Times New Roman"/>
          <w:sz w:val="24"/>
        </w:rPr>
        <w:t xml:space="preserve"> growth, medicines known as AR </w:t>
      </w:r>
      <w:proofErr w:type="spellStart"/>
      <w:r w:rsidRPr="00C311E6">
        <w:rPr>
          <w:rFonts w:ascii="Times New Roman" w:eastAsia="Calibri" w:hAnsi="Times New Roman" w:cs="Times New Roman"/>
          <w:sz w:val="24"/>
        </w:rPr>
        <w:t>signaling</w:t>
      </w:r>
      <w:proofErr w:type="spellEnd"/>
      <w:r w:rsidRPr="00C311E6">
        <w:rPr>
          <w:rFonts w:ascii="Times New Roman" w:eastAsia="Calibri" w:hAnsi="Times New Roman" w:cs="Times New Roman"/>
          <w:sz w:val="24"/>
        </w:rPr>
        <w:t xml:space="preserve"> inhibitors (ARSIs), which work to block AR </w:t>
      </w:r>
      <w:proofErr w:type="spellStart"/>
      <w:r w:rsidRPr="00C311E6">
        <w:rPr>
          <w:rFonts w:ascii="Times New Roman" w:eastAsia="Calibri" w:hAnsi="Times New Roman" w:cs="Times New Roman"/>
          <w:sz w:val="24"/>
        </w:rPr>
        <w:t>signaling</w:t>
      </w:r>
      <w:proofErr w:type="spellEnd"/>
      <w:r w:rsidRPr="00C311E6">
        <w:rPr>
          <w:rFonts w:ascii="Times New Roman" w:eastAsia="Calibri" w:hAnsi="Times New Roman" w:cs="Times New Roman"/>
          <w:sz w:val="24"/>
        </w:rPr>
        <w:t xml:space="preserve">, have long been used in clinical settings. The majority of individuals treated with ARSIs develop a castration-resistant (CRPC) phenotype, which is unfortunate because the therapeutic efficacy of ARSIs is transient </w:t>
      </w:r>
      <w:r w:rsidRPr="00C311E6">
        <w:rPr>
          <w:rFonts w:ascii="Times New Roman" w:eastAsia="Calibri" w:hAnsi="Times New Roman" w:cs="Times New Roman"/>
          <w:sz w:val="24"/>
        </w:rPr>
        <w:fldChar w:fldCharType="begin"/>
      </w:r>
      <w:r w:rsidR="00316921">
        <w:rPr>
          <w:rFonts w:ascii="Times New Roman" w:eastAsia="Calibri" w:hAnsi="Times New Roman" w:cs="Times New Roman"/>
          <w:sz w:val="24"/>
        </w:rPr>
        <w:instrText xml:space="preserve"> ADDIN ZOTERO_ITEM CSL_CITATION {"citationID":"nubmG7tV","properties":{"formattedCitation":"(Jamroze, Chatta &amp; Tang, 2021)","plainCitation":"(Jamroze, Chatta &amp; Tang, 2021)","noteIndex":0},"citationItems":[{"id":339,"uris":["http://zotero.org/users/local/7J0d6nia/items/MMWJPP9T","http://zotero.org/users/11300200/items/MMWJPP9T"],"itemData":{"id":339,"type":"article-journal","abstract":"Androgen receptor (AR), a ligand-dependent nuclear transcription factor and a member of steroid hormone receptor family, plays an important role in prostate organogenesis by regulating epithelial differentiation and restricting cell proliferation. Although rarely mutated or amplified in treatment-naïve prostate cancer (PCa), AR signaling drives tumor growth and as a result, therapies that aim to inhibit AR signaling, called ARSIs (AR signaling inhibitors), have been in clinical use for &gt;70 years. Unfortunately, the clinical efficacy of ARSIs is short-lived and the majority of treated patients develop castration-resistant PCa (CRPC). Numerous molecular mechanisms have been proposed for castration resistance; however, the cellular basis for CRPC emergence has remained obscure. One under-appreciated cellular mechanism for CRPC development is the AR heterogeneity that pre-exists in treatment-naive primary tumors, i.e., although most PCa cells express AR (i.e., AR+), there is always a population of PCa cells that express no/low AR (i.e., AR-/lo). Importantly, this AR heterogeneity becomes accentuated during ARSI treatment and highly prominent in established CRPC. Here, we provide a succinct summary of AR heterogeneity across the PCa continuum and discuss its impact on PCa response to treatments. While AR+ PCa cells/clones exhibit exquisite sensitivities to ARSIs, AR-/lo PCa cells/clones, which are greatly enriched in stem cell signaling pathways, display de novo resistance to ARSIs. Finally, we offer several potential combinatorial strategies, e.g., ARSIs with stem cell targeting therapeutics, to co-target both AR+ and AR-/lo PCa cells and metastatic clones.","container-title":"Cancer Letters","DOI":"10.1016/j.canlet.2021.06.006","ISSN":"1872-7980","journalAbbreviation":"Cancer Lett","language":"eng","note":"PMID: 34118355\nPMCID: PMC8355210","page":"1-9","source":"PubMed","title":"Androgen receptor (AR) heterogeneity in prostate cancer and therapy resistance","volume":"518","author":[{"family":"Jamroze","given":"Anmbreen"},{"family":"Chatta","given":"Gurkamal"},{"family":"Tang","given":"Dean G."}],"issued":{"date-parts":[["2021",10,10]]}}}],"schema":"https://github.com/citation-style-language/schema/raw/master/csl-citation.json"} </w:instrText>
      </w:r>
      <w:r w:rsidRPr="00C311E6">
        <w:rPr>
          <w:rFonts w:ascii="Times New Roman" w:eastAsia="Calibri" w:hAnsi="Times New Roman" w:cs="Times New Roman"/>
          <w:sz w:val="24"/>
        </w:rPr>
        <w:fldChar w:fldCharType="separate"/>
      </w:r>
      <w:r w:rsidR="00167D83" w:rsidRPr="00167D83">
        <w:rPr>
          <w:rFonts w:ascii="Times New Roman" w:hAnsi="Times New Roman" w:cs="Times New Roman"/>
          <w:sz w:val="24"/>
        </w:rPr>
        <w:t>(Jamroze, Chatta &amp; Tang, 2021)</w:t>
      </w:r>
      <w:r w:rsidRPr="00C311E6">
        <w:rPr>
          <w:rFonts w:ascii="Times New Roman" w:eastAsia="Calibri" w:hAnsi="Times New Roman" w:cs="Times New Roman"/>
          <w:sz w:val="24"/>
        </w:rPr>
        <w:fldChar w:fldCharType="end"/>
      </w:r>
      <w:r w:rsidRPr="00C311E6">
        <w:rPr>
          <w:rFonts w:ascii="Times New Roman" w:eastAsia="Calibri" w:hAnsi="Times New Roman" w:cs="Times New Roman"/>
          <w:sz w:val="24"/>
        </w:rPr>
        <w:t>.</w:t>
      </w:r>
      <w:r>
        <w:rPr>
          <w:rFonts w:ascii="Times New Roman" w:eastAsia="Calibri" w:hAnsi="Times New Roman" w:cs="Times New Roman"/>
          <w:sz w:val="24"/>
        </w:rPr>
        <w:t xml:space="preserve"> </w:t>
      </w:r>
      <w:r w:rsidRPr="006215DA">
        <w:rPr>
          <w:rFonts w:ascii="Times New Roman" w:eastAsia="Calibri" w:hAnsi="Times New Roman" w:cs="Times New Roman"/>
          <w:sz w:val="24"/>
        </w:rPr>
        <w:t>These drugs work by blocking th</w:t>
      </w:r>
      <w:r w:rsidR="00414C49">
        <w:rPr>
          <w:rFonts w:ascii="Times New Roman" w:eastAsia="Calibri" w:hAnsi="Times New Roman" w:cs="Times New Roman"/>
          <w:sz w:val="24"/>
        </w:rPr>
        <w:t>e activity of AR</w:t>
      </w:r>
      <w:r w:rsidRPr="006215DA">
        <w:rPr>
          <w:rFonts w:ascii="Times New Roman" w:eastAsia="Calibri" w:hAnsi="Times New Roman" w:cs="Times New Roman"/>
          <w:sz w:val="24"/>
        </w:rPr>
        <w:t xml:space="preserve">, which </w:t>
      </w:r>
      <w:r w:rsidR="00414C49" w:rsidRPr="00414C49">
        <w:rPr>
          <w:rFonts w:ascii="Times New Roman" w:eastAsia="Calibri" w:hAnsi="Times New Roman" w:cs="Times New Roman"/>
          <w:sz w:val="24"/>
          <w:lang w:val="en-US"/>
        </w:rPr>
        <w:t>are androgen-binding prote</w:t>
      </w:r>
      <w:r w:rsidR="00414C49">
        <w:rPr>
          <w:rFonts w:ascii="Times New Roman" w:eastAsia="Calibri" w:hAnsi="Times New Roman" w:cs="Times New Roman"/>
          <w:sz w:val="24"/>
          <w:lang w:val="en-US"/>
        </w:rPr>
        <w:t>ins present in prostate cells</w:t>
      </w:r>
      <w:r w:rsidRPr="006215DA">
        <w:rPr>
          <w:rFonts w:ascii="Times New Roman" w:eastAsia="Calibri" w:hAnsi="Times New Roman" w:cs="Times New Roman"/>
          <w:sz w:val="24"/>
        </w:rPr>
        <w:t xml:space="preserve"> and stimulate the grow</w:t>
      </w:r>
      <w:r w:rsidR="00414C49">
        <w:rPr>
          <w:rFonts w:ascii="Times New Roman" w:eastAsia="Calibri" w:hAnsi="Times New Roman" w:cs="Times New Roman"/>
          <w:sz w:val="24"/>
        </w:rPr>
        <w:t xml:space="preserve">th and spread of </w:t>
      </w:r>
      <w:proofErr w:type="spellStart"/>
      <w:r w:rsidR="00414C49">
        <w:rPr>
          <w:rFonts w:ascii="Times New Roman" w:eastAsia="Calibri" w:hAnsi="Times New Roman" w:cs="Times New Roman"/>
          <w:sz w:val="24"/>
        </w:rPr>
        <w:t>PCa</w:t>
      </w:r>
      <w:proofErr w:type="spellEnd"/>
      <w:r w:rsidR="00414C49">
        <w:rPr>
          <w:rFonts w:ascii="Times New Roman" w:eastAsia="Calibri" w:hAnsi="Times New Roman" w:cs="Times New Roman"/>
          <w:sz w:val="24"/>
        </w:rPr>
        <w:t>.</w:t>
      </w:r>
      <w:r w:rsidR="00414C49" w:rsidRPr="00414C49">
        <w:rPr>
          <w:rFonts w:ascii="Times New Roman" w:eastAsia="Times New Roman" w:hAnsi="Times New Roman" w:cs="Times New Roman"/>
          <w:sz w:val="24"/>
          <w:szCs w:val="24"/>
          <w:lang w:val="en-US"/>
        </w:rPr>
        <w:t xml:space="preserve"> </w:t>
      </w:r>
      <w:r w:rsidR="00414C49" w:rsidRPr="00414C49">
        <w:rPr>
          <w:rFonts w:ascii="Times New Roman" w:eastAsia="Calibri" w:hAnsi="Times New Roman" w:cs="Times New Roman"/>
          <w:sz w:val="24"/>
          <w:lang w:val="en-US"/>
        </w:rPr>
        <w:t xml:space="preserve">These medications can be used to treat </w:t>
      </w:r>
      <w:proofErr w:type="spellStart"/>
      <w:r w:rsidR="00414C49" w:rsidRPr="00414C49">
        <w:rPr>
          <w:rFonts w:ascii="Times New Roman" w:eastAsia="Calibri" w:hAnsi="Times New Roman" w:cs="Times New Roman"/>
          <w:sz w:val="24"/>
          <w:lang w:val="en-US"/>
        </w:rPr>
        <w:t>PCa</w:t>
      </w:r>
      <w:proofErr w:type="spellEnd"/>
      <w:r w:rsidR="00414C49" w:rsidRPr="00414C49">
        <w:rPr>
          <w:rFonts w:ascii="Times New Roman" w:eastAsia="Calibri" w:hAnsi="Times New Roman" w:cs="Times New Roman"/>
          <w:sz w:val="24"/>
          <w:lang w:val="en-US"/>
        </w:rPr>
        <w:t xml:space="preserve"> on their own or in conjunction with other therapies like ra</w:t>
      </w:r>
      <w:r w:rsidR="00414C49">
        <w:rPr>
          <w:rFonts w:ascii="Times New Roman" w:eastAsia="Calibri" w:hAnsi="Times New Roman" w:cs="Times New Roman"/>
          <w:sz w:val="24"/>
          <w:lang w:val="en-US"/>
        </w:rPr>
        <w:t>diation therapy or chemotherapy</w:t>
      </w:r>
      <w:r w:rsidRPr="006215DA">
        <w:rPr>
          <w:rFonts w:ascii="Times New Roman" w:eastAsia="Calibri" w:hAnsi="Times New Roman" w:cs="Times New Roman"/>
          <w:sz w:val="24"/>
        </w:rPr>
        <w:t>. They can also be used to manage the symptoms of advanced prostate cancer</w:t>
      </w:r>
      <w:r>
        <w:rPr>
          <w:rFonts w:ascii="Times New Roman" w:eastAsia="Calibri" w:hAnsi="Times New Roman" w:cs="Times New Roman"/>
          <w:sz w:val="24"/>
        </w:rPr>
        <w:t xml:space="preserve">. </w:t>
      </w:r>
      <w:r w:rsidRPr="006215DA">
        <w:rPr>
          <w:rFonts w:ascii="Times New Roman" w:eastAsia="Calibri" w:hAnsi="Times New Roman" w:cs="Times New Roman"/>
          <w:sz w:val="24"/>
        </w:rPr>
        <w:t xml:space="preserve">There are several types of androgen receptor </w:t>
      </w:r>
      <w:proofErr w:type="spellStart"/>
      <w:r w:rsidRPr="006215DA">
        <w:rPr>
          <w:rFonts w:ascii="Times New Roman" w:eastAsia="Calibri" w:hAnsi="Times New Roman" w:cs="Times New Roman"/>
          <w:sz w:val="24"/>
        </w:rPr>
        <w:t>signaling</w:t>
      </w:r>
      <w:proofErr w:type="spellEnd"/>
      <w:r w:rsidRPr="006215DA">
        <w:rPr>
          <w:rFonts w:ascii="Times New Roman" w:eastAsia="Calibri" w:hAnsi="Times New Roman" w:cs="Times New Roman"/>
          <w:sz w:val="24"/>
        </w:rPr>
        <w:t xml:space="preserve"> inhibitors, including:</w:t>
      </w:r>
    </w:p>
    <w:p w:rsidR="0045562E" w:rsidRPr="006215DA" w:rsidRDefault="0045562E" w:rsidP="0045562E">
      <w:pPr>
        <w:numPr>
          <w:ilvl w:val="0"/>
          <w:numId w:val="23"/>
        </w:numPr>
        <w:spacing w:line="360" w:lineRule="auto"/>
        <w:jc w:val="both"/>
        <w:rPr>
          <w:rFonts w:ascii="Times New Roman" w:eastAsia="Calibri" w:hAnsi="Times New Roman" w:cs="Times New Roman"/>
          <w:sz w:val="24"/>
        </w:rPr>
      </w:pPr>
      <w:r w:rsidRPr="006215DA">
        <w:rPr>
          <w:rFonts w:ascii="Times New Roman" w:eastAsia="Calibri" w:hAnsi="Times New Roman" w:cs="Times New Roman"/>
          <w:sz w:val="24"/>
        </w:rPr>
        <w:lastRenderedPageBreak/>
        <w:t xml:space="preserve">Anti-androgens: These drugs </w:t>
      </w:r>
      <w:r w:rsidRPr="00426BF5">
        <w:rPr>
          <w:rFonts w:ascii="Times New Roman" w:eastAsia="Calibri" w:hAnsi="Times New Roman" w:cs="Times New Roman"/>
          <w:sz w:val="24"/>
        </w:rPr>
        <w:t xml:space="preserve">impair androgen </w:t>
      </w:r>
      <w:r>
        <w:rPr>
          <w:rFonts w:ascii="Times New Roman" w:eastAsia="Calibri" w:hAnsi="Times New Roman" w:cs="Times New Roman"/>
          <w:sz w:val="24"/>
        </w:rPr>
        <w:t xml:space="preserve">from forming complex to its </w:t>
      </w:r>
      <w:r w:rsidRPr="00426BF5">
        <w:rPr>
          <w:rFonts w:ascii="Times New Roman" w:eastAsia="Calibri" w:hAnsi="Times New Roman" w:cs="Times New Roman"/>
          <w:sz w:val="24"/>
        </w:rPr>
        <w:t>receptors</w:t>
      </w:r>
      <w:r w:rsidRPr="006215DA">
        <w:rPr>
          <w:rFonts w:ascii="Times New Roman" w:eastAsia="Calibri" w:hAnsi="Times New Roman" w:cs="Times New Roman"/>
          <w:sz w:val="24"/>
        </w:rPr>
        <w:t xml:space="preserve">, preventing the cancer cells from receiving the signal to grow and divide. Examples include </w:t>
      </w:r>
      <w:proofErr w:type="spellStart"/>
      <w:r w:rsidRPr="006215DA">
        <w:rPr>
          <w:rFonts w:ascii="Times New Roman" w:eastAsia="Calibri" w:hAnsi="Times New Roman" w:cs="Times New Roman"/>
          <w:sz w:val="24"/>
        </w:rPr>
        <w:t>bicalutamide</w:t>
      </w:r>
      <w:proofErr w:type="spellEnd"/>
      <w:r w:rsidRPr="006215DA">
        <w:rPr>
          <w:rFonts w:ascii="Times New Roman" w:eastAsia="Calibri" w:hAnsi="Times New Roman" w:cs="Times New Roman"/>
          <w:sz w:val="24"/>
        </w:rPr>
        <w:t xml:space="preserve">, </w:t>
      </w:r>
      <w:proofErr w:type="spellStart"/>
      <w:r w:rsidRPr="006215DA">
        <w:rPr>
          <w:rFonts w:ascii="Times New Roman" w:eastAsia="Calibri" w:hAnsi="Times New Roman" w:cs="Times New Roman"/>
          <w:sz w:val="24"/>
        </w:rPr>
        <w:t>flutamide</w:t>
      </w:r>
      <w:proofErr w:type="spellEnd"/>
      <w:r w:rsidRPr="006215DA">
        <w:rPr>
          <w:rFonts w:ascii="Times New Roman" w:eastAsia="Calibri" w:hAnsi="Times New Roman" w:cs="Times New Roman"/>
          <w:sz w:val="24"/>
        </w:rPr>
        <w:t xml:space="preserve">, and </w:t>
      </w:r>
      <w:proofErr w:type="spellStart"/>
      <w:r w:rsidRPr="006215DA">
        <w:rPr>
          <w:rFonts w:ascii="Times New Roman" w:eastAsia="Calibri" w:hAnsi="Times New Roman" w:cs="Times New Roman"/>
          <w:sz w:val="24"/>
        </w:rPr>
        <w:t>nilutamide</w:t>
      </w:r>
      <w:proofErr w:type="spellEnd"/>
      <w:r w:rsidRPr="006215DA">
        <w:rPr>
          <w:rFonts w:ascii="Times New Roman" w:eastAsia="Calibri" w:hAnsi="Times New Roman" w:cs="Times New Roman"/>
          <w:sz w:val="24"/>
        </w:rPr>
        <w:t>.</w:t>
      </w:r>
    </w:p>
    <w:p w:rsidR="0045562E" w:rsidRPr="006215DA" w:rsidRDefault="0045562E" w:rsidP="0045562E">
      <w:pPr>
        <w:numPr>
          <w:ilvl w:val="0"/>
          <w:numId w:val="23"/>
        </w:numPr>
        <w:spacing w:line="360" w:lineRule="auto"/>
        <w:jc w:val="both"/>
        <w:rPr>
          <w:rFonts w:ascii="Times New Roman" w:eastAsia="Calibri" w:hAnsi="Times New Roman" w:cs="Times New Roman"/>
          <w:sz w:val="24"/>
        </w:rPr>
      </w:pPr>
      <w:proofErr w:type="spellStart"/>
      <w:r w:rsidRPr="006215DA">
        <w:rPr>
          <w:rFonts w:ascii="Times New Roman" w:eastAsia="Calibri" w:hAnsi="Times New Roman" w:cs="Times New Roman"/>
          <w:sz w:val="24"/>
        </w:rPr>
        <w:t>GnRH</w:t>
      </w:r>
      <w:proofErr w:type="spellEnd"/>
      <w:r w:rsidRPr="006215DA">
        <w:rPr>
          <w:rFonts w:ascii="Times New Roman" w:eastAsia="Calibri" w:hAnsi="Times New Roman" w:cs="Times New Roman"/>
          <w:sz w:val="24"/>
        </w:rPr>
        <w:t xml:space="preserve"> agonists: These drugs reduce the production of androgens by the testes by inhibiting the release of gonadotropin-releasing hormone (</w:t>
      </w:r>
      <w:proofErr w:type="spellStart"/>
      <w:r w:rsidRPr="006215DA">
        <w:rPr>
          <w:rFonts w:ascii="Times New Roman" w:eastAsia="Calibri" w:hAnsi="Times New Roman" w:cs="Times New Roman"/>
          <w:sz w:val="24"/>
        </w:rPr>
        <w:t>GnRH</w:t>
      </w:r>
      <w:proofErr w:type="spellEnd"/>
      <w:r w:rsidRPr="006215DA">
        <w:rPr>
          <w:rFonts w:ascii="Times New Roman" w:eastAsia="Calibri" w:hAnsi="Times New Roman" w:cs="Times New Roman"/>
          <w:sz w:val="24"/>
        </w:rPr>
        <w:t>) from the hypoth</w:t>
      </w:r>
      <w:r>
        <w:rPr>
          <w:rFonts w:ascii="Times New Roman" w:eastAsia="Calibri" w:hAnsi="Times New Roman" w:cs="Times New Roman"/>
          <w:sz w:val="24"/>
        </w:rPr>
        <w:t>alamus. This causes reduction</w:t>
      </w:r>
      <w:r w:rsidRPr="006215DA">
        <w:rPr>
          <w:rFonts w:ascii="Times New Roman" w:eastAsia="Calibri" w:hAnsi="Times New Roman" w:cs="Times New Roman"/>
          <w:sz w:val="24"/>
        </w:rPr>
        <w:t xml:space="preserve"> in testosterone levels in the body, which can slow the growth of prostate cancer. Examples include </w:t>
      </w:r>
      <w:proofErr w:type="spellStart"/>
      <w:r w:rsidRPr="006215DA">
        <w:rPr>
          <w:rFonts w:ascii="Times New Roman" w:eastAsia="Calibri" w:hAnsi="Times New Roman" w:cs="Times New Roman"/>
          <w:sz w:val="24"/>
        </w:rPr>
        <w:t>leuprolide</w:t>
      </w:r>
      <w:proofErr w:type="spellEnd"/>
      <w:r w:rsidRPr="006215DA">
        <w:rPr>
          <w:rFonts w:ascii="Times New Roman" w:eastAsia="Calibri" w:hAnsi="Times New Roman" w:cs="Times New Roman"/>
          <w:sz w:val="24"/>
        </w:rPr>
        <w:t xml:space="preserve"> and </w:t>
      </w:r>
      <w:proofErr w:type="spellStart"/>
      <w:r w:rsidRPr="006215DA">
        <w:rPr>
          <w:rFonts w:ascii="Times New Roman" w:eastAsia="Calibri" w:hAnsi="Times New Roman" w:cs="Times New Roman"/>
          <w:sz w:val="24"/>
        </w:rPr>
        <w:t>goserelin</w:t>
      </w:r>
      <w:proofErr w:type="spellEnd"/>
      <w:r w:rsidRPr="006215DA">
        <w:rPr>
          <w:rFonts w:ascii="Times New Roman" w:eastAsia="Calibri" w:hAnsi="Times New Roman" w:cs="Times New Roman"/>
          <w:sz w:val="24"/>
        </w:rPr>
        <w:t>.</w:t>
      </w:r>
    </w:p>
    <w:p w:rsidR="0045562E" w:rsidRPr="006215DA" w:rsidRDefault="0045562E" w:rsidP="0045562E">
      <w:pPr>
        <w:numPr>
          <w:ilvl w:val="0"/>
          <w:numId w:val="23"/>
        </w:numPr>
        <w:spacing w:line="360" w:lineRule="auto"/>
        <w:jc w:val="both"/>
        <w:rPr>
          <w:rFonts w:ascii="Times New Roman" w:eastAsia="Calibri" w:hAnsi="Times New Roman" w:cs="Times New Roman"/>
          <w:sz w:val="24"/>
        </w:rPr>
      </w:pPr>
      <w:r w:rsidRPr="006215DA">
        <w:rPr>
          <w:rFonts w:ascii="Times New Roman" w:eastAsia="Calibri" w:hAnsi="Times New Roman" w:cs="Times New Roman"/>
          <w:sz w:val="24"/>
        </w:rPr>
        <w:t xml:space="preserve">CYP17 inhibitors: These drugs block an enzyme called CYP17, which is involved in the production of androgens in the adrenal gland and in the prostate cancer cells themselves. Examples include </w:t>
      </w:r>
      <w:proofErr w:type="spellStart"/>
      <w:r w:rsidRPr="006215DA">
        <w:rPr>
          <w:rFonts w:ascii="Times New Roman" w:eastAsia="Calibri" w:hAnsi="Times New Roman" w:cs="Times New Roman"/>
          <w:sz w:val="24"/>
        </w:rPr>
        <w:t>abiraterone</w:t>
      </w:r>
      <w:proofErr w:type="spellEnd"/>
      <w:r w:rsidRPr="006215DA">
        <w:rPr>
          <w:rFonts w:ascii="Times New Roman" w:eastAsia="Calibri" w:hAnsi="Times New Roman" w:cs="Times New Roman"/>
          <w:sz w:val="24"/>
        </w:rPr>
        <w:t xml:space="preserve"> acetate.</w:t>
      </w:r>
    </w:p>
    <w:p w:rsidR="0045562E" w:rsidRPr="006215DA" w:rsidRDefault="0045562E" w:rsidP="0045562E">
      <w:pPr>
        <w:numPr>
          <w:ilvl w:val="0"/>
          <w:numId w:val="23"/>
        </w:numPr>
        <w:spacing w:line="360" w:lineRule="auto"/>
        <w:jc w:val="both"/>
        <w:rPr>
          <w:rFonts w:ascii="Times New Roman" w:eastAsia="Calibri" w:hAnsi="Times New Roman" w:cs="Times New Roman"/>
          <w:sz w:val="24"/>
        </w:rPr>
      </w:pPr>
      <w:r w:rsidRPr="006215DA">
        <w:rPr>
          <w:rFonts w:ascii="Times New Roman" w:eastAsia="Calibri" w:hAnsi="Times New Roman" w:cs="Times New Roman"/>
          <w:sz w:val="24"/>
        </w:rPr>
        <w:t xml:space="preserve">Androgen receptor antagonists: These drugs block the activity of androgen receptors directly, preventing them from stimulating the growth of prostate cancer cells. Examples include </w:t>
      </w:r>
      <w:proofErr w:type="spellStart"/>
      <w:r w:rsidRPr="006215DA">
        <w:rPr>
          <w:rFonts w:ascii="Times New Roman" w:eastAsia="Calibri" w:hAnsi="Times New Roman" w:cs="Times New Roman"/>
          <w:sz w:val="24"/>
        </w:rPr>
        <w:t>enzalutamide</w:t>
      </w:r>
      <w:proofErr w:type="spellEnd"/>
      <w:r w:rsidRPr="006215DA">
        <w:rPr>
          <w:rFonts w:ascii="Times New Roman" w:eastAsia="Calibri" w:hAnsi="Times New Roman" w:cs="Times New Roman"/>
          <w:sz w:val="24"/>
        </w:rPr>
        <w:t xml:space="preserve"> and </w:t>
      </w:r>
      <w:proofErr w:type="spellStart"/>
      <w:r w:rsidRPr="006215DA">
        <w:rPr>
          <w:rFonts w:ascii="Times New Roman" w:eastAsia="Calibri" w:hAnsi="Times New Roman" w:cs="Times New Roman"/>
          <w:sz w:val="24"/>
        </w:rPr>
        <w:t>apalutamide</w:t>
      </w:r>
      <w:proofErr w:type="spellEnd"/>
      <w:r w:rsidRPr="006215DA">
        <w:rPr>
          <w:rFonts w:ascii="Times New Roman" w:eastAsia="Calibri" w:hAnsi="Times New Roman" w:cs="Times New Roman"/>
          <w:sz w:val="24"/>
        </w:rPr>
        <w:t>.</w:t>
      </w:r>
    </w:p>
    <w:p w:rsidR="0045562E" w:rsidRPr="000B22BC" w:rsidRDefault="0045562E" w:rsidP="0045562E">
      <w:pPr>
        <w:spacing w:line="360" w:lineRule="auto"/>
        <w:jc w:val="both"/>
        <w:rPr>
          <w:rFonts w:ascii="Times New Roman" w:eastAsia="Calibri" w:hAnsi="Times New Roman" w:cs="Times New Roman"/>
          <w:sz w:val="24"/>
          <w:szCs w:val="24"/>
        </w:rPr>
      </w:pPr>
      <w:r w:rsidRPr="00C44C36">
        <w:rPr>
          <w:rFonts w:ascii="Times New Roman" w:eastAsia="Calibri" w:hAnsi="Times New Roman" w:cs="Times New Roman"/>
          <w:sz w:val="24"/>
          <w:szCs w:val="24"/>
        </w:rPr>
        <w:t>The biotransformation of androgens in the body is the foundation that drives the creation of</w:t>
      </w:r>
      <w:r>
        <w:rPr>
          <w:rFonts w:ascii="Times New Roman" w:eastAsia="Calibri" w:hAnsi="Times New Roman" w:cs="Times New Roman"/>
          <w:sz w:val="24"/>
          <w:szCs w:val="24"/>
        </w:rPr>
        <w:t xml:space="preserve"> medications for </w:t>
      </w:r>
      <w:proofErr w:type="spellStart"/>
      <w:r>
        <w:rPr>
          <w:rFonts w:ascii="Times New Roman" w:eastAsia="Calibri" w:hAnsi="Times New Roman" w:cs="Times New Roman"/>
          <w:sz w:val="24"/>
          <w:szCs w:val="24"/>
        </w:rPr>
        <w:t>PCa</w:t>
      </w:r>
      <w:proofErr w:type="spellEnd"/>
      <w:r>
        <w:rPr>
          <w:rFonts w:ascii="Times New Roman" w:eastAsia="Calibri" w:hAnsi="Times New Roman" w:cs="Times New Roman"/>
          <w:sz w:val="24"/>
          <w:szCs w:val="24"/>
        </w:rPr>
        <w:t xml:space="preserve"> </w:t>
      </w:r>
      <w:r w:rsidRPr="00C44C36">
        <w:rPr>
          <w:rFonts w:ascii="Times New Roman" w:eastAsia="Calibri" w:hAnsi="Times New Roman" w:cs="Times New Roman"/>
          <w:sz w:val="24"/>
          <w:szCs w:val="24"/>
        </w:rPr>
        <w:fldChar w:fldCharType="begin"/>
      </w:r>
      <w:r w:rsidR="00316921">
        <w:rPr>
          <w:rFonts w:ascii="Times New Roman" w:eastAsia="Calibri" w:hAnsi="Times New Roman" w:cs="Times New Roman"/>
          <w:sz w:val="24"/>
          <w:szCs w:val="24"/>
        </w:rPr>
        <w:instrText xml:space="preserve"> ADDIN ZOTERO_ITEM CSL_CITATION {"citationID":"vZfF3dbh","properties":{"formattedCitation":"(Takayama, 2018)","plainCitation":"(Takayama, 2018)","noteIndex":0},"citationItems":[{"id":197,"uris":["http://zotero.org/users/local/7J0d6nia/items/9J36HRZI","http://zotero.org/users/11300200/items/9J36HRZI"],"itemData":{"id":197,"type":"chapter","container-title":"Advances in Testosterone Action","ISBN":"978-1-78984-512-9","language":"en","note":"DOI: 10.5772/intechopen.76360","publisher":"IntechOpen","source":"DOI.org (Crossref)","title":"The Biological Role of Androgen Receptor in Prostate Cancer Progression","URL":"https://www.intechopen.com/books/advances-in-testosterone-action/the-biological-role-of-androgen-receptor-in-prostate-cancer-progression","editor":[{"family":"Estrada","given":"Manuel"}],"author":[{"family":"Takayama","given":"Ken-ichi"}],"accessed":{"date-parts":[["2023",2,19]]},"issued":{"date-parts":[["2018",11,21]]}}}],"schema":"https://github.com/citation-style-language/schema/raw/master/csl-citation.json"} </w:instrText>
      </w:r>
      <w:r w:rsidRPr="00C44C36">
        <w:rPr>
          <w:rFonts w:ascii="Times New Roman" w:eastAsia="Calibri" w:hAnsi="Times New Roman" w:cs="Times New Roman"/>
          <w:sz w:val="24"/>
          <w:szCs w:val="24"/>
        </w:rPr>
        <w:fldChar w:fldCharType="separate"/>
      </w:r>
      <w:r w:rsidR="00167D83" w:rsidRPr="00167D83">
        <w:rPr>
          <w:rFonts w:ascii="Times New Roman" w:hAnsi="Times New Roman" w:cs="Times New Roman"/>
          <w:sz w:val="24"/>
        </w:rPr>
        <w:t>(Takayama, 2018)</w:t>
      </w:r>
      <w:r w:rsidRPr="00C44C36">
        <w:rPr>
          <w:rFonts w:ascii="Times New Roman" w:eastAsia="Calibri" w:hAnsi="Times New Roman" w:cs="Times New Roman"/>
          <w:sz w:val="24"/>
          <w:szCs w:val="24"/>
        </w:rPr>
        <w:fldChar w:fldCharType="end"/>
      </w:r>
      <w:r w:rsidRPr="00C44C36">
        <w:rPr>
          <w:rFonts w:ascii="Times New Roman" w:eastAsia="Calibri" w:hAnsi="Times New Roman" w:cs="Times New Roman"/>
          <w:sz w:val="24"/>
          <w:szCs w:val="24"/>
        </w:rPr>
        <w:t xml:space="preserve">. Androgens are synthesized from cholesterol, which is converted into </w:t>
      </w:r>
      <w:proofErr w:type="spellStart"/>
      <w:r w:rsidRPr="00C44C36">
        <w:rPr>
          <w:rFonts w:ascii="Times New Roman" w:eastAsia="Calibri" w:hAnsi="Times New Roman" w:cs="Times New Roman"/>
          <w:sz w:val="24"/>
          <w:szCs w:val="24"/>
        </w:rPr>
        <w:t>pregnenolone</w:t>
      </w:r>
      <w:proofErr w:type="spellEnd"/>
      <w:r w:rsidRPr="00C44C36">
        <w:rPr>
          <w:rFonts w:ascii="Times New Roman" w:eastAsia="Calibri" w:hAnsi="Times New Roman" w:cs="Times New Roman"/>
          <w:sz w:val="24"/>
          <w:szCs w:val="24"/>
        </w:rPr>
        <w:t xml:space="preserve"> and then into various hormones, including DHEA, </w:t>
      </w:r>
      <w:proofErr w:type="spellStart"/>
      <w:r w:rsidRPr="00C44C36">
        <w:rPr>
          <w:rFonts w:ascii="Times New Roman" w:eastAsia="Calibri" w:hAnsi="Times New Roman" w:cs="Times New Roman"/>
          <w:sz w:val="24"/>
          <w:szCs w:val="24"/>
        </w:rPr>
        <w:t>androstenedione</w:t>
      </w:r>
      <w:proofErr w:type="spellEnd"/>
      <w:r w:rsidRPr="00C44C36">
        <w:rPr>
          <w:rFonts w:ascii="Times New Roman" w:eastAsia="Calibri" w:hAnsi="Times New Roman" w:cs="Times New Roman"/>
          <w:sz w:val="24"/>
          <w:szCs w:val="24"/>
        </w:rPr>
        <w:t xml:space="preserve">, and testosterone </w:t>
      </w:r>
      <w:r w:rsidRPr="00C44C36">
        <w:rPr>
          <w:rFonts w:ascii="Times New Roman" w:eastAsia="Calibri" w:hAnsi="Times New Roman" w:cs="Times New Roman"/>
          <w:sz w:val="24"/>
          <w:szCs w:val="24"/>
        </w:rPr>
        <w:fldChar w:fldCharType="begin"/>
      </w:r>
      <w:r w:rsidR="00316921">
        <w:rPr>
          <w:rFonts w:ascii="Times New Roman" w:eastAsia="Calibri" w:hAnsi="Times New Roman" w:cs="Times New Roman"/>
          <w:sz w:val="24"/>
          <w:szCs w:val="24"/>
        </w:rPr>
        <w:instrText xml:space="preserve"> ADDIN ZOTERO_ITEM CSL_CITATION {"citationID":"50aCLPlX","properties":{"formattedCitation":"(Zhang et al., 2022)","plainCitation":"(Zhang et al., 2022)","noteIndex":0},"citationItems":[{"id":346,"uris":["http://zotero.org/users/local/7J0d6nia/items/8NHAS2JD","http://zotero.org/users/11300200/items/8NHAS2JD"],"itemData":{"id":346,"type":"article-journal","abstract":"All aspects of prostate cancer evolution are closely related to androgen levels and the status of the androgen receptor (AR). Almost all treatments target androgen metabolism pathways and AR, from castration-sensitive prostate cancer (CSPC) to castration-resistant prostate cancer (CRPC). Alterations in androgen metabolism and its response are one of the main reasons for prostate cancer drug resistance. In this review, we will introduce androgen metabolism, including how the androgen was synthesized, consumed, and responded to in healthy people and prostate cancer patients, and discuss how these alterations in androgen metabolism contribute to the resistance to anti-androgen therapy.","container-title":"International Journal of Molecular Sciences","DOI":"10.3390/ijms232113521","ISSN":"1422-0067","issue":"21","journalAbbreviation":"Int J Mol Sci","language":"eng","note":"PMID: 36362304\nPMCID: PMC9655897","page":"13521","source":"PubMed","title":"Androgen Metabolism and Response in Prostate Cancer Anti-Androgen Therapy Resistance","volume":"23","author":[{"family":"Zhang","given":"Haozhe"},{"family":"Zhou","given":"Yi"},{"family":"Xing","given":"Zengzhen"},{"family":"Sah","given":"Rajiv Kumar"},{"family":"Hu","given":"Junqi"},{"family":"Hu","given":"Hailiang"}],"issued":{"date-parts":[["2022",11,4]]}}}],"schema":"https://github.com/citation-style-language/schema/raw/master/csl-citation.json"} </w:instrText>
      </w:r>
      <w:r w:rsidRPr="00C44C36">
        <w:rPr>
          <w:rFonts w:ascii="Times New Roman" w:eastAsia="Calibri" w:hAnsi="Times New Roman" w:cs="Times New Roman"/>
          <w:sz w:val="24"/>
          <w:szCs w:val="24"/>
        </w:rPr>
        <w:fldChar w:fldCharType="separate"/>
      </w:r>
      <w:r w:rsidR="00167D83" w:rsidRPr="00167D83">
        <w:rPr>
          <w:rFonts w:ascii="Times New Roman" w:hAnsi="Times New Roman" w:cs="Times New Roman"/>
          <w:sz w:val="24"/>
        </w:rPr>
        <w:t>(Zhang et al., 2022)</w:t>
      </w:r>
      <w:r w:rsidRPr="00C44C36">
        <w:rPr>
          <w:rFonts w:ascii="Times New Roman" w:eastAsia="Calibri" w:hAnsi="Times New Roman" w:cs="Times New Roman"/>
          <w:sz w:val="24"/>
          <w:szCs w:val="24"/>
        </w:rPr>
        <w:fldChar w:fldCharType="end"/>
      </w:r>
      <w:r w:rsidRPr="00C44C36">
        <w:rPr>
          <w:rFonts w:ascii="Times New Roman" w:eastAsia="Calibri" w:hAnsi="Times New Roman" w:cs="Times New Roman"/>
          <w:sz w:val="24"/>
          <w:szCs w:val="24"/>
        </w:rPr>
        <w:t xml:space="preserve">. Enzymes involved in androgen synthesis include CYP11A1, 3β-HSD, and CYP17A1. </w:t>
      </w:r>
      <w:r w:rsidRPr="00426BF5">
        <w:rPr>
          <w:rFonts w:ascii="Times New Roman" w:eastAsia="Calibri" w:hAnsi="Times New Roman" w:cs="Times New Roman"/>
          <w:sz w:val="24"/>
          <w:szCs w:val="24"/>
        </w:rPr>
        <w:t xml:space="preserve">DHEA biogenesis from cholesterol is </w:t>
      </w:r>
      <w:r w:rsidRPr="00C44C36">
        <w:rPr>
          <w:rFonts w:ascii="Times New Roman" w:eastAsia="Calibri" w:hAnsi="Times New Roman" w:cs="Times New Roman"/>
          <w:sz w:val="24"/>
          <w:szCs w:val="24"/>
        </w:rPr>
        <w:t xml:space="preserve">crucial in the treatment of </w:t>
      </w:r>
      <w:proofErr w:type="spellStart"/>
      <w:r w:rsidRPr="00C44C36">
        <w:rPr>
          <w:rFonts w:ascii="Times New Roman" w:eastAsia="Calibri" w:hAnsi="Times New Roman" w:cs="Times New Roman"/>
          <w:sz w:val="24"/>
          <w:szCs w:val="24"/>
        </w:rPr>
        <w:t>PCa</w:t>
      </w:r>
      <w:proofErr w:type="spellEnd"/>
      <w:r w:rsidRPr="00C44C36">
        <w:rPr>
          <w:rFonts w:ascii="Times New Roman" w:eastAsia="Calibri" w:hAnsi="Times New Roman" w:cs="Times New Roman"/>
          <w:sz w:val="24"/>
          <w:szCs w:val="24"/>
        </w:rPr>
        <w:t xml:space="preserve"> individuals </w:t>
      </w:r>
      <w:r w:rsidRPr="00426BF5">
        <w:rPr>
          <w:rFonts w:ascii="Times New Roman" w:eastAsia="Calibri" w:hAnsi="Times New Roman" w:cs="Times New Roman"/>
          <w:sz w:val="24"/>
          <w:szCs w:val="24"/>
        </w:rPr>
        <w:t xml:space="preserve">who may have rising androgen levels and </w:t>
      </w:r>
      <w:r w:rsidRPr="00C44C36">
        <w:rPr>
          <w:rFonts w:ascii="Times New Roman" w:eastAsia="Calibri" w:hAnsi="Times New Roman" w:cs="Times New Roman"/>
          <w:sz w:val="24"/>
          <w:szCs w:val="24"/>
        </w:rPr>
        <w:t>overactive AR because DHEA is a crucial forerunner in androgen biosynthetic p</w:t>
      </w:r>
      <w:r>
        <w:rPr>
          <w:rFonts w:ascii="Times New Roman" w:eastAsia="Calibri" w:hAnsi="Times New Roman" w:cs="Times New Roman"/>
          <w:sz w:val="24"/>
          <w:szCs w:val="24"/>
        </w:rPr>
        <w:t>athways in the prostate</w:t>
      </w:r>
      <w:r w:rsidRPr="00C44C36">
        <w:rPr>
          <w:rFonts w:ascii="Times New Roman" w:eastAsia="Calibri" w:hAnsi="Times New Roman" w:cs="Times New Roman"/>
          <w:sz w:val="24"/>
          <w:szCs w:val="24"/>
        </w:rPr>
        <w:t xml:space="preserve">. </w:t>
      </w:r>
      <w:proofErr w:type="spellStart"/>
      <w:r w:rsidRPr="00C44C36">
        <w:rPr>
          <w:rFonts w:ascii="Times New Roman" w:eastAsia="Calibri" w:hAnsi="Times New Roman" w:cs="Times New Roman"/>
          <w:sz w:val="24"/>
          <w:szCs w:val="24"/>
        </w:rPr>
        <w:t>Abiraterone</w:t>
      </w:r>
      <w:proofErr w:type="spellEnd"/>
      <w:r w:rsidRPr="00C44C36">
        <w:rPr>
          <w:rFonts w:ascii="Times New Roman" w:eastAsia="Calibri" w:hAnsi="Times New Roman" w:cs="Times New Roman"/>
          <w:sz w:val="24"/>
          <w:szCs w:val="24"/>
        </w:rPr>
        <w:t xml:space="preserve">, </w:t>
      </w:r>
      <w:proofErr w:type="spellStart"/>
      <w:r w:rsidRPr="00C44C36">
        <w:rPr>
          <w:rFonts w:ascii="Times New Roman" w:eastAsia="Calibri" w:hAnsi="Times New Roman" w:cs="Times New Roman"/>
          <w:sz w:val="24"/>
          <w:szCs w:val="24"/>
        </w:rPr>
        <w:t>enzalutamide</w:t>
      </w:r>
      <w:proofErr w:type="spellEnd"/>
      <w:r w:rsidRPr="00C44C36">
        <w:rPr>
          <w:rFonts w:ascii="Times New Roman" w:eastAsia="Calibri" w:hAnsi="Times New Roman" w:cs="Times New Roman"/>
          <w:sz w:val="24"/>
          <w:szCs w:val="24"/>
        </w:rPr>
        <w:t xml:space="preserve">, </w:t>
      </w:r>
      <w:proofErr w:type="spellStart"/>
      <w:r w:rsidRPr="00C44C36">
        <w:rPr>
          <w:rFonts w:ascii="Times New Roman" w:eastAsia="Calibri" w:hAnsi="Times New Roman" w:cs="Times New Roman"/>
          <w:sz w:val="24"/>
          <w:szCs w:val="24"/>
        </w:rPr>
        <w:t>apalutamide</w:t>
      </w:r>
      <w:proofErr w:type="spellEnd"/>
      <w:r w:rsidRPr="00C44C36">
        <w:rPr>
          <w:rFonts w:ascii="Times New Roman" w:eastAsia="Calibri" w:hAnsi="Times New Roman" w:cs="Times New Roman"/>
          <w:sz w:val="24"/>
          <w:szCs w:val="24"/>
        </w:rPr>
        <w:t xml:space="preserve">, and </w:t>
      </w:r>
      <w:proofErr w:type="spellStart"/>
      <w:r w:rsidRPr="00C44C36">
        <w:rPr>
          <w:rFonts w:ascii="Times New Roman" w:eastAsia="Calibri" w:hAnsi="Times New Roman" w:cs="Times New Roman"/>
          <w:sz w:val="24"/>
          <w:szCs w:val="24"/>
        </w:rPr>
        <w:t>darolutamide</w:t>
      </w:r>
      <w:proofErr w:type="spellEnd"/>
      <w:r w:rsidRPr="00C44C36">
        <w:rPr>
          <w:rFonts w:ascii="Times New Roman" w:eastAsia="Calibri" w:hAnsi="Times New Roman" w:cs="Times New Roman"/>
          <w:sz w:val="24"/>
          <w:szCs w:val="24"/>
        </w:rPr>
        <w:t xml:space="preserve"> are drugs recommended by the NCCN for </w:t>
      </w:r>
      <w:proofErr w:type="spellStart"/>
      <w:r w:rsidRPr="00C44C36">
        <w:rPr>
          <w:rFonts w:ascii="Times New Roman" w:eastAsia="Calibri" w:hAnsi="Times New Roman" w:cs="Times New Roman"/>
          <w:sz w:val="24"/>
          <w:szCs w:val="24"/>
        </w:rPr>
        <w:t>PCa</w:t>
      </w:r>
      <w:proofErr w:type="spellEnd"/>
      <w:r w:rsidRPr="00C44C36">
        <w:rPr>
          <w:rFonts w:ascii="Times New Roman" w:eastAsia="Calibri" w:hAnsi="Times New Roman" w:cs="Times New Roman"/>
          <w:sz w:val="24"/>
          <w:szCs w:val="24"/>
        </w:rPr>
        <w:t xml:space="preserve"> treatment and act on the androgen axis by targeting androgen synthesis and metabolism pathways </w:t>
      </w:r>
      <w:r w:rsidRPr="00C44C36">
        <w:rPr>
          <w:rFonts w:ascii="Times New Roman" w:eastAsia="Calibri" w:hAnsi="Times New Roman" w:cs="Times New Roman"/>
          <w:sz w:val="24"/>
          <w:szCs w:val="24"/>
        </w:rPr>
        <w:fldChar w:fldCharType="begin"/>
      </w:r>
      <w:r w:rsidR="00316921">
        <w:rPr>
          <w:rFonts w:ascii="Times New Roman" w:eastAsia="Calibri" w:hAnsi="Times New Roman" w:cs="Times New Roman"/>
          <w:sz w:val="24"/>
          <w:szCs w:val="24"/>
        </w:rPr>
        <w:instrText xml:space="preserve"> ADDIN ZOTERO_ITEM CSL_CITATION {"citationID":"b0eo2EiW","properties":{"formattedCitation":"(Zhang et al., 2022)","plainCitation":"(Zhang et al., 2022)","noteIndex":0},"citationItems":[{"id":346,"uris":["http://zotero.org/users/local/7J0d6nia/items/8NHAS2JD","http://zotero.org/users/11300200/items/8NHAS2JD"],"itemData":{"id":346,"type":"article-journal","abstract":"All aspects of prostate cancer evolution are closely related to androgen levels and the status of the androgen receptor (AR). Almost all treatments target androgen metabolism pathways and AR, from castration-sensitive prostate cancer (CSPC) to castration-resistant prostate cancer (CRPC). Alterations in androgen metabolism and its response are one of the main reasons for prostate cancer drug resistance. In this review, we will introduce androgen metabolism, including how the androgen was synthesized, consumed, and responded to in healthy people and prostate cancer patients, and discuss how these alterations in androgen metabolism contribute to the resistance to anti-androgen therapy.","container-title":"International Journal of Molecular Sciences","DOI":"10.3390/ijms232113521","ISSN":"1422-0067","issue":"21","journalAbbreviation":"Int J Mol Sci","language":"eng","note":"PMID: 36362304\nPMCID: PMC9655897","page":"13521","source":"PubMed","title":"Androgen Metabolism and Response in Prostate Cancer Anti-Androgen Therapy Resistance","volume":"23","author":[{"family":"Zhang","given":"Haozhe"},{"family":"Zhou","given":"Yi"},{"family":"Xing","given":"Zengzhen"},{"family":"Sah","given":"Rajiv Kumar"},{"family":"Hu","given":"Junqi"},{"family":"Hu","given":"Hailiang"}],"issued":{"date-parts":[["2022",11,4]]}}}],"schema":"https://github.com/citation-style-language/schema/raw/master/csl-citation.json"} </w:instrText>
      </w:r>
      <w:r w:rsidRPr="00C44C36">
        <w:rPr>
          <w:rFonts w:ascii="Times New Roman" w:eastAsia="Calibri" w:hAnsi="Times New Roman" w:cs="Times New Roman"/>
          <w:sz w:val="24"/>
          <w:szCs w:val="24"/>
        </w:rPr>
        <w:fldChar w:fldCharType="separate"/>
      </w:r>
      <w:r w:rsidR="00167D83" w:rsidRPr="00167D83">
        <w:rPr>
          <w:rFonts w:ascii="Times New Roman" w:hAnsi="Times New Roman" w:cs="Times New Roman"/>
          <w:sz w:val="24"/>
        </w:rPr>
        <w:t>(Zhang et al., 2022)</w:t>
      </w:r>
      <w:r w:rsidRPr="00C44C36">
        <w:rPr>
          <w:rFonts w:ascii="Times New Roman" w:eastAsia="Calibri" w:hAnsi="Times New Roman" w:cs="Times New Roman"/>
          <w:sz w:val="24"/>
          <w:szCs w:val="24"/>
        </w:rPr>
        <w:fldChar w:fldCharType="end"/>
      </w:r>
      <w:r w:rsidRPr="00C44C36">
        <w:rPr>
          <w:rFonts w:ascii="Times New Roman" w:eastAsia="Calibri" w:hAnsi="Times New Roman" w:cs="Times New Roman"/>
          <w:sz w:val="24"/>
          <w:szCs w:val="24"/>
        </w:rPr>
        <w:t>. These medications,</w:t>
      </w:r>
      <w:r>
        <w:rPr>
          <w:rFonts w:ascii="Times New Roman" w:eastAsia="Calibri" w:hAnsi="Times New Roman" w:cs="Times New Roman"/>
          <w:sz w:val="24"/>
          <w:szCs w:val="24"/>
        </w:rPr>
        <w:t xml:space="preserve"> renowned as ARSI</w:t>
      </w:r>
      <w:r w:rsidRPr="00C44C36">
        <w:rPr>
          <w:rFonts w:ascii="Times New Roman" w:eastAsia="Calibri" w:hAnsi="Times New Roman" w:cs="Times New Roman"/>
          <w:sz w:val="24"/>
          <w:szCs w:val="24"/>
        </w:rPr>
        <w:t xml:space="preserve">, are used to block pathways, restore DHEA levels in the body, and impede AR </w:t>
      </w:r>
      <w:proofErr w:type="spellStart"/>
      <w:r w:rsidRPr="00C44C36">
        <w:rPr>
          <w:rFonts w:ascii="Times New Roman" w:eastAsia="Calibri" w:hAnsi="Times New Roman" w:cs="Times New Roman"/>
          <w:sz w:val="24"/>
          <w:szCs w:val="24"/>
        </w:rPr>
        <w:t>signaling</w:t>
      </w:r>
      <w:proofErr w:type="spellEnd"/>
      <w:r w:rsidRPr="00C44C36">
        <w:rPr>
          <w:rFonts w:ascii="Times New Roman" w:eastAsia="Calibri" w:hAnsi="Times New Roman" w:cs="Times New Roman"/>
          <w:sz w:val="24"/>
          <w:szCs w:val="24"/>
        </w:rPr>
        <w:t xml:space="preserve">, which are the </w:t>
      </w:r>
      <w:r w:rsidR="000B22BC">
        <w:rPr>
          <w:rFonts w:ascii="Times New Roman" w:eastAsia="Calibri" w:hAnsi="Times New Roman" w:cs="Times New Roman"/>
          <w:sz w:val="24"/>
          <w:szCs w:val="24"/>
        </w:rPr>
        <w:t>main causes of ARSI resistance</w:t>
      </w:r>
      <w:r w:rsidRPr="002C5D19">
        <w:rPr>
          <w:rFonts w:ascii="Times New Roman" w:eastAsia="Calibri" w:hAnsi="Times New Roman" w:cs="Times New Roman"/>
          <w:sz w:val="24"/>
        </w:rPr>
        <w:t>.</w:t>
      </w:r>
    </w:p>
    <w:p w:rsidR="0045562E" w:rsidRPr="001D5AD4" w:rsidRDefault="00680621" w:rsidP="0045562E">
      <w:pPr>
        <w:spacing w:line="360" w:lineRule="auto"/>
        <w:jc w:val="both"/>
        <w:rPr>
          <w:rFonts w:ascii="Times New Roman" w:eastAsia="Calibri" w:hAnsi="Times New Roman" w:cs="Times New Roman"/>
          <w:b/>
          <w:sz w:val="24"/>
        </w:rPr>
      </w:pPr>
      <w:r>
        <w:rPr>
          <w:rFonts w:ascii="Times New Roman" w:eastAsia="Calibri" w:hAnsi="Times New Roman" w:cs="Times New Roman"/>
          <w:b/>
          <w:sz w:val="24"/>
        </w:rPr>
        <w:t>2.</w:t>
      </w:r>
      <w:r w:rsidR="00BA6281">
        <w:rPr>
          <w:rFonts w:ascii="Times New Roman" w:eastAsia="Calibri" w:hAnsi="Times New Roman" w:cs="Times New Roman"/>
          <w:b/>
          <w:sz w:val="24"/>
        </w:rPr>
        <w:t>5</w:t>
      </w:r>
      <w:r w:rsidR="0045562E" w:rsidRPr="001D5AD4">
        <w:rPr>
          <w:rFonts w:ascii="Times New Roman" w:eastAsia="Calibri" w:hAnsi="Times New Roman" w:cs="Times New Roman"/>
          <w:b/>
          <w:sz w:val="24"/>
        </w:rPr>
        <w:t>.3 Combination Therapies</w:t>
      </w:r>
    </w:p>
    <w:p w:rsidR="0045562E" w:rsidRPr="000B22BC" w:rsidRDefault="0045562E" w:rsidP="0045562E">
      <w:pPr>
        <w:spacing w:line="360" w:lineRule="auto"/>
        <w:jc w:val="both"/>
        <w:rPr>
          <w:rFonts w:ascii="Times New Roman" w:eastAsia="Calibri" w:hAnsi="Times New Roman" w:cs="Times New Roman"/>
          <w:sz w:val="24"/>
          <w:szCs w:val="24"/>
          <w:lang w:val="en-US"/>
        </w:rPr>
      </w:pPr>
      <w:r w:rsidRPr="000E0F7E">
        <w:rPr>
          <w:rFonts w:ascii="Times New Roman" w:eastAsia="Calibri" w:hAnsi="Times New Roman" w:cs="Times New Roman"/>
          <w:sz w:val="24"/>
          <w:szCs w:val="24"/>
        </w:rPr>
        <w:t>One potential combina</w:t>
      </w:r>
      <w:r>
        <w:rPr>
          <w:rFonts w:ascii="Times New Roman" w:eastAsia="Calibri" w:hAnsi="Times New Roman" w:cs="Times New Roman"/>
          <w:sz w:val="24"/>
          <w:szCs w:val="24"/>
        </w:rPr>
        <w:t xml:space="preserve">tion therapy for </w:t>
      </w:r>
      <w:proofErr w:type="spellStart"/>
      <w:r>
        <w:rPr>
          <w:rFonts w:ascii="Times New Roman" w:eastAsia="Calibri" w:hAnsi="Times New Roman" w:cs="Times New Roman"/>
          <w:sz w:val="24"/>
          <w:szCs w:val="24"/>
        </w:rPr>
        <w:t>PCa</w:t>
      </w:r>
      <w:proofErr w:type="spellEnd"/>
      <w:r w:rsidRPr="000E0F7E">
        <w:rPr>
          <w:rFonts w:ascii="Times New Roman" w:eastAsia="Calibri" w:hAnsi="Times New Roman" w:cs="Times New Roman"/>
          <w:sz w:val="24"/>
          <w:szCs w:val="24"/>
        </w:rPr>
        <w:t xml:space="preserve"> is the use of AR inhibitors such as </w:t>
      </w:r>
      <w:proofErr w:type="spellStart"/>
      <w:r w:rsidRPr="000E0F7E">
        <w:rPr>
          <w:rFonts w:ascii="Times New Roman" w:eastAsia="Calibri" w:hAnsi="Times New Roman" w:cs="Times New Roman"/>
          <w:sz w:val="24"/>
          <w:szCs w:val="24"/>
        </w:rPr>
        <w:t>enzalutamide</w:t>
      </w:r>
      <w:proofErr w:type="spellEnd"/>
      <w:r w:rsidRPr="000E0F7E">
        <w:rPr>
          <w:rFonts w:ascii="Times New Roman" w:eastAsia="Calibri" w:hAnsi="Times New Roman" w:cs="Times New Roman"/>
          <w:sz w:val="24"/>
          <w:szCs w:val="24"/>
        </w:rPr>
        <w:t xml:space="preserve"> or </w:t>
      </w:r>
      <w:proofErr w:type="spellStart"/>
      <w:r w:rsidRPr="000E0F7E">
        <w:rPr>
          <w:rFonts w:ascii="Times New Roman" w:eastAsia="Calibri" w:hAnsi="Times New Roman" w:cs="Times New Roman"/>
          <w:sz w:val="24"/>
          <w:szCs w:val="24"/>
        </w:rPr>
        <w:t>abiraterone</w:t>
      </w:r>
      <w:proofErr w:type="spellEnd"/>
      <w:r w:rsidRPr="000E0F7E">
        <w:rPr>
          <w:rFonts w:ascii="Times New Roman" w:eastAsia="Calibri" w:hAnsi="Times New Roman" w:cs="Times New Roman"/>
          <w:sz w:val="24"/>
          <w:szCs w:val="24"/>
        </w:rPr>
        <w:t xml:space="preserve"> acetate, in combination with PI3K inhibitors such as </w:t>
      </w:r>
      <w:proofErr w:type="spellStart"/>
      <w:r w:rsidRPr="000E0F7E">
        <w:rPr>
          <w:rFonts w:ascii="Times New Roman" w:eastAsia="Calibri" w:hAnsi="Times New Roman" w:cs="Times New Roman"/>
          <w:sz w:val="24"/>
          <w:szCs w:val="24"/>
        </w:rPr>
        <w:t>buparlisib</w:t>
      </w:r>
      <w:proofErr w:type="spellEnd"/>
      <w:r w:rsidRPr="000E0F7E">
        <w:rPr>
          <w:rFonts w:ascii="Times New Roman" w:eastAsia="Calibri" w:hAnsi="Times New Roman" w:cs="Times New Roman"/>
          <w:sz w:val="24"/>
          <w:szCs w:val="24"/>
        </w:rPr>
        <w:t xml:space="preserve"> or </w:t>
      </w:r>
      <w:proofErr w:type="spellStart"/>
      <w:r w:rsidRPr="000E0F7E">
        <w:rPr>
          <w:rFonts w:ascii="Times New Roman" w:eastAsia="Calibri" w:hAnsi="Times New Roman" w:cs="Times New Roman"/>
          <w:sz w:val="24"/>
          <w:szCs w:val="24"/>
        </w:rPr>
        <w:t>idelalisib</w:t>
      </w:r>
      <w:proofErr w:type="spellEnd"/>
      <w:r w:rsidRPr="000E0F7E">
        <w:rPr>
          <w:rFonts w:ascii="Times New Roman" w:eastAsia="Calibri" w:hAnsi="Times New Roman" w:cs="Times New Roman"/>
          <w:sz w:val="24"/>
          <w:szCs w:val="24"/>
        </w:rPr>
        <w:t xml:space="preserve">. The combination of these drugs has been shown to have a synergistic effect in preclinical studies, resulting in decreased proliferation of cancer cells and increased apoptosis. </w:t>
      </w:r>
      <w:r w:rsidRPr="007C0F2B">
        <w:rPr>
          <w:rFonts w:ascii="Times New Roman" w:eastAsia="Calibri" w:hAnsi="Times New Roman" w:cs="Times New Roman"/>
          <w:sz w:val="24"/>
          <w:szCs w:val="24"/>
        </w:rPr>
        <w:t>Table 1 lists some of these dual-targeting combination therapies. In a preclinical study,</w:t>
      </w:r>
      <w:r w:rsidRPr="000E0F7E">
        <w:rPr>
          <w:rFonts w:ascii="Times New Roman" w:eastAsia="Calibri" w:hAnsi="Times New Roman" w:cs="Times New Roman"/>
          <w:sz w:val="24"/>
          <w:szCs w:val="24"/>
        </w:rPr>
        <w:t xml:space="preserve"> </w:t>
      </w:r>
      <w:r w:rsidRPr="000E0F7E">
        <w:rPr>
          <w:rFonts w:ascii="Times New Roman" w:eastAsia="Calibri" w:hAnsi="Times New Roman" w:cs="Times New Roman"/>
          <w:sz w:val="24"/>
          <w:szCs w:val="24"/>
        </w:rPr>
        <w:fldChar w:fldCharType="begin"/>
      </w:r>
      <w:r w:rsidR="00316921">
        <w:rPr>
          <w:rFonts w:ascii="Times New Roman" w:eastAsia="Calibri" w:hAnsi="Times New Roman" w:cs="Times New Roman"/>
          <w:sz w:val="24"/>
          <w:szCs w:val="24"/>
        </w:rPr>
        <w:instrText xml:space="preserve"> ADDIN ZOTERO_ITEM CSL_CITATION {"citationID":"Ie3hzG2J","properties":{"formattedCitation":"(Thomas et al., 2013)","plainCitation":"(Thomas et al., 2013)","noteIndex":0},"citationItems":[{"id":196,"uris":["http://zotero.org/users/local/7J0d6nia/items/GUDKTAFS","http://zotero.org/users/11300200/items/GUDKTAFS"],"itemData":{"id":196,"type":"article-journal","abstract":"Abstract\n            The progression to castration-resistant prostate cancer (CRPC) correlates with gain-of-function of the androgen receptor (AR) and activation of AKT. However, as single agents, AR or AKT inhibitors result in a reciprocal feedback loop. Therefore, we hypothesized that combination of an AKT inhibitor with an antiandrogen might result in a more profound, long-lasting remission of CRPC. Here, we report that the AKT inhibitor AZD5363 potently inhibits proliferation and induces apoptosis in prostate cancer cell lines expressing the AR and has anticancer activity in vivo in androgen-sensitive and castration-resistant phases of the LNCaP xenograft model. However, we found that the effect of castration-resistant tumor growth inhibition and prostate-specific antigen (PSA) stabilization is transient and resistance occurs with increasing PSA after approximately 30 days of treatment. Mechanistically, we found that single agent AZD5363 induces increase of AR binding to androgen response element, AR transcriptional activity, and AR-dependent genes such as PSA and NKX3.1 expression. These effects were overcome by the combination of AZD5363 with the antiandrogen bicalutamide, resulting in synergistic inhibition of cell proliferation and induction of apoptosis in vitro, and prolongation of tumor growth inhibition and PSA stabilization in CRPC in vivo. This study provides a preclinical proof-of-concept that combination of an AKT inhibitor with antiandrogen results in prolonged disease stabilization in a model of CRPC. Mol Cancer Ther; 12(11); 2342–55. ©2013 AACR.","container-title":"Molecular Cancer Therapeutics","DOI":"10.1158/1535-7163.MCT-13-0032","ISSN":"1535-7163, 1538-8514","issue":"11","language":"en","page":"2342-2355","source":"DOI.org (Crossref)","title":"Synergistic Targeting of PI3K/AKT Pathway and Androgen Receptor Axis Significantly Delays Castration-Resistant Prostate Cancer Progression &lt;i&gt;In Vivo&lt;/i&gt;","volume":"12","author":[{"family":"Thomas","given":"Christian"},{"family":"Lamoureux","given":"Francois"},{"family":"Crafter","given":"Claire"},{"family":"Davies","given":"Barry R."},{"family":"Beraldi","given":"Eliana"},{"family":"Fazli","given":"Ladan"},{"family":"Kim","given":"Soojin"},{"family":"Thaper","given":"Daksh"},{"family":"Gleave","given":"Martin E."},{"family":"Zoubeidi","given":"Amina"}],"issued":{"date-parts":[["2013",11,1]]}}}],"schema":"https://github.com/citation-style-language/schema/raw/master/csl-citation.json"} </w:instrText>
      </w:r>
      <w:r w:rsidRPr="000E0F7E">
        <w:rPr>
          <w:rFonts w:ascii="Times New Roman" w:eastAsia="Calibri" w:hAnsi="Times New Roman" w:cs="Times New Roman"/>
          <w:sz w:val="24"/>
          <w:szCs w:val="24"/>
        </w:rPr>
        <w:fldChar w:fldCharType="separate"/>
      </w:r>
      <w:r w:rsidR="00167D83" w:rsidRPr="00167D83">
        <w:rPr>
          <w:rFonts w:ascii="Times New Roman" w:hAnsi="Times New Roman" w:cs="Times New Roman"/>
          <w:sz w:val="24"/>
        </w:rPr>
        <w:t>(Thomas et al., 2013)</w:t>
      </w:r>
      <w:r w:rsidRPr="000E0F7E">
        <w:rPr>
          <w:rFonts w:ascii="Times New Roman" w:eastAsia="Calibri" w:hAnsi="Times New Roman" w:cs="Times New Roman"/>
          <w:sz w:val="24"/>
          <w:szCs w:val="24"/>
        </w:rPr>
        <w:fldChar w:fldCharType="end"/>
      </w:r>
      <w:r w:rsidRPr="000E0F7E">
        <w:rPr>
          <w:rFonts w:ascii="Times New Roman" w:eastAsia="Calibri" w:hAnsi="Times New Roman" w:cs="Times New Roman"/>
          <w:sz w:val="24"/>
          <w:szCs w:val="24"/>
        </w:rPr>
        <w:t xml:space="preserve"> </w:t>
      </w:r>
      <w:r w:rsidRPr="007C0F2B">
        <w:rPr>
          <w:rFonts w:ascii="Times New Roman" w:eastAsia="Calibri" w:hAnsi="Times New Roman" w:cs="Times New Roman"/>
          <w:sz w:val="24"/>
          <w:szCs w:val="24"/>
        </w:rPr>
        <w:lastRenderedPageBreak/>
        <w:t xml:space="preserve">found that combining an AKT inhibitor with an anti-androgen prolonged the stabilization of the disease in a CRPC model. The AKT inhibitor </w:t>
      </w:r>
      <w:r w:rsidR="00D71174">
        <w:rPr>
          <w:rFonts w:ascii="Times New Roman" w:eastAsia="Calibri" w:hAnsi="Times New Roman" w:cs="Times New Roman"/>
          <w:sz w:val="24"/>
          <w:szCs w:val="24"/>
        </w:rPr>
        <w:t>i</w:t>
      </w:r>
      <w:r w:rsidRPr="002A1E1C">
        <w:rPr>
          <w:rFonts w:ascii="Times New Roman" w:eastAsia="Calibri" w:hAnsi="Times New Roman" w:cs="Times New Roman"/>
          <w:sz w:val="24"/>
          <w:szCs w:val="24"/>
        </w:rPr>
        <w:t xml:space="preserve">n the androgen-sensitive and castration-resistant phases of the </w:t>
      </w:r>
      <w:proofErr w:type="spellStart"/>
      <w:r w:rsidRPr="002A1E1C">
        <w:rPr>
          <w:rFonts w:ascii="Times New Roman" w:eastAsia="Calibri" w:hAnsi="Times New Roman" w:cs="Times New Roman"/>
          <w:sz w:val="24"/>
          <w:szCs w:val="24"/>
        </w:rPr>
        <w:t>LNCaP</w:t>
      </w:r>
      <w:proofErr w:type="spellEnd"/>
      <w:r w:rsidRPr="002A1E1C">
        <w:rPr>
          <w:rFonts w:ascii="Times New Roman" w:eastAsia="Calibri" w:hAnsi="Times New Roman" w:cs="Times New Roman"/>
          <w:sz w:val="24"/>
          <w:szCs w:val="24"/>
        </w:rPr>
        <w:t xml:space="preserve"> mouse </w:t>
      </w:r>
      <w:proofErr w:type="spellStart"/>
      <w:r w:rsidRPr="002A1E1C">
        <w:rPr>
          <w:rFonts w:ascii="Times New Roman" w:eastAsia="Calibri" w:hAnsi="Times New Roman" w:cs="Times New Roman"/>
          <w:sz w:val="24"/>
          <w:szCs w:val="24"/>
        </w:rPr>
        <w:t>xenograft</w:t>
      </w:r>
      <w:proofErr w:type="spellEnd"/>
      <w:r w:rsidRPr="002A1E1C">
        <w:rPr>
          <w:rFonts w:ascii="Times New Roman" w:eastAsia="Calibri" w:hAnsi="Times New Roman" w:cs="Times New Roman"/>
          <w:sz w:val="24"/>
          <w:szCs w:val="24"/>
        </w:rPr>
        <w:t>, AZD5363 proved anticancer activity. It also successfully decreased propagation an</w:t>
      </w:r>
      <w:r>
        <w:rPr>
          <w:rFonts w:ascii="Times New Roman" w:eastAsia="Calibri" w:hAnsi="Times New Roman" w:cs="Times New Roman"/>
          <w:sz w:val="24"/>
          <w:szCs w:val="24"/>
        </w:rPr>
        <w:t xml:space="preserve">d induced apoptosis in </w:t>
      </w:r>
      <w:proofErr w:type="spellStart"/>
      <w:r>
        <w:rPr>
          <w:rFonts w:ascii="Times New Roman" w:eastAsia="Calibri" w:hAnsi="Times New Roman" w:cs="Times New Roman"/>
          <w:sz w:val="24"/>
          <w:szCs w:val="24"/>
        </w:rPr>
        <w:t>PCa</w:t>
      </w:r>
      <w:proofErr w:type="spellEnd"/>
      <w:r>
        <w:rPr>
          <w:rFonts w:ascii="Times New Roman" w:eastAsia="Calibri" w:hAnsi="Times New Roman" w:cs="Times New Roman"/>
          <w:sz w:val="24"/>
          <w:szCs w:val="24"/>
        </w:rPr>
        <w:t xml:space="preserve"> cell lines expressing AR </w:t>
      </w:r>
      <w:r>
        <w:rPr>
          <w:rFonts w:ascii="Times New Roman" w:eastAsia="Calibri" w:hAnsi="Times New Roman" w:cs="Times New Roman"/>
          <w:sz w:val="24"/>
        </w:rPr>
        <w:fldChar w:fldCharType="begin"/>
      </w:r>
      <w:r w:rsidR="00316921">
        <w:rPr>
          <w:rFonts w:ascii="Times New Roman" w:eastAsia="Calibri" w:hAnsi="Times New Roman" w:cs="Times New Roman"/>
          <w:sz w:val="24"/>
        </w:rPr>
        <w:instrText xml:space="preserve"> ADDIN ZOTERO_ITEM CSL_CITATION {"citationID":"RO0YMhMz","properties":{"formattedCitation":"(Toren et al., 2015)","plainCitation":"(Toren et al., 2015)","noteIndex":0},"citationItems":[{"id":195,"uris":["http://zotero.org/users/local/7J0d6nia/items/VAVQ53QT","http://zotero.org/users/11300200/items/VAVQ53QT"],"itemData":{"id":195,"type":"article-journal","container-title":"European Urology","DOI":"10.1016/j.eururo.2014.08.006","ISSN":"03022838","issue":"6","journalAbbreviation":"European Urology","language":"en","page":"986-990","source":"DOI.org (Crossref)","title":"Combination AZD5363 with Enzalutamide Significantly Delays Enzalutamide-resistant Prostate Cancer in Preclinical Models","volume":"67","author":[{"family":"Toren","given":"Paul"},{"family":"Kim","given":"Soojin"},{"family":"Cordonnier","given":"Thomas"},{"family":"Crafter","given":"Claire"},{"family":"Davies","given":"Barry R."},{"family":"Fazli","given":"Ladan"},{"family":"Gleave","given":"Martin E."},{"family":"Zoubeidi","given":"Amina"}],"issued":{"date-parts":[["2015",6]]}}}],"schema":"https://github.com/citation-style-language/schema/raw/master/csl-citation.json"} </w:instrText>
      </w:r>
      <w:r>
        <w:rPr>
          <w:rFonts w:ascii="Times New Roman" w:eastAsia="Calibri" w:hAnsi="Times New Roman" w:cs="Times New Roman"/>
          <w:sz w:val="24"/>
        </w:rPr>
        <w:fldChar w:fldCharType="separate"/>
      </w:r>
      <w:r w:rsidR="00167D83" w:rsidRPr="00167D83">
        <w:rPr>
          <w:rFonts w:ascii="Times New Roman" w:hAnsi="Times New Roman" w:cs="Times New Roman"/>
          <w:sz w:val="24"/>
        </w:rPr>
        <w:t>(Toren et al., 2015)</w:t>
      </w:r>
      <w:r>
        <w:rPr>
          <w:rFonts w:ascii="Times New Roman" w:eastAsia="Calibri" w:hAnsi="Times New Roman" w:cs="Times New Roman"/>
          <w:sz w:val="24"/>
        </w:rPr>
        <w:fldChar w:fldCharType="end"/>
      </w:r>
      <w:r w:rsidRPr="00C81FD9">
        <w:rPr>
          <w:rFonts w:ascii="Times New Roman" w:eastAsia="Calibri" w:hAnsi="Times New Roman" w:cs="Times New Roman"/>
          <w:sz w:val="24"/>
        </w:rPr>
        <w:t xml:space="preserve">. </w:t>
      </w:r>
      <w:r w:rsidRPr="007C0F2B">
        <w:rPr>
          <w:rFonts w:ascii="Times New Roman" w:eastAsia="Calibri" w:hAnsi="Times New Roman" w:cs="Times New Roman"/>
          <w:sz w:val="24"/>
        </w:rPr>
        <w:t xml:space="preserve">But after about 30 days of treatment, increasing PSA levels </w:t>
      </w:r>
      <w:proofErr w:type="spellStart"/>
      <w:r w:rsidRPr="007C0F2B">
        <w:rPr>
          <w:rFonts w:ascii="Times New Roman" w:eastAsia="Calibri" w:hAnsi="Times New Roman" w:cs="Times New Roman"/>
          <w:sz w:val="24"/>
        </w:rPr>
        <w:t>signaled</w:t>
      </w:r>
      <w:proofErr w:type="spellEnd"/>
      <w:r w:rsidRPr="007C0F2B">
        <w:rPr>
          <w:rFonts w:ascii="Times New Roman" w:eastAsia="Calibri" w:hAnsi="Times New Roman" w:cs="Times New Roman"/>
          <w:sz w:val="24"/>
        </w:rPr>
        <w:t xml:space="preserve"> AZD5363 resistance. It was discovered that AZD5363 enhanced AR transcriptional activity, AR binding to androgen response elements, and AR-dependent gene expression, including PSA and NKX3.1</w:t>
      </w:r>
      <w:r>
        <w:rPr>
          <w:rFonts w:ascii="Times New Roman" w:eastAsia="Calibri" w:hAnsi="Times New Roman" w:cs="Times New Roman"/>
          <w:sz w:val="24"/>
        </w:rPr>
        <w:t xml:space="preserve"> </w:t>
      </w:r>
      <w:r>
        <w:rPr>
          <w:rFonts w:ascii="Times New Roman" w:eastAsia="Calibri" w:hAnsi="Times New Roman" w:cs="Times New Roman"/>
          <w:sz w:val="24"/>
        </w:rPr>
        <w:fldChar w:fldCharType="begin"/>
      </w:r>
      <w:r w:rsidR="00316921">
        <w:rPr>
          <w:rFonts w:ascii="Times New Roman" w:eastAsia="Calibri" w:hAnsi="Times New Roman" w:cs="Times New Roman"/>
          <w:sz w:val="24"/>
        </w:rPr>
        <w:instrText xml:space="preserve"> ADDIN ZOTERO_ITEM CSL_CITATION {"citationID":"H81y9VED","properties":{"formattedCitation":"(Thomas et al., 2013)","plainCitation":"(Thomas et al., 2013)","noteIndex":0},"citationItems":[{"id":196,"uris":["http://zotero.org/users/local/7J0d6nia/items/GUDKTAFS","http://zotero.org/users/11300200/items/GUDKTAFS"],"itemData":{"id":196,"type":"article-journal","abstract":"Abstract\n            The progression to castration-resistant prostate cancer (CRPC) correlates with gain-of-function of the androgen receptor (AR) and activation of AKT. However, as single agents, AR or AKT inhibitors result in a reciprocal feedback loop. Therefore, we hypothesized that combination of an AKT inhibitor with an antiandrogen might result in a more profound, long-lasting remission of CRPC. Here, we report that the AKT inhibitor AZD5363 potently inhibits proliferation and induces apoptosis in prostate cancer cell lines expressing the AR and has anticancer activity in vivo in androgen-sensitive and castration-resistant phases of the LNCaP xenograft model. However, we found that the effect of castration-resistant tumor growth inhibition and prostate-specific antigen (PSA) stabilization is transient and resistance occurs with increasing PSA after approximately 30 days of treatment. Mechanistically, we found that single agent AZD5363 induces increase of AR binding to androgen response element, AR transcriptional activity, and AR-dependent genes such as PSA and NKX3.1 expression. These effects were overcome by the combination of AZD5363 with the antiandrogen bicalutamide, resulting in synergistic inhibition of cell proliferation and induction of apoptosis in vitro, and prolongation of tumor growth inhibition and PSA stabilization in CRPC in vivo. This study provides a preclinical proof-of-concept that combination of an AKT inhibitor with antiandrogen results in prolonged disease stabilization in a model of CRPC. Mol Cancer Ther; 12(11); 2342–55. ©2013 AACR.","container-title":"Molecular Cancer Therapeutics","DOI":"10.1158/1535-7163.MCT-13-0032","ISSN":"1535-7163, 1538-8514","issue":"11","language":"en","page":"2342-2355","source":"DOI.org (Crossref)","title":"Synergistic Targeting of PI3K/AKT Pathway and Androgen Receptor Axis Significantly Delays Castration-Resistant Prostate Cancer Progression &lt;i&gt;In Vivo&lt;/i&gt;","volume":"12","author":[{"family":"Thomas","given":"Christian"},{"family":"Lamoureux","given":"Francois"},{"family":"Crafter","given":"Claire"},{"family":"Davies","given":"Barry R."},{"family":"Beraldi","given":"Eliana"},{"family":"Fazli","given":"Ladan"},{"family":"Kim","given":"Soojin"},{"family":"Thaper","given":"Daksh"},{"family":"Gleave","given":"Martin E."},{"family":"Zoubeidi","given":"Amina"}],"issued":{"date-parts":[["2013",11,1]]}}}],"schema":"https://github.com/citation-style-language/schema/raw/master/csl-citation.json"} </w:instrText>
      </w:r>
      <w:r>
        <w:rPr>
          <w:rFonts w:ascii="Times New Roman" w:eastAsia="Calibri" w:hAnsi="Times New Roman" w:cs="Times New Roman"/>
          <w:sz w:val="24"/>
        </w:rPr>
        <w:fldChar w:fldCharType="separate"/>
      </w:r>
      <w:r w:rsidR="00167D83" w:rsidRPr="00167D83">
        <w:rPr>
          <w:rFonts w:ascii="Times New Roman" w:hAnsi="Times New Roman" w:cs="Times New Roman"/>
          <w:sz w:val="24"/>
        </w:rPr>
        <w:t>(Thomas et al., 2013)</w:t>
      </w:r>
      <w:r>
        <w:rPr>
          <w:rFonts w:ascii="Times New Roman" w:eastAsia="Calibri" w:hAnsi="Times New Roman" w:cs="Times New Roman"/>
          <w:sz w:val="24"/>
        </w:rPr>
        <w:fldChar w:fldCharType="end"/>
      </w:r>
      <w:r w:rsidRPr="00C81FD9">
        <w:rPr>
          <w:rFonts w:ascii="Times New Roman" w:eastAsia="Calibri" w:hAnsi="Times New Roman" w:cs="Times New Roman"/>
          <w:sz w:val="24"/>
        </w:rPr>
        <w:t xml:space="preserve">. </w:t>
      </w:r>
      <w:r w:rsidRPr="007C0F2B">
        <w:rPr>
          <w:rFonts w:ascii="Times New Roman" w:eastAsia="Calibri" w:hAnsi="Times New Roman" w:cs="Times New Roman"/>
          <w:sz w:val="24"/>
        </w:rPr>
        <w:t xml:space="preserve">Combining AZD5363 with the </w:t>
      </w:r>
      <w:proofErr w:type="spellStart"/>
      <w:r w:rsidRPr="007C0F2B">
        <w:rPr>
          <w:rFonts w:ascii="Times New Roman" w:eastAsia="Calibri" w:hAnsi="Times New Roman" w:cs="Times New Roman"/>
          <w:sz w:val="24"/>
        </w:rPr>
        <w:t>antiandrogen</w:t>
      </w:r>
      <w:proofErr w:type="spellEnd"/>
      <w:r w:rsidRPr="007C0F2B">
        <w:rPr>
          <w:rFonts w:ascii="Times New Roman" w:eastAsia="Calibri" w:hAnsi="Times New Roman" w:cs="Times New Roman"/>
          <w:sz w:val="24"/>
        </w:rPr>
        <w:t xml:space="preserve"> </w:t>
      </w:r>
      <w:proofErr w:type="spellStart"/>
      <w:r w:rsidRPr="007C0F2B">
        <w:rPr>
          <w:rFonts w:ascii="Times New Roman" w:eastAsia="Calibri" w:hAnsi="Times New Roman" w:cs="Times New Roman"/>
          <w:sz w:val="24"/>
        </w:rPr>
        <w:t>bicalutamide</w:t>
      </w:r>
      <w:proofErr w:type="spellEnd"/>
      <w:r w:rsidRPr="007C0F2B">
        <w:rPr>
          <w:rFonts w:ascii="Times New Roman" w:eastAsia="Calibri" w:hAnsi="Times New Roman" w:cs="Times New Roman"/>
          <w:sz w:val="24"/>
        </w:rPr>
        <w:t xml:space="preserve"> prevented these side effects and prolonged the inhibition of </w:t>
      </w:r>
      <w:proofErr w:type="spellStart"/>
      <w:r w:rsidRPr="007C0F2B">
        <w:rPr>
          <w:rFonts w:ascii="Times New Roman" w:eastAsia="Calibri" w:hAnsi="Times New Roman" w:cs="Times New Roman"/>
          <w:sz w:val="24"/>
        </w:rPr>
        <w:t>tumor</w:t>
      </w:r>
      <w:proofErr w:type="spellEnd"/>
      <w:r w:rsidRPr="007C0F2B">
        <w:rPr>
          <w:rFonts w:ascii="Times New Roman" w:eastAsia="Calibri" w:hAnsi="Times New Roman" w:cs="Times New Roman"/>
          <w:sz w:val="24"/>
        </w:rPr>
        <w:t xml:space="preserve"> growth and stabilized PSA in CRPC in vivo.</w:t>
      </w:r>
      <w:r w:rsidRPr="00A055F6">
        <w:t xml:space="preserve"> </w:t>
      </w:r>
      <w:r w:rsidRPr="00A055F6">
        <w:rPr>
          <w:rFonts w:ascii="Times New Roman" w:eastAsia="Calibri" w:hAnsi="Times New Roman" w:cs="Times New Roman"/>
          <w:sz w:val="24"/>
        </w:rPr>
        <w:t>Additionally, in vitro experiments revealed a synergism reduction in cell prepond</w:t>
      </w:r>
      <w:r>
        <w:rPr>
          <w:rFonts w:ascii="Times New Roman" w:eastAsia="Calibri" w:hAnsi="Times New Roman" w:cs="Times New Roman"/>
          <w:sz w:val="24"/>
        </w:rPr>
        <w:t>erance and trigger of apoptosis</w:t>
      </w:r>
      <w:r w:rsidRPr="007C0F2B">
        <w:rPr>
          <w:rFonts w:ascii="Times New Roman" w:eastAsia="Calibri" w:hAnsi="Times New Roman" w:cs="Times New Roman"/>
          <w:sz w:val="24"/>
        </w:rPr>
        <w:t xml:space="preserve"> Synergistic inhibition of cell proliferation and induction of apopto</w:t>
      </w:r>
      <w:r>
        <w:rPr>
          <w:rFonts w:ascii="Times New Roman" w:eastAsia="Calibri" w:hAnsi="Times New Roman" w:cs="Times New Roman"/>
          <w:sz w:val="24"/>
        </w:rPr>
        <w:t xml:space="preserve">sis were also observed in vitro </w:t>
      </w:r>
      <w:r>
        <w:rPr>
          <w:rFonts w:ascii="Times New Roman" w:eastAsia="Calibri" w:hAnsi="Times New Roman" w:cs="Times New Roman"/>
          <w:sz w:val="24"/>
        </w:rPr>
        <w:fldChar w:fldCharType="begin"/>
      </w:r>
      <w:r w:rsidR="00316921">
        <w:rPr>
          <w:rFonts w:ascii="Times New Roman" w:eastAsia="Calibri" w:hAnsi="Times New Roman" w:cs="Times New Roman"/>
          <w:sz w:val="24"/>
        </w:rPr>
        <w:instrText xml:space="preserve"> ADDIN ZOTERO_ITEM CSL_CITATION {"citationID":"J1iZmUDh","properties":{"formattedCitation":"(Toren et al., 2015)","plainCitation":"(Toren et al., 2015)","noteIndex":0},"citationItems":[{"id":195,"uris":["http://zotero.org/users/local/7J0d6nia/items/VAVQ53QT","http://zotero.org/users/11300200/items/VAVQ53QT"],"itemData":{"id":195,"type":"article-journal","container-title":"European Urology","DOI":"10.1016/j.eururo.2014.08.006","ISSN":"03022838","issue":"6","journalAbbreviation":"European Urology","language":"en","page":"986-990","source":"DOI.org (Crossref)","title":"Combination AZD5363 with Enzalutamide Significantly Delays Enzalutamide-resistant Prostate Cancer in Preclinical Models","volume":"67","author":[{"family":"Toren","given":"Paul"},{"family":"Kim","given":"Soojin"},{"family":"Cordonnier","given":"Thomas"},{"family":"Crafter","given":"Claire"},{"family":"Davies","given":"Barry R."},{"family":"Fazli","given":"Ladan"},{"family":"Gleave","given":"Martin E."},{"family":"Zoubeidi","given":"Amina"}],"issued":{"date-parts":[["2015",6]]}}}],"schema":"https://github.com/citation-style-language/schema/raw/master/csl-citation.json"} </w:instrText>
      </w:r>
      <w:r>
        <w:rPr>
          <w:rFonts w:ascii="Times New Roman" w:eastAsia="Calibri" w:hAnsi="Times New Roman" w:cs="Times New Roman"/>
          <w:sz w:val="24"/>
        </w:rPr>
        <w:fldChar w:fldCharType="separate"/>
      </w:r>
      <w:r w:rsidR="00167D83" w:rsidRPr="00167D83">
        <w:rPr>
          <w:rFonts w:ascii="Times New Roman" w:hAnsi="Times New Roman" w:cs="Times New Roman"/>
          <w:sz w:val="24"/>
        </w:rPr>
        <w:t>(Toren et al., 2015)</w:t>
      </w:r>
      <w:r>
        <w:rPr>
          <w:rFonts w:ascii="Times New Roman" w:eastAsia="Calibri" w:hAnsi="Times New Roman" w:cs="Times New Roman"/>
          <w:sz w:val="24"/>
        </w:rPr>
        <w:fldChar w:fldCharType="end"/>
      </w:r>
      <w:r w:rsidRPr="00C81FD9">
        <w:rPr>
          <w:rFonts w:ascii="Times New Roman" w:eastAsia="Calibri" w:hAnsi="Times New Roman" w:cs="Times New Roman"/>
          <w:sz w:val="24"/>
        </w:rPr>
        <w:t xml:space="preserve">. </w:t>
      </w:r>
      <w:r w:rsidRPr="000E0F7E">
        <w:rPr>
          <w:rFonts w:ascii="Times New Roman" w:eastAsia="Calibri" w:hAnsi="Times New Roman" w:cs="Times New Roman"/>
          <w:sz w:val="24"/>
          <w:szCs w:val="24"/>
        </w:rPr>
        <w:t xml:space="preserve">Another approach is to target both AR and PI3K pathways with a single drug. For example, a novel drug called AZD5363 has been developed that inhibits both PI3K and AKT, a downstream effector of PI3K, as well as AR </w:t>
      </w:r>
      <w:proofErr w:type="spellStart"/>
      <w:r w:rsidRPr="000E0F7E">
        <w:rPr>
          <w:rFonts w:ascii="Times New Roman" w:eastAsia="Calibri" w:hAnsi="Times New Roman" w:cs="Times New Roman"/>
          <w:sz w:val="24"/>
          <w:szCs w:val="24"/>
        </w:rPr>
        <w:t>signaling</w:t>
      </w:r>
      <w:proofErr w:type="spellEnd"/>
      <w:r w:rsidRPr="000E0F7E">
        <w:rPr>
          <w:rFonts w:ascii="Times New Roman" w:eastAsia="Calibri" w:hAnsi="Times New Roman" w:cs="Times New Roman"/>
          <w:sz w:val="24"/>
          <w:szCs w:val="24"/>
        </w:rPr>
        <w:t xml:space="preserve">. </w:t>
      </w:r>
      <w:r w:rsidR="000B22BC" w:rsidRPr="000B22BC">
        <w:rPr>
          <w:rFonts w:ascii="Times New Roman" w:eastAsia="Calibri" w:hAnsi="Times New Roman" w:cs="Times New Roman"/>
          <w:sz w:val="24"/>
          <w:szCs w:val="24"/>
          <w:lang w:val="en-US"/>
        </w:rPr>
        <w:t>This medication is presently being assessed in clinical trials after demonstrating encouraging outcomes in preclinical research.</w:t>
      </w:r>
    </w:p>
    <w:p w:rsidR="0045562E" w:rsidRPr="00647351" w:rsidRDefault="0045562E" w:rsidP="0045562E">
      <w:pPr>
        <w:pStyle w:val="MDPI41tablecaption"/>
        <w:spacing w:line="240" w:lineRule="auto"/>
        <w:ind w:left="0" w:firstLine="510"/>
        <w:rPr>
          <w:rFonts w:ascii="Times New Roman" w:hAnsi="Times New Roman" w:cs="Times New Roman"/>
          <w:sz w:val="24"/>
          <w:szCs w:val="24"/>
        </w:rPr>
      </w:pPr>
      <w:r w:rsidRPr="00647351">
        <w:rPr>
          <w:rFonts w:ascii="Times New Roman" w:hAnsi="Times New Roman" w:cs="Times New Roman"/>
          <w:b/>
          <w:sz w:val="24"/>
          <w:szCs w:val="24"/>
        </w:rPr>
        <w:t xml:space="preserve">Table 1. </w:t>
      </w:r>
      <w:r w:rsidRPr="00647351">
        <w:rPr>
          <w:rFonts w:ascii="Times New Roman" w:hAnsi="Times New Roman" w:cs="Times New Roman"/>
          <w:sz w:val="24"/>
          <w:szCs w:val="24"/>
        </w:rPr>
        <w:t>Combination therapies targeting AR and PI3K/AKT/</w:t>
      </w:r>
      <w:proofErr w:type="spellStart"/>
      <w:r w:rsidRPr="00647351">
        <w:rPr>
          <w:rFonts w:ascii="Times New Roman" w:hAnsi="Times New Roman" w:cs="Times New Roman"/>
          <w:sz w:val="24"/>
          <w:szCs w:val="24"/>
        </w:rPr>
        <w:t>mTOR</w:t>
      </w:r>
      <w:proofErr w:type="spellEnd"/>
      <w:r w:rsidRPr="00647351">
        <w:rPr>
          <w:rFonts w:ascii="Times New Roman" w:hAnsi="Times New Roman" w:cs="Times New Roman"/>
          <w:sz w:val="24"/>
          <w:szCs w:val="24"/>
        </w:rPr>
        <w:t xml:space="preserve"> pathways</w:t>
      </w:r>
    </w:p>
    <w:tbl>
      <w:tblPr>
        <w:tblW w:w="9640" w:type="dxa"/>
        <w:jc w:val="center"/>
        <w:tblBorders>
          <w:top w:val="single" w:sz="12"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1701"/>
        <w:gridCol w:w="1559"/>
        <w:gridCol w:w="1701"/>
        <w:gridCol w:w="1843"/>
        <w:gridCol w:w="1276"/>
      </w:tblGrid>
      <w:tr w:rsidR="0045562E" w:rsidRPr="00647351" w:rsidTr="000B7921">
        <w:trPr>
          <w:jc w:val="center"/>
        </w:trPr>
        <w:tc>
          <w:tcPr>
            <w:tcW w:w="1560" w:type="dxa"/>
            <w:tcBorders>
              <w:top w:val="single" w:sz="12" w:space="0" w:color="auto"/>
              <w:bottom w:val="single" w:sz="12" w:space="0" w:color="auto"/>
            </w:tcBorders>
            <w:shd w:val="clear" w:color="auto" w:fill="auto"/>
            <w:vAlign w:val="center"/>
          </w:tcPr>
          <w:p w:rsidR="0045562E" w:rsidRPr="00647351" w:rsidRDefault="0045562E" w:rsidP="00045D89">
            <w:pPr>
              <w:pStyle w:val="MDPI42tablebody"/>
              <w:spacing w:line="240" w:lineRule="auto"/>
              <w:rPr>
                <w:rFonts w:ascii="Times New Roman" w:hAnsi="Times New Roman"/>
                <w:b/>
                <w:bCs/>
                <w:sz w:val="24"/>
                <w:szCs w:val="24"/>
              </w:rPr>
            </w:pPr>
            <w:r w:rsidRPr="00647351">
              <w:rPr>
                <w:rFonts w:ascii="Times New Roman" w:hAnsi="Times New Roman"/>
                <w:b/>
                <w:bCs/>
                <w:sz w:val="24"/>
                <w:szCs w:val="24"/>
              </w:rPr>
              <w:t>Target</w:t>
            </w:r>
          </w:p>
        </w:tc>
        <w:tc>
          <w:tcPr>
            <w:tcW w:w="1701" w:type="dxa"/>
            <w:tcBorders>
              <w:top w:val="single" w:sz="12" w:space="0" w:color="auto"/>
              <w:bottom w:val="single" w:sz="12" w:space="0" w:color="auto"/>
            </w:tcBorders>
            <w:shd w:val="clear" w:color="auto" w:fill="auto"/>
            <w:vAlign w:val="center"/>
          </w:tcPr>
          <w:p w:rsidR="0045562E" w:rsidRPr="00647351" w:rsidRDefault="0045562E" w:rsidP="00045D89">
            <w:pPr>
              <w:pStyle w:val="MDPI42tablebody"/>
              <w:spacing w:line="240" w:lineRule="auto"/>
              <w:rPr>
                <w:rFonts w:ascii="Times New Roman" w:hAnsi="Times New Roman"/>
                <w:b/>
                <w:bCs/>
                <w:sz w:val="24"/>
                <w:szCs w:val="24"/>
              </w:rPr>
            </w:pPr>
            <w:r w:rsidRPr="00647351">
              <w:rPr>
                <w:rFonts w:ascii="Times New Roman" w:hAnsi="Times New Roman"/>
                <w:b/>
                <w:bCs/>
                <w:sz w:val="24"/>
                <w:szCs w:val="24"/>
              </w:rPr>
              <w:t>Agent</w:t>
            </w:r>
          </w:p>
        </w:tc>
        <w:tc>
          <w:tcPr>
            <w:tcW w:w="1559" w:type="dxa"/>
            <w:tcBorders>
              <w:top w:val="single" w:sz="12" w:space="0" w:color="auto"/>
              <w:bottom w:val="single" w:sz="12" w:space="0" w:color="auto"/>
            </w:tcBorders>
            <w:shd w:val="clear" w:color="auto" w:fill="auto"/>
            <w:vAlign w:val="center"/>
            <w:hideMark/>
          </w:tcPr>
          <w:p w:rsidR="0045562E" w:rsidRPr="00647351" w:rsidRDefault="0045562E" w:rsidP="00045D89">
            <w:pPr>
              <w:pStyle w:val="MDPI42tablebody"/>
              <w:spacing w:line="240" w:lineRule="auto"/>
              <w:rPr>
                <w:rFonts w:ascii="Times New Roman" w:hAnsi="Times New Roman"/>
                <w:b/>
                <w:bCs/>
                <w:sz w:val="24"/>
                <w:szCs w:val="24"/>
              </w:rPr>
            </w:pPr>
            <w:r w:rsidRPr="00647351">
              <w:rPr>
                <w:rFonts w:ascii="Times New Roman" w:hAnsi="Times New Roman"/>
                <w:b/>
                <w:bCs/>
                <w:sz w:val="24"/>
                <w:szCs w:val="24"/>
              </w:rPr>
              <w:t>Phase</w:t>
            </w:r>
          </w:p>
        </w:tc>
        <w:tc>
          <w:tcPr>
            <w:tcW w:w="1701" w:type="dxa"/>
            <w:tcBorders>
              <w:top w:val="single" w:sz="12" w:space="0" w:color="auto"/>
              <w:bottom w:val="single" w:sz="12" w:space="0" w:color="auto"/>
            </w:tcBorders>
          </w:tcPr>
          <w:p w:rsidR="0045562E" w:rsidRPr="00647351" w:rsidRDefault="0045562E" w:rsidP="00045D89">
            <w:pPr>
              <w:pStyle w:val="MDPI42tablebody"/>
              <w:spacing w:line="240" w:lineRule="auto"/>
              <w:rPr>
                <w:rFonts w:ascii="Times New Roman" w:hAnsi="Times New Roman"/>
                <w:b/>
                <w:bCs/>
                <w:sz w:val="24"/>
                <w:szCs w:val="24"/>
              </w:rPr>
            </w:pPr>
            <w:r w:rsidRPr="00647351">
              <w:rPr>
                <w:rFonts w:ascii="Times New Roman" w:hAnsi="Times New Roman"/>
                <w:b/>
                <w:bCs/>
                <w:sz w:val="24"/>
                <w:szCs w:val="24"/>
              </w:rPr>
              <w:t>Administration</w:t>
            </w:r>
          </w:p>
        </w:tc>
        <w:tc>
          <w:tcPr>
            <w:tcW w:w="1843" w:type="dxa"/>
            <w:tcBorders>
              <w:top w:val="single" w:sz="12" w:space="0" w:color="auto"/>
              <w:bottom w:val="single" w:sz="12" w:space="0" w:color="auto"/>
            </w:tcBorders>
            <w:shd w:val="clear" w:color="auto" w:fill="auto"/>
            <w:vAlign w:val="center"/>
          </w:tcPr>
          <w:p w:rsidR="0045562E" w:rsidRPr="00647351" w:rsidRDefault="0045562E" w:rsidP="00045D89">
            <w:pPr>
              <w:pStyle w:val="MDPI42tablebody"/>
              <w:spacing w:line="240" w:lineRule="auto"/>
              <w:rPr>
                <w:rFonts w:ascii="Times New Roman" w:hAnsi="Times New Roman"/>
                <w:b/>
                <w:bCs/>
                <w:sz w:val="24"/>
                <w:szCs w:val="24"/>
              </w:rPr>
            </w:pPr>
            <w:r w:rsidRPr="00647351">
              <w:rPr>
                <w:rFonts w:ascii="Times New Roman" w:hAnsi="Times New Roman"/>
                <w:b/>
                <w:bCs/>
                <w:sz w:val="24"/>
                <w:szCs w:val="24"/>
              </w:rPr>
              <w:t>Condition</w:t>
            </w:r>
          </w:p>
        </w:tc>
        <w:tc>
          <w:tcPr>
            <w:tcW w:w="1276" w:type="dxa"/>
            <w:tcBorders>
              <w:top w:val="single" w:sz="12" w:space="0" w:color="auto"/>
              <w:bottom w:val="single" w:sz="12" w:space="0" w:color="auto"/>
            </w:tcBorders>
          </w:tcPr>
          <w:p w:rsidR="0045562E" w:rsidRPr="00647351" w:rsidRDefault="0045562E" w:rsidP="00045D89">
            <w:pPr>
              <w:pStyle w:val="MDPI42tablebody"/>
              <w:spacing w:line="240" w:lineRule="auto"/>
              <w:rPr>
                <w:rFonts w:ascii="Times New Roman" w:hAnsi="Times New Roman"/>
                <w:b/>
                <w:bCs/>
                <w:sz w:val="24"/>
                <w:szCs w:val="24"/>
              </w:rPr>
            </w:pPr>
            <w:r w:rsidRPr="00647351">
              <w:rPr>
                <w:rFonts w:ascii="Times New Roman" w:hAnsi="Times New Roman"/>
                <w:b/>
                <w:bCs/>
                <w:sz w:val="24"/>
                <w:szCs w:val="24"/>
              </w:rPr>
              <w:t>I.D on Clinicaltrial.gov</w:t>
            </w:r>
          </w:p>
        </w:tc>
      </w:tr>
      <w:tr w:rsidR="0045562E" w:rsidRPr="00647351" w:rsidTr="000B7921">
        <w:trPr>
          <w:jc w:val="center"/>
        </w:trPr>
        <w:tc>
          <w:tcPr>
            <w:tcW w:w="1560" w:type="dxa"/>
            <w:vMerge w:val="restart"/>
            <w:tcBorders>
              <w:top w:val="single" w:sz="12" w:space="0" w:color="auto"/>
            </w:tcBorders>
            <w:shd w:val="clear" w:color="auto" w:fill="auto"/>
            <w:vAlign w:val="center"/>
            <w:hideMark/>
          </w:tcPr>
          <w:p w:rsidR="0045562E" w:rsidRPr="00647351" w:rsidRDefault="0045562E" w:rsidP="00045D89">
            <w:pPr>
              <w:pStyle w:val="MDPI42tablebody"/>
              <w:spacing w:line="240" w:lineRule="auto"/>
              <w:rPr>
                <w:rFonts w:ascii="Times New Roman" w:hAnsi="Times New Roman"/>
                <w:sz w:val="24"/>
                <w:szCs w:val="24"/>
              </w:rPr>
            </w:pPr>
            <w:r w:rsidRPr="00647351">
              <w:rPr>
                <w:rFonts w:ascii="Times New Roman" w:hAnsi="Times New Roman"/>
                <w:sz w:val="24"/>
                <w:szCs w:val="24"/>
              </w:rPr>
              <w:t>AKT</w:t>
            </w:r>
          </w:p>
        </w:tc>
        <w:tc>
          <w:tcPr>
            <w:tcW w:w="1701" w:type="dxa"/>
            <w:tcBorders>
              <w:top w:val="single" w:sz="12" w:space="0" w:color="auto"/>
            </w:tcBorders>
            <w:shd w:val="clear" w:color="auto" w:fill="auto"/>
            <w:vAlign w:val="center"/>
            <w:hideMark/>
          </w:tcPr>
          <w:p w:rsidR="0045562E" w:rsidRPr="00647351" w:rsidRDefault="0045562E" w:rsidP="00045D89">
            <w:pPr>
              <w:pStyle w:val="MDPI42tablebody"/>
              <w:spacing w:line="240" w:lineRule="auto"/>
              <w:rPr>
                <w:rFonts w:ascii="Times New Roman" w:hAnsi="Times New Roman"/>
                <w:sz w:val="24"/>
                <w:szCs w:val="24"/>
              </w:rPr>
            </w:pPr>
            <w:r w:rsidRPr="00647351">
              <w:rPr>
                <w:rFonts w:ascii="Times New Roman" w:hAnsi="Times New Roman"/>
                <w:sz w:val="24"/>
                <w:szCs w:val="24"/>
              </w:rPr>
              <w:t>AZD5363</w:t>
            </w:r>
          </w:p>
        </w:tc>
        <w:tc>
          <w:tcPr>
            <w:tcW w:w="1559" w:type="dxa"/>
            <w:tcBorders>
              <w:top w:val="single" w:sz="12" w:space="0" w:color="auto"/>
            </w:tcBorders>
            <w:vAlign w:val="bottom"/>
          </w:tcPr>
          <w:p w:rsidR="0045562E" w:rsidRPr="00647351" w:rsidRDefault="0045562E" w:rsidP="00045D89">
            <w:pPr>
              <w:spacing w:line="240" w:lineRule="auto"/>
              <w:ind w:left="10"/>
              <w:jc w:val="center"/>
              <w:rPr>
                <w:rFonts w:ascii="Times New Roman" w:eastAsia="Arial" w:hAnsi="Times New Roman"/>
                <w:sz w:val="24"/>
                <w:szCs w:val="24"/>
              </w:rPr>
            </w:pPr>
            <w:r w:rsidRPr="00647351">
              <w:rPr>
                <w:rFonts w:ascii="Times New Roman" w:eastAsia="Arial" w:hAnsi="Times New Roman"/>
                <w:sz w:val="24"/>
                <w:szCs w:val="24"/>
              </w:rPr>
              <w:t>III</w:t>
            </w:r>
          </w:p>
        </w:tc>
        <w:tc>
          <w:tcPr>
            <w:tcW w:w="1701" w:type="dxa"/>
            <w:tcBorders>
              <w:top w:val="single" w:sz="12" w:space="0" w:color="auto"/>
            </w:tcBorders>
            <w:vAlign w:val="bottom"/>
          </w:tcPr>
          <w:p w:rsidR="0045562E" w:rsidRPr="00647351" w:rsidRDefault="0045562E" w:rsidP="00045D89">
            <w:pPr>
              <w:spacing w:line="240" w:lineRule="auto"/>
              <w:ind w:left="10"/>
              <w:jc w:val="center"/>
              <w:rPr>
                <w:rFonts w:ascii="Times New Roman" w:eastAsia="Arial" w:hAnsi="Times New Roman"/>
                <w:w w:val="96"/>
                <w:sz w:val="24"/>
                <w:szCs w:val="24"/>
              </w:rPr>
            </w:pPr>
            <w:proofErr w:type="spellStart"/>
            <w:r w:rsidRPr="00647351">
              <w:rPr>
                <w:rFonts w:ascii="Times New Roman" w:eastAsia="Arial" w:hAnsi="Times New Roman"/>
                <w:w w:val="96"/>
                <w:sz w:val="24"/>
                <w:szCs w:val="24"/>
              </w:rPr>
              <w:t>Docetaxel</w:t>
            </w:r>
            <w:proofErr w:type="spellEnd"/>
          </w:p>
        </w:tc>
        <w:tc>
          <w:tcPr>
            <w:tcW w:w="1843" w:type="dxa"/>
            <w:tcBorders>
              <w:top w:val="single" w:sz="12" w:space="0" w:color="auto"/>
            </w:tcBorders>
            <w:vAlign w:val="bottom"/>
          </w:tcPr>
          <w:p w:rsidR="0045562E" w:rsidRPr="00647351" w:rsidRDefault="0045562E" w:rsidP="00045D89">
            <w:pPr>
              <w:spacing w:line="240" w:lineRule="auto"/>
              <w:jc w:val="center"/>
              <w:rPr>
                <w:rFonts w:ascii="Times New Roman" w:eastAsia="Arial" w:hAnsi="Times New Roman"/>
                <w:w w:val="97"/>
                <w:sz w:val="24"/>
                <w:szCs w:val="24"/>
              </w:rPr>
            </w:pPr>
            <w:proofErr w:type="spellStart"/>
            <w:r w:rsidRPr="00647351">
              <w:rPr>
                <w:rFonts w:ascii="Times New Roman" w:eastAsia="Arial" w:hAnsi="Times New Roman"/>
                <w:w w:val="97"/>
                <w:sz w:val="24"/>
                <w:szCs w:val="24"/>
              </w:rPr>
              <w:t>mCRPC</w:t>
            </w:r>
            <w:proofErr w:type="spellEnd"/>
          </w:p>
        </w:tc>
        <w:tc>
          <w:tcPr>
            <w:tcW w:w="1276" w:type="dxa"/>
            <w:tcBorders>
              <w:top w:val="single" w:sz="12" w:space="0" w:color="auto"/>
            </w:tcBorders>
            <w:vAlign w:val="bottom"/>
          </w:tcPr>
          <w:p w:rsidR="0045562E" w:rsidRPr="00647351" w:rsidRDefault="0045562E" w:rsidP="00045D89">
            <w:pPr>
              <w:spacing w:line="240" w:lineRule="auto"/>
              <w:jc w:val="center"/>
              <w:rPr>
                <w:rFonts w:ascii="Times New Roman" w:eastAsia="Arial" w:hAnsi="Times New Roman"/>
                <w:sz w:val="24"/>
                <w:szCs w:val="24"/>
              </w:rPr>
            </w:pPr>
            <w:r w:rsidRPr="00647351">
              <w:rPr>
                <w:rFonts w:ascii="Times New Roman" w:eastAsia="Arial" w:hAnsi="Times New Roman"/>
                <w:sz w:val="24"/>
                <w:szCs w:val="24"/>
              </w:rPr>
              <w:t>NCT05348577</w:t>
            </w:r>
          </w:p>
        </w:tc>
      </w:tr>
      <w:tr w:rsidR="0045562E" w:rsidRPr="00647351" w:rsidTr="000B7921">
        <w:trPr>
          <w:jc w:val="center"/>
        </w:trPr>
        <w:tc>
          <w:tcPr>
            <w:tcW w:w="1560" w:type="dxa"/>
            <w:vMerge/>
            <w:shd w:val="clear" w:color="auto" w:fill="auto"/>
            <w:vAlign w:val="center"/>
            <w:hideMark/>
          </w:tcPr>
          <w:p w:rsidR="0045562E" w:rsidRPr="00647351" w:rsidRDefault="0045562E" w:rsidP="00045D89">
            <w:pPr>
              <w:pStyle w:val="MDPI42tablebody"/>
              <w:spacing w:line="240" w:lineRule="auto"/>
              <w:rPr>
                <w:rFonts w:ascii="Times New Roman" w:hAnsi="Times New Roman"/>
                <w:sz w:val="24"/>
                <w:szCs w:val="24"/>
              </w:rPr>
            </w:pPr>
          </w:p>
        </w:tc>
        <w:tc>
          <w:tcPr>
            <w:tcW w:w="1701" w:type="dxa"/>
            <w:shd w:val="clear" w:color="auto" w:fill="auto"/>
            <w:vAlign w:val="center"/>
            <w:hideMark/>
          </w:tcPr>
          <w:p w:rsidR="0045562E" w:rsidRPr="00647351" w:rsidRDefault="0045562E" w:rsidP="00045D89">
            <w:pPr>
              <w:pStyle w:val="MDPI42tablebody"/>
              <w:spacing w:line="240" w:lineRule="auto"/>
              <w:rPr>
                <w:rFonts w:ascii="Times New Roman" w:hAnsi="Times New Roman"/>
                <w:sz w:val="24"/>
                <w:szCs w:val="24"/>
              </w:rPr>
            </w:pPr>
            <w:r w:rsidRPr="00647351">
              <w:rPr>
                <w:rFonts w:ascii="Times New Roman" w:hAnsi="Times New Roman"/>
                <w:sz w:val="24"/>
                <w:szCs w:val="24"/>
              </w:rPr>
              <w:t>MK2206</w:t>
            </w:r>
          </w:p>
        </w:tc>
        <w:tc>
          <w:tcPr>
            <w:tcW w:w="1559" w:type="dxa"/>
            <w:vAlign w:val="bottom"/>
          </w:tcPr>
          <w:p w:rsidR="0045562E" w:rsidRPr="00647351" w:rsidRDefault="0045562E" w:rsidP="00045D89">
            <w:pPr>
              <w:spacing w:line="240" w:lineRule="auto"/>
              <w:ind w:left="30"/>
              <w:jc w:val="center"/>
              <w:rPr>
                <w:rFonts w:ascii="Times New Roman" w:eastAsia="Arial" w:hAnsi="Times New Roman"/>
                <w:sz w:val="24"/>
                <w:szCs w:val="24"/>
              </w:rPr>
            </w:pPr>
            <w:r w:rsidRPr="00647351">
              <w:rPr>
                <w:rFonts w:ascii="Times New Roman" w:eastAsia="Arial" w:hAnsi="Times New Roman"/>
                <w:sz w:val="24"/>
                <w:szCs w:val="24"/>
              </w:rPr>
              <w:t>II</w:t>
            </w:r>
          </w:p>
        </w:tc>
        <w:tc>
          <w:tcPr>
            <w:tcW w:w="1701" w:type="dxa"/>
            <w:vAlign w:val="bottom"/>
          </w:tcPr>
          <w:p w:rsidR="0045562E" w:rsidRPr="00647351" w:rsidRDefault="0045562E" w:rsidP="00045D89">
            <w:pPr>
              <w:spacing w:line="240" w:lineRule="auto"/>
              <w:ind w:left="30"/>
              <w:jc w:val="center"/>
              <w:rPr>
                <w:rFonts w:ascii="Times New Roman" w:eastAsia="Arial" w:hAnsi="Times New Roman"/>
                <w:sz w:val="24"/>
                <w:szCs w:val="24"/>
              </w:rPr>
            </w:pPr>
            <w:proofErr w:type="spellStart"/>
            <w:r w:rsidRPr="00647351">
              <w:rPr>
                <w:rFonts w:ascii="Times New Roman" w:eastAsia="Arial" w:hAnsi="Times New Roman"/>
                <w:sz w:val="24"/>
                <w:szCs w:val="24"/>
              </w:rPr>
              <w:t>Bicalutamide</w:t>
            </w:r>
            <w:proofErr w:type="spellEnd"/>
          </w:p>
        </w:tc>
        <w:tc>
          <w:tcPr>
            <w:tcW w:w="1843" w:type="dxa"/>
            <w:vAlign w:val="bottom"/>
          </w:tcPr>
          <w:p w:rsidR="0045562E" w:rsidRPr="00647351" w:rsidRDefault="0045562E" w:rsidP="00045D89">
            <w:pPr>
              <w:spacing w:line="240" w:lineRule="auto"/>
              <w:jc w:val="center"/>
              <w:rPr>
                <w:rFonts w:ascii="Times New Roman" w:eastAsia="Arial" w:hAnsi="Times New Roman"/>
                <w:sz w:val="24"/>
                <w:szCs w:val="24"/>
              </w:rPr>
            </w:pPr>
            <w:r w:rsidRPr="00647351">
              <w:rPr>
                <w:rFonts w:ascii="Times New Roman" w:eastAsia="Arial" w:hAnsi="Times New Roman"/>
                <w:sz w:val="24"/>
                <w:szCs w:val="24"/>
              </w:rPr>
              <w:t>High-Risk of Progression</w:t>
            </w:r>
          </w:p>
        </w:tc>
        <w:tc>
          <w:tcPr>
            <w:tcW w:w="1276" w:type="dxa"/>
            <w:vAlign w:val="bottom"/>
          </w:tcPr>
          <w:p w:rsidR="0045562E" w:rsidRPr="00647351" w:rsidRDefault="0045562E" w:rsidP="00045D89">
            <w:pPr>
              <w:spacing w:line="240" w:lineRule="auto"/>
              <w:ind w:left="30"/>
              <w:jc w:val="center"/>
              <w:rPr>
                <w:rFonts w:ascii="Times New Roman" w:eastAsia="Arial" w:hAnsi="Times New Roman"/>
                <w:sz w:val="24"/>
                <w:szCs w:val="24"/>
              </w:rPr>
            </w:pPr>
            <w:r w:rsidRPr="00647351">
              <w:rPr>
                <w:rFonts w:ascii="Times New Roman" w:eastAsia="Arial" w:hAnsi="Times New Roman"/>
                <w:sz w:val="24"/>
                <w:szCs w:val="24"/>
              </w:rPr>
              <w:t>NCT01251861</w:t>
            </w:r>
          </w:p>
        </w:tc>
      </w:tr>
      <w:tr w:rsidR="0045562E" w:rsidRPr="00647351" w:rsidTr="000B7921">
        <w:trPr>
          <w:trHeight w:val="636"/>
          <w:jc w:val="center"/>
        </w:trPr>
        <w:tc>
          <w:tcPr>
            <w:tcW w:w="1560" w:type="dxa"/>
            <w:vMerge/>
            <w:shd w:val="clear" w:color="auto" w:fill="auto"/>
            <w:vAlign w:val="center"/>
          </w:tcPr>
          <w:p w:rsidR="0045562E" w:rsidRPr="00647351" w:rsidRDefault="0045562E" w:rsidP="00045D89">
            <w:pPr>
              <w:pStyle w:val="MDPI42tablebody"/>
              <w:spacing w:line="240" w:lineRule="auto"/>
              <w:rPr>
                <w:rFonts w:ascii="Times New Roman" w:hAnsi="Times New Roman"/>
                <w:sz w:val="24"/>
                <w:szCs w:val="24"/>
              </w:rPr>
            </w:pPr>
          </w:p>
        </w:tc>
        <w:tc>
          <w:tcPr>
            <w:tcW w:w="1701" w:type="dxa"/>
            <w:shd w:val="clear" w:color="auto" w:fill="auto"/>
            <w:vAlign w:val="center"/>
          </w:tcPr>
          <w:p w:rsidR="0045562E" w:rsidRPr="00647351" w:rsidRDefault="0045562E" w:rsidP="00045D89">
            <w:pPr>
              <w:pStyle w:val="MDPI42tablebody"/>
              <w:spacing w:line="240" w:lineRule="auto"/>
              <w:rPr>
                <w:rFonts w:ascii="Times New Roman" w:hAnsi="Times New Roman"/>
                <w:sz w:val="24"/>
                <w:szCs w:val="24"/>
              </w:rPr>
            </w:pPr>
            <w:proofErr w:type="spellStart"/>
            <w:r w:rsidRPr="00647351">
              <w:rPr>
                <w:rFonts w:ascii="Times New Roman" w:hAnsi="Times New Roman"/>
                <w:sz w:val="24"/>
                <w:szCs w:val="24"/>
              </w:rPr>
              <w:t>Capiversertib</w:t>
            </w:r>
            <w:proofErr w:type="spellEnd"/>
          </w:p>
        </w:tc>
        <w:tc>
          <w:tcPr>
            <w:tcW w:w="1559" w:type="dxa"/>
            <w:vAlign w:val="bottom"/>
          </w:tcPr>
          <w:p w:rsidR="0045562E" w:rsidRPr="00647351" w:rsidRDefault="0045562E" w:rsidP="00045D89">
            <w:pPr>
              <w:spacing w:line="240" w:lineRule="auto"/>
              <w:ind w:left="30"/>
              <w:jc w:val="center"/>
              <w:rPr>
                <w:rFonts w:ascii="Times New Roman" w:eastAsia="Arial" w:hAnsi="Times New Roman"/>
                <w:sz w:val="24"/>
                <w:szCs w:val="24"/>
              </w:rPr>
            </w:pPr>
            <w:r w:rsidRPr="00647351">
              <w:rPr>
                <w:rFonts w:ascii="Times New Roman" w:eastAsia="Arial" w:hAnsi="Times New Roman"/>
                <w:sz w:val="24"/>
                <w:szCs w:val="24"/>
              </w:rPr>
              <w:t>II</w:t>
            </w:r>
          </w:p>
        </w:tc>
        <w:tc>
          <w:tcPr>
            <w:tcW w:w="1701" w:type="dxa"/>
            <w:vAlign w:val="bottom"/>
          </w:tcPr>
          <w:p w:rsidR="0045562E" w:rsidRPr="00647351" w:rsidRDefault="0045562E" w:rsidP="00045D89">
            <w:pPr>
              <w:spacing w:line="240" w:lineRule="auto"/>
              <w:ind w:left="10"/>
              <w:jc w:val="center"/>
              <w:rPr>
                <w:rFonts w:ascii="Times New Roman" w:eastAsia="Arial" w:hAnsi="Times New Roman"/>
                <w:w w:val="98"/>
                <w:sz w:val="24"/>
                <w:szCs w:val="24"/>
              </w:rPr>
            </w:pPr>
            <w:proofErr w:type="spellStart"/>
            <w:r w:rsidRPr="00647351">
              <w:rPr>
                <w:rFonts w:ascii="Times New Roman" w:eastAsia="Arial" w:hAnsi="Times New Roman"/>
                <w:w w:val="98"/>
                <w:sz w:val="24"/>
                <w:szCs w:val="24"/>
              </w:rPr>
              <w:t>Abiraterone</w:t>
            </w:r>
            <w:proofErr w:type="spellEnd"/>
            <w:r w:rsidRPr="00647351">
              <w:rPr>
                <w:rFonts w:ascii="Times New Roman" w:eastAsia="Arial" w:hAnsi="Times New Roman"/>
                <w:w w:val="98"/>
                <w:sz w:val="24"/>
                <w:szCs w:val="24"/>
              </w:rPr>
              <w:t xml:space="preserve"> acetate</w:t>
            </w:r>
          </w:p>
        </w:tc>
        <w:tc>
          <w:tcPr>
            <w:tcW w:w="1843" w:type="dxa"/>
            <w:vAlign w:val="bottom"/>
          </w:tcPr>
          <w:p w:rsidR="0045562E" w:rsidRPr="00647351" w:rsidRDefault="0045562E" w:rsidP="00045D89">
            <w:pPr>
              <w:spacing w:line="240" w:lineRule="auto"/>
              <w:jc w:val="center"/>
              <w:rPr>
                <w:rFonts w:ascii="Times New Roman" w:eastAsia="Arial" w:hAnsi="Times New Roman"/>
                <w:w w:val="99"/>
                <w:sz w:val="24"/>
                <w:szCs w:val="24"/>
              </w:rPr>
            </w:pPr>
            <w:r w:rsidRPr="00647351">
              <w:rPr>
                <w:rFonts w:ascii="Times New Roman" w:eastAsia="Arial" w:hAnsi="Times New Roman"/>
                <w:w w:val="99"/>
                <w:sz w:val="24"/>
                <w:szCs w:val="24"/>
              </w:rPr>
              <w:t xml:space="preserve">High Risk Localized </w:t>
            </w:r>
            <w:proofErr w:type="spellStart"/>
            <w:r w:rsidRPr="00647351">
              <w:rPr>
                <w:rFonts w:ascii="Times New Roman" w:eastAsia="Arial" w:hAnsi="Times New Roman"/>
                <w:w w:val="99"/>
                <w:sz w:val="24"/>
                <w:szCs w:val="24"/>
              </w:rPr>
              <w:t>PCa</w:t>
            </w:r>
            <w:proofErr w:type="spellEnd"/>
          </w:p>
        </w:tc>
        <w:tc>
          <w:tcPr>
            <w:tcW w:w="1276" w:type="dxa"/>
            <w:vAlign w:val="bottom"/>
          </w:tcPr>
          <w:p w:rsidR="0045562E" w:rsidRPr="00647351" w:rsidRDefault="0045562E" w:rsidP="00045D89">
            <w:pPr>
              <w:spacing w:line="240" w:lineRule="auto"/>
              <w:ind w:left="30"/>
              <w:jc w:val="center"/>
              <w:rPr>
                <w:rFonts w:ascii="Times New Roman" w:eastAsia="Arial" w:hAnsi="Times New Roman"/>
                <w:sz w:val="24"/>
                <w:szCs w:val="24"/>
              </w:rPr>
            </w:pPr>
            <w:r w:rsidRPr="00647351">
              <w:rPr>
                <w:rFonts w:ascii="Times New Roman" w:eastAsia="Arial" w:hAnsi="Times New Roman"/>
                <w:sz w:val="24"/>
                <w:szCs w:val="24"/>
              </w:rPr>
              <w:t>NCT05593497</w:t>
            </w:r>
          </w:p>
        </w:tc>
      </w:tr>
      <w:tr w:rsidR="0045562E" w:rsidRPr="00647351" w:rsidTr="000B7921">
        <w:trPr>
          <w:jc w:val="center"/>
        </w:trPr>
        <w:tc>
          <w:tcPr>
            <w:tcW w:w="1560" w:type="dxa"/>
            <w:vMerge w:val="restart"/>
            <w:shd w:val="clear" w:color="auto" w:fill="auto"/>
            <w:vAlign w:val="center"/>
            <w:hideMark/>
          </w:tcPr>
          <w:p w:rsidR="0045562E" w:rsidRPr="00647351" w:rsidRDefault="0045562E" w:rsidP="00045D89">
            <w:pPr>
              <w:pStyle w:val="MDPI42tablebody"/>
              <w:spacing w:line="240" w:lineRule="auto"/>
              <w:rPr>
                <w:rFonts w:ascii="Times New Roman" w:hAnsi="Times New Roman"/>
                <w:sz w:val="24"/>
                <w:szCs w:val="24"/>
              </w:rPr>
            </w:pPr>
            <w:r w:rsidRPr="00647351">
              <w:rPr>
                <w:rFonts w:ascii="Times New Roman" w:hAnsi="Times New Roman"/>
                <w:sz w:val="24"/>
                <w:szCs w:val="24"/>
              </w:rPr>
              <w:t>PI3K</w:t>
            </w:r>
          </w:p>
        </w:tc>
        <w:tc>
          <w:tcPr>
            <w:tcW w:w="1701" w:type="dxa"/>
            <w:shd w:val="clear" w:color="auto" w:fill="auto"/>
            <w:vAlign w:val="center"/>
            <w:hideMark/>
          </w:tcPr>
          <w:p w:rsidR="0045562E" w:rsidRPr="00647351" w:rsidRDefault="0045562E" w:rsidP="00045D89">
            <w:pPr>
              <w:pStyle w:val="MDPI42tablebody"/>
              <w:spacing w:line="240" w:lineRule="auto"/>
              <w:rPr>
                <w:rFonts w:ascii="Times New Roman" w:hAnsi="Times New Roman"/>
                <w:sz w:val="24"/>
                <w:szCs w:val="24"/>
              </w:rPr>
            </w:pPr>
            <w:r w:rsidRPr="00647351">
              <w:rPr>
                <w:rFonts w:ascii="Times New Roman" w:hAnsi="Times New Roman"/>
                <w:sz w:val="24"/>
                <w:szCs w:val="24"/>
              </w:rPr>
              <w:t>AZD8186</w:t>
            </w:r>
          </w:p>
        </w:tc>
        <w:tc>
          <w:tcPr>
            <w:tcW w:w="1559" w:type="dxa"/>
            <w:shd w:val="clear" w:color="auto" w:fill="auto"/>
            <w:hideMark/>
          </w:tcPr>
          <w:p w:rsidR="0045562E" w:rsidRPr="00647351" w:rsidRDefault="0045562E" w:rsidP="00045D89">
            <w:pPr>
              <w:spacing w:line="240" w:lineRule="auto"/>
              <w:jc w:val="center"/>
              <w:rPr>
                <w:rFonts w:ascii="Times New Roman" w:hAnsi="Times New Roman"/>
                <w:sz w:val="24"/>
                <w:szCs w:val="24"/>
              </w:rPr>
            </w:pPr>
            <w:r w:rsidRPr="00647351">
              <w:rPr>
                <w:rFonts w:ascii="Times New Roman" w:hAnsi="Times New Roman"/>
                <w:sz w:val="24"/>
                <w:szCs w:val="24"/>
              </w:rPr>
              <w:t>I</w:t>
            </w:r>
          </w:p>
        </w:tc>
        <w:tc>
          <w:tcPr>
            <w:tcW w:w="1701" w:type="dxa"/>
          </w:tcPr>
          <w:p w:rsidR="0045562E" w:rsidRPr="00647351" w:rsidRDefault="0045562E" w:rsidP="00045D89">
            <w:pPr>
              <w:spacing w:line="240" w:lineRule="auto"/>
              <w:jc w:val="center"/>
              <w:rPr>
                <w:rFonts w:ascii="Times New Roman" w:hAnsi="Times New Roman"/>
                <w:sz w:val="24"/>
                <w:szCs w:val="24"/>
              </w:rPr>
            </w:pPr>
            <w:proofErr w:type="spellStart"/>
            <w:r w:rsidRPr="00647351">
              <w:rPr>
                <w:rFonts w:ascii="Times New Roman" w:hAnsi="Times New Roman"/>
                <w:sz w:val="24"/>
                <w:szCs w:val="24"/>
              </w:rPr>
              <w:t>Docetaxel</w:t>
            </w:r>
            <w:proofErr w:type="spellEnd"/>
          </w:p>
        </w:tc>
        <w:tc>
          <w:tcPr>
            <w:tcW w:w="1843" w:type="dxa"/>
            <w:shd w:val="clear" w:color="auto" w:fill="auto"/>
          </w:tcPr>
          <w:p w:rsidR="0045562E" w:rsidRPr="00647351" w:rsidRDefault="0045562E" w:rsidP="00045D89">
            <w:pPr>
              <w:spacing w:line="240" w:lineRule="auto"/>
              <w:jc w:val="center"/>
              <w:rPr>
                <w:rFonts w:ascii="Times New Roman" w:hAnsi="Times New Roman"/>
                <w:sz w:val="24"/>
                <w:szCs w:val="24"/>
              </w:rPr>
            </w:pPr>
            <w:proofErr w:type="spellStart"/>
            <w:r w:rsidRPr="00647351">
              <w:rPr>
                <w:rFonts w:ascii="Times New Roman" w:hAnsi="Times New Roman"/>
                <w:sz w:val="24"/>
                <w:szCs w:val="24"/>
              </w:rPr>
              <w:t>mPCa</w:t>
            </w:r>
            <w:proofErr w:type="spellEnd"/>
            <w:r w:rsidRPr="00647351">
              <w:rPr>
                <w:rFonts w:ascii="Times New Roman" w:hAnsi="Times New Roman"/>
                <w:sz w:val="24"/>
                <w:szCs w:val="24"/>
              </w:rPr>
              <w:t xml:space="preserve"> with PTEN </w:t>
            </w:r>
            <w:proofErr w:type="spellStart"/>
            <w:r w:rsidRPr="00647351">
              <w:rPr>
                <w:rFonts w:ascii="Times New Roman" w:hAnsi="Times New Roman"/>
                <w:sz w:val="24"/>
                <w:szCs w:val="24"/>
              </w:rPr>
              <w:t>Mut</w:t>
            </w:r>
            <w:proofErr w:type="spellEnd"/>
          </w:p>
        </w:tc>
        <w:tc>
          <w:tcPr>
            <w:tcW w:w="1276" w:type="dxa"/>
          </w:tcPr>
          <w:p w:rsidR="0045562E" w:rsidRPr="00647351" w:rsidRDefault="0045562E" w:rsidP="00045D89">
            <w:pPr>
              <w:pStyle w:val="MDPI42tablebody"/>
              <w:spacing w:line="240" w:lineRule="auto"/>
              <w:rPr>
                <w:rFonts w:ascii="Times New Roman" w:hAnsi="Times New Roman"/>
                <w:sz w:val="24"/>
                <w:szCs w:val="24"/>
              </w:rPr>
            </w:pPr>
            <w:r w:rsidRPr="00647351">
              <w:rPr>
                <w:rFonts w:ascii="Times New Roman" w:hAnsi="Times New Roman"/>
                <w:sz w:val="24"/>
                <w:szCs w:val="24"/>
              </w:rPr>
              <w:t>NCT03218826</w:t>
            </w:r>
          </w:p>
        </w:tc>
      </w:tr>
      <w:tr w:rsidR="0045562E" w:rsidRPr="00647351" w:rsidTr="000B7921">
        <w:trPr>
          <w:trHeight w:val="138"/>
          <w:jc w:val="center"/>
        </w:trPr>
        <w:tc>
          <w:tcPr>
            <w:tcW w:w="1560" w:type="dxa"/>
            <w:vMerge/>
            <w:shd w:val="clear" w:color="auto" w:fill="auto"/>
            <w:vAlign w:val="center"/>
            <w:hideMark/>
          </w:tcPr>
          <w:p w:rsidR="0045562E" w:rsidRPr="00647351" w:rsidRDefault="0045562E" w:rsidP="00045D89">
            <w:pPr>
              <w:pStyle w:val="MDPI42tablebody"/>
              <w:spacing w:line="240" w:lineRule="auto"/>
              <w:rPr>
                <w:rFonts w:ascii="Times New Roman" w:hAnsi="Times New Roman"/>
                <w:sz w:val="24"/>
                <w:szCs w:val="24"/>
              </w:rPr>
            </w:pPr>
          </w:p>
        </w:tc>
        <w:tc>
          <w:tcPr>
            <w:tcW w:w="1701" w:type="dxa"/>
            <w:shd w:val="clear" w:color="auto" w:fill="auto"/>
            <w:vAlign w:val="center"/>
            <w:hideMark/>
          </w:tcPr>
          <w:p w:rsidR="0045562E" w:rsidRPr="00647351" w:rsidRDefault="0045562E" w:rsidP="00045D89">
            <w:pPr>
              <w:pStyle w:val="MDPI42tablebody"/>
              <w:spacing w:line="240" w:lineRule="auto"/>
              <w:rPr>
                <w:rFonts w:ascii="Times New Roman" w:hAnsi="Times New Roman"/>
                <w:sz w:val="24"/>
                <w:szCs w:val="24"/>
              </w:rPr>
            </w:pPr>
            <w:r w:rsidRPr="00647351">
              <w:rPr>
                <w:rFonts w:ascii="Times New Roman" w:hAnsi="Times New Roman"/>
                <w:sz w:val="24"/>
                <w:szCs w:val="24"/>
              </w:rPr>
              <w:t>GSK2636771</w:t>
            </w:r>
          </w:p>
        </w:tc>
        <w:tc>
          <w:tcPr>
            <w:tcW w:w="1559" w:type="dxa"/>
            <w:shd w:val="clear" w:color="auto" w:fill="auto"/>
            <w:hideMark/>
          </w:tcPr>
          <w:p w:rsidR="0045562E" w:rsidRPr="00647351" w:rsidRDefault="0045562E" w:rsidP="00045D89">
            <w:pPr>
              <w:spacing w:line="240" w:lineRule="auto"/>
              <w:jc w:val="center"/>
              <w:rPr>
                <w:rFonts w:ascii="Times New Roman" w:hAnsi="Times New Roman"/>
                <w:sz w:val="24"/>
                <w:szCs w:val="24"/>
              </w:rPr>
            </w:pPr>
            <w:r w:rsidRPr="00647351">
              <w:rPr>
                <w:rFonts w:ascii="Times New Roman" w:hAnsi="Times New Roman"/>
                <w:sz w:val="24"/>
                <w:szCs w:val="24"/>
              </w:rPr>
              <w:t>I</w:t>
            </w:r>
          </w:p>
        </w:tc>
        <w:tc>
          <w:tcPr>
            <w:tcW w:w="1701" w:type="dxa"/>
          </w:tcPr>
          <w:p w:rsidR="0045562E" w:rsidRPr="00647351" w:rsidRDefault="0045562E" w:rsidP="00045D89">
            <w:pPr>
              <w:spacing w:line="240" w:lineRule="auto"/>
              <w:jc w:val="center"/>
              <w:rPr>
                <w:rFonts w:ascii="Times New Roman" w:hAnsi="Times New Roman"/>
                <w:sz w:val="24"/>
                <w:szCs w:val="24"/>
              </w:rPr>
            </w:pPr>
            <w:proofErr w:type="spellStart"/>
            <w:r w:rsidRPr="00647351">
              <w:rPr>
                <w:rFonts w:ascii="Times New Roman" w:hAnsi="Times New Roman"/>
                <w:sz w:val="24"/>
                <w:szCs w:val="24"/>
              </w:rPr>
              <w:t>Enzalutamide</w:t>
            </w:r>
            <w:proofErr w:type="spellEnd"/>
          </w:p>
        </w:tc>
        <w:tc>
          <w:tcPr>
            <w:tcW w:w="1843" w:type="dxa"/>
            <w:shd w:val="clear" w:color="auto" w:fill="auto"/>
          </w:tcPr>
          <w:p w:rsidR="0045562E" w:rsidRPr="00647351" w:rsidRDefault="0045562E" w:rsidP="00045D89">
            <w:pPr>
              <w:spacing w:line="240" w:lineRule="auto"/>
              <w:jc w:val="center"/>
              <w:rPr>
                <w:rFonts w:ascii="Times New Roman" w:hAnsi="Times New Roman"/>
                <w:sz w:val="24"/>
                <w:szCs w:val="24"/>
              </w:rPr>
            </w:pPr>
            <w:r w:rsidRPr="00647351">
              <w:rPr>
                <w:rFonts w:ascii="Times New Roman" w:hAnsi="Times New Roman"/>
                <w:sz w:val="24"/>
                <w:szCs w:val="24"/>
              </w:rPr>
              <w:t xml:space="preserve">PTEN(-) </w:t>
            </w:r>
            <w:proofErr w:type="spellStart"/>
            <w:r w:rsidRPr="00647351">
              <w:rPr>
                <w:rFonts w:ascii="Times New Roman" w:hAnsi="Times New Roman"/>
                <w:sz w:val="24"/>
                <w:szCs w:val="24"/>
              </w:rPr>
              <w:t>mCRPC</w:t>
            </w:r>
            <w:proofErr w:type="spellEnd"/>
            <w:r w:rsidRPr="00647351">
              <w:rPr>
                <w:rFonts w:ascii="Times New Roman" w:hAnsi="Times New Roman"/>
                <w:sz w:val="24"/>
                <w:szCs w:val="24"/>
              </w:rPr>
              <w:t xml:space="preserve"> </w:t>
            </w:r>
            <w:proofErr w:type="spellStart"/>
            <w:r w:rsidRPr="00647351">
              <w:rPr>
                <w:rFonts w:ascii="Times New Roman" w:hAnsi="Times New Roman"/>
                <w:sz w:val="24"/>
                <w:szCs w:val="24"/>
              </w:rPr>
              <w:t>Mut</w:t>
            </w:r>
            <w:proofErr w:type="spellEnd"/>
          </w:p>
        </w:tc>
        <w:tc>
          <w:tcPr>
            <w:tcW w:w="1276" w:type="dxa"/>
          </w:tcPr>
          <w:p w:rsidR="0045562E" w:rsidRPr="00647351" w:rsidRDefault="0045562E" w:rsidP="00045D89">
            <w:pPr>
              <w:pStyle w:val="MDPI42tablebody"/>
              <w:spacing w:line="240" w:lineRule="auto"/>
              <w:rPr>
                <w:rFonts w:ascii="Times New Roman" w:hAnsi="Times New Roman"/>
                <w:sz w:val="24"/>
                <w:szCs w:val="24"/>
              </w:rPr>
            </w:pPr>
            <w:r w:rsidRPr="00647351">
              <w:rPr>
                <w:rFonts w:ascii="Times New Roman" w:hAnsi="Times New Roman"/>
                <w:sz w:val="24"/>
                <w:szCs w:val="24"/>
              </w:rPr>
              <w:t>NCT02215096</w:t>
            </w:r>
          </w:p>
        </w:tc>
      </w:tr>
      <w:tr w:rsidR="0045562E" w:rsidRPr="00647351" w:rsidTr="000B7921">
        <w:trPr>
          <w:jc w:val="center"/>
        </w:trPr>
        <w:tc>
          <w:tcPr>
            <w:tcW w:w="1560" w:type="dxa"/>
            <w:vMerge w:val="restart"/>
            <w:shd w:val="clear" w:color="auto" w:fill="auto"/>
            <w:vAlign w:val="center"/>
            <w:hideMark/>
          </w:tcPr>
          <w:p w:rsidR="0045562E" w:rsidRPr="00647351" w:rsidRDefault="000B7921" w:rsidP="00045D89">
            <w:pPr>
              <w:pStyle w:val="MDPI42tablebody"/>
              <w:spacing w:line="240" w:lineRule="auto"/>
              <w:rPr>
                <w:rFonts w:ascii="Times New Roman" w:hAnsi="Times New Roman"/>
                <w:sz w:val="24"/>
                <w:szCs w:val="24"/>
              </w:rPr>
            </w:pPr>
            <w:proofErr w:type="spellStart"/>
            <w:r w:rsidRPr="00647351">
              <w:rPr>
                <w:rFonts w:ascii="Times New Roman" w:hAnsi="Times New Roman"/>
                <w:sz w:val="24"/>
                <w:szCs w:val="24"/>
              </w:rPr>
              <w:t>Mtor</w:t>
            </w:r>
            <w:proofErr w:type="spellEnd"/>
          </w:p>
        </w:tc>
        <w:tc>
          <w:tcPr>
            <w:tcW w:w="1701" w:type="dxa"/>
            <w:shd w:val="clear" w:color="auto" w:fill="auto"/>
            <w:vAlign w:val="center"/>
            <w:hideMark/>
          </w:tcPr>
          <w:p w:rsidR="0045562E" w:rsidRPr="00647351" w:rsidRDefault="0045562E" w:rsidP="00045D89">
            <w:pPr>
              <w:pStyle w:val="MDPI42tablebody"/>
              <w:spacing w:line="240" w:lineRule="auto"/>
              <w:rPr>
                <w:rFonts w:ascii="Times New Roman" w:hAnsi="Times New Roman"/>
                <w:sz w:val="24"/>
                <w:szCs w:val="24"/>
              </w:rPr>
            </w:pPr>
            <w:proofErr w:type="spellStart"/>
            <w:r w:rsidRPr="00647351">
              <w:rPr>
                <w:rFonts w:ascii="Times New Roman" w:hAnsi="Times New Roman"/>
                <w:sz w:val="24"/>
                <w:szCs w:val="24"/>
              </w:rPr>
              <w:t>Sepanisertib</w:t>
            </w:r>
            <w:proofErr w:type="spellEnd"/>
          </w:p>
        </w:tc>
        <w:tc>
          <w:tcPr>
            <w:tcW w:w="1559" w:type="dxa"/>
            <w:vAlign w:val="bottom"/>
            <w:hideMark/>
          </w:tcPr>
          <w:p w:rsidR="0045562E" w:rsidRPr="00647351" w:rsidRDefault="0045562E" w:rsidP="00045D89">
            <w:pPr>
              <w:spacing w:line="240" w:lineRule="auto"/>
              <w:ind w:left="30"/>
              <w:jc w:val="center"/>
              <w:rPr>
                <w:rFonts w:ascii="Times New Roman" w:eastAsia="Arial" w:hAnsi="Times New Roman"/>
                <w:sz w:val="24"/>
                <w:szCs w:val="24"/>
              </w:rPr>
            </w:pPr>
            <w:r w:rsidRPr="00647351">
              <w:rPr>
                <w:rFonts w:ascii="Times New Roman" w:eastAsia="Arial" w:hAnsi="Times New Roman"/>
                <w:sz w:val="24"/>
                <w:szCs w:val="24"/>
              </w:rPr>
              <w:t>II</w:t>
            </w:r>
          </w:p>
        </w:tc>
        <w:tc>
          <w:tcPr>
            <w:tcW w:w="1701" w:type="dxa"/>
            <w:vAlign w:val="bottom"/>
          </w:tcPr>
          <w:p w:rsidR="0045562E" w:rsidRPr="00647351" w:rsidRDefault="0045562E" w:rsidP="00045D89">
            <w:pPr>
              <w:spacing w:line="240" w:lineRule="auto"/>
              <w:ind w:left="10"/>
              <w:jc w:val="center"/>
              <w:rPr>
                <w:rFonts w:ascii="Times New Roman" w:eastAsia="Arial" w:hAnsi="Times New Roman"/>
                <w:sz w:val="24"/>
                <w:szCs w:val="24"/>
              </w:rPr>
            </w:pPr>
            <w:proofErr w:type="spellStart"/>
            <w:r w:rsidRPr="00647351">
              <w:rPr>
                <w:rFonts w:ascii="Times New Roman" w:eastAsia="Arial" w:hAnsi="Times New Roman"/>
                <w:sz w:val="24"/>
                <w:szCs w:val="24"/>
              </w:rPr>
              <w:t>Monotherapy</w:t>
            </w:r>
            <w:proofErr w:type="spellEnd"/>
          </w:p>
        </w:tc>
        <w:tc>
          <w:tcPr>
            <w:tcW w:w="1843" w:type="dxa"/>
            <w:vAlign w:val="bottom"/>
          </w:tcPr>
          <w:p w:rsidR="0045562E" w:rsidRPr="00647351" w:rsidRDefault="0045562E" w:rsidP="00045D89">
            <w:pPr>
              <w:spacing w:line="240" w:lineRule="auto"/>
              <w:jc w:val="center"/>
              <w:rPr>
                <w:rFonts w:ascii="Times New Roman" w:eastAsia="Arial" w:hAnsi="Times New Roman"/>
                <w:w w:val="95"/>
                <w:sz w:val="24"/>
                <w:szCs w:val="24"/>
              </w:rPr>
            </w:pPr>
            <w:r w:rsidRPr="00647351">
              <w:rPr>
                <w:rFonts w:ascii="Times New Roman" w:eastAsia="Arial" w:hAnsi="Times New Roman"/>
                <w:w w:val="95"/>
                <w:sz w:val="24"/>
                <w:szCs w:val="24"/>
              </w:rPr>
              <w:t>CRPC</w:t>
            </w:r>
          </w:p>
        </w:tc>
        <w:tc>
          <w:tcPr>
            <w:tcW w:w="1276" w:type="dxa"/>
          </w:tcPr>
          <w:p w:rsidR="0045562E" w:rsidRPr="00647351" w:rsidRDefault="0045562E" w:rsidP="00045D89">
            <w:pPr>
              <w:pStyle w:val="MDPI42tablebody"/>
              <w:spacing w:line="240" w:lineRule="auto"/>
              <w:rPr>
                <w:rFonts w:ascii="Times New Roman" w:hAnsi="Times New Roman"/>
                <w:sz w:val="24"/>
                <w:szCs w:val="24"/>
              </w:rPr>
            </w:pPr>
            <w:r w:rsidRPr="00647351">
              <w:rPr>
                <w:rFonts w:ascii="Times New Roman" w:hAnsi="Times New Roman"/>
                <w:sz w:val="24"/>
                <w:szCs w:val="24"/>
              </w:rPr>
              <w:t>NCT02091531</w:t>
            </w:r>
          </w:p>
        </w:tc>
      </w:tr>
      <w:tr w:rsidR="0045562E" w:rsidRPr="00647351" w:rsidTr="000B7921">
        <w:trPr>
          <w:trHeight w:val="591"/>
          <w:jc w:val="center"/>
        </w:trPr>
        <w:tc>
          <w:tcPr>
            <w:tcW w:w="1560" w:type="dxa"/>
            <w:vMerge/>
            <w:shd w:val="clear" w:color="auto" w:fill="auto"/>
            <w:vAlign w:val="center"/>
            <w:hideMark/>
          </w:tcPr>
          <w:p w:rsidR="0045562E" w:rsidRPr="00647351" w:rsidRDefault="0045562E" w:rsidP="00045D89">
            <w:pPr>
              <w:pStyle w:val="MDPI42tablebody"/>
              <w:spacing w:line="240" w:lineRule="auto"/>
              <w:rPr>
                <w:rFonts w:ascii="Times New Roman" w:hAnsi="Times New Roman"/>
                <w:sz w:val="24"/>
                <w:szCs w:val="24"/>
              </w:rPr>
            </w:pPr>
          </w:p>
        </w:tc>
        <w:tc>
          <w:tcPr>
            <w:tcW w:w="1701" w:type="dxa"/>
            <w:shd w:val="clear" w:color="auto" w:fill="auto"/>
            <w:vAlign w:val="center"/>
            <w:hideMark/>
          </w:tcPr>
          <w:p w:rsidR="0045562E" w:rsidRPr="00647351" w:rsidRDefault="0045562E" w:rsidP="00045D89">
            <w:pPr>
              <w:pStyle w:val="MDPI42tablebody"/>
              <w:spacing w:line="240" w:lineRule="auto"/>
              <w:rPr>
                <w:rFonts w:ascii="Times New Roman" w:hAnsi="Times New Roman"/>
                <w:sz w:val="24"/>
                <w:szCs w:val="24"/>
              </w:rPr>
            </w:pPr>
            <w:proofErr w:type="spellStart"/>
            <w:r w:rsidRPr="00647351">
              <w:rPr>
                <w:rFonts w:ascii="Times New Roman" w:hAnsi="Times New Roman"/>
                <w:sz w:val="24"/>
                <w:szCs w:val="24"/>
              </w:rPr>
              <w:t>Everolimus</w:t>
            </w:r>
            <w:proofErr w:type="spellEnd"/>
          </w:p>
        </w:tc>
        <w:tc>
          <w:tcPr>
            <w:tcW w:w="1559" w:type="dxa"/>
            <w:vAlign w:val="bottom"/>
            <w:hideMark/>
          </w:tcPr>
          <w:p w:rsidR="0045562E" w:rsidRPr="00647351" w:rsidRDefault="0045562E" w:rsidP="00045D89">
            <w:pPr>
              <w:spacing w:line="240" w:lineRule="auto"/>
              <w:ind w:left="30"/>
              <w:jc w:val="center"/>
              <w:rPr>
                <w:rFonts w:ascii="Times New Roman" w:eastAsia="Arial" w:hAnsi="Times New Roman"/>
                <w:sz w:val="24"/>
                <w:szCs w:val="24"/>
              </w:rPr>
            </w:pPr>
            <w:r w:rsidRPr="00647351">
              <w:rPr>
                <w:rFonts w:ascii="Times New Roman" w:eastAsia="Arial" w:hAnsi="Times New Roman"/>
                <w:sz w:val="24"/>
                <w:szCs w:val="24"/>
              </w:rPr>
              <w:t>I</w:t>
            </w:r>
          </w:p>
        </w:tc>
        <w:tc>
          <w:tcPr>
            <w:tcW w:w="1701" w:type="dxa"/>
            <w:vAlign w:val="bottom"/>
          </w:tcPr>
          <w:p w:rsidR="0045562E" w:rsidRPr="00647351" w:rsidRDefault="0045562E" w:rsidP="00045D89">
            <w:pPr>
              <w:spacing w:line="240" w:lineRule="auto"/>
              <w:ind w:left="30"/>
              <w:jc w:val="center"/>
              <w:rPr>
                <w:rFonts w:ascii="Times New Roman" w:eastAsia="Arial" w:hAnsi="Times New Roman"/>
                <w:sz w:val="24"/>
                <w:szCs w:val="24"/>
              </w:rPr>
            </w:pPr>
            <w:r w:rsidRPr="00647351">
              <w:rPr>
                <w:rFonts w:ascii="Times New Roman" w:eastAsia="Arial" w:hAnsi="Times New Roman"/>
                <w:sz w:val="24"/>
                <w:szCs w:val="24"/>
              </w:rPr>
              <w:t>+ standard radiation therapy</w:t>
            </w:r>
          </w:p>
        </w:tc>
        <w:tc>
          <w:tcPr>
            <w:tcW w:w="1843" w:type="dxa"/>
            <w:vAlign w:val="bottom"/>
          </w:tcPr>
          <w:p w:rsidR="0045562E" w:rsidRPr="00647351" w:rsidRDefault="0045562E" w:rsidP="00045D89">
            <w:pPr>
              <w:spacing w:line="240" w:lineRule="auto"/>
              <w:jc w:val="center"/>
              <w:rPr>
                <w:rFonts w:ascii="Times New Roman" w:eastAsia="Arial" w:hAnsi="Times New Roman"/>
                <w:sz w:val="24"/>
                <w:szCs w:val="24"/>
              </w:rPr>
            </w:pPr>
            <w:proofErr w:type="spellStart"/>
            <w:r w:rsidRPr="00647351">
              <w:rPr>
                <w:rFonts w:ascii="Times New Roman" w:eastAsia="Arial" w:hAnsi="Times New Roman"/>
                <w:sz w:val="24"/>
                <w:szCs w:val="24"/>
              </w:rPr>
              <w:t>PCa</w:t>
            </w:r>
            <w:proofErr w:type="spellEnd"/>
            <w:r w:rsidRPr="00647351">
              <w:rPr>
                <w:rFonts w:ascii="Times New Roman" w:eastAsia="Arial" w:hAnsi="Times New Roman"/>
                <w:sz w:val="24"/>
                <w:szCs w:val="24"/>
              </w:rPr>
              <w:t xml:space="preserve"> with rising PSA</w:t>
            </w:r>
          </w:p>
        </w:tc>
        <w:tc>
          <w:tcPr>
            <w:tcW w:w="1276" w:type="dxa"/>
            <w:vAlign w:val="bottom"/>
          </w:tcPr>
          <w:p w:rsidR="0045562E" w:rsidRPr="00647351" w:rsidRDefault="0045562E" w:rsidP="00045D89">
            <w:pPr>
              <w:spacing w:line="240" w:lineRule="auto"/>
              <w:ind w:left="30"/>
              <w:jc w:val="center"/>
              <w:rPr>
                <w:rFonts w:ascii="Times New Roman" w:eastAsia="Arial" w:hAnsi="Times New Roman"/>
                <w:sz w:val="24"/>
                <w:szCs w:val="24"/>
              </w:rPr>
            </w:pPr>
            <w:r w:rsidRPr="00647351">
              <w:rPr>
                <w:rFonts w:ascii="Times New Roman" w:eastAsia="Arial" w:hAnsi="Times New Roman"/>
                <w:sz w:val="24"/>
                <w:szCs w:val="24"/>
              </w:rPr>
              <w:t>NCT01548807</w:t>
            </w:r>
          </w:p>
        </w:tc>
      </w:tr>
    </w:tbl>
    <w:p w:rsidR="0045562E" w:rsidRPr="00647351" w:rsidRDefault="0045562E" w:rsidP="0045562E">
      <w:pPr>
        <w:pStyle w:val="MDPI43tablefooter"/>
        <w:spacing w:line="480" w:lineRule="auto"/>
        <w:ind w:left="0"/>
        <w:rPr>
          <w:rFonts w:ascii="Times New Roman" w:hAnsi="Times New Roman" w:cs="Times New Roman"/>
          <w:sz w:val="24"/>
          <w:szCs w:val="24"/>
        </w:rPr>
      </w:pPr>
    </w:p>
    <w:p w:rsidR="00F77439" w:rsidRPr="00A7035C" w:rsidRDefault="00775C68" w:rsidP="006D3376">
      <w:pPr>
        <w:spacing w:line="360" w:lineRule="auto"/>
        <w:jc w:val="both"/>
        <w:rPr>
          <w:rFonts w:ascii="Times New Roman" w:hAnsi="Times New Roman" w:cs="Times New Roman"/>
          <w:b/>
          <w:sz w:val="24"/>
          <w:szCs w:val="24"/>
          <w:lang w:val="en-US"/>
        </w:rPr>
      </w:pPr>
      <w:r w:rsidRPr="00A7035C">
        <w:rPr>
          <w:rFonts w:ascii="Times New Roman" w:hAnsi="Times New Roman" w:cs="Times New Roman"/>
          <w:b/>
          <w:bCs/>
          <w:sz w:val="24"/>
          <w:szCs w:val="24"/>
          <w:lang w:val="en-US"/>
        </w:rPr>
        <w:t>2</w:t>
      </w:r>
      <w:r w:rsidR="00BA6281" w:rsidRPr="00A7035C">
        <w:rPr>
          <w:rFonts w:ascii="Times New Roman" w:hAnsi="Times New Roman" w:cs="Times New Roman"/>
          <w:b/>
          <w:bCs/>
          <w:sz w:val="24"/>
          <w:szCs w:val="24"/>
          <w:lang w:val="en-US"/>
        </w:rPr>
        <w:t>.6</w:t>
      </w:r>
      <w:r w:rsidR="00244140" w:rsidRPr="00A7035C">
        <w:rPr>
          <w:rFonts w:ascii="Times New Roman" w:hAnsi="Times New Roman" w:cs="Times New Roman"/>
          <w:b/>
          <w:bCs/>
          <w:sz w:val="24"/>
          <w:szCs w:val="24"/>
          <w:lang w:val="en-US"/>
        </w:rPr>
        <w:t xml:space="preserve"> </w:t>
      </w:r>
      <w:r w:rsidR="00F77439" w:rsidRPr="00A7035C">
        <w:rPr>
          <w:rFonts w:ascii="Times New Roman" w:hAnsi="Times New Roman" w:cs="Times New Roman"/>
          <w:b/>
          <w:bCs/>
          <w:sz w:val="24"/>
          <w:szCs w:val="24"/>
          <w:lang w:val="en-US"/>
        </w:rPr>
        <w:t>Molecular Aspects of Prostate Cancer</w:t>
      </w:r>
      <w:r w:rsidR="00F77439" w:rsidRPr="00A7035C">
        <w:rPr>
          <w:rFonts w:ascii="Times New Roman" w:hAnsi="Times New Roman" w:cs="Times New Roman"/>
          <w:b/>
          <w:sz w:val="24"/>
          <w:szCs w:val="24"/>
          <w:lang w:val="en-US"/>
        </w:rPr>
        <w:t xml:space="preserve"> </w:t>
      </w:r>
      <w:r w:rsidR="00A7035C" w:rsidRPr="00A7035C">
        <w:rPr>
          <w:rFonts w:ascii="Times New Roman" w:hAnsi="Times New Roman" w:cs="Times New Roman"/>
          <w:b/>
          <w:sz w:val="24"/>
          <w:szCs w:val="24"/>
          <w:lang w:val="en-US"/>
        </w:rPr>
        <w:t>and Non-Invasive Biomarkers</w:t>
      </w:r>
    </w:p>
    <w:p w:rsidR="00F77439" w:rsidRPr="002E7761" w:rsidRDefault="00F77439" w:rsidP="006D3376">
      <w:pPr>
        <w:spacing w:line="360" w:lineRule="auto"/>
        <w:jc w:val="both"/>
        <w:rPr>
          <w:rFonts w:ascii="Times New Roman" w:hAnsi="Times New Roman" w:cs="Times New Roman"/>
          <w:sz w:val="24"/>
          <w:szCs w:val="24"/>
          <w:lang w:val="en-US"/>
        </w:rPr>
      </w:pPr>
      <w:r w:rsidRPr="002E7761">
        <w:rPr>
          <w:rFonts w:ascii="Times New Roman" w:hAnsi="Times New Roman" w:cs="Times New Roman"/>
          <w:sz w:val="24"/>
          <w:szCs w:val="24"/>
          <w:lang w:val="en-US"/>
        </w:rPr>
        <w:lastRenderedPageBreak/>
        <w:t xml:space="preserve">Advancements in molecular biology have shed light on the intricate mechanisms underlying prostate cancer development and progression. </w:t>
      </w:r>
      <w:r w:rsidR="00BA6281">
        <w:rPr>
          <w:rFonts w:ascii="Times New Roman" w:hAnsi="Times New Roman" w:cs="Times New Roman"/>
          <w:sz w:val="24"/>
          <w:szCs w:val="24"/>
          <w:lang w:val="en-US"/>
        </w:rPr>
        <w:t>Numerous genetic and molecular abnormalities influence the complex process of cancer progression</w:t>
      </w:r>
      <w:r w:rsidRPr="002E7761">
        <w:rPr>
          <w:rFonts w:ascii="Times New Roman" w:hAnsi="Times New Roman" w:cs="Times New Roman"/>
          <w:sz w:val="24"/>
          <w:szCs w:val="24"/>
          <w:lang w:val="en-US"/>
        </w:rPr>
        <w:t xml:space="preserve">; people with tumors have been shown to have more genetic mutations </w:t>
      </w:r>
      <w:r w:rsidRPr="002E7761">
        <w:rPr>
          <w:rFonts w:ascii="Times New Roman" w:hAnsi="Times New Roman" w:cs="Times New Roman"/>
          <w:sz w:val="24"/>
          <w:szCs w:val="24"/>
          <w:lang w:val="en-US"/>
        </w:rPr>
        <w:fldChar w:fldCharType="begin"/>
      </w:r>
      <w:r w:rsidRPr="002E7761">
        <w:rPr>
          <w:rFonts w:ascii="Times New Roman" w:hAnsi="Times New Roman" w:cs="Times New Roman"/>
          <w:sz w:val="24"/>
          <w:szCs w:val="24"/>
          <w:lang w:val="en-US"/>
        </w:rPr>
        <w:instrText xml:space="preserve"> ADDIN ZOTERO_ITEM CSL_CITATION {"citationID":"TJGlcJBC","properties":{"formattedCitation":"(Zhao et al., 2022)","plainCitation":"(Zhao et al., 2022)","noteIndex":0},"citationItems":[{"id":303,"uris":["http://zotero.org/users/local/7J0d6nia/items/Z2L5AU9P","http://zotero.org/users/11300200/items/Z2L5AU9P"],"itemData":{"id":303,"type":"article-journal","abstract":"OBJECTIVES: To investigate the genetic alterations of patients with prostate cancer (PCa) with and without intraductal carcinoma of the prostate (IDC-P).\nPATIENTS AND METHODS: We performed targeted sequencing of plasma cell-free DNA on 161 patients with prostate adenocarcinoma (PAC) with IDC-P and 84 without IDC-P. Genomic alterations were compared between these two groups. The association between genetic alterations and patients' survival outcomes was also explored.\nRESULTS: We identified that 29.8% (48/161) and 21.4% (18/84) of patients with and without IDC-P harboured genomic alterations in DNA repair pathways, respectively (P = 0.210). Pathogenic germline DNA repair alterations were frequently detected in IDC-P carriers compared to IDC-P non-carriers (11.8% [19/161] vs 2.4% [two of 84], P = 0.024). Germline BReast CAncer type 2 susceptibility protein (BRCA2) and somatic cyclin-dependent kinase 12 (CDK12) defects were specifically identified in IDC-P carriers relative to PAC (BRCA2: 8.7% [14/161] vs 0% and CDK12: 6.8% [11/161] vs 1.2% [one of 84]). Patients with IDC-P had a distinct androgen receptor (AR) pathway alteration, characterised by an enrichment of nuclear receptor corepressor 2 (NCOR2) mutations compared with patients with pure PAC (21.1% [34/161] vs 6.0% [five of 84], P = 0.004). Increased AR alterations were detected in patients harbouring tumours with an IDC-P proportion of ≥10% vs those with an IDC-P proportion of &lt;10% (6.4% [five of 78] vs 18.1% [15/83], P = 0.045). For IDC-P carriers, tumour protein p53 (TP53) mutation was associated with shorter castration-resistant-free survival (median 10.9 vs 28.9 months, P = 0.026), and BRCA2 alteration was related to rapid prostate-specific antigen progression for those receiving abiraterone treatment (median 9.1 vs 11.9 months, P = 0.036).\nCONCLUSION: Our findings provide genomic evidence explaining the aggressive phenotype of tumours with IDC-P, highlighting the potential therapeutic strategies for this patient population.","container-title":"BJU international","DOI":"10.1111/bju.15530","ISSN":"1464-410X","issue":"3","journalAbbreviation":"BJU Int","language":"eng","note":"PMID: 34185954","page":"345-355","source":"PubMed","title":"Circulating tumour DNA reveals genetic traits of patients with intraductal carcinoma of the prostate","volume":"129","author":[{"family":"Zhao","given":"Jinge"},{"family":"Sun","given":"Guangxi"},{"family":"Zhu","given":"Sha"},{"family":"Dai","given":"Jindong"},{"family":"Chen","given":"Junru"},{"family":"Zhang","given":"Mengni"},{"family":"Ni","given":"Yuchao"},{"family":"Zhang","given":"Haoran"},{"family":"Shen","given":"Pengfei"},{"family":"Zhao","given":"Xiaochen"},{"family":"Zhang","given":"Bei"},{"family":"Pan","given":"Xiuyi"},{"family":"Nie","given":"Ling"},{"family":"Yin","given":"Xiaoxue"},{"family":"Liang","given":"Jiayu"},{"family":"Zhang","given":"Xingming"},{"family":"Wang","given":"Zhipeng"},{"family":"Zhu","given":"Xudong"},{"family":"Liao","given":"Banghua"},{"family":"Liu","given":"Zhenhua"},{"family":"Armstrong","given":"Cameron M."},{"family":"Gao","given":"Allen C."},{"family":"Huang","given":"Haojie"},{"family":"Chen","given":"Ni"},{"family":"Zeng","given":"Hao"}],"issued":{"date-parts":[["2022",3]]}}}],"schema":"https://github.com/citation-style-language/schema/raw/master/csl-citation.json"} </w:instrText>
      </w:r>
      <w:r w:rsidRPr="002E7761">
        <w:rPr>
          <w:rFonts w:ascii="Times New Roman" w:hAnsi="Times New Roman" w:cs="Times New Roman"/>
          <w:sz w:val="24"/>
          <w:szCs w:val="24"/>
          <w:lang w:val="en-US"/>
        </w:rPr>
        <w:fldChar w:fldCharType="separate"/>
      </w:r>
      <w:r w:rsidR="00167D83" w:rsidRPr="00167D83">
        <w:rPr>
          <w:rFonts w:ascii="Times New Roman" w:hAnsi="Times New Roman" w:cs="Times New Roman"/>
          <w:sz w:val="24"/>
        </w:rPr>
        <w:t>(Zhao et al., 2022)</w:t>
      </w:r>
      <w:r w:rsidRPr="002E7761">
        <w:rPr>
          <w:rFonts w:ascii="Times New Roman" w:hAnsi="Times New Roman" w:cs="Times New Roman"/>
          <w:sz w:val="24"/>
          <w:szCs w:val="24"/>
          <w:lang w:val="en-US"/>
        </w:rPr>
        <w:fldChar w:fldCharType="end"/>
      </w:r>
      <w:r w:rsidRPr="002E7761">
        <w:rPr>
          <w:rFonts w:ascii="Times New Roman" w:hAnsi="Times New Roman" w:cs="Times New Roman"/>
          <w:sz w:val="24"/>
          <w:szCs w:val="24"/>
          <w:lang w:val="en-US"/>
        </w:rPr>
        <w:t xml:space="preserve">. </w:t>
      </w:r>
      <w:proofErr w:type="spellStart"/>
      <w:r w:rsidRPr="002E7761">
        <w:rPr>
          <w:rFonts w:ascii="Times New Roman" w:hAnsi="Times New Roman" w:cs="Times New Roman"/>
          <w:sz w:val="24"/>
          <w:szCs w:val="24"/>
          <w:lang w:val="en-US"/>
        </w:rPr>
        <w:t>PCa</w:t>
      </w:r>
      <w:proofErr w:type="spellEnd"/>
      <w:r w:rsidRPr="002E7761">
        <w:rPr>
          <w:rFonts w:ascii="Times New Roman" w:hAnsi="Times New Roman" w:cs="Times New Roman"/>
          <w:sz w:val="24"/>
          <w:szCs w:val="24"/>
          <w:lang w:val="en-US"/>
        </w:rPr>
        <w:t xml:space="preserve">, among other types of cancer, develops and progresses in part due to the androgen receptor (AR), a transcription factor </w:t>
      </w:r>
      <w:r w:rsidRPr="002E7761">
        <w:rPr>
          <w:rFonts w:ascii="Times New Roman" w:hAnsi="Times New Roman" w:cs="Times New Roman"/>
          <w:sz w:val="24"/>
          <w:szCs w:val="24"/>
          <w:lang w:val="en-US"/>
        </w:rPr>
        <w:fldChar w:fldCharType="begin"/>
      </w:r>
      <w:r w:rsidRPr="002E7761">
        <w:rPr>
          <w:rFonts w:ascii="Times New Roman" w:hAnsi="Times New Roman" w:cs="Times New Roman"/>
          <w:sz w:val="24"/>
          <w:szCs w:val="24"/>
          <w:lang w:val="en-US"/>
        </w:rPr>
        <w:instrText xml:space="preserve"> ADDIN ZOTERO_ITEM CSL_CITATION {"citationID":"pfk2VMaC","properties":{"formattedCitation":"(He et al., 2018)","plainCitation":"(He et al., 2018)","noteIndex":0},"citationItems":[{"id":344,"uris":["http://zotero.org/users/local/7J0d6nia/items/A6ATYWAG","http://zotero.org/users/11300200/items/A6ATYWAG"],"itemData":{"id":344,"type":"article-journal","abstract":"Androgen signaling is essential for prostate development, morphogenesis, and regeneration. Emerging evidence indicates that Wnt/β-catenin signaling also contributes to prostate development specifically through regulation of cell fate determination. Prostatic Axin2-expressing cells are able to respond to Wnt signals and possess the progenitor properties to regenerate prostatic epithelium. Despite critical roles of both signaling pathways, the biological significance of androgen receptor (AR) in Axin2-expressing/Wnt-responsive cells remains largely unexplored. In this study, we investigated this important question using a series of newly generated mouse models. Deletion of Ar in embryonic Axin2-expressing cells impaired early prostate development in both ex vivo and tissue implantation experiments. When Ar expression was deleted in prostatic Axin2-expressing cells at pre-puberty stages, it results in smaller and underdeveloped prostates. A subpopulation of Axin2 expressing cells in prostate epithelium is resistant to castration and, following androgen supplementation, is capable to expand to prostatic luminal cells. Deletion of Ar in these Axin2-expressing cells reduces their regenerative ability. These lines of evidence demonstrate an indispensable role for the Ar in Wnt-responsive cells during the course of prostate development, morphogenesis, and regeneration, which also imply an underlying interaction between the androgen and Wnt signaling pathways in the mouse prostate. Stem Cells 2018;36:891-902.","container-title":"Stem Cells (Dayton, Ohio)","DOI":"10.1002/stem.2806","ISSN":"1549-4918","issue":"6","journalAbbreviation":"Stem Cells","language":"eng","note":"PMID: 29451339\nPMCID: PMC5992030","page":"891-902","source":"PubMed","title":"An Indispensable Role of Androgen Receptor in Wnt Responsive Cells During Prostate Development, Maturation, and Regeneration","volume":"36","author":[{"family":"He","given":"Yongfeng"},{"family":"Hooker","given":"Erika"},{"family":"Yu","given":"Eun-Jeong"},{"family":"Wu","given":"Huiqing"},{"family":"Cunha","given":"Gerald R."},{"family":"Sun","given":"Zijie"}],"issued":{"date-parts":[["2018",6]]}}}],"schema":"https://github.com/citation-style-language/schema/raw/master/csl-citation.json"} </w:instrText>
      </w:r>
      <w:r w:rsidRPr="002E7761">
        <w:rPr>
          <w:rFonts w:ascii="Times New Roman" w:hAnsi="Times New Roman" w:cs="Times New Roman"/>
          <w:sz w:val="24"/>
          <w:szCs w:val="24"/>
          <w:lang w:val="en-US"/>
        </w:rPr>
        <w:fldChar w:fldCharType="separate"/>
      </w:r>
      <w:r w:rsidR="00167D83" w:rsidRPr="00167D83">
        <w:rPr>
          <w:rFonts w:ascii="Times New Roman" w:hAnsi="Times New Roman" w:cs="Times New Roman"/>
          <w:sz w:val="24"/>
        </w:rPr>
        <w:t>(He et al., 2018)</w:t>
      </w:r>
      <w:r w:rsidRPr="002E7761">
        <w:rPr>
          <w:rFonts w:ascii="Times New Roman" w:hAnsi="Times New Roman" w:cs="Times New Roman"/>
          <w:sz w:val="24"/>
          <w:szCs w:val="24"/>
          <w:lang w:val="en-US"/>
        </w:rPr>
        <w:fldChar w:fldCharType="end"/>
      </w:r>
      <w:r w:rsidRPr="002E7761">
        <w:rPr>
          <w:rFonts w:ascii="Times New Roman" w:hAnsi="Times New Roman" w:cs="Times New Roman"/>
          <w:sz w:val="24"/>
          <w:szCs w:val="24"/>
          <w:lang w:val="en-US"/>
        </w:rPr>
        <w:t xml:space="preserve">. The androgen receptor (AR) signaling pathway, which plays a pivotal role in male sexual development and maintenance of masculine characteristics, is intricately linked to prostate cancer development and progression. </w:t>
      </w:r>
      <w:proofErr w:type="spellStart"/>
      <w:r w:rsidRPr="002E7761">
        <w:rPr>
          <w:rFonts w:ascii="Times New Roman" w:hAnsi="Times New Roman" w:cs="Times New Roman"/>
          <w:sz w:val="24"/>
          <w:szCs w:val="24"/>
          <w:lang w:val="en-US"/>
        </w:rPr>
        <w:t>Dysregulation</w:t>
      </w:r>
      <w:proofErr w:type="spellEnd"/>
      <w:r w:rsidRPr="002E7761">
        <w:rPr>
          <w:rFonts w:ascii="Times New Roman" w:hAnsi="Times New Roman" w:cs="Times New Roman"/>
          <w:sz w:val="24"/>
          <w:szCs w:val="24"/>
          <w:lang w:val="en-US"/>
        </w:rPr>
        <w:t xml:space="preserve"> of AR signaling is often implicated in the pathogenesis of prostate cancer, contributing to disease progression and therapeutic resistance. Genes that support cell growth and survival are activated when AR binds to unique region on the DNA androgen response elements (AREs) </w:t>
      </w:r>
      <w:r w:rsidRPr="002E7761">
        <w:rPr>
          <w:rFonts w:ascii="Times New Roman" w:hAnsi="Times New Roman" w:cs="Times New Roman"/>
          <w:sz w:val="24"/>
          <w:szCs w:val="24"/>
          <w:lang w:val="en-US"/>
        </w:rPr>
        <w:fldChar w:fldCharType="begin"/>
      </w:r>
      <w:r w:rsidRPr="002E7761">
        <w:rPr>
          <w:rFonts w:ascii="Times New Roman" w:hAnsi="Times New Roman" w:cs="Times New Roman"/>
          <w:sz w:val="24"/>
          <w:szCs w:val="24"/>
          <w:lang w:val="en-US"/>
        </w:rPr>
        <w:instrText xml:space="preserve"> ADDIN ZOTERO_ITEM CSL_CITATION {"citationID":"cm8W99Qj","properties":{"formattedCitation":"(Manzar et al., 2023)","plainCitation":"(Manzar et al., 2023)","noteIndex":0},"citationItems":[{"id":235,"uris":["http://zotero.org/users/local/7J0d6nia/items/WDU8X8JX","http://zotero.org/users/11300200/items/WDU8X8JX"],"itemData":{"id":235,"type":"article-journal","abstract":"Transcription factors (TFs) represent the most commonly deregulated DNA-binding class of proteins associated with multiple human cancers. They can act as transcriptional activators or repressors that rewire the cistrome, resulting in cellular reprogramming during cancer progression. Deregulation of TFs is associated with the onset and maintenance of various cancer types including prostate cancer. An emerging subset of TFs has been implicated in the regulation of multiple cancer hallmarks during tumorigenesis. Here, we discuss the role of key TFs which modulate transcriptional cicuitries involved in the development and progression of prostate cancer. We further highlight the role of TFs associated with key cancer hallmarks, including, chromatin remodeling, genome instability, DNA repair, invasion, and metastasis. We also discuss the pluripotent function of TFs in conferring lineage plasticity, that aids in disease progression to neuroendocrine prostate cancer. At the end, we summarize the current understanding and approaches employed for the therapeutic targeting of TFs and their cofactors in the clinical setups to prevent disease progression.","container-title":"Seminars in Cancer Biology","DOI":"10.1016/j.semcancer.2023.01.004","ISSN":"1044-579X","journalAbbreviation":"Seminars in Cancer Biology","language":"en","page":"76-91","source":"ScienceDirect","title":"Transcription networks rewire gene repertoire to coordinate cellular reprograming in prostate cancer","volume":"89","author":[{"family":"Manzar","given":"Nishat"},{"family":"Ganguly","given":"Promit"},{"family":"Khan","given":"Umar Khalid"},{"family":"Ateeq","given":"Bushra"}],"issued":{"date-parts":[["2023",2,1]]}}}],"schema":"https://github.com/citation-style-language/schema/raw/master/csl-citation.json"} </w:instrText>
      </w:r>
      <w:r w:rsidRPr="002E7761">
        <w:rPr>
          <w:rFonts w:ascii="Times New Roman" w:hAnsi="Times New Roman" w:cs="Times New Roman"/>
          <w:sz w:val="24"/>
          <w:szCs w:val="24"/>
          <w:lang w:val="en-US"/>
        </w:rPr>
        <w:fldChar w:fldCharType="separate"/>
      </w:r>
      <w:r w:rsidR="00167D83" w:rsidRPr="00167D83">
        <w:rPr>
          <w:rFonts w:ascii="Times New Roman" w:hAnsi="Times New Roman" w:cs="Times New Roman"/>
          <w:sz w:val="24"/>
        </w:rPr>
        <w:t>(Manzar et al., 2023)</w:t>
      </w:r>
      <w:r w:rsidRPr="002E7761">
        <w:rPr>
          <w:rFonts w:ascii="Times New Roman" w:hAnsi="Times New Roman" w:cs="Times New Roman"/>
          <w:sz w:val="24"/>
          <w:szCs w:val="24"/>
          <w:lang w:val="en-US"/>
        </w:rPr>
        <w:fldChar w:fldCharType="end"/>
      </w:r>
      <w:r w:rsidRPr="002E7761">
        <w:rPr>
          <w:rFonts w:ascii="Times New Roman" w:hAnsi="Times New Roman" w:cs="Times New Roman"/>
          <w:sz w:val="24"/>
          <w:szCs w:val="24"/>
          <w:lang w:val="en-US"/>
        </w:rPr>
        <w:t xml:space="preserve">. In </w:t>
      </w:r>
      <w:proofErr w:type="spellStart"/>
      <w:r w:rsidRPr="002E7761">
        <w:rPr>
          <w:rFonts w:ascii="Times New Roman" w:hAnsi="Times New Roman" w:cs="Times New Roman"/>
          <w:sz w:val="24"/>
          <w:szCs w:val="24"/>
          <w:lang w:val="en-US"/>
        </w:rPr>
        <w:t>PCa</w:t>
      </w:r>
      <w:proofErr w:type="spellEnd"/>
      <w:r w:rsidRPr="002E7761">
        <w:rPr>
          <w:rFonts w:ascii="Times New Roman" w:hAnsi="Times New Roman" w:cs="Times New Roman"/>
          <w:sz w:val="24"/>
          <w:szCs w:val="24"/>
          <w:lang w:val="en-US"/>
        </w:rPr>
        <w:t xml:space="preserve">, AR is expressed more frequently, and its activity is crucial for the growth and survival of prostate cancer cells. Numerous studies have demonstrated that inhibiting AR can successfully stop prostate cancer cells from growing </w:t>
      </w:r>
      <w:r w:rsidRPr="002E7761">
        <w:rPr>
          <w:rFonts w:ascii="Times New Roman" w:hAnsi="Times New Roman" w:cs="Times New Roman"/>
          <w:sz w:val="24"/>
          <w:szCs w:val="24"/>
          <w:lang w:val="en-US"/>
        </w:rPr>
        <w:fldChar w:fldCharType="begin"/>
      </w:r>
      <w:r w:rsidRPr="002E7761">
        <w:rPr>
          <w:rFonts w:ascii="Times New Roman" w:hAnsi="Times New Roman" w:cs="Times New Roman"/>
          <w:sz w:val="24"/>
          <w:szCs w:val="24"/>
          <w:lang w:val="en-US"/>
        </w:rPr>
        <w:instrText xml:space="preserve"> ADDIN ZOTERO_ITEM CSL_CITATION {"citationID":"rSao4rao","properties":{"formattedCitation":"(Fernandez-Perez et al., 2023)","plainCitation":"(Fernandez-Perez et al., 2023)","noteIndex":0},"citationItems":[{"id":329,"uris":["http://zotero.org/users/local/7J0d6nia/items/KZNSFLCQ","http://zotero.org/users/11300200/items/KZNSFLCQ"],"itemData":{"id":329,"type":"article-journal","abstract":"BACKGROUND: There is a considerable need to incorporate biomarkers of resistance to new antiandrogen agents in the management of castration-resistant prostate cancer (CRPC).\nMETHODS: We conducted a phase II trial of enzalutamide in first-line chemo-naïve asymptomatic or minimally symptomatic mCRPC and analyzed the prognostic value of TMPRSS2-ERG and other biomarkers, including circulating tumor cells (CTCs), androgen receptor splice variant (AR-V7) in CTCs and plasma Androgen Receptor copy number gain (AR-gain). These biomarkers were correlated with treatment response and survival outcomes and developed a clinical-molecular prognostic model using penalized cox-proportional hazard model. This model was validated in an independent cohort.\nRESULTS: Ninety-eight patients were included. TMPRSS2-ERG fusion gene was detected in 32 patients with no differences observed in efficacy outcomes. CTC detection was associated with worse outcome and AR-V7 in CTCs was associated with increased rate of progression as best response. Plasma AR gain was strongly associated with an adverse outcome, with worse median prostate specific antigen (PSA)-PFS (4.2 vs. 14.7 m; p &lt; 0.0001), rad-PFS (4.5 vs. 27.6 m; p &lt; 0.0001), and OS (12.7 vs. 38.1 m; p &lt; 0.0001). The clinical prognostic model developed in PREVAIL was validated (C-Index 0.70) and the addition of plasma AR (C-Index 0.79; p &lt; 0.001) increased its prognostic ability. We generated a parsimonious model including alkaline phosphatase (ALP); PSA and AR gain (C-index 0.78) that was validated in an independent cohort.\nCONCLUSIONS: TMPRSS2-ERG detection did not correlate with differential activity of enzalutamide in first-line mCRPC. However, we observed that CTCs and plasma AR gain were the most relevant biomarkers.","container-title":"The Prostate","DOI":"10.1002/pros.24469","ISSN":"1097-0045","issue":"4","journalAbbreviation":"Prostate","language":"eng","note":"PMID: 36564933","page":"376-384","source":"PubMed","title":"A correlative biomarker study and integrative prognostic model in chemotherapy-naïve metastatic castration-resistant prostate cancer treated with enzalutamide","volume":"83","author":[{"family":"Fernandez-Perez","given":"María P."},{"family":"Perez-Navarro","given":"Enrique"},{"family":"Alonso-Gordoa","given":"Teresa"},{"family":"Conteduca","given":"Vicenza"},{"family":"Font","given":"Albert"},{"family":"Vázquez-Estévez","given":"Sergio"},{"family":"González-Del-Alba","given":"Aránzazu"},{"family":"Wetterskog","given":"Daniel"},{"family":"Antonarakis","given":"Emmanuel S."},{"family":"Mellado","given":"Begona"},{"family":"Fernandez-Calvo","given":"Ovidio"},{"family":"Méndez-Vidal","given":"María J."},{"family":"Climent","given":"Miguel A."},{"family":"Duran","given":"Ignacio"},{"family":"Gallardo","given":"Enrique"},{"family":"Rodriguez Sanchez","given":"Angel"},{"family":"Santander","given":"Carmen"},{"family":"Sáez","given":"Maria I."},{"family":"Puente","given":"Javier"},{"family":"Tudela","given":"Julian"},{"family":"Martínez","given":"Alberto"},{"family":"López-Andreo","given":"Maria J."},{"family":"Padilla","given":"José"},{"family":"Lozano","given":"Rebeca"},{"family":"Hervas","given":"David"},{"family":"Luo","given":"Jun"},{"family":"Giorgi","given":"Ugo","non-dropping-particle":"de"},{"family":"Castellano","given":"Daniel"},{"family":"Attard","given":"Gerhardt"},{"family":"Grande","given":"Enrique"},{"family":"Gonzalez-Billalabeitia","given":"Enrique"}],"issued":{"date-parts":[["2023",3]]}}}],"schema":"https://github.com/citation-style-language/schema/raw/master/csl-citation.json"} </w:instrText>
      </w:r>
      <w:r w:rsidRPr="002E7761">
        <w:rPr>
          <w:rFonts w:ascii="Times New Roman" w:hAnsi="Times New Roman" w:cs="Times New Roman"/>
          <w:sz w:val="24"/>
          <w:szCs w:val="24"/>
          <w:lang w:val="en-US"/>
        </w:rPr>
        <w:fldChar w:fldCharType="separate"/>
      </w:r>
      <w:r w:rsidR="00167D83" w:rsidRPr="00167D83">
        <w:rPr>
          <w:rFonts w:ascii="Times New Roman" w:hAnsi="Times New Roman" w:cs="Times New Roman"/>
          <w:sz w:val="24"/>
        </w:rPr>
        <w:t>(Fernandez-Perez et al., 2023)</w:t>
      </w:r>
      <w:r w:rsidRPr="002E7761">
        <w:rPr>
          <w:rFonts w:ascii="Times New Roman" w:hAnsi="Times New Roman" w:cs="Times New Roman"/>
          <w:sz w:val="24"/>
          <w:szCs w:val="24"/>
          <w:lang w:val="en-US"/>
        </w:rPr>
        <w:fldChar w:fldCharType="end"/>
      </w:r>
      <w:r w:rsidRPr="002E7761">
        <w:rPr>
          <w:rFonts w:ascii="Times New Roman" w:hAnsi="Times New Roman" w:cs="Times New Roman"/>
          <w:sz w:val="24"/>
          <w:szCs w:val="24"/>
          <w:lang w:val="en-US"/>
        </w:rPr>
        <w:t>.</w:t>
      </w:r>
    </w:p>
    <w:p w:rsidR="00F77439" w:rsidRPr="002E7761" w:rsidRDefault="00F77439" w:rsidP="006D3376">
      <w:pPr>
        <w:spacing w:line="360" w:lineRule="auto"/>
        <w:jc w:val="both"/>
        <w:rPr>
          <w:rFonts w:ascii="Times New Roman" w:hAnsi="Times New Roman" w:cs="Times New Roman"/>
          <w:bCs/>
          <w:sz w:val="24"/>
          <w:szCs w:val="24"/>
          <w:lang w:val="en-US"/>
        </w:rPr>
      </w:pPr>
      <w:r w:rsidRPr="002E7761">
        <w:rPr>
          <w:rFonts w:ascii="Times New Roman" w:hAnsi="Times New Roman" w:cs="Times New Roman"/>
          <w:bCs/>
          <w:sz w:val="24"/>
          <w:szCs w:val="24"/>
          <w:lang w:val="en-US"/>
        </w:rPr>
        <w:t xml:space="preserve">Prostate cancer is marked by a diverse genetic landscape, encompassing both </w:t>
      </w:r>
      <w:proofErr w:type="spellStart"/>
      <w:r w:rsidRPr="002E7761">
        <w:rPr>
          <w:rFonts w:ascii="Times New Roman" w:hAnsi="Times New Roman" w:cs="Times New Roman"/>
          <w:bCs/>
          <w:sz w:val="24"/>
          <w:szCs w:val="24"/>
          <w:lang w:val="en-US"/>
        </w:rPr>
        <w:t>germline</w:t>
      </w:r>
      <w:proofErr w:type="spellEnd"/>
      <w:r w:rsidRPr="002E7761">
        <w:rPr>
          <w:rFonts w:ascii="Times New Roman" w:hAnsi="Times New Roman" w:cs="Times New Roman"/>
          <w:bCs/>
          <w:sz w:val="24"/>
          <w:szCs w:val="24"/>
          <w:lang w:val="en-US"/>
        </w:rPr>
        <w:t xml:space="preserve"> and somatic mutations </w:t>
      </w:r>
      <w:r w:rsidRPr="002E7761">
        <w:rPr>
          <w:rFonts w:ascii="Times New Roman" w:hAnsi="Times New Roman" w:cs="Times New Roman"/>
          <w:bCs/>
          <w:sz w:val="24"/>
          <w:szCs w:val="24"/>
          <w:lang w:val="en-US"/>
        </w:rPr>
        <w:fldChar w:fldCharType="begin"/>
      </w:r>
      <w:r w:rsidRPr="002E7761">
        <w:rPr>
          <w:rFonts w:ascii="Times New Roman" w:hAnsi="Times New Roman" w:cs="Times New Roman"/>
          <w:bCs/>
          <w:sz w:val="24"/>
          <w:szCs w:val="24"/>
          <w:lang w:val="en-US"/>
        </w:rPr>
        <w:instrText xml:space="preserve"> ADDIN ZOTERO_ITEM CSL_CITATION {"citationID":"gdBGjTBd","properties":{"formattedCitation":"(Stover et al., 2022)","plainCitation":"(Stover et al., 2022)","noteIndex":0},"citationItems":[{"id":407,"uris":["http://zotero.org/users/11300200/items/XEIUCQSI"],"itemData":{"id":407,"type":"article-journal","abstract":"Abstract\n            \n              Background\n              Primary and metastatic prostate cancers have low mutation rates and recurrent alterations in a small set of genes, enabling targeted sequencing of prostate cancer‐associated genes as an efficient approach to characterizing patient samples (compared to whole‐exome and whole‐genome sequencing). For example, targeted sequencing provides a flexible, rapid, and cost‐effective method for genomic assessment of patient‐derived cell lines to evaluate fidelity to initial patient tumor samples.\n            \n            \n              Methods\n              We developed a prostate cancer‐specific targeted next‐generation sequencing (NGS) panel to detect alterations in 62 prostate cancer‐associated genes as well as recurring gene fusions with ETS family members, representing the majority of common alterations in prostate cancer. We tested this panel on primary prostate cancer tissues and blood biopsies from patients with metastatic prostate cancer. We generated patient‐derived cell lines from primary prostate cancers using conditional reprogramming methods and applied targeted sequencing to evaluate the fidelity of these cell lines to the original patient tumors.\n            \n            \n              Results\n              The prostate cancer‐specific panel identified biologically and clinically relevant alterations, including point mutations in driver oncogenes and ETS family fusion genes, in tumor tissues from 29 radical prostatectomy samples. The targeted panel also identified genomic alterations in cell‐free DNA and circulating tumor cells (CTCs) from patients with metastatic prostate cancer, and in standard prostate cancer cell lines. We used the targeted panel to sequence our set of patient‐derived cell lines; however, no prostate cancer‐specific mutations were identified in the tumor‐derived cell lines, suggesting preferential outgrowth of normal prostate epithelial cells.\n            \n            \n              Conclusions\n              We evaluated a prostate cancer‐specific targeted NGS panel to detect common and clinically relevant alterations (including ETS family gene fusions) in prostate cancer. The panel detected driver mutations in a diverse set of clinical samples of prostate cancer, including fresh‐frozen tumors, cell‐free DNA, CTCs, and cell lines. Targeted sequencing of patient‐derived cell lines highlights the challenge of deriving cell lines from primary prostate cancers and the importance of genomic characterization to credential candidate cell lines. Our study supports that a prostate cancer‐specific targeted sequencing panel provides an efficient, clinically feasible approach to identify genetic alterations across a spectrum of prostate cancer samples and cell lines.","container-title":"The Prostate","DOI":"10.1002/pros.24305","ISSN":"0270-4137, 1097-0045","issue":"5","journalAbbreviation":"The Prostate","language":"en","page":"584-597","source":"DOI.org (Crossref)","title":"Implementation of a prostate cancer‐specific targeted sequencing panel for credentialing of patient‐derived cell lines and genomic characterization of patient samples","volume":"82","author":[{"family":"Stover","given":"Elizabeth H."},{"family":"Oh","given":"Coyin"},{"family":"Keskula","given":"Paula"},{"family":"Choudhury","given":"Atish D."},{"family":"Tseng","given":"Yuen‐Yi"},{"family":"Adalsteinsson","given":"Viktor A."},{"family":"Lohr","given":"Jens G."},{"family":"Thorner","given":"Aaron R."},{"family":"Ducar","given":"Matthew"},{"family":"Kryukov","given":"Gregory V."},{"family":"Ha","given":"Gavin"},{"family":"Rosenberg","given":"Mara"},{"family":"Freeman","given":"Samuel S."},{"family":"Zhang","given":"Zhenwei"},{"family":"Wu","given":"Xiaoyun"},{"family":"Van Allen","given":"Eliezer M."},{"family":"Takeda","given":"David Y."},{"family":"Loda","given":"Massimo"},{"family":"Wu","given":"Chin‐Lee"},{"family":"Taplin","given":"Mary‐Ellen"},{"family":"Garraway","given":"Levi A."},{"family":"Boehm","given":"Jesse S."},{"family":"Huang","given":"Franklin W."}],"issued":{"date-parts":[["2022",4]]}}}],"schema":"https://github.com/citation-style-language/schema/raw/master/csl-citation.json"} </w:instrText>
      </w:r>
      <w:r w:rsidRPr="002E7761">
        <w:rPr>
          <w:rFonts w:ascii="Times New Roman" w:hAnsi="Times New Roman" w:cs="Times New Roman"/>
          <w:bCs/>
          <w:sz w:val="24"/>
          <w:szCs w:val="24"/>
          <w:lang w:val="en-US"/>
        </w:rPr>
        <w:fldChar w:fldCharType="separate"/>
      </w:r>
      <w:r w:rsidR="00167D83" w:rsidRPr="00167D83">
        <w:rPr>
          <w:rFonts w:ascii="Times New Roman" w:hAnsi="Times New Roman" w:cs="Times New Roman"/>
          <w:sz w:val="24"/>
        </w:rPr>
        <w:t>(Stover et al., 2022)</w:t>
      </w:r>
      <w:r w:rsidRPr="002E7761">
        <w:rPr>
          <w:rFonts w:ascii="Times New Roman" w:hAnsi="Times New Roman" w:cs="Times New Roman"/>
          <w:bCs/>
          <w:sz w:val="24"/>
          <w:szCs w:val="24"/>
          <w:lang w:val="en-US"/>
        </w:rPr>
        <w:fldChar w:fldCharType="end"/>
      </w:r>
      <w:r w:rsidRPr="002E7761">
        <w:rPr>
          <w:rFonts w:ascii="Times New Roman" w:hAnsi="Times New Roman" w:cs="Times New Roman"/>
          <w:bCs/>
          <w:sz w:val="24"/>
          <w:szCs w:val="24"/>
          <w:lang w:val="en-US"/>
        </w:rPr>
        <w:t xml:space="preserve">. </w:t>
      </w:r>
      <w:proofErr w:type="spellStart"/>
      <w:r w:rsidRPr="002E7761">
        <w:rPr>
          <w:rFonts w:ascii="Times New Roman" w:hAnsi="Times New Roman" w:cs="Times New Roman"/>
          <w:bCs/>
          <w:sz w:val="24"/>
          <w:szCs w:val="24"/>
          <w:lang w:val="en-US"/>
        </w:rPr>
        <w:t>Germline</w:t>
      </w:r>
      <w:proofErr w:type="spellEnd"/>
      <w:r w:rsidRPr="002E7761">
        <w:rPr>
          <w:rFonts w:ascii="Times New Roman" w:hAnsi="Times New Roman" w:cs="Times New Roman"/>
          <w:bCs/>
          <w:sz w:val="24"/>
          <w:szCs w:val="24"/>
          <w:lang w:val="en-US"/>
        </w:rPr>
        <w:t xml:space="preserve"> mutations, such as those in BRCA1, BRCA2, and HOXB13 genes, can confer an increased risk of prostate cancer. Somatic mutations in genes like TP53, PTEN, and SPOP are frequent drivers of disease progression </w:t>
      </w:r>
      <w:r w:rsidRPr="002E7761">
        <w:rPr>
          <w:rFonts w:ascii="Times New Roman" w:hAnsi="Times New Roman" w:cs="Times New Roman"/>
          <w:bCs/>
          <w:sz w:val="24"/>
          <w:szCs w:val="24"/>
          <w:lang w:val="en-US"/>
        </w:rPr>
        <w:fldChar w:fldCharType="begin"/>
      </w:r>
      <w:r w:rsidRPr="002E7761">
        <w:rPr>
          <w:rFonts w:ascii="Times New Roman" w:hAnsi="Times New Roman" w:cs="Times New Roman"/>
          <w:bCs/>
          <w:sz w:val="24"/>
          <w:szCs w:val="24"/>
          <w:lang w:val="en-US"/>
        </w:rPr>
        <w:instrText xml:space="preserve"> ADDIN ZOTERO_ITEM CSL_CITATION {"citationID":"4SvBTD3J","properties":{"formattedCitation":"(Abeshouse et al., 2015)","plainCitation":"(Abeshouse et al., 2015)","noteIndex":0},"citationItems":[{"id":59,"uris":["http://zotero.org/users/11300200/items/FHA3MTWY"],"itemData":{"id":59,"type":"article-journal","container-title":"Cell","DOI":"10.1016/j.cell.2015.10.025","ISSN":"00928674","issue":"4","journalAbbreviation":"Cell","language":"en","page":"1011-1025","source":"DOI.org (Crossref)","title":"The Molecular Taxonomy of Primary Prostate Cancer","volume":"163","author":[{"family":"Abeshouse","given":"Adam"},{"family":"Ahn","given":"Jaeil"},{"family":"Akbani","given":"Rehan"},{"family":"Ally","given":"Adrian"},{"family":"Amin","given":"Samirkumar"},{"family":"Andry","given":"Christopher D."},{"family":"Annala","given":"Matti"},{"family":"Aprikian","given":"Armen"},{"family":"Armenia","given":"Joshua"},{"family":"Arora","given":"Arshi"},{"family":"Auman","given":"J. Todd"},{"family":"Balasundaram","given":"Miruna"},{"family":"Balu","given":"Saianand"},{"family":"Barbieri","given":"Christopher E."},{"family":"Bauer","given":"Thomas"},{"family":"Benz","given":"Christopher C."},{"family":"Bergeron","given":"Alain"},{"family":"Beroukhim","given":"Rameen"},{"family":"Berrios","given":"Mario"},{"family":"Bivol","given":"Adrian"},{"family":"Bodenheimer","given":"Tom"},{"family":"Boice","given":"Lori"},{"family":"Bootwalla","given":"Moiz S."},{"family":"Borges dos Reis","given":"Rodolfo"},{"family":"Boutros","given":"Paul C."},{"family":"Bowen","given":"Jay"},{"family":"Bowlby","given":"Reanne"},{"family":"Boyd","given":"Jeffrey"},{"family":"Bradley","given":"Robert K."},{"family":"Breggia","given":"Anne"},{"family":"Brimo","given":"Fadi"},{"family":"Bristow","given":"Christopher A."},{"family":"Brooks","given":"Denise"},{"family":"Broom","given":"Bradley M."},{"family":"Bryce","given":"Alan H."},{"family":"Bubley","given":"Glenn"},{"family":"Burks","given":"Eric"},{"family":"Butterfield","given":"Yaron S.N."},{"family":"Button","given":"Michael"},{"family":"Canes","given":"David"},{"family":"Carlotti","given":"Carlos G."},{"family":"Carlsen","given":"Rebecca"},{"family":"Carmel","given":"Michel"},{"family":"Carroll","given":"Peter R."},{"family":"Carter","given":"Scott L."},{"family":"Cartun","given":"Richard"},{"family":"Carver","given":"Brett S."},{"family":"Chan","given":"June M."},{"family":"Chang","given":"Matthew T."},{"family":"Chen","given":"Yu"},{"family":"Cherniack","given":"Andrew D."},{"family":"Chevalier","given":"Simone"},{"family":"Chin","given":"Lynda"},{"family":"Cho","given":"Juok"},{"family":"Chu","given":"Andy"},{"family":"Chuah","given":"Eric"},{"family":"Chudamani","given":"Sudha"},{"family":"Cibulskis","given":"Kristian"},{"family":"Ciriello","given":"Giovanni"},{"family":"Clarke","given":"Amanda"},{"family":"Cooperberg","given":"Matthew R."},{"family":"Corcoran","given":"Niall M."},{"family":"Costello","given":"Anthony J."},{"family":"Cowan","given":"Janet"},{"family":"Crain","given":"Daniel"},{"family":"Curley","given":"Erin"},{"family":"David","given":"Kerstin"},{"family":"Demchok","given":"John A."},{"family":"Demichelis","given":"Francesca"},{"family":"Dhalla","given":"Noreen"},{"family":"Dhir","given":"Rajiv"},{"family":"Doueik","given":"Alexandre"},{"family":"Drake","given":"Bettina"},{"family":"Dvinge","given":"Heidi"},{"family":"Dyakova","given":"Natalya"},{"family":"Felau","given":"Ina"},{"family":"Ferguson","given":"Martin L."},{"family":"Frazer","given":"Scott"},{"family":"Freedland","given":"Stephen"},{"family":"Fu","given":"Yao"},{"family":"Gabriel","given":"Stacey B."},{"family":"Gao","given":"Jianjiong"},{"family":"Gardner","given":"Johanna"},{"family":"Gastier-Foster","given":"Julie M."},{"family":"Gehlenborg","given":"Nils"},{"family":"Gerken","given":"Mark"},{"family":"Gerstein","given":"Mark B."},{"family":"Getz","given":"Gad"},{"family":"Godwin","given":"Andrew K."},{"family":"Gopalan","given":"Anuradha"},{"family":"Graefen","given":"Markus"},{"family":"Graim","given":"Kiley"},{"family":"Gribbin","given":"Thomas"},{"family":"Guin","given":"Ranabir"},{"family":"Gupta","given":"Manaswi"},{"family":"Hadjipanayis","given":"Angela"},{"family":"Haider","given":"Syed"},{"family":"Hamel","given":"Lucie"},{"family":"Hayes","given":"D. Neil"},{"family":"Heiman","given":"David I."},{"family":"Hess","given":"Julian"},{"family":"Hoadley","given":"Katherine A."},{"family":"Holbrook","given":"Andrea H."},{"family":"Holt","given":"Robert A."},{"family":"Holway","given":"Antonia"},{"family":"Hovens","given":"Christopher M."},{"family":"Hoyle","given":"Alan P."},{"family":"Huang","given":"Mei"},{"family":"Hutter","given":"Carolyn M."},{"family":"Ittmann","given":"Michael"},{"family":"Iype","given":"Lisa"},{"family":"Jefferys","given":"Stuart R."},{"family":"Jones","given":"Corbin D."},{"family":"Jones","given":"Steven J.M."},{"family":"Juhl","given":"Hartmut"},{"family":"Kahles","given":"Andre"},{"family":"Kane","given":"Christopher J."},{"family":"Kasaian","given":"Katayoon"},{"family":"Kerger","given":"Michael"},{"family":"Khurana","given":"Ekta"},{"family":"Kim","given":"Jaegil"},{"family":"Klein","given":"Robert J."},{"family":"Kucherlapati","given":"Raju"},{"family":"Lacombe","given":"Louis"},{"family":"Ladanyi","given":"Marc"},{"family":"Lai","given":"Phillip H."},{"family":"Laird","given":"Peter W."},{"family":"Lander","given":"Eric S."},{"family":"Latour","given":"Mathieu"},{"family":"Lawrence","given":"Michael S."},{"family":"Lau","given":"Kevin"},{"family":"LeBien","given":"Tucker"},{"family":"Lee","given":"Darlene"},{"family":"Lee","given":"Semin"},{"family":"Lehmann","given":"Kjong-Van"},{"family":"Leraas","given":"Kristen M."},{"family":"Leshchiner","given":"Ignaty"},{"family":"Leung","given":"Robert"},{"family":"Libertino","given":"John A."},{"family":"Lichtenberg","given":"Tara M."},{"family":"Lin","given":"Pei"},{"family":"Linehan","given":"W. Marston"},{"family":"Ling","given":"Shiyun"},{"family":"Lippman","given":"Scott M."},{"family":"Liu","given":"Jia"},{"family":"Liu","given":"Wenbin"},{"family":"Lochovsky","given":"Lucas"},{"family":"Loda","given":"Massimo"},{"family":"Logothetis","given":"Christopher"},{"family":"Lolla","given":"Laxmi"},{"family":"Longacre","given":"Teri"},{"family":"Lu","given":"Yiling"},{"family":"Luo","given":"Jianhua"},{"family":"Ma","given":"Yussanne"},{"family":"Mahadeshwar","given":"Harshad S."},{"family":"Mallery","given":"David"},{"family":"Mariamidze","given":"Armaz"},{"family":"Marra","given":"Marco A."},{"family":"Mayo","given":"Michael"},{"family":"McCall","given":"Shannon"},{"family":"McKercher","given":"Ginette"},{"family":"Meng","given":"Shaowu"},{"family":"Mes-Masson","given":"Anne-Marie"},{"family":"Merino","given":"Maria J."},{"family":"Meyerson","given":"Matthew"},{"family":"Mieczkowski","given":"Piotr A."},{"family":"Mills","given":"Gordon B."},{"family":"Shaw","given":"Kenna R. Mills"},{"family":"Minner","given":"Sarah"},{"family":"Moinzadeh","given":"Alireza"},{"family":"Moore","given":"Richard A."},{"family":"Morris","given":"Scott"},{"family":"Morrison","given":"Carl"},{"family":"Mose","given":"Lisle E."},{"family":"Mungall","given":"Andrew J."},{"family":"Murray","given":"Bradley A."},{"family":"Myers","given":"Jerome B."},{"family":"Naresh","given":"Rashi"},{"family":"Nelson","given":"Joel"},{"family":"Nelson","given":"Mark A."},{"family":"Nelson","given":"Peter S."},{"family":"Newton","given":"Yulia"},{"family":"Noble","given":"Michael S."},{"family":"Noushmehr","given":"Houtan"},{"family":"Nykter","given":"Matti"},{"family":"Pantazi","given":"Angeliki"},{"family":"Parfenov","given":"Michael"},{"family":"Park","given":"Peter J."},{"family":"Parker","given":"Joel S."},{"family":"Paulauskis","given":"Joseph"},{"family":"Penny","given":"Robert"},{"family":"Perou","given":"Charles M."},{"family":"Piché","given":"Alain"},{"family":"Pihl","given":"Todd"},{"family":"Pinto","given":"Peter A."},{"family":"Prandi","given":"Davide"},{"family":"Protopopov","given":"Alexei"},{"family":"Ramirez","given":"Nilsa C."},{"family":"Rao","given":"Arvind"},{"family":"Rathmell","given":"W. Kimryn"},{"family":"Rätsch","given":"Gunnar"},{"family":"Ren","given":"Xiaojia"},{"family":"Reuter","given":"Victor E."},{"family":"Reynolds","given":"Sheila M."},{"family":"Rhie","given":"Suhn K."},{"family":"Rieger-Christ","given":"Kimberly"},{"family":"Roach","given":"Jeffrey"},{"family":"Robertson","given":"A. Gordon"},{"family":"Robinson","given":"Brian"},{"family":"Rubin","given":"Mark A."},{"family":"Saad","given":"Fred"},{"family":"Sadeghi","given":"Sara"},{"family":"Saksena","given":"Gordon"},{"family":"Saller","given":"Charles"},{"family":"Salner","given":"Andrew"},{"family":"Sanchez-Vega","given":"Francisco"},{"family":"Sander","given":"Chris"},{"family":"Sandusky","given":"George"},{"family":"Sauter","given":"Guido"},{"family":"Sboner","given":"Andrea"},{"family":"Scardino","given":"Peter T."},{"family":"Scarlata","given":"Eleonora"},{"family":"Schein","given":"Jacqueline E."},{"family":"Schlomm","given":"Thorsten"},{"family":"Schmidt","given":"Laura S."},{"family":"Schultz","given":"Nikolaus"},{"family":"Schumacher","given":"Steven E."},{"family":"Seidman","given":"Jonathan"},{"family":"Neder","given":"Luciano"},{"family":"Seth","given":"Sahil"},{"family":"Sharp","given":"Alexis"},{"family":"Shelton","given":"Candace"},{"family":"Shelton","given":"Troy"},{"family":"Shen","given":"Hui"},{"family":"Shen","given":"Ronglai"},{"family":"Sherman","given":"Mark"},{"family":"Sheth","given":"Margi"},{"family":"Shi","given":"Yan"},{"family":"Shih","given":"Juliann"},{"family":"Shmulevich","given":"Ilya"},{"family":"Simko","given":"Jeffry"},{"family":"Simon","given":"Ronald"},{"family":"Simons","given":"Janae V."},{"family":"Sipahimalani","given":"Payal"},{"family":"Skelly","given":"Tara"},{"family":"Sofia","given":"Heidi J."},{"family":"Soloway","given":"Matthew G."},{"family":"Song","given":"Xingzhi"},{"family":"Sorcini","given":"Andrea"},{"family":"Sougnez","given":"Carrie"},{"family":"Stepa","given":"Serghei"},{"family":"Stewart","given":"Chip"},{"family":"Stewart","given":"John"},{"family":"Stuart","given":"Joshua M."},{"family":"Sullivan","given":"Travis B."},{"family":"Sun","given":"Charlie"},{"family":"Sun","given":"Huandong"},{"family":"Tam","given":"Angela"},{"family":"Tan","given":"Donghui"},{"family":"Tang","given":"Jiabin"},{"family":"Tarnuzzer","given":"Roy"},{"family":"Tarvin","given":"Katherine"},{"family":"Taylor","given":"Barry S."},{"family":"Teebagy","given":"Patrick"},{"family":"Tenggara","given":"Imelda"},{"family":"Têtu","given":"Bernard"},{"family":"Tewari","given":"Ashutosh"},{"family":"Thiessen","given":"Nina"},{"family":"Thompson","given":"Timothy"},{"family":"Thorne","given":"Leigh B."},{"family":"Tirapelli","given":"Daniela P."},{"family":"Tomlins","given":"Scott A."},{"family":"Trevisan","given":"Felipe Amstalden"},{"family":"Troncoso","given":"Patricia"},{"family":"True","given":"Lawrence D."},{"family":"Tsourlakis","given":"Maria Christina"},{"family":"Tyekucheva","given":"Svitlana"},{"family":"Van Allen","given":"Eliezer"},{"family":"Van Den Berg","given":"David J."},{"family":"Veluvolu","given":"Umadevi"},{"family":"Verhaak","given":"Roel"},{"family":"Vocke","given":"Cathy D."},{"family":"Voet","given":"Doug"},{"family":"Wan","given":"Yunhu"},{"family":"Wang","given":"Qingguo"},{"family":"Wang","given":"Wenyi"},{"family":"Wang","given":"Zhining"},{"family":"Weinhold","given":"Nils"},{"family":"Weinstein","given":"John N."},{"family":"Weisenberger","given":"Daniel J."},{"family":"Wilkerson","given":"Matthew D."},{"family":"Wise","given":"Lisa"},{"family":"Witte","given":"John"},{"family":"Wu","given":"Chia-Chin"},{"family":"Wu","given":"Junyuan"},{"family":"Wu","given":"Ye"},{"family":"Xu","given":"Andrew W."},{"family":"Yadav","given":"Shalini S."},{"family":"Yang","given":"Liming"},{"family":"Yang","given":"Lixing"},{"family":"Yau","given":"Christina"},{"family":"Ye","given":"Huihui"},{"family":"Yena","given":"Peggy"},{"family":"Zeng","given":"Thomas"},{"family":"Zenklusen","given":"Jean C."},{"family":"Zhang","given":"Hailei"},{"family":"Zhang","given":"Jianhua"},{"family":"Zhang","given":"Jiashan"},{"family":"Zhang","given":"Wei"},{"family":"Zhong","given":"Yi"},{"family":"Zhu","given":"Kelsey"},{"family":"Zmuda","given":"Erik"}],"issued":{"date-parts":[["2015",11]]}}}],"schema":"https://github.com/citation-style-language/schema/raw/master/csl-citation.json"} </w:instrText>
      </w:r>
      <w:r w:rsidRPr="002E7761">
        <w:rPr>
          <w:rFonts w:ascii="Times New Roman" w:hAnsi="Times New Roman" w:cs="Times New Roman"/>
          <w:bCs/>
          <w:sz w:val="24"/>
          <w:szCs w:val="24"/>
          <w:lang w:val="en-US"/>
        </w:rPr>
        <w:fldChar w:fldCharType="separate"/>
      </w:r>
      <w:r w:rsidR="00167D83" w:rsidRPr="00167D83">
        <w:rPr>
          <w:rFonts w:ascii="Times New Roman" w:hAnsi="Times New Roman" w:cs="Times New Roman"/>
          <w:sz w:val="24"/>
        </w:rPr>
        <w:t>(Abeshouse et al., 2015)</w:t>
      </w:r>
      <w:r w:rsidRPr="002E7761">
        <w:rPr>
          <w:rFonts w:ascii="Times New Roman" w:hAnsi="Times New Roman" w:cs="Times New Roman"/>
          <w:sz w:val="24"/>
          <w:szCs w:val="24"/>
          <w:lang w:val="en-US"/>
        </w:rPr>
        <w:fldChar w:fldCharType="end"/>
      </w:r>
      <w:r w:rsidRPr="002E7761">
        <w:rPr>
          <w:rFonts w:ascii="Times New Roman" w:hAnsi="Times New Roman" w:cs="Times New Roman"/>
          <w:bCs/>
          <w:sz w:val="24"/>
          <w:szCs w:val="24"/>
          <w:lang w:val="en-US"/>
        </w:rPr>
        <w:t xml:space="preserve">. Within the realm of primary prostate cancers, there is a notable occurrence of recurring mutations in genes such as TP53, SPOP, and FOXA1 </w:t>
      </w:r>
      <w:r w:rsidRPr="002E7761">
        <w:rPr>
          <w:rFonts w:ascii="Times New Roman" w:hAnsi="Times New Roman" w:cs="Times New Roman"/>
          <w:bCs/>
          <w:sz w:val="24"/>
          <w:szCs w:val="24"/>
          <w:lang w:val="en-US"/>
        </w:rPr>
        <w:fldChar w:fldCharType="begin"/>
      </w:r>
      <w:r w:rsidRPr="002E7761">
        <w:rPr>
          <w:rFonts w:ascii="Times New Roman" w:hAnsi="Times New Roman" w:cs="Times New Roman"/>
          <w:bCs/>
          <w:sz w:val="24"/>
          <w:szCs w:val="24"/>
          <w:lang w:val="en-US"/>
        </w:rPr>
        <w:instrText xml:space="preserve"> ADDIN ZOTERO_ITEM CSL_CITATION {"citationID":"zLrL5rw3","properties":{"formattedCitation":"(PCF/SU2C International Prostate Cancer Dream Team et al., 2018)","plainCitation":"(PCF/SU2C International Prostate Cancer Dream Team et al., 2018)","noteIndex":0},"citationItems":[{"id":408,"uris":["http://zotero.org/users/11300200/items/KPG88HAW"],"itemData":{"id":408,"type":"article-journal","container-title":"Nature Genetics","DOI":"10.1038/s41588-018-0078-z","ISSN":"1061-4036, 1546-1718","issue":"5","journalAbbreviation":"Nat Genet","language":"en","page":"645-651","source":"DOI.org (Crossref)","title":"The long tail of oncogenic drivers in prostate cancer","volume":"50","author":[{"literal":"PCF/SU2C International Prostate Cancer Dream Team"},{"family":"Armenia","given":"Joshua"},{"family":"Wankowicz","given":"Stephanie A. M."},{"family":"Liu","given":"David"},{"family":"Gao","given":"Jianjiong"},{"family":"Kundra","given":"Ritika"},{"family":"Reznik","given":"Ed"},{"family":"Chatila","given":"Walid K."},{"family":"Chakravarty","given":"Debyani"},{"family":"Han","given":"G. Celine"},{"family":"Coleman","given":"Ilsa"},{"family":"Montgomery","given":"Bruce"},{"family":"Pritchard","given":"Colin"},{"family":"Morrissey","given":"Colm"},{"family":"Barbieri","given":"Christopher E."},{"family":"Beltran","given":"Himisha"},{"family":"Sboner","given":"Andrea"},{"family":"Zafeiriou","given":"Zafeiris"},{"family":"Miranda","given":"Susana"},{"family":"Bielski","given":"Craig M."},{"family":"Penson","given":"Alexander V."},{"family":"Tolonen","given":"Charlotte"},{"family":"Huang","given":"Franklin W."},{"family":"Robinson","given":"Dan"},{"family":"Wu","given":"Yi Mi"},{"family":"Lonigro","given":"Robert"},{"family":"Garraway","given":"Levi A."},{"family":"Demichelis","given":"Francesca"},{"family":"Kantoff","given":"Philip W."},{"family":"Taplin","given":"Mary-Ellen"},{"family":"Abida","given":"Wassim"},{"family":"Taylor","given":"Barry S."},{"family":"Scher","given":"Howard I."},{"family":"Nelson","given":"Peter S."},{"family":"De Bono","given":"Johann S."},{"family":"Rubin","given":"Mark A."},{"family":"Sawyers","given":"Charles L."},{"family":"Chinnaiyan","given":"Arul M."},{"family":"Schultz","given":"Nikolaus"},{"family":"Van Allen","given":"Eliezer M."}],"issued":{"date-parts":[["2018",5]]}}}],"schema":"https://github.com/citation-style-language/schema/raw/master/csl-citation.json"} </w:instrText>
      </w:r>
      <w:r w:rsidRPr="002E7761">
        <w:rPr>
          <w:rFonts w:ascii="Times New Roman" w:hAnsi="Times New Roman" w:cs="Times New Roman"/>
          <w:bCs/>
          <w:sz w:val="24"/>
          <w:szCs w:val="24"/>
          <w:lang w:val="en-US"/>
        </w:rPr>
        <w:fldChar w:fldCharType="separate"/>
      </w:r>
      <w:r w:rsidR="00167D83" w:rsidRPr="00167D83">
        <w:rPr>
          <w:rFonts w:ascii="Times New Roman" w:hAnsi="Times New Roman" w:cs="Times New Roman"/>
          <w:sz w:val="24"/>
        </w:rPr>
        <w:t>(PCF/SU2C International Prostate Cancer Dream Team et al., 2018)</w:t>
      </w:r>
      <w:r w:rsidRPr="002E7761">
        <w:rPr>
          <w:rFonts w:ascii="Times New Roman" w:hAnsi="Times New Roman" w:cs="Times New Roman"/>
          <w:bCs/>
          <w:sz w:val="24"/>
          <w:szCs w:val="24"/>
          <w:lang w:val="en-US"/>
        </w:rPr>
        <w:fldChar w:fldCharType="end"/>
      </w:r>
      <w:r w:rsidRPr="002E7761">
        <w:rPr>
          <w:rFonts w:ascii="Times New Roman" w:hAnsi="Times New Roman" w:cs="Times New Roman"/>
          <w:bCs/>
          <w:sz w:val="24"/>
          <w:szCs w:val="24"/>
          <w:lang w:val="en-US"/>
        </w:rPr>
        <w:t xml:space="preserve">. Additionally, it's common to observe deletions affecting RB1, PTEN, and CHD1, as well as amplifications involving MYC </w:t>
      </w:r>
      <w:r w:rsidRPr="002E7761">
        <w:rPr>
          <w:rFonts w:ascii="Times New Roman" w:hAnsi="Times New Roman" w:cs="Times New Roman"/>
          <w:bCs/>
          <w:sz w:val="24"/>
          <w:szCs w:val="24"/>
          <w:lang w:val="en-US"/>
        </w:rPr>
        <w:fldChar w:fldCharType="begin"/>
      </w:r>
      <w:r w:rsidRPr="002E7761">
        <w:rPr>
          <w:rFonts w:ascii="Times New Roman" w:hAnsi="Times New Roman" w:cs="Times New Roman"/>
          <w:bCs/>
          <w:sz w:val="24"/>
          <w:szCs w:val="24"/>
          <w:lang w:val="en-US"/>
        </w:rPr>
        <w:instrText xml:space="preserve"> ADDIN ZOTERO_ITEM CSL_CITATION {"citationID":"rWvg2bJk","properties":{"formattedCitation":"(Quigley et al., 2018)","plainCitation":"(Quigley et al., 2018)","noteIndex":0},"citationItems":[{"id":56,"uris":["http://zotero.org/users/11300200/items/75MMNFL4"],"itemData":{"id":56,"type":"article-journal","container-title":"Cell","DOI":"10.1016/j.cell.2018.06.039","ISSN":"00928674","issue":"3","journalAbbreviation":"Cell","language":"en","page":"758-769.e9","source":"DOI.org (Crossref)","title":"Genomic Hallmarks and Structural Variation in Metastatic Prostate Cancer","volume":"174","author":[{"family":"Quigley","given":"David A."},{"family":"Dang","given":"Ha X."},{"family":"Zhao","given":"Shuang G."},{"family":"Lloyd","given":"Paul"},{"family":"Aggarwal","given":"Rahul"},{"family":"Alumkal","given":"Joshi J."},{"family":"Foye","given":"Adam"},{"family":"Kothari","given":"Vishal"},{"family":"Perry","given":"Marc D."},{"family":"Bailey","given":"Adina M."},{"family":"Playdle","given":"Denise"},{"family":"Barnard","given":"Travis J."},{"family":"Zhang","given":"Li"},{"family":"Zhang","given":"Jin"},{"family":"Youngren","given":"Jack F."},{"family":"Cieslik","given":"Marcin P."},{"family":"Parolia","given":"Abhijit"},{"family":"Beer","given":"Tomasz M."},{"family":"Thomas","given":"George"},{"family":"Chi","given":"Kim N."},{"family":"Gleave","given":"Martin"},{"family":"Lack","given":"Nathan A."},{"family":"Zoubeidi","given":"Amina"},{"family":"Reiter","given":"Robert E."},{"family":"Rettig","given":"Matthew B."},{"family":"Witte","given":"Owen"},{"family":"Ryan","given":"Charles J."},{"family":"Fong","given":"Lawrence"},{"family":"Kim","given":"Won"},{"family":"Friedlander","given":"Terence"},{"family":"Chou","given":"Jonathan"},{"family":"Li","given":"Haolong"},{"family":"Das","given":"Rajdeep"},{"family":"Li","given":"Hui"},{"family":"Moussavi-Baygi","given":"Ruhollah"},{"family":"Goodarzi","given":"Hani"},{"family":"Gilbert","given":"Luke A."},{"family":"Lara","given":"Primo N."},{"family":"Evans","given":"Christopher P."},{"family":"Goldstein","given":"Theodore C."},{"family":"Stuart","given":"Joshua M."},{"family":"Tomlins","given":"Scott A."},{"family":"Spratt","given":"Daniel E."},{"family":"Cheetham","given":"R. Keira"},{"family":"Cheng","given":"Donavan T."},{"family":"Farh","given":"Kyle"},{"family":"Gehring","given":"Julian S."},{"family":"Hakenberg","given":"Jörg"},{"family":"Liao","given":"Arnold"},{"family":"Febbo","given":"Philip G."},{"family":"Shon","given":"John"},{"family":"Sickler","given":"Brad"},{"family":"Batzoglou","given":"Serafim"},{"family":"Knudsen","given":"Karen E."},{"family":"He","given":"Housheng H."},{"family":"Huang","given":"Jiaoti"},{"family":"Wyatt","given":"Alexander W."},{"family":"Dehm","given":"Scott M."},{"family":"Ashworth","given":"Alan"},{"family":"Chinnaiyan","given":"Arul M."},{"family":"Maher","given":"Christopher A."},{"family":"Small","given":"Eric J."},{"family":"Feng","given":"Felix Y."}],"issued":{"date-parts":[["2018",7]]}}}],"schema":"https://github.com/citation-style-language/schema/raw/master/csl-citation.json"} </w:instrText>
      </w:r>
      <w:r w:rsidRPr="002E7761">
        <w:rPr>
          <w:rFonts w:ascii="Times New Roman" w:hAnsi="Times New Roman" w:cs="Times New Roman"/>
          <w:bCs/>
          <w:sz w:val="24"/>
          <w:szCs w:val="24"/>
          <w:lang w:val="en-US"/>
        </w:rPr>
        <w:fldChar w:fldCharType="separate"/>
      </w:r>
      <w:r w:rsidR="00167D83" w:rsidRPr="00167D83">
        <w:rPr>
          <w:rFonts w:ascii="Times New Roman" w:hAnsi="Times New Roman" w:cs="Times New Roman"/>
          <w:sz w:val="24"/>
        </w:rPr>
        <w:t>(Quigley et al., 2018)</w:t>
      </w:r>
      <w:r w:rsidRPr="002E7761">
        <w:rPr>
          <w:rFonts w:ascii="Times New Roman" w:hAnsi="Times New Roman" w:cs="Times New Roman"/>
          <w:bCs/>
          <w:sz w:val="24"/>
          <w:szCs w:val="24"/>
          <w:lang w:val="en-US"/>
        </w:rPr>
        <w:fldChar w:fldCharType="end"/>
      </w:r>
      <w:r w:rsidRPr="002E7761">
        <w:rPr>
          <w:rFonts w:ascii="Times New Roman" w:hAnsi="Times New Roman" w:cs="Times New Roman"/>
          <w:bCs/>
          <w:sz w:val="24"/>
          <w:szCs w:val="24"/>
          <w:lang w:val="en-US"/>
        </w:rPr>
        <w:t>. Furthermore, ETS family gene fusions, including the well-known TMPRSS2-ERG fusion, are prevalent. The utilization of comprehensive genomic sequencing has provided valuable insights into the spectrum of alterations in metastatic castration-resistant prostate cancer (</w:t>
      </w:r>
      <w:proofErr w:type="spellStart"/>
      <w:r w:rsidRPr="002E7761">
        <w:rPr>
          <w:rFonts w:ascii="Times New Roman" w:hAnsi="Times New Roman" w:cs="Times New Roman"/>
          <w:bCs/>
          <w:sz w:val="24"/>
          <w:szCs w:val="24"/>
          <w:lang w:val="en-US"/>
        </w:rPr>
        <w:t>mCRPC</w:t>
      </w:r>
      <w:proofErr w:type="spellEnd"/>
      <w:r w:rsidRPr="002E7761">
        <w:rPr>
          <w:rFonts w:ascii="Times New Roman" w:hAnsi="Times New Roman" w:cs="Times New Roman"/>
          <w:bCs/>
          <w:sz w:val="24"/>
          <w:szCs w:val="24"/>
          <w:lang w:val="en-US"/>
        </w:rPr>
        <w:t xml:space="preserve">), shedding light on the genomic landscape. Interestingly, even within this subgroup of metastatic tumors, the mutation rate remains relatively low, hovering at 3–4 mutations per </w:t>
      </w:r>
      <w:proofErr w:type="spellStart"/>
      <w:r w:rsidRPr="002E7761">
        <w:rPr>
          <w:rFonts w:ascii="Times New Roman" w:hAnsi="Times New Roman" w:cs="Times New Roman"/>
          <w:bCs/>
          <w:sz w:val="24"/>
          <w:szCs w:val="24"/>
          <w:lang w:val="en-US"/>
        </w:rPr>
        <w:t>megabase</w:t>
      </w:r>
      <w:proofErr w:type="spellEnd"/>
      <w:r w:rsidRPr="002E7761">
        <w:rPr>
          <w:rFonts w:ascii="Times New Roman" w:hAnsi="Times New Roman" w:cs="Times New Roman"/>
          <w:bCs/>
          <w:sz w:val="24"/>
          <w:szCs w:val="24"/>
          <w:lang w:val="en-US"/>
        </w:rPr>
        <w:t xml:space="preserve"> (Mb) </w:t>
      </w:r>
      <w:r w:rsidRPr="002E7761">
        <w:rPr>
          <w:rFonts w:ascii="Times New Roman" w:hAnsi="Times New Roman" w:cs="Times New Roman"/>
          <w:bCs/>
          <w:sz w:val="24"/>
          <w:szCs w:val="24"/>
          <w:lang w:val="en-US"/>
        </w:rPr>
        <w:fldChar w:fldCharType="begin"/>
      </w:r>
      <w:r w:rsidRPr="002E7761">
        <w:rPr>
          <w:rFonts w:ascii="Times New Roman" w:hAnsi="Times New Roman" w:cs="Times New Roman"/>
          <w:bCs/>
          <w:sz w:val="24"/>
          <w:szCs w:val="24"/>
          <w:lang w:val="en-US"/>
        </w:rPr>
        <w:instrText xml:space="preserve"> ADDIN ZOTERO_ITEM CSL_CITATION {"citationID":"BfOWOgcL","properties":{"formattedCitation":"(Grasso et al., 2012; Lawrence et al., 2014)","plainCitation":"(Grasso et al., 2012; Lawrence et al., 2014)","noteIndex":0},"citationItems":[{"id":406,"uris":["http://zotero.org/users/11300200/items/A9NFTHBV"],"itemData":{"id":406,"type":"article-journal","container-title":"Nature","DOI":"10.1038/nature11125","ISSN":"0028-0836, 1476-4687","issue":"7406","journalAbbreviation":"Nature","language":"en","page":"239-243","source":"DOI.org (Crossref)","title":"The mutational landscape of lethal castration-resistant prostate cancer","volume":"487","author":[{"family":"Grasso","given":"Catherine S."},{"family":"Wu","given":"Yi-Mi"},{"family":"Robinson","given":"Dan R."},{"family":"Cao","given":"Xuhong"},{"family":"Dhanasekaran","given":"Saravana M."},{"family":"Khan","given":"Amjad P."},{"family":"Quist","given":"Michael J."},{"family":"Jing","given":"Xiaojun"},{"family":"Lonigro","given":"Robert J."},{"family":"Brenner","given":"J. Chad"},{"family":"Asangani","given":"Irfan A."},{"family":"Ateeq","given":"Bushra"},{"family":"Chun","given":"Sang Y."},{"family":"Siddiqui","given":"Javed"},{"family":"Sam","given":"Lee"},{"family":"Anstett","given":"Matt"},{"family":"Mehra","given":"Rohit"},{"family":"Prensner","given":"John R."},{"family":"Palanisamy","given":"Nallasivam"},{"family":"Ryslik","given":"Gregory A."},{"family":"Vandin","given":"Fabio"},{"family":"Raphael","given":"Benjamin J."},{"family":"Kunju","given":"Lakshmi P."},{"family":"Rhodes","given":"Daniel R."},{"family":"Pienta","given":"Kenneth J."},{"family":"Chinnaiyan","given":"Arul M."},{"family":"Tomlins","given":"Scott A."}],"issued":{"date-parts":[["2012",7]]}}},{"id":405,"uris":["http://zotero.org/users/11300200/items/74GGYJ6M"],"itemData":{"id":405,"type":"article-journal","container-title":"Nature","DOI":"10.1038/nature12912","ISSN":"0028-0836, 1476-4687","issue":"7484","journalAbbreviation":"Nature","language":"en","page":"495-501","source":"DOI.org (Crossref)","title":"Discovery and saturation analysis of cancer genes across 21 tumour types","volume":"505","author":[{"family":"Lawrence","given":"Michael S."},{"family":"Stojanov","given":"Petar"},{"family":"Mermel","given":"Craig H."},{"family":"Robinson","given":"James T."},{"family":"Garraway","given":"Levi A."},{"family":"Golub","given":"Todd R."},{"family":"Meyerson","given":"Matthew"},{"family":"Gabriel","given":"Stacey B."},{"family":"Lander","given":"Eric S."},{"family":"Getz","given":"Gad"}],"issued":{"date-parts":[["2014",1]]}}}],"schema":"https://github.com/citation-style-language/schema/raw/master/csl-citation.json"} </w:instrText>
      </w:r>
      <w:r w:rsidRPr="002E7761">
        <w:rPr>
          <w:rFonts w:ascii="Times New Roman" w:hAnsi="Times New Roman" w:cs="Times New Roman"/>
          <w:bCs/>
          <w:sz w:val="24"/>
          <w:szCs w:val="24"/>
          <w:lang w:val="en-US"/>
        </w:rPr>
        <w:fldChar w:fldCharType="separate"/>
      </w:r>
      <w:r w:rsidR="00167D83" w:rsidRPr="00167D83">
        <w:rPr>
          <w:rFonts w:ascii="Times New Roman" w:hAnsi="Times New Roman" w:cs="Times New Roman"/>
          <w:sz w:val="24"/>
        </w:rPr>
        <w:t>(Grasso et al., 2012; Lawrence et al., 2014)</w:t>
      </w:r>
      <w:r w:rsidRPr="002E7761">
        <w:rPr>
          <w:rFonts w:ascii="Times New Roman" w:hAnsi="Times New Roman" w:cs="Times New Roman"/>
          <w:bCs/>
          <w:sz w:val="24"/>
          <w:szCs w:val="24"/>
          <w:lang w:val="en-US"/>
        </w:rPr>
        <w:fldChar w:fldCharType="end"/>
      </w:r>
      <w:r w:rsidRPr="002E7761">
        <w:rPr>
          <w:rFonts w:ascii="Times New Roman" w:hAnsi="Times New Roman" w:cs="Times New Roman"/>
          <w:bCs/>
          <w:sz w:val="24"/>
          <w:szCs w:val="24"/>
          <w:lang w:val="en-US"/>
        </w:rPr>
        <w:t xml:space="preserve">.Somatic mutations in </w:t>
      </w:r>
      <w:proofErr w:type="spellStart"/>
      <w:r w:rsidRPr="002E7761">
        <w:rPr>
          <w:rFonts w:ascii="Times New Roman" w:hAnsi="Times New Roman" w:cs="Times New Roman"/>
          <w:bCs/>
          <w:sz w:val="24"/>
          <w:szCs w:val="24"/>
          <w:lang w:val="en-US"/>
        </w:rPr>
        <w:t>mCRPC</w:t>
      </w:r>
      <w:proofErr w:type="spellEnd"/>
      <w:r w:rsidRPr="002E7761">
        <w:rPr>
          <w:rFonts w:ascii="Times New Roman" w:hAnsi="Times New Roman" w:cs="Times New Roman"/>
          <w:bCs/>
          <w:sz w:val="24"/>
          <w:szCs w:val="24"/>
          <w:lang w:val="en-US"/>
        </w:rPr>
        <w:t xml:space="preserve"> tumors manifest in several genes that experience relatively rare alterations in primary prostate cancers. These genes encompass PIK3CA, PIK3CB, RSPO, BRAF, RAF1, APC, CTNNB1, and ZBTB16 (PLZF) </w:t>
      </w:r>
      <w:r w:rsidRPr="002E7761">
        <w:rPr>
          <w:rFonts w:ascii="Times New Roman" w:hAnsi="Times New Roman" w:cs="Times New Roman"/>
          <w:bCs/>
          <w:sz w:val="24"/>
          <w:szCs w:val="24"/>
          <w:lang w:val="en-US"/>
        </w:rPr>
        <w:fldChar w:fldCharType="begin"/>
      </w:r>
      <w:r w:rsidRPr="002E7761">
        <w:rPr>
          <w:rFonts w:ascii="Times New Roman" w:hAnsi="Times New Roman" w:cs="Times New Roman"/>
          <w:bCs/>
          <w:sz w:val="24"/>
          <w:szCs w:val="24"/>
          <w:lang w:val="en-US"/>
        </w:rPr>
        <w:instrText xml:space="preserve"> ADDIN ZOTERO_ITEM CSL_CITATION {"citationID":"Zk7S6Zi6","properties":{"formattedCitation":"(Robinson et al., 2015)","plainCitation":"(Robinson et al., 2015)","noteIndex":0},"citationItems":[{"id":404,"uris":["http://zotero.org/users/11300200/items/MWSN254I"],"itemData":{"id":404,"type":"article-journal","container-title":"Cell","DOI":"10.1016/j.cell.2015.05.001","ISSN":"00928674","issue":"5","journalAbbreviation":"Cell","language":"en","page":"1215-1228","source":"DOI.org (Crossref)","title":"Integrative Clinical Genomics of Advanced Prostate Cancer","volume":"161","author":[{"family":"Robinson","given":"Dan"},{"family":"Van Allen","given":"Eliezer M."},{"family":"Wu","given":"Yi-Mi"},{"family":"Schultz","given":"Nikolaus"},{"family":"Lonigro","given":"Robert J."},{"family":"Mosquera","given":"Juan-Miguel"},{"family":"Montgomery","given":"Bruce"},{"family":"Taplin","given":"Mary-Ellen"},{"family":"Pritchard","given":"Colin C."},{"family":"Attard","given":"Gerhardt"},{"family":"Beltran","given":"Himisha"},{"family":"Abida","given":"Wassim"},{"family":"Bradley","given":"Robert K."},{"family":"Vinson","given":"Jake"},{"family":"Cao","given":"Xuhong"},{"family":"Vats","given":"Pankaj"},{"family":"Kunju","given":"Lakshmi P."},{"family":"Hussain","given":"Maha"},{"family":"Feng","given":"Felix Y."},{"family":"Tomlins","given":"Scott A."},{"family":"Cooney","given":"Kathleen A."},{"family":"Smith","given":"David C."},{"family":"Brennan","given":"Christine"},{"family":"Siddiqui","given":"Javed"},{"family":"Mehra","given":"Rohit"},{"family":"Chen","given":"Yu"},{"family":"Rathkopf","given":"Dana E."},{"family":"Morris","given":"Michael J."},{"family":"Solomon","given":"Stephen B."},{"family":"Durack","given":"Jeremy C."},{"family":"Reuter","given":"Victor E."},{"family":"Gopalan","given":"Anuradha"},{"family":"Gao","given":"Jianjiong"},{"family":"Loda","given":"Massimo"},{"family":"Lis","given":"Rosina T."},{"family":"Bowden","given":"Michaela"},{"family":"Balk","given":"Stephen P."},{"family":"Gaviola","given":"Glenn"},{"family":"Sougnez","given":"Carrie"},{"family":"Gupta","given":"Manaswi"},{"family":"Yu","given":"Evan Y."},{"family":"Mostaghel","given":"Elahe A."},{"family":"Cheng","given":"Heather H."},{"family":"Mulcahy","given":"Hyojeong"},{"family":"True","given":"Lawrence D."},{"family":"Plymate","given":"Stephen R."},{"family":"Dvinge","given":"Heidi"},{"family":"Ferraldeschi","given":"Roberta"},{"family":"Flohr","given":"Penny"},{"family":"Miranda","given":"Susana"},{"family":"Zafeiriou","given":"Zafeiris"},{"family":"Tunariu","given":"Nina"},{"family":"Mateo","given":"Joaquin"},{"family":"Perez-Lopez","given":"Raquel"},{"family":"Demichelis","given":"Francesca"},{"family":"Robinson","given":"Brian D."},{"family":"Schiffman","given":"Marc"},{"family":"Nanus","given":"David M."},{"family":"Tagawa","given":"Scott T."},{"family":"Sigaras","given":"Alexandros"},{"family":"Eng","given":"Kenneth W."},{"family":"Elemento","given":"Olivier"},{"family":"Sboner","given":"Andrea"},{"family":"Heath","given":"Elisabeth I."},{"family":"Scher","given":"Howard I."},{"family":"Pienta","given":"Kenneth J."},{"family":"Kantoff","given":"Philip"},{"family":"de Bono","given":"Johann S."},{"family":"Rubin","given":"Mark A."},{"family":"Nelson","given":"Peter S."},{"family":"Garraway","given":"Levi A."},{"family":"Sawyers","given":"Charles L."},{"family":"Chinnaiyan","given":"Arul M."}],"issued":{"date-parts":[["2015",5]]}}}],"schema":"https://github.com/citation-style-language/schema/raw/master/csl-citation.json"} </w:instrText>
      </w:r>
      <w:r w:rsidRPr="002E7761">
        <w:rPr>
          <w:rFonts w:ascii="Times New Roman" w:hAnsi="Times New Roman" w:cs="Times New Roman"/>
          <w:bCs/>
          <w:sz w:val="24"/>
          <w:szCs w:val="24"/>
          <w:lang w:val="en-US"/>
        </w:rPr>
        <w:fldChar w:fldCharType="separate"/>
      </w:r>
      <w:r w:rsidR="00167D83" w:rsidRPr="00167D83">
        <w:rPr>
          <w:rFonts w:ascii="Times New Roman" w:hAnsi="Times New Roman" w:cs="Times New Roman"/>
          <w:sz w:val="24"/>
        </w:rPr>
        <w:t>(Robinson et al., 2015)</w:t>
      </w:r>
      <w:r w:rsidRPr="002E7761">
        <w:rPr>
          <w:rFonts w:ascii="Times New Roman" w:hAnsi="Times New Roman" w:cs="Times New Roman"/>
          <w:bCs/>
          <w:sz w:val="24"/>
          <w:szCs w:val="24"/>
          <w:lang w:val="en-US"/>
        </w:rPr>
        <w:fldChar w:fldCharType="end"/>
      </w:r>
      <w:r w:rsidRPr="002E7761">
        <w:rPr>
          <w:rFonts w:ascii="Times New Roman" w:hAnsi="Times New Roman" w:cs="Times New Roman"/>
          <w:bCs/>
          <w:sz w:val="24"/>
          <w:szCs w:val="24"/>
          <w:lang w:val="en-US"/>
        </w:rPr>
        <w:t>.</w:t>
      </w:r>
    </w:p>
    <w:p w:rsidR="00F77439" w:rsidRPr="002E7761" w:rsidRDefault="00F77439" w:rsidP="006D3376">
      <w:pPr>
        <w:spacing w:line="360" w:lineRule="auto"/>
        <w:jc w:val="both"/>
        <w:rPr>
          <w:rFonts w:ascii="Times New Roman" w:hAnsi="Times New Roman" w:cs="Times New Roman"/>
          <w:bCs/>
          <w:sz w:val="24"/>
          <w:szCs w:val="24"/>
          <w:lang w:val="en-US"/>
        </w:rPr>
      </w:pPr>
      <w:r w:rsidRPr="002E7761">
        <w:rPr>
          <w:rFonts w:ascii="Times New Roman" w:hAnsi="Times New Roman" w:cs="Times New Roman"/>
          <w:bCs/>
          <w:sz w:val="24"/>
          <w:szCs w:val="24"/>
          <w:lang w:val="en-US"/>
        </w:rPr>
        <w:t xml:space="preserve">Alterations in the androgen receptor (AR) are prevalent in </w:t>
      </w:r>
      <w:proofErr w:type="spellStart"/>
      <w:r w:rsidRPr="002E7761">
        <w:rPr>
          <w:rFonts w:ascii="Times New Roman" w:hAnsi="Times New Roman" w:cs="Times New Roman"/>
          <w:bCs/>
          <w:sz w:val="24"/>
          <w:szCs w:val="24"/>
          <w:lang w:val="en-US"/>
        </w:rPr>
        <w:t>mCRPC</w:t>
      </w:r>
      <w:proofErr w:type="spellEnd"/>
      <w:r w:rsidRPr="002E7761">
        <w:rPr>
          <w:rFonts w:ascii="Times New Roman" w:hAnsi="Times New Roman" w:cs="Times New Roman"/>
          <w:bCs/>
          <w:sz w:val="24"/>
          <w:szCs w:val="24"/>
          <w:lang w:val="en-US"/>
        </w:rPr>
        <w:t xml:space="preserve"> but rarely appear in primary, treatment-naïve prostate cancer. These AR alterations are closely linked to resistance </w:t>
      </w:r>
      <w:r w:rsidRPr="002E7761">
        <w:rPr>
          <w:rFonts w:ascii="Times New Roman" w:hAnsi="Times New Roman" w:cs="Times New Roman"/>
          <w:bCs/>
          <w:sz w:val="24"/>
          <w:szCs w:val="24"/>
          <w:lang w:val="en-US"/>
        </w:rPr>
        <w:lastRenderedPageBreak/>
        <w:t xml:space="preserve">against androgen therapy. They encompass single nucleotide variations (SNVs), amplification of the AR gene locus, structural rearrangements of AR, and amplifications affecting an AR enhancer. Deletions and mutations involving PTEN and TP53 are present in a substantial proportion, ranging from 40% to 50%, of </w:t>
      </w:r>
      <w:proofErr w:type="spellStart"/>
      <w:r w:rsidRPr="002E7761">
        <w:rPr>
          <w:rFonts w:ascii="Times New Roman" w:hAnsi="Times New Roman" w:cs="Times New Roman"/>
          <w:bCs/>
          <w:sz w:val="24"/>
          <w:szCs w:val="24"/>
          <w:lang w:val="en-US"/>
        </w:rPr>
        <w:t>mCRPC</w:t>
      </w:r>
      <w:proofErr w:type="spellEnd"/>
      <w:r w:rsidRPr="002E7761">
        <w:rPr>
          <w:rFonts w:ascii="Times New Roman" w:hAnsi="Times New Roman" w:cs="Times New Roman"/>
          <w:bCs/>
          <w:sz w:val="24"/>
          <w:szCs w:val="24"/>
          <w:lang w:val="en-US"/>
        </w:rPr>
        <w:t xml:space="preserve"> cases. A noteworthy fraction of patients also carries deficiencies in DNA repair proteins, potentially making them responsive to </w:t>
      </w:r>
      <w:proofErr w:type="gramStart"/>
      <w:r w:rsidRPr="002E7761">
        <w:rPr>
          <w:rFonts w:ascii="Times New Roman" w:hAnsi="Times New Roman" w:cs="Times New Roman"/>
          <w:bCs/>
          <w:sz w:val="24"/>
          <w:szCs w:val="24"/>
          <w:lang w:val="en-US"/>
        </w:rPr>
        <w:t>poly(</w:t>
      </w:r>
      <w:proofErr w:type="gramEnd"/>
      <w:r w:rsidRPr="002E7761">
        <w:rPr>
          <w:rFonts w:ascii="Times New Roman" w:hAnsi="Times New Roman" w:cs="Times New Roman"/>
          <w:bCs/>
          <w:sz w:val="24"/>
          <w:szCs w:val="24"/>
          <w:lang w:val="en-US"/>
        </w:rPr>
        <w:t>ADP-ribose) polym</w:t>
      </w:r>
      <w:r w:rsidR="000B22BC">
        <w:rPr>
          <w:rFonts w:ascii="Times New Roman" w:hAnsi="Times New Roman" w:cs="Times New Roman"/>
          <w:bCs/>
          <w:sz w:val="24"/>
          <w:szCs w:val="24"/>
          <w:lang w:val="en-US"/>
        </w:rPr>
        <w:t>erase (PARP) inhibitor therapy</w:t>
      </w:r>
      <w:r w:rsidRPr="002E7761">
        <w:rPr>
          <w:rFonts w:ascii="Times New Roman" w:hAnsi="Times New Roman" w:cs="Times New Roman"/>
          <w:bCs/>
          <w:sz w:val="24"/>
          <w:szCs w:val="24"/>
          <w:lang w:val="en-US"/>
        </w:rPr>
        <w:t>.</w:t>
      </w:r>
    </w:p>
    <w:p w:rsidR="00F77439" w:rsidRPr="002E7761" w:rsidRDefault="006D2663" w:rsidP="00775C68">
      <w:pPr>
        <w:spacing w:before="240" w:line="360" w:lineRule="auto"/>
        <w:jc w:val="both"/>
        <w:rPr>
          <w:rFonts w:ascii="Times New Roman" w:hAnsi="Times New Roman" w:cs="Times New Roman"/>
          <w:b/>
          <w:bCs/>
          <w:sz w:val="24"/>
          <w:szCs w:val="24"/>
          <w:lang w:val="en-US"/>
        </w:rPr>
      </w:pPr>
      <w:r>
        <w:rPr>
          <w:rFonts w:ascii="Times New Roman" w:hAnsi="Times New Roman" w:cs="Times New Roman"/>
          <w:b/>
          <w:sz w:val="24"/>
          <w:szCs w:val="24"/>
          <w:lang w:val="en-US"/>
        </w:rPr>
        <w:t>2.6</w:t>
      </w:r>
      <w:r w:rsidR="00775C68">
        <w:rPr>
          <w:rFonts w:ascii="Times New Roman" w:hAnsi="Times New Roman" w:cs="Times New Roman"/>
          <w:b/>
          <w:sz w:val="24"/>
          <w:szCs w:val="24"/>
          <w:lang w:val="en-US"/>
        </w:rPr>
        <w:t>.1 The A</w:t>
      </w:r>
      <w:r w:rsidR="00F77439" w:rsidRPr="002E7761">
        <w:rPr>
          <w:rFonts w:ascii="Times New Roman" w:hAnsi="Times New Roman" w:cs="Times New Roman"/>
          <w:b/>
          <w:sz w:val="24"/>
          <w:szCs w:val="24"/>
          <w:lang w:val="en-US"/>
        </w:rPr>
        <w:t xml:space="preserve">ndrogen receptor </w:t>
      </w:r>
      <w:proofErr w:type="gramStart"/>
      <w:r w:rsidR="00F77439" w:rsidRPr="002E7761">
        <w:rPr>
          <w:rFonts w:ascii="Times New Roman" w:hAnsi="Times New Roman" w:cs="Times New Roman"/>
          <w:b/>
          <w:sz w:val="24"/>
          <w:szCs w:val="24"/>
          <w:lang w:val="en-US"/>
        </w:rPr>
        <w:t>Signaling</w:t>
      </w:r>
      <w:proofErr w:type="gramEnd"/>
      <w:r w:rsidR="00F77439" w:rsidRPr="002E7761">
        <w:rPr>
          <w:rFonts w:ascii="Times New Roman" w:hAnsi="Times New Roman" w:cs="Times New Roman"/>
          <w:b/>
          <w:sz w:val="24"/>
          <w:szCs w:val="24"/>
          <w:lang w:val="en-US"/>
        </w:rPr>
        <w:t xml:space="preserve"> Pathway</w:t>
      </w:r>
    </w:p>
    <w:p w:rsidR="002C3845" w:rsidRPr="000B22BC" w:rsidRDefault="000B22BC" w:rsidP="006D3376">
      <w:pPr>
        <w:spacing w:line="360" w:lineRule="auto"/>
        <w:jc w:val="both"/>
        <w:rPr>
          <w:rFonts w:ascii="Times New Roman" w:hAnsi="Times New Roman" w:cs="Times New Roman"/>
          <w:bCs/>
          <w:sz w:val="24"/>
          <w:szCs w:val="24"/>
          <w:lang w:val="en-US"/>
        </w:rPr>
      </w:pPr>
      <w:r w:rsidRPr="000B22BC">
        <w:rPr>
          <w:rFonts w:ascii="Times New Roman" w:hAnsi="Times New Roman" w:cs="Times New Roman"/>
          <w:sz w:val="24"/>
          <w:szCs w:val="24"/>
          <w:lang w:val="en-US"/>
        </w:rPr>
        <w:t>The AR pathway is essenti</w:t>
      </w:r>
      <w:r>
        <w:rPr>
          <w:rFonts w:ascii="Times New Roman" w:hAnsi="Times New Roman" w:cs="Times New Roman"/>
          <w:sz w:val="24"/>
          <w:szCs w:val="24"/>
          <w:lang w:val="en-US"/>
        </w:rPr>
        <w:t>al for controlling the prostate</w:t>
      </w:r>
      <w:r w:rsidR="002C3845">
        <w:rPr>
          <w:rFonts w:ascii="Times New Roman" w:hAnsi="Times New Roman" w:cs="Times New Roman"/>
          <w:sz w:val="24"/>
          <w:szCs w:val="24"/>
          <w:lang w:val="en-US"/>
        </w:rPr>
        <w:t xml:space="preserve"> growth and differentiation</w:t>
      </w:r>
      <w:r w:rsidR="00F77439" w:rsidRPr="002E7761">
        <w:rPr>
          <w:rFonts w:ascii="Times New Roman" w:hAnsi="Times New Roman" w:cs="Times New Roman"/>
          <w:sz w:val="24"/>
          <w:szCs w:val="24"/>
          <w:lang w:val="en-US"/>
        </w:rPr>
        <w:t>.</w:t>
      </w:r>
      <w:r w:rsidR="00F77439" w:rsidRPr="002E7761">
        <w:rPr>
          <w:rFonts w:ascii="Times New Roman" w:hAnsi="Times New Roman" w:cs="Times New Roman"/>
          <w:b/>
          <w:bCs/>
          <w:sz w:val="24"/>
          <w:szCs w:val="24"/>
          <w:lang w:val="en-US"/>
        </w:rPr>
        <w:t xml:space="preserve"> </w:t>
      </w:r>
      <w:r w:rsidR="00F77439" w:rsidRPr="002E7761">
        <w:rPr>
          <w:rFonts w:ascii="Times New Roman" w:hAnsi="Times New Roman" w:cs="Times New Roman"/>
          <w:bCs/>
          <w:sz w:val="24"/>
          <w:szCs w:val="24"/>
          <w:lang w:val="en-US"/>
        </w:rPr>
        <w:t>The biochemical activity of androgen is started by testosterone or DHT attaching to its specific receptor, the AR, activating it</w:t>
      </w:r>
      <w:r w:rsidR="002C3845">
        <w:rPr>
          <w:rFonts w:ascii="Times New Roman" w:hAnsi="Times New Roman" w:cs="Times New Roman"/>
          <w:bCs/>
          <w:sz w:val="24"/>
          <w:szCs w:val="24"/>
          <w:lang w:val="en-US"/>
        </w:rPr>
        <w:t xml:space="preserve"> (Figure 2)</w:t>
      </w:r>
      <w:r w:rsidR="00F77439" w:rsidRPr="002E7761">
        <w:rPr>
          <w:rFonts w:ascii="Times New Roman" w:hAnsi="Times New Roman" w:cs="Times New Roman"/>
          <w:bCs/>
          <w:sz w:val="24"/>
          <w:szCs w:val="24"/>
          <w:lang w:val="en-US"/>
        </w:rPr>
        <w:t xml:space="preserve">. When unattached from its ligand, AR is found in the cytoplasm as a component of an inactive complex that also contains the heat shock proteins HSP40, HSP70, and HSP90 </w:t>
      </w:r>
      <w:r w:rsidR="00F77439" w:rsidRPr="002E7761">
        <w:rPr>
          <w:rFonts w:ascii="Times New Roman" w:hAnsi="Times New Roman" w:cs="Times New Roman"/>
          <w:bCs/>
          <w:sz w:val="24"/>
          <w:szCs w:val="24"/>
          <w:lang w:val="en-US"/>
        </w:rPr>
        <w:fldChar w:fldCharType="begin"/>
      </w:r>
      <w:r w:rsidR="00F77439" w:rsidRPr="002E7761">
        <w:rPr>
          <w:rFonts w:ascii="Times New Roman" w:hAnsi="Times New Roman" w:cs="Times New Roman"/>
          <w:bCs/>
          <w:sz w:val="24"/>
          <w:szCs w:val="24"/>
          <w:lang w:val="en-US"/>
        </w:rPr>
        <w:instrText xml:space="preserve"> ADDIN ZOTERO_ITEM CSL_CITATION {"citationID":"Loby3PmG","properties":{"formattedCitation":"(Ratajczak, Lubkowski &amp; Lubkowska, 2022)","plainCitation":"(Ratajczak, Lubkowski &amp; Lubkowska, 2022)","noteIndex":0},"citationItems":[{"id":304,"uris":["http://zotero.org/users/local/7J0d6nia/items/ATLX8KPT","http://zotero.org/users/11300200/items/ATLX8KPT"],"itemData":{"id":304,"type":"article-journal","abstract":"Two out of three diseases of the prostate gland affect aging men worldwide. Benign prostatic hyperplasia (BPH) is a noncancerous enlargement affecting millions of men. Prostate cancer (PCa) in turn is the second leading cause of cancer death. The factors influencing the occurrence of BPH and PCa are different; however, in the course of these two diseases, the overexpression of heat shock proteins is observed. Heat shock proteins (HSPs), chaperone proteins, are known to be one of the main proteins playing a role in maintaining cell homeostasis. HSPs take part in the process of the proper folding of newly formed proteins, and participate in the renaturation of damaged proteins. In addition, they are involved in the transport of specific proteins to the appropriate cell organelles and directing damaged proteins to proteasomes or lysosomes. Their function is to protect the proteins against degradation factors that are produced during cellular stress. HSPs are also involved in modulating the immune response and the process of apoptosis. One well-known factor affecting HSPs is the androgen receptor (AR)-a main player involved in the development of BPH and the progression of prostate cancer. HSPs play a cytoprotective role and determine the survival of cancer cells. These chaperones are often upregulated in malignancies and play an indispensable role in tumor progression. Therefore, HSPs are considered as one of the therapeutic targets in anti-cancer therapies. In this review article, we discuss the role of different HSPs in prostate diseases, and their potential as therapeutic targets.","container-title":"International Journal of Molecular Sciences","DOI":"10.3390/ijms23020897","ISSN":"1422-0067","issue":"2","journalAbbreviation":"Int J Mol Sci","language":"eng","note":"PMID: 35055079\nPMCID: PMC8779911","page":"897","source":"PubMed","title":"Heat Shock Proteins in Benign Prostatic Hyperplasia and Prostate Cancer","volume":"23","author":[{"family":"Ratajczak","given":"Weronika"},{"family":"Lubkowski","given":"Michał"},{"family":"Lubkowska","given":"Anna"}],"issued":{"date-parts":[["2022",1,14]]}}}],"schema":"https://github.com/citation-style-language/schema/raw/master/csl-citation.json"} </w:instrText>
      </w:r>
      <w:r w:rsidR="00F77439" w:rsidRPr="002E7761">
        <w:rPr>
          <w:rFonts w:ascii="Times New Roman" w:hAnsi="Times New Roman" w:cs="Times New Roman"/>
          <w:bCs/>
          <w:sz w:val="24"/>
          <w:szCs w:val="24"/>
          <w:lang w:val="en-US"/>
        </w:rPr>
        <w:fldChar w:fldCharType="separate"/>
      </w:r>
      <w:r w:rsidR="00167D83" w:rsidRPr="00167D83">
        <w:rPr>
          <w:rFonts w:ascii="Times New Roman" w:hAnsi="Times New Roman" w:cs="Times New Roman"/>
          <w:sz w:val="24"/>
        </w:rPr>
        <w:t>(Ratajczak, Lubkowski &amp; Lubkowska, 2022)</w:t>
      </w:r>
      <w:r w:rsidR="00F77439" w:rsidRPr="002E7761">
        <w:rPr>
          <w:rFonts w:ascii="Times New Roman" w:hAnsi="Times New Roman" w:cs="Times New Roman"/>
          <w:bCs/>
          <w:sz w:val="24"/>
          <w:szCs w:val="24"/>
          <w:lang w:val="en-US"/>
        </w:rPr>
        <w:fldChar w:fldCharType="end"/>
      </w:r>
      <w:r w:rsidR="00F77439" w:rsidRPr="002E7761">
        <w:rPr>
          <w:rFonts w:ascii="Times New Roman" w:hAnsi="Times New Roman" w:cs="Times New Roman"/>
          <w:bCs/>
          <w:sz w:val="24"/>
          <w:szCs w:val="24"/>
          <w:lang w:val="en-US"/>
        </w:rPr>
        <w:t xml:space="preserve"> </w:t>
      </w:r>
      <w:r w:rsidRPr="000B22BC">
        <w:rPr>
          <w:rFonts w:ascii="Times New Roman" w:hAnsi="Times New Roman" w:cs="Times New Roman"/>
          <w:bCs/>
          <w:sz w:val="24"/>
          <w:szCs w:val="24"/>
          <w:lang w:val="en-US"/>
        </w:rPr>
        <w:t>includes additional chaperone proteins to guard against receptor deterioration</w:t>
      </w:r>
      <w:r w:rsidR="00F77439" w:rsidRPr="002E7761">
        <w:rPr>
          <w:rFonts w:ascii="Times New Roman" w:hAnsi="Times New Roman" w:cs="Times New Roman"/>
          <w:bCs/>
          <w:sz w:val="24"/>
          <w:szCs w:val="24"/>
          <w:lang w:val="en-US"/>
        </w:rPr>
        <w:t xml:space="preserve">. These proteins play a crucial function in maintaining an accessible AR shape and preventing premature AR degradation. </w:t>
      </w:r>
    </w:p>
    <w:p w:rsidR="002C3845" w:rsidRPr="002E7761" w:rsidRDefault="002C3845" w:rsidP="002C3845">
      <w:pPr>
        <w:spacing w:line="360" w:lineRule="auto"/>
        <w:jc w:val="both"/>
        <w:rPr>
          <w:rFonts w:ascii="Times New Roman" w:eastAsia="Calibri" w:hAnsi="Times New Roman" w:cs="Times New Roman"/>
          <w:sz w:val="24"/>
          <w:szCs w:val="24"/>
        </w:rPr>
      </w:pPr>
      <w:r w:rsidRPr="002E7761">
        <w:rPr>
          <w:rFonts w:ascii="Times New Roman" w:eastAsia="Calibri" w:hAnsi="Times New Roman" w:cs="Times New Roman"/>
          <w:noProof/>
          <w:sz w:val="24"/>
          <w:szCs w:val="24"/>
          <w:lang w:val="en-US"/>
        </w:rPr>
        <w:drawing>
          <wp:inline distT="0" distB="0" distL="0" distR="0" wp14:anchorId="5D124D7B" wp14:editId="22334A37">
            <wp:extent cx="4930775" cy="3488042"/>
            <wp:effectExtent l="0" t="0" r="317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ndrogen-receptor-signalling-Testosterone-is-converted-to-dihydrotestosterone-DHT-by.png"/>
                    <pic:cNvPicPr/>
                  </pic:nvPicPr>
                  <pic:blipFill rotWithShape="1">
                    <a:blip r:embed="rId11">
                      <a:extLst>
                        <a:ext uri="{28A0092B-C50C-407E-A947-70E740481C1C}">
                          <a14:useLocalDpi xmlns:a14="http://schemas.microsoft.com/office/drawing/2010/main" val="0"/>
                        </a:ext>
                      </a:extLst>
                    </a:blip>
                    <a:srcRect t="508" r="4807" b="3013"/>
                    <a:stretch/>
                  </pic:blipFill>
                  <pic:spPr bwMode="auto">
                    <a:xfrm>
                      <a:off x="0" y="0"/>
                      <a:ext cx="4942438" cy="3496292"/>
                    </a:xfrm>
                    <a:prstGeom prst="rect">
                      <a:avLst/>
                    </a:prstGeom>
                    <a:ln>
                      <a:noFill/>
                    </a:ln>
                    <a:extLst>
                      <a:ext uri="{53640926-AAD7-44D8-BBD7-CCE9431645EC}">
                        <a14:shadowObscured xmlns:a14="http://schemas.microsoft.com/office/drawing/2010/main"/>
                      </a:ext>
                    </a:extLst>
                  </pic:spPr>
                </pic:pic>
              </a:graphicData>
            </a:graphic>
          </wp:inline>
        </w:drawing>
      </w:r>
    </w:p>
    <w:p w:rsidR="002C3845" w:rsidRPr="002C3845" w:rsidRDefault="002C3845" w:rsidP="006D3376">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Figure 2</w:t>
      </w:r>
      <w:r w:rsidRPr="002E7761">
        <w:rPr>
          <w:rFonts w:ascii="Times New Roman" w:eastAsia="Calibri" w:hAnsi="Times New Roman" w:cs="Times New Roman"/>
          <w:sz w:val="24"/>
          <w:szCs w:val="24"/>
        </w:rPr>
        <w:t xml:space="preserve">: Androgen </w:t>
      </w:r>
      <w:proofErr w:type="spellStart"/>
      <w:r w:rsidRPr="002E7761">
        <w:rPr>
          <w:rFonts w:ascii="Times New Roman" w:eastAsia="Calibri" w:hAnsi="Times New Roman" w:cs="Times New Roman"/>
          <w:sz w:val="24"/>
          <w:szCs w:val="24"/>
        </w:rPr>
        <w:t>signaling</w:t>
      </w:r>
      <w:proofErr w:type="spellEnd"/>
      <w:r w:rsidRPr="002E7761">
        <w:rPr>
          <w:rFonts w:ascii="Times New Roman" w:eastAsia="Calibri" w:hAnsi="Times New Roman" w:cs="Times New Roman"/>
          <w:sz w:val="24"/>
          <w:szCs w:val="24"/>
        </w:rPr>
        <w:t xml:space="preserve"> pathway </w:t>
      </w:r>
      <w:r w:rsidRPr="002E7761">
        <w:rPr>
          <w:rFonts w:ascii="Times New Roman" w:eastAsia="Calibri" w:hAnsi="Times New Roman" w:cs="Times New Roman"/>
          <w:sz w:val="24"/>
          <w:szCs w:val="24"/>
        </w:rPr>
        <w:fldChar w:fldCharType="begin"/>
      </w:r>
      <w:r w:rsidRPr="002E7761">
        <w:rPr>
          <w:rFonts w:ascii="Times New Roman" w:eastAsia="Calibri" w:hAnsi="Times New Roman" w:cs="Times New Roman"/>
          <w:sz w:val="24"/>
          <w:szCs w:val="24"/>
        </w:rPr>
        <w:instrText xml:space="preserve"> ADDIN ZOTERO_ITEM CSL_CITATION {"citationID":"fz9RWII1","properties":{"formattedCitation":"(Peyman, 2010)","plainCitation":"(Peyman, 2010)","dontUpdate":true,"noteIndex":0},"citationItems":[{"id":233,"uris":["http://zotero.org/users/local/7J0d6nia/items/W4KHRXL6","http://zotero.org/users/11300200/items/W4KHRXL6"],"itemData":{"id":233,"type":"webpage","title":"(PDF) Androgen Receptor Modulation by non-Androgenic Factors and the Basal Transcription Factor TAF1","URL":"https://www.researchgate.net/publication/260403239_Androgen_Receptor_Modulation_by_non-Androgenic_Factors_and_the_Basal_Transcription_Factor_TAF1","author":[{"family":"Peyman","given":"Tavassoli"}],"accessed":{"date-parts":[["2023",2,13]]},"issued":{"date-parts":[["2010"]]}}}],"schema":"https://github.com/citation-style-language/schema/raw/master/csl-citation.json"} </w:instrText>
      </w:r>
      <w:r w:rsidRPr="002E7761">
        <w:rPr>
          <w:rFonts w:ascii="Times New Roman" w:eastAsia="Calibri" w:hAnsi="Times New Roman" w:cs="Times New Roman"/>
          <w:sz w:val="24"/>
          <w:szCs w:val="24"/>
        </w:rPr>
        <w:fldChar w:fldCharType="separate"/>
      </w:r>
      <w:r w:rsidRPr="002E7761">
        <w:rPr>
          <w:rFonts w:ascii="Times New Roman" w:hAnsi="Times New Roman" w:cs="Times New Roman"/>
          <w:sz w:val="24"/>
          <w:szCs w:val="24"/>
        </w:rPr>
        <w:t>(Peyman, 2010)</w:t>
      </w:r>
      <w:r w:rsidRPr="002E7761">
        <w:rPr>
          <w:rFonts w:ascii="Times New Roman" w:eastAsia="Calibri" w:hAnsi="Times New Roman" w:cs="Times New Roman"/>
          <w:sz w:val="24"/>
          <w:szCs w:val="24"/>
        </w:rPr>
        <w:fldChar w:fldCharType="end"/>
      </w:r>
    </w:p>
    <w:p w:rsidR="00F77439" w:rsidRPr="002E7761" w:rsidRDefault="00F77439" w:rsidP="006D3376">
      <w:pPr>
        <w:spacing w:line="360" w:lineRule="auto"/>
        <w:jc w:val="both"/>
        <w:rPr>
          <w:rFonts w:ascii="Times New Roman" w:hAnsi="Times New Roman" w:cs="Times New Roman"/>
          <w:bCs/>
          <w:sz w:val="24"/>
          <w:szCs w:val="24"/>
          <w:lang w:val="en-US"/>
        </w:rPr>
      </w:pPr>
      <w:r w:rsidRPr="002E7761">
        <w:rPr>
          <w:rFonts w:ascii="Times New Roman" w:hAnsi="Times New Roman" w:cs="Times New Roman"/>
          <w:bCs/>
          <w:sz w:val="24"/>
          <w:szCs w:val="24"/>
          <w:lang w:val="en-US"/>
        </w:rPr>
        <w:t xml:space="preserve">The AR undergoes a conformational change when it binds to a particular ligand, creating a more compact and stable form of the receptor. When AR is activated, it separates from heat shock proteins and moves to the nucleus, engaging in </w:t>
      </w:r>
      <w:proofErr w:type="spellStart"/>
      <w:r w:rsidRPr="002E7761">
        <w:rPr>
          <w:rFonts w:ascii="Times New Roman" w:hAnsi="Times New Roman" w:cs="Times New Roman"/>
          <w:bCs/>
          <w:sz w:val="24"/>
          <w:szCs w:val="24"/>
          <w:lang w:val="en-US"/>
        </w:rPr>
        <w:t>homodimer</w:t>
      </w:r>
      <w:proofErr w:type="spellEnd"/>
      <w:r w:rsidRPr="002E7761">
        <w:rPr>
          <w:rFonts w:ascii="Times New Roman" w:hAnsi="Times New Roman" w:cs="Times New Roman"/>
          <w:bCs/>
          <w:sz w:val="24"/>
          <w:szCs w:val="24"/>
          <w:lang w:val="en-US"/>
        </w:rPr>
        <w:t xml:space="preserve"> interactions with DNA </w:t>
      </w:r>
      <w:r w:rsidRPr="002E7761">
        <w:rPr>
          <w:rFonts w:ascii="Times New Roman" w:hAnsi="Times New Roman" w:cs="Times New Roman"/>
          <w:bCs/>
          <w:sz w:val="24"/>
          <w:szCs w:val="24"/>
          <w:lang w:val="en-US"/>
        </w:rPr>
        <w:lastRenderedPageBreak/>
        <w:t xml:space="preserve">androgen response elements </w:t>
      </w:r>
      <w:r w:rsidRPr="002E7761">
        <w:rPr>
          <w:rFonts w:ascii="Times New Roman" w:hAnsi="Times New Roman" w:cs="Times New Roman"/>
          <w:bCs/>
          <w:sz w:val="24"/>
          <w:szCs w:val="24"/>
          <w:lang w:val="en-US"/>
        </w:rPr>
        <w:fldChar w:fldCharType="begin"/>
      </w:r>
      <w:r w:rsidRPr="002E7761">
        <w:rPr>
          <w:rFonts w:ascii="Times New Roman" w:hAnsi="Times New Roman" w:cs="Times New Roman"/>
          <w:bCs/>
          <w:sz w:val="24"/>
          <w:szCs w:val="24"/>
          <w:lang w:val="en-US"/>
        </w:rPr>
        <w:instrText xml:space="preserve"> ADDIN ZOTERO_ITEM CSL_CITATION {"citationID":"CpOtexkr","properties":{"formattedCitation":"(Messner et al., 2020)","plainCitation":"(Messner et al., 2020)","noteIndex":0},"citationItems":[{"id":358,"uris":["http://zotero.org/users/local/7J0d6nia/items/YRAFJJRZ","http://zotero.org/users/11300200/items/YRAFJJRZ"],"itemData":{"id":358,"type":"article-journal","abstract":"The androgen receptor (AR) plays a predominant role in prostate cancer (PCa) pathology. It consists of an N-terminal domain (NTD), a DNA-binding domain (DBD), a hinge region (HR), and a ligand-binding domain (LBD) that binds androgens, including testosterone (T) and dihydrotestosterone (DHT). Ligand binding at the LBD promotes AR dimerization and translocation to the nucleus where the DBD binds target DNA. In PCa, AR signaling is perturbed by excessive androgen synthesis, AR amplification, mutation, or the formation of AR alternatively spliced variants (AR-V) that lack the LBD. Current therapies for advanced PCa include androgen synthesis inhibitors that suppress T and/or DHT synthesis, and AR inhibitors that prevent ligand binding at the LBD. However, AR mutations and AR-Vs render LBD-specific therapeutics ineffective. The DBD and NTD are novel targets for inhibition as both perform necessary roles in AR transcriptional activity and are less susceptible to AR alternative splicing compared to the LBD. DBD and NTD inhibition can potentially extend patient survival, improve quality of life, and overcome predominant mechanisms of resistance to current therapies. This review discusses various small molecule and other inhibitors developed against the DBD and NTD—and the current state of the available compounds in clinical development.","container-title":"Biomedicines","DOI":"10.3390/biomedicines8100422","ISSN":"2227-9059","issue":"10","journalAbbreviation":"Biomedicines","language":"en","page":"422","source":"DOI.org (Crossref)","title":"The Androgen Receptor in Prostate Cancer: Effect of Structure, Ligands and Spliced Variants on Therapy","title-short":"The Androgen Receptor in Prostate Cancer","volume":"8","author":[{"family":"Messner","given":"Elisabeth A."},{"family":"Steele","given":"Thomas M."},{"family":"Tsamouri","given":"Maria Malvina"},{"family":"Hejazi","given":"Nazila"},{"family":"Gao","given":"Allen C."},{"family":"Mudryj","given":"Maria"},{"family":"Ghosh","given":"Paramita M."}],"issued":{"date-parts":[["2020",10,15]]}}}],"schema":"https://github.com/citation-style-language/schema/raw/master/csl-citation.json"} </w:instrText>
      </w:r>
      <w:r w:rsidRPr="002E7761">
        <w:rPr>
          <w:rFonts w:ascii="Times New Roman" w:hAnsi="Times New Roman" w:cs="Times New Roman"/>
          <w:bCs/>
          <w:sz w:val="24"/>
          <w:szCs w:val="24"/>
          <w:lang w:val="en-US"/>
        </w:rPr>
        <w:fldChar w:fldCharType="separate"/>
      </w:r>
      <w:r w:rsidR="00167D83" w:rsidRPr="00167D83">
        <w:rPr>
          <w:rFonts w:ascii="Times New Roman" w:hAnsi="Times New Roman" w:cs="Times New Roman"/>
          <w:sz w:val="24"/>
        </w:rPr>
        <w:t>(Messner et al., 2020)</w:t>
      </w:r>
      <w:r w:rsidRPr="002E7761">
        <w:rPr>
          <w:rFonts w:ascii="Times New Roman" w:hAnsi="Times New Roman" w:cs="Times New Roman"/>
          <w:bCs/>
          <w:sz w:val="24"/>
          <w:szCs w:val="24"/>
          <w:lang w:val="en-US"/>
        </w:rPr>
        <w:fldChar w:fldCharType="end"/>
      </w:r>
      <w:r w:rsidRPr="002E7761">
        <w:rPr>
          <w:rFonts w:ascii="Times New Roman" w:hAnsi="Times New Roman" w:cs="Times New Roman"/>
          <w:bCs/>
          <w:sz w:val="24"/>
          <w:szCs w:val="24"/>
          <w:lang w:val="en-US"/>
        </w:rPr>
        <w:t>. A second dimerization interface is needed to bind to an AR response element since AR employs the DBD to bind to ARE elements. The protein-protein and protein-DNA connections that allow for this unexpected structure are preserved, and some AR-specific dimerization contacts are responsible for the AR specificity of AR respon</w:t>
      </w:r>
      <w:r w:rsidR="002C3845">
        <w:rPr>
          <w:rFonts w:ascii="Times New Roman" w:hAnsi="Times New Roman" w:cs="Times New Roman"/>
          <w:bCs/>
          <w:sz w:val="24"/>
          <w:szCs w:val="24"/>
          <w:lang w:val="en-US"/>
        </w:rPr>
        <w:t>se elements. As seen in Figure 2</w:t>
      </w:r>
      <w:r w:rsidRPr="002E7761">
        <w:rPr>
          <w:rFonts w:ascii="Times New Roman" w:hAnsi="Times New Roman" w:cs="Times New Roman"/>
          <w:bCs/>
          <w:sz w:val="24"/>
          <w:szCs w:val="24"/>
          <w:lang w:val="en-US"/>
        </w:rPr>
        <w:t xml:space="preserve">, in order to control the gene-specific expression that affects the development and survival of target cells, the active DNA-bound AR can entice co-regulator proteins and fundamental transcriptional machinery </w:t>
      </w:r>
      <w:r w:rsidRPr="002E7761">
        <w:rPr>
          <w:rFonts w:ascii="Times New Roman" w:hAnsi="Times New Roman" w:cs="Times New Roman"/>
          <w:bCs/>
          <w:sz w:val="24"/>
          <w:szCs w:val="24"/>
          <w:lang w:val="en-US"/>
        </w:rPr>
        <w:fldChar w:fldCharType="begin"/>
      </w:r>
      <w:r w:rsidRPr="002E7761">
        <w:rPr>
          <w:rFonts w:ascii="Times New Roman" w:hAnsi="Times New Roman" w:cs="Times New Roman"/>
          <w:bCs/>
          <w:sz w:val="24"/>
          <w:szCs w:val="24"/>
          <w:lang w:val="en-US"/>
        </w:rPr>
        <w:instrText xml:space="preserve"> ADDIN ZOTERO_ITEM CSL_CITATION {"citationID":"jfehVQOn","properties":{"formattedCitation":"(Takayama, 2018)","plainCitation":"(Takayama, 2018)","noteIndex":0},"citationItems":[{"id":197,"uris":["http://zotero.org/users/local/7J0d6nia/items/9J36HRZI","http://zotero.org/users/11300200/items/9J36HRZI"],"itemData":{"id":197,"type":"chapter","container-title":"Advances in Testosterone Action","ISBN":"978-1-78984-512-9","language":"en","note":"DOI: 10.5772/intechopen.76360","publisher":"IntechOpen","source":"DOI.org (Crossref)","title":"The Biological Role of Androgen Receptor in Prostate Cancer Progression","URL":"https://www.intechopen.com/books/advances-in-testosterone-action/the-biological-role-of-androgen-receptor-in-prostate-cancer-progression","editor":[{"family":"Estrada","given":"Manuel"}],"author":[{"family":"Takayama","given":"Ken-ichi"}],"accessed":{"date-parts":[["2023",2,19]]},"issued":{"date-parts":[["2018",11,21]]}}}],"schema":"https://github.com/citation-style-language/schema/raw/master/csl-citation.json"} </w:instrText>
      </w:r>
      <w:r w:rsidRPr="002E7761">
        <w:rPr>
          <w:rFonts w:ascii="Times New Roman" w:hAnsi="Times New Roman" w:cs="Times New Roman"/>
          <w:bCs/>
          <w:sz w:val="24"/>
          <w:szCs w:val="24"/>
          <w:lang w:val="en-US"/>
        </w:rPr>
        <w:fldChar w:fldCharType="separate"/>
      </w:r>
      <w:r w:rsidR="00167D83" w:rsidRPr="00167D83">
        <w:rPr>
          <w:rFonts w:ascii="Times New Roman" w:hAnsi="Times New Roman" w:cs="Times New Roman"/>
          <w:sz w:val="24"/>
        </w:rPr>
        <w:t>(Takayama, 2018)</w:t>
      </w:r>
      <w:r w:rsidRPr="002E7761">
        <w:rPr>
          <w:rFonts w:ascii="Times New Roman" w:hAnsi="Times New Roman" w:cs="Times New Roman"/>
          <w:bCs/>
          <w:sz w:val="24"/>
          <w:szCs w:val="24"/>
          <w:lang w:val="en-US"/>
        </w:rPr>
        <w:fldChar w:fldCharType="end"/>
      </w:r>
      <w:r w:rsidRPr="002E7761">
        <w:rPr>
          <w:rFonts w:ascii="Times New Roman" w:hAnsi="Times New Roman" w:cs="Times New Roman"/>
          <w:bCs/>
          <w:sz w:val="24"/>
          <w:szCs w:val="24"/>
          <w:lang w:val="en-US"/>
        </w:rPr>
        <w:t xml:space="preserve">. </w:t>
      </w:r>
    </w:p>
    <w:p w:rsidR="002C3845" w:rsidRDefault="007431DE" w:rsidP="006D3376">
      <w:pPr>
        <w:spacing w:line="360" w:lineRule="auto"/>
        <w:jc w:val="both"/>
        <w:rPr>
          <w:rFonts w:ascii="Times New Roman" w:hAnsi="Times New Roman" w:cs="Times New Roman"/>
          <w:bCs/>
          <w:sz w:val="24"/>
          <w:szCs w:val="24"/>
          <w:lang w:val="en-US"/>
        </w:rPr>
      </w:pPr>
      <w:r w:rsidRPr="007431DE">
        <w:rPr>
          <w:rFonts w:ascii="Times New Roman" w:hAnsi="Times New Roman" w:cs="Times New Roman"/>
          <w:bCs/>
          <w:sz w:val="24"/>
          <w:szCs w:val="24"/>
          <w:lang w:val="en-US"/>
        </w:rPr>
        <w:t xml:space="preserve">The </w:t>
      </w:r>
      <w:proofErr w:type="spellStart"/>
      <w:r w:rsidRPr="007431DE">
        <w:rPr>
          <w:rFonts w:ascii="Times New Roman" w:hAnsi="Times New Roman" w:cs="Times New Roman"/>
          <w:bCs/>
          <w:sz w:val="24"/>
          <w:szCs w:val="24"/>
          <w:lang w:val="en-US"/>
        </w:rPr>
        <w:t>dysregulation</w:t>
      </w:r>
      <w:proofErr w:type="spellEnd"/>
      <w:r w:rsidRPr="007431DE">
        <w:rPr>
          <w:rFonts w:ascii="Times New Roman" w:hAnsi="Times New Roman" w:cs="Times New Roman"/>
          <w:bCs/>
          <w:sz w:val="24"/>
          <w:szCs w:val="24"/>
          <w:lang w:val="en-US"/>
        </w:rPr>
        <w:t xml:space="preserve"> of </w:t>
      </w:r>
      <w:r>
        <w:rPr>
          <w:rFonts w:ascii="Times New Roman" w:hAnsi="Times New Roman" w:cs="Times New Roman"/>
          <w:bCs/>
          <w:sz w:val="24"/>
          <w:szCs w:val="24"/>
          <w:lang w:val="en-US"/>
        </w:rPr>
        <w:t xml:space="preserve">AR signaling in </w:t>
      </w:r>
      <w:proofErr w:type="spellStart"/>
      <w:r>
        <w:rPr>
          <w:rFonts w:ascii="Times New Roman" w:hAnsi="Times New Roman" w:cs="Times New Roman"/>
          <w:bCs/>
          <w:sz w:val="24"/>
          <w:szCs w:val="24"/>
          <w:lang w:val="en-US"/>
        </w:rPr>
        <w:t>PCa</w:t>
      </w:r>
      <w:proofErr w:type="spellEnd"/>
      <w:r>
        <w:rPr>
          <w:rFonts w:ascii="Times New Roman" w:hAnsi="Times New Roman" w:cs="Times New Roman"/>
          <w:bCs/>
          <w:sz w:val="24"/>
          <w:szCs w:val="24"/>
          <w:lang w:val="en-US"/>
        </w:rPr>
        <w:t xml:space="preserve"> </w:t>
      </w:r>
      <w:r w:rsidRPr="007431DE">
        <w:rPr>
          <w:rFonts w:ascii="Times New Roman" w:hAnsi="Times New Roman" w:cs="Times New Roman"/>
          <w:bCs/>
          <w:sz w:val="24"/>
          <w:szCs w:val="24"/>
          <w:lang w:val="en-US"/>
        </w:rPr>
        <w:t xml:space="preserve">leads to an increased reliance on androgen signaling by the cancer cells for growth and survival. Not only does AR signaling support the growth and survival of </w:t>
      </w:r>
      <w:proofErr w:type="spellStart"/>
      <w:r w:rsidRPr="007431DE">
        <w:rPr>
          <w:rFonts w:ascii="Times New Roman" w:hAnsi="Times New Roman" w:cs="Times New Roman"/>
          <w:bCs/>
          <w:sz w:val="24"/>
          <w:szCs w:val="24"/>
          <w:lang w:val="en-US"/>
        </w:rPr>
        <w:t>PCa</w:t>
      </w:r>
      <w:proofErr w:type="spellEnd"/>
      <w:r w:rsidRPr="007431DE">
        <w:rPr>
          <w:rFonts w:ascii="Times New Roman" w:hAnsi="Times New Roman" w:cs="Times New Roman"/>
          <w:bCs/>
          <w:sz w:val="24"/>
          <w:szCs w:val="24"/>
          <w:lang w:val="en-US"/>
        </w:rPr>
        <w:t xml:space="preserve"> cells, but it can also play a role in the development of ADT resistance. Numerous processes, including as mutations or amplifications of the AR gene, elevated AR expression, and the activation of alternate signaling pathways</w:t>
      </w:r>
      <w:r>
        <w:rPr>
          <w:rFonts w:ascii="Times New Roman" w:hAnsi="Times New Roman" w:cs="Times New Roman"/>
          <w:bCs/>
          <w:sz w:val="24"/>
          <w:szCs w:val="24"/>
          <w:lang w:val="en-US"/>
        </w:rPr>
        <w:t>, contribute to this (Figure 3)</w:t>
      </w:r>
      <w:r w:rsidR="00F77439" w:rsidRPr="002E7761">
        <w:rPr>
          <w:rFonts w:ascii="Times New Roman" w:hAnsi="Times New Roman" w:cs="Times New Roman"/>
          <w:bCs/>
          <w:sz w:val="24"/>
          <w:szCs w:val="24"/>
          <w:lang w:val="en-US"/>
        </w:rPr>
        <w:t>.</w:t>
      </w:r>
    </w:p>
    <w:p w:rsidR="002C3845" w:rsidRDefault="002C3845" w:rsidP="006D3376">
      <w:pPr>
        <w:spacing w:line="360" w:lineRule="auto"/>
        <w:jc w:val="both"/>
        <w:rPr>
          <w:rFonts w:ascii="Times New Roman" w:hAnsi="Times New Roman" w:cs="Times New Roman"/>
          <w:bCs/>
          <w:sz w:val="24"/>
          <w:szCs w:val="24"/>
          <w:lang w:val="en-US"/>
        </w:rPr>
      </w:pPr>
      <w:r w:rsidRPr="002C3845">
        <w:rPr>
          <w:rFonts w:ascii="Times New Roman" w:hAnsi="Times New Roman" w:cs="Times New Roman"/>
          <w:bCs/>
          <w:noProof/>
          <w:sz w:val="24"/>
          <w:szCs w:val="24"/>
          <w:lang w:val="en-US"/>
        </w:rPr>
        <w:drawing>
          <wp:inline distT="0" distB="0" distL="0" distR="0" wp14:anchorId="37D2EF21" wp14:editId="322C8C8C">
            <wp:extent cx="5731510" cy="2694940"/>
            <wp:effectExtent l="0" t="0" r="2540" b="0"/>
            <wp:docPr id="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2"/>
                    <a:stretch>
                      <a:fillRect/>
                    </a:stretch>
                  </pic:blipFill>
                  <pic:spPr>
                    <a:xfrm>
                      <a:off x="0" y="0"/>
                      <a:ext cx="5731510" cy="2694940"/>
                    </a:xfrm>
                    <a:prstGeom prst="rect">
                      <a:avLst/>
                    </a:prstGeom>
                  </pic:spPr>
                </pic:pic>
              </a:graphicData>
            </a:graphic>
          </wp:inline>
        </w:drawing>
      </w:r>
    </w:p>
    <w:p w:rsidR="002C3845" w:rsidRDefault="002C3845" w:rsidP="006D3376">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Figure 3:</w:t>
      </w:r>
      <w:r w:rsidRPr="002C3845">
        <w:rPr>
          <w:rFonts w:ascii="Times New Roman" w:hAnsi="Times New Roman" w:cs="Times New Roman"/>
          <w:bCs/>
          <w:sz w:val="24"/>
          <w:szCs w:val="24"/>
          <w:lang w:val="en-US"/>
        </w:rPr>
        <w:t xml:space="preserve"> </w:t>
      </w:r>
      <w:proofErr w:type="spellStart"/>
      <w:r w:rsidRPr="002C3845">
        <w:rPr>
          <w:rFonts w:ascii="Times New Roman" w:hAnsi="Times New Roman" w:cs="Times New Roman"/>
          <w:bCs/>
          <w:sz w:val="24"/>
          <w:szCs w:val="24"/>
          <w:lang w:val="en-US"/>
        </w:rPr>
        <w:t>Dysregul</w:t>
      </w:r>
      <w:r w:rsidR="00596CAA">
        <w:rPr>
          <w:rFonts w:ascii="Times New Roman" w:hAnsi="Times New Roman" w:cs="Times New Roman"/>
          <w:bCs/>
          <w:sz w:val="24"/>
          <w:szCs w:val="24"/>
          <w:lang w:val="en-US"/>
        </w:rPr>
        <w:t>ated</w:t>
      </w:r>
      <w:proofErr w:type="spellEnd"/>
      <w:r w:rsidR="00596CAA">
        <w:rPr>
          <w:rFonts w:ascii="Times New Roman" w:hAnsi="Times New Roman" w:cs="Times New Roman"/>
          <w:bCs/>
          <w:sz w:val="24"/>
          <w:szCs w:val="24"/>
          <w:lang w:val="en-US"/>
        </w:rPr>
        <w:t xml:space="preserve"> A</w:t>
      </w:r>
      <w:r w:rsidR="00820222">
        <w:rPr>
          <w:rFonts w:ascii="Times New Roman" w:hAnsi="Times New Roman" w:cs="Times New Roman"/>
          <w:bCs/>
          <w:sz w:val="24"/>
          <w:szCs w:val="24"/>
          <w:lang w:val="en-US"/>
        </w:rPr>
        <w:t xml:space="preserve">ndrogen </w:t>
      </w:r>
      <w:r w:rsidR="00596CAA">
        <w:rPr>
          <w:rFonts w:ascii="Times New Roman" w:hAnsi="Times New Roman" w:cs="Times New Roman"/>
          <w:bCs/>
          <w:sz w:val="24"/>
          <w:szCs w:val="24"/>
          <w:lang w:val="en-US"/>
        </w:rPr>
        <w:t>R</w:t>
      </w:r>
      <w:r w:rsidR="00820222">
        <w:rPr>
          <w:rFonts w:ascii="Times New Roman" w:hAnsi="Times New Roman" w:cs="Times New Roman"/>
          <w:bCs/>
          <w:sz w:val="24"/>
          <w:szCs w:val="24"/>
          <w:lang w:val="en-US"/>
        </w:rPr>
        <w:t>eceptor signa</w:t>
      </w:r>
      <w:r w:rsidR="00596CAA">
        <w:rPr>
          <w:rFonts w:ascii="Times New Roman" w:hAnsi="Times New Roman" w:cs="Times New Roman"/>
          <w:bCs/>
          <w:sz w:val="24"/>
          <w:szCs w:val="24"/>
          <w:lang w:val="en-US"/>
        </w:rPr>
        <w:t xml:space="preserve">ling in </w:t>
      </w:r>
      <w:proofErr w:type="spellStart"/>
      <w:r w:rsidR="00596CAA">
        <w:rPr>
          <w:rFonts w:ascii="Times New Roman" w:hAnsi="Times New Roman" w:cs="Times New Roman"/>
          <w:bCs/>
          <w:sz w:val="24"/>
          <w:szCs w:val="24"/>
          <w:lang w:val="en-US"/>
        </w:rPr>
        <w:t>PCa</w:t>
      </w:r>
      <w:proofErr w:type="spellEnd"/>
      <w:r w:rsidR="00596CAA">
        <w:rPr>
          <w:rFonts w:ascii="Times New Roman" w:hAnsi="Times New Roman" w:cs="Times New Roman"/>
          <w:bCs/>
          <w:sz w:val="24"/>
          <w:szCs w:val="24"/>
          <w:lang w:val="en-US"/>
        </w:rPr>
        <w:t xml:space="preserve"> </w:t>
      </w:r>
      <w:r w:rsidR="00596CAA">
        <w:rPr>
          <w:rFonts w:ascii="Times New Roman" w:hAnsi="Times New Roman" w:cs="Times New Roman"/>
          <w:bCs/>
          <w:sz w:val="24"/>
          <w:szCs w:val="24"/>
          <w:lang w:val="en-US"/>
        </w:rPr>
        <w:fldChar w:fldCharType="begin"/>
      </w:r>
      <w:r w:rsidR="00596CAA">
        <w:rPr>
          <w:rFonts w:ascii="Times New Roman" w:hAnsi="Times New Roman" w:cs="Times New Roman"/>
          <w:bCs/>
          <w:sz w:val="24"/>
          <w:szCs w:val="24"/>
          <w:lang w:val="en-US"/>
        </w:rPr>
        <w:instrText xml:space="preserve"> ADDIN ZOTERO_ITEM CSL_CITATION {"citationID":"CkSJCiPF","properties":{"formattedCitation":"(Chandrasekar et al., 2015)","plainCitation":"(Chandrasekar et al., 2015)","noteIndex":0},"citationItems":[{"id":1289,"uris":["http://zotero.org/users/11300200/items/GWKG3BVF"],"itemData":{"id":1289,"type":"article-journal","container-title":"BMC Medicine","DOI":"10.1186/s12916-015-0457-6","ISSN":"1741-7015","issue":"1","journalAbbreviation":"BMC Med","language":"en","page":"206","source":"DOI.org (Crossref)","title":"Targeting molecular resistance in castration-resistant prostate cancer","volume":"13","author":[{"family":"Chandrasekar","given":"Thenappan"},{"family":"Yang","given":"Joy C."},{"family":"Gao","given":"Allen C."},{"family":"Evans","given":"Christopher P."}],"issued":{"date-parts":[["2015",12]]}}}],"schema":"https://github.com/citation-style-language/schema/raw/master/csl-citation.json"} </w:instrText>
      </w:r>
      <w:r w:rsidR="00596CAA">
        <w:rPr>
          <w:rFonts w:ascii="Times New Roman" w:hAnsi="Times New Roman" w:cs="Times New Roman"/>
          <w:bCs/>
          <w:sz w:val="24"/>
          <w:szCs w:val="24"/>
          <w:lang w:val="en-US"/>
        </w:rPr>
        <w:fldChar w:fldCharType="separate"/>
      </w:r>
      <w:r w:rsidR="00596CAA" w:rsidRPr="00596CAA">
        <w:rPr>
          <w:rFonts w:ascii="Times New Roman" w:hAnsi="Times New Roman" w:cs="Times New Roman"/>
          <w:sz w:val="24"/>
        </w:rPr>
        <w:t>(Chandrasekar et al., 2015)</w:t>
      </w:r>
      <w:r w:rsidR="00596CAA">
        <w:rPr>
          <w:rFonts w:ascii="Times New Roman" w:hAnsi="Times New Roman" w:cs="Times New Roman"/>
          <w:bCs/>
          <w:sz w:val="24"/>
          <w:szCs w:val="24"/>
          <w:lang w:val="en-US"/>
        </w:rPr>
        <w:fldChar w:fldCharType="end"/>
      </w:r>
    </w:p>
    <w:p w:rsidR="00F77439" w:rsidRPr="002E7761" w:rsidRDefault="00F77439" w:rsidP="006D3376">
      <w:pPr>
        <w:spacing w:line="360" w:lineRule="auto"/>
        <w:jc w:val="both"/>
        <w:rPr>
          <w:rFonts w:ascii="Times New Roman" w:hAnsi="Times New Roman" w:cs="Times New Roman"/>
          <w:bCs/>
          <w:sz w:val="24"/>
          <w:szCs w:val="24"/>
          <w:lang w:val="en-US"/>
        </w:rPr>
      </w:pPr>
      <w:r w:rsidRPr="002E7761">
        <w:rPr>
          <w:rFonts w:ascii="Times New Roman" w:hAnsi="Times New Roman" w:cs="Times New Roman"/>
          <w:bCs/>
          <w:sz w:val="24"/>
          <w:szCs w:val="24"/>
          <w:lang w:val="en-US"/>
        </w:rPr>
        <w:t xml:space="preserve">As a result, targeting the AR signaling pathway is an important therapeutic strategy in the therapy of </w:t>
      </w:r>
      <w:proofErr w:type="spellStart"/>
      <w:r w:rsidRPr="002E7761">
        <w:rPr>
          <w:rFonts w:ascii="Times New Roman" w:hAnsi="Times New Roman" w:cs="Times New Roman"/>
          <w:bCs/>
          <w:sz w:val="24"/>
          <w:szCs w:val="24"/>
          <w:lang w:val="en-US"/>
        </w:rPr>
        <w:t>PCa</w:t>
      </w:r>
      <w:proofErr w:type="spellEnd"/>
      <w:r w:rsidRPr="002E7761">
        <w:rPr>
          <w:rFonts w:ascii="Times New Roman" w:hAnsi="Times New Roman" w:cs="Times New Roman"/>
          <w:bCs/>
          <w:sz w:val="24"/>
          <w:szCs w:val="24"/>
          <w:lang w:val="en-US"/>
        </w:rPr>
        <w:t xml:space="preserve">, and there are several drugs that specifically target AR signaling, such as </w:t>
      </w:r>
      <w:proofErr w:type="spellStart"/>
      <w:r w:rsidRPr="002E7761">
        <w:rPr>
          <w:rFonts w:ascii="Times New Roman" w:hAnsi="Times New Roman" w:cs="Times New Roman"/>
          <w:bCs/>
          <w:sz w:val="24"/>
          <w:szCs w:val="24"/>
          <w:lang w:val="en-US"/>
        </w:rPr>
        <w:t>enzalutamide</w:t>
      </w:r>
      <w:proofErr w:type="spellEnd"/>
      <w:r w:rsidRPr="002E7761">
        <w:rPr>
          <w:rFonts w:ascii="Times New Roman" w:hAnsi="Times New Roman" w:cs="Times New Roman"/>
          <w:bCs/>
          <w:sz w:val="24"/>
          <w:szCs w:val="24"/>
          <w:lang w:val="en-US"/>
        </w:rPr>
        <w:t xml:space="preserve">, </w:t>
      </w:r>
      <w:proofErr w:type="spellStart"/>
      <w:r w:rsidRPr="002E7761">
        <w:rPr>
          <w:rFonts w:ascii="Times New Roman" w:hAnsi="Times New Roman" w:cs="Times New Roman"/>
          <w:bCs/>
          <w:sz w:val="24"/>
          <w:szCs w:val="24"/>
          <w:lang w:val="en-US"/>
        </w:rPr>
        <w:t>abiraterone</w:t>
      </w:r>
      <w:proofErr w:type="spellEnd"/>
      <w:r w:rsidRPr="002E7761">
        <w:rPr>
          <w:rFonts w:ascii="Times New Roman" w:hAnsi="Times New Roman" w:cs="Times New Roman"/>
          <w:bCs/>
          <w:sz w:val="24"/>
          <w:szCs w:val="24"/>
          <w:lang w:val="en-US"/>
        </w:rPr>
        <w:t xml:space="preserve">, and </w:t>
      </w:r>
      <w:proofErr w:type="spellStart"/>
      <w:r w:rsidRPr="002E7761">
        <w:rPr>
          <w:rFonts w:ascii="Times New Roman" w:hAnsi="Times New Roman" w:cs="Times New Roman"/>
          <w:bCs/>
          <w:sz w:val="24"/>
          <w:szCs w:val="24"/>
          <w:lang w:val="en-US"/>
        </w:rPr>
        <w:t>apalutamide</w:t>
      </w:r>
      <w:proofErr w:type="spellEnd"/>
      <w:r w:rsidRPr="002E7761">
        <w:rPr>
          <w:rFonts w:ascii="Times New Roman" w:hAnsi="Times New Roman" w:cs="Times New Roman"/>
          <w:bCs/>
          <w:sz w:val="24"/>
          <w:szCs w:val="24"/>
          <w:lang w:val="en-US"/>
        </w:rPr>
        <w:t>.</w:t>
      </w:r>
    </w:p>
    <w:p w:rsidR="00F77439" w:rsidRPr="002E7761" w:rsidRDefault="006D2663" w:rsidP="006D3376">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2.6</w:t>
      </w:r>
      <w:r w:rsidR="00FE2D03">
        <w:rPr>
          <w:rFonts w:ascii="Times New Roman" w:hAnsi="Times New Roman" w:cs="Times New Roman"/>
          <w:b/>
          <w:bCs/>
          <w:sz w:val="24"/>
          <w:szCs w:val="24"/>
          <w:lang w:val="en-US"/>
        </w:rPr>
        <w:t>.2</w:t>
      </w:r>
      <w:r w:rsidR="00FE2D03" w:rsidRPr="004B07BF">
        <w:rPr>
          <w:rFonts w:ascii="Times New Roman" w:hAnsi="Times New Roman" w:cs="Times New Roman"/>
          <w:b/>
          <w:bCs/>
          <w:sz w:val="24"/>
          <w:szCs w:val="24"/>
          <w:lang w:val="en-US"/>
        </w:rPr>
        <w:t xml:space="preserve"> </w:t>
      </w:r>
      <w:r w:rsidR="004B07BF" w:rsidRPr="004B07BF">
        <w:rPr>
          <w:rFonts w:ascii="Times New Roman" w:hAnsi="Times New Roman" w:cs="Times New Roman"/>
          <w:b/>
          <w:bCs/>
          <w:sz w:val="24"/>
          <w:szCs w:val="24"/>
          <w:lang w:val="en-US"/>
        </w:rPr>
        <w:t>Steroid Receptor Coactivator-3</w:t>
      </w:r>
    </w:p>
    <w:p w:rsidR="00463515" w:rsidRDefault="00F77439" w:rsidP="00B55B86">
      <w:pPr>
        <w:spacing w:line="360" w:lineRule="auto"/>
        <w:jc w:val="both"/>
        <w:rPr>
          <w:rFonts w:ascii="Times New Roman" w:hAnsi="Times New Roman" w:cs="Times New Roman"/>
          <w:bCs/>
          <w:sz w:val="24"/>
          <w:szCs w:val="24"/>
          <w:lang w:val="en-US"/>
        </w:rPr>
      </w:pPr>
      <w:r w:rsidRPr="002E7761">
        <w:rPr>
          <w:rFonts w:ascii="Times New Roman" w:hAnsi="Times New Roman" w:cs="Times New Roman"/>
          <w:bCs/>
          <w:sz w:val="24"/>
          <w:szCs w:val="24"/>
          <w:lang w:val="en-US"/>
        </w:rPr>
        <w:t xml:space="preserve">The Androgen Receptor (AR) directly interacts with Steroid Receptor Coactivator-3 (SRC-3) a member of Steroid Receptor </w:t>
      </w:r>
      <w:proofErr w:type="spellStart"/>
      <w:r w:rsidRPr="002E7761">
        <w:rPr>
          <w:rFonts w:ascii="Times New Roman" w:hAnsi="Times New Roman" w:cs="Times New Roman"/>
          <w:bCs/>
          <w:sz w:val="24"/>
          <w:szCs w:val="24"/>
          <w:lang w:val="en-US"/>
        </w:rPr>
        <w:t>Coactivator</w:t>
      </w:r>
      <w:proofErr w:type="spellEnd"/>
      <w:r w:rsidRPr="002E7761">
        <w:rPr>
          <w:rFonts w:ascii="Times New Roman" w:hAnsi="Times New Roman" w:cs="Times New Roman"/>
          <w:bCs/>
          <w:sz w:val="24"/>
          <w:szCs w:val="24"/>
          <w:lang w:val="en-US"/>
        </w:rPr>
        <w:t xml:space="preserve"> family proteins and boosts its transcriptional activity </w:t>
      </w:r>
      <w:r w:rsidRPr="002E7761">
        <w:rPr>
          <w:rFonts w:ascii="Times New Roman" w:hAnsi="Times New Roman" w:cs="Times New Roman"/>
          <w:bCs/>
          <w:sz w:val="24"/>
          <w:szCs w:val="24"/>
          <w:lang w:val="en-US"/>
        </w:rPr>
        <w:fldChar w:fldCharType="begin"/>
      </w:r>
      <w:r w:rsidRPr="002E7761">
        <w:rPr>
          <w:rFonts w:ascii="Times New Roman" w:hAnsi="Times New Roman" w:cs="Times New Roman"/>
          <w:bCs/>
          <w:sz w:val="24"/>
          <w:szCs w:val="24"/>
          <w:lang w:val="en-US"/>
        </w:rPr>
        <w:instrText xml:space="preserve"> ADDIN ZOTERO_ITEM CSL_CITATION {"citationID":"eOd3XCXD","properties":{"formattedCitation":"(Szwarc et al., 2014)","plainCitation":"(Szwarc et al., 2014)","noteIndex":0},"citationItems":[{"id":563,"uris":["http://zotero.org/users/11300200/items/FJTWLSU3"],"itemData":{"id":563,"type":"article-journal","container-title":"Biology of Reproduction","DOI":"10.1095/biolreprod.114.125021","ISSN":"0006-3363, 1529-7268","issue":"5","language":"en","source":"DOI.org (Crossref)","title":"The p160/Steroid Receptor Coactivator Family: Potent Arbiters of Uterine Physiology and Dysfunction1","title-short":"The p160/Steroid Receptor Coactivator Family","URL":"https://academic.oup.com/biolreprod/article-lookup/doi/10.1095/biolreprod.114.125021","volume":"91","author":[{"family":"Szwarc","given":"Maria M."},{"family":"Kommagani","given":"Ramakrishna"},{"family":"Lessey","given":"Bruce A."},{"family":"Lydon","given":"John P."}],"accessed":{"date-parts":[["2023",10,7]]},"issued":{"date-parts":[["2014",11,1]]}}}],"schema":"https://github.com/citation-style-language/schema/raw/master/csl-citation.json"} </w:instrText>
      </w:r>
      <w:r w:rsidRPr="002E7761">
        <w:rPr>
          <w:rFonts w:ascii="Times New Roman" w:hAnsi="Times New Roman" w:cs="Times New Roman"/>
          <w:bCs/>
          <w:sz w:val="24"/>
          <w:szCs w:val="24"/>
          <w:lang w:val="en-US"/>
        </w:rPr>
        <w:fldChar w:fldCharType="separate"/>
      </w:r>
      <w:r w:rsidR="00167D83" w:rsidRPr="00167D83">
        <w:rPr>
          <w:rFonts w:ascii="Times New Roman" w:hAnsi="Times New Roman" w:cs="Times New Roman"/>
          <w:sz w:val="24"/>
        </w:rPr>
        <w:t>(Szwarc et al., 2014)</w:t>
      </w:r>
      <w:r w:rsidRPr="002E7761">
        <w:rPr>
          <w:rFonts w:ascii="Times New Roman" w:hAnsi="Times New Roman" w:cs="Times New Roman"/>
          <w:bCs/>
          <w:sz w:val="24"/>
          <w:szCs w:val="24"/>
          <w:lang w:val="en-US"/>
        </w:rPr>
        <w:fldChar w:fldCharType="end"/>
      </w:r>
      <w:r w:rsidRPr="002E7761">
        <w:rPr>
          <w:rFonts w:ascii="Times New Roman" w:hAnsi="Times New Roman" w:cs="Times New Roman"/>
          <w:bCs/>
          <w:sz w:val="24"/>
          <w:szCs w:val="24"/>
          <w:lang w:val="en-US"/>
        </w:rPr>
        <w:t xml:space="preserve">. </w:t>
      </w:r>
      <w:r w:rsidR="00463515" w:rsidRPr="00463515">
        <w:rPr>
          <w:rFonts w:ascii="Times New Roman" w:hAnsi="Times New Roman" w:cs="Times New Roman"/>
          <w:bCs/>
          <w:sz w:val="24"/>
          <w:szCs w:val="24"/>
          <w:lang w:val="en-US"/>
        </w:rPr>
        <w:t xml:space="preserve">The SRC family, consisting of three evolutionarily conserved transcriptional </w:t>
      </w:r>
      <w:proofErr w:type="spellStart"/>
      <w:r w:rsidR="00463515" w:rsidRPr="00463515">
        <w:rPr>
          <w:rFonts w:ascii="Times New Roman" w:hAnsi="Times New Roman" w:cs="Times New Roman"/>
          <w:bCs/>
          <w:sz w:val="24"/>
          <w:szCs w:val="24"/>
          <w:lang w:val="en-US"/>
        </w:rPr>
        <w:t>coregulators</w:t>
      </w:r>
      <w:proofErr w:type="spellEnd"/>
      <w:r w:rsidR="00463515" w:rsidRPr="00463515">
        <w:rPr>
          <w:rFonts w:ascii="Times New Roman" w:hAnsi="Times New Roman" w:cs="Times New Roman"/>
          <w:bCs/>
          <w:sz w:val="24"/>
          <w:szCs w:val="24"/>
          <w:lang w:val="en-US"/>
        </w:rPr>
        <w:t xml:space="preserve">, is made up of SRC-1 (also called NCOA-1), SRC-2 (also called </w:t>
      </w:r>
      <w:r w:rsidR="00463515" w:rsidRPr="00463515">
        <w:rPr>
          <w:rFonts w:ascii="Times New Roman" w:hAnsi="Times New Roman" w:cs="Times New Roman"/>
          <w:bCs/>
          <w:sz w:val="24"/>
          <w:szCs w:val="24"/>
          <w:lang w:val="en-US"/>
        </w:rPr>
        <w:lastRenderedPageBreak/>
        <w:t xml:space="preserve">NCOA-2), and SRC-3 (also called NCOA-3). In the end, these </w:t>
      </w:r>
      <w:proofErr w:type="spellStart"/>
      <w:r w:rsidR="00463515" w:rsidRPr="00463515">
        <w:rPr>
          <w:rFonts w:ascii="Times New Roman" w:hAnsi="Times New Roman" w:cs="Times New Roman"/>
          <w:bCs/>
          <w:sz w:val="24"/>
          <w:szCs w:val="24"/>
          <w:lang w:val="en-US"/>
        </w:rPr>
        <w:t>coregulators</w:t>
      </w:r>
      <w:proofErr w:type="spellEnd"/>
      <w:r w:rsidR="00463515" w:rsidRPr="00463515">
        <w:rPr>
          <w:rFonts w:ascii="Times New Roman" w:hAnsi="Times New Roman" w:cs="Times New Roman"/>
          <w:bCs/>
          <w:sz w:val="24"/>
          <w:szCs w:val="24"/>
          <w:lang w:val="en-US"/>
        </w:rPr>
        <w:t xml:space="preserve"> influence gene regulation via modulat</w:t>
      </w:r>
      <w:r w:rsidR="00987628">
        <w:rPr>
          <w:rFonts w:ascii="Times New Roman" w:hAnsi="Times New Roman" w:cs="Times New Roman"/>
          <w:bCs/>
          <w:sz w:val="24"/>
          <w:szCs w:val="24"/>
          <w:lang w:val="en-US"/>
        </w:rPr>
        <w:t>ing the interface between the transcriptional machineries and AR</w:t>
      </w:r>
      <w:r w:rsidR="00463515">
        <w:rPr>
          <w:rFonts w:ascii="Times New Roman" w:hAnsi="Times New Roman" w:cs="Times New Roman"/>
          <w:bCs/>
          <w:sz w:val="24"/>
          <w:szCs w:val="24"/>
          <w:lang w:val="en-US"/>
        </w:rPr>
        <w:t xml:space="preserve">. </w:t>
      </w:r>
      <w:r w:rsidR="00B55B86" w:rsidRPr="00B55B86">
        <w:rPr>
          <w:rFonts w:ascii="Times New Roman" w:hAnsi="Times New Roman" w:cs="Times New Roman"/>
          <w:bCs/>
          <w:sz w:val="24"/>
          <w:szCs w:val="24"/>
          <w:lang w:val="en-US"/>
        </w:rPr>
        <w:t>Prostate cancer aggression is linked to SRC-1 expression, and inhibiting SRC-1 expression in prostate cancer cells changed the regulation of AR target</w:t>
      </w:r>
      <w:r w:rsidR="00B55B86">
        <w:rPr>
          <w:rFonts w:ascii="Times New Roman" w:hAnsi="Times New Roman" w:cs="Times New Roman"/>
          <w:bCs/>
          <w:sz w:val="24"/>
          <w:szCs w:val="24"/>
          <w:lang w:val="en-US"/>
        </w:rPr>
        <w:t xml:space="preserve"> genes and stunted their growth</w:t>
      </w:r>
      <w:r w:rsidRPr="002E7761">
        <w:rPr>
          <w:rFonts w:ascii="Times New Roman" w:hAnsi="Times New Roman" w:cs="Times New Roman"/>
          <w:bCs/>
          <w:sz w:val="24"/>
          <w:szCs w:val="24"/>
          <w:lang w:val="en-US"/>
        </w:rPr>
        <w:t xml:space="preserve">. </w:t>
      </w:r>
      <w:r w:rsidR="00B55B86" w:rsidRPr="00B55B86">
        <w:rPr>
          <w:rFonts w:ascii="Times New Roman" w:hAnsi="Times New Roman" w:cs="Times New Roman"/>
          <w:bCs/>
          <w:sz w:val="24"/>
          <w:szCs w:val="24"/>
          <w:lang w:val="en-US"/>
        </w:rPr>
        <w:t>SRC-1, however, has a different role in a murine prostate cancer model than does SRC-3, which is necessary for the growth and metasta</w:t>
      </w:r>
      <w:r w:rsidR="00B55B86">
        <w:rPr>
          <w:rFonts w:ascii="Times New Roman" w:hAnsi="Times New Roman" w:cs="Times New Roman"/>
          <w:bCs/>
          <w:sz w:val="24"/>
          <w:szCs w:val="24"/>
          <w:lang w:val="en-US"/>
        </w:rPr>
        <w:t xml:space="preserve">sis of prostate cancer in mice </w:t>
      </w:r>
      <w:r w:rsidRPr="002E7761">
        <w:rPr>
          <w:rFonts w:ascii="Times New Roman" w:hAnsi="Times New Roman" w:cs="Times New Roman"/>
          <w:bCs/>
          <w:sz w:val="24"/>
          <w:szCs w:val="24"/>
          <w:lang w:val="en-US"/>
        </w:rPr>
        <w:fldChar w:fldCharType="begin"/>
      </w:r>
      <w:r w:rsidRPr="002E7761">
        <w:rPr>
          <w:rFonts w:ascii="Times New Roman" w:hAnsi="Times New Roman" w:cs="Times New Roman"/>
          <w:bCs/>
          <w:sz w:val="24"/>
          <w:szCs w:val="24"/>
          <w:lang w:val="en-US"/>
        </w:rPr>
        <w:instrText xml:space="preserve"> ADDIN ZOTERO_ITEM CSL_CITATION {"citationID":"H9kOIyxr","properties":{"formattedCitation":"(Tien et al., 2013)","plainCitation":"(Tien et al., 2013)","noteIndex":0},"citationItems":[{"id":562,"uris":["http://zotero.org/users/11300200/items/7Y8LSRTL"],"itemData":{"id":562,"type":"article-journal","abstract":"Abstract\n            The transcriptional coactivator SRC-3 plays a key role in enhancing prostate cancer cell proliferation. Although SRC-3 is highly expressed in advanced prostate cancer, its role in castration-resistant prostate cancer (CRPC) driven by PTEN mutation is unknown. We documented elevated SRC-3 in human CRPC and in PTEN-negative human prostate cancer. Patients with high SRC-3 and undetectable PTEN exhibited decreased recurrence-free survival. To explore the causal relationship in these observations, we generated mice in which both Pten and SRC-3 were inactivated in prostate epithelial cells (Pten3CKO mice), comparing them with mice in which only Pten was inactivated in these cells (PtenCKO mice). SRC-3 deletion impaired cellular proliferation and reduced tumor size. Notably, while castration of PtenCKO control mice increased the aggressiveness of prostate tumors relative to noncastrated counterparts, deletion of SRC-3 in Pten3CKO mice reversed all these changes. In support of this finding, castrated Pten3CKO mice also exhibited decreased levels of phospho-Akt, S6 kinase (RPS6KB1), and phosphorylated S6 protein (RPS6), all of which mediate cell growth and proliferation. Moreover, these tumors appeared to be more differentiated as evidenced by higher levels of Fkbp5, an AR-responsive gene that inhibits Akt signaling. Lastly, these tumors also displayed lower levels of certain androgen-repressed genes such as cyclin E2 and MMP10. Together, our results show that SRC-3 drives CRPC formation and offer preclinical proof of concept for a transcriptional coactivator as a therapeutic target to abrogate CRPC progression. Cancer Res; 73(13); 3997–4008. ©2013 AACR.","container-title":"Cancer Research","DOI":"10.1158/0008-5472.CAN-12-3929","ISSN":"0008-5472, 1538-7445","issue":"13","language":"en","page":"3997-4008","source":"DOI.org (Crossref)","title":"The Steroid Receptor Coactivator-3 Is Required for the Development of Castration-Resistant Prostate Cancer","volume":"73","author":[{"family":"Tien","given":"Jean C-Y."},{"family":"Liu","given":"Zhaoliang"},{"family":"Liao","given":"Lan"},{"family":"Wang","given":"Fen"},{"family":"Xu","given":"Yixiang"},{"family":"Wu","given":"Ye-Lin"},{"family":"Zhou","given":"Niya"},{"family":"Ittmann","given":"Michael"},{"family":"Xu","given":"Jianming"}],"issued":{"date-parts":[["2013",7,1]]}}}],"schema":"https://github.com/citation-style-language/schema/raw/master/csl-citation.json"} </w:instrText>
      </w:r>
      <w:r w:rsidRPr="002E7761">
        <w:rPr>
          <w:rFonts w:ascii="Times New Roman" w:hAnsi="Times New Roman" w:cs="Times New Roman"/>
          <w:bCs/>
          <w:sz w:val="24"/>
          <w:szCs w:val="24"/>
          <w:lang w:val="en-US"/>
        </w:rPr>
        <w:fldChar w:fldCharType="separate"/>
      </w:r>
      <w:r w:rsidR="00167D83" w:rsidRPr="00167D83">
        <w:rPr>
          <w:rFonts w:ascii="Times New Roman" w:hAnsi="Times New Roman" w:cs="Times New Roman"/>
          <w:sz w:val="24"/>
        </w:rPr>
        <w:t>(Tien et al., 2013)</w:t>
      </w:r>
      <w:r w:rsidRPr="002E7761">
        <w:rPr>
          <w:rFonts w:ascii="Times New Roman" w:hAnsi="Times New Roman" w:cs="Times New Roman"/>
          <w:bCs/>
          <w:sz w:val="24"/>
          <w:szCs w:val="24"/>
          <w:lang w:val="en-US"/>
        </w:rPr>
        <w:fldChar w:fldCharType="end"/>
      </w:r>
      <w:r w:rsidRPr="002E7761">
        <w:rPr>
          <w:rFonts w:ascii="Times New Roman" w:hAnsi="Times New Roman" w:cs="Times New Roman"/>
          <w:bCs/>
          <w:sz w:val="24"/>
          <w:szCs w:val="24"/>
          <w:lang w:val="en-US"/>
        </w:rPr>
        <w:t xml:space="preserve">. </w:t>
      </w:r>
      <w:proofErr w:type="spellStart"/>
      <w:r w:rsidR="00B55B86">
        <w:rPr>
          <w:rFonts w:ascii="Times New Roman" w:hAnsi="Times New Roman" w:cs="Times New Roman"/>
          <w:bCs/>
          <w:sz w:val="24"/>
          <w:szCs w:val="24"/>
          <w:lang w:val="en-US"/>
        </w:rPr>
        <w:t>PCa</w:t>
      </w:r>
      <w:proofErr w:type="spellEnd"/>
      <w:r w:rsidR="00B55B86" w:rsidRPr="00B55B86">
        <w:rPr>
          <w:rFonts w:ascii="Times New Roman" w:hAnsi="Times New Roman" w:cs="Times New Roman"/>
          <w:bCs/>
          <w:sz w:val="24"/>
          <w:szCs w:val="24"/>
          <w:lang w:val="en-US"/>
        </w:rPr>
        <w:t>, both primary and metastatic, increases SRC-2. Androgen deprivation causes SRC-2, which activates PI3K signaling and encourages the development of castration-resistant prostate cancer (CRPC</w:t>
      </w:r>
      <w:r w:rsidR="00B55B86">
        <w:rPr>
          <w:rFonts w:ascii="Times New Roman" w:hAnsi="Times New Roman" w:cs="Times New Roman"/>
          <w:bCs/>
          <w:sz w:val="24"/>
          <w:szCs w:val="24"/>
          <w:lang w:val="en-US"/>
        </w:rPr>
        <w:t>) and spread</w:t>
      </w:r>
      <w:r w:rsidRPr="002E7761">
        <w:rPr>
          <w:rFonts w:ascii="Times New Roman" w:hAnsi="Times New Roman" w:cs="Times New Roman"/>
          <w:bCs/>
          <w:sz w:val="24"/>
          <w:szCs w:val="24"/>
          <w:lang w:val="en-US"/>
        </w:rPr>
        <w:t xml:space="preserve"> </w:t>
      </w:r>
      <w:r w:rsidRPr="002E7761">
        <w:rPr>
          <w:rFonts w:ascii="Times New Roman" w:hAnsi="Times New Roman" w:cs="Times New Roman"/>
          <w:bCs/>
          <w:sz w:val="24"/>
          <w:szCs w:val="24"/>
          <w:lang w:val="en-US"/>
        </w:rPr>
        <w:fldChar w:fldCharType="begin"/>
      </w:r>
      <w:r w:rsidRPr="002E7761">
        <w:rPr>
          <w:rFonts w:ascii="Times New Roman" w:hAnsi="Times New Roman" w:cs="Times New Roman"/>
          <w:bCs/>
          <w:sz w:val="24"/>
          <w:szCs w:val="24"/>
          <w:lang w:val="en-US"/>
        </w:rPr>
        <w:instrText xml:space="preserve"> ADDIN ZOTERO_ITEM CSL_CITATION {"citationID":"ontUxxhH","properties":{"formattedCitation":"(Qin et al., 2022)","plainCitation":"(Qin et al., 2022)","noteIndex":0},"citationItems":[{"id":42,"uris":["http://zotero.org/users/11300200/items/4K5YYRPD"],"itemData":{"id":42,"type":"article-journal","container-title":"Cancer research","ISSN":"0008-5472","issue":"13","journalAbbreviation":"Cancer research","note":"publisher: AACR","page":"2417-2430","title":"Hypoxia-reoxygenation couples 3βHSD1 enzyme and cofactor upregulation to facilitate androgen biosynthesis and hormone therapy resistance in prostate cancer","volume":"82","author":[{"family":"Qin","given":"Liang"},{"family":"Chung","given":"Yoon-Mi"},{"family":"Berk","given":"Michael"},{"family":"Naelitz","given":"Bryan"},{"family":"Zhu","given":"Ziqi"},{"family":"Klein","given":"Eric"},{"family":"Chakraborty","given":"Abhishek A"},{"family":"Sharifi","given":"Nima"}],"issued":{"date-parts":[["2022"]]}}}],"schema":"https://github.com/citation-style-language/schema/raw/master/csl-citation.json"} </w:instrText>
      </w:r>
      <w:r w:rsidRPr="002E7761">
        <w:rPr>
          <w:rFonts w:ascii="Times New Roman" w:hAnsi="Times New Roman" w:cs="Times New Roman"/>
          <w:bCs/>
          <w:sz w:val="24"/>
          <w:szCs w:val="24"/>
          <w:lang w:val="en-US"/>
        </w:rPr>
        <w:fldChar w:fldCharType="separate"/>
      </w:r>
      <w:r w:rsidR="00167D83" w:rsidRPr="00167D83">
        <w:rPr>
          <w:rFonts w:ascii="Times New Roman" w:hAnsi="Times New Roman" w:cs="Times New Roman"/>
          <w:sz w:val="24"/>
        </w:rPr>
        <w:t>(Qin et al., 2022)</w:t>
      </w:r>
      <w:r w:rsidRPr="002E7761">
        <w:rPr>
          <w:rFonts w:ascii="Times New Roman" w:hAnsi="Times New Roman" w:cs="Times New Roman"/>
          <w:bCs/>
          <w:sz w:val="24"/>
          <w:szCs w:val="24"/>
          <w:lang w:val="en-US"/>
        </w:rPr>
        <w:fldChar w:fldCharType="end"/>
      </w:r>
      <w:r w:rsidRPr="002E7761">
        <w:rPr>
          <w:rFonts w:ascii="Times New Roman" w:hAnsi="Times New Roman" w:cs="Times New Roman"/>
          <w:bCs/>
          <w:sz w:val="24"/>
          <w:szCs w:val="24"/>
          <w:lang w:val="en-US"/>
        </w:rPr>
        <w:t xml:space="preserve">. </w:t>
      </w:r>
      <w:r w:rsidR="00B55B86" w:rsidRPr="00B55B86">
        <w:rPr>
          <w:rFonts w:ascii="Times New Roman" w:hAnsi="Times New Roman" w:cs="Times New Roman"/>
          <w:bCs/>
          <w:sz w:val="24"/>
          <w:szCs w:val="24"/>
          <w:lang w:val="en-US"/>
        </w:rPr>
        <w:t xml:space="preserve">Additionally, SRC-2 promotes </w:t>
      </w:r>
      <w:proofErr w:type="spellStart"/>
      <w:r w:rsidR="00B55B86" w:rsidRPr="00B55B86">
        <w:rPr>
          <w:rFonts w:ascii="Times New Roman" w:hAnsi="Times New Roman" w:cs="Times New Roman"/>
          <w:bCs/>
          <w:sz w:val="24"/>
          <w:szCs w:val="24"/>
          <w:lang w:val="en-US"/>
        </w:rPr>
        <w:t>lipogenesis</w:t>
      </w:r>
      <w:proofErr w:type="spellEnd"/>
      <w:r w:rsidR="00B55B86" w:rsidRPr="00B55B86">
        <w:rPr>
          <w:rFonts w:ascii="Times New Roman" w:hAnsi="Times New Roman" w:cs="Times New Roman"/>
          <w:bCs/>
          <w:sz w:val="24"/>
          <w:szCs w:val="24"/>
          <w:lang w:val="en-US"/>
        </w:rPr>
        <w:t xml:space="preserve"> and metabolic reprogramming, which are significantly elevated in metastatic prostate malignancies, by reductively </w:t>
      </w:r>
      <w:proofErr w:type="spellStart"/>
      <w:r w:rsidR="00B55B86" w:rsidRPr="00B55B86">
        <w:rPr>
          <w:rFonts w:ascii="Times New Roman" w:hAnsi="Times New Roman" w:cs="Times New Roman"/>
          <w:bCs/>
          <w:sz w:val="24"/>
          <w:szCs w:val="24"/>
          <w:lang w:val="en-US"/>
        </w:rPr>
        <w:t>car</w:t>
      </w:r>
      <w:r w:rsidR="00B55B86">
        <w:rPr>
          <w:rFonts w:ascii="Times New Roman" w:hAnsi="Times New Roman" w:cs="Times New Roman"/>
          <w:bCs/>
          <w:sz w:val="24"/>
          <w:szCs w:val="24"/>
          <w:lang w:val="en-US"/>
        </w:rPr>
        <w:t>boxylating</w:t>
      </w:r>
      <w:proofErr w:type="spellEnd"/>
      <w:r w:rsidR="00B55B86">
        <w:rPr>
          <w:rFonts w:ascii="Times New Roman" w:hAnsi="Times New Roman" w:cs="Times New Roman"/>
          <w:bCs/>
          <w:sz w:val="24"/>
          <w:szCs w:val="24"/>
          <w:lang w:val="en-US"/>
        </w:rPr>
        <w:t xml:space="preserve"> alpha-</w:t>
      </w:r>
      <w:proofErr w:type="spellStart"/>
      <w:r w:rsidR="00B55B86">
        <w:rPr>
          <w:rFonts w:ascii="Times New Roman" w:hAnsi="Times New Roman" w:cs="Times New Roman"/>
          <w:bCs/>
          <w:sz w:val="24"/>
          <w:szCs w:val="24"/>
          <w:lang w:val="en-US"/>
        </w:rPr>
        <w:t>ketoglutarate</w:t>
      </w:r>
      <w:proofErr w:type="spellEnd"/>
      <w:r w:rsidR="00B55B86">
        <w:rPr>
          <w:rFonts w:ascii="Times New Roman" w:hAnsi="Times New Roman" w:cs="Times New Roman"/>
          <w:bCs/>
          <w:sz w:val="24"/>
          <w:szCs w:val="24"/>
          <w:lang w:val="en-US"/>
        </w:rPr>
        <w:t xml:space="preserve"> </w:t>
      </w:r>
      <w:r w:rsidRPr="002E7761">
        <w:rPr>
          <w:rFonts w:ascii="Times New Roman" w:hAnsi="Times New Roman" w:cs="Times New Roman"/>
          <w:bCs/>
          <w:sz w:val="24"/>
          <w:szCs w:val="24"/>
          <w:lang w:val="en-US"/>
        </w:rPr>
        <w:fldChar w:fldCharType="begin"/>
      </w:r>
      <w:r w:rsidRPr="002E7761">
        <w:rPr>
          <w:rFonts w:ascii="Times New Roman" w:hAnsi="Times New Roman" w:cs="Times New Roman"/>
          <w:bCs/>
          <w:sz w:val="24"/>
          <w:szCs w:val="24"/>
          <w:lang w:val="en-US"/>
        </w:rPr>
        <w:instrText xml:space="preserve"> ADDIN ZOTERO_ITEM CSL_CITATION {"citationID":"rNxS6XY8","properties":{"formattedCitation":"(Dasgupta et al., 2015)","plainCitation":"(Dasgupta et al., 2015)","noteIndex":0},"citationItems":[{"id":560,"uris":["http://zotero.org/users/11300200/items/HIXGZGBQ"],"itemData":{"id":560,"type":"article-journal","container-title":"Journal of Clinical Investigation","DOI":"10.1172/JCI76029","ISSN":"0021-9738","issue":"3","journalAbbreviation":"J. Clin. Invest.","language":"en","page":"1174-1188","source":"DOI.org (Crossref)","title":"Coactivator SRC-2–dependent metabolic reprogramming mediates prostate cancer survival and metastasis","volume":"125","author":[{"family":"Dasgupta","given":"Subhamoy"},{"family":"Putluri","given":"Nagireddy"},{"family":"Long","given":"Weiwen"},{"family":"Zhang","given":"Bin"},{"family":"Wang","given":"Jianghua"},{"family":"Kaushik","given":"Akash K."},{"family":"Arnold","given":"James M."},{"family":"Bhowmik","given":"Salil K."},{"family":"Stashi","given":"Erin"},{"family":"Brennan","given":"Christine A."},{"family":"Rajapakshe","given":"Kimal"},{"family":"Coarfa","given":"Cristian"},{"family":"Mitsiades","given":"Nicholas"},{"family":"Ittmann","given":"Michael M."},{"family":"Chinnaiyan","given":"Arul M."},{"family":"Sreekumar","given":"Arun"},{"family":"O’Malley","given":"Bert W."}],"issued":{"date-parts":[["2015",3,2]]}}}],"schema":"https://github.com/citation-style-language/schema/raw/master/csl-citation.json"} </w:instrText>
      </w:r>
      <w:r w:rsidRPr="002E7761">
        <w:rPr>
          <w:rFonts w:ascii="Times New Roman" w:hAnsi="Times New Roman" w:cs="Times New Roman"/>
          <w:bCs/>
          <w:sz w:val="24"/>
          <w:szCs w:val="24"/>
          <w:lang w:val="en-US"/>
        </w:rPr>
        <w:fldChar w:fldCharType="separate"/>
      </w:r>
      <w:r w:rsidR="00167D83" w:rsidRPr="00167D83">
        <w:rPr>
          <w:rFonts w:ascii="Times New Roman" w:hAnsi="Times New Roman" w:cs="Times New Roman"/>
          <w:sz w:val="24"/>
        </w:rPr>
        <w:t>(Dasgupta et al., 2015)</w:t>
      </w:r>
      <w:r w:rsidRPr="002E7761">
        <w:rPr>
          <w:rFonts w:ascii="Times New Roman" w:hAnsi="Times New Roman" w:cs="Times New Roman"/>
          <w:bCs/>
          <w:sz w:val="24"/>
          <w:szCs w:val="24"/>
          <w:lang w:val="en-US"/>
        </w:rPr>
        <w:fldChar w:fldCharType="end"/>
      </w:r>
      <w:r w:rsidRPr="002E7761">
        <w:rPr>
          <w:rFonts w:ascii="Times New Roman" w:hAnsi="Times New Roman" w:cs="Times New Roman"/>
          <w:bCs/>
          <w:sz w:val="24"/>
          <w:szCs w:val="24"/>
          <w:lang w:val="en-US"/>
        </w:rPr>
        <w:t xml:space="preserve">. </w:t>
      </w:r>
    </w:p>
    <w:p w:rsidR="00463515" w:rsidRDefault="00463515" w:rsidP="00463515">
      <w:pPr>
        <w:spacing w:line="360" w:lineRule="auto"/>
        <w:jc w:val="both"/>
        <w:rPr>
          <w:rFonts w:ascii="Times New Roman" w:hAnsi="Times New Roman" w:cs="Times New Roman"/>
          <w:bCs/>
          <w:sz w:val="24"/>
          <w:szCs w:val="24"/>
          <w:lang w:val="en-US"/>
        </w:rPr>
      </w:pPr>
      <w:r w:rsidRPr="00463515">
        <w:rPr>
          <w:rFonts w:ascii="Times New Roman" w:hAnsi="Times New Roman" w:cs="Times New Roman"/>
          <w:bCs/>
          <w:sz w:val="24"/>
          <w:szCs w:val="24"/>
          <w:lang w:val="en-US"/>
        </w:rPr>
        <w:t xml:space="preserve">The development of CRPC requires SRC-3 because it increases </w:t>
      </w:r>
      <w:proofErr w:type="spellStart"/>
      <w:r w:rsidRPr="00463515">
        <w:rPr>
          <w:rFonts w:ascii="Times New Roman" w:hAnsi="Times New Roman" w:cs="Times New Roman"/>
          <w:bCs/>
          <w:sz w:val="24"/>
          <w:szCs w:val="24"/>
          <w:lang w:val="en-US"/>
        </w:rPr>
        <w:t>Ak</w:t>
      </w:r>
      <w:r>
        <w:rPr>
          <w:rFonts w:ascii="Times New Roman" w:hAnsi="Times New Roman" w:cs="Times New Roman"/>
          <w:bCs/>
          <w:sz w:val="24"/>
          <w:szCs w:val="24"/>
          <w:lang w:val="en-US"/>
        </w:rPr>
        <w:t>t</w:t>
      </w:r>
      <w:proofErr w:type="spellEnd"/>
      <w:r>
        <w:rPr>
          <w:rFonts w:ascii="Times New Roman" w:hAnsi="Times New Roman" w:cs="Times New Roman"/>
          <w:bCs/>
          <w:sz w:val="24"/>
          <w:szCs w:val="24"/>
          <w:lang w:val="en-US"/>
        </w:rPr>
        <w:t xml:space="preserve"> activity and S6K1 expression </w:t>
      </w:r>
      <w:r w:rsidR="00F77439" w:rsidRPr="002E7761">
        <w:rPr>
          <w:rFonts w:ascii="Times New Roman" w:hAnsi="Times New Roman" w:cs="Times New Roman"/>
          <w:bCs/>
          <w:sz w:val="24"/>
          <w:szCs w:val="24"/>
          <w:lang w:val="en-US"/>
        </w:rPr>
        <w:fldChar w:fldCharType="begin"/>
      </w:r>
      <w:r w:rsidR="00F77439" w:rsidRPr="002E7761">
        <w:rPr>
          <w:rFonts w:ascii="Times New Roman" w:hAnsi="Times New Roman" w:cs="Times New Roman"/>
          <w:bCs/>
          <w:sz w:val="24"/>
          <w:szCs w:val="24"/>
          <w:lang w:val="en-US"/>
        </w:rPr>
        <w:instrText xml:space="preserve"> ADDIN ZOTERO_ITEM CSL_CITATION {"citationID":"el7NNXSi","properties":{"formattedCitation":"(Tien et al., 2013)","plainCitation":"(Tien et al., 2013)","noteIndex":0},"citationItems":[{"id":562,"uris":["http://zotero.org/users/11300200/items/7Y8LSRTL"],"itemData":{"id":562,"type":"article-journal","abstract":"Abstract\n            The transcriptional coactivator SRC-3 plays a key role in enhancing prostate cancer cell proliferation. Although SRC-3 is highly expressed in advanced prostate cancer, its role in castration-resistant prostate cancer (CRPC) driven by PTEN mutation is unknown. We documented elevated SRC-3 in human CRPC and in PTEN-negative human prostate cancer. Patients with high SRC-3 and undetectable PTEN exhibited decreased recurrence-free survival. To explore the causal relationship in these observations, we generated mice in which both Pten and SRC-3 were inactivated in prostate epithelial cells (Pten3CKO mice), comparing them with mice in which only Pten was inactivated in these cells (PtenCKO mice). SRC-3 deletion impaired cellular proliferation and reduced tumor size. Notably, while castration of PtenCKO control mice increased the aggressiveness of prostate tumors relative to noncastrated counterparts, deletion of SRC-3 in Pten3CKO mice reversed all these changes. In support of this finding, castrated Pten3CKO mice also exhibited decreased levels of phospho-Akt, S6 kinase (RPS6KB1), and phosphorylated S6 protein (RPS6), all of which mediate cell growth and proliferation. Moreover, these tumors appeared to be more differentiated as evidenced by higher levels of Fkbp5, an AR-responsive gene that inhibits Akt signaling. Lastly, these tumors also displayed lower levels of certain androgen-repressed genes such as cyclin E2 and MMP10. Together, our results show that SRC-3 drives CRPC formation and offer preclinical proof of concept for a transcriptional coactivator as a therapeutic target to abrogate CRPC progression. Cancer Res; 73(13); 3997–4008. ©2013 AACR.","container-title":"Cancer Research","DOI":"10.1158/0008-5472.CAN-12-3929","ISSN":"0008-5472, 1538-7445","issue":"13","language":"en","page":"3997-4008","source":"DOI.org (Crossref)","title":"The Steroid Receptor Coactivator-3 Is Required for the Development of Castration-Resistant Prostate Cancer","volume":"73","author":[{"family":"Tien","given":"Jean C-Y."},{"family":"Liu","given":"Zhaoliang"},{"family":"Liao","given":"Lan"},{"family":"Wang","given":"Fen"},{"family":"Xu","given":"Yixiang"},{"family":"Wu","given":"Ye-Lin"},{"family":"Zhou","given":"Niya"},{"family":"Ittmann","given":"Michael"},{"family":"Xu","given":"Jianming"}],"issued":{"date-parts":[["2013",7,1]]}}}],"schema":"https://github.com/citation-style-language/schema/raw/master/csl-citation.json"} </w:instrText>
      </w:r>
      <w:r w:rsidR="00F77439" w:rsidRPr="002E7761">
        <w:rPr>
          <w:rFonts w:ascii="Times New Roman" w:hAnsi="Times New Roman" w:cs="Times New Roman"/>
          <w:bCs/>
          <w:sz w:val="24"/>
          <w:szCs w:val="24"/>
          <w:lang w:val="en-US"/>
        </w:rPr>
        <w:fldChar w:fldCharType="separate"/>
      </w:r>
      <w:r w:rsidR="00167D83" w:rsidRPr="00167D83">
        <w:rPr>
          <w:rFonts w:ascii="Times New Roman" w:hAnsi="Times New Roman" w:cs="Times New Roman"/>
          <w:sz w:val="24"/>
        </w:rPr>
        <w:t>(Tien et al., 2013)</w:t>
      </w:r>
      <w:r w:rsidR="00F77439" w:rsidRPr="002E7761">
        <w:rPr>
          <w:rFonts w:ascii="Times New Roman" w:hAnsi="Times New Roman" w:cs="Times New Roman"/>
          <w:bCs/>
          <w:sz w:val="24"/>
          <w:szCs w:val="24"/>
          <w:lang w:val="en-US"/>
        </w:rPr>
        <w:fldChar w:fldCharType="end"/>
      </w:r>
      <w:r w:rsidR="00F77439" w:rsidRPr="002E7761">
        <w:rPr>
          <w:rFonts w:ascii="Times New Roman" w:hAnsi="Times New Roman" w:cs="Times New Roman"/>
          <w:bCs/>
          <w:sz w:val="24"/>
          <w:szCs w:val="24"/>
          <w:lang w:val="en-US"/>
        </w:rPr>
        <w:t xml:space="preserve">. </w:t>
      </w:r>
      <w:r w:rsidRPr="00463515">
        <w:rPr>
          <w:rFonts w:ascii="Times New Roman" w:hAnsi="Times New Roman" w:cs="Times New Roman"/>
          <w:bCs/>
          <w:sz w:val="24"/>
          <w:szCs w:val="24"/>
          <w:lang w:val="en-US"/>
        </w:rPr>
        <w:t xml:space="preserve">Through </w:t>
      </w:r>
      <w:proofErr w:type="spellStart"/>
      <w:r w:rsidRPr="00463515">
        <w:rPr>
          <w:rFonts w:ascii="Times New Roman" w:hAnsi="Times New Roman" w:cs="Times New Roman"/>
          <w:bCs/>
          <w:sz w:val="24"/>
          <w:szCs w:val="24"/>
          <w:lang w:val="en-US"/>
        </w:rPr>
        <w:t>ubiquitination</w:t>
      </w:r>
      <w:proofErr w:type="spellEnd"/>
      <w:r w:rsidRPr="00463515">
        <w:rPr>
          <w:rFonts w:ascii="Times New Roman" w:hAnsi="Times New Roman" w:cs="Times New Roman"/>
          <w:bCs/>
          <w:sz w:val="24"/>
          <w:szCs w:val="24"/>
          <w:lang w:val="en-US"/>
        </w:rPr>
        <w:t>, SPOP, a tumor suppressor in prostate cancer, increases SRC-3 turnover. M</w:t>
      </w:r>
      <w:r>
        <w:rPr>
          <w:rFonts w:ascii="Times New Roman" w:hAnsi="Times New Roman" w:cs="Times New Roman"/>
          <w:bCs/>
          <w:sz w:val="24"/>
          <w:szCs w:val="24"/>
          <w:lang w:val="en-US"/>
        </w:rPr>
        <w:t xml:space="preserve">utants linked to </w:t>
      </w:r>
      <w:proofErr w:type="spellStart"/>
      <w:r>
        <w:rPr>
          <w:rFonts w:ascii="Times New Roman" w:hAnsi="Times New Roman" w:cs="Times New Roman"/>
          <w:bCs/>
          <w:sz w:val="24"/>
          <w:szCs w:val="24"/>
          <w:lang w:val="en-US"/>
        </w:rPr>
        <w:t>PCa</w:t>
      </w:r>
      <w:proofErr w:type="spellEnd"/>
      <w:r w:rsidRPr="00463515">
        <w:rPr>
          <w:rFonts w:ascii="Times New Roman" w:hAnsi="Times New Roman" w:cs="Times New Roman"/>
          <w:bCs/>
          <w:sz w:val="24"/>
          <w:szCs w:val="24"/>
          <w:lang w:val="en-US"/>
        </w:rPr>
        <w:t xml:space="preserve"> and associated with SPOP are unable to bind with SRC-3, wh</w:t>
      </w:r>
      <w:r>
        <w:rPr>
          <w:rFonts w:ascii="Times New Roman" w:hAnsi="Times New Roman" w:cs="Times New Roman"/>
          <w:bCs/>
          <w:sz w:val="24"/>
          <w:szCs w:val="24"/>
          <w:lang w:val="en-US"/>
        </w:rPr>
        <w:t xml:space="preserve">ich hinders its </w:t>
      </w:r>
      <w:proofErr w:type="spellStart"/>
      <w:r>
        <w:rPr>
          <w:rFonts w:ascii="Times New Roman" w:hAnsi="Times New Roman" w:cs="Times New Roman"/>
          <w:bCs/>
          <w:sz w:val="24"/>
          <w:szCs w:val="24"/>
          <w:lang w:val="en-US"/>
        </w:rPr>
        <w:t>ubiquitination</w:t>
      </w:r>
      <w:proofErr w:type="spellEnd"/>
      <w:r>
        <w:rPr>
          <w:rFonts w:ascii="Times New Roman" w:hAnsi="Times New Roman" w:cs="Times New Roman"/>
          <w:bCs/>
          <w:sz w:val="24"/>
          <w:szCs w:val="24"/>
          <w:lang w:val="en-US"/>
        </w:rPr>
        <w:t xml:space="preserve"> </w:t>
      </w:r>
      <w:r w:rsidR="00F77439" w:rsidRPr="002E7761">
        <w:rPr>
          <w:rFonts w:ascii="Times New Roman" w:hAnsi="Times New Roman" w:cs="Times New Roman"/>
          <w:bCs/>
          <w:sz w:val="24"/>
          <w:szCs w:val="24"/>
          <w:lang w:val="en-US"/>
        </w:rPr>
        <w:fldChar w:fldCharType="begin"/>
      </w:r>
      <w:r w:rsidR="00F77439" w:rsidRPr="002E7761">
        <w:rPr>
          <w:rFonts w:ascii="Times New Roman" w:hAnsi="Times New Roman" w:cs="Times New Roman"/>
          <w:bCs/>
          <w:sz w:val="24"/>
          <w:szCs w:val="24"/>
          <w:lang w:val="en-US"/>
        </w:rPr>
        <w:instrText xml:space="preserve"> ADDIN ZOTERO_ITEM CSL_CITATION {"citationID":"LtdJs727","properties":{"formattedCitation":"(Geng et al., 2013)","plainCitation":"(Geng et al., 2013)","noteIndex":0},"citationItems":[{"id":559,"uris":["http://zotero.org/users/11300200/items/P2QYTEB4"],"itemData":{"id":559,"type":"article-journal","abstract":"The p160 steroid receptor coactivators (SRCs) SRC-1, SRC-2 [nuclear receptor coactivator (NCOA)2], and SRC-3 [amplified in breast cancer 1 (AIB1)/NCOA3] are key pleiotropic “master regulators” of transcription factor activity necessary for cancer cell proliferation, survival, metabolism, and metastasis. SRC overexpression and overactivation occur in numerous human cancers and are associated with poor clinical outcomes and resistance to therapy. In prostate cancer (PC), the p160 SRCs play critical roles in androgen receptor transcriptional activity, cell proliferation, and resistance to androgen deprivation therapy. We recently demonstrated that the E3 ubiquitin ligase adaptor speckle-type poxvirus and zinc finger (POZ) domain protein (SPOP) interacts directly with SRC-3 and promotes its cullin 3-dependent ubiquitination and proteolysis in breast cancer, thus functioning as a potential tumor suppressor. Interestingly, somatic heterozygous missense mutations in the SPOP substrate-binding cleft recently were identified in up to 15% of human PCs (making SPOP the gene most commonly affected by nonsynonymous point mutations in PC), but their contribution to PC pathophysiology remains unknown. We now report that PC-associated SPOP mutants cannot interact with SRC-3 protein or promote its ubiquitination and degradation. Our data suggest that wild-type SPOP plays a critical tumor suppressor role in PC cells, promoting the turnover of SRC-3 protein and suppressing androgen receptor transcriptional activity. This tumor suppressor effect is abrogated by the PC-associated SPOP mutations. These studies provide a possible explanation for the role of SPOP mutations in PC, and highlight the potential of SRC-3 as a therapeutic target in PC.","container-title":"Proceedings of the National Academy of Sciences","DOI":"10.1073/pnas.1304502110","ISSN":"0027-8424, 1091-6490","issue":"17","journalAbbreviation":"Proc. Natl. Acad. Sci. U.S.A.","language":"en","page":"6997-7002","source":"DOI.org (Crossref)","title":"Prostate cancer-associated mutations in speckle-type POZ protein (SPOP) regulate steroid receptor coactivator 3 protein turnover","volume":"110","author":[{"family":"Geng","given":"Chuandong"},{"family":"He","given":"Bin"},{"family":"Xu","given":"Limei"},{"family":"Barbieri","given":"Christopher E."},{"family":"Eedunuri","given":"Vijay Kumar"},{"family":"Chew","given":"Sue Anne"},{"family":"Zimmermann","given":"Martin"},{"family":"Bond","given":"Richard"},{"family":"Shou","given":"John"},{"family":"Li","given":"Chao"},{"family":"Blattner","given":"Mirjam"},{"family":"Lonard","given":"David M."},{"family":"Demichelis","given":"Francesca"},{"family":"Coarfa","given":"Cristian"},{"family":"Rubin","given":"Mark A."},{"family":"Zhou","given":"Pengbo"},{"family":"O’Malley","given":"Bert W."},{"family":"Mitsiades","given":"Nicholas"}],"issued":{"date-parts":[["2013",4,23]]}}}],"schema":"https://github.com/citation-style-language/schema/raw/master/csl-citation.json"} </w:instrText>
      </w:r>
      <w:r w:rsidR="00F77439" w:rsidRPr="002E7761">
        <w:rPr>
          <w:rFonts w:ascii="Times New Roman" w:hAnsi="Times New Roman" w:cs="Times New Roman"/>
          <w:bCs/>
          <w:sz w:val="24"/>
          <w:szCs w:val="24"/>
          <w:lang w:val="en-US"/>
        </w:rPr>
        <w:fldChar w:fldCharType="separate"/>
      </w:r>
      <w:r w:rsidR="00167D83" w:rsidRPr="00167D83">
        <w:rPr>
          <w:rFonts w:ascii="Times New Roman" w:hAnsi="Times New Roman" w:cs="Times New Roman"/>
          <w:sz w:val="24"/>
        </w:rPr>
        <w:t>(Geng et al., 2013)</w:t>
      </w:r>
      <w:r w:rsidR="00F77439" w:rsidRPr="002E7761">
        <w:rPr>
          <w:rFonts w:ascii="Times New Roman" w:hAnsi="Times New Roman" w:cs="Times New Roman"/>
          <w:bCs/>
          <w:sz w:val="24"/>
          <w:szCs w:val="24"/>
          <w:lang w:val="en-US"/>
        </w:rPr>
        <w:fldChar w:fldCharType="end"/>
      </w:r>
      <w:r w:rsidR="00F77439" w:rsidRPr="002E7761">
        <w:rPr>
          <w:rFonts w:ascii="Times New Roman" w:hAnsi="Times New Roman" w:cs="Times New Roman"/>
          <w:bCs/>
          <w:sz w:val="24"/>
          <w:szCs w:val="24"/>
          <w:lang w:val="en-US"/>
        </w:rPr>
        <w:t>. Additionally, research has demonstrated that AR interacts with other signaling pathways, such as the PI3K/</w:t>
      </w:r>
      <w:proofErr w:type="spellStart"/>
      <w:r w:rsidR="00F77439" w:rsidRPr="002E7761">
        <w:rPr>
          <w:rFonts w:ascii="Times New Roman" w:hAnsi="Times New Roman" w:cs="Times New Roman"/>
          <w:bCs/>
          <w:sz w:val="24"/>
          <w:szCs w:val="24"/>
          <w:lang w:val="en-US"/>
        </w:rPr>
        <w:t>Akt</w:t>
      </w:r>
      <w:proofErr w:type="spellEnd"/>
      <w:r w:rsidR="00F77439" w:rsidRPr="002E7761">
        <w:rPr>
          <w:rFonts w:ascii="Times New Roman" w:hAnsi="Times New Roman" w:cs="Times New Roman"/>
          <w:bCs/>
          <w:sz w:val="24"/>
          <w:szCs w:val="24"/>
          <w:lang w:val="en-US"/>
        </w:rPr>
        <w:t xml:space="preserve"> pathway </w:t>
      </w:r>
      <w:r w:rsidR="00F77439" w:rsidRPr="002E7761">
        <w:rPr>
          <w:rFonts w:ascii="Times New Roman" w:hAnsi="Times New Roman" w:cs="Times New Roman"/>
          <w:bCs/>
          <w:sz w:val="24"/>
          <w:szCs w:val="24"/>
          <w:lang w:val="en-US"/>
        </w:rPr>
        <w:fldChar w:fldCharType="begin"/>
      </w:r>
      <w:r w:rsidR="00F77439" w:rsidRPr="002E7761">
        <w:rPr>
          <w:rFonts w:ascii="Times New Roman" w:hAnsi="Times New Roman" w:cs="Times New Roman"/>
          <w:bCs/>
          <w:sz w:val="24"/>
          <w:szCs w:val="24"/>
          <w:lang w:val="en-US"/>
        </w:rPr>
        <w:instrText xml:space="preserve"> ADDIN ZOTERO_ITEM CSL_CITATION {"citationID":"TXczBWgK","properties":{"formattedCitation":"(Pungsrinont, Kallenbach &amp; Baniahmad, 2021)","plainCitation":"(Pungsrinont, Kallenbach &amp; Baniahmad, 2021)","noteIndex":0},"citationItems":[{"id":208,"uris":["http://zotero.org/users/local/7J0d6nia/items/IMP5CG5D","http://zotero.org/users/11300200/items/IMP5CG5D"],"itemData":{"id":208,"type":"article-journal","abstract":"Androgen deprivation therapy (ADT) and androgen receptor (AR)-targeted therapy are the gold standard options for treating prostate cancer (PCa). These are initially effective, as localized and the early stage of metastatic disease are androgen- and castration-sensitive. The tumor strongly relies on systemic/circulating androgens for activating AR signaling to stimulate growth and progression. However, after a certain point, the tumor will eventually develop a resistant stage, where ADT and AR antagonists are no longer effective. Mechanistically, it seems that the tumor becomes more aggressive through adaptive responses, relies more on alternative activated pathways, and is less dependent on AR signaling. This includes hyperactivation of PI3K-AKT-mTOR pathway, which is a central signal that regulates cell pro-survival/anti-apoptotic pathways, thus, compensating the blockade of AR signaling. The PI3K-AKT-mTOR pathway is well-documented for its crosstalk between genomic and non-genomic AR signaling, as well as other signaling cascades. Such a reciprocal feedback loop makes it more complicated to target individual factor/signaling for treating PCa. Here, we highlight the role of PI3K-AKT-mTOR signaling as a resistance mechanism for PCa therapy and illustrate the transition of prostate tumor from AR signaling-dependent to PI3K-AKT-mTOR pathway-dependent. Moreover, therapeutic strategies with inhibitors targeting the PI3K-AKT-mTOR signal used in clinic and ongoing clinical trials are discussed.","container-title":"International Journal of Molecular Sciences","DOI":"10.3390/ijms222011088","ISSN":"1422-0067","issue":"20","journalAbbreviation":"IJMS","language":"en","page":"11088","source":"DOI.org (Crossref)","title":"Role of PI3K-AKT-mTOR Pathway as a Pro-Survival Signaling and Resistance-Mediating Mechanism to Therapy of Prostate Cancer","volume":"22","author":[{"family":"Pungsrinont","given":"Thanakorn"},{"family":"Kallenbach","given":"Julia"},{"family":"Baniahmad","given":"Aria"}],"issued":{"date-parts":[["2021",10,14]]}}}],"schema":"https://github.com/citation-style-language/schema/raw/master/csl-citation.json"} </w:instrText>
      </w:r>
      <w:r w:rsidR="00F77439" w:rsidRPr="002E7761">
        <w:rPr>
          <w:rFonts w:ascii="Times New Roman" w:hAnsi="Times New Roman" w:cs="Times New Roman"/>
          <w:bCs/>
          <w:sz w:val="24"/>
          <w:szCs w:val="24"/>
          <w:lang w:val="en-US"/>
        </w:rPr>
        <w:fldChar w:fldCharType="separate"/>
      </w:r>
      <w:r w:rsidR="00167D83" w:rsidRPr="00167D83">
        <w:rPr>
          <w:rFonts w:ascii="Times New Roman" w:hAnsi="Times New Roman" w:cs="Times New Roman"/>
          <w:sz w:val="24"/>
        </w:rPr>
        <w:t>(Pungsrinont, Kallenbach &amp; Baniahmad, 2021)</w:t>
      </w:r>
      <w:r w:rsidR="00F77439" w:rsidRPr="002E7761">
        <w:rPr>
          <w:rFonts w:ascii="Times New Roman" w:hAnsi="Times New Roman" w:cs="Times New Roman"/>
          <w:bCs/>
          <w:sz w:val="24"/>
          <w:szCs w:val="24"/>
          <w:lang w:val="en-US"/>
        </w:rPr>
        <w:fldChar w:fldCharType="end"/>
      </w:r>
      <w:r w:rsidR="00F77439" w:rsidRPr="002E7761">
        <w:rPr>
          <w:rFonts w:ascii="Times New Roman" w:hAnsi="Times New Roman" w:cs="Times New Roman"/>
          <w:bCs/>
          <w:sz w:val="24"/>
          <w:szCs w:val="24"/>
          <w:lang w:val="en-US"/>
        </w:rPr>
        <w:t xml:space="preserve">. </w:t>
      </w:r>
      <w:r w:rsidRPr="00463515">
        <w:rPr>
          <w:rFonts w:ascii="Times New Roman" w:hAnsi="Times New Roman" w:cs="Times New Roman"/>
          <w:bCs/>
          <w:sz w:val="24"/>
          <w:szCs w:val="24"/>
          <w:lang w:val="en-US"/>
        </w:rPr>
        <w:t xml:space="preserve">Two essential routes that regulate cellular growth, survival, and metabolism are phospholipase 3-kinase (PI3K) and androgen receptor (AR) signaling. Many malignancies, including </w:t>
      </w:r>
      <w:proofErr w:type="spellStart"/>
      <w:r w:rsidRPr="00463515">
        <w:rPr>
          <w:rFonts w:ascii="Times New Roman" w:hAnsi="Times New Roman" w:cs="Times New Roman"/>
          <w:bCs/>
          <w:sz w:val="24"/>
          <w:szCs w:val="24"/>
          <w:lang w:val="en-US"/>
        </w:rPr>
        <w:t>PCa</w:t>
      </w:r>
      <w:proofErr w:type="spellEnd"/>
      <w:r w:rsidRPr="00463515">
        <w:rPr>
          <w:rFonts w:ascii="Times New Roman" w:hAnsi="Times New Roman" w:cs="Times New Roman"/>
          <w:bCs/>
          <w:sz w:val="24"/>
          <w:szCs w:val="24"/>
          <w:lang w:val="en-US"/>
        </w:rPr>
        <w:t>, have been linked to the emergence and spread of crosstalk between these two pathways. Numerous growth hormones and cytokines can initiate the PI3K signaling pathway, which is necessary for cell growth, metabolism, and survival. PI3K activation results in the production of phosphatidylinositol-3</w:t>
      </w:r>
      <w:proofErr w:type="gramStart"/>
      <w:r w:rsidRPr="00463515">
        <w:rPr>
          <w:rFonts w:ascii="Times New Roman" w:hAnsi="Times New Roman" w:cs="Times New Roman"/>
          <w:bCs/>
          <w:sz w:val="24"/>
          <w:szCs w:val="24"/>
          <w:lang w:val="en-US"/>
        </w:rPr>
        <w:t>,4,5</w:t>
      </w:r>
      <w:proofErr w:type="gramEnd"/>
      <w:r w:rsidRPr="00463515">
        <w:rPr>
          <w:rFonts w:ascii="Times New Roman" w:hAnsi="Times New Roman" w:cs="Times New Roman"/>
          <w:bCs/>
          <w:sz w:val="24"/>
          <w:szCs w:val="24"/>
          <w:lang w:val="en-US"/>
        </w:rPr>
        <w:t xml:space="preserve">-trisphosphate (PIP3), which in turn recruits and activates several downstream effectors, including </w:t>
      </w:r>
      <w:proofErr w:type="spellStart"/>
      <w:r w:rsidRPr="00463515">
        <w:rPr>
          <w:rFonts w:ascii="Times New Roman" w:hAnsi="Times New Roman" w:cs="Times New Roman"/>
          <w:bCs/>
          <w:sz w:val="24"/>
          <w:szCs w:val="24"/>
          <w:lang w:val="en-US"/>
        </w:rPr>
        <w:t>Akt</w:t>
      </w:r>
      <w:proofErr w:type="spellEnd"/>
      <w:r w:rsidRPr="00463515">
        <w:rPr>
          <w:rFonts w:ascii="Times New Roman" w:hAnsi="Times New Roman" w:cs="Times New Roman"/>
          <w:bCs/>
          <w:sz w:val="24"/>
          <w:szCs w:val="24"/>
          <w:lang w:val="en-US"/>
        </w:rPr>
        <w:t xml:space="preserve"> and </w:t>
      </w:r>
      <w:proofErr w:type="spellStart"/>
      <w:r w:rsidRPr="00463515">
        <w:rPr>
          <w:rFonts w:ascii="Times New Roman" w:hAnsi="Times New Roman" w:cs="Times New Roman"/>
          <w:bCs/>
          <w:sz w:val="24"/>
          <w:szCs w:val="24"/>
          <w:lang w:val="en-US"/>
        </w:rPr>
        <w:t>mTOR</w:t>
      </w:r>
      <w:proofErr w:type="spellEnd"/>
      <w:r w:rsidRPr="00463515">
        <w:rPr>
          <w:rFonts w:ascii="Times New Roman" w:hAnsi="Times New Roman" w:cs="Times New Roman"/>
          <w:bCs/>
          <w:sz w:val="24"/>
          <w:szCs w:val="24"/>
          <w:lang w:val="en-US"/>
        </w:rPr>
        <w:t xml:space="preserve">. By blocking apoptotic pathways and turning on signaling pathways that support protein synthesis and glucose metabolism, </w:t>
      </w:r>
      <w:proofErr w:type="spellStart"/>
      <w:r w:rsidRPr="00463515">
        <w:rPr>
          <w:rFonts w:ascii="Times New Roman" w:hAnsi="Times New Roman" w:cs="Times New Roman"/>
          <w:bCs/>
          <w:sz w:val="24"/>
          <w:szCs w:val="24"/>
          <w:lang w:val="en-US"/>
        </w:rPr>
        <w:t>Akt</w:t>
      </w:r>
      <w:proofErr w:type="spellEnd"/>
      <w:r w:rsidRPr="00463515">
        <w:rPr>
          <w:rFonts w:ascii="Times New Roman" w:hAnsi="Times New Roman" w:cs="Times New Roman"/>
          <w:bCs/>
          <w:sz w:val="24"/>
          <w:szCs w:val="24"/>
          <w:lang w:val="en-US"/>
        </w:rPr>
        <w:t xml:space="preserve"> enco</w:t>
      </w:r>
      <w:r>
        <w:rPr>
          <w:rFonts w:ascii="Times New Roman" w:hAnsi="Times New Roman" w:cs="Times New Roman"/>
          <w:bCs/>
          <w:sz w:val="24"/>
          <w:szCs w:val="24"/>
          <w:lang w:val="en-US"/>
        </w:rPr>
        <w:t>urages cell growth and survival</w:t>
      </w:r>
      <w:r w:rsidR="00F77439" w:rsidRPr="002E7761">
        <w:rPr>
          <w:rFonts w:ascii="Times New Roman" w:hAnsi="Times New Roman" w:cs="Times New Roman"/>
          <w:bCs/>
          <w:sz w:val="24"/>
          <w:szCs w:val="24"/>
          <w:lang w:val="en-US"/>
        </w:rPr>
        <w:t xml:space="preserve">. </w:t>
      </w:r>
      <w:r w:rsidRPr="00463515">
        <w:rPr>
          <w:rFonts w:ascii="Times New Roman" w:hAnsi="Times New Roman" w:cs="Times New Roman"/>
          <w:bCs/>
          <w:sz w:val="24"/>
          <w:szCs w:val="24"/>
          <w:lang w:val="en-US"/>
        </w:rPr>
        <w:t xml:space="preserve">On the other hand, via controlling protein synthesis and autophagy, </w:t>
      </w:r>
      <w:proofErr w:type="spellStart"/>
      <w:r w:rsidRPr="00463515">
        <w:rPr>
          <w:rFonts w:ascii="Times New Roman" w:hAnsi="Times New Roman" w:cs="Times New Roman"/>
          <w:bCs/>
          <w:sz w:val="24"/>
          <w:szCs w:val="24"/>
          <w:lang w:val="en-US"/>
        </w:rPr>
        <w:t>mTOR</w:t>
      </w:r>
      <w:proofErr w:type="spellEnd"/>
      <w:r w:rsidRPr="00463515">
        <w:rPr>
          <w:rFonts w:ascii="Times New Roman" w:hAnsi="Times New Roman" w:cs="Times New Roman"/>
          <w:bCs/>
          <w:sz w:val="24"/>
          <w:szCs w:val="24"/>
          <w:lang w:val="en-US"/>
        </w:rPr>
        <w:t xml:space="preserve"> encourages cell growth and proliferation. </w:t>
      </w:r>
    </w:p>
    <w:p w:rsidR="00F77439" w:rsidRPr="002E7761" w:rsidRDefault="00463515" w:rsidP="00B55B86">
      <w:pPr>
        <w:spacing w:line="360" w:lineRule="auto"/>
        <w:jc w:val="both"/>
        <w:rPr>
          <w:rFonts w:ascii="Times New Roman" w:hAnsi="Times New Roman" w:cs="Times New Roman"/>
          <w:bCs/>
          <w:sz w:val="24"/>
          <w:szCs w:val="24"/>
          <w:lang w:val="en-US"/>
        </w:rPr>
      </w:pPr>
      <w:r w:rsidRPr="00463515">
        <w:rPr>
          <w:rFonts w:ascii="Times New Roman" w:hAnsi="Times New Roman" w:cs="Times New Roman"/>
          <w:bCs/>
          <w:sz w:val="24"/>
          <w:szCs w:val="24"/>
          <w:lang w:val="en-US"/>
        </w:rPr>
        <w:t>SRC-3 functions by augmenting AR's transcriptional function, which raises the expression of genes linked to the development of prostate cancer. It was also shown that SRC-3 is an essential regulator of the survival and proliferation o</w:t>
      </w:r>
      <w:r>
        <w:rPr>
          <w:rFonts w:ascii="Times New Roman" w:hAnsi="Times New Roman" w:cs="Times New Roman"/>
          <w:bCs/>
          <w:sz w:val="24"/>
          <w:szCs w:val="24"/>
          <w:lang w:val="en-US"/>
        </w:rPr>
        <w:t xml:space="preserve">f </w:t>
      </w:r>
      <w:proofErr w:type="spellStart"/>
      <w:r>
        <w:rPr>
          <w:rFonts w:ascii="Times New Roman" w:hAnsi="Times New Roman" w:cs="Times New Roman"/>
          <w:bCs/>
          <w:sz w:val="24"/>
          <w:szCs w:val="24"/>
          <w:lang w:val="en-US"/>
        </w:rPr>
        <w:t>PCa</w:t>
      </w:r>
      <w:proofErr w:type="spellEnd"/>
      <w:r w:rsidRPr="00463515">
        <w:rPr>
          <w:rFonts w:ascii="Times New Roman" w:hAnsi="Times New Roman" w:cs="Times New Roman"/>
          <w:bCs/>
          <w:sz w:val="24"/>
          <w:szCs w:val="24"/>
          <w:lang w:val="en-US"/>
        </w:rPr>
        <w:t xml:space="preserve"> cells. Research indicates that it plays a crucial function in fostering the growth of cancer by being necessary for the proli</w:t>
      </w:r>
      <w:r>
        <w:rPr>
          <w:rFonts w:ascii="Times New Roman" w:hAnsi="Times New Roman" w:cs="Times New Roman"/>
          <w:bCs/>
          <w:sz w:val="24"/>
          <w:szCs w:val="24"/>
          <w:lang w:val="en-US"/>
        </w:rPr>
        <w:t xml:space="preserve">ferating prostate cancer cells </w:t>
      </w:r>
      <w:r w:rsidR="00F77439" w:rsidRPr="002E7761">
        <w:rPr>
          <w:rFonts w:ascii="Times New Roman" w:hAnsi="Times New Roman" w:cs="Times New Roman"/>
          <w:bCs/>
          <w:sz w:val="24"/>
          <w:szCs w:val="24"/>
          <w:lang w:val="en-US"/>
        </w:rPr>
        <w:fldChar w:fldCharType="begin"/>
      </w:r>
      <w:r w:rsidR="00F12E86">
        <w:rPr>
          <w:rFonts w:ascii="Times New Roman" w:hAnsi="Times New Roman" w:cs="Times New Roman"/>
          <w:bCs/>
          <w:sz w:val="24"/>
          <w:szCs w:val="24"/>
          <w:lang w:val="en-US"/>
        </w:rPr>
        <w:instrText xml:space="preserve"> ADDIN ZOTERO_ITEM CSL_CITATION {"citationID":"5nXeJ2OF","properties":{"formattedCitation":"(Zhou et al., 2005)","plainCitation":"(Zhou et al., 2005)","noteIndex":0},"citationItems":[{"id":565,"uris":["http://zotero.org/users/11300200/items/XNUG79YG"],"itemData":{"id":565,"type":"article-journal","abstract":"Abstract\n            Prostate cancer is the most common cancer in men in America. Currently, steroid receptor coactivators have been proposed to mediate the development and progression of prostate cancer, at times in a steroid-independent manner. Steroid receptor coactivator-3 (SRC-3, p/CIP, AIB1, ACTR, RAC3, and TRAM-1) is a member of the p160 family of coactivators for nuclear hormone receptors including the androgen receptor. SRC-3 is frequently amplified or overexpressed in a number of cancers. However, the role of SRC-3 in cancer cell proliferation and survival is still poorly understood. In this study, we show that SRC-3 is overexpressed in prostate cancer patients and its overexpression correlates with prostate cancer proliferation and is inversely correlated with apoptosis. Consistent with patient data, we have observed that reduction of SRC-3 expression by small interfering RNA decreases proliferation, delays the G1-S transition, and increases cell apoptosis of different prostate cancer cell lines. Furthermore, with decreased SRC-3 expression, proliferating cell nuclear antigen and Bcl-2 expression, as well as bromodeoxyuridine incorporation in prostate cancer cells are reduced. Finally, knockdown of SRC-3 with inducible short hairpin RNA expression in prostate cancer cells decreased tumor growth in nude mice. Taken together, these findings indicate that SRC-3 is an important regulator of prostate cancer proliferation and survival.","container-title":"Cancer Research","DOI":"10.1158/0008-5472.CAN-04-4076","ISSN":"0008-5472, 1538-7445","issue":"17","language":"en","page":"7976-7983","source":"DOI.org (Crossref)","title":"SRC-3 Is Required for Prostate Cancer Cell Proliferation and Survival","volume":"65","author":[{"family":"Zhou","given":"Hai-Jun"},{"family":"Yan","given":"Jun"},{"family":"Luo","given":"Weiping"},{"family":"Ayala","given":"Gustavo"},{"family":"Lin","given":"Sue-Hwa"},{"family":"Erdem","given":"Halime"},{"family":"Ittmann","given":"Michael"},{"family":"Tsai","given":"Sophia Y."},{"family":"Tsai","given":"Ming-Jer"}],"issued":{"date-parts":[["2005",9,1]]}}}],"schema":"https://github.com/citation-style-language/schema/raw/master/csl-citation.json"} </w:instrText>
      </w:r>
      <w:r w:rsidR="00F77439" w:rsidRPr="002E7761">
        <w:rPr>
          <w:rFonts w:ascii="Times New Roman" w:hAnsi="Times New Roman" w:cs="Times New Roman"/>
          <w:bCs/>
          <w:sz w:val="24"/>
          <w:szCs w:val="24"/>
          <w:lang w:val="en-US"/>
        </w:rPr>
        <w:fldChar w:fldCharType="separate"/>
      </w:r>
      <w:r w:rsidR="00F12E86" w:rsidRPr="00F12E86">
        <w:rPr>
          <w:rFonts w:ascii="Times New Roman" w:hAnsi="Times New Roman" w:cs="Times New Roman"/>
          <w:sz w:val="24"/>
        </w:rPr>
        <w:t>(Zhou et al., 2005)</w:t>
      </w:r>
      <w:r w:rsidR="00F77439" w:rsidRPr="002E7761">
        <w:rPr>
          <w:rFonts w:ascii="Times New Roman" w:hAnsi="Times New Roman" w:cs="Times New Roman"/>
          <w:bCs/>
          <w:sz w:val="24"/>
          <w:szCs w:val="24"/>
          <w:lang w:val="en-US"/>
        </w:rPr>
        <w:fldChar w:fldCharType="end"/>
      </w:r>
      <w:r w:rsidR="00F77439" w:rsidRPr="002E7761">
        <w:rPr>
          <w:rFonts w:ascii="Times New Roman" w:hAnsi="Times New Roman" w:cs="Times New Roman"/>
          <w:bCs/>
          <w:sz w:val="24"/>
          <w:szCs w:val="24"/>
          <w:lang w:val="en-US"/>
        </w:rPr>
        <w:t xml:space="preserve">. </w:t>
      </w:r>
      <w:proofErr w:type="spellStart"/>
      <w:r w:rsidR="00B55B86">
        <w:rPr>
          <w:rFonts w:ascii="Times New Roman" w:hAnsi="Times New Roman" w:cs="Times New Roman"/>
          <w:bCs/>
          <w:sz w:val="24"/>
          <w:szCs w:val="24"/>
          <w:lang w:val="en-US"/>
        </w:rPr>
        <w:t>PCa</w:t>
      </w:r>
      <w:proofErr w:type="spellEnd"/>
      <w:r w:rsidR="00B55B86" w:rsidRPr="00B55B86">
        <w:rPr>
          <w:rFonts w:ascii="Times New Roman" w:hAnsi="Times New Roman" w:cs="Times New Roman"/>
          <w:bCs/>
          <w:sz w:val="24"/>
          <w:szCs w:val="24"/>
          <w:lang w:val="en-US"/>
        </w:rPr>
        <w:t>, both primary and metastatic, amplifies SRC-3, suggesting that it plays a crucial rol</w:t>
      </w:r>
      <w:r w:rsidR="00B55B86">
        <w:rPr>
          <w:rFonts w:ascii="Times New Roman" w:hAnsi="Times New Roman" w:cs="Times New Roman"/>
          <w:bCs/>
          <w:sz w:val="24"/>
          <w:szCs w:val="24"/>
          <w:lang w:val="en-US"/>
        </w:rPr>
        <w:t xml:space="preserve">e in the disease's progression </w:t>
      </w:r>
      <w:r w:rsidR="00F77439" w:rsidRPr="002E7761">
        <w:rPr>
          <w:rFonts w:ascii="Times New Roman" w:hAnsi="Times New Roman" w:cs="Times New Roman"/>
          <w:bCs/>
          <w:sz w:val="24"/>
          <w:szCs w:val="24"/>
          <w:lang w:val="en-US"/>
        </w:rPr>
        <w:fldChar w:fldCharType="begin"/>
      </w:r>
      <w:r w:rsidR="00F77439" w:rsidRPr="002E7761">
        <w:rPr>
          <w:rFonts w:ascii="Times New Roman" w:hAnsi="Times New Roman" w:cs="Times New Roman"/>
          <w:bCs/>
          <w:sz w:val="24"/>
          <w:szCs w:val="24"/>
          <w:lang w:val="en-US"/>
        </w:rPr>
        <w:instrText xml:space="preserve"> ADDIN ZOTERO_ITEM CSL_CITATION {"citationID":"AVfIfYhk","properties":{"formattedCitation":"(Fujita &amp; Nonomura, 2019)","plainCitation":"(Fujita &amp; Nonomura, 2019)","noteIndex":0},"citationItems":[{"id":365,"uris":["http://zotero.org/users/11300200/items/QVWKIA44"],"itemData":{"id":365,"type":"article-journal","container-title":"The World Journal of Men's Health","DOI":"10.5534/wjmh.180040","ISSN":"2287-4208, 2287-4690","issue":"3","journalAbbreviation":"World J Mens Health","language":"en","page":"288","source":"DOI.org (Crossref)","title":"Role of Androgen Receptor in Prostate Cancer: A Review","title-short":"Role of Androgen Receptor in Prostate Cancer","volume":"37","author":[{"family":"Fujita","given":"Kazutoshi"},{"family":"Nonomura","given":"Norio"}],"issued":{"date-parts":[["2019"]]}}}],"schema":"https://github.com/citation-style-language/schema/raw/master/csl-citation.json"} </w:instrText>
      </w:r>
      <w:r w:rsidR="00F77439" w:rsidRPr="002E7761">
        <w:rPr>
          <w:rFonts w:ascii="Times New Roman" w:hAnsi="Times New Roman" w:cs="Times New Roman"/>
          <w:bCs/>
          <w:sz w:val="24"/>
          <w:szCs w:val="24"/>
          <w:lang w:val="en-US"/>
        </w:rPr>
        <w:fldChar w:fldCharType="separate"/>
      </w:r>
      <w:r w:rsidR="00167D83" w:rsidRPr="00167D83">
        <w:rPr>
          <w:rFonts w:ascii="Times New Roman" w:hAnsi="Times New Roman" w:cs="Times New Roman"/>
          <w:sz w:val="24"/>
        </w:rPr>
        <w:t>(Fujita &amp; Nonomura, 2019)</w:t>
      </w:r>
      <w:r w:rsidR="00F77439" w:rsidRPr="002E7761">
        <w:rPr>
          <w:rFonts w:ascii="Times New Roman" w:hAnsi="Times New Roman" w:cs="Times New Roman"/>
          <w:bCs/>
          <w:sz w:val="24"/>
          <w:szCs w:val="24"/>
          <w:lang w:val="en-US"/>
        </w:rPr>
        <w:fldChar w:fldCharType="end"/>
      </w:r>
      <w:r w:rsidR="00F77439" w:rsidRPr="002E7761">
        <w:rPr>
          <w:rFonts w:ascii="Times New Roman" w:hAnsi="Times New Roman" w:cs="Times New Roman"/>
          <w:bCs/>
          <w:sz w:val="24"/>
          <w:szCs w:val="24"/>
          <w:lang w:val="en-US"/>
        </w:rPr>
        <w:t xml:space="preserve">. </w:t>
      </w:r>
      <w:r w:rsidR="00B55B86" w:rsidRPr="00B55B86">
        <w:rPr>
          <w:rFonts w:ascii="Times New Roman" w:hAnsi="Times New Roman" w:cs="Times New Roman"/>
          <w:bCs/>
          <w:sz w:val="24"/>
          <w:szCs w:val="24"/>
          <w:lang w:val="en-US"/>
        </w:rPr>
        <w:t xml:space="preserve">The potential </w:t>
      </w:r>
      <w:r w:rsidR="00B55B86" w:rsidRPr="00B55B86">
        <w:rPr>
          <w:rFonts w:ascii="Times New Roman" w:hAnsi="Times New Roman" w:cs="Times New Roman"/>
          <w:bCs/>
          <w:sz w:val="24"/>
          <w:szCs w:val="24"/>
          <w:lang w:val="en-US"/>
        </w:rPr>
        <w:lastRenderedPageBreak/>
        <w:t xml:space="preserve">of SRC-3 as a therapeutic target in </w:t>
      </w:r>
      <w:r w:rsidR="00B55B86">
        <w:rPr>
          <w:rFonts w:ascii="Times New Roman" w:hAnsi="Times New Roman" w:cs="Times New Roman"/>
          <w:bCs/>
          <w:sz w:val="24"/>
          <w:szCs w:val="24"/>
          <w:lang w:val="en-US"/>
        </w:rPr>
        <w:t xml:space="preserve">the treatment of </w:t>
      </w:r>
      <w:proofErr w:type="spellStart"/>
      <w:r w:rsidR="00B55B86">
        <w:rPr>
          <w:rFonts w:ascii="Times New Roman" w:hAnsi="Times New Roman" w:cs="Times New Roman"/>
          <w:bCs/>
          <w:sz w:val="24"/>
          <w:szCs w:val="24"/>
          <w:lang w:val="en-US"/>
        </w:rPr>
        <w:t>PCa</w:t>
      </w:r>
      <w:proofErr w:type="spellEnd"/>
      <w:r w:rsidR="00B55B86" w:rsidRPr="00B55B86">
        <w:rPr>
          <w:rFonts w:ascii="Times New Roman" w:hAnsi="Times New Roman" w:cs="Times New Roman"/>
          <w:bCs/>
          <w:sz w:val="24"/>
          <w:szCs w:val="24"/>
          <w:lang w:val="en-US"/>
        </w:rPr>
        <w:t xml:space="preserve"> is underscored by its participation in the disease. Targeted treatments for patients with prostate cancer may be developed as a result of our growing understanding of its function in</w:t>
      </w:r>
      <w:r w:rsidR="00B55B86">
        <w:rPr>
          <w:rFonts w:ascii="Times New Roman" w:hAnsi="Times New Roman" w:cs="Times New Roman"/>
          <w:bCs/>
          <w:sz w:val="24"/>
          <w:szCs w:val="24"/>
          <w:lang w:val="en-US"/>
        </w:rPr>
        <w:t xml:space="preserve"> AR signaling and cancer growth</w:t>
      </w:r>
      <w:r w:rsidR="00F77439" w:rsidRPr="002E7761">
        <w:rPr>
          <w:rFonts w:ascii="Times New Roman" w:hAnsi="Times New Roman" w:cs="Times New Roman"/>
          <w:bCs/>
          <w:sz w:val="24"/>
          <w:szCs w:val="24"/>
          <w:lang w:val="en-US"/>
        </w:rPr>
        <w:t>.</w:t>
      </w:r>
    </w:p>
    <w:p w:rsidR="00F77439" w:rsidRPr="002E7761" w:rsidRDefault="00F77439" w:rsidP="006D3376">
      <w:pPr>
        <w:spacing w:line="360" w:lineRule="auto"/>
        <w:jc w:val="both"/>
        <w:rPr>
          <w:rFonts w:ascii="Times New Roman" w:hAnsi="Times New Roman" w:cs="Times New Roman"/>
          <w:bCs/>
          <w:sz w:val="24"/>
          <w:szCs w:val="24"/>
        </w:rPr>
      </w:pPr>
      <w:r w:rsidRPr="002E7761">
        <w:rPr>
          <w:rFonts w:ascii="Times New Roman" w:hAnsi="Times New Roman" w:cs="Times New Roman"/>
          <w:bCs/>
          <w:sz w:val="24"/>
          <w:szCs w:val="24"/>
        </w:rPr>
        <w:t xml:space="preserve">Numerous research studies underscore the crucial role played by SRC-3 in the progression of </w:t>
      </w:r>
      <w:proofErr w:type="spellStart"/>
      <w:r w:rsidRPr="002E7761">
        <w:rPr>
          <w:rFonts w:ascii="Times New Roman" w:hAnsi="Times New Roman" w:cs="Times New Roman"/>
          <w:bCs/>
          <w:sz w:val="24"/>
          <w:szCs w:val="24"/>
        </w:rPr>
        <w:t>PCa</w:t>
      </w:r>
      <w:proofErr w:type="spellEnd"/>
      <w:r w:rsidRPr="002E7761">
        <w:rPr>
          <w:rFonts w:ascii="Times New Roman" w:hAnsi="Times New Roman" w:cs="Times New Roman"/>
          <w:bCs/>
          <w:sz w:val="24"/>
          <w:szCs w:val="24"/>
        </w:rPr>
        <w:t xml:space="preserve">. SRC-3, also recognized as Amplified in Breast Cancer 1 (AIB1) or Nuclear receptor </w:t>
      </w:r>
      <w:proofErr w:type="spellStart"/>
      <w:r w:rsidRPr="002E7761">
        <w:rPr>
          <w:rFonts w:ascii="Times New Roman" w:hAnsi="Times New Roman" w:cs="Times New Roman"/>
          <w:bCs/>
          <w:sz w:val="24"/>
          <w:szCs w:val="24"/>
        </w:rPr>
        <w:t>coactivator</w:t>
      </w:r>
      <w:proofErr w:type="spellEnd"/>
      <w:r w:rsidRPr="002E7761">
        <w:rPr>
          <w:rFonts w:ascii="Times New Roman" w:hAnsi="Times New Roman" w:cs="Times New Roman"/>
          <w:bCs/>
          <w:sz w:val="24"/>
          <w:szCs w:val="24"/>
        </w:rPr>
        <w:t xml:space="preserve"> 3 (NCoA3), emerges as a vital </w:t>
      </w:r>
      <w:proofErr w:type="spellStart"/>
      <w:r w:rsidRPr="002E7761">
        <w:rPr>
          <w:rFonts w:ascii="Times New Roman" w:hAnsi="Times New Roman" w:cs="Times New Roman"/>
          <w:bCs/>
          <w:sz w:val="24"/>
          <w:szCs w:val="24"/>
        </w:rPr>
        <w:t>coactivator</w:t>
      </w:r>
      <w:proofErr w:type="spellEnd"/>
      <w:r w:rsidRPr="002E7761">
        <w:rPr>
          <w:rFonts w:ascii="Times New Roman" w:hAnsi="Times New Roman" w:cs="Times New Roman"/>
          <w:bCs/>
          <w:sz w:val="24"/>
          <w:szCs w:val="24"/>
        </w:rPr>
        <w:t xml:space="preserve"> that directly interacts with the Androgen Receptor and significantly influences AR-driven transcriptional activity in </w:t>
      </w:r>
      <w:proofErr w:type="spellStart"/>
      <w:r w:rsidRPr="002E7761">
        <w:rPr>
          <w:rFonts w:ascii="Times New Roman" w:hAnsi="Times New Roman" w:cs="Times New Roman"/>
          <w:bCs/>
          <w:sz w:val="24"/>
          <w:szCs w:val="24"/>
        </w:rPr>
        <w:t>PCa</w:t>
      </w:r>
      <w:proofErr w:type="spellEnd"/>
      <w:r w:rsidRPr="002E7761">
        <w:rPr>
          <w:rFonts w:ascii="Times New Roman" w:hAnsi="Times New Roman" w:cs="Times New Roman"/>
          <w:bCs/>
          <w:sz w:val="24"/>
          <w:szCs w:val="24"/>
        </w:rPr>
        <w:t xml:space="preserve"> cells (</w:t>
      </w:r>
      <w:proofErr w:type="spellStart"/>
      <w:r w:rsidRPr="002E7761">
        <w:rPr>
          <w:rFonts w:ascii="Times New Roman" w:hAnsi="Times New Roman" w:cs="Times New Roman"/>
          <w:bCs/>
          <w:sz w:val="24"/>
          <w:szCs w:val="24"/>
        </w:rPr>
        <w:t>Dahiya</w:t>
      </w:r>
      <w:proofErr w:type="spellEnd"/>
      <w:r w:rsidRPr="002E7761">
        <w:rPr>
          <w:rFonts w:ascii="Times New Roman" w:hAnsi="Times New Roman" w:cs="Times New Roman"/>
          <w:bCs/>
          <w:sz w:val="24"/>
          <w:szCs w:val="24"/>
        </w:rPr>
        <w:t xml:space="preserve"> &amp; </w:t>
      </w:r>
      <w:proofErr w:type="spellStart"/>
      <w:r w:rsidRPr="002E7761">
        <w:rPr>
          <w:rFonts w:ascii="Times New Roman" w:hAnsi="Times New Roman" w:cs="Times New Roman"/>
          <w:bCs/>
          <w:sz w:val="24"/>
          <w:szCs w:val="24"/>
        </w:rPr>
        <w:t>Heemers</w:t>
      </w:r>
      <w:proofErr w:type="spellEnd"/>
      <w:r w:rsidRPr="002E7761">
        <w:rPr>
          <w:rFonts w:ascii="Times New Roman" w:hAnsi="Times New Roman" w:cs="Times New Roman"/>
          <w:bCs/>
          <w:sz w:val="24"/>
          <w:szCs w:val="24"/>
        </w:rPr>
        <w:t xml:space="preserve">, 2022). SRC-3 is amplified in both primary and metastatic </w:t>
      </w:r>
      <w:proofErr w:type="spellStart"/>
      <w:r w:rsidRPr="002E7761">
        <w:rPr>
          <w:rFonts w:ascii="Times New Roman" w:hAnsi="Times New Roman" w:cs="Times New Roman"/>
          <w:bCs/>
          <w:sz w:val="24"/>
          <w:szCs w:val="24"/>
        </w:rPr>
        <w:t>PCa</w:t>
      </w:r>
      <w:proofErr w:type="spellEnd"/>
      <w:r w:rsidRPr="002E7761">
        <w:rPr>
          <w:rFonts w:ascii="Times New Roman" w:hAnsi="Times New Roman" w:cs="Times New Roman"/>
          <w:bCs/>
          <w:sz w:val="24"/>
          <w:szCs w:val="24"/>
        </w:rPr>
        <w:t xml:space="preserve">, indicating its significance in disease progression (Fujita &amp; </w:t>
      </w:r>
      <w:proofErr w:type="spellStart"/>
      <w:r w:rsidRPr="002E7761">
        <w:rPr>
          <w:rFonts w:ascii="Times New Roman" w:hAnsi="Times New Roman" w:cs="Times New Roman"/>
          <w:bCs/>
          <w:sz w:val="24"/>
          <w:szCs w:val="24"/>
        </w:rPr>
        <w:t>Nonomura</w:t>
      </w:r>
      <w:proofErr w:type="spellEnd"/>
      <w:r w:rsidRPr="002E7761">
        <w:rPr>
          <w:rFonts w:ascii="Times New Roman" w:hAnsi="Times New Roman" w:cs="Times New Roman"/>
          <w:bCs/>
          <w:sz w:val="24"/>
          <w:szCs w:val="24"/>
        </w:rPr>
        <w:t xml:space="preserve">, 2019). SRC-3 functions as a co-activator, augmenting the activity of the AR in </w:t>
      </w:r>
      <w:proofErr w:type="spellStart"/>
      <w:r w:rsidRPr="002E7761">
        <w:rPr>
          <w:rFonts w:ascii="Times New Roman" w:hAnsi="Times New Roman" w:cs="Times New Roman"/>
          <w:bCs/>
          <w:sz w:val="24"/>
          <w:szCs w:val="24"/>
        </w:rPr>
        <w:t>PCa</w:t>
      </w:r>
      <w:proofErr w:type="spellEnd"/>
      <w:r w:rsidRPr="002E7761">
        <w:rPr>
          <w:rFonts w:ascii="Times New Roman" w:hAnsi="Times New Roman" w:cs="Times New Roman"/>
          <w:bCs/>
          <w:sz w:val="24"/>
          <w:szCs w:val="24"/>
        </w:rPr>
        <w:t xml:space="preserve">. This interaction contributes to the androgen </w:t>
      </w:r>
      <w:proofErr w:type="spellStart"/>
      <w:r w:rsidRPr="002E7761">
        <w:rPr>
          <w:rFonts w:ascii="Times New Roman" w:hAnsi="Times New Roman" w:cs="Times New Roman"/>
          <w:bCs/>
          <w:sz w:val="24"/>
          <w:szCs w:val="24"/>
        </w:rPr>
        <w:t>signaling</w:t>
      </w:r>
      <w:proofErr w:type="spellEnd"/>
      <w:r w:rsidRPr="002E7761">
        <w:rPr>
          <w:rFonts w:ascii="Times New Roman" w:hAnsi="Times New Roman" w:cs="Times New Roman"/>
          <w:bCs/>
          <w:sz w:val="24"/>
          <w:szCs w:val="24"/>
        </w:rPr>
        <w:t xml:space="preserve"> pathway, which is crucial for </w:t>
      </w:r>
      <w:proofErr w:type="spellStart"/>
      <w:r w:rsidRPr="002E7761">
        <w:rPr>
          <w:rFonts w:ascii="Times New Roman" w:hAnsi="Times New Roman" w:cs="Times New Roman"/>
          <w:bCs/>
          <w:sz w:val="24"/>
          <w:szCs w:val="24"/>
        </w:rPr>
        <w:t>PCa</w:t>
      </w:r>
      <w:proofErr w:type="spellEnd"/>
      <w:r w:rsidRPr="002E7761">
        <w:rPr>
          <w:rFonts w:ascii="Times New Roman" w:hAnsi="Times New Roman" w:cs="Times New Roman"/>
          <w:bCs/>
          <w:sz w:val="24"/>
          <w:szCs w:val="24"/>
        </w:rPr>
        <w:t xml:space="preserve"> creation and course (</w:t>
      </w:r>
      <w:proofErr w:type="spellStart"/>
      <w:r w:rsidRPr="002E7761">
        <w:rPr>
          <w:rFonts w:ascii="Times New Roman" w:hAnsi="Times New Roman" w:cs="Times New Roman"/>
          <w:bCs/>
          <w:sz w:val="24"/>
          <w:szCs w:val="24"/>
        </w:rPr>
        <w:t>Gnanapragasam</w:t>
      </w:r>
      <w:proofErr w:type="spellEnd"/>
      <w:r w:rsidRPr="002E7761">
        <w:rPr>
          <w:rFonts w:ascii="Times New Roman" w:hAnsi="Times New Roman" w:cs="Times New Roman"/>
          <w:bCs/>
          <w:sz w:val="24"/>
          <w:szCs w:val="24"/>
        </w:rPr>
        <w:t xml:space="preserve"> et al., 2001). The involvement of SRC-3 in </w:t>
      </w:r>
      <w:proofErr w:type="spellStart"/>
      <w:r w:rsidRPr="002E7761">
        <w:rPr>
          <w:rFonts w:ascii="Times New Roman" w:hAnsi="Times New Roman" w:cs="Times New Roman"/>
          <w:bCs/>
          <w:sz w:val="24"/>
          <w:szCs w:val="24"/>
        </w:rPr>
        <w:t>PCa</w:t>
      </w:r>
      <w:proofErr w:type="spellEnd"/>
      <w:r w:rsidRPr="002E7761">
        <w:rPr>
          <w:rFonts w:ascii="Times New Roman" w:hAnsi="Times New Roman" w:cs="Times New Roman"/>
          <w:bCs/>
          <w:sz w:val="24"/>
          <w:szCs w:val="24"/>
        </w:rPr>
        <w:t xml:space="preserve"> underscores its potential as a therapeutic target in treating this disease. Understanding its role in AR </w:t>
      </w:r>
      <w:proofErr w:type="spellStart"/>
      <w:r w:rsidRPr="002E7761">
        <w:rPr>
          <w:rFonts w:ascii="Times New Roman" w:hAnsi="Times New Roman" w:cs="Times New Roman"/>
          <w:bCs/>
          <w:sz w:val="24"/>
          <w:szCs w:val="24"/>
        </w:rPr>
        <w:t>signaling</w:t>
      </w:r>
      <w:proofErr w:type="spellEnd"/>
      <w:r w:rsidRPr="002E7761">
        <w:rPr>
          <w:rFonts w:ascii="Times New Roman" w:hAnsi="Times New Roman" w:cs="Times New Roman"/>
          <w:bCs/>
          <w:sz w:val="24"/>
          <w:szCs w:val="24"/>
        </w:rPr>
        <w:t xml:space="preserve"> and cancer growth may pave the way for the development of targeted therapies for prostate cancer patients.</w:t>
      </w:r>
    </w:p>
    <w:p w:rsidR="00F77439" w:rsidRPr="00463515" w:rsidRDefault="00463515" w:rsidP="006D3376">
      <w:pPr>
        <w:spacing w:line="360" w:lineRule="auto"/>
        <w:jc w:val="both"/>
        <w:rPr>
          <w:rFonts w:ascii="Times New Roman" w:hAnsi="Times New Roman" w:cs="Times New Roman"/>
          <w:sz w:val="24"/>
          <w:szCs w:val="24"/>
          <w:lang w:val="en-US"/>
        </w:rPr>
      </w:pPr>
      <w:r w:rsidRPr="00463515">
        <w:rPr>
          <w:rFonts w:ascii="Times New Roman" w:hAnsi="Times New Roman" w:cs="Times New Roman"/>
          <w:sz w:val="24"/>
          <w:szCs w:val="24"/>
          <w:lang w:val="en-US"/>
        </w:rPr>
        <w:t xml:space="preserve">Additionally, clinical resistance to aromatase inhibitors and </w:t>
      </w:r>
      <w:proofErr w:type="spellStart"/>
      <w:r w:rsidRPr="00463515">
        <w:rPr>
          <w:rFonts w:ascii="Times New Roman" w:hAnsi="Times New Roman" w:cs="Times New Roman"/>
          <w:sz w:val="24"/>
          <w:szCs w:val="24"/>
          <w:lang w:val="en-US"/>
        </w:rPr>
        <w:t>tamoxifen</w:t>
      </w:r>
      <w:proofErr w:type="spellEnd"/>
      <w:r w:rsidRPr="00463515">
        <w:rPr>
          <w:rFonts w:ascii="Times New Roman" w:hAnsi="Times New Roman" w:cs="Times New Roman"/>
          <w:sz w:val="24"/>
          <w:szCs w:val="24"/>
          <w:lang w:val="en-US"/>
        </w:rPr>
        <w:t xml:space="preserve"> depends</w:t>
      </w:r>
      <w:r>
        <w:rPr>
          <w:rFonts w:ascii="Times New Roman" w:hAnsi="Times New Roman" w:cs="Times New Roman"/>
          <w:sz w:val="24"/>
          <w:szCs w:val="24"/>
          <w:lang w:val="en-US"/>
        </w:rPr>
        <w:t xml:space="preserve"> on SRC-3</w:t>
      </w:r>
      <w:r w:rsidR="00F77439" w:rsidRPr="002E7761">
        <w:rPr>
          <w:rFonts w:ascii="Times New Roman" w:hAnsi="Times New Roman" w:cs="Times New Roman"/>
          <w:sz w:val="24"/>
          <w:szCs w:val="24"/>
        </w:rPr>
        <w:t xml:space="preserve"> (Osborne et al., 2003). This resistance is attributed to SRC-3's involvement downstream of growth factor </w:t>
      </w:r>
      <w:proofErr w:type="spellStart"/>
      <w:r w:rsidR="00F77439" w:rsidRPr="002E7761">
        <w:rPr>
          <w:rFonts w:ascii="Times New Roman" w:hAnsi="Times New Roman" w:cs="Times New Roman"/>
          <w:sz w:val="24"/>
          <w:szCs w:val="24"/>
        </w:rPr>
        <w:t>signaling</w:t>
      </w:r>
      <w:proofErr w:type="spellEnd"/>
      <w:r w:rsidR="00F77439" w:rsidRPr="002E7761">
        <w:rPr>
          <w:rFonts w:ascii="Times New Roman" w:hAnsi="Times New Roman" w:cs="Times New Roman"/>
          <w:sz w:val="24"/>
          <w:szCs w:val="24"/>
        </w:rPr>
        <w:t xml:space="preserve"> pathways, enabling it to bypass ER inhibition in Breast Cancer cells. Genomic alterations was shown to contribute to resistance to endocrine therapy, including mutations in the ER gene's ligand-binding domain, allowing receptor activation in the absence of </w:t>
      </w:r>
      <w:proofErr w:type="spellStart"/>
      <w:r w:rsidR="00F77439" w:rsidRPr="002E7761">
        <w:rPr>
          <w:rFonts w:ascii="Times New Roman" w:hAnsi="Times New Roman" w:cs="Times New Roman"/>
          <w:sz w:val="24"/>
          <w:szCs w:val="24"/>
        </w:rPr>
        <w:t>estrogen</w:t>
      </w:r>
      <w:proofErr w:type="spellEnd"/>
      <w:r w:rsidR="00F77439" w:rsidRPr="002E7761">
        <w:rPr>
          <w:rFonts w:ascii="Times New Roman" w:hAnsi="Times New Roman" w:cs="Times New Roman"/>
          <w:sz w:val="24"/>
          <w:szCs w:val="24"/>
        </w:rPr>
        <w:t xml:space="preserve"> </w:t>
      </w:r>
      <w:proofErr w:type="spellStart"/>
      <w:r w:rsidR="00F77439" w:rsidRPr="002E7761">
        <w:rPr>
          <w:rFonts w:ascii="Times New Roman" w:hAnsi="Times New Roman" w:cs="Times New Roman"/>
          <w:sz w:val="24"/>
          <w:szCs w:val="24"/>
        </w:rPr>
        <w:t>signaling</w:t>
      </w:r>
      <w:proofErr w:type="spellEnd"/>
      <w:r w:rsidR="00F77439" w:rsidRPr="002E7761">
        <w:rPr>
          <w:rFonts w:ascii="Times New Roman" w:hAnsi="Times New Roman" w:cs="Times New Roman"/>
          <w:sz w:val="24"/>
          <w:szCs w:val="24"/>
        </w:rPr>
        <w:t xml:space="preserve"> (</w:t>
      </w:r>
      <w:proofErr w:type="spellStart"/>
      <w:r w:rsidR="00F77439" w:rsidRPr="002E7761">
        <w:rPr>
          <w:rFonts w:ascii="Times New Roman" w:hAnsi="Times New Roman" w:cs="Times New Roman"/>
          <w:sz w:val="24"/>
          <w:szCs w:val="24"/>
        </w:rPr>
        <w:t>Rotimi</w:t>
      </w:r>
      <w:proofErr w:type="spellEnd"/>
      <w:r w:rsidR="00F77439" w:rsidRPr="002E7761">
        <w:rPr>
          <w:rFonts w:ascii="Times New Roman" w:hAnsi="Times New Roman" w:cs="Times New Roman"/>
          <w:sz w:val="24"/>
          <w:szCs w:val="24"/>
        </w:rPr>
        <w:t xml:space="preserve"> et al., 2021). Target gene activation that occurs without the need of hormones is induced by upstream signalling pathways, which include metabolic factors that impact SRC-3. It is encouraging that medications that target SRC-3, like SI-2 and </w:t>
      </w:r>
      <w:proofErr w:type="spellStart"/>
      <w:r w:rsidR="00F77439" w:rsidRPr="002E7761">
        <w:rPr>
          <w:rFonts w:ascii="Times New Roman" w:hAnsi="Times New Roman" w:cs="Times New Roman"/>
          <w:sz w:val="24"/>
          <w:szCs w:val="24"/>
        </w:rPr>
        <w:t>phospho-bufalin</w:t>
      </w:r>
      <w:proofErr w:type="spellEnd"/>
      <w:r w:rsidR="00F77439" w:rsidRPr="002E7761">
        <w:rPr>
          <w:rFonts w:ascii="Times New Roman" w:hAnsi="Times New Roman" w:cs="Times New Roman"/>
          <w:sz w:val="24"/>
          <w:szCs w:val="24"/>
        </w:rPr>
        <w:t>, have shown encouraging results in mice models of breast cancer (Song et al., 2016). These collective findings underscore the importance of SRC activity in Breast Cancer and its potential as a therapeutic target.</w:t>
      </w:r>
    </w:p>
    <w:p w:rsidR="00F77439" w:rsidRPr="00463515" w:rsidRDefault="00463515" w:rsidP="006D3376">
      <w:pPr>
        <w:spacing w:line="360" w:lineRule="auto"/>
        <w:jc w:val="both"/>
        <w:rPr>
          <w:rFonts w:ascii="Times New Roman" w:hAnsi="Times New Roman" w:cs="Times New Roman"/>
          <w:sz w:val="24"/>
          <w:szCs w:val="24"/>
          <w:lang w:val="en-US"/>
        </w:rPr>
      </w:pPr>
      <w:r w:rsidRPr="00463515">
        <w:rPr>
          <w:rFonts w:ascii="Times New Roman" w:hAnsi="Times New Roman" w:cs="Times New Roman"/>
          <w:sz w:val="24"/>
          <w:szCs w:val="24"/>
          <w:lang w:val="en-US"/>
        </w:rPr>
        <w:t xml:space="preserve">Evaluating SRC-3 </w:t>
      </w:r>
      <w:proofErr w:type="spellStart"/>
      <w:r w:rsidRPr="00463515">
        <w:rPr>
          <w:rFonts w:ascii="Times New Roman" w:hAnsi="Times New Roman" w:cs="Times New Roman"/>
          <w:sz w:val="24"/>
          <w:szCs w:val="24"/>
          <w:lang w:val="en-US"/>
        </w:rPr>
        <w:t>dysregulation</w:t>
      </w:r>
      <w:proofErr w:type="spellEnd"/>
      <w:r w:rsidRPr="00463515">
        <w:rPr>
          <w:rFonts w:ascii="Times New Roman" w:hAnsi="Times New Roman" w:cs="Times New Roman"/>
          <w:sz w:val="24"/>
          <w:szCs w:val="24"/>
          <w:lang w:val="en-US"/>
        </w:rPr>
        <w:t xml:space="preserve"> in </w:t>
      </w:r>
      <w:proofErr w:type="spellStart"/>
      <w:r w:rsidRPr="00463515">
        <w:rPr>
          <w:rFonts w:ascii="Times New Roman" w:hAnsi="Times New Roman" w:cs="Times New Roman"/>
          <w:sz w:val="24"/>
          <w:szCs w:val="24"/>
          <w:lang w:val="en-US"/>
        </w:rPr>
        <w:t>PCa</w:t>
      </w:r>
      <w:proofErr w:type="spellEnd"/>
      <w:r w:rsidRPr="00463515">
        <w:rPr>
          <w:rFonts w:ascii="Times New Roman" w:hAnsi="Times New Roman" w:cs="Times New Roman"/>
          <w:sz w:val="24"/>
          <w:szCs w:val="24"/>
          <w:lang w:val="en-US"/>
        </w:rPr>
        <w:t xml:space="preserve"> patients can be a useful biomarker. Customizing treatment techniques may be made easier by identifying patients who exhibit high SRC-3 expression or activity. Treatments that target SRC-3 may be more beneficial for patients with SRC-3 </w:t>
      </w:r>
      <w:proofErr w:type="spellStart"/>
      <w:r w:rsidRPr="00463515">
        <w:rPr>
          <w:rFonts w:ascii="Times New Roman" w:hAnsi="Times New Roman" w:cs="Times New Roman"/>
          <w:sz w:val="24"/>
          <w:szCs w:val="24"/>
          <w:lang w:val="en-US"/>
        </w:rPr>
        <w:t>dysregulation</w:t>
      </w:r>
      <w:proofErr w:type="spellEnd"/>
      <w:r w:rsidRPr="00463515">
        <w:rPr>
          <w:rFonts w:ascii="Times New Roman" w:hAnsi="Times New Roman" w:cs="Times New Roman"/>
          <w:sz w:val="24"/>
          <w:szCs w:val="24"/>
          <w:lang w:val="en-US"/>
        </w:rPr>
        <w:t xml:space="preserve">. ADT resistance has been linked to SRC-3 </w:t>
      </w:r>
      <w:proofErr w:type="spellStart"/>
      <w:r w:rsidRPr="00463515">
        <w:rPr>
          <w:rFonts w:ascii="Times New Roman" w:hAnsi="Times New Roman" w:cs="Times New Roman"/>
          <w:sz w:val="24"/>
          <w:szCs w:val="24"/>
          <w:lang w:val="en-US"/>
        </w:rPr>
        <w:t>dysregulation</w:t>
      </w:r>
      <w:proofErr w:type="spellEnd"/>
      <w:r w:rsidRPr="00463515">
        <w:rPr>
          <w:rFonts w:ascii="Times New Roman" w:hAnsi="Times New Roman" w:cs="Times New Roman"/>
          <w:sz w:val="24"/>
          <w:szCs w:val="24"/>
          <w:lang w:val="en-US"/>
        </w:rPr>
        <w:t xml:space="preserve"> in response to endocrine treatmen</w:t>
      </w:r>
      <w:r>
        <w:rPr>
          <w:rFonts w:ascii="Times New Roman" w:hAnsi="Times New Roman" w:cs="Times New Roman"/>
          <w:sz w:val="24"/>
          <w:szCs w:val="24"/>
          <w:lang w:val="en-US"/>
        </w:rPr>
        <w:t>ts</w:t>
      </w:r>
      <w:r w:rsidR="00F77439" w:rsidRPr="002E7761">
        <w:rPr>
          <w:rFonts w:ascii="Times New Roman" w:hAnsi="Times New Roman" w:cs="Times New Roman"/>
          <w:sz w:val="24"/>
          <w:szCs w:val="24"/>
        </w:rPr>
        <w:t xml:space="preserve"> (</w:t>
      </w:r>
      <w:proofErr w:type="spellStart"/>
      <w:r w:rsidR="00F77439" w:rsidRPr="002E7761">
        <w:rPr>
          <w:rFonts w:ascii="Times New Roman" w:hAnsi="Times New Roman" w:cs="Times New Roman"/>
          <w:sz w:val="24"/>
          <w:szCs w:val="24"/>
        </w:rPr>
        <w:t>Axlund</w:t>
      </w:r>
      <w:proofErr w:type="spellEnd"/>
      <w:r w:rsidR="00F77439" w:rsidRPr="002E7761">
        <w:rPr>
          <w:rFonts w:ascii="Times New Roman" w:hAnsi="Times New Roman" w:cs="Times New Roman"/>
          <w:sz w:val="24"/>
          <w:szCs w:val="24"/>
        </w:rPr>
        <w:t xml:space="preserve"> et al., 2010). </w:t>
      </w:r>
      <w:r w:rsidRPr="00463515">
        <w:rPr>
          <w:rFonts w:ascii="Times New Roman" w:hAnsi="Times New Roman" w:cs="Times New Roman"/>
          <w:sz w:val="24"/>
          <w:szCs w:val="24"/>
          <w:lang w:val="en-US"/>
        </w:rPr>
        <w:t xml:space="preserve">The creation of techniques to overcome resistance to medication can be guided by an understanding of the role that SRC-3 plays in this phenomenon. Combination treatments or cutting-edge methods to target SRC-3-driven </w:t>
      </w:r>
      <w:r w:rsidRPr="00463515">
        <w:rPr>
          <w:rFonts w:ascii="Times New Roman" w:hAnsi="Times New Roman" w:cs="Times New Roman"/>
          <w:sz w:val="24"/>
          <w:szCs w:val="24"/>
          <w:lang w:val="en-US"/>
        </w:rPr>
        <w:lastRenderedPageBreak/>
        <w:t xml:space="preserve">resistance mechanisms may be used in this. The value of individualized treatment is shown by the research of SRC-3 </w:t>
      </w:r>
      <w:proofErr w:type="spellStart"/>
      <w:r w:rsidRPr="00463515">
        <w:rPr>
          <w:rFonts w:ascii="Times New Roman" w:hAnsi="Times New Roman" w:cs="Times New Roman"/>
          <w:sz w:val="24"/>
          <w:szCs w:val="24"/>
          <w:lang w:val="en-US"/>
        </w:rPr>
        <w:t>dysregulation</w:t>
      </w:r>
      <w:proofErr w:type="spellEnd"/>
      <w:r w:rsidRPr="00463515">
        <w:rPr>
          <w:rFonts w:ascii="Times New Roman" w:hAnsi="Times New Roman" w:cs="Times New Roman"/>
          <w:sz w:val="24"/>
          <w:szCs w:val="24"/>
          <w:lang w:val="en-US"/>
        </w:rPr>
        <w:t xml:space="preserve"> in </w:t>
      </w:r>
      <w:proofErr w:type="spellStart"/>
      <w:r w:rsidRPr="00463515">
        <w:rPr>
          <w:rFonts w:ascii="Times New Roman" w:hAnsi="Times New Roman" w:cs="Times New Roman"/>
          <w:sz w:val="24"/>
          <w:szCs w:val="24"/>
          <w:lang w:val="en-US"/>
        </w:rPr>
        <w:t>PCa</w:t>
      </w:r>
      <w:proofErr w:type="spellEnd"/>
      <w:r w:rsidRPr="00463515">
        <w:rPr>
          <w:rFonts w:ascii="Times New Roman" w:hAnsi="Times New Roman" w:cs="Times New Roman"/>
          <w:sz w:val="24"/>
          <w:szCs w:val="24"/>
          <w:lang w:val="en-US"/>
        </w:rPr>
        <w:t>. Treatment effectiveness can be increased while reducing side effects by customizing care based on the unique molecular features of each patient's tumor, including t</w:t>
      </w:r>
      <w:r>
        <w:rPr>
          <w:rFonts w:ascii="Times New Roman" w:hAnsi="Times New Roman" w:cs="Times New Roman"/>
          <w:sz w:val="24"/>
          <w:szCs w:val="24"/>
          <w:lang w:val="en-US"/>
        </w:rPr>
        <w:t>he presence or absence of SRC-3</w:t>
      </w:r>
      <w:r w:rsidR="00775C68">
        <w:rPr>
          <w:rFonts w:ascii="Times New Roman" w:hAnsi="Times New Roman" w:cs="Times New Roman"/>
          <w:sz w:val="24"/>
          <w:szCs w:val="24"/>
        </w:rPr>
        <w:t>.</w:t>
      </w:r>
    </w:p>
    <w:p w:rsidR="00F77439" w:rsidRPr="002E7761" w:rsidRDefault="006D2663" w:rsidP="00775C68">
      <w:pPr>
        <w:spacing w:before="240"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2.6</w:t>
      </w:r>
      <w:r w:rsidR="00D84CF6">
        <w:rPr>
          <w:rFonts w:ascii="Times New Roman" w:hAnsi="Times New Roman" w:cs="Times New Roman"/>
          <w:b/>
          <w:bCs/>
          <w:sz w:val="24"/>
          <w:szCs w:val="24"/>
          <w:lang w:val="en-US"/>
        </w:rPr>
        <w:t>.3</w:t>
      </w:r>
      <w:r w:rsidR="00F77439" w:rsidRPr="002E7761">
        <w:rPr>
          <w:rFonts w:ascii="Times New Roman" w:hAnsi="Times New Roman" w:cs="Times New Roman"/>
          <w:b/>
          <w:bCs/>
          <w:sz w:val="24"/>
          <w:szCs w:val="24"/>
          <w:lang w:val="en-US"/>
        </w:rPr>
        <w:t xml:space="preserve"> </w:t>
      </w:r>
      <w:r w:rsidR="004B07BF" w:rsidRPr="004B07BF">
        <w:rPr>
          <w:rFonts w:ascii="Times New Roman" w:hAnsi="Times New Roman" w:cs="Times New Roman"/>
          <w:b/>
          <w:sz w:val="24"/>
          <w:szCs w:val="24"/>
          <w:lang w:val="en-US"/>
        </w:rPr>
        <w:t>Speckle-type POZ protein (SPOP</w:t>
      </w:r>
      <w:r w:rsidR="00DC48E2">
        <w:rPr>
          <w:rFonts w:ascii="Times New Roman" w:hAnsi="Times New Roman" w:cs="Times New Roman"/>
          <w:b/>
          <w:bCs/>
          <w:sz w:val="24"/>
          <w:szCs w:val="24"/>
          <w:lang w:val="en-US"/>
        </w:rPr>
        <w:t>)</w:t>
      </w:r>
    </w:p>
    <w:p w:rsidR="00A7035C" w:rsidRDefault="00F77439" w:rsidP="00A7035C">
      <w:pPr>
        <w:spacing w:line="360" w:lineRule="auto"/>
        <w:jc w:val="both"/>
        <w:rPr>
          <w:rFonts w:ascii="Times New Roman" w:hAnsi="Times New Roman" w:cs="Times New Roman"/>
          <w:bCs/>
          <w:sz w:val="24"/>
          <w:szCs w:val="24"/>
          <w:lang w:val="en-US"/>
        </w:rPr>
      </w:pPr>
      <w:r w:rsidRPr="002E7761">
        <w:rPr>
          <w:rFonts w:ascii="Times New Roman" w:hAnsi="Times New Roman" w:cs="Times New Roman"/>
          <w:bCs/>
          <w:sz w:val="24"/>
          <w:szCs w:val="24"/>
          <w:lang w:val="en-US"/>
        </w:rPr>
        <w:t>The SPOP gene in humans that encodes the SPOP protein. It plays a crucial role in cellular regulation, particularly in protein degradation and po</w:t>
      </w:r>
      <w:r w:rsidR="00E71B74">
        <w:rPr>
          <w:rFonts w:ascii="Times New Roman" w:hAnsi="Times New Roman" w:cs="Times New Roman"/>
          <w:bCs/>
          <w:sz w:val="24"/>
          <w:szCs w:val="24"/>
          <w:lang w:val="en-US"/>
        </w:rPr>
        <w:t xml:space="preserve">st-translational modifications. </w:t>
      </w:r>
      <w:proofErr w:type="gramStart"/>
      <w:r w:rsidR="00E71B74" w:rsidRPr="00E71B74">
        <w:rPr>
          <w:rFonts w:ascii="Times New Roman" w:hAnsi="Times New Roman" w:cs="Times New Roman"/>
          <w:bCs/>
          <w:sz w:val="24"/>
          <w:szCs w:val="24"/>
          <w:lang w:val="en-US"/>
        </w:rPr>
        <w:t>The interlink</w:t>
      </w:r>
      <w:proofErr w:type="gramEnd"/>
      <w:r w:rsidR="00E71B74" w:rsidRPr="00E71B74">
        <w:rPr>
          <w:rFonts w:ascii="Times New Roman" w:hAnsi="Times New Roman" w:cs="Times New Roman"/>
          <w:bCs/>
          <w:sz w:val="24"/>
          <w:szCs w:val="24"/>
          <w:lang w:val="en-US"/>
        </w:rPr>
        <w:t xml:space="preserve"> be</w:t>
      </w:r>
      <w:r w:rsidR="00C83761">
        <w:rPr>
          <w:rFonts w:ascii="Times New Roman" w:hAnsi="Times New Roman" w:cs="Times New Roman"/>
          <w:bCs/>
          <w:sz w:val="24"/>
          <w:szCs w:val="24"/>
          <w:lang w:val="en-US"/>
        </w:rPr>
        <w:t>tween the AR</w:t>
      </w:r>
      <w:r w:rsidR="00E71B74" w:rsidRPr="00E71B74">
        <w:rPr>
          <w:rFonts w:ascii="Times New Roman" w:hAnsi="Times New Roman" w:cs="Times New Roman"/>
          <w:bCs/>
          <w:sz w:val="24"/>
          <w:szCs w:val="24"/>
          <w:lang w:val="en-US"/>
        </w:rPr>
        <w:t>,</w:t>
      </w:r>
      <w:r w:rsidR="00C83761">
        <w:rPr>
          <w:rFonts w:ascii="Times New Roman" w:hAnsi="Times New Roman" w:cs="Times New Roman"/>
          <w:bCs/>
          <w:sz w:val="24"/>
          <w:szCs w:val="24"/>
          <w:lang w:val="en-US"/>
        </w:rPr>
        <w:t xml:space="preserve"> SPOP, and SRC-</w:t>
      </w:r>
      <w:r w:rsidR="00E71B74">
        <w:rPr>
          <w:rFonts w:ascii="Times New Roman" w:hAnsi="Times New Roman" w:cs="Times New Roman"/>
          <w:bCs/>
          <w:sz w:val="24"/>
          <w:szCs w:val="24"/>
          <w:lang w:val="en-US"/>
        </w:rPr>
        <w:t xml:space="preserve">3 </w:t>
      </w:r>
      <w:r w:rsidR="00C83761">
        <w:rPr>
          <w:rFonts w:ascii="Times New Roman" w:hAnsi="Times New Roman" w:cs="Times New Roman"/>
          <w:bCs/>
          <w:sz w:val="24"/>
          <w:szCs w:val="24"/>
          <w:lang w:val="en-US"/>
        </w:rPr>
        <w:t xml:space="preserve">in </w:t>
      </w:r>
      <w:proofErr w:type="spellStart"/>
      <w:r w:rsidR="00C83761">
        <w:rPr>
          <w:rFonts w:ascii="Times New Roman" w:hAnsi="Times New Roman" w:cs="Times New Roman"/>
          <w:bCs/>
          <w:sz w:val="24"/>
          <w:szCs w:val="24"/>
          <w:lang w:val="en-US"/>
        </w:rPr>
        <w:t>PCa</w:t>
      </w:r>
      <w:proofErr w:type="spellEnd"/>
      <w:r w:rsidR="00E71B74" w:rsidRPr="00E71B74">
        <w:rPr>
          <w:rFonts w:ascii="Times New Roman" w:hAnsi="Times New Roman" w:cs="Times New Roman"/>
          <w:bCs/>
          <w:sz w:val="24"/>
          <w:szCs w:val="24"/>
          <w:lang w:val="en-US"/>
        </w:rPr>
        <w:t xml:space="preserve"> is crucial for understanding disease mechanisms. SPOP, a substrate-binding adaptor, interacts with AR, a key player in prostate cancer in</w:t>
      </w:r>
      <w:r w:rsidR="00E71B74">
        <w:rPr>
          <w:rFonts w:ascii="Times New Roman" w:hAnsi="Times New Roman" w:cs="Times New Roman"/>
          <w:bCs/>
          <w:sz w:val="24"/>
          <w:szCs w:val="24"/>
          <w:lang w:val="en-US"/>
        </w:rPr>
        <w:t xml:space="preserve">itiation and progression </w:t>
      </w:r>
      <w:r w:rsidR="00E71B74">
        <w:rPr>
          <w:rFonts w:ascii="Times New Roman" w:hAnsi="Times New Roman" w:cs="Times New Roman"/>
          <w:bCs/>
          <w:sz w:val="24"/>
          <w:szCs w:val="24"/>
          <w:lang w:val="en-US"/>
        </w:rPr>
        <w:fldChar w:fldCharType="begin"/>
      </w:r>
      <w:r w:rsidR="00E71B74">
        <w:rPr>
          <w:rFonts w:ascii="Times New Roman" w:hAnsi="Times New Roman" w:cs="Times New Roman"/>
          <w:bCs/>
          <w:sz w:val="24"/>
          <w:szCs w:val="24"/>
          <w:lang w:val="en-US"/>
        </w:rPr>
        <w:instrText xml:space="preserve"> ADDIN ZOTERO_ITEM CSL_CITATION {"citationID":"9F02fver","properties":{"formattedCitation":"(Eryilmaz et al., 2024; Zhang, Jin &amp; Huang, 2023b)","plainCitation":"(Eryilmaz et al., 2024; Zhang, Jin &amp; Huang, 2023b)","noteIndex":0},"citationItems":[{"id":1281,"uris":["http://zotero.org/users/11300200/items/534KZLFN"],"itemData":{"id":1281,"type":"article-journal","abstract":"Prostate cancer (PCa) is a heterogeneous disease both clinically and genetically. According to The Cancer Genome Atlas (TCGA), the speckle‑type POZ protein (&lt;i&gt;SPOP&lt;/i&gt;) mutant form is one of the significant core subtypes of PCa. However, the prognostic value of &lt;i&gt;SPOP&lt;/i&gt; variations remains unknown. As a critical PCa driver and an SPOP-targeted protein, androgen receptor (AR) also plays a role in PCa initiation and progression. Thus, we aimed to analyze the mutational status of &lt;i&gt;SPOP&lt;/i&gt; and &lt;i&gt;AR&lt;/i&gt; with their transcriptional levels in a pathological stage 3 (pT3) prostatectomy cohort consisting of 89 Turkish PCa patients. Targeted sequence analysis and RT-qPCR were performed for &lt;i&gt;SPOP&lt;/i&gt; and &lt;i&gt;AR&lt;/i&gt; in the benign and malign prostate tissue samples. Our results introduced the two novel pathogenic &lt;i&gt;SPOP&lt;/i&gt; variations, C203Y and S236R, in the BTB/POZ domain and a novel pathogenic variant in the ligand-binding domain of &lt;i&gt;AR&lt;/i&gt;, R789W. Their predicted pathogenicities and effects on protein features were evaluated by web-based &lt;i&gt;in silico&lt;/i&gt; analysis. The overall frequency of &lt;i&gt;SPOP&lt;/i&gt; and &lt;i&gt;AR&lt;/i&gt; variations for pT3 patients in our population was 3.4&amp;#37; (3/89) and 4.5&amp;#37; (4/89), respectively. The mutational results represented a possible subgroup characterized by carrying the novel variants in &lt;i&gt;SPOP&lt;/i&gt; and &lt;i&gt;AR&lt;/i&gt; in pT3 PCa patients. In addition to the significant clinicopathological parameters, the mutational results provide a better understanding of the molecular structure of pathologically advanced PCa in the &lt;i&gt;SPOP&lt;/i&gt; and &lt;i&gt;AR&lt;/i&gt; aspects.","container-title":"Journal of Environmental Pathology, Toxicology and Oncology","DOI":"10.1615/JEnvironPatholToxicolOncol.2023048095","ISSN":"0731-8898","issue":"1","journalAbbreviation":"J Environ Pathol Toxicol Oncol","language":"en","page":"15-29","source":"DOI.org (Crossref)","title":"The Mutational and Transcriptional Landscapes of Speckle-Type POZ Protein (SPOP) and Androgen Receptor (AR) in a Single-Center pT3 Prostatectomy Cohort","volume":"43","author":[{"family":"Eryilmaz","given":"Isil Ezgi"},{"family":"Vuruskan","given":"Berna Aytac"},{"family":"Kaygisiz","given":"Onur"},{"family":"Cecener","given":"Gulsah"},{"family":"Egeli","given":"Unal"},{"family":"Vuruskan","given":"Hakan"}],"issued":{"date-parts":[["2024"]]}}},{"id":433,"uris":["http://zotero.org/users/11300200/items/K62GDFFX"],"itemData":{"id":433,"type":"article-journal","abstract":"Abstract\n            Speckle-type POZ protein (SPOP) is a substrate-binding adaptor of the CULLIN3/RING-box1 E3 ubiquitin ligase complex. SPOP is frequently mutated in prostate and endometrial cancers, whereas it is overexpressed in renal cell carcinoma (RCC). SPOP can mediate both degradable and nondegradable polyubiquitination of a number of substrates with diverse biological functions such as androgen receptor (AR), SRC-3, TRIM24, BRD4, PD-L1, 53BP1, GLP/G9a, c-Myc, SENP7, among others. Cancer-associated SPOP mutants often impair SPOP binding and polyubiquitination of its substrates to influence various cancer-relevant pathways, which include androgen/AR signaling, DNA repair and methylation, cellular stress surveillance, cancer metabolism, and immunity. Although SPOP is recognized as a tumor suppressor in prostate and endometrial cancers, it acts like an oncoprotein in RCC. This review provides an overview of the recent progress in understanding of the upstream regulators of SPOP and its downstream targets, highlights the significant impact of SPOP mutations and overexpression on cancer pathogenesis, and discusses the potential of targeting SPOP for cancer treatment.","container-title":"Cancer Research","DOI":"10.1158/0008-5472.CAN-22-2801","ISSN":"0008-5472, 1538-7445","issue":"4","language":"en","page":"489-499","source":"DOI.org (Crossref)","title":"Deregulation of SPOP in Cancer","volume":"83","author":[{"family":"Zhang","given":"Hui"},{"family":"Jin","given":"Xiaofeng"},{"family":"Huang","given":"Haojie"}],"issued":{"date-parts":[["2023",2,15]]}}}],"schema":"https://github.com/citation-style-language/schema/raw/master/csl-citation.json"} </w:instrText>
      </w:r>
      <w:r w:rsidR="00E71B74">
        <w:rPr>
          <w:rFonts w:ascii="Times New Roman" w:hAnsi="Times New Roman" w:cs="Times New Roman"/>
          <w:bCs/>
          <w:sz w:val="24"/>
          <w:szCs w:val="24"/>
          <w:lang w:val="en-US"/>
        </w:rPr>
        <w:fldChar w:fldCharType="separate"/>
      </w:r>
      <w:r w:rsidR="00167D83" w:rsidRPr="00167D83">
        <w:rPr>
          <w:rFonts w:ascii="Times New Roman" w:hAnsi="Times New Roman" w:cs="Times New Roman"/>
          <w:sz w:val="24"/>
        </w:rPr>
        <w:t>(Eryilmaz et al., 2024; Zhang, Jin &amp; Huang, 2023b)</w:t>
      </w:r>
      <w:r w:rsidR="00E71B74">
        <w:rPr>
          <w:rFonts w:ascii="Times New Roman" w:hAnsi="Times New Roman" w:cs="Times New Roman"/>
          <w:bCs/>
          <w:sz w:val="24"/>
          <w:szCs w:val="24"/>
          <w:lang w:val="en-US"/>
        </w:rPr>
        <w:fldChar w:fldCharType="end"/>
      </w:r>
      <w:r w:rsidR="00E71B74" w:rsidRPr="00E71B74">
        <w:rPr>
          <w:rFonts w:ascii="Times New Roman" w:hAnsi="Times New Roman" w:cs="Times New Roman"/>
          <w:bCs/>
          <w:sz w:val="24"/>
          <w:szCs w:val="24"/>
          <w:lang w:val="en-US"/>
        </w:rPr>
        <w:t xml:space="preserve">. SPOP mediates the </w:t>
      </w:r>
      <w:proofErr w:type="spellStart"/>
      <w:r w:rsidR="00E71B74" w:rsidRPr="00E71B74">
        <w:rPr>
          <w:rFonts w:ascii="Times New Roman" w:hAnsi="Times New Roman" w:cs="Times New Roman"/>
          <w:bCs/>
          <w:sz w:val="24"/>
          <w:szCs w:val="24"/>
          <w:lang w:val="en-US"/>
        </w:rPr>
        <w:t>polyubiquitination</w:t>
      </w:r>
      <w:proofErr w:type="spellEnd"/>
      <w:r w:rsidR="00E71B74" w:rsidRPr="00E71B74">
        <w:rPr>
          <w:rFonts w:ascii="Times New Roman" w:hAnsi="Times New Roman" w:cs="Times New Roman"/>
          <w:bCs/>
          <w:sz w:val="24"/>
          <w:szCs w:val="24"/>
          <w:lang w:val="en-US"/>
        </w:rPr>
        <w:t xml:space="preserve"> of various substrates, including AR and SRC-3, impacting cancer-relevant pathway</w:t>
      </w:r>
      <w:r w:rsidR="00E71B74">
        <w:rPr>
          <w:rFonts w:ascii="Times New Roman" w:hAnsi="Times New Roman" w:cs="Times New Roman"/>
          <w:bCs/>
          <w:sz w:val="24"/>
          <w:szCs w:val="24"/>
          <w:lang w:val="en-US"/>
        </w:rPr>
        <w:t xml:space="preserve">s like androgen/AR signaling </w:t>
      </w:r>
      <w:r w:rsidR="00E71B74">
        <w:rPr>
          <w:rFonts w:ascii="Times New Roman" w:hAnsi="Times New Roman" w:cs="Times New Roman"/>
          <w:bCs/>
          <w:sz w:val="24"/>
          <w:szCs w:val="24"/>
          <w:lang w:val="en-US"/>
        </w:rPr>
        <w:fldChar w:fldCharType="begin"/>
      </w:r>
      <w:r w:rsidR="00E71B74">
        <w:rPr>
          <w:rFonts w:ascii="Times New Roman" w:hAnsi="Times New Roman" w:cs="Times New Roman"/>
          <w:bCs/>
          <w:sz w:val="24"/>
          <w:szCs w:val="24"/>
          <w:lang w:val="en-US"/>
        </w:rPr>
        <w:instrText xml:space="preserve"> ADDIN ZOTERO_ITEM CSL_CITATION {"citationID":"aqQYSZqI","properties":{"formattedCitation":"(Zhang, Jin &amp; Huang, 2023b)","plainCitation":"(Zhang, Jin &amp; Huang, 2023b)","noteIndex":0},"citationItems":[{"id":433,"uris":["http://zotero.org/users/11300200/items/K62GDFFX"],"itemData":{"id":433,"type":"article-journal","abstract":"Abstract\n            Speckle-type POZ protein (SPOP) is a substrate-binding adaptor of the CULLIN3/RING-box1 E3 ubiquitin ligase complex. SPOP is frequently mutated in prostate and endometrial cancers, whereas it is overexpressed in renal cell carcinoma (RCC). SPOP can mediate both degradable and nondegradable polyubiquitination of a number of substrates with diverse biological functions such as androgen receptor (AR), SRC-3, TRIM24, BRD4, PD-L1, 53BP1, GLP/G9a, c-Myc, SENP7, among others. Cancer-associated SPOP mutants often impair SPOP binding and polyubiquitination of its substrates to influence various cancer-relevant pathways, which include androgen/AR signaling, DNA repair and methylation, cellular stress surveillance, cancer metabolism, and immunity. Although SPOP is recognized as a tumor suppressor in prostate and endometrial cancers, it acts like an oncoprotein in RCC. This review provides an overview of the recent progress in understanding of the upstream regulators of SPOP and its downstream targets, highlights the significant impact of SPOP mutations and overexpression on cancer pathogenesis, and discusses the potential of targeting SPOP for cancer treatment.","container-title":"Cancer Research","DOI":"10.1158/0008-5472.CAN-22-2801","ISSN":"0008-5472, 1538-7445","issue":"4","language":"en","page":"489-499","source":"DOI.org (Crossref)","title":"Deregulation of SPOP in Cancer","volume":"83","author":[{"family":"Zhang","given":"Hui"},{"family":"Jin","given":"Xiaofeng"},{"family":"Huang","given":"Haojie"}],"issued":{"date-parts":[["2023",2,15]]}}}],"schema":"https://github.com/citation-style-language/schema/raw/master/csl-citation.json"} </w:instrText>
      </w:r>
      <w:r w:rsidR="00E71B74">
        <w:rPr>
          <w:rFonts w:ascii="Times New Roman" w:hAnsi="Times New Roman" w:cs="Times New Roman"/>
          <w:bCs/>
          <w:sz w:val="24"/>
          <w:szCs w:val="24"/>
          <w:lang w:val="en-US"/>
        </w:rPr>
        <w:fldChar w:fldCharType="separate"/>
      </w:r>
      <w:r w:rsidR="00167D83" w:rsidRPr="00167D83">
        <w:rPr>
          <w:rFonts w:ascii="Times New Roman" w:hAnsi="Times New Roman" w:cs="Times New Roman"/>
          <w:sz w:val="24"/>
        </w:rPr>
        <w:t>(Zhang, Jin &amp; Huang, 2023b)</w:t>
      </w:r>
      <w:r w:rsidR="00E71B74">
        <w:rPr>
          <w:rFonts w:ascii="Times New Roman" w:hAnsi="Times New Roman" w:cs="Times New Roman"/>
          <w:bCs/>
          <w:sz w:val="24"/>
          <w:szCs w:val="24"/>
          <w:lang w:val="en-US"/>
        </w:rPr>
        <w:fldChar w:fldCharType="end"/>
      </w:r>
      <w:r w:rsidR="00E71B74" w:rsidRPr="00E71B74">
        <w:rPr>
          <w:rFonts w:ascii="Times New Roman" w:hAnsi="Times New Roman" w:cs="Times New Roman"/>
          <w:bCs/>
          <w:sz w:val="24"/>
          <w:szCs w:val="24"/>
          <w:lang w:val="en-US"/>
        </w:rPr>
        <w:t>.</w:t>
      </w:r>
    </w:p>
    <w:p w:rsidR="00A7035C" w:rsidRPr="008143D7" w:rsidRDefault="00A7035C" w:rsidP="00A7035C">
      <w:pPr>
        <w:spacing w:line="360" w:lineRule="auto"/>
        <w:jc w:val="both"/>
        <w:rPr>
          <w:bCs/>
          <w:lang w:val="en-US"/>
        </w:rPr>
      </w:pPr>
      <w:r w:rsidRPr="002E7761">
        <w:rPr>
          <w:rFonts w:ascii="Times New Roman" w:hAnsi="Times New Roman" w:cs="Times New Roman"/>
          <w:bCs/>
          <w:sz w:val="24"/>
          <w:szCs w:val="24"/>
          <w:lang w:val="en-US"/>
        </w:rPr>
        <w:t xml:space="preserve">The SPOP gene is situated on chromosome 17, specifically at the long arm of the chromosome, known as 17q21.2 </w:t>
      </w:r>
      <w:r w:rsidRPr="007A0FF0">
        <w:rPr>
          <w:bCs/>
          <w:lang w:val="en-US"/>
        </w:rPr>
        <w:t>(Yang &amp; Zhu, 2022)</w:t>
      </w:r>
      <w:r w:rsidRPr="002E7761">
        <w:rPr>
          <w:rFonts w:ascii="Times New Roman" w:hAnsi="Times New Roman" w:cs="Times New Roman"/>
          <w:bCs/>
          <w:sz w:val="24"/>
          <w:szCs w:val="24"/>
          <w:lang w:val="en-US"/>
        </w:rPr>
        <w:t>. This genomic location is important because alterations or mutations in this gene can have significant consequences for cellular function. The SPOP gene consists of multiple exons and introns. Exons are the coding regions of the gene that are transcribed into messenger RNA (mRNA) and eventually translated into the SPOP protein. Introns are non-coding regions that are removed during mRNA processing. The gene structure includes several exons that are transcribed into messenger RNA (mRNA) and subsequently translated into the SPOP protein. The precise organization of exons and introns may vary among species, but in humans, the SPOP gene generally consists of 8 exons. Here is a brief overview of the exons in the SPOP gene:</w:t>
      </w:r>
    </w:p>
    <w:p w:rsidR="00A7035C" w:rsidRPr="00FD5C82" w:rsidRDefault="00A7035C" w:rsidP="00A7035C">
      <w:pPr>
        <w:adjustRightInd w:val="0"/>
        <w:snapToGrid w:val="0"/>
        <w:spacing w:before="240" w:after="120" w:line="228" w:lineRule="auto"/>
        <w:jc w:val="both"/>
        <w:rPr>
          <w:rFonts w:eastAsia="Times New Roman" w:cs="Times New Roman"/>
          <w:color w:val="000000"/>
          <w:szCs w:val="24"/>
          <w:lang w:eastAsia="de-DE" w:bidi="en-US"/>
        </w:rPr>
      </w:pPr>
      <w:r>
        <w:rPr>
          <w:rFonts w:eastAsia="Times New Roman" w:cs="Times New Roman"/>
          <w:b/>
          <w:color w:val="000000"/>
          <w:szCs w:val="24"/>
          <w:lang w:eastAsia="de-DE" w:bidi="en-US"/>
        </w:rPr>
        <w:t>Table 2</w:t>
      </w:r>
      <w:r w:rsidRPr="00FD5C82">
        <w:rPr>
          <w:rFonts w:eastAsia="Times New Roman" w:cs="Times New Roman"/>
          <w:b/>
          <w:color w:val="000000"/>
          <w:szCs w:val="24"/>
          <w:lang w:eastAsia="de-DE" w:bidi="en-US"/>
        </w:rPr>
        <w:t>.</w:t>
      </w:r>
      <w:r w:rsidRPr="00FD5C82">
        <w:rPr>
          <w:rFonts w:eastAsia="Times New Roman" w:cs="Times New Roman"/>
          <w:color w:val="000000"/>
          <w:szCs w:val="24"/>
          <w:lang w:eastAsia="de-DE" w:bidi="en-US"/>
        </w:rPr>
        <w:t xml:space="preserve"> Coding exons of SPOP gene.</w:t>
      </w:r>
    </w:p>
    <w:tbl>
      <w:tblPr>
        <w:tblW w:w="9754" w:type="dxa"/>
        <w:tblBorders>
          <w:top w:val="single" w:sz="12"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7911"/>
      </w:tblGrid>
      <w:tr w:rsidR="00A7035C" w:rsidRPr="00FD5C82" w:rsidTr="00BA4559">
        <w:trPr>
          <w:trHeight w:val="260"/>
        </w:trPr>
        <w:tc>
          <w:tcPr>
            <w:tcW w:w="1843" w:type="dxa"/>
            <w:tcBorders>
              <w:top w:val="single" w:sz="12" w:space="0" w:color="auto"/>
              <w:bottom w:val="single" w:sz="12" w:space="0" w:color="auto"/>
            </w:tcBorders>
            <w:shd w:val="clear" w:color="auto" w:fill="auto"/>
            <w:vAlign w:val="center"/>
          </w:tcPr>
          <w:p w:rsidR="00A7035C" w:rsidRPr="00FD5C82" w:rsidRDefault="00A7035C" w:rsidP="00A7035C">
            <w:pPr>
              <w:adjustRightInd w:val="0"/>
              <w:snapToGrid w:val="0"/>
              <w:spacing w:after="0"/>
              <w:jc w:val="center"/>
              <w:rPr>
                <w:rFonts w:eastAsia="Times New Roman" w:cs="Times New Roman"/>
                <w:b/>
                <w:color w:val="000000"/>
                <w:szCs w:val="24"/>
                <w:lang w:eastAsia="de-DE" w:bidi="en-US"/>
              </w:rPr>
            </w:pPr>
            <w:r w:rsidRPr="00FD5C82">
              <w:rPr>
                <w:rFonts w:eastAsia="Times New Roman" w:cs="Times New Roman"/>
                <w:b/>
                <w:color w:val="000000"/>
                <w:szCs w:val="24"/>
                <w:lang w:eastAsia="de-DE" w:bidi="en-US"/>
              </w:rPr>
              <w:t>Exon</w:t>
            </w:r>
          </w:p>
        </w:tc>
        <w:tc>
          <w:tcPr>
            <w:tcW w:w="7911" w:type="dxa"/>
            <w:tcBorders>
              <w:top w:val="single" w:sz="12" w:space="0" w:color="auto"/>
              <w:bottom w:val="single" w:sz="12" w:space="0" w:color="auto"/>
            </w:tcBorders>
            <w:shd w:val="clear" w:color="auto" w:fill="auto"/>
            <w:vAlign w:val="center"/>
          </w:tcPr>
          <w:p w:rsidR="00A7035C" w:rsidRPr="00FD5C82" w:rsidRDefault="00A7035C" w:rsidP="00A7035C">
            <w:pPr>
              <w:adjustRightInd w:val="0"/>
              <w:snapToGrid w:val="0"/>
              <w:spacing w:after="0"/>
              <w:jc w:val="center"/>
              <w:rPr>
                <w:rFonts w:eastAsia="Times New Roman" w:cs="Times New Roman"/>
                <w:b/>
                <w:color w:val="000000"/>
                <w:szCs w:val="24"/>
                <w:lang w:eastAsia="de-DE" w:bidi="en-US"/>
              </w:rPr>
            </w:pPr>
            <w:r w:rsidRPr="00FD5C82">
              <w:rPr>
                <w:rFonts w:eastAsia="Times New Roman" w:cs="Times New Roman"/>
                <w:b/>
                <w:color w:val="000000"/>
                <w:szCs w:val="24"/>
                <w:lang w:eastAsia="de-DE" w:bidi="en-US"/>
              </w:rPr>
              <w:t>Function</w:t>
            </w:r>
          </w:p>
        </w:tc>
      </w:tr>
      <w:tr w:rsidR="00A7035C" w:rsidRPr="00FD5C82" w:rsidTr="00BA4559">
        <w:trPr>
          <w:trHeight w:val="260"/>
        </w:trPr>
        <w:tc>
          <w:tcPr>
            <w:tcW w:w="1843" w:type="dxa"/>
            <w:tcBorders>
              <w:top w:val="single" w:sz="12" w:space="0" w:color="auto"/>
            </w:tcBorders>
            <w:shd w:val="clear" w:color="auto" w:fill="auto"/>
            <w:vAlign w:val="center"/>
          </w:tcPr>
          <w:p w:rsidR="00A7035C" w:rsidRPr="00FD5C82" w:rsidRDefault="00A7035C" w:rsidP="00A7035C">
            <w:pPr>
              <w:adjustRightInd w:val="0"/>
              <w:snapToGrid w:val="0"/>
              <w:spacing w:after="0"/>
              <w:jc w:val="center"/>
              <w:rPr>
                <w:rFonts w:eastAsia="Times New Roman" w:cs="Times New Roman"/>
                <w:snapToGrid w:val="0"/>
                <w:color w:val="000000"/>
                <w:szCs w:val="24"/>
                <w:lang w:eastAsia="de-DE" w:bidi="en-US"/>
              </w:rPr>
            </w:pPr>
            <w:r w:rsidRPr="00FD5C82">
              <w:rPr>
                <w:rFonts w:eastAsia="Times New Roman" w:cs="Times New Roman"/>
                <w:snapToGrid w:val="0"/>
                <w:color w:val="000000"/>
                <w:szCs w:val="24"/>
                <w:lang w:eastAsia="de-DE" w:bidi="en-US"/>
              </w:rPr>
              <w:t>1</w:t>
            </w:r>
          </w:p>
        </w:tc>
        <w:tc>
          <w:tcPr>
            <w:tcW w:w="7911" w:type="dxa"/>
            <w:tcBorders>
              <w:top w:val="single" w:sz="12" w:space="0" w:color="auto"/>
            </w:tcBorders>
            <w:shd w:val="clear" w:color="auto" w:fill="auto"/>
            <w:vAlign w:val="center"/>
          </w:tcPr>
          <w:p w:rsidR="00A7035C" w:rsidRPr="00FD5C82" w:rsidRDefault="00A7035C" w:rsidP="00A7035C">
            <w:pPr>
              <w:adjustRightInd w:val="0"/>
              <w:snapToGrid w:val="0"/>
              <w:jc w:val="center"/>
              <w:rPr>
                <w:rFonts w:eastAsia="Times New Roman" w:cs="Times New Roman"/>
                <w:snapToGrid w:val="0"/>
                <w:color w:val="000000"/>
                <w:szCs w:val="24"/>
                <w:lang w:eastAsia="de-DE" w:bidi="en-US"/>
              </w:rPr>
            </w:pPr>
            <w:r w:rsidRPr="00FD5C82">
              <w:rPr>
                <w:rFonts w:eastAsia="Calibri" w:cs="Times New Roman"/>
                <w:bCs/>
                <w:szCs w:val="24"/>
              </w:rPr>
              <w:t>The first exon is non-coding and often contains regulatory elements that control gene expression and transcription.</w:t>
            </w:r>
          </w:p>
        </w:tc>
      </w:tr>
      <w:tr w:rsidR="00A7035C" w:rsidRPr="00FD5C82" w:rsidTr="00BA4559">
        <w:trPr>
          <w:trHeight w:val="260"/>
        </w:trPr>
        <w:tc>
          <w:tcPr>
            <w:tcW w:w="1843" w:type="dxa"/>
            <w:shd w:val="clear" w:color="auto" w:fill="auto"/>
            <w:vAlign w:val="center"/>
          </w:tcPr>
          <w:p w:rsidR="00A7035C" w:rsidRPr="00FD5C82" w:rsidRDefault="00A7035C" w:rsidP="00A7035C">
            <w:pPr>
              <w:adjustRightInd w:val="0"/>
              <w:snapToGrid w:val="0"/>
              <w:spacing w:after="0"/>
              <w:jc w:val="center"/>
              <w:rPr>
                <w:rFonts w:eastAsia="Times New Roman" w:cs="Times New Roman"/>
                <w:snapToGrid w:val="0"/>
                <w:color w:val="000000"/>
                <w:szCs w:val="24"/>
                <w:lang w:eastAsia="de-DE" w:bidi="en-US"/>
              </w:rPr>
            </w:pPr>
            <w:r w:rsidRPr="00FD5C82">
              <w:rPr>
                <w:rFonts w:eastAsia="Times New Roman" w:cs="Times New Roman"/>
                <w:snapToGrid w:val="0"/>
                <w:color w:val="000000"/>
                <w:szCs w:val="24"/>
                <w:lang w:eastAsia="de-DE" w:bidi="en-US"/>
              </w:rPr>
              <w:t>2</w:t>
            </w:r>
          </w:p>
        </w:tc>
        <w:tc>
          <w:tcPr>
            <w:tcW w:w="7911" w:type="dxa"/>
            <w:shd w:val="clear" w:color="auto" w:fill="auto"/>
            <w:vAlign w:val="center"/>
          </w:tcPr>
          <w:p w:rsidR="00A7035C" w:rsidRPr="00FD5C82" w:rsidRDefault="00A7035C" w:rsidP="00A7035C">
            <w:pPr>
              <w:adjustRightInd w:val="0"/>
              <w:snapToGrid w:val="0"/>
              <w:jc w:val="center"/>
              <w:rPr>
                <w:rFonts w:eastAsia="Times New Roman" w:cs="Times New Roman"/>
                <w:snapToGrid w:val="0"/>
                <w:color w:val="000000"/>
                <w:szCs w:val="24"/>
                <w:lang w:eastAsia="de-DE" w:bidi="en-US"/>
              </w:rPr>
            </w:pPr>
            <w:r w:rsidRPr="00FD5C82">
              <w:rPr>
                <w:rFonts w:eastAsia="Calibri" w:cs="Times New Roman"/>
                <w:bCs/>
                <w:szCs w:val="24"/>
              </w:rPr>
              <w:t>This exon encodes the N-terminal region of the SPOP protein, including a substrate-binding cleft and a BTB domain, which is involved in protein-protein interactions.</w:t>
            </w:r>
          </w:p>
        </w:tc>
      </w:tr>
      <w:tr w:rsidR="00A7035C" w:rsidRPr="00FD5C82" w:rsidTr="00BA4559">
        <w:trPr>
          <w:trHeight w:val="260"/>
        </w:trPr>
        <w:tc>
          <w:tcPr>
            <w:tcW w:w="1843" w:type="dxa"/>
            <w:shd w:val="clear" w:color="auto" w:fill="auto"/>
            <w:vAlign w:val="center"/>
          </w:tcPr>
          <w:p w:rsidR="00A7035C" w:rsidRPr="00FD5C82" w:rsidRDefault="00A7035C" w:rsidP="00A7035C">
            <w:pPr>
              <w:adjustRightInd w:val="0"/>
              <w:snapToGrid w:val="0"/>
              <w:spacing w:after="0"/>
              <w:jc w:val="center"/>
              <w:rPr>
                <w:rFonts w:eastAsia="Times New Roman" w:cs="Times New Roman"/>
                <w:snapToGrid w:val="0"/>
                <w:color w:val="000000"/>
                <w:szCs w:val="24"/>
                <w:lang w:eastAsia="de-DE" w:bidi="en-US"/>
              </w:rPr>
            </w:pPr>
            <w:r w:rsidRPr="00FD5C82">
              <w:rPr>
                <w:rFonts w:eastAsia="Times New Roman" w:cs="Times New Roman"/>
                <w:snapToGrid w:val="0"/>
                <w:color w:val="000000"/>
                <w:szCs w:val="24"/>
                <w:lang w:eastAsia="de-DE" w:bidi="en-US"/>
              </w:rPr>
              <w:t>3</w:t>
            </w:r>
          </w:p>
        </w:tc>
        <w:tc>
          <w:tcPr>
            <w:tcW w:w="7911" w:type="dxa"/>
            <w:shd w:val="clear" w:color="auto" w:fill="auto"/>
            <w:vAlign w:val="center"/>
          </w:tcPr>
          <w:p w:rsidR="00A7035C" w:rsidRPr="00FD5C82" w:rsidRDefault="00A7035C" w:rsidP="00A7035C">
            <w:pPr>
              <w:adjustRightInd w:val="0"/>
              <w:snapToGrid w:val="0"/>
              <w:jc w:val="center"/>
              <w:rPr>
                <w:rFonts w:eastAsia="Calibri" w:cs="Times New Roman"/>
                <w:bCs/>
                <w:szCs w:val="24"/>
              </w:rPr>
            </w:pPr>
            <w:r w:rsidRPr="00FD5C82">
              <w:rPr>
                <w:rFonts w:eastAsia="Calibri" w:cs="Times New Roman"/>
                <w:bCs/>
                <w:szCs w:val="24"/>
              </w:rPr>
              <w:t>Encodes additional portions of the N-terminal region of the SPOP protein.</w:t>
            </w:r>
          </w:p>
        </w:tc>
      </w:tr>
      <w:tr w:rsidR="00A7035C" w:rsidRPr="00FD5C82" w:rsidTr="00BA4559">
        <w:trPr>
          <w:trHeight w:val="260"/>
        </w:trPr>
        <w:tc>
          <w:tcPr>
            <w:tcW w:w="1843" w:type="dxa"/>
            <w:shd w:val="clear" w:color="auto" w:fill="auto"/>
            <w:vAlign w:val="center"/>
          </w:tcPr>
          <w:p w:rsidR="00A7035C" w:rsidRPr="00FD5C82" w:rsidRDefault="00A7035C" w:rsidP="00A7035C">
            <w:pPr>
              <w:adjustRightInd w:val="0"/>
              <w:snapToGrid w:val="0"/>
              <w:spacing w:after="0"/>
              <w:jc w:val="center"/>
              <w:rPr>
                <w:rFonts w:eastAsia="Times New Roman" w:cs="Times New Roman"/>
                <w:snapToGrid w:val="0"/>
                <w:color w:val="000000"/>
                <w:szCs w:val="24"/>
                <w:lang w:eastAsia="de-DE" w:bidi="en-US"/>
              </w:rPr>
            </w:pPr>
            <w:r w:rsidRPr="00FD5C82">
              <w:rPr>
                <w:rFonts w:eastAsia="Times New Roman" w:cs="Times New Roman"/>
                <w:snapToGrid w:val="0"/>
                <w:color w:val="000000"/>
                <w:szCs w:val="24"/>
                <w:lang w:eastAsia="de-DE" w:bidi="en-US"/>
              </w:rPr>
              <w:t>4</w:t>
            </w:r>
          </w:p>
        </w:tc>
        <w:tc>
          <w:tcPr>
            <w:tcW w:w="7911" w:type="dxa"/>
            <w:shd w:val="clear" w:color="auto" w:fill="auto"/>
            <w:vAlign w:val="center"/>
          </w:tcPr>
          <w:p w:rsidR="00A7035C" w:rsidRPr="00FD5C82" w:rsidRDefault="00A7035C" w:rsidP="00A7035C">
            <w:pPr>
              <w:adjustRightInd w:val="0"/>
              <w:snapToGrid w:val="0"/>
              <w:jc w:val="center"/>
              <w:rPr>
                <w:rFonts w:eastAsia="Calibri" w:cs="Times New Roman"/>
                <w:bCs/>
                <w:szCs w:val="24"/>
              </w:rPr>
            </w:pPr>
            <w:r w:rsidRPr="00FD5C82">
              <w:rPr>
                <w:rFonts w:eastAsia="Calibri" w:cs="Times New Roman"/>
                <w:bCs/>
                <w:szCs w:val="24"/>
              </w:rPr>
              <w:t>Contains sequences coding for the middle region of the SPOP protein.</w:t>
            </w:r>
          </w:p>
        </w:tc>
      </w:tr>
      <w:tr w:rsidR="00A7035C" w:rsidRPr="00FD5C82" w:rsidTr="00BA4559">
        <w:trPr>
          <w:trHeight w:val="260"/>
        </w:trPr>
        <w:tc>
          <w:tcPr>
            <w:tcW w:w="1843" w:type="dxa"/>
            <w:shd w:val="clear" w:color="auto" w:fill="auto"/>
            <w:vAlign w:val="center"/>
          </w:tcPr>
          <w:p w:rsidR="00A7035C" w:rsidRPr="00FD5C82" w:rsidRDefault="00A7035C" w:rsidP="00A7035C">
            <w:pPr>
              <w:adjustRightInd w:val="0"/>
              <w:snapToGrid w:val="0"/>
              <w:spacing w:after="0"/>
              <w:jc w:val="center"/>
              <w:rPr>
                <w:rFonts w:eastAsia="Times New Roman" w:cs="Times New Roman"/>
                <w:snapToGrid w:val="0"/>
                <w:color w:val="000000"/>
                <w:szCs w:val="24"/>
                <w:lang w:eastAsia="de-DE" w:bidi="en-US"/>
              </w:rPr>
            </w:pPr>
            <w:r w:rsidRPr="00FD5C82">
              <w:rPr>
                <w:rFonts w:eastAsia="Times New Roman" w:cs="Times New Roman"/>
                <w:snapToGrid w:val="0"/>
                <w:color w:val="000000"/>
                <w:szCs w:val="24"/>
                <w:lang w:eastAsia="de-DE" w:bidi="en-US"/>
              </w:rPr>
              <w:t>5</w:t>
            </w:r>
          </w:p>
        </w:tc>
        <w:tc>
          <w:tcPr>
            <w:tcW w:w="7911" w:type="dxa"/>
            <w:shd w:val="clear" w:color="auto" w:fill="auto"/>
            <w:vAlign w:val="center"/>
          </w:tcPr>
          <w:p w:rsidR="00A7035C" w:rsidRPr="00FD5C82" w:rsidRDefault="00A7035C" w:rsidP="00A7035C">
            <w:pPr>
              <w:adjustRightInd w:val="0"/>
              <w:snapToGrid w:val="0"/>
              <w:jc w:val="center"/>
              <w:rPr>
                <w:rFonts w:eastAsia="Calibri" w:cs="Times New Roman"/>
                <w:bCs/>
                <w:szCs w:val="24"/>
              </w:rPr>
            </w:pPr>
            <w:r w:rsidRPr="00FD5C82">
              <w:rPr>
                <w:rFonts w:eastAsia="Calibri" w:cs="Times New Roman"/>
                <w:bCs/>
                <w:szCs w:val="24"/>
              </w:rPr>
              <w:t>Encodes the central portion of the protein, including the MATH domain, which is involved in substrate binding.</w:t>
            </w:r>
          </w:p>
        </w:tc>
      </w:tr>
      <w:tr w:rsidR="00A7035C" w:rsidRPr="00FD5C82" w:rsidTr="00BA4559">
        <w:trPr>
          <w:trHeight w:val="260"/>
        </w:trPr>
        <w:tc>
          <w:tcPr>
            <w:tcW w:w="1843" w:type="dxa"/>
            <w:shd w:val="clear" w:color="auto" w:fill="auto"/>
            <w:vAlign w:val="center"/>
          </w:tcPr>
          <w:p w:rsidR="00A7035C" w:rsidRPr="00FD5C82" w:rsidRDefault="00A7035C" w:rsidP="00A7035C">
            <w:pPr>
              <w:adjustRightInd w:val="0"/>
              <w:snapToGrid w:val="0"/>
              <w:spacing w:after="0"/>
              <w:jc w:val="center"/>
              <w:rPr>
                <w:rFonts w:eastAsia="Times New Roman" w:cs="Times New Roman"/>
                <w:snapToGrid w:val="0"/>
                <w:color w:val="000000"/>
                <w:szCs w:val="24"/>
                <w:lang w:eastAsia="de-DE" w:bidi="en-US"/>
              </w:rPr>
            </w:pPr>
            <w:r w:rsidRPr="00FD5C82">
              <w:rPr>
                <w:rFonts w:eastAsia="Times New Roman" w:cs="Times New Roman"/>
                <w:snapToGrid w:val="0"/>
                <w:color w:val="000000"/>
                <w:szCs w:val="24"/>
                <w:lang w:eastAsia="de-DE" w:bidi="en-US"/>
              </w:rPr>
              <w:lastRenderedPageBreak/>
              <w:t>6</w:t>
            </w:r>
          </w:p>
        </w:tc>
        <w:tc>
          <w:tcPr>
            <w:tcW w:w="7911" w:type="dxa"/>
            <w:shd w:val="clear" w:color="auto" w:fill="auto"/>
            <w:vAlign w:val="center"/>
          </w:tcPr>
          <w:p w:rsidR="00A7035C" w:rsidRPr="00FD5C82" w:rsidRDefault="00A7035C" w:rsidP="00A7035C">
            <w:pPr>
              <w:spacing w:line="256" w:lineRule="auto"/>
              <w:ind w:left="720"/>
              <w:jc w:val="center"/>
              <w:rPr>
                <w:rFonts w:eastAsia="Calibri" w:cs="Times New Roman"/>
                <w:bCs/>
                <w:szCs w:val="24"/>
              </w:rPr>
            </w:pPr>
            <w:r w:rsidRPr="00FD5C82">
              <w:rPr>
                <w:rFonts w:eastAsia="Calibri" w:cs="Times New Roman"/>
                <w:bCs/>
                <w:szCs w:val="24"/>
              </w:rPr>
              <w:t>Encodes more of the central region of the SPOP protein.</w:t>
            </w:r>
          </w:p>
        </w:tc>
      </w:tr>
      <w:tr w:rsidR="00A7035C" w:rsidRPr="00FD5C82" w:rsidTr="00BA4559">
        <w:trPr>
          <w:trHeight w:val="260"/>
        </w:trPr>
        <w:tc>
          <w:tcPr>
            <w:tcW w:w="1843" w:type="dxa"/>
            <w:shd w:val="clear" w:color="auto" w:fill="auto"/>
            <w:vAlign w:val="center"/>
          </w:tcPr>
          <w:p w:rsidR="00A7035C" w:rsidRPr="00FD5C82" w:rsidRDefault="00A7035C" w:rsidP="00A7035C">
            <w:pPr>
              <w:adjustRightInd w:val="0"/>
              <w:snapToGrid w:val="0"/>
              <w:spacing w:after="0"/>
              <w:jc w:val="center"/>
              <w:rPr>
                <w:rFonts w:eastAsia="Times New Roman" w:cs="Times New Roman"/>
                <w:snapToGrid w:val="0"/>
                <w:color w:val="000000"/>
                <w:szCs w:val="24"/>
                <w:lang w:eastAsia="de-DE" w:bidi="en-US"/>
              </w:rPr>
            </w:pPr>
            <w:r w:rsidRPr="00FD5C82">
              <w:rPr>
                <w:rFonts w:eastAsia="Times New Roman" w:cs="Times New Roman"/>
                <w:snapToGrid w:val="0"/>
                <w:color w:val="000000"/>
                <w:szCs w:val="24"/>
                <w:lang w:eastAsia="de-DE" w:bidi="en-US"/>
              </w:rPr>
              <w:t>7</w:t>
            </w:r>
          </w:p>
        </w:tc>
        <w:tc>
          <w:tcPr>
            <w:tcW w:w="7911" w:type="dxa"/>
            <w:shd w:val="clear" w:color="auto" w:fill="auto"/>
            <w:vAlign w:val="center"/>
          </w:tcPr>
          <w:p w:rsidR="00A7035C" w:rsidRPr="00FD5C82" w:rsidRDefault="00A7035C" w:rsidP="00A7035C">
            <w:pPr>
              <w:adjustRightInd w:val="0"/>
              <w:snapToGrid w:val="0"/>
              <w:jc w:val="center"/>
              <w:rPr>
                <w:rFonts w:eastAsia="Calibri" w:cs="Times New Roman"/>
                <w:bCs/>
                <w:szCs w:val="24"/>
              </w:rPr>
            </w:pPr>
            <w:r w:rsidRPr="00FD5C82">
              <w:rPr>
                <w:rFonts w:eastAsia="Calibri" w:cs="Times New Roman"/>
                <w:bCs/>
                <w:szCs w:val="24"/>
              </w:rPr>
              <w:t>Contains sequences coding for the C-terminal region of the SPOP protein.</w:t>
            </w:r>
          </w:p>
        </w:tc>
      </w:tr>
      <w:tr w:rsidR="00A7035C" w:rsidRPr="00FD5C82" w:rsidTr="00BA4559">
        <w:trPr>
          <w:trHeight w:val="260"/>
        </w:trPr>
        <w:tc>
          <w:tcPr>
            <w:tcW w:w="1843" w:type="dxa"/>
            <w:shd w:val="clear" w:color="auto" w:fill="auto"/>
            <w:vAlign w:val="center"/>
          </w:tcPr>
          <w:p w:rsidR="00A7035C" w:rsidRPr="00FD5C82" w:rsidRDefault="00A7035C" w:rsidP="00A7035C">
            <w:pPr>
              <w:adjustRightInd w:val="0"/>
              <w:snapToGrid w:val="0"/>
              <w:spacing w:after="0"/>
              <w:jc w:val="center"/>
              <w:rPr>
                <w:rFonts w:eastAsia="Times New Roman" w:cs="Times New Roman"/>
                <w:snapToGrid w:val="0"/>
                <w:color w:val="000000"/>
                <w:szCs w:val="24"/>
                <w:lang w:eastAsia="de-DE" w:bidi="en-US"/>
              </w:rPr>
            </w:pPr>
            <w:r w:rsidRPr="00FD5C82">
              <w:rPr>
                <w:rFonts w:eastAsia="Times New Roman" w:cs="Times New Roman"/>
                <w:snapToGrid w:val="0"/>
                <w:color w:val="000000"/>
                <w:szCs w:val="24"/>
                <w:lang w:eastAsia="de-DE" w:bidi="en-US"/>
              </w:rPr>
              <w:t>8</w:t>
            </w:r>
          </w:p>
        </w:tc>
        <w:tc>
          <w:tcPr>
            <w:tcW w:w="7911" w:type="dxa"/>
            <w:shd w:val="clear" w:color="auto" w:fill="auto"/>
            <w:vAlign w:val="center"/>
          </w:tcPr>
          <w:p w:rsidR="00A7035C" w:rsidRPr="00FD5C82" w:rsidRDefault="00A7035C" w:rsidP="00A7035C">
            <w:pPr>
              <w:spacing w:after="0" w:line="256" w:lineRule="auto"/>
              <w:ind w:left="720"/>
              <w:jc w:val="center"/>
              <w:rPr>
                <w:rFonts w:eastAsia="Calibri" w:cs="Times New Roman"/>
                <w:bCs/>
                <w:szCs w:val="24"/>
              </w:rPr>
            </w:pPr>
            <w:r w:rsidRPr="00FD5C82">
              <w:rPr>
                <w:rFonts w:eastAsia="Calibri" w:cs="Times New Roman"/>
                <w:bCs/>
                <w:szCs w:val="24"/>
              </w:rPr>
              <w:t>The last exon encodes the final part of the C-terminal region of the SPOP protein.</w:t>
            </w:r>
          </w:p>
        </w:tc>
      </w:tr>
    </w:tbl>
    <w:p w:rsidR="00A7035C" w:rsidRPr="00FD5C82" w:rsidRDefault="00A7035C" w:rsidP="00A7035C">
      <w:pPr>
        <w:adjustRightInd w:val="0"/>
        <w:snapToGrid w:val="0"/>
        <w:spacing w:after="0" w:line="228" w:lineRule="auto"/>
        <w:jc w:val="both"/>
        <w:rPr>
          <w:rFonts w:ascii="Palatino Linotype" w:eastAsia="Times New Roman" w:hAnsi="Palatino Linotype" w:cs="Cordia New"/>
          <w:color w:val="000000"/>
          <w:sz w:val="18"/>
          <w:lang w:eastAsia="de-DE" w:bidi="en-US"/>
        </w:rPr>
      </w:pPr>
    </w:p>
    <w:p w:rsidR="00A7035C" w:rsidRPr="002E7761" w:rsidRDefault="00A7035C" w:rsidP="00A7035C">
      <w:pPr>
        <w:spacing w:line="360" w:lineRule="auto"/>
        <w:jc w:val="both"/>
        <w:rPr>
          <w:rFonts w:ascii="Times New Roman" w:hAnsi="Times New Roman" w:cs="Times New Roman"/>
          <w:bCs/>
          <w:sz w:val="24"/>
          <w:szCs w:val="24"/>
          <w:lang w:val="en-US"/>
        </w:rPr>
      </w:pPr>
      <w:r w:rsidRPr="002E7761">
        <w:rPr>
          <w:rFonts w:ascii="Times New Roman" w:hAnsi="Times New Roman" w:cs="Times New Roman"/>
          <w:bCs/>
          <w:sz w:val="24"/>
          <w:szCs w:val="24"/>
          <w:lang w:val="en-US"/>
        </w:rPr>
        <w:t xml:space="preserve">The SPOP protein plays a critical role in protein degradation pathways, particularly by acting as a substrate adaptor for the Cullin3-RING E3 ligase complex. This complex targets specific proteins for </w:t>
      </w:r>
      <w:proofErr w:type="spellStart"/>
      <w:r w:rsidRPr="002E7761">
        <w:rPr>
          <w:rFonts w:ascii="Times New Roman" w:hAnsi="Times New Roman" w:cs="Times New Roman"/>
          <w:bCs/>
          <w:sz w:val="24"/>
          <w:szCs w:val="24"/>
          <w:lang w:val="en-US"/>
        </w:rPr>
        <w:t>ubiquitination</w:t>
      </w:r>
      <w:proofErr w:type="spellEnd"/>
      <w:r w:rsidRPr="002E7761">
        <w:rPr>
          <w:rFonts w:ascii="Times New Roman" w:hAnsi="Times New Roman" w:cs="Times New Roman"/>
          <w:bCs/>
          <w:sz w:val="24"/>
          <w:szCs w:val="24"/>
          <w:lang w:val="en-US"/>
        </w:rPr>
        <w:t xml:space="preserve"> and subsequent degradation in proteasomes. SPOP's substrate-binding cleft, encoded by exons 2 and 3, is essential for its recognition of target proteins.  SPOP has a modular structure that plays a pivotal role in cellular functions, particularly in protein homeostasis and degradation </w:t>
      </w:r>
      <w:r w:rsidRPr="002E7761">
        <w:rPr>
          <w:rFonts w:ascii="Times New Roman" w:hAnsi="Times New Roman" w:cs="Times New Roman"/>
          <w:bCs/>
          <w:sz w:val="24"/>
          <w:szCs w:val="24"/>
          <w:lang w:val="en-US"/>
        </w:rPr>
        <w:fldChar w:fldCharType="begin"/>
      </w:r>
      <w:r w:rsidRPr="002E7761">
        <w:rPr>
          <w:rFonts w:ascii="Times New Roman" w:hAnsi="Times New Roman" w:cs="Times New Roman"/>
          <w:bCs/>
          <w:sz w:val="24"/>
          <w:szCs w:val="24"/>
          <w:lang w:val="en-US"/>
        </w:rPr>
        <w:instrText xml:space="preserve"> ADDIN ZOTERO_ITEM CSL_CITATION {"citationID":"NaH97OVU","properties":{"formattedCitation":"(Yang &amp; Zhu, 2022)","plainCitation":"(Yang &amp; Zhu, 2022)","noteIndex":0},"citationItems":[{"id":423,"uris":["http://zotero.org/users/11300200/items/4WC84ELS"],"itemData":{"id":423,"type":"article-journal","abstract":"Speckle-type POZ (pox virus and zinc finger protein) protein (SPOP) is a cullin 3-based E3 ubiquitin ligase adaptor protein that plays a crucial role in ubiquitin-mediated protein degradation. Recently, SPOP has attracted major research attention as it is frequently mutated in a range of cancers, highlighting pleiotropic tumorigenic effects and associations with treatment resistance. Structurally, SPOP contains a functionally critical N-terminal meprin and TRAF homology (MATH) domain for many SPOP substrates. SPOP has two other domains, including the internal Bric-a-brac-Tramtrack/Broad (BTB) domain, which is linked with SPOP dimerization and binding to cullin3, and a C-terminal nuclear localization sequence (NLS). The dysregulation of SPOP-mediated proteolysis is associated with the development and progression of different cancers since abnormalities in SPOP function dysregulate cellular signaling pathways by targeting oncoproteins or tumor suppressors in a tumor-specific manner. SPOP is also involved in genome stability through its role in the DNA damage response and DNA replication. More recently, studies have shown that the expression of SPOP can be modulated in various ways. In this review, we summarize the current understanding of SPOP’s functions in cancer and discuss how to design a rational therapeutic target.","container-title":"Genes","DOI":"10.3390/genes13112051","ISSN":"2073-4425","issue":"11","journalAbbreviation":"Genes","language":"en","page":"2051","source":"DOI.org (Crossref)","title":"SPOP in Cancer: Phenomena, Mechanisms and Its Role in Therapeutic Implications","title-short":"SPOP in Cancer","volume":"13","author":[{"family":"Yang","given":"Xiaojuan"},{"family":"Zhu","given":"Qing"}],"issued":{"date-parts":[["2022",11,7]]}}}],"schema":"https://github.com/citation-style-language/schema/raw/master/csl-citation.json"} </w:instrText>
      </w:r>
      <w:r w:rsidRPr="002E7761">
        <w:rPr>
          <w:rFonts w:ascii="Times New Roman" w:hAnsi="Times New Roman" w:cs="Times New Roman"/>
          <w:bCs/>
          <w:sz w:val="24"/>
          <w:szCs w:val="24"/>
          <w:lang w:val="en-US"/>
        </w:rPr>
        <w:fldChar w:fldCharType="separate"/>
      </w:r>
      <w:r w:rsidRPr="00A316B3">
        <w:rPr>
          <w:rFonts w:ascii="Times New Roman" w:hAnsi="Times New Roman" w:cs="Times New Roman"/>
          <w:sz w:val="24"/>
        </w:rPr>
        <w:t>(Yang &amp; Zhu, 2022)</w:t>
      </w:r>
      <w:r w:rsidRPr="002E7761">
        <w:rPr>
          <w:rFonts w:ascii="Times New Roman" w:hAnsi="Times New Roman" w:cs="Times New Roman"/>
          <w:bCs/>
          <w:sz w:val="24"/>
          <w:szCs w:val="24"/>
          <w:lang w:val="en-US"/>
        </w:rPr>
        <w:fldChar w:fldCharType="end"/>
      </w:r>
      <w:r w:rsidRPr="002E7761">
        <w:rPr>
          <w:rFonts w:ascii="Times New Roman" w:hAnsi="Times New Roman" w:cs="Times New Roman"/>
          <w:bCs/>
          <w:sz w:val="24"/>
          <w:szCs w:val="24"/>
          <w:lang w:val="en-US"/>
        </w:rPr>
        <w:t>. Key features of the SPOP protein include:</w:t>
      </w:r>
    </w:p>
    <w:p w:rsidR="00A7035C" w:rsidRPr="002E7761" w:rsidRDefault="00A7035C" w:rsidP="00A7035C">
      <w:pPr>
        <w:spacing w:line="360" w:lineRule="auto"/>
        <w:jc w:val="both"/>
        <w:rPr>
          <w:rFonts w:ascii="Times New Roman" w:hAnsi="Times New Roman" w:cs="Times New Roman"/>
          <w:bCs/>
          <w:sz w:val="24"/>
          <w:szCs w:val="24"/>
          <w:lang w:val="en-US"/>
        </w:rPr>
      </w:pPr>
    </w:p>
    <w:p w:rsidR="00A7035C" w:rsidRPr="002E7761" w:rsidRDefault="00A7035C" w:rsidP="00A7035C">
      <w:pPr>
        <w:spacing w:line="360" w:lineRule="auto"/>
        <w:jc w:val="both"/>
        <w:rPr>
          <w:rFonts w:ascii="Times New Roman" w:hAnsi="Times New Roman" w:cs="Times New Roman"/>
          <w:bCs/>
          <w:sz w:val="24"/>
          <w:szCs w:val="24"/>
          <w:lang w:val="en-US"/>
        </w:rPr>
      </w:pPr>
      <w:r w:rsidRPr="002E7761">
        <w:rPr>
          <w:rFonts w:ascii="Times New Roman" w:hAnsi="Times New Roman" w:cs="Times New Roman"/>
          <w:bCs/>
          <w:noProof/>
          <w:sz w:val="24"/>
          <w:szCs w:val="24"/>
          <w:lang w:val="en-US"/>
        </w:rPr>
        <w:drawing>
          <wp:inline distT="0" distB="0" distL="0" distR="0" wp14:anchorId="63A5E7D3" wp14:editId="6EBB7C5D">
            <wp:extent cx="5731510" cy="1936130"/>
            <wp:effectExtent l="0" t="0" r="2540" b="6985"/>
            <wp:docPr id="1" name="Picture 1" descr="Genes 13 02051 g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nes 13 02051 g00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1936130"/>
                    </a:xfrm>
                    <a:prstGeom prst="rect">
                      <a:avLst/>
                    </a:prstGeom>
                    <a:noFill/>
                    <a:ln>
                      <a:noFill/>
                    </a:ln>
                  </pic:spPr>
                </pic:pic>
              </a:graphicData>
            </a:graphic>
          </wp:inline>
        </w:drawing>
      </w:r>
    </w:p>
    <w:p w:rsidR="00A7035C" w:rsidRPr="002E7761" w:rsidRDefault="008E0532" w:rsidP="00A7035C">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Figure 4</w:t>
      </w:r>
      <w:r w:rsidR="00A7035C" w:rsidRPr="002E7761">
        <w:rPr>
          <w:rFonts w:ascii="Times New Roman" w:hAnsi="Times New Roman" w:cs="Times New Roman"/>
          <w:bCs/>
          <w:sz w:val="24"/>
          <w:szCs w:val="24"/>
          <w:lang w:val="en-US"/>
        </w:rPr>
        <w:t>. Structure of SPOP protein</w:t>
      </w:r>
      <w:r w:rsidR="00820222">
        <w:rPr>
          <w:rFonts w:ascii="Times New Roman" w:hAnsi="Times New Roman" w:cs="Times New Roman"/>
          <w:bCs/>
          <w:sz w:val="24"/>
          <w:szCs w:val="24"/>
          <w:lang w:val="en-US"/>
        </w:rPr>
        <w:t xml:space="preserve"> showing its component domains</w:t>
      </w:r>
      <w:r w:rsidR="00A7035C" w:rsidRPr="002E7761">
        <w:rPr>
          <w:rFonts w:ascii="Times New Roman" w:hAnsi="Times New Roman" w:cs="Times New Roman"/>
          <w:bCs/>
          <w:sz w:val="24"/>
          <w:szCs w:val="24"/>
          <w:lang w:val="en-US"/>
        </w:rPr>
        <w:t xml:space="preserve"> </w:t>
      </w:r>
      <w:r w:rsidR="00A7035C" w:rsidRPr="002E7761">
        <w:rPr>
          <w:rFonts w:ascii="Times New Roman" w:hAnsi="Times New Roman" w:cs="Times New Roman"/>
          <w:bCs/>
          <w:sz w:val="24"/>
          <w:szCs w:val="24"/>
          <w:lang w:val="en-US"/>
        </w:rPr>
        <w:fldChar w:fldCharType="begin"/>
      </w:r>
      <w:r w:rsidR="00A7035C" w:rsidRPr="002E7761">
        <w:rPr>
          <w:rFonts w:ascii="Times New Roman" w:hAnsi="Times New Roman" w:cs="Times New Roman"/>
          <w:bCs/>
          <w:sz w:val="24"/>
          <w:szCs w:val="24"/>
          <w:lang w:val="en-US"/>
        </w:rPr>
        <w:instrText xml:space="preserve"> ADDIN ZOTERO_ITEM CSL_CITATION {"citationID":"Hvb92Guo","properties":{"formattedCitation":"(Yang &amp; Zhu, 2022)","plainCitation":"(Yang &amp; Zhu, 2022)","noteIndex":0},"citationItems":[{"id":423,"uris":["http://zotero.org/users/11300200/items/4WC84ELS"],"itemData":{"id":423,"type":"article-journal","abstract":"Speckle-type POZ (pox virus and zinc finger protein) protein (SPOP) is a cullin 3-based E3 ubiquitin ligase adaptor protein that plays a crucial role in ubiquitin-mediated protein degradation. Recently, SPOP has attracted major research attention as it is frequently mutated in a range of cancers, highlighting pleiotropic tumorigenic effects and associations with treatment resistance. Structurally, SPOP contains a functionally critical N-terminal meprin and TRAF homology (MATH) domain for many SPOP substrates. SPOP has two other domains, including the internal Bric-a-brac-Tramtrack/Broad (BTB) domain, which is linked with SPOP dimerization and binding to cullin3, and a C-terminal nuclear localization sequence (NLS). The dysregulation of SPOP-mediated proteolysis is associated with the development and progression of different cancers since abnormalities in SPOP function dysregulate cellular signaling pathways by targeting oncoproteins or tumor suppressors in a tumor-specific manner. SPOP is also involved in genome stability through its role in the DNA damage response and DNA replication. More recently, studies have shown that the expression of SPOP can be modulated in various ways. In this review, we summarize the current understanding of SPOP’s functions in cancer and discuss how to design a rational therapeutic target.","container-title":"Genes","DOI":"10.3390/genes13112051","ISSN":"2073-4425","issue":"11","journalAbbreviation":"Genes","language":"en","page":"2051","source":"DOI.org (Crossref)","title":"SPOP in Cancer: Phenomena, Mechanisms and Its Role in Therapeutic Implications","title-short":"SPOP in Cancer","volume":"13","author":[{"family":"Yang","given":"Xiaojuan"},{"family":"Zhu","given":"Qing"}],"issued":{"date-parts":[["2022",11,7]]}}}],"schema":"https://github.com/citation-style-language/schema/raw/master/csl-citation.json"} </w:instrText>
      </w:r>
      <w:r w:rsidR="00A7035C" w:rsidRPr="002E7761">
        <w:rPr>
          <w:rFonts w:ascii="Times New Roman" w:hAnsi="Times New Roman" w:cs="Times New Roman"/>
          <w:bCs/>
          <w:sz w:val="24"/>
          <w:szCs w:val="24"/>
          <w:lang w:val="en-US"/>
        </w:rPr>
        <w:fldChar w:fldCharType="separate"/>
      </w:r>
      <w:r w:rsidR="00A7035C" w:rsidRPr="00A316B3">
        <w:rPr>
          <w:rFonts w:ascii="Times New Roman" w:hAnsi="Times New Roman" w:cs="Times New Roman"/>
          <w:sz w:val="24"/>
        </w:rPr>
        <w:t>(Yang &amp; Zhu, 2022)</w:t>
      </w:r>
      <w:r w:rsidR="00A7035C" w:rsidRPr="002E7761">
        <w:rPr>
          <w:rFonts w:ascii="Times New Roman" w:hAnsi="Times New Roman" w:cs="Times New Roman"/>
          <w:bCs/>
          <w:sz w:val="24"/>
          <w:szCs w:val="24"/>
          <w:lang w:val="en-US"/>
        </w:rPr>
        <w:fldChar w:fldCharType="end"/>
      </w:r>
    </w:p>
    <w:p w:rsidR="00A7035C" w:rsidRPr="002E7761" w:rsidRDefault="00A7035C" w:rsidP="00A7035C">
      <w:pPr>
        <w:pStyle w:val="ListParagraph"/>
        <w:numPr>
          <w:ilvl w:val="0"/>
          <w:numId w:val="14"/>
        </w:numPr>
        <w:spacing w:line="360" w:lineRule="auto"/>
        <w:rPr>
          <w:rFonts w:ascii="Times New Roman" w:hAnsi="Times New Roman" w:cs="Times New Roman"/>
          <w:bCs/>
          <w:sz w:val="24"/>
          <w:szCs w:val="24"/>
          <w:lang w:val="en-US"/>
        </w:rPr>
      </w:pPr>
      <w:r w:rsidRPr="002E7761">
        <w:rPr>
          <w:rFonts w:ascii="Times New Roman" w:hAnsi="Times New Roman" w:cs="Times New Roman"/>
          <w:b/>
          <w:bCs/>
          <w:sz w:val="24"/>
          <w:szCs w:val="24"/>
          <w:lang w:val="en-US"/>
        </w:rPr>
        <w:t>N-terminal MATH Domain:</w:t>
      </w:r>
      <w:r w:rsidRPr="002E7761">
        <w:rPr>
          <w:rFonts w:ascii="Times New Roman" w:hAnsi="Times New Roman" w:cs="Times New Roman"/>
          <w:bCs/>
          <w:sz w:val="24"/>
          <w:szCs w:val="24"/>
          <w:lang w:val="en-US"/>
        </w:rPr>
        <w:t xml:space="preserve"> The MATH (</w:t>
      </w:r>
      <w:proofErr w:type="spellStart"/>
      <w:r w:rsidRPr="002E7761">
        <w:rPr>
          <w:rFonts w:ascii="Times New Roman" w:hAnsi="Times New Roman" w:cs="Times New Roman"/>
          <w:bCs/>
          <w:sz w:val="24"/>
          <w:szCs w:val="24"/>
          <w:lang w:val="en-US"/>
        </w:rPr>
        <w:t>Meprin</w:t>
      </w:r>
      <w:proofErr w:type="spellEnd"/>
      <w:r w:rsidRPr="002E7761">
        <w:rPr>
          <w:rFonts w:ascii="Times New Roman" w:hAnsi="Times New Roman" w:cs="Times New Roman"/>
          <w:bCs/>
          <w:sz w:val="24"/>
          <w:szCs w:val="24"/>
          <w:lang w:val="en-US"/>
        </w:rPr>
        <w:t xml:space="preserve"> and TRAF homology) domain is located within the central region of the SPOP protein. This domain is responsible for substrate recognition and binding. It plays a pivotal role in mediating the interaction between SPOP and its target proteins, which are subsequently targeted for </w:t>
      </w:r>
      <w:proofErr w:type="spellStart"/>
      <w:r w:rsidRPr="002E7761">
        <w:rPr>
          <w:rFonts w:ascii="Times New Roman" w:hAnsi="Times New Roman" w:cs="Times New Roman"/>
          <w:bCs/>
          <w:sz w:val="24"/>
          <w:szCs w:val="24"/>
          <w:lang w:val="en-US"/>
        </w:rPr>
        <w:t>ubiquitination</w:t>
      </w:r>
      <w:proofErr w:type="spellEnd"/>
      <w:r w:rsidRPr="002E7761">
        <w:rPr>
          <w:rFonts w:ascii="Times New Roman" w:hAnsi="Times New Roman" w:cs="Times New Roman"/>
          <w:bCs/>
          <w:sz w:val="24"/>
          <w:szCs w:val="24"/>
          <w:lang w:val="en-US"/>
        </w:rPr>
        <w:t xml:space="preserve"> and degradation.</w:t>
      </w:r>
    </w:p>
    <w:p w:rsidR="00A7035C" w:rsidRPr="002E7761" w:rsidRDefault="00A7035C" w:rsidP="00A7035C">
      <w:pPr>
        <w:numPr>
          <w:ilvl w:val="0"/>
          <w:numId w:val="14"/>
        </w:numPr>
        <w:spacing w:line="360" w:lineRule="auto"/>
        <w:jc w:val="both"/>
        <w:rPr>
          <w:rFonts w:ascii="Times New Roman" w:hAnsi="Times New Roman" w:cs="Times New Roman"/>
          <w:bCs/>
          <w:sz w:val="24"/>
          <w:szCs w:val="24"/>
          <w:lang w:val="en-US"/>
        </w:rPr>
      </w:pPr>
      <w:r w:rsidRPr="002E7761">
        <w:rPr>
          <w:rFonts w:ascii="Times New Roman" w:hAnsi="Times New Roman" w:cs="Times New Roman"/>
          <w:b/>
          <w:bCs/>
          <w:sz w:val="24"/>
          <w:szCs w:val="24"/>
          <w:lang w:val="en-US"/>
        </w:rPr>
        <w:t>BTB Domain:</w:t>
      </w:r>
      <w:r w:rsidRPr="002E7761">
        <w:rPr>
          <w:rFonts w:ascii="Times New Roman" w:hAnsi="Times New Roman" w:cs="Times New Roman"/>
          <w:bCs/>
          <w:sz w:val="24"/>
          <w:szCs w:val="24"/>
          <w:lang w:val="en-US"/>
        </w:rPr>
        <w:t xml:space="preserve"> The BTB (Bric-a-brac, </w:t>
      </w:r>
      <w:proofErr w:type="spellStart"/>
      <w:r w:rsidRPr="002E7761">
        <w:rPr>
          <w:rFonts w:ascii="Times New Roman" w:hAnsi="Times New Roman" w:cs="Times New Roman"/>
          <w:bCs/>
          <w:sz w:val="24"/>
          <w:szCs w:val="24"/>
          <w:lang w:val="en-US"/>
        </w:rPr>
        <w:t>Tramtrack</w:t>
      </w:r>
      <w:proofErr w:type="spellEnd"/>
      <w:r w:rsidRPr="002E7761">
        <w:rPr>
          <w:rFonts w:ascii="Times New Roman" w:hAnsi="Times New Roman" w:cs="Times New Roman"/>
          <w:bCs/>
          <w:sz w:val="24"/>
          <w:szCs w:val="24"/>
          <w:lang w:val="en-US"/>
        </w:rPr>
        <w:t xml:space="preserve">, </w:t>
      </w:r>
      <w:proofErr w:type="gramStart"/>
      <w:r w:rsidRPr="002E7761">
        <w:rPr>
          <w:rFonts w:ascii="Times New Roman" w:hAnsi="Times New Roman" w:cs="Times New Roman"/>
          <w:bCs/>
          <w:sz w:val="24"/>
          <w:szCs w:val="24"/>
          <w:lang w:val="en-US"/>
        </w:rPr>
        <w:t>Broad</w:t>
      </w:r>
      <w:proofErr w:type="gramEnd"/>
      <w:r w:rsidRPr="002E7761">
        <w:rPr>
          <w:rFonts w:ascii="Times New Roman" w:hAnsi="Times New Roman" w:cs="Times New Roman"/>
          <w:bCs/>
          <w:sz w:val="24"/>
          <w:szCs w:val="24"/>
          <w:lang w:val="en-US"/>
        </w:rPr>
        <w:t>-complex) domain is located at the N-terminal region of the SPOP protein. It functions as a protein-protein interaction domain, allowing SPOP to interact with other proteins and form complexes. This domain is involved in the assembly of the Cullin3-RING E3 ligase complex, which plays a crucial role in protein degradation pathways.</w:t>
      </w:r>
    </w:p>
    <w:p w:rsidR="00A7035C" w:rsidRPr="002E7761" w:rsidRDefault="00A7035C" w:rsidP="00A7035C">
      <w:pPr>
        <w:numPr>
          <w:ilvl w:val="0"/>
          <w:numId w:val="14"/>
        </w:numPr>
        <w:spacing w:line="360" w:lineRule="auto"/>
        <w:jc w:val="both"/>
        <w:rPr>
          <w:rFonts w:ascii="Times New Roman" w:hAnsi="Times New Roman" w:cs="Times New Roman"/>
          <w:bCs/>
          <w:sz w:val="24"/>
          <w:szCs w:val="24"/>
          <w:lang w:val="en-US"/>
        </w:rPr>
      </w:pPr>
      <w:r w:rsidRPr="002E7761">
        <w:rPr>
          <w:rFonts w:ascii="Times New Roman" w:hAnsi="Times New Roman" w:cs="Times New Roman"/>
          <w:b/>
          <w:bCs/>
          <w:sz w:val="24"/>
          <w:szCs w:val="24"/>
          <w:lang w:val="en-US"/>
        </w:rPr>
        <w:lastRenderedPageBreak/>
        <w:t>BACK Domain</w:t>
      </w:r>
      <w:r w:rsidRPr="002E7761">
        <w:rPr>
          <w:rFonts w:ascii="Times New Roman" w:hAnsi="Times New Roman" w:cs="Times New Roman"/>
          <w:bCs/>
          <w:sz w:val="24"/>
          <w:szCs w:val="24"/>
          <w:lang w:val="en-US"/>
        </w:rPr>
        <w:t xml:space="preserve">: The BACK (BTB and C-terminal </w:t>
      </w:r>
      <w:proofErr w:type="spellStart"/>
      <w:r w:rsidRPr="002E7761">
        <w:rPr>
          <w:rFonts w:ascii="Times New Roman" w:hAnsi="Times New Roman" w:cs="Times New Roman"/>
          <w:bCs/>
          <w:sz w:val="24"/>
          <w:szCs w:val="24"/>
          <w:lang w:val="en-US"/>
        </w:rPr>
        <w:t>Kelch</w:t>
      </w:r>
      <w:proofErr w:type="spellEnd"/>
      <w:r w:rsidRPr="002E7761">
        <w:rPr>
          <w:rFonts w:ascii="Times New Roman" w:hAnsi="Times New Roman" w:cs="Times New Roman"/>
          <w:bCs/>
          <w:sz w:val="24"/>
          <w:szCs w:val="24"/>
          <w:lang w:val="en-US"/>
        </w:rPr>
        <w:t xml:space="preserve">) domain is situated between the MATH domain and the POZ domain within the SPOP protein. This domain contains a series of </w:t>
      </w:r>
      <w:proofErr w:type="spellStart"/>
      <w:r w:rsidRPr="002E7761">
        <w:rPr>
          <w:rFonts w:ascii="Times New Roman" w:hAnsi="Times New Roman" w:cs="Times New Roman"/>
          <w:bCs/>
          <w:sz w:val="24"/>
          <w:szCs w:val="24"/>
          <w:lang w:val="en-US"/>
        </w:rPr>
        <w:t>Kelch</w:t>
      </w:r>
      <w:proofErr w:type="spellEnd"/>
      <w:r w:rsidRPr="002E7761">
        <w:rPr>
          <w:rFonts w:ascii="Times New Roman" w:hAnsi="Times New Roman" w:cs="Times New Roman"/>
          <w:bCs/>
          <w:sz w:val="24"/>
          <w:szCs w:val="24"/>
          <w:lang w:val="en-US"/>
        </w:rPr>
        <w:t>-like repeats that are involved in protein-protein interactions and substrate recognition. The BACK domain is known to interact with specific protein targets, contributing to the substrate specificity of SPOP. It plays a crucial role in facilitating the assembly of the Cullin3-based E3 ubiquitin ligase complex, which is responsible for targeting proteins for ubiquitin-mediated degradation.</w:t>
      </w:r>
    </w:p>
    <w:p w:rsidR="00A7035C" w:rsidRDefault="00A7035C" w:rsidP="00A7035C">
      <w:pPr>
        <w:spacing w:line="360" w:lineRule="auto"/>
        <w:jc w:val="both"/>
        <w:rPr>
          <w:rFonts w:ascii="Times New Roman" w:hAnsi="Times New Roman" w:cs="Times New Roman"/>
          <w:bCs/>
          <w:sz w:val="24"/>
          <w:szCs w:val="24"/>
          <w:lang w:val="en-US"/>
        </w:rPr>
      </w:pPr>
      <w:r w:rsidRPr="002E7761">
        <w:rPr>
          <w:rFonts w:ascii="Times New Roman" w:hAnsi="Times New Roman" w:cs="Times New Roman"/>
          <w:b/>
          <w:bCs/>
          <w:sz w:val="24"/>
          <w:szCs w:val="24"/>
          <w:lang w:val="en-US"/>
        </w:rPr>
        <w:t>C-terminal Nuclear Localization Sequence (NLS)</w:t>
      </w:r>
      <w:r w:rsidRPr="002E7761">
        <w:rPr>
          <w:rFonts w:ascii="Times New Roman" w:hAnsi="Times New Roman" w:cs="Times New Roman"/>
          <w:bCs/>
          <w:sz w:val="24"/>
          <w:szCs w:val="24"/>
          <w:lang w:val="en-US"/>
        </w:rPr>
        <w:t>: The C-terminal region of the SPOP protein contains a nuclear localization sequence (NLS). This sequence is responsible for directing the protein to the cell nucleus. The NLS allows SPOP to enter the nucleus, where it can participate in various cellular processes, including gene regulation and protein degradation. The nuclear localization of SPOP is essential for its interactions with other nuclear proteins and for executing its functions related to substrate recognition and protein degradation</w:t>
      </w:r>
      <w:r>
        <w:rPr>
          <w:rFonts w:ascii="Times New Roman" w:hAnsi="Times New Roman" w:cs="Times New Roman"/>
          <w:bCs/>
          <w:sz w:val="24"/>
          <w:szCs w:val="24"/>
          <w:lang w:val="en-US"/>
        </w:rPr>
        <w:t>.</w:t>
      </w:r>
    </w:p>
    <w:p w:rsidR="00F77439" w:rsidRPr="002E7761" w:rsidRDefault="00E71B74" w:rsidP="006D3376">
      <w:pPr>
        <w:spacing w:line="360" w:lineRule="auto"/>
        <w:jc w:val="both"/>
        <w:rPr>
          <w:rFonts w:ascii="Times New Roman" w:hAnsi="Times New Roman" w:cs="Times New Roman"/>
          <w:bCs/>
          <w:sz w:val="24"/>
          <w:szCs w:val="24"/>
          <w:lang w:val="en-US"/>
        </w:rPr>
      </w:pPr>
      <w:r w:rsidRPr="00E71B74">
        <w:rPr>
          <w:rFonts w:ascii="Times New Roman" w:hAnsi="Times New Roman" w:cs="Times New Roman"/>
          <w:bCs/>
          <w:sz w:val="24"/>
          <w:szCs w:val="24"/>
          <w:lang w:val="en-US"/>
        </w:rPr>
        <w:t>Mutations in SPOP can impair its binding to AR, inf</w:t>
      </w:r>
      <w:r>
        <w:rPr>
          <w:rFonts w:ascii="Times New Roman" w:hAnsi="Times New Roman" w:cs="Times New Roman"/>
          <w:bCs/>
          <w:sz w:val="24"/>
          <w:szCs w:val="24"/>
          <w:lang w:val="en-US"/>
        </w:rPr>
        <w:t xml:space="preserve">luencing cancer pathogenesis </w:t>
      </w:r>
      <w:r>
        <w:rPr>
          <w:rFonts w:ascii="Times New Roman" w:hAnsi="Times New Roman" w:cs="Times New Roman"/>
          <w:bCs/>
          <w:sz w:val="24"/>
          <w:szCs w:val="24"/>
          <w:lang w:val="en-US"/>
        </w:rPr>
        <w:fldChar w:fldCharType="begin"/>
      </w:r>
      <w:r>
        <w:rPr>
          <w:rFonts w:ascii="Times New Roman" w:hAnsi="Times New Roman" w:cs="Times New Roman"/>
          <w:bCs/>
          <w:sz w:val="24"/>
          <w:szCs w:val="24"/>
          <w:lang w:val="en-US"/>
        </w:rPr>
        <w:instrText xml:space="preserve"> ADDIN ZOTERO_ITEM CSL_CITATION {"citationID":"FDlDC2sg","properties":{"formattedCitation":"(Zhang, Jin &amp; Huang, 2023a)","plainCitation":"(Zhang, Jin &amp; Huang, 2023a)","noteIndex":0},"citationItems":[{"id":1284,"uris":["http://zotero.org/users/11300200/items/RV2AR8PX"],"itemData":{"id":1284,"type":"post-weblog","abstract":"&lt;div&gt;Abstract&lt;p&gt;Speckle-type POZ protein (SPOP) is a substrate-binding adaptor of the CULLIN3/RING-box1 E3 ubiquitin ligase complex. SPOP is frequently mutated in prostate and endometrial cancers, whereas it is overexpressed in renal cell carcinoma (RCC). SPOP can mediate both degradable and nondegradable polyubiquitination of a number of substrates with diverse biological functions such as androgen receptor (AR), SRC-3, TRIM24, BRD4, PD-L1, 53BP1, GLP/G9a, c-Myc, SENP7, among others. Cancer-associated SPOP mutants often impair SPOP binding and polyubiquitination of its substrates to influence various cancer-relevant pathways, which include androgen/AR signaling, DNA repair and methylation, cellular stress surveillance, cancer metabolism, and immunity. Although SPOP is recognized as a tumor suppressor in prostate and endometrial cancers, it acts like an oncoprotein in RCC. This review provides an overview of the recent progress in understanding of the upstream regulators of SPOP and its downstream targets, highlights the significant impact of SPOP mutations and overexpression on cancer pathogenesis, and discusses the potential of targeting SPOP for cancer treatment.&lt;/p&gt;&lt;/div&gt;","container-title":"American Association for Cancer Research","license":"https://creativecommons.org/licenses/by/4.0/","note":"DOI: 10.1158/0008-5472.c.6514377","title":"Data from Deregulation of SPOP in Cancer","URL":"https://aacr.figshare.com/collections/Data_from_Deregulation_of_SPOP_in_Cancer/6514377","author":[{"family":"Zhang","given":"Hui"},{"family":"Jin","given":"Xiaofeng"},{"family":"Huang","given":"Haojie"}],"accessed":{"date-parts":[["2024",7,7]]},"issued":{"date-parts":[["2023",3,31]]}}}],"schema":"https://github.com/citation-style-language/schema/raw/master/csl-citation.json"} </w:instrText>
      </w:r>
      <w:r>
        <w:rPr>
          <w:rFonts w:ascii="Times New Roman" w:hAnsi="Times New Roman" w:cs="Times New Roman"/>
          <w:bCs/>
          <w:sz w:val="24"/>
          <w:szCs w:val="24"/>
          <w:lang w:val="en-US"/>
        </w:rPr>
        <w:fldChar w:fldCharType="separate"/>
      </w:r>
      <w:r w:rsidR="00A316B3" w:rsidRPr="00A316B3">
        <w:rPr>
          <w:rFonts w:ascii="Times New Roman" w:hAnsi="Times New Roman" w:cs="Times New Roman"/>
          <w:sz w:val="24"/>
        </w:rPr>
        <w:t>(Zhang, Jin &amp; Huang, 2023a)</w:t>
      </w:r>
      <w:r>
        <w:rPr>
          <w:rFonts w:ascii="Times New Roman" w:hAnsi="Times New Roman" w:cs="Times New Roman"/>
          <w:bCs/>
          <w:sz w:val="24"/>
          <w:szCs w:val="24"/>
          <w:lang w:val="en-US"/>
        </w:rPr>
        <w:fldChar w:fldCharType="end"/>
      </w:r>
      <w:r w:rsidRPr="00E71B74">
        <w:rPr>
          <w:rFonts w:ascii="Times New Roman" w:hAnsi="Times New Roman" w:cs="Times New Roman"/>
          <w:bCs/>
          <w:sz w:val="24"/>
          <w:szCs w:val="24"/>
          <w:lang w:val="en-US"/>
        </w:rPr>
        <w:t>. Additionally, higher expression of SPOP has been associated with earlier clinical stages and better overall survival in prostate cancer, indicating its potential as a biomarker</w:t>
      </w:r>
      <w:r>
        <w:rPr>
          <w:rFonts w:ascii="Times New Roman" w:hAnsi="Times New Roman" w:cs="Times New Roman"/>
          <w:bCs/>
          <w:sz w:val="24"/>
          <w:szCs w:val="24"/>
          <w:lang w:val="en-US"/>
        </w:rPr>
        <w:t xml:space="preserve"> for diagnosis and prognosis </w:t>
      </w:r>
      <w:r w:rsidR="005A7B25">
        <w:rPr>
          <w:rFonts w:ascii="Times New Roman" w:hAnsi="Times New Roman" w:cs="Times New Roman"/>
          <w:bCs/>
          <w:sz w:val="24"/>
          <w:szCs w:val="24"/>
          <w:lang w:val="en-US"/>
        </w:rPr>
        <w:fldChar w:fldCharType="begin"/>
      </w:r>
      <w:r w:rsidR="005A7B25">
        <w:rPr>
          <w:rFonts w:ascii="Times New Roman" w:hAnsi="Times New Roman" w:cs="Times New Roman"/>
          <w:bCs/>
          <w:sz w:val="24"/>
          <w:szCs w:val="24"/>
          <w:lang w:val="en-US"/>
        </w:rPr>
        <w:instrText xml:space="preserve"> ADDIN ZOTERO_ITEM CSL_CITATION {"citationID":"J4hYUZex","properties":{"formattedCitation":"(He et al., 2021)","plainCitation":"(He et al., 2021)","noteIndex":0},"citationItems":[{"id":1286,"uris":["http://zotero.org/users/11300200/items/79SITLY5"],"itemData":{"id":1286,"type":"article-journal","abstract":"Abstract\n            \n              Background\n              Controversial findings have been reported in the impact of speckle-type POZ protein (SPOP) on clinicopathological features and prognosis in diverse cancers. We conducted this meta-analysis to confirm whether SPOP was an effective biomarker to predict clinical stage, cancer differentiation and survival.\n            \n            \n              Methods\n              We searched studies published before June 2021 through Medline, Embase, the Cochrane library register of controlled trials and Wanfang databases. The corrections of SPOP expression with expression disparity, tumor differentiation, clinical stage and survival were analyzed.\n            \n            \n              Results\n              Our meta-analysis found that higher expression of SPOP was significantly associated with earlier clinical stage, well differentiation and better overall survival. Subgroup analysis showed that the SPOP expression of adjacent tissue was significantly higher than that in cancer tissues of prostate and liver. However, renal cancer presented improved expression of SPOP in cancer tissue.\n            \n            \n              Conclusions\n              SPOP has the potential function to act as a novel and effective biomarker for cancer diagnosis and prognostic stratification.","container-title":"Cancer Cell International","DOI":"10.1186/s12935-021-02329-5","ISSN":"1475-2867","issue":"1","journalAbbreviation":"Cancer Cell Int","language":"en","page":"626","source":"DOI.org (Crossref)","title":"Clinicopathological and prognostic significance of speckle-type POZ protein in cancers: a systematic review and meta-analysis","title-short":"Clinicopathological and prognostic significance of speckle-type POZ protein in cancers","volume":"21","author":[{"family":"He","given":"Yan"},{"family":"Chen","given":"Jun"},{"family":"Peng","given":"Xingchen"},{"family":"Xia","given":"Yanli"},{"family":"Su","given":"Yonglin"}],"issued":{"date-parts":[["2021",12]]}}}],"schema":"https://github.com/citation-style-language/schema/raw/master/csl-citation.json"} </w:instrText>
      </w:r>
      <w:r w:rsidR="005A7B25">
        <w:rPr>
          <w:rFonts w:ascii="Times New Roman" w:hAnsi="Times New Roman" w:cs="Times New Roman"/>
          <w:bCs/>
          <w:sz w:val="24"/>
          <w:szCs w:val="24"/>
          <w:lang w:val="en-US"/>
        </w:rPr>
        <w:fldChar w:fldCharType="separate"/>
      </w:r>
      <w:r w:rsidR="00A316B3" w:rsidRPr="00A316B3">
        <w:rPr>
          <w:rFonts w:ascii="Times New Roman" w:hAnsi="Times New Roman" w:cs="Times New Roman"/>
          <w:sz w:val="24"/>
        </w:rPr>
        <w:t>(He et al., 2021)</w:t>
      </w:r>
      <w:r w:rsidR="005A7B25">
        <w:rPr>
          <w:rFonts w:ascii="Times New Roman" w:hAnsi="Times New Roman" w:cs="Times New Roman"/>
          <w:bCs/>
          <w:sz w:val="24"/>
          <w:szCs w:val="24"/>
          <w:lang w:val="en-US"/>
        </w:rPr>
        <w:fldChar w:fldCharType="end"/>
      </w:r>
      <w:r w:rsidRPr="00E71B74">
        <w:rPr>
          <w:rFonts w:ascii="Times New Roman" w:hAnsi="Times New Roman" w:cs="Times New Roman"/>
          <w:bCs/>
          <w:sz w:val="24"/>
          <w:szCs w:val="24"/>
          <w:lang w:val="en-US"/>
        </w:rPr>
        <w:t>. Understanding the intricate relationship between SPOP, AR, and SRC-3 provides insights into the molecular mechanisms underlying prostate cancer progression.</w:t>
      </w:r>
      <w:r w:rsidR="005A7B25">
        <w:rPr>
          <w:rFonts w:ascii="Times New Roman" w:hAnsi="Times New Roman" w:cs="Times New Roman"/>
          <w:bCs/>
          <w:sz w:val="24"/>
          <w:szCs w:val="24"/>
          <w:lang w:val="en-US"/>
        </w:rPr>
        <w:t xml:space="preserve"> </w:t>
      </w:r>
      <w:r w:rsidR="00F77439" w:rsidRPr="002E7761">
        <w:rPr>
          <w:rFonts w:ascii="Times New Roman" w:hAnsi="Times New Roman" w:cs="Times New Roman"/>
          <w:bCs/>
          <w:sz w:val="24"/>
          <w:szCs w:val="24"/>
          <w:lang w:val="en-US"/>
        </w:rPr>
        <w:t xml:space="preserve">Understanding the SPOP gene and its protein product is essential for grasping its significance in various cellular processes and its involvement </w:t>
      </w:r>
      <w:r w:rsidR="00A7035C">
        <w:rPr>
          <w:rFonts w:ascii="Times New Roman" w:hAnsi="Times New Roman" w:cs="Times New Roman"/>
          <w:bCs/>
          <w:sz w:val="24"/>
          <w:szCs w:val="24"/>
          <w:lang w:val="en-US"/>
        </w:rPr>
        <w:t>in diseases, especially cancer</w:t>
      </w:r>
      <w:r w:rsidR="00F77439" w:rsidRPr="002E7761">
        <w:rPr>
          <w:rFonts w:ascii="Times New Roman" w:hAnsi="Times New Roman" w:cs="Times New Roman"/>
          <w:bCs/>
          <w:sz w:val="24"/>
          <w:szCs w:val="24"/>
          <w:lang w:val="en-US"/>
        </w:rPr>
        <w:t>.</w:t>
      </w:r>
      <w:r w:rsidR="00A7035C">
        <w:rPr>
          <w:rFonts w:ascii="Times New Roman" w:hAnsi="Times New Roman" w:cs="Times New Roman"/>
          <w:bCs/>
          <w:sz w:val="24"/>
          <w:szCs w:val="24"/>
          <w:lang w:val="en-US"/>
        </w:rPr>
        <w:t xml:space="preserve"> </w:t>
      </w:r>
      <w:r w:rsidR="00F77439" w:rsidRPr="002E7761">
        <w:rPr>
          <w:rFonts w:ascii="Times New Roman" w:hAnsi="Times New Roman" w:cs="Times New Roman"/>
          <w:bCs/>
          <w:sz w:val="24"/>
          <w:szCs w:val="24"/>
          <w:lang w:val="en-US"/>
        </w:rPr>
        <w:t>SPOP identifies specific target proteins through the recognition of consensus binding motifs present in these substrates. Once identified, SPOP facilitates the transfer of ubiquitin molecules onto these target proteins, tagging them for degradation by the proteasome or other cellular processes (Figure</w:t>
      </w:r>
      <w:r w:rsidR="006D2663">
        <w:rPr>
          <w:rFonts w:ascii="Times New Roman" w:hAnsi="Times New Roman" w:cs="Times New Roman"/>
          <w:bCs/>
          <w:sz w:val="24"/>
          <w:szCs w:val="24"/>
          <w:lang w:val="en-US"/>
        </w:rPr>
        <w:t xml:space="preserve"> 6</w:t>
      </w:r>
      <w:r w:rsidR="00F77439" w:rsidRPr="002E7761">
        <w:rPr>
          <w:rFonts w:ascii="Times New Roman" w:hAnsi="Times New Roman" w:cs="Times New Roman"/>
          <w:bCs/>
          <w:sz w:val="24"/>
          <w:szCs w:val="24"/>
          <w:lang w:val="en-US"/>
        </w:rPr>
        <w:t>).</w:t>
      </w:r>
    </w:p>
    <w:p w:rsidR="00F77439" w:rsidRPr="002E7761" w:rsidRDefault="00F77439" w:rsidP="006D3376">
      <w:pPr>
        <w:spacing w:line="360" w:lineRule="auto"/>
        <w:jc w:val="both"/>
        <w:rPr>
          <w:rFonts w:ascii="Times New Roman" w:hAnsi="Times New Roman" w:cs="Times New Roman"/>
          <w:bCs/>
          <w:sz w:val="24"/>
          <w:szCs w:val="24"/>
          <w:lang w:val="en-US"/>
        </w:rPr>
      </w:pPr>
      <w:r w:rsidRPr="002E7761">
        <w:rPr>
          <w:rFonts w:ascii="Times New Roman" w:hAnsi="Times New Roman" w:cs="Times New Roman"/>
          <w:noProof/>
          <w:sz w:val="24"/>
          <w:szCs w:val="24"/>
          <w:lang w:val="en-US"/>
        </w:rPr>
        <w:lastRenderedPageBreak/>
        <w:drawing>
          <wp:inline distT="0" distB="0" distL="0" distR="0" wp14:anchorId="2D122D03" wp14:editId="2D55A4A8">
            <wp:extent cx="5731510" cy="4433810"/>
            <wp:effectExtent l="0" t="0" r="2540" b="5080"/>
            <wp:docPr id="43" name="Picture 43" descr="https://www.mdpi.com/cancers/cancers-15-02385/article_deploy/html/images/cancers-15-02385-g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mdpi.com/cancers/cancers-15-02385/article_deploy/html/images/cancers-15-02385-g001.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4433810"/>
                    </a:xfrm>
                    <a:prstGeom prst="rect">
                      <a:avLst/>
                    </a:prstGeom>
                    <a:noFill/>
                    <a:ln>
                      <a:noFill/>
                    </a:ln>
                  </pic:spPr>
                </pic:pic>
              </a:graphicData>
            </a:graphic>
          </wp:inline>
        </w:drawing>
      </w:r>
    </w:p>
    <w:p w:rsidR="00F77439" w:rsidRPr="002E7761" w:rsidRDefault="008E0532" w:rsidP="006D3376">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Figure 5</w:t>
      </w:r>
      <w:r w:rsidR="00F77439" w:rsidRPr="002E7761">
        <w:rPr>
          <w:rFonts w:ascii="Times New Roman" w:hAnsi="Times New Roman" w:cs="Times New Roman"/>
          <w:bCs/>
          <w:sz w:val="24"/>
          <w:szCs w:val="24"/>
          <w:lang w:val="en-US"/>
        </w:rPr>
        <w:t>: The ubiquitin-proteasome system</w:t>
      </w:r>
      <w:r w:rsidR="00820222">
        <w:rPr>
          <w:rFonts w:ascii="Times New Roman" w:hAnsi="Times New Roman" w:cs="Times New Roman"/>
          <w:bCs/>
          <w:sz w:val="24"/>
          <w:szCs w:val="24"/>
          <w:lang w:val="en-US"/>
        </w:rPr>
        <w:t xml:space="preserve"> where SPOP functions</w:t>
      </w:r>
      <w:r w:rsidR="00F77439" w:rsidRPr="002E7761">
        <w:rPr>
          <w:rFonts w:ascii="Times New Roman" w:hAnsi="Times New Roman" w:cs="Times New Roman"/>
          <w:bCs/>
          <w:sz w:val="24"/>
          <w:szCs w:val="24"/>
          <w:lang w:val="en-US"/>
        </w:rPr>
        <w:t xml:space="preserve"> </w:t>
      </w:r>
      <w:r w:rsidR="00F77439" w:rsidRPr="002E7761">
        <w:rPr>
          <w:rFonts w:ascii="Times New Roman" w:hAnsi="Times New Roman" w:cs="Times New Roman"/>
          <w:bCs/>
          <w:sz w:val="24"/>
          <w:szCs w:val="24"/>
          <w:lang w:val="en-US"/>
        </w:rPr>
        <w:fldChar w:fldCharType="begin"/>
      </w:r>
      <w:r w:rsidR="00F77439" w:rsidRPr="002E7761">
        <w:rPr>
          <w:rFonts w:ascii="Times New Roman" w:hAnsi="Times New Roman" w:cs="Times New Roman"/>
          <w:bCs/>
          <w:sz w:val="24"/>
          <w:szCs w:val="24"/>
          <w:lang w:val="en-US"/>
        </w:rPr>
        <w:instrText xml:space="preserve"> ADDIN ZOTERO_ITEM CSL_CITATION {"citationID":"fUddFqUa","properties":{"formattedCitation":"(Wang et al., 2023)","plainCitation":"(Wang et al., 2023)","noteIndex":0},"citationItems":[{"id":1201,"uris":["http://zotero.org/users/11300200/items/5TDDX8AB"],"itemData":{"id":1201,"type":"article-journal","abstract":"Metabolic reprogramming, which is considered a hallmark of cancer, can maintain the homeostasis of the tumor environment and promote the proliferation, survival, and metastasis of cancer cells. For instance, increased glucose uptake and high glucose consumption, known as the “Warburg effect,” play an essential part in tumor metabolic reprogramming. In addition, fatty acids are harnessed to satisfy the increased requirement for the phospholipid components of biological membranes and energy. Moreover, the anabolism/catabolism of amino acids, such as glutamine, cystine, and serine, provides nitrogen donors for biosynthesis processes, development of the tumor inflammatory environment, and signal transduction. The ubiquitin–proteasome system (UPS) has been widely reported to be involved in various cellular biological activities. A potential role of UPS in the metabolic regulation of tumor cells has also been reported, but the specific regulatory mechanism has not been elucidated. Here, we review the role of ubiquitination and deubiquitination modification on major metabolic enzymes and important signaling pathways in tumor metabolism to inspire new strategies for the clinical treatment of cancer.","container-title":"Cancers","DOI":"10.3390/cancers15082385","ISSN":"2072-6694","issue":"8","journalAbbreviation":"Cancers","language":"en","license":"https://creativecommons.org/licenses/by/4.0/","page":"2385","source":"DOI.org (Crossref)","title":"The Ubiquitin–Proteasome System in Tumor Metabolism","volume":"15","author":[{"family":"Wang","given":"Jie"},{"family":"Xiang","given":"Yuandi"},{"family":"Fan","given":"Mengqi"},{"family":"Fang","given":"Shizhen"},{"family":"Hua","given":"Qingquan"}],"issued":{"date-parts":[["2023",4,20]]}}}],"schema":"https://github.com/citation-style-language/schema/raw/master/csl-citation.json"} </w:instrText>
      </w:r>
      <w:r w:rsidR="00F77439" w:rsidRPr="002E7761">
        <w:rPr>
          <w:rFonts w:ascii="Times New Roman" w:hAnsi="Times New Roman" w:cs="Times New Roman"/>
          <w:bCs/>
          <w:sz w:val="24"/>
          <w:szCs w:val="24"/>
          <w:lang w:val="en-US"/>
        </w:rPr>
        <w:fldChar w:fldCharType="separate"/>
      </w:r>
      <w:r w:rsidR="00A316B3" w:rsidRPr="00A316B3">
        <w:rPr>
          <w:rFonts w:ascii="Times New Roman" w:hAnsi="Times New Roman" w:cs="Times New Roman"/>
          <w:sz w:val="24"/>
        </w:rPr>
        <w:t>(Wang et al., 2023)</w:t>
      </w:r>
      <w:r w:rsidR="00F77439" w:rsidRPr="002E7761">
        <w:rPr>
          <w:rFonts w:ascii="Times New Roman" w:hAnsi="Times New Roman" w:cs="Times New Roman"/>
          <w:bCs/>
          <w:sz w:val="24"/>
          <w:szCs w:val="24"/>
          <w:lang w:val="en-US"/>
        </w:rPr>
        <w:fldChar w:fldCharType="end"/>
      </w:r>
    </w:p>
    <w:p w:rsidR="00F77439" w:rsidRPr="00A7035C" w:rsidRDefault="00F77439" w:rsidP="006D3376">
      <w:pPr>
        <w:spacing w:line="360" w:lineRule="auto"/>
        <w:jc w:val="both"/>
        <w:rPr>
          <w:rFonts w:ascii="Times New Roman" w:hAnsi="Times New Roman" w:cs="Times New Roman"/>
          <w:bCs/>
          <w:sz w:val="24"/>
          <w:szCs w:val="24"/>
          <w:lang w:val="en-US"/>
        </w:rPr>
      </w:pPr>
      <w:r w:rsidRPr="002E7761">
        <w:rPr>
          <w:rFonts w:ascii="Times New Roman" w:hAnsi="Times New Roman" w:cs="Times New Roman"/>
          <w:bCs/>
          <w:sz w:val="24"/>
          <w:szCs w:val="24"/>
          <w:lang w:val="en-US"/>
        </w:rPr>
        <w:t xml:space="preserve">Mutations in SPOP could disrupt this finely tuned regulation, potentially contributing to cancer initiation and progression </w:t>
      </w:r>
      <w:r w:rsidRPr="002E7761">
        <w:rPr>
          <w:rFonts w:ascii="Times New Roman" w:hAnsi="Times New Roman" w:cs="Times New Roman"/>
          <w:bCs/>
          <w:sz w:val="24"/>
          <w:szCs w:val="24"/>
          <w:lang w:val="en-US"/>
        </w:rPr>
        <w:fldChar w:fldCharType="begin"/>
      </w:r>
      <w:r w:rsidRPr="002E7761">
        <w:rPr>
          <w:rFonts w:ascii="Times New Roman" w:hAnsi="Times New Roman" w:cs="Times New Roman"/>
          <w:bCs/>
          <w:sz w:val="24"/>
          <w:szCs w:val="24"/>
          <w:lang w:val="en-US"/>
        </w:rPr>
        <w:instrText xml:space="preserve"> ADDIN ZOTERO_ITEM CSL_CITATION {"citationID":"KlQqkfZF","properties":{"formattedCitation":"(Rider &amp; Cramer, 2015)","plainCitation":"(Rider &amp; Cramer, 2015)","noteIndex":0},"citationItems":[{"id":426,"uris":["http://zotero.org/users/11300200/items/P3IMTB7C"],"itemData":{"id":426,"type":"article-journal","abstract":"Prostate cancers with mutations to a protein called SPOP use an error-prone method to repair broken DNA strands.","container-title":"eLife","DOI":"10.7554/eLife.11760","ISSN":"2050-084X","language":"en","page":"e11760","source":"DOI.org (Crossref)","title":"SPOP the mutation","volume":"4","author":[{"family":"Rider","given":"Leah"},{"family":"Cramer","given":"Scott D"}],"issued":{"date-parts":[["2015",10,27]]}}}],"schema":"https://github.com/citation-style-language/schema/raw/master/csl-citation.json"} </w:instrText>
      </w:r>
      <w:r w:rsidRPr="002E7761">
        <w:rPr>
          <w:rFonts w:ascii="Times New Roman" w:hAnsi="Times New Roman" w:cs="Times New Roman"/>
          <w:bCs/>
          <w:sz w:val="24"/>
          <w:szCs w:val="24"/>
          <w:lang w:val="en-US"/>
        </w:rPr>
        <w:fldChar w:fldCharType="separate"/>
      </w:r>
      <w:r w:rsidR="00A316B3" w:rsidRPr="00A316B3">
        <w:rPr>
          <w:rFonts w:ascii="Times New Roman" w:hAnsi="Times New Roman" w:cs="Times New Roman"/>
          <w:sz w:val="24"/>
        </w:rPr>
        <w:t>(Rider &amp; Cramer, 2015)</w:t>
      </w:r>
      <w:r w:rsidRPr="002E7761">
        <w:rPr>
          <w:rFonts w:ascii="Times New Roman" w:hAnsi="Times New Roman" w:cs="Times New Roman"/>
          <w:bCs/>
          <w:sz w:val="24"/>
          <w:szCs w:val="24"/>
          <w:lang w:val="en-US"/>
        </w:rPr>
        <w:fldChar w:fldCharType="end"/>
      </w:r>
      <w:r w:rsidRPr="002E7761">
        <w:rPr>
          <w:rFonts w:ascii="Times New Roman" w:hAnsi="Times New Roman" w:cs="Times New Roman"/>
          <w:bCs/>
          <w:sz w:val="24"/>
          <w:szCs w:val="24"/>
          <w:lang w:val="en-US"/>
        </w:rPr>
        <w:t xml:space="preserve">. Its ability to mediate both degradable and non-degradable </w:t>
      </w:r>
      <w:proofErr w:type="spellStart"/>
      <w:r w:rsidRPr="002E7761">
        <w:rPr>
          <w:rFonts w:ascii="Times New Roman" w:hAnsi="Times New Roman" w:cs="Times New Roman"/>
          <w:bCs/>
          <w:sz w:val="24"/>
          <w:szCs w:val="24"/>
          <w:lang w:val="en-US"/>
        </w:rPr>
        <w:t>polyubiquitination</w:t>
      </w:r>
      <w:proofErr w:type="spellEnd"/>
      <w:r w:rsidRPr="002E7761">
        <w:rPr>
          <w:rFonts w:ascii="Times New Roman" w:hAnsi="Times New Roman" w:cs="Times New Roman"/>
          <w:bCs/>
          <w:sz w:val="24"/>
          <w:szCs w:val="24"/>
          <w:lang w:val="en-US"/>
        </w:rPr>
        <w:t xml:space="preserve"> adds to its significance </w:t>
      </w:r>
      <w:r w:rsidRPr="002E7761">
        <w:rPr>
          <w:rFonts w:ascii="Times New Roman" w:hAnsi="Times New Roman" w:cs="Times New Roman"/>
          <w:bCs/>
          <w:sz w:val="24"/>
          <w:szCs w:val="24"/>
          <w:lang w:val="en-US"/>
        </w:rPr>
        <w:fldChar w:fldCharType="begin"/>
      </w:r>
      <w:r w:rsidR="00E71B74">
        <w:rPr>
          <w:rFonts w:ascii="Times New Roman" w:hAnsi="Times New Roman" w:cs="Times New Roman"/>
          <w:bCs/>
          <w:sz w:val="24"/>
          <w:szCs w:val="24"/>
          <w:lang w:val="en-US"/>
        </w:rPr>
        <w:instrText xml:space="preserve"> ADDIN ZOTERO_ITEM CSL_CITATION {"citationID":"Y9wznKhg","properties":{"formattedCitation":"(Zhang, Jin &amp; Huang, 2023b)","plainCitation":"(Zhang, Jin &amp; Huang, 2023b)","noteIndex":0},"citationItems":[{"id":433,"uris":["http://zotero.org/users/11300200/items/K62GDFFX"],"itemData":{"id":433,"type":"article-journal","abstract":"Abstract\n            Speckle-type POZ protein (SPOP) is a substrate-binding adaptor of the CULLIN3/RING-box1 E3 ubiquitin ligase complex. SPOP is frequently mutated in prostate and endometrial cancers, whereas it is overexpressed in renal cell carcinoma (RCC). SPOP can mediate both degradable and nondegradable polyubiquitination of a number of substrates with diverse biological functions such as androgen receptor (AR), SRC-3, TRIM24, BRD4, PD-L1, 53BP1, GLP/G9a, c-Myc, SENP7, among others. Cancer-associated SPOP mutants often impair SPOP binding and polyubiquitination of its substrates to influence various cancer-relevant pathways, which include androgen/AR signaling, DNA repair and methylation, cellular stress surveillance, cancer metabolism, and immunity. Although SPOP is recognized as a tumor suppressor in prostate and endometrial cancers, it acts like an oncoprotein in RCC. This review provides an overview of the recent progress in understanding of the upstream regulators of SPOP and its downstream targets, highlights the significant impact of SPOP mutations and overexpression on cancer pathogenesis, and discusses the potential of targeting SPOP for cancer treatment.","container-title":"Cancer Research","DOI":"10.1158/0008-5472.CAN-22-2801","ISSN":"0008-5472, 1538-7445","issue":"4","language":"en","page":"489-499","source":"DOI.org (Crossref)","title":"Deregulation of SPOP in Cancer","volume":"83","author":[{"family":"Zhang","given":"Hui"},{"family":"Jin","given":"Xiaofeng"},{"family":"Huang","given":"Haojie"}],"issued":{"date-parts":[["2023",2,15]]}}}],"schema":"https://github.com/citation-style-language/schema/raw/master/csl-citation.json"} </w:instrText>
      </w:r>
      <w:r w:rsidRPr="002E7761">
        <w:rPr>
          <w:rFonts w:ascii="Times New Roman" w:hAnsi="Times New Roman" w:cs="Times New Roman"/>
          <w:bCs/>
          <w:sz w:val="24"/>
          <w:szCs w:val="24"/>
          <w:lang w:val="en-US"/>
        </w:rPr>
        <w:fldChar w:fldCharType="separate"/>
      </w:r>
      <w:r w:rsidR="00A316B3" w:rsidRPr="00A316B3">
        <w:rPr>
          <w:rFonts w:ascii="Times New Roman" w:hAnsi="Times New Roman" w:cs="Times New Roman"/>
          <w:sz w:val="24"/>
        </w:rPr>
        <w:t>(Zhang, Jin &amp; Huang, 2023b)</w:t>
      </w:r>
      <w:r w:rsidRPr="002E7761">
        <w:rPr>
          <w:rFonts w:ascii="Times New Roman" w:hAnsi="Times New Roman" w:cs="Times New Roman"/>
          <w:bCs/>
          <w:sz w:val="24"/>
          <w:szCs w:val="24"/>
          <w:lang w:val="en-US"/>
        </w:rPr>
        <w:fldChar w:fldCharType="end"/>
      </w:r>
      <w:r w:rsidRPr="002E7761">
        <w:rPr>
          <w:rFonts w:ascii="Times New Roman" w:hAnsi="Times New Roman" w:cs="Times New Roman"/>
          <w:bCs/>
          <w:sz w:val="24"/>
          <w:szCs w:val="24"/>
          <w:lang w:val="en-US"/>
        </w:rPr>
        <w:t xml:space="preserve">. Some of the notable substrates that SPOP targets for </w:t>
      </w:r>
      <w:proofErr w:type="spellStart"/>
      <w:r w:rsidRPr="002E7761">
        <w:rPr>
          <w:rFonts w:ascii="Times New Roman" w:hAnsi="Times New Roman" w:cs="Times New Roman"/>
          <w:bCs/>
          <w:sz w:val="24"/>
          <w:szCs w:val="24"/>
          <w:lang w:val="en-US"/>
        </w:rPr>
        <w:t>ubiquitination</w:t>
      </w:r>
      <w:proofErr w:type="spellEnd"/>
      <w:r w:rsidRPr="002E7761">
        <w:rPr>
          <w:rFonts w:ascii="Times New Roman" w:hAnsi="Times New Roman" w:cs="Times New Roman"/>
          <w:bCs/>
          <w:sz w:val="24"/>
          <w:szCs w:val="24"/>
          <w:lang w:val="en-US"/>
        </w:rPr>
        <w:t xml:space="preserve"> include androgen receptor (AR), SRC-3, TRIM24, BRD4, PD-L1, 53BP1, GLP/G9a, c-</w:t>
      </w:r>
      <w:proofErr w:type="spellStart"/>
      <w:r w:rsidRPr="002E7761">
        <w:rPr>
          <w:rFonts w:ascii="Times New Roman" w:hAnsi="Times New Roman" w:cs="Times New Roman"/>
          <w:bCs/>
          <w:sz w:val="24"/>
          <w:szCs w:val="24"/>
          <w:lang w:val="en-US"/>
        </w:rPr>
        <w:t>Myc</w:t>
      </w:r>
      <w:proofErr w:type="spellEnd"/>
      <w:r w:rsidRPr="002E7761">
        <w:rPr>
          <w:rFonts w:ascii="Times New Roman" w:hAnsi="Times New Roman" w:cs="Times New Roman"/>
          <w:bCs/>
          <w:sz w:val="24"/>
          <w:szCs w:val="24"/>
          <w:lang w:val="en-US"/>
        </w:rPr>
        <w:t xml:space="preserve">, and SENP7, among others. This wide array of substrates highlights the multifaceted role of SPOP in cellular processes. Importantly, cancer-associated mutations in SPOP often disrupt its binding to substrates and its ability to </w:t>
      </w:r>
      <w:proofErr w:type="spellStart"/>
      <w:r w:rsidRPr="002E7761">
        <w:rPr>
          <w:rFonts w:ascii="Times New Roman" w:hAnsi="Times New Roman" w:cs="Times New Roman"/>
          <w:bCs/>
          <w:sz w:val="24"/>
          <w:szCs w:val="24"/>
          <w:lang w:val="en-US"/>
        </w:rPr>
        <w:t>polyubiquitinate</w:t>
      </w:r>
      <w:proofErr w:type="spellEnd"/>
      <w:r w:rsidRPr="002E7761">
        <w:rPr>
          <w:rFonts w:ascii="Times New Roman" w:hAnsi="Times New Roman" w:cs="Times New Roman"/>
          <w:bCs/>
          <w:sz w:val="24"/>
          <w:szCs w:val="24"/>
          <w:lang w:val="en-US"/>
        </w:rPr>
        <w:t xml:space="preserve"> them </w:t>
      </w:r>
      <w:r w:rsidRPr="002E7761">
        <w:rPr>
          <w:rFonts w:ascii="Times New Roman" w:hAnsi="Times New Roman" w:cs="Times New Roman"/>
          <w:bCs/>
          <w:sz w:val="24"/>
          <w:szCs w:val="24"/>
          <w:lang w:val="en-US"/>
        </w:rPr>
        <w:fldChar w:fldCharType="begin"/>
      </w:r>
      <w:r w:rsidR="00E71B74">
        <w:rPr>
          <w:rFonts w:ascii="Times New Roman" w:hAnsi="Times New Roman" w:cs="Times New Roman"/>
          <w:bCs/>
          <w:sz w:val="24"/>
          <w:szCs w:val="24"/>
          <w:lang w:val="en-US"/>
        </w:rPr>
        <w:instrText xml:space="preserve"> ADDIN ZOTERO_ITEM CSL_CITATION {"citationID":"PwU8dvdM","properties":{"formattedCitation":"(Zhang, Jin &amp; Huang, 2023b)","plainCitation":"(Zhang, Jin &amp; Huang, 2023b)","noteIndex":0},"citationItems":[{"id":433,"uris":["http://zotero.org/users/11300200/items/K62GDFFX"],"itemData":{"id":433,"type":"article-journal","abstract":"Abstract\n            Speckle-type POZ protein (SPOP) is a substrate-binding adaptor of the CULLIN3/RING-box1 E3 ubiquitin ligase complex. SPOP is frequently mutated in prostate and endometrial cancers, whereas it is overexpressed in renal cell carcinoma (RCC). SPOP can mediate both degradable and nondegradable polyubiquitination of a number of substrates with diverse biological functions such as androgen receptor (AR), SRC-3, TRIM24, BRD4, PD-L1, 53BP1, GLP/G9a, c-Myc, SENP7, among others. Cancer-associated SPOP mutants often impair SPOP binding and polyubiquitination of its substrates to influence various cancer-relevant pathways, which include androgen/AR signaling, DNA repair and methylation, cellular stress surveillance, cancer metabolism, and immunity. Although SPOP is recognized as a tumor suppressor in prostate and endometrial cancers, it acts like an oncoprotein in RCC. This review provides an overview of the recent progress in understanding of the upstream regulators of SPOP and its downstream targets, highlights the significant impact of SPOP mutations and overexpression on cancer pathogenesis, and discusses the potential of targeting SPOP for cancer treatment.","container-title":"Cancer Research","DOI":"10.1158/0008-5472.CAN-22-2801","ISSN":"0008-5472, 1538-7445","issue":"4","language":"en","page":"489-499","source":"DOI.org (Crossref)","title":"Deregulation of SPOP in Cancer","volume":"83","author":[{"family":"Zhang","given":"Hui"},{"family":"Jin","given":"Xiaofeng"},{"family":"Huang","given":"Haojie"}],"issued":{"date-parts":[["2023",2,15]]}}}],"schema":"https://github.com/citation-style-language/schema/raw/master/csl-citation.json"} </w:instrText>
      </w:r>
      <w:r w:rsidRPr="002E7761">
        <w:rPr>
          <w:rFonts w:ascii="Times New Roman" w:hAnsi="Times New Roman" w:cs="Times New Roman"/>
          <w:bCs/>
          <w:sz w:val="24"/>
          <w:szCs w:val="24"/>
          <w:lang w:val="en-US"/>
        </w:rPr>
        <w:fldChar w:fldCharType="separate"/>
      </w:r>
      <w:r w:rsidR="00A316B3" w:rsidRPr="00A316B3">
        <w:rPr>
          <w:rFonts w:ascii="Times New Roman" w:hAnsi="Times New Roman" w:cs="Times New Roman"/>
          <w:sz w:val="24"/>
        </w:rPr>
        <w:t>(Zhang, Jin &amp; Huang, 2023b)</w:t>
      </w:r>
      <w:r w:rsidRPr="002E7761">
        <w:rPr>
          <w:rFonts w:ascii="Times New Roman" w:hAnsi="Times New Roman" w:cs="Times New Roman"/>
          <w:bCs/>
          <w:sz w:val="24"/>
          <w:szCs w:val="24"/>
          <w:lang w:val="en-US"/>
        </w:rPr>
        <w:fldChar w:fldCharType="end"/>
      </w:r>
      <w:r w:rsidRPr="002E7761">
        <w:rPr>
          <w:rFonts w:ascii="Times New Roman" w:hAnsi="Times New Roman" w:cs="Times New Roman"/>
          <w:bCs/>
          <w:sz w:val="24"/>
          <w:szCs w:val="24"/>
          <w:lang w:val="en-US"/>
        </w:rPr>
        <w:t xml:space="preserve">. This disruption has far-reaching consequences on various cancer-related pathways. These pathways encompass androgen/AR signaling, crucial for prostate cancer, DNA repair and methylation mechanisms, cellular stress surveillance, regulation of cancer metabolism, and immune responses. SPOP mutations have been particularly associated with cancer, notably in prostate cancer </w:t>
      </w:r>
      <w:r w:rsidRPr="002E7761">
        <w:rPr>
          <w:rFonts w:ascii="Times New Roman" w:hAnsi="Times New Roman" w:cs="Times New Roman"/>
          <w:bCs/>
          <w:sz w:val="24"/>
          <w:szCs w:val="24"/>
          <w:lang w:val="en-US"/>
        </w:rPr>
        <w:fldChar w:fldCharType="begin"/>
      </w:r>
      <w:r w:rsidRPr="002E7761">
        <w:rPr>
          <w:rFonts w:ascii="Times New Roman" w:hAnsi="Times New Roman" w:cs="Times New Roman"/>
          <w:bCs/>
          <w:sz w:val="24"/>
          <w:szCs w:val="24"/>
          <w:lang w:val="en-US"/>
        </w:rPr>
        <w:instrText xml:space="preserve"> ADDIN ZOTERO_ITEM CSL_CITATION {"citationID":"CyEdt5yi","properties":{"formattedCitation":"(Clark &amp; Burleson, 2020)","plainCitation":"(Clark &amp; Burleson, 2020)","noteIndex":0},"citationItems":[{"id":466,"uris":["http://zotero.org/users/11300200/items/CPZ9EFYM"],"itemData":{"id":466,"type":"article-journal","abstract":"The initiation and progression of cancer is dependent on the acquisition of mutations in oncogenes or tumor suppressor genes that ultimately leads to the dysregulation of key regulatory pathways. Though these mutations often occur in direct regulators of such pathways, some may confer tumorigenic potential by indirectly targeting several pathways congruently thereby exerting pleiotropic effects. In recent years, the tumor suppressor gene Speckle Type POZ Protein (SPOP) has gained a lot of attention as it has been found to be altered in a variety of different cancers. SPOP appears to exert pleiotropic tumorigenic effects as multiple different regulatory pathways become dysregulated upon SPOP alterations. SPOP has been identified as an E3 ubiquitin ligase substrate binding subunit of the proteasome complex. Since protein degradation is critical in regulating proper cellular function it is not surprising that the proteasome pathway is often found to be disrupted in cancer. Many studies have now indicated that mutations or changes in the expression of SPOP are one of several underlying reasons of proteasome pathway disruption in different cancers. Ultimately, either SPOP downregulation or mutation promotes stabilization of direct SPOP targets which subsequently promotes cancer through the dysregulation of key regulatory pathways. In this review, we will discuss the current literature on cancer-specific SPOP alterations as well the SPOP targets that are stabilized, and the pathways that are dysregulated, as a result.","container-title":"American Journal of Cancer Research","ISSN":"2156-6976","issue":"3","journalAbbreviation":"Am J Cancer Res","language":"eng","note":"PMID: 32266086\nPMCID: PMC7136909","page":"704-726","source":"PubMed","title":"SPOP and cancer: a systematic review","title-short":"SPOP and cancer","volume":"10","author":[{"family":"Clark","given":"Alison"},{"family":"Burleson","given":"Marieke"}],"issued":{"date-parts":[["2020"]]}}}],"schema":"https://github.com/citation-style-language/schema/raw/master/csl-citation.json"} </w:instrText>
      </w:r>
      <w:r w:rsidRPr="002E7761">
        <w:rPr>
          <w:rFonts w:ascii="Times New Roman" w:hAnsi="Times New Roman" w:cs="Times New Roman"/>
          <w:bCs/>
          <w:sz w:val="24"/>
          <w:szCs w:val="24"/>
          <w:lang w:val="en-US"/>
        </w:rPr>
        <w:fldChar w:fldCharType="separate"/>
      </w:r>
      <w:r w:rsidR="00A316B3" w:rsidRPr="00A316B3">
        <w:rPr>
          <w:rFonts w:ascii="Times New Roman" w:hAnsi="Times New Roman" w:cs="Times New Roman"/>
          <w:sz w:val="24"/>
        </w:rPr>
        <w:t>(Clark &amp; Burleson, 2020)</w:t>
      </w:r>
      <w:r w:rsidRPr="002E7761">
        <w:rPr>
          <w:rFonts w:ascii="Times New Roman" w:hAnsi="Times New Roman" w:cs="Times New Roman"/>
          <w:bCs/>
          <w:sz w:val="24"/>
          <w:szCs w:val="24"/>
          <w:lang w:val="en-US"/>
        </w:rPr>
        <w:fldChar w:fldCharType="end"/>
      </w:r>
      <w:r w:rsidRPr="002E7761">
        <w:rPr>
          <w:rFonts w:ascii="Times New Roman" w:hAnsi="Times New Roman" w:cs="Times New Roman"/>
          <w:bCs/>
          <w:sz w:val="24"/>
          <w:szCs w:val="24"/>
          <w:lang w:val="en-US"/>
        </w:rPr>
        <w:t xml:space="preserve">. Mutations in the SPOP gene can lead to altered substrate recognition, resulting in </w:t>
      </w:r>
      <w:proofErr w:type="spellStart"/>
      <w:r w:rsidRPr="002E7761">
        <w:rPr>
          <w:rFonts w:ascii="Times New Roman" w:hAnsi="Times New Roman" w:cs="Times New Roman"/>
          <w:bCs/>
          <w:sz w:val="24"/>
          <w:szCs w:val="24"/>
          <w:lang w:val="en-US"/>
        </w:rPr>
        <w:t>dysregulation</w:t>
      </w:r>
      <w:proofErr w:type="spellEnd"/>
      <w:r w:rsidRPr="002E7761">
        <w:rPr>
          <w:rFonts w:ascii="Times New Roman" w:hAnsi="Times New Roman" w:cs="Times New Roman"/>
          <w:bCs/>
          <w:sz w:val="24"/>
          <w:szCs w:val="24"/>
          <w:lang w:val="en-US"/>
        </w:rPr>
        <w:t xml:space="preserve"> of cellular processes </w:t>
      </w:r>
      <w:r w:rsidRPr="002E7761">
        <w:rPr>
          <w:rFonts w:ascii="Times New Roman" w:hAnsi="Times New Roman" w:cs="Times New Roman"/>
          <w:bCs/>
          <w:sz w:val="24"/>
          <w:szCs w:val="24"/>
          <w:lang w:val="en-US"/>
        </w:rPr>
        <w:fldChar w:fldCharType="begin"/>
      </w:r>
      <w:r w:rsidRPr="002E7761">
        <w:rPr>
          <w:rFonts w:ascii="Times New Roman" w:hAnsi="Times New Roman" w:cs="Times New Roman"/>
          <w:bCs/>
          <w:sz w:val="24"/>
          <w:szCs w:val="24"/>
          <w:lang w:val="en-US"/>
        </w:rPr>
        <w:instrText xml:space="preserve"> ADDIN ZOTERO_ITEM CSL_CITATION {"citationID":"Q0EfBMCY","properties":{"formattedCitation":"(Shi et al., 2019)","plainCitation":"(Shi et al., 2019)","noteIndex":0},"citationItems":[{"id":425,"uris":["http://zotero.org/users/11300200/items/ZFFGGT4M"],"itemData":{"id":425,"type":"article-journal","abstract":"Abstract\n            \n              Background\n              The gene encoding the E3 ubiquitin ligase substrate-binding adaptor SPOP is frequently mutated in primary prostate cancer, but how SPOP mutations contribute to prostate cancer pathogenesis remains poorly understood. Stress granules (SG) assembly is an evolutionarily conserved strategy for survival of cells under stress, and often upregulated in human cancers. We investigated the role of SPOP mutations in aberrant activation of the SG in prostate cancer and explored the relevanve of the mechanism in therapy resistance.\n            \n            \n              Methods\n              We identified SG nucleating protein Caprin1 as a SPOP interactor by using the yeast two hybrid methods. A series of functional analyses in cell lines, patient samples, and xenograft models were performed to investigate the biological significance and clinical relevance of SPOP regulation of SG signaling in prostate cancer.\n            \n            \n              Results\n              \n                The cytoplasmic form of wild-type (WT) SPOP recognizes and triggers ubiquitin-dependent degradation of Caprin1. Caprin1 abundance is elevated in SPOP-mutant expressing prostate cancer cell lines and patient specimens. SPOP WT suppresses SG assembly, while the prostate cancer-associated mutants enhance SG assembly in a Caprin1-dependent manner. Knockout of SPOP or expression of prostate cancer-associated SPOP mutants conferred resistance to death caused by SG inducers (e.g. docetaxel, sodium arsenite and H\n                2\n                O\n                2\n                ) in prostate cancer cells.\n              \n            \n            \n              Conclusions\n              SG assembly is aberrantly elevated in SPOP-mutated prostate cancer. SPOP mutations cause resistance to cellular stress induced by chemtherapeutic drug such as docetaxel in prostate cancer.","container-title":"Molecular Cancer","DOI":"10.1186/s12943-019-1096-x","ISSN":"1476-4598","issue":"1","journalAbbreviation":"Mol Cancer","language":"en","page":"170","source":"DOI.org (Crossref)","title":"Prostate Cancer-associated SPOP mutations enhance cancer cell survival and docetaxel resistance by upregulating Caprin1-dependent stress granule assembly","volume":"18","author":[{"family":"Shi","given":"Qing"},{"family":"Zhu","given":"Yasheng"},{"family":"Ma","given":"Jian"},{"family":"Chang","given":"Kun"},{"family":"Ding","given":"Dongling"},{"family":"Bai","given":"Yang"},{"family":"Gao","given":"Kun"},{"family":"Zhang","given":"Pingzhao"},{"family":"Mo","given":"Ren"},{"family":"Feng","given":"Kai"},{"family":"Zhao","given":"Xiaying"},{"family":"Zhang","given":"Liang"},{"family":"Sun","given":"Huiru"},{"family":"Jiao","given":"Dongyue"},{"family":"Chen","given":"Yingji"},{"family":"Sun","given":"Yinghao"},{"family":"Zhao","given":"Shi-min"},{"family":"Huang","given":"Haojie"},{"family":"Li","given":"Yao"},{"family":"Ren","given":"Shancheng"},{"family":"Wang","given":"Chenji"}],"issued":{"date-parts":[["2019",12]]}}}],"schema":"https://github.com/citation-style-language/schema/raw/master/csl-citation.json"} </w:instrText>
      </w:r>
      <w:r w:rsidRPr="002E7761">
        <w:rPr>
          <w:rFonts w:ascii="Times New Roman" w:hAnsi="Times New Roman" w:cs="Times New Roman"/>
          <w:bCs/>
          <w:sz w:val="24"/>
          <w:szCs w:val="24"/>
          <w:lang w:val="en-US"/>
        </w:rPr>
        <w:fldChar w:fldCharType="separate"/>
      </w:r>
      <w:r w:rsidR="00A316B3" w:rsidRPr="00A316B3">
        <w:rPr>
          <w:rFonts w:ascii="Times New Roman" w:hAnsi="Times New Roman" w:cs="Times New Roman"/>
          <w:sz w:val="24"/>
        </w:rPr>
        <w:t>(Shi et al., 2019)</w:t>
      </w:r>
      <w:r w:rsidRPr="002E7761">
        <w:rPr>
          <w:rFonts w:ascii="Times New Roman" w:hAnsi="Times New Roman" w:cs="Times New Roman"/>
          <w:bCs/>
          <w:sz w:val="24"/>
          <w:szCs w:val="24"/>
          <w:lang w:val="en-US"/>
        </w:rPr>
        <w:fldChar w:fldCharType="end"/>
      </w:r>
      <w:r w:rsidRPr="002E7761">
        <w:rPr>
          <w:rFonts w:ascii="Times New Roman" w:hAnsi="Times New Roman" w:cs="Times New Roman"/>
          <w:bCs/>
          <w:sz w:val="24"/>
          <w:szCs w:val="24"/>
          <w:lang w:val="en-US"/>
        </w:rPr>
        <w:t xml:space="preserve">. In prostate cancer, SPOP mutations are often found in localized tumors and can impact the regulation of the androgen </w:t>
      </w:r>
      <w:r w:rsidRPr="002E7761">
        <w:rPr>
          <w:rFonts w:ascii="Times New Roman" w:hAnsi="Times New Roman" w:cs="Times New Roman"/>
          <w:bCs/>
          <w:sz w:val="24"/>
          <w:szCs w:val="24"/>
          <w:lang w:val="en-US"/>
        </w:rPr>
        <w:lastRenderedPageBreak/>
        <w:t>receptor (AR) signaling pathway. Dysfunctional SPOP activity in AR signaling can contribute to the development of castration-resistant prostate cancer, a more</w:t>
      </w:r>
      <w:r w:rsidR="00A7035C">
        <w:rPr>
          <w:rFonts w:ascii="Times New Roman" w:hAnsi="Times New Roman" w:cs="Times New Roman"/>
          <w:bCs/>
          <w:sz w:val="24"/>
          <w:szCs w:val="24"/>
          <w:lang w:val="en-US"/>
        </w:rPr>
        <w:t xml:space="preserve"> aggressive form of the disease</w:t>
      </w:r>
      <w:r w:rsidRPr="002E7761">
        <w:rPr>
          <w:rFonts w:ascii="Times New Roman" w:hAnsi="Times New Roman" w:cs="Times New Roman"/>
          <w:bCs/>
          <w:sz w:val="24"/>
          <w:szCs w:val="24"/>
          <w:lang w:val="en-US"/>
        </w:rPr>
        <w:t>.</w:t>
      </w:r>
      <w:r w:rsidR="00A7035C">
        <w:rPr>
          <w:rFonts w:ascii="Times New Roman" w:hAnsi="Times New Roman" w:cs="Times New Roman"/>
          <w:bCs/>
          <w:sz w:val="24"/>
          <w:szCs w:val="24"/>
          <w:lang w:val="en-US"/>
        </w:rPr>
        <w:t xml:space="preserve"> </w:t>
      </w:r>
      <w:r w:rsidRPr="002E7761">
        <w:rPr>
          <w:rFonts w:ascii="Times New Roman" w:hAnsi="Times New Roman" w:cs="Times New Roman"/>
          <w:sz w:val="24"/>
          <w:szCs w:val="24"/>
          <w:lang w:val="en-US"/>
        </w:rPr>
        <w:t>Several mutations in the SPOP gene have been identified in prostate cancer.</w:t>
      </w:r>
      <w:r w:rsidRPr="002E7761">
        <w:rPr>
          <w:rFonts w:ascii="Times New Roman" w:hAnsi="Times New Roman" w:cs="Times New Roman"/>
          <w:sz w:val="24"/>
          <w:szCs w:val="24"/>
        </w:rPr>
        <w:t xml:space="preserve"> </w:t>
      </w:r>
      <w:r w:rsidRPr="002E7761">
        <w:rPr>
          <w:rFonts w:ascii="Times New Roman" w:hAnsi="Times New Roman" w:cs="Times New Roman"/>
          <w:sz w:val="24"/>
          <w:szCs w:val="24"/>
          <w:lang w:val="en-US"/>
        </w:rPr>
        <w:t xml:space="preserve">260A&gt;G The most common mutations are clustered within the substrate-binding MATH domain of the SPOP protein </w:t>
      </w:r>
      <w:r w:rsidRPr="002E7761">
        <w:rPr>
          <w:rFonts w:ascii="Times New Roman" w:hAnsi="Times New Roman" w:cs="Times New Roman"/>
          <w:sz w:val="24"/>
          <w:szCs w:val="24"/>
          <w:lang w:val="en-US"/>
        </w:rPr>
        <w:fldChar w:fldCharType="begin"/>
      </w:r>
      <w:r w:rsidR="00A316B3">
        <w:rPr>
          <w:rFonts w:ascii="Times New Roman" w:hAnsi="Times New Roman" w:cs="Times New Roman"/>
          <w:sz w:val="24"/>
          <w:szCs w:val="24"/>
          <w:lang w:val="en-US"/>
        </w:rPr>
        <w:instrText xml:space="preserve"> ADDIN ZOTERO_ITEM CSL_CITATION {"citationID":"sKWS6VaL","properties":{"formattedCitation":"(Abumsimir et al., 2021; Buckles et al., 2014)","plainCitation":"(Abumsimir et al., 2021; Buckles et al., 2014)","noteIndex":0},"citationItems":[{"id":413,"uris":["http://zotero.org/users/11300200/items/5M5B3DCD"],"itemData":{"id":413,"type":"report","abstract":"Abstract\n          \n            SPOP\n            gene has a critical role in prostate cancer development and found high mutated in the prostate tumor through various populations. MATH domain represents an important site for\n            SPOP\n            -DNA linkage and other sensitive gene-gene interactions. To investigate the genetic alterations of the MATH domain of\n            SPOP\n            gene in prostate cancer biopsies and correlation with clinical and pathological parameters; DNA samples from 50 prostate cancer tissues were genotyped and confirmed by Sanger sequencing. The frequency and distribution of high frequent mutations were determined and correlated with the patient’s tumor characteristics. Among 50 samples 34 (68%) were carrying one or more common mutations. Novel frame shift deletion mutation: c.255delA (p.Leu86Phefs) was detected in eight patients (16%), in addition to five novel missense mutations with moderate frequency (6%) namely: c.209G&gt;C (p.Arg70Pro), c.215A&gt;C (p.Asn72Thr), c.334G&gt;A (p.Glu112Lys), c.373T&gt;C (p.Phe125Leu), and c.388G&gt;A (p.Asp130Asn), All missense mutations located in MATH domain. The effects of novel mutations described in the MATH domain are uncertain. No significant differences between carriers and noncarriers of common mutations detected regarding Gleason score, prostate-specific antigen concentration PSA, and tumor stage [p &gt; 0.05]. Clinical significance of mutations detected on prostate tumors progression can be investigated in future analysis. Our findings revealed novel\n            SPOP\n            alterations in prostate cancer tissues probably associated with cancer development.","collection-title":"medRxiv","event-place":"medRxiv","genre":"preprint","language":"en","note":"DOI: 10.1101/2021.09.09.21263201","publisher":"Oncology","publisher-place":"medRxiv","source":"DOI.org (Crossref)","title":"Common genetic alterations of &lt;i&gt;SPOP-MATH&lt;/i&gt; domain in prostate cancer tissues and association with pathological tumor characteristics &lt;sup&gt;*&lt;/sup&gt;","URL":"http://medrxiv.org/lookup/doi/10.1101/2021.09.09.21263201","author":[{"family":"Abumsimir","given":"Berjas"},{"family":"Mrabti","given":"Mohammed"},{"family":"Laraqui","given":"Abdelilah"},{"family":"Saif","given":"Imane"},{"family":"Lamsisi","given":"Maryame"},{"family":"Ennaji","given":"Youssef"},{"family":"Ameur","given":"Ahmed"},{"family":"Koraishi","given":"Saad Ibnsouda"},{"family":"Ennaji","given":"Moulay Mustapha"}],"accessed":{"date-parts":[["2023",9,23]]},"issued":{"date-parts":[["2021",9,14]]}}},{"id":409,"uris":["http://zotero.org/users/11300200/items/WB9VETD7"],"itemData":{"id":409,"type":"article-journal","container-title":"Asian Journal of Andrology","DOI":"10.4103/1008-682X.132470","ISSN":"1008-682X","issue":"6","journalAbbreviation":"Asian J Androl","language":"en","page":"829","source":"DOI.org (Crossref)","title":"Identification of speckle-type POZ protein somatic mutations in African American prostate cancer","volume":"16","author":[{"family":"Buckles","given":"Eric"},{"family":"Qian","given":"Chiping"},{"family":"Tadros","given":"Andrew"},{"family":"Majumdar","given":"Sumana"},{"family":"Cvitanovic","given":"Jennifer"},{"family":"Zabaleta","given":"Jovanny"},{"family":"Estrada","given":"John"},{"family":"Wilson","given":"John"},{"family":"Liu","given":"Wanguo"}],"issued":{"date-parts":[["2014"]]}}}],"schema":"https://github.com/citation-style-language/schema/raw/master/csl-citation.json"} </w:instrText>
      </w:r>
      <w:r w:rsidRPr="002E7761">
        <w:rPr>
          <w:rFonts w:ascii="Times New Roman" w:hAnsi="Times New Roman" w:cs="Times New Roman"/>
          <w:sz w:val="24"/>
          <w:szCs w:val="24"/>
          <w:lang w:val="en-US"/>
        </w:rPr>
        <w:fldChar w:fldCharType="separate"/>
      </w:r>
      <w:r w:rsidR="00A316B3" w:rsidRPr="00A316B3">
        <w:rPr>
          <w:rFonts w:ascii="Times New Roman" w:hAnsi="Times New Roman" w:cs="Times New Roman"/>
          <w:sz w:val="24"/>
        </w:rPr>
        <w:t>(Abumsimir et al., 2021; Buckles et al., 2014)</w:t>
      </w:r>
      <w:r w:rsidRPr="002E7761">
        <w:rPr>
          <w:rFonts w:ascii="Times New Roman" w:hAnsi="Times New Roman" w:cs="Times New Roman"/>
          <w:sz w:val="24"/>
          <w:szCs w:val="24"/>
          <w:lang w:val="en-US"/>
        </w:rPr>
        <w:fldChar w:fldCharType="end"/>
      </w:r>
      <w:r w:rsidRPr="002E7761">
        <w:rPr>
          <w:rFonts w:ascii="Times New Roman" w:hAnsi="Times New Roman" w:cs="Times New Roman"/>
          <w:sz w:val="24"/>
          <w:szCs w:val="24"/>
          <w:lang w:val="en-US"/>
        </w:rPr>
        <w:t>. Some of the well-known SPOP mutations in prostate cancer include:</w:t>
      </w:r>
    </w:p>
    <w:p w:rsidR="00F77439" w:rsidRPr="002E7761" w:rsidRDefault="00F77439" w:rsidP="006D3376">
      <w:pPr>
        <w:numPr>
          <w:ilvl w:val="0"/>
          <w:numId w:val="9"/>
        </w:numPr>
        <w:spacing w:line="360" w:lineRule="auto"/>
        <w:jc w:val="both"/>
        <w:rPr>
          <w:rFonts w:ascii="Times New Roman" w:hAnsi="Times New Roman" w:cs="Times New Roman"/>
          <w:sz w:val="24"/>
          <w:szCs w:val="24"/>
          <w:lang w:val="en-US"/>
        </w:rPr>
      </w:pPr>
      <w:r w:rsidRPr="002E7761">
        <w:rPr>
          <w:rFonts w:ascii="Times New Roman" w:hAnsi="Times New Roman" w:cs="Times New Roman"/>
          <w:sz w:val="24"/>
          <w:szCs w:val="24"/>
          <w:lang w:val="en-US"/>
        </w:rPr>
        <w:t>Y87N: This mutation involves a tyrosine-to-asparagine substitution at amino acid position 87 in the MATH domain of SPOP.</w:t>
      </w:r>
    </w:p>
    <w:p w:rsidR="00F77439" w:rsidRPr="002E7761" w:rsidRDefault="00F77439" w:rsidP="006D3376">
      <w:pPr>
        <w:numPr>
          <w:ilvl w:val="0"/>
          <w:numId w:val="9"/>
        </w:numPr>
        <w:spacing w:line="360" w:lineRule="auto"/>
        <w:jc w:val="both"/>
        <w:rPr>
          <w:rFonts w:ascii="Times New Roman" w:hAnsi="Times New Roman" w:cs="Times New Roman"/>
          <w:sz w:val="24"/>
          <w:szCs w:val="24"/>
          <w:lang w:val="en-US"/>
        </w:rPr>
      </w:pPr>
      <w:r w:rsidRPr="002E7761">
        <w:rPr>
          <w:rFonts w:ascii="Times New Roman" w:hAnsi="Times New Roman" w:cs="Times New Roman"/>
          <w:sz w:val="24"/>
          <w:szCs w:val="24"/>
          <w:lang w:val="en-US"/>
        </w:rPr>
        <w:t>Y87C: This mutation involves a tyrosine-to-cysteine substitution at amino acid position 87 in the MATH domain of SPOP.</w:t>
      </w:r>
    </w:p>
    <w:p w:rsidR="00F77439" w:rsidRPr="002E7761" w:rsidRDefault="00F77439" w:rsidP="006D3376">
      <w:pPr>
        <w:numPr>
          <w:ilvl w:val="0"/>
          <w:numId w:val="9"/>
        </w:numPr>
        <w:spacing w:line="360" w:lineRule="auto"/>
        <w:jc w:val="both"/>
        <w:rPr>
          <w:rFonts w:ascii="Times New Roman" w:hAnsi="Times New Roman" w:cs="Times New Roman"/>
          <w:sz w:val="24"/>
          <w:szCs w:val="24"/>
          <w:lang w:val="en-US"/>
        </w:rPr>
      </w:pPr>
      <w:r w:rsidRPr="002E7761">
        <w:rPr>
          <w:rFonts w:ascii="Times New Roman" w:hAnsi="Times New Roman" w:cs="Times New Roman"/>
          <w:sz w:val="24"/>
          <w:szCs w:val="24"/>
          <w:lang w:val="en-US"/>
        </w:rPr>
        <w:t>F102C: This mutation results in a phenylalanine-to-cysteine substitution at amino acid position 102.</w:t>
      </w:r>
    </w:p>
    <w:p w:rsidR="00F77439" w:rsidRPr="002E7761" w:rsidRDefault="00F77439" w:rsidP="006D3376">
      <w:pPr>
        <w:numPr>
          <w:ilvl w:val="0"/>
          <w:numId w:val="9"/>
        </w:numPr>
        <w:spacing w:line="360" w:lineRule="auto"/>
        <w:jc w:val="both"/>
        <w:rPr>
          <w:rFonts w:ascii="Times New Roman" w:hAnsi="Times New Roman" w:cs="Times New Roman"/>
          <w:sz w:val="24"/>
          <w:szCs w:val="24"/>
          <w:lang w:val="en-US"/>
        </w:rPr>
      </w:pPr>
      <w:r w:rsidRPr="002E7761">
        <w:rPr>
          <w:rFonts w:ascii="Times New Roman" w:hAnsi="Times New Roman" w:cs="Times New Roman"/>
          <w:sz w:val="24"/>
          <w:szCs w:val="24"/>
          <w:lang w:val="en-US"/>
        </w:rPr>
        <w:t>F102S: This mutation results in a phenylalanine-to-serine substitution at amino acid position 102.</w:t>
      </w:r>
    </w:p>
    <w:p w:rsidR="00F77439" w:rsidRPr="002E7761" w:rsidRDefault="00F77439" w:rsidP="006D3376">
      <w:pPr>
        <w:numPr>
          <w:ilvl w:val="0"/>
          <w:numId w:val="9"/>
        </w:numPr>
        <w:spacing w:line="360" w:lineRule="auto"/>
        <w:jc w:val="both"/>
        <w:rPr>
          <w:rFonts w:ascii="Times New Roman" w:hAnsi="Times New Roman" w:cs="Times New Roman"/>
          <w:sz w:val="24"/>
          <w:szCs w:val="24"/>
          <w:lang w:val="en-US"/>
        </w:rPr>
      </w:pPr>
      <w:r w:rsidRPr="002E7761">
        <w:rPr>
          <w:rFonts w:ascii="Times New Roman" w:hAnsi="Times New Roman" w:cs="Times New Roman"/>
          <w:sz w:val="24"/>
          <w:szCs w:val="24"/>
          <w:lang w:val="en-US"/>
        </w:rPr>
        <w:t>F133V: This mutation involves a phenylalanine-to-</w:t>
      </w:r>
      <w:proofErr w:type="spellStart"/>
      <w:r w:rsidRPr="002E7761">
        <w:rPr>
          <w:rFonts w:ascii="Times New Roman" w:hAnsi="Times New Roman" w:cs="Times New Roman"/>
          <w:sz w:val="24"/>
          <w:szCs w:val="24"/>
          <w:lang w:val="en-US"/>
        </w:rPr>
        <w:t>valine</w:t>
      </w:r>
      <w:proofErr w:type="spellEnd"/>
      <w:r w:rsidRPr="002E7761">
        <w:rPr>
          <w:rFonts w:ascii="Times New Roman" w:hAnsi="Times New Roman" w:cs="Times New Roman"/>
          <w:sz w:val="24"/>
          <w:szCs w:val="24"/>
          <w:lang w:val="en-US"/>
        </w:rPr>
        <w:t xml:space="preserve"> substitution at amino acid position 133.</w:t>
      </w:r>
    </w:p>
    <w:p w:rsidR="00F77439" w:rsidRPr="002E7761" w:rsidRDefault="00F77439" w:rsidP="006D3376">
      <w:pPr>
        <w:numPr>
          <w:ilvl w:val="0"/>
          <w:numId w:val="9"/>
        </w:numPr>
        <w:spacing w:line="360" w:lineRule="auto"/>
        <w:jc w:val="both"/>
        <w:rPr>
          <w:rFonts w:ascii="Times New Roman" w:hAnsi="Times New Roman" w:cs="Times New Roman"/>
          <w:sz w:val="24"/>
          <w:szCs w:val="24"/>
          <w:lang w:val="en-US"/>
        </w:rPr>
      </w:pPr>
      <w:r w:rsidRPr="002E7761">
        <w:rPr>
          <w:rFonts w:ascii="Times New Roman" w:hAnsi="Times New Roman" w:cs="Times New Roman"/>
          <w:sz w:val="24"/>
          <w:szCs w:val="24"/>
          <w:lang w:val="en-US"/>
        </w:rPr>
        <w:t>F133L: This mutation results in a phenylalanine-to-</w:t>
      </w:r>
      <w:proofErr w:type="spellStart"/>
      <w:r w:rsidRPr="002E7761">
        <w:rPr>
          <w:rFonts w:ascii="Times New Roman" w:hAnsi="Times New Roman" w:cs="Times New Roman"/>
          <w:sz w:val="24"/>
          <w:szCs w:val="24"/>
          <w:lang w:val="en-US"/>
        </w:rPr>
        <w:t>leucine</w:t>
      </w:r>
      <w:proofErr w:type="spellEnd"/>
      <w:r w:rsidRPr="002E7761">
        <w:rPr>
          <w:rFonts w:ascii="Times New Roman" w:hAnsi="Times New Roman" w:cs="Times New Roman"/>
          <w:sz w:val="24"/>
          <w:szCs w:val="24"/>
          <w:lang w:val="en-US"/>
        </w:rPr>
        <w:t xml:space="preserve"> substitution at amino acid position 133.</w:t>
      </w:r>
    </w:p>
    <w:p w:rsidR="00F77439" w:rsidRPr="002E7761" w:rsidRDefault="00F77439" w:rsidP="006D3376">
      <w:pPr>
        <w:numPr>
          <w:ilvl w:val="0"/>
          <w:numId w:val="9"/>
        </w:numPr>
        <w:spacing w:line="360" w:lineRule="auto"/>
        <w:jc w:val="both"/>
        <w:rPr>
          <w:rFonts w:ascii="Times New Roman" w:hAnsi="Times New Roman" w:cs="Times New Roman"/>
          <w:sz w:val="24"/>
          <w:szCs w:val="24"/>
          <w:lang w:val="en-US"/>
        </w:rPr>
      </w:pPr>
      <w:r w:rsidRPr="002E7761">
        <w:rPr>
          <w:rFonts w:ascii="Times New Roman" w:hAnsi="Times New Roman" w:cs="Times New Roman"/>
          <w:sz w:val="24"/>
          <w:szCs w:val="24"/>
          <w:lang w:val="en-US"/>
        </w:rPr>
        <w:t xml:space="preserve">G111E: This mutation results in a glycine-to-glutamic acid substitution at amino acid position 111. </w:t>
      </w:r>
    </w:p>
    <w:p w:rsidR="00F77439" w:rsidRPr="002E7761" w:rsidRDefault="00F77439" w:rsidP="006D3376">
      <w:pPr>
        <w:numPr>
          <w:ilvl w:val="0"/>
          <w:numId w:val="9"/>
        </w:numPr>
        <w:spacing w:line="360" w:lineRule="auto"/>
        <w:jc w:val="both"/>
        <w:rPr>
          <w:rFonts w:ascii="Times New Roman" w:hAnsi="Times New Roman" w:cs="Times New Roman"/>
          <w:sz w:val="24"/>
          <w:szCs w:val="24"/>
          <w:lang w:val="en-US"/>
        </w:rPr>
      </w:pPr>
      <w:r w:rsidRPr="002E7761">
        <w:rPr>
          <w:rFonts w:ascii="Times New Roman" w:hAnsi="Times New Roman" w:cs="Times New Roman"/>
          <w:sz w:val="24"/>
          <w:szCs w:val="24"/>
          <w:lang w:val="en-US"/>
        </w:rPr>
        <w:t>W131G: This mutation involves a tryptophan-to-glycine substitution at amino acid position 131.</w:t>
      </w:r>
    </w:p>
    <w:p w:rsidR="00F77439" w:rsidRPr="002E7761" w:rsidRDefault="00F77439" w:rsidP="006D3376">
      <w:pPr>
        <w:numPr>
          <w:ilvl w:val="0"/>
          <w:numId w:val="9"/>
        </w:numPr>
        <w:spacing w:line="360" w:lineRule="auto"/>
        <w:jc w:val="both"/>
        <w:rPr>
          <w:rFonts w:ascii="Times New Roman" w:hAnsi="Times New Roman" w:cs="Times New Roman"/>
          <w:sz w:val="24"/>
          <w:szCs w:val="24"/>
          <w:lang w:val="en-US"/>
        </w:rPr>
      </w:pPr>
      <w:r w:rsidRPr="002E7761">
        <w:rPr>
          <w:rFonts w:ascii="Times New Roman" w:hAnsi="Times New Roman" w:cs="Times New Roman"/>
          <w:sz w:val="24"/>
          <w:szCs w:val="24"/>
          <w:lang w:val="en-US"/>
        </w:rPr>
        <w:t>Q165H: This mutation results in a glutamine-to-</w:t>
      </w:r>
      <w:proofErr w:type="spellStart"/>
      <w:r w:rsidRPr="002E7761">
        <w:rPr>
          <w:rFonts w:ascii="Times New Roman" w:hAnsi="Times New Roman" w:cs="Times New Roman"/>
          <w:sz w:val="24"/>
          <w:szCs w:val="24"/>
          <w:lang w:val="en-US"/>
        </w:rPr>
        <w:t>histidine</w:t>
      </w:r>
      <w:proofErr w:type="spellEnd"/>
      <w:r w:rsidRPr="002E7761">
        <w:rPr>
          <w:rFonts w:ascii="Times New Roman" w:hAnsi="Times New Roman" w:cs="Times New Roman"/>
          <w:sz w:val="24"/>
          <w:szCs w:val="24"/>
          <w:lang w:val="en-US"/>
        </w:rPr>
        <w:t xml:space="preserve"> substitution at amino acid position 165.</w:t>
      </w:r>
    </w:p>
    <w:p w:rsidR="00F77439" w:rsidRPr="002E7761" w:rsidRDefault="00F77439" w:rsidP="006D3376">
      <w:pPr>
        <w:numPr>
          <w:ilvl w:val="0"/>
          <w:numId w:val="9"/>
        </w:numPr>
        <w:spacing w:line="360" w:lineRule="auto"/>
        <w:jc w:val="both"/>
        <w:rPr>
          <w:rFonts w:ascii="Times New Roman" w:hAnsi="Times New Roman" w:cs="Times New Roman"/>
          <w:sz w:val="24"/>
          <w:szCs w:val="24"/>
          <w:lang w:val="en-US"/>
        </w:rPr>
      </w:pPr>
      <w:r w:rsidRPr="002E7761">
        <w:rPr>
          <w:rFonts w:ascii="Times New Roman" w:hAnsi="Times New Roman" w:cs="Times New Roman"/>
          <w:sz w:val="24"/>
          <w:szCs w:val="24"/>
          <w:lang w:val="en-US"/>
        </w:rPr>
        <w:t>N296I: This mutation results in an asparagine-to-isoleucine substitution at amino acid position 296.</w:t>
      </w:r>
    </w:p>
    <w:p w:rsidR="00F77439" w:rsidRPr="002E7761" w:rsidRDefault="00F77439" w:rsidP="006D3376">
      <w:pPr>
        <w:spacing w:line="360" w:lineRule="auto"/>
        <w:jc w:val="both"/>
        <w:rPr>
          <w:rFonts w:ascii="Times New Roman" w:hAnsi="Times New Roman" w:cs="Times New Roman"/>
          <w:sz w:val="24"/>
          <w:szCs w:val="24"/>
          <w:lang w:val="en-US"/>
        </w:rPr>
      </w:pPr>
      <w:r w:rsidRPr="002E7761">
        <w:rPr>
          <w:rFonts w:ascii="Times New Roman" w:hAnsi="Times New Roman" w:cs="Times New Roman"/>
          <w:sz w:val="24"/>
          <w:szCs w:val="24"/>
          <w:lang w:val="en-US"/>
        </w:rPr>
        <w:t xml:space="preserve">These mutations have been detected in subsets of prostate cancer patients, and their functional consequences can vary. Notably, SPOP mutations have been associated with altered androgen receptor (AR) signaling and can impact the stability and activity of the AR protein. Some SPOP </w:t>
      </w:r>
      <w:r w:rsidRPr="002E7761">
        <w:rPr>
          <w:rFonts w:ascii="Times New Roman" w:hAnsi="Times New Roman" w:cs="Times New Roman"/>
          <w:sz w:val="24"/>
          <w:szCs w:val="24"/>
          <w:lang w:val="en-US"/>
        </w:rPr>
        <w:lastRenderedPageBreak/>
        <w:t xml:space="preserve">mutations have been linked to the development of aggressive and treatment-resistant prostate cancer. SPOP mutations in the substrate-binding MATH domain can disrupt its ability to interact with AR, impairing AR </w:t>
      </w:r>
      <w:proofErr w:type="spellStart"/>
      <w:r w:rsidRPr="002E7761">
        <w:rPr>
          <w:rFonts w:ascii="Times New Roman" w:hAnsi="Times New Roman" w:cs="Times New Roman"/>
          <w:sz w:val="24"/>
          <w:szCs w:val="24"/>
          <w:lang w:val="en-US"/>
        </w:rPr>
        <w:t>ubiquitination</w:t>
      </w:r>
      <w:proofErr w:type="spellEnd"/>
      <w:r w:rsidRPr="002E7761">
        <w:rPr>
          <w:rFonts w:ascii="Times New Roman" w:hAnsi="Times New Roman" w:cs="Times New Roman"/>
          <w:sz w:val="24"/>
          <w:szCs w:val="24"/>
          <w:lang w:val="en-US"/>
        </w:rPr>
        <w:t xml:space="preserve">, and resulting in increased AR protein stability. As a consequence, the </w:t>
      </w:r>
      <w:proofErr w:type="spellStart"/>
      <w:r w:rsidRPr="002E7761">
        <w:rPr>
          <w:rFonts w:ascii="Times New Roman" w:hAnsi="Times New Roman" w:cs="Times New Roman"/>
          <w:sz w:val="24"/>
          <w:szCs w:val="24"/>
          <w:lang w:val="en-US"/>
        </w:rPr>
        <w:t>dysregulated</w:t>
      </w:r>
      <w:proofErr w:type="spellEnd"/>
      <w:r w:rsidRPr="002E7761">
        <w:rPr>
          <w:rFonts w:ascii="Times New Roman" w:hAnsi="Times New Roman" w:cs="Times New Roman"/>
          <w:sz w:val="24"/>
          <w:szCs w:val="24"/>
          <w:lang w:val="en-US"/>
        </w:rPr>
        <w:t xml:space="preserve"> AR becomes more resistant to degradation and retains higher transcriptional activity, promoting aberrant cell growth and survival in prostate cancer. The mutations are associated with clinical and genomic features such as high Gleason scores and absence of ERG fusions </w:t>
      </w:r>
      <w:r w:rsidRPr="002E7761">
        <w:rPr>
          <w:rFonts w:ascii="Times New Roman" w:hAnsi="Times New Roman" w:cs="Times New Roman"/>
          <w:sz w:val="24"/>
          <w:szCs w:val="24"/>
          <w:lang w:val="en-US"/>
        </w:rPr>
        <w:fldChar w:fldCharType="begin"/>
      </w:r>
      <w:r w:rsidRPr="002E7761">
        <w:rPr>
          <w:rFonts w:ascii="Times New Roman" w:hAnsi="Times New Roman" w:cs="Times New Roman"/>
          <w:sz w:val="24"/>
          <w:szCs w:val="24"/>
          <w:lang w:val="en-US"/>
        </w:rPr>
        <w:instrText xml:space="preserve"> ADDIN ZOTERO_ITEM CSL_CITATION {"citationID":"68FuIpmS","properties":{"formattedCitation":"(Huang, 2023)","plainCitation":"(Huang, 2023)","noteIndex":0},"citationItems":[{"id":427,"uris":["http://zotero.org/users/11300200/items/XXVN2DIM"],"itemData":{"id":427,"type":"webpage","abstract":"The Cancer Epigenetics and Functional Genomics Lab of Haojie Huang, Ph.D., at Mayo Clinic studies how the SPOP tumor suppressor gene promotes prostate tumorigenesis.","container-title":"Mayo Clinic","language":"en","title":"Cancer Epigenetics and Functional Genomics Laboratory - SPOP in Prostate Cancer","URL":"https://www.mayo.edu/research/labs/cancer-epigenetics-functional-genomics/projects/spop-prostate-cancer","author":[{"family":"Huang","given":""}],"accessed":{"date-parts":[["2023",8,28]]},"issued":{"date-parts":[["2023"]]}}}],"schema":"https://github.com/citation-style-language/schema/raw/master/csl-citation.json"} </w:instrText>
      </w:r>
      <w:r w:rsidRPr="002E7761">
        <w:rPr>
          <w:rFonts w:ascii="Times New Roman" w:hAnsi="Times New Roman" w:cs="Times New Roman"/>
          <w:sz w:val="24"/>
          <w:szCs w:val="24"/>
          <w:lang w:val="en-US"/>
        </w:rPr>
        <w:fldChar w:fldCharType="separate"/>
      </w:r>
      <w:r w:rsidR="00A316B3" w:rsidRPr="00A316B3">
        <w:rPr>
          <w:rFonts w:ascii="Times New Roman" w:hAnsi="Times New Roman" w:cs="Times New Roman"/>
          <w:sz w:val="24"/>
        </w:rPr>
        <w:t>(Huang, 2023)</w:t>
      </w:r>
      <w:r w:rsidRPr="002E7761">
        <w:rPr>
          <w:rFonts w:ascii="Times New Roman" w:hAnsi="Times New Roman" w:cs="Times New Roman"/>
          <w:sz w:val="24"/>
          <w:szCs w:val="24"/>
          <w:lang w:val="en-US"/>
        </w:rPr>
        <w:fldChar w:fldCharType="end"/>
      </w:r>
      <w:r w:rsidRPr="002E7761">
        <w:rPr>
          <w:rFonts w:ascii="Times New Roman" w:hAnsi="Times New Roman" w:cs="Times New Roman"/>
          <w:sz w:val="24"/>
          <w:szCs w:val="24"/>
          <w:lang w:val="en-US"/>
        </w:rPr>
        <w:t xml:space="preserve">. SPOP is a tumor suppressor gene, and its mutations can contribute to the development and progression of prostate cancer </w:t>
      </w:r>
      <w:r w:rsidRPr="002E7761">
        <w:rPr>
          <w:rFonts w:ascii="Times New Roman" w:hAnsi="Times New Roman" w:cs="Times New Roman"/>
          <w:sz w:val="24"/>
          <w:szCs w:val="24"/>
          <w:lang w:val="en-US"/>
        </w:rPr>
        <w:fldChar w:fldCharType="begin"/>
      </w:r>
      <w:r w:rsidRPr="002E7761">
        <w:rPr>
          <w:rFonts w:ascii="Times New Roman" w:hAnsi="Times New Roman" w:cs="Times New Roman"/>
          <w:sz w:val="24"/>
          <w:szCs w:val="24"/>
          <w:lang w:val="en-US"/>
        </w:rPr>
        <w:instrText xml:space="preserve"> ADDIN ZOTERO_ITEM CSL_CITATION {"citationID":"MFtiZM1h","properties":{"formattedCitation":"(Rider &amp; Cramer, 2015; Shi et al., 2022)","plainCitation":"(Rider &amp; Cramer, 2015; Shi et al., 2022)","noteIndex":0},"citationItems":[{"id":426,"uris":["http://zotero.org/users/11300200/items/P3IMTB7C"],"itemData":{"id":426,"type":"article-journal","abstract":"Prostate cancers with mutations to a protein called SPOP use an error-prone method to repair broken DNA strands.","container-title":"eLife","DOI":"10.7554/eLife.11760","ISSN":"2050-084X","language":"en","page":"e11760","source":"DOI.org (Crossref)","title":"SPOP the mutation","volume":"4","author":[{"family":"Rider","given":"Leah"},{"family":"Cramer","given":"Scott D"}],"issued":{"date-parts":[["2015",10,27]]}}},{"id":26,"uris":["http://zotero.org/users/11300200/items/CQJ5UANH"],"itemData":{"id":26,"type":"article-journal","abstract":"Bromodomain and extra-terminal domain (BET) family proteins play important roles in regulating the expression of multiple proto-oncogenes by recognizing acetylation of histones and non-histone proteins including transcription factors, which subsequently promote tumor cell proliferation, survival, metastasis and immune escape. Therefore, BET family proteins are considered attractive therapeutic targets in various cancers. Currently, blocking of the BET proteins is a widely used therapeutic strategy for\n              MYCN\n              amplified high-risk neuroblastoma. Here, we summarized and reviewed the recent research progresses for the critical function of BET proteins, as an epigenetic reader, on tumorigenesis and the therapeutic potential of the BET/BRD4 inhibitors on\n              MYCN\n              amplified neuroblastoma. We also discussed the combined therapeutic strategies for BET inhibitor-resistant neuroblastoma.","container-title":"Frontiers in Cell and Developmental Biology","DOI":"10.3389/fcell.2022.1021820","ISSN":"2296-634X","journalAbbreviation":"Front. Cell Dev. Biol.","page":"1021820","source":"DOI.org (Crossref)","title":"Targeting bromodomain and extra-terminal proteins to inhibit neuroblastoma tumorigenesis through regulating MYCN","volume":"10","author":[{"family":"Shi","given":"Xiyao"},{"family":"Wang","given":"Ying"},{"family":"Zhang","given":"Longhui"},{"family":"Zhao","given":"Wenjie"},{"family":"Dai","given":"Xiangpeng"},{"family":"Yang","given":"Yong-Guang"},{"family":"Zhang","given":"Xiaoling"}],"issued":{"date-parts":[["2022",9,16]]}}}],"schema":"https://github.com/citation-style-language/schema/raw/master/csl-citation.json"} </w:instrText>
      </w:r>
      <w:r w:rsidRPr="002E7761">
        <w:rPr>
          <w:rFonts w:ascii="Times New Roman" w:hAnsi="Times New Roman" w:cs="Times New Roman"/>
          <w:sz w:val="24"/>
          <w:szCs w:val="24"/>
          <w:lang w:val="en-US"/>
        </w:rPr>
        <w:fldChar w:fldCharType="separate"/>
      </w:r>
      <w:r w:rsidR="00A316B3" w:rsidRPr="00A316B3">
        <w:rPr>
          <w:rFonts w:ascii="Times New Roman" w:hAnsi="Times New Roman" w:cs="Times New Roman"/>
          <w:sz w:val="24"/>
        </w:rPr>
        <w:t>(Rider &amp; Cramer, 2015; Shi et al., 2022)</w:t>
      </w:r>
      <w:r w:rsidRPr="002E7761">
        <w:rPr>
          <w:rFonts w:ascii="Times New Roman" w:hAnsi="Times New Roman" w:cs="Times New Roman"/>
          <w:sz w:val="24"/>
          <w:szCs w:val="24"/>
          <w:lang w:val="en-US"/>
        </w:rPr>
        <w:fldChar w:fldCharType="end"/>
      </w:r>
      <w:r w:rsidRPr="002E7761">
        <w:rPr>
          <w:rFonts w:ascii="Times New Roman" w:hAnsi="Times New Roman" w:cs="Times New Roman"/>
          <w:sz w:val="24"/>
          <w:szCs w:val="24"/>
          <w:lang w:val="en-US"/>
        </w:rPr>
        <w:t xml:space="preserve">. Research indicates that SPOP mutations can enhance cancer cell proliferation, invasion, and immune escape </w:t>
      </w:r>
      <w:r w:rsidRPr="002E7761">
        <w:rPr>
          <w:rFonts w:ascii="Times New Roman" w:hAnsi="Times New Roman" w:cs="Times New Roman"/>
          <w:sz w:val="24"/>
          <w:szCs w:val="24"/>
          <w:lang w:val="en-US"/>
        </w:rPr>
        <w:fldChar w:fldCharType="begin"/>
      </w:r>
      <w:r w:rsidRPr="002E7761">
        <w:rPr>
          <w:rFonts w:ascii="Times New Roman" w:hAnsi="Times New Roman" w:cs="Times New Roman"/>
          <w:sz w:val="24"/>
          <w:szCs w:val="24"/>
          <w:lang w:val="en-US"/>
        </w:rPr>
        <w:instrText xml:space="preserve"> ADDIN ZOTERO_ITEM CSL_CITATION {"citationID":"wCNrTBir","properties":{"formattedCitation":"(Shi et al., 2022)","plainCitation":"(Shi et al., 2022)","noteIndex":0},"citationItems":[{"id":26,"uris":["http://zotero.org/users/11300200/items/CQJ5UANH"],"itemData":{"id":26,"type":"article-journal","abstract":"Bromodomain and extra-terminal domain (BET) family proteins play important roles in regulating the expression of multiple proto-oncogenes by recognizing acetylation of histones and non-histone proteins including transcription factors, which subsequently promote tumor cell proliferation, survival, metastasis and immune escape. Therefore, BET family proteins are considered attractive therapeutic targets in various cancers. Currently, blocking of the BET proteins is a widely used therapeutic strategy for\n              MYCN\n              amplified high-risk neuroblastoma. Here, we summarized and reviewed the recent research progresses for the critical function of BET proteins, as an epigenetic reader, on tumorigenesis and the therapeutic potential of the BET/BRD4 inhibitors on\n              MYCN\n              amplified neuroblastoma. We also discussed the combined therapeutic strategies for BET inhibitor-resistant neuroblastoma.","container-title":"Frontiers in Cell and Developmental Biology","DOI":"10.3389/fcell.2022.1021820","ISSN":"2296-634X","journalAbbreviation":"Front. Cell Dev. Biol.","page":"1021820","source":"DOI.org (Crossref)","title":"Targeting bromodomain and extra-terminal proteins to inhibit neuroblastoma tumorigenesis through regulating MYCN","volume":"10","author":[{"family":"Shi","given":"Xiyao"},{"family":"Wang","given":"Ying"},{"family":"Zhang","given":"Longhui"},{"family":"Zhao","given":"Wenjie"},{"family":"Dai","given":"Xiangpeng"},{"family":"Yang","given":"Yong-Guang"},{"family":"Zhang","given":"Xiaoling"}],"issued":{"date-parts":[["2022",9,16]]}}}],"schema":"https://github.com/citation-style-language/schema/raw/master/csl-citation.json"} </w:instrText>
      </w:r>
      <w:r w:rsidRPr="002E7761">
        <w:rPr>
          <w:rFonts w:ascii="Times New Roman" w:hAnsi="Times New Roman" w:cs="Times New Roman"/>
          <w:sz w:val="24"/>
          <w:szCs w:val="24"/>
          <w:lang w:val="en-US"/>
        </w:rPr>
        <w:fldChar w:fldCharType="separate"/>
      </w:r>
      <w:r w:rsidR="00A316B3" w:rsidRPr="00A316B3">
        <w:rPr>
          <w:rFonts w:ascii="Times New Roman" w:hAnsi="Times New Roman" w:cs="Times New Roman"/>
          <w:sz w:val="24"/>
        </w:rPr>
        <w:t>(Shi et al., 2022)</w:t>
      </w:r>
      <w:r w:rsidRPr="002E7761">
        <w:rPr>
          <w:rFonts w:ascii="Times New Roman" w:hAnsi="Times New Roman" w:cs="Times New Roman"/>
          <w:sz w:val="24"/>
          <w:szCs w:val="24"/>
          <w:lang w:val="en-US"/>
        </w:rPr>
        <w:fldChar w:fldCharType="end"/>
      </w:r>
      <w:r w:rsidRPr="002E7761">
        <w:rPr>
          <w:rFonts w:ascii="Times New Roman" w:hAnsi="Times New Roman" w:cs="Times New Roman"/>
          <w:sz w:val="24"/>
          <w:szCs w:val="24"/>
          <w:lang w:val="en-US"/>
        </w:rPr>
        <w:t>. In a recent study, it was found that prostate cancer (</w:t>
      </w:r>
      <w:proofErr w:type="spellStart"/>
      <w:r w:rsidRPr="002E7761">
        <w:rPr>
          <w:rFonts w:ascii="Times New Roman" w:hAnsi="Times New Roman" w:cs="Times New Roman"/>
          <w:sz w:val="24"/>
          <w:szCs w:val="24"/>
          <w:lang w:val="en-US"/>
        </w:rPr>
        <w:t>PCa</w:t>
      </w:r>
      <w:proofErr w:type="spellEnd"/>
      <w:r w:rsidRPr="002E7761">
        <w:rPr>
          <w:rFonts w:ascii="Times New Roman" w:hAnsi="Times New Roman" w:cs="Times New Roman"/>
          <w:sz w:val="24"/>
          <w:szCs w:val="24"/>
          <w:lang w:val="en-US"/>
        </w:rPr>
        <w:t xml:space="preserve">) with SPOP hotspot mutations, such as F133V, develop resistance to BET inhibitors due to abnormal increase in BET proteins </w:t>
      </w:r>
      <w:r w:rsidRPr="002E7761">
        <w:rPr>
          <w:rFonts w:ascii="Times New Roman" w:hAnsi="Times New Roman" w:cs="Times New Roman"/>
          <w:sz w:val="24"/>
          <w:szCs w:val="24"/>
          <w:lang w:val="en-US"/>
        </w:rPr>
        <w:fldChar w:fldCharType="begin"/>
      </w:r>
      <w:r w:rsidRPr="002E7761">
        <w:rPr>
          <w:rFonts w:ascii="Times New Roman" w:hAnsi="Times New Roman" w:cs="Times New Roman"/>
          <w:sz w:val="24"/>
          <w:szCs w:val="24"/>
          <w:lang w:val="en-US"/>
        </w:rPr>
        <w:instrText xml:space="preserve"> ADDIN ZOTERO_ITEM CSL_CITATION {"citationID":"Ue6VUqwf","properties":{"formattedCitation":"(Zhang et al., 2021)","plainCitation":"(Zhang et al., 2021)","noteIndex":0},"citationItems":[{"id":414,"uris":["http://zotero.org/users/11300200/items/37EF2SP5"],"itemData":{"id":414,"type":"article-journal","abstract":"Abstract\n            \n              Mutations in\n              SPOP\n              E3 ligase gene are reportedly associated with genome-wide DNA hypermethylation in prostate cancer (PCa) although the underlying mechanisms remain elusive. Here, we demonstrate that SPOP binds and promotes polyubiquitination and degradation of histone methyltransferase and DNMT interactor GLP. SPOP mutation induces stabilization of GLP and its partner protein G9a and aberrant upregulation of global DNA hypermethylation in cultured PCa cells and primary PCa specimens. Genome-wide DNA methylome analysis shows that a subset of tumor suppressor genes (TSGs) including\n              FOXO3\n              ,\n              GATA5\n              , and\n              NDRG1\n              , are hypermethylated and downregulated in SPOP-mutated PCa cells. DNA methylation inhibitor 5-azacytidine effectively reverses expression of the TSGs examined, inhibits SPOP-mutated PCa cell growth in vitro and in mice, and enhances docetaxel anti-cancer efficacy. Our findings reveal the GLP/G9a-DNMT module as a mediator of DNA hypermethylation in SPOP-mutated PCa. They suggest that SPOP mutation could be a biomarker for effective treatment of PCa with DNA methylation inhibitor alone or in combination with taxane chemotherapeutics.","container-title":"Nature Communications","DOI":"10.1038/s41467-021-25951-3","ISSN":"2041-1723","issue":"1","journalAbbreviation":"Nat Commun","language":"en","page":"5716","source":"DOI.org (Crossref)","title":"SPOP mutation induces DNA methylation via stabilizing GLP/G9a","volume":"12","author":[{"family":"Zhang","given":"Jianong"},{"family":"Gao","given":"Kun"},{"family":"Xie","given":"Hongyan"},{"family":"Wang","given":"Dejie"},{"family":"Zhang","given":"Pingzhao"},{"family":"Wei","given":"Ting"},{"family":"Yan","given":"Yuqian"},{"family":"Pan","given":"Yunqian"},{"family":"Ye","given":"Wenbin"},{"family":"Chen","given":"Huifen"},{"family":"Shi","given":"Qing"},{"family":"Li","given":"Yao"},{"family":"Zhao","given":"Shi-min"},{"family":"Hou","given":"Xiaonan"},{"family":"Weroha","given":"Saravut J."},{"family":"Wang","given":"Yuzhuo"},{"family":"Zhang","given":"Jun"},{"family":"Karnes","given":"R. Jeffrey"},{"family":"He","given":"Housheng Hansen"},{"family":"Wang","given":"Liguo"},{"family":"Wang","given":"Chenji"},{"family":"Huang","given":"Haojie"}],"issued":{"date-parts":[["2021",9,29]]}}}],"schema":"https://github.com/citation-style-language/schema/raw/master/csl-citation.json"} </w:instrText>
      </w:r>
      <w:r w:rsidRPr="002E7761">
        <w:rPr>
          <w:rFonts w:ascii="Times New Roman" w:hAnsi="Times New Roman" w:cs="Times New Roman"/>
          <w:sz w:val="24"/>
          <w:szCs w:val="24"/>
          <w:lang w:val="en-US"/>
        </w:rPr>
        <w:fldChar w:fldCharType="separate"/>
      </w:r>
      <w:r w:rsidR="00A316B3" w:rsidRPr="00A316B3">
        <w:rPr>
          <w:rFonts w:ascii="Times New Roman" w:hAnsi="Times New Roman" w:cs="Times New Roman"/>
          <w:sz w:val="24"/>
        </w:rPr>
        <w:t>(Zhang et al., 2021)</w:t>
      </w:r>
      <w:r w:rsidRPr="002E7761">
        <w:rPr>
          <w:rFonts w:ascii="Times New Roman" w:hAnsi="Times New Roman" w:cs="Times New Roman"/>
          <w:sz w:val="24"/>
          <w:szCs w:val="24"/>
          <w:lang w:val="en-US"/>
        </w:rPr>
        <w:fldChar w:fldCharType="end"/>
      </w:r>
      <w:r w:rsidRPr="002E7761">
        <w:rPr>
          <w:rFonts w:ascii="Times New Roman" w:hAnsi="Times New Roman" w:cs="Times New Roman"/>
          <w:sz w:val="24"/>
          <w:szCs w:val="24"/>
          <w:lang w:val="en-US"/>
        </w:rPr>
        <w:t xml:space="preserve">. However, a previously unknown mutation, Q165P, located at the edge of the SPOP MATH domain in both primary and metastatic </w:t>
      </w:r>
      <w:proofErr w:type="spellStart"/>
      <w:r w:rsidRPr="002E7761">
        <w:rPr>
          <w:rFonts w:ascii="Times New Roman" w:hAnsi="Times New Roman" w:cs="Times New Roman"/>
          <w:sz w:val="24"/>
          <w:szCs w:val="24"/>
          <w:lang w:val="en-US"/>
        </w:rPr>
        <w:t>PCa</w:t>
      </w:r>
      <w:proofErr w:type="spellEnd"/>
      <w:r w:rsidRPr="002E7761">
        <w:rPr>
          <w:rFonts w:ascii="Times New Roman" w:hAnsi="Times New Roman" w:cs="Times New Roman"/>
          <w:sz w:val="24"/>
          <w:szCs w:val="24"/>
          <w:lang w:val="en-US"/>
        </w:rPr>
        <w:t xml:space="preserve"> of a patient, was discovered in another study </w:t>
      </w:r>
      <w:r w:rsidRPr="002E7761">
        <w:rPr>
          <w:rFonts w:ascii="Times New Roman" w:hAnsi="Times New Roman" w:cs="Times New Roman"/>
          <w:sz w:val="24"/>
          <w:szCs w:val="24"/>
          <w:lang w:val="en-US"/>
        </w:rPr>
        <w:fldChar w:fldCharType="begin"/>
      </w:r>
      <w:r w:rsidRPr="002E7761">
        <w:rPr>
          <w:rFonts w:ascii="Times New Roman" w:hAnsi="Times New Roman" w:cs="Times New Roman"/>
          <w:sz w:val="24"/>
          <w:szCs w:val="24"/>
          <w:lang w:val="en-US"/>
        </w:rPr>
        <w:instrText xml:space="preserve"> ADDIN ZOTERO_ITEM CSL_CITATION {"citationID":"N9cQsi2i","properties":{"formattedCitation":"(Yan et al., 2019)","plainCitation":"(Yan et al., 2019)","noteIndex":0},"citationItems":[{"id":415,"uris":["http://zotero.org/users/11300200/items/TBVQJWPE"],"itemData":{"id":415,"type":"article-journal","container-title":"EMBO Molecular Medicine","DOI":"10.15252/emmm.201910659","ISSN":"1757-4676, 1757-4684","issue":"11","journalAbbreviation":"EMBO Mol Med","language":"en","page":"e10659","source":"DOI.org (Crossref)","title":"The novel BET‐CBP/p300 dual inhibitor NEO2734 is active in SPOP mutant and wild‐type prostate cancer","volume":"11","author":[{"family":"Yan","given":"Yuqian"},{"family":"Ma","given":"Jian"},{"family":"Wang","given":"Dejie"},{"family":"Lin","given":"Dong"},{"family":"Pang","given":"Xiaodong"},{"family":"Wang","given":"Shangqian"},{"family":"Zhao","given":"Yu"},{"family":"Shi","given":"Lei"},{"family":"Xue","given":"Hui"},{"family":"Pan","given":"Yunqian"},{"family":"Zhang","given":"Jun"},{"family":"Wahlestedt","given":"Claes"},{"family":"Giles","given":"Francis J"},{"family":"Chen","given":"Yu"},{"family":"Gleave","given":"Martin E"},{"family":"Collins","given":"Collin C"},{"family":"Ye","given":"Dingwei"},{"family":"Wang","given":"Yuzhuo"},{"family":"Huang","given":"Haojie"}],"issued":{"date-parts":[["2019",11,7]]}}}],"schema":"https://github.com/citation-style-language/schema/raw/master/csl-citation.json"} </w:instrText>
      </w:r>
      <w:r w:rsidRPr="002E7761">
        <w:rPr>
          <w:rFonts w:ascii="Times New Roman" w:hAnsi="Times New Roman" w:cs="Times New Roman"/>
          <w:sz w:val="24"/>
          <w:szCs w:val="24"/>
          <w:lang w:val="en-US"/>
        </w:rPr>
        <w:fldChar w:fldCharType="separate"/>
      </w:r>
      <w:r w:rsidR="00A316B3" w:rsidRPr="00A316B3">
        <w:rPr>
          <w:rFonts w:ascii="Times New Roman" w:hAnsi="Times New Roman" w:cs="Times New Roman"/>
          <w:sz w:val="24"/>
        </w:rPr>
        <w:t>(Yan et al., 2019)</w:t>
      </w:r>
      <w:r w:rsidRPr="002E7761">
        <w:rPr>
          <w:rFonts w:ascii="Times New Roman" w:hAnsi="Times New Roman" w:cs="Times New Roman"/>
          <w:sz w:val="24"/>
          <w:szCs w:val="24"/>
          <w:lang w:val="en-US"/>
        </w:rPr>
        <w:fldChar w:fldCharType="end"/>
      </w:r>
      <w:r w:rsidRPr="002E7761">
        <w:rPr>
          <w:rFonts w:ascii="Times New Roman" w:hAnsi="Times New Roman" w:cs="Times New Roman"/>
          <w:sz w:val="24"/>
          <w:szCs w:val="24"/>
          <w:lang w:val="en-US"/>
        </w:rPr>
        <w:t xml:space="preserve">. The Q165P mutation leads to structural changes in the MATH domain, disrupting SPOP dimerization and substrate degradation. Unlike tumors with the F133V hotspot mutation, </w:t>
      </w:r>
      <w:proofErr w:type="spellStart"/>
      <w:r w:rsidRPr="002E7761">
        <w:rPr>
          <w:rFonts w:ascii="Times New Roman" w:hAnsi="Times New Roman" w:cs="Times New Roman"/>
          <w:sz w:val="24"/>
          <w:szCs w:val="24"/>
          <w:lang w:val="en-US"/>
        </w:rPr>
        <w:t>PCa</w:t>
      </w:r>
      <w:proofErr w:type="spellEnd"/>
      <w:r w:rsidRPr="002E7761">
        <w:rPr>
          <w:rFonts w:ascii="Times New Roman" w:hAnsi="Times New Roman" w:cs="Times New Roman"/>
          <w:sz w:val="24"/>
          <w:szCs w:val="24"/>
          <w:lang w:val="en-US"/>
        </w:rPr>
        <w:t xml:space="preserve"> patient-derived </w:t>
      </w:r>
      <w:proofErr w:type="spellStart"/>
      <w:r w:rsidRPr="002E7761">
        <w:rPr>
          <w:rFonts w:ascii="Times New Roman" w:hAnsi="Times New Roman" w:cs="Times New Roman"/>
          <w:sz w:val="24"/>
          <w:szCs w:val="24"/>
          <w:lang w:val="en-US"/>
        </w:rPr>
        <w:t>xenografts</w:t>
      </w:r>
      <w:proofErr w:type="spellEnd"/>
      <w:r w:rsidRPr="002E7761">
        <w:rPr>
          <w:rFonts w:ascii="Times New Roman" w:hAnsi="Times New Roman" w:cs="Times New Roman"/>
          <w:sz w:val="24"/>
          <w:szCs w:val="24"/>
          <w:lang w:val="en-US"/>
        </w:rPr>
        <w:t xml:space="preserve"> (PDXs) and </w:t>
      </w:r>
      <w:proofErr w:type="spellStart"/>
      <w:r w:rsidRPr="002E7761">
        <w:rPr>
          <w:rFonts w:ascii="Times New Roman" w:hAnsi="Times New Roman" w:cs="Times New Roman"/>
          <w:sz w:val="24"/>
          <w:szCs w:val="24"/>
          <w:lang w:val="en-US"/>
        </w:rPr>
        <w:t>organoids</w:t>
      </w:r>
      <w:proofErr w:type="spellEnd"/>
      <w:r w:rsidRPr="002E7761">
        <w:rPr>
          <w:rFonts w:ascii="Times New Roman" w:hAnsi="Times New Roman" w:cs="Times New Roman"/>
          <w:sz w:val="24"/>
          <w:szCs w:val="24"/>
          <w:lang w:val="en-US"/>
        </w:rPr>
        <w:t xml:space="preserve"> with the Q165P mutation showed modest sensitivity to BET inhibitors. </w:t>
      </w:r>
    </w:p>
    <w:p w:rsidR="00F77439" w:rsidRPr="002E7761" w:rsidRDefault="00F77439" w:rsidP="006D3376">
      <w:pPr>
        <w:spacing w:line="360" w:lineRule="auto"/>
        <w:jc w:val="both"/>
        <w:rPr>
          <w:rFonts w:ascii="Times New Roman" w:hAnsi="Times New Roman" w:cs="Times New Roman"/>
          <w:sz w:val="24"/>
          <w:szCs w:val="24"/>
          <w:lang w:val="en-US"/>
        </w:rPr>
      </w:pPr>
      <w:r w:rsidRPr="002E7761">
        <w:rPr>
          <w:rFonts w:ascii="Times New Roman" w:hAnsi="Times New Roman" w:cs="Times New Roman"/>
          <w:sz w:val="24"/>
          <w:szCs w:val="24"/>
          <w:lang w:val="en-US"/>
        </w:rPr>
        <w:t xml:space="preserve">A striking attribute of prostate cancers featuring SPOP mutations is their distinctiveness in terms of genomic alterations </w:t>
      </w:r>
      <w:r w:rsidRPr="002E7761">
        <w:rPr>
          <w:rFonts w:ascii="Times New Roman" w:hAnsi="Times New Roman" w:cs="Times New Roman"/>
          <w:sz w:val="24"/>
          <w:szCs w:val="24"/>
          <w:lang w:val="en-US"/>
        </w:rPr>
        <w:fldChar w:fldCharType="begin"/>
      </w:r>
      <w:r w:rsidRPr="002E7761">
        <w:rPr>
          <w:rFonts w:ascii="Times New Roman" w:hAnsi="Times New Roman" w:cs="Times New Roman"/>
          <w:sz w:val="24"/>
          <w:szCs w:val="24"/>
          <w:lang w:val="en-US"/>
        </w:rPr>
        <w:instrText xml:space="preserve"> ADDIN ZOTERO_ITEM CSL_CITATION {"citationID":"dop7wBYJ","properties":{"formattedCitation":"(Nakazawa et al., 2022)","plainCitation":"(Nakazawa et al., 2022)","noteIndex":0},"citationItems":[{"id":430,"uris":["http://zotero.org/users/11300200/items/BPHYTEA4"],"itemData":{"id":430,"type":"article-journal","abstract":"Abstract\n            \n              Background\n              \n                Inactivating missense mutations in the\n                SPOP\n                gene, encoding speckle‐type poxvirus and zinc‐finger protein, are one of the most common genetic alterations in prostate cancer.\n              \n            \n            \n              Methods\n              \n                We retrospectively identified 72 consecutive prostate cancer patients with somatic\n                SPOP\n                mutations, through next‐generation sequencing analysis, who were treated at the Johns Hopkins Hospital. We evaluated clinical and genomic characteristics of this\n                SPOP\n                ‐mutant subset.\n              \n            \n            \n              Results\n              \n                SPOP\n                alterations were clustered in the MATH domain, with hotspot mutations involving the F133 and F102 residues. The most frequent concurrent genetic alterations were in\n                APC\n                (16/72 [22%]),\n                PTEN\n                (13/72 [18%]), and\n                TP53\n                (11/72 [15%]).\n                SPOP\n                ‐mutant cancers appeared to be mutually exclusive with tumors harboring the\n                TMPRSS2‐ERG\n                fusion, and were significantly enriched for Wnt pathway (\n                APC\n                ,\n                CTNNB1\n                ) mutations and de‐enriched for\n                TP53/PTEN/RB1\n                alterations. Patients with mt\n                SPOP\n                had durable responses to androgen deprivation therapy (ADT) with a median time‐to‐castration‐resistance of 42.0 (95% confidence interval [CI], 25.7–60.8) months. However, time‐to‐castration‐resistance was significantly shorter in\n                SPOP\n                ‐mutant patients with concurrent\n                TP53\n                mutations (hazard ratio [HR] 4.53;\n                p\n                 = 0.002), HRD pathway (\n                ATM\n                ,\n                BRCA1/2\n                , and\n                CHEK2\n                ) mutations (HR 3.19;\n                p\n                 = 0.003), and PI3K pathway (\n                PTEN\n                ,\n                PIK3CA\n                , and\n                AKT1\n                ) alterations (HR 2.69;\n                p\n                 = 0.004). In the castration‐resistant prostate cancer setting, median progression‐free survival was 8.9 (95% CI, 6.7–NR) months on abiraterone and 7.3 (95% CI, 3.2–NR) months on enzalutamide. There were no responses to PARP inhibitor treatment.\n              \n            \n            \n              Conclusions\n              \n                SPOP\n                ‐mutant prostate cancers represent a unique subset with absent\n                ERG\n                fusions and frequent Wnt pathway alterations, with potentially greater dependency on androgen signaling and enhanced responsiveness to ADT. Outcomes are best for\n                SPOP\n                ‐altered patients without other concurrent mutations.","container-title":"The Prostate","DOI":"10.1002/pros.24269","ISSN":"0270-4137, 1097-0045","issue":"2","journalAbbreviation":"The Prostate","language":"en","page":"260-268","source":"DOI.org (Crossref)","title":"Clinical and genomic features of &lt;i&gt;SPOP&lt;/i&gt; ‐mutant prostate cancer","volume":"82","author":[{"family":"Nakazawa","given":"Mari"},{"family":"Fang","given":"Mike"},{"family":"H. Marshall","given":"Catherine"},{"family":"Lotan","given":"Tamara L."},{"family":"Isaacsson Velho","given":"Pedro"},{"family":"Antonarakis","given":"Emmanuel S."}],"issued":{"date-parts":[["2022",2]]}}}],"schema":"https://github.com/citation-style-language/schema/raw/master/csl-citation.json"} </w:instrText>
      </w:r>
      <w:r w:rsidRPr="002E7761">
        <w:rPr>
          <w:rFonts w:ascii="Times New Roman" w:hAnsi="Times New Roman" w:cs="Times New Roman"/>
          <w:sz w:val="24"/>
          <w:szCs w:val="24"/>
          <w:lang w:val="en-US"/>
        </w:rPr>
        <w:fldChar w:fldCharType="separate"/>
      </w:r>
      <w:r w:rsidR="00A316B3" w:rsidRPr="00A316B3">
        <w:rPr>
          <w:rFonts w:ascii="Times New Roman" w:hAnsi="Times New Roman" w:cs="Times New Roman"/>
          <w:sz w:val="24"/>
        </w:rPr>
        <w:t>(Nakazawa et al., 2022)</w:t>
      </w:r>
      <w:r w:rsidRPr="002E7761">
        <w:rPr>
          <w:rFonts w:ascii="Times New Roman" w:hAnsi="Times New Roman" w:cs="Times New Roman"/>
          <w:sz w:val="24"/>
          <w:szCs w:val="24"/>
          <w:lang w:val="en-US"/>
        </w:rPr>
        <w:fldChar w:fldCharType="end"/>
      </w:r>
      <w:r w:rsidRPr="002E7761">
        <w:rPr>
          <w:rFonts w:ascii="Times New Roman" w:hAnsi="Times New Roman" w:cs="Times New Roman"/>
          <w:sz w:val="24"/>
          <w:szCs w:val="24"/>
          <w:lang w:val="en-US"/>
        </w:rPr>
        <w:t xml:space="preserve">. Notably, these cancers differ from counterparts without SPOP mutations by lacking rearrangements in the ETS family of genes. This divergence in genomic alteration patterns suggests that the presence of SPOP mutations exerts a considerable influence on the molecular makeup and genetic underpinnings of prostate cancer. These findings collectively spotlight the central role of SPOP in prostate cancer and its potential to shape the disease's genetic landscape </w:t>
      </w:r>
      <w:r w:rsidRPr="002E7761">
        <w:rPr>
          <w:rFonts w:ascii="Times New Roman" w:hAnsi="Times New Roman" w:cs="Times New Roman"/>
          <w:sz w:val="24"/>
          <w:szCs w:val="24"/>
          <w:lang w:val="en-US"/>
        </w:rPr>
        <w:fldChar w:fldCharType="begin"/>
      </w:r>
      <w:r w:rsidRPr="002E7761">
        <w:rPr>
          <w:rFonts w:ascii="Times New Roman" w:hAnsi="Times New Roman" w:cs="Times New Roman"/>
          <w:sz w:val="24"/>
          <w:szCs w:val="24"/>
          <w:lang w:val="en-US"/>
        </w:rPr>
        <w:instrText xml:space="preserve"> ADDIN ZOTERO_ITEM CSL_CITATION {"citationID":"gVTyLbpo","properties":{"formattedCitation":"(Nakazawa et al., 2021)","plainCitation":"(Nakazawa et al., 2021)","noteIndex":0},"citationItems":[{"id":429,"uris":["http://zotero.org/users/11300200/items/3CBFLZ3T"],"itemData":{"id":429,"type":"article-journal","abstract":"151\n            Background: Point mutations in the gene encoding speckle-type pox virus and zinc finger protein (SPOP) are the most frequently identified mutations in prostate cancer, occurring at a frequency of 6-15% across localized and disseminated cancers. Recently, SPOP gene alterations have gained attention as they appear to define a novel subclass of prostate cancers. Previous studies show that patients with mutant SPOP (mtSPOP) had superior responses to androgen deprivation therapy (ADT) and exhibit more favorable responses to abiraterone compared to wild type SPOP (wtSPOP). Methods: We retrospectively identified 59 prostate cancer patients at a single institution (Johns Hopkins) with somatic SPOP mutations from genomic testing of primary tumors (n=45), metastatic lesions (n=12), or liquid biopsies (n=2). Patient records were reviewed to determine baseline characteristics, therapies received, and clinical outcomes. The primary outcomes included best PSA response and progression-free survival (PFS) on ADT in the hormone sensitive prostate cancer (HSPC) setting and on abiraterone and/or enzalutamide in the first-line castration resistant prostate cancer (CRPC) setting. PFS was defined as either PSA, radiographic, or clinical progression. Results: The median age at diagnosis was 64 years (range 46 to 85). 17/59 (28.8%) were Black. F133 was the most frequently mutated residue, occurring in 33 (55.9%) instances (Table). There were two patients who harbored two mutations in the SPOP gene. The most frequently co-occurring mutation was in APC (15/59 [25.4%] patients), resulting in Wnt pathway activation. Concurrent ERG fusions were not observed with this cohort (0/59 [0%] patients). 41/59 (69.4%) were diagnosed with Gleason 8-10 disease. 21/59 (35.5%) were diagnosed with de novo metastatic disease. 50/59 (84.7%) patients received ADT for recurrent or metastatic disease. Median PFS on ADT was 40.7 (95% CI 23.4-71.9) months. Of the 27/59 (45.8%) patients who progressed to CRPC, 20/59 (33.9%) patients received abiraterone and 13/59 (22.0%) received enzalutamide; 9/59 (15.3%) patients received both agents. Median PFS was 7.8 (95% CI 6.7-NR) months on abiraterone and 7.3 (95% CI 3.2-NR) months on enzalutamide. Other notable therapies received in the CRPC setting include docetaxel (5/59 [8.5%] patients), cabazitaxel (5/59 [8.5%] patients), and PARP inhibitor olaparib or rucaparib (4/59 [6.8%] patients). Conclusions: SPOP mutations define a unique subset of prostate cancers enriched for black patients, high Gleason scores, absence of ERG fusions, and Wnt pathway activation. Clinical outcomes to first-line ADT appear longer than expected for genomically-unselected patients. [Table: see text]","container-title":"Journal of Clinical Oncology","DOI":"10.1200/JCO.2021.39.6_suppl.151","ISSN":"0732-183X, 1527-7755","issue":"6_suppl","journalAbbreviation":"JCO","language":"en","page":"151-151","source":"DOI.org (Crossref)","title":"&lt;i&gt;SPOP&lt;/i&gt; mutations in prostate cancer: Clinical and genomic features.","title-short":"&lt;i&gt;SPOP&lt;/i&gt; mutations in prostate cancer","volume":"39","author":[{"family":"Nakazawa","given":"Mari"},{"family":"Fang","given":"Mike"},{"family":"Issacsson Velho","given":"Pedro"},{"family":"Antonarakis","given":"Emmanuel S."}],"issued":{"date-parts":[["2021",2,20]]}}}],"schema":"https://github.com/citation-style-language/schema/raw/master/csl-citation.json"} </w:instrText>
      </w:r>
      <w:r w:rsidRPr="002E7761">
        <w:rPr>
          <w:rFonts w:ascii="Times New Roman" w:hAnsi="Times New Roman" w:cs="Times New Roman"/>
          <w:sz w:val="24"/>
          <w:szCs w:val="24"/>
          <w:lang w:val="en-US"/>
        </w:rPr>
        <w:fldChar w:fldCharType="separate"/>
      </w:r>
      <w:r w:rsidR="00A316B3" w:rsidRPr="00A316B3">
        <w:rPr>
          <w:rFonts w:ascii="Times New Roman" w:hAnsi="Times New Roman" w:cs="Times New Roman"/>
          <w:sz w:val="24"/>
        </w:rPr>
        <w:t>(Nakazawa et al., 2021)</w:t>
      </w:r>
      <w:r w:rsidRPr="002E7761">
        <w:rPr>
          <w:rFonts w:ascii="Times New Roman" w:hAnsi="Times New Roman" w:cs="Times New Roman"/>
          <w:sz w:val="24"/>
          <w:szCs w:val="24"/>
          <w:lang w:val="en-US"/>
        </w:rPr>
        <w:fldChar w:fldCharType="end"/>
      </w:r>
      <w:r w:rsidRPr="002E7761">
        <w:rPr>
          <w:rFonts w:ascii="Times New Roman" w:hAnsi="Times New Roman" w:cs="Times New Roman"/>
          <w:sz w:val="24"/>
          <w:szCs w:val="24"/>
          <w:lang w:val="en-US"/>
        </w:rPr>
        <w:t>. The recurrent mutations within the substrate-binding cleft of SPOP underscore the significance of this specific region in the pathogenesis of prostate cancer and potentially pave the way for targeted interventions aimed at modulating the downstream effects of these mutations. Understanding the role of SPOP mutations in prostate cancer provides insights into potential therapeutic strategies targeting this molecular pathway. It's essential to note that research on the SPOP gene and its mutations is an ongoing and dynamic field. New studies to identify additional mutations would provide more insights into the functional significance of known mutations.</w:t>
      </w:r>
    </w:p>
    <w:p w:rsidR="00BA6281" w:rsidRPr="002E7761" w:rsidRDefault="00BA6281" w:rsidP="006D3376">
      <w:pPr>
        <w:spacing w:line="360" w:lineRule="auto"/>
        <w:jc w:val="both"/>
        <w:rPr>
          <w:rFonts w:ascii="Times New Roman" w:hAnsi="Times New Roman" w:cs="Times New Roman"/>
          <w:sz w:val="24"/>
          <w:szCs w:val="24"/>
          <w:lang w:val="en-US"/>
        </w:rPr>
      </w:pPr>
    </w:p>
    <w:p w:rsidR="00775C68" w:rsidRDefault="00775C68" w:rsidP="006D3376">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CHAPTER THREE</w:t>
      </w:r>
    </w:p>
    <w:p w:rsidR="00F77439" w:rsidRPr="006205B3" w:rsidRDefault="00775C68" w:rsidP="006205B3">
      <w:pPr>
        <w:spacing w:line="360" w:lineRule="auto"/>
        <w:jc w:val="center"/>
        <w:rPr>
          <w:rFonts w:ascii="Times New Roman" w:hAnsi="Times New Roman" w:cs="Times New Roman"/>
          <w:b/>
          <w:sz w:val="24"/>
          <w:szCs w:val="24"/>
        </w:rPr>
      </w:pPr>
      <w:r>
        <w:rPr>
          <w:rFonts w:ascii="Times New Roman" w:hAnsi="Times New Roman" w:cs="Times New Roman"/>
          <w:b/>
          <w:sz w:val="24"/>
          <w:szCs w:val="24"/>
        </w:rPr>
        <w:t>MATERIALS AND METHODS</w:t>
      </w:r>
    </w:p>
    <w:p w:rsidR="00F77439" w:rsidRPr="002E7761" w:rsidRDefault="00F77439" w:rsidP="006D3376">
      <w:pPr>
        <w:spacing w:line="360" w:lineRule="auto"/>
        <w:jc w:val="both"/>
        <w:rPr>
          <w:rFonts w:ascii="Times New Roman" w:hAnsi="Times New Roman" w:cs="Times New Roman"/>
          <w:sz w:val="24"/>
          <w:szCs w:val="24"/>
          <w:lang w:val="en-US"/>
        </w:rPr>
      </w:pPr>
      <w:r w:rsidRPr="002E7761">
        <w:rPr>
          <w:rFonts w:ascii="Times New Roman" w:hAnsi="Times New Roman" w:cs="Times New Roman"/>
          <w:b/>
          <w:bCs/>
          <w:sz w:val="24"/>
          <w:szCs w:val="24"/>
          <w:lang w:val="en-US"/>
        </w:rPr>
        <w:t>3.1 Materials</w:t>
      </w:r>
      <w:r w:rsidRPr="002E7761">
        <w:rPr>
          <w:rFonts w:ascii="Times New Roman" w:hAnsi="Times New Roman" w:cs="Times New Roman"/>
          <w:sz w:val="24"/>
          <w:szCs w:val="24"/>
          <w:lang w:val="en-US"/>
        </w:rPr>
        <w:t xml:space="preserve"> </w:t>
      </w:r>
    </w:p>
    <w:p w:rsidR="00F77439" w:rsidRPr="002E7761" w:rsidRDefault="00F77439" w:rsidP="006D3376">
      <w:pPr>
        <w:spacing w:line="360" w:lineRule="auto"/>
        <w:jc w:val="both"/>
        <w:rPr>
          <w:rFonts w:ascii="Times New Roman" w:hAnsi="Times New Roman" w:cs="Times New Roman"/>
          <w:b/>
          <w:bCs/>
          <w:sz w:val="24"/>
          <w:szCs w:val="24"/>
        </w:rPr>
      </w:pPr>
      <w:r w:rsidRPr="002E7761">
        <w:rPr>
          <w:rFonts w:ascii="Times New Roman" w:hAnsi="Times New Roman" w:cs="Times New Roman"/>
          <w:b/>
          <w:bCs/>
          <w:sz w:val="24"/>
          <w:szCs w:val="24"/>
        </w:rPr>
        <w:t>3.1.1 Equipment</w:t>
      </w:r>
    </w:p>
    <w:p w:rsidR="00F77439" w:rsidRPr="002E7761" w:rsidRDefault="00F77439" w:rsidP="006D3376">
      <w:pPr>
        <w:spacing w:line="360" w:lineRule="auto"/>
        <w:jc w:val="both"/>
        <w:rPr>
          <w:rFonts w:ascii="Times New Roman" w:hAnsi="Times New Roman" w:cs="Times New Roman"/>
          <w:sz w:val="24"/>
          <w:szCs w:val="24"/>
          <w:lang w:val="en-US"/>
        </w:rPr>
      </w:pPr>
      <w:r w:rsidRPr="002E7761">
        <w:rPr>
          <w:rFonts w:ascii="Times New Roman" w:hAnsi="Times New Roman" w:cs="Times New Roman"/>
          <w:sz w:val="24"/>
          <w:szCs w:val="24"/>
          <w:lang w:val="en-US"/>
        </w:rPr>
        <w:t xml:space="preserve">The equipment for this research includes Gel Comb and Tray, PCR machine, </w:t>
      </w:r>
      <w:proofErr w:type="spellStart"/>
      <w:r w:rsidRPr="002E7761">
        <w:rPr>
          <w:rFonts w:ascii="Times New Roman" w:hAnsi="Times New Roman" w:cs="Times New Roman"/>
          <w:sz w:val="24"/>
          <w:szCs w:val="24"/>
          <w:lang w:val="en-US"/>
        </w:rPr>
        <w:t>Eppendorf</w:t>
      </w:r>
      <w:proofErr w:type="spellEnd"/>
      <w:r w:rsidRPr="002E7761">
        <w:rPr>
          <w:rFonts w:ascii="Times New Roman" w:hAnsi="Times New Roman" w:cs="Times New Roman"/>
          <w:sz w:val="24"/>
          <w:szCs w:val="24"/>
          <w:lang w:val="en-US"/>
        </w:rPr>
        <w:t xml:space="preserve"> tubes, Micropipette and tips, Gloves, Marker, Tube racks, </w:t>
      </w:r>
      <w:proofErr w:type="spellStart"/>
      <w:r w:rsidRPr="002E7761">
        <w:rPr>
          <w:rFonts w:ascii="Times New Roman" w:hAnsi="Times New Roman" w:cs="Times New Roman"/>
          <w:sz w:val="24"/>
          <w:szCs w:val="24"/>
          <w:lang w:val="en-US"/>
        </w:rPr>
        <w:t>NanodropTM</w:t>
      </w:r>
      <w:proofErr w:type="spellEnd"/>
      <w:r w:rsidRPr="002E7761">
        <w:rPr>
          <w:rFonts w:ascii="Times New Roman" w:hAnsi="Times New Roman" w:cs="Times New Roman"/>
          <w:sz w:val="24"/>
          <w:szCs w:val="24"/>
          <w:lang w:val="en-US"/>
        </w:rPr>
        <w:t xml:space="preserve"> 2000/2000c Spectrophotometer 7300 Thermal cycler (Bio-Rad), Weighing balance, </w:t>
      </w:r>
      <w:proofErr w:type="spellStart"/>
      <w:r w:rsidRPr="002E7761">
        <w:rPr>
          <w:rFonts w:ascii="Times New Roman" w:hAnsi="Times New Roman" w:cs="Times New Roman"/>
          <w:sz w:val="24"/>
          <w:szCs w:val="24"/>
          <w:lang w:val="en-US"/>
        </w:rPr>
        <w:t>Zymo</w:t>
      </w:r>
      <w:proofErr w:type="spellEnd"/>
      <w:r w:rsidRPr="002E7761">
        <w:rPr>
          <w:rFonts w:ascii="Times New Roman" w:hAnsi="Times New Roman" w:cs="Times New Roman"/>
          <w:sz w:val="24"/>
          <w:szCs w:val="24"/>
          <w:lang w:val="en-US"/>
        </w:rPr>
        <w:t xml:space="preserve">© Quick-DNA </w:t>
      </w:r>
      <w:proofErr w:type="spellStart"/>
      <w:r w:rsidRPr="002E7761">
        <w:rPr>
          <w:rFonts w:ascii="Times New Roman" w:hAnsi="Times New Roman" w:cs="Times New Roman"/>
          <w:sz w:val="24"/>
          <w:szCs w:val="24"/>
          <w:lang w:val="en-US"/>
        </w:rPr>
        <w:t>Miniprep</w:t>
      </w:r>
      <w:proofErr w:type="spellEnd"/>
      <w:r w:rsidRPr="002E7761">
        <w:rPr>
          <w:rFonts w:ascii="Times New Roman" w:hAnsi="Times New Roman" w:cs="Times New Roman"/>
          <w:sz w:val="24"/>
          <w:szCs w:val="24"/>
          <w:lang w:val="en-US"/>
        </w:rPr>
        <w:t xml:space="preserve"> Kit, Electrophoretic machine, </w:t>
      </w:r>
      <w:proofErr w:type="spellStart"/>
      <w:r w:rsidRPr="002E7761">
        <w:rPr>
          <w:rFonts w:ascii="Times New Roman" w:hAnsi="Times New Roman" w:cs="Times New Roman"/>
          <w:sz w:val="24"/>
          <w:szCs w:val="24"/>
          <w:lang w:val="en-US"/>
        </w:rPr>
        <w:t>Ecotherm</w:t>
      </w:r>
      <w:proofErr w:type="spellEnd"/>
      <w:r w:rsidRPr="002E7761">
        <w:rPr>
          <w:rFonts w:ascii="Times New Roman" w:hAnsi="Times New Roman" w:cs="Times New Roman"/>
          <w:sz w:val="24"/>
          <w:szCs w:val="24"/>
          <w:lang w:val="en-US"/>
        </w:rPr>
        <w:t xml:space="preserve"> </w:t>
      </w:r>
      <w:proofErr w:type="spellStart"/>
      <w:r w:rsidRPr="002E7761">
        <w:rPr>
          <w:rFonts w:ascii="Times New Roman" w:hAnsi="Times New Roman" w:cs="Times New Roman"/>
          <w:sz w:val="24"/>
          <w:szCs w:val="24"/>
          <w:lang w:val="en-US"/>
        </w:rPr>
        <w:t>Microcentrifuge</w:t>
      </w:r>
      <w:proofErr w:type="spellEnd"/>
      <w:r w:rsidRPr="002E7761">
        <w:rPr>
          <w:rFonts w:ascii="Times New Roman" w:hAnsi="Times New Roman" w:cs="Times New Roman"/>
          <w:sz w:val="24"/>
          <w:szCs w:val="24"/>
          <w:lang w:val="en-US"/>
        </w:rPr>
        <w:t>, Freezer (–80°C), DNA extraction kit, ELISA kit and Sanger sequencer.</w:t>
      </w:r>
    </w:p>
    <w:p w:rsidR="00F77439" w:rsidRPr="002E7761" w:rsidRDefault="00F77439" w:rsidP="006D3376">
      <w:pPr>
        <w:spacing w:line="360" w:lineRule="auto"/>
        <w:jc w:val="both"/>
        <w:rPr>
          <w:rFonts w:ascii="Times New Roman" w:hAnsi="Times New Roman" w:cs="Times New Roman"/>
          <w:sz w:val="24"/>
          <w:szCs w:val="24"/>
        </w:rPr>
      </w:pPr>
      <w:r w:rsidRPr="002E7761">
        <w:rPr>
          <w:rFonts w:ascii="Times New Roman" w:hAnsi="Times New Roman" w:cs="Times New Roman"/>
          <w:b/>
          <w:bCs/>
          <w:sz w:val="24"/>
          <w:szCs w:val="24"/>
        </w:rPr>
        <w:t xml:space="preserve">3.1.2 Reagents </w:t>
      </w:r>
    </w:p>
    <w:p w:rsidR="00F77439" w:rsidRPr="00BA6281" w:rsidRDefault="00F77439" w:rsidP="006D3376">
      <w:pPr>
        <w:spacing w:line="360" w:lineRule="auto"/>
        <w:jc w:val="both"/>
        <w:rPr>
          <w:rFonts w:ascii="Times New Roman" w:hAnsi="Times New Roman" w:cs="Times New Roman"/>
          <w:sz w:val="24"/>
          <w:szCs w:val="24"/>
        </w:rPr>
      </w:pPr>
      <w:r w:rsidRPr="002E7761">
        <w:rPr>
          <w:rFonts w:ascii="Times New Roman" w:hAnsi="Times New Roman" w:cs="Times New Roman"/>
          <w:sz w:val="24"/>
          <w:szCs w:val="24"/>
        </w:rPr>
        <w:t xml:space="preserve">The following </w:t>
      </w:r>
      <w:r w:rsidR="006205B3">
        <w:rPr>
          <w:rFonts w:ascii="Times New Roman" w:hAnsi="Times New Roman" w:cs="Times New Roman"/>
          <w:sz w:val="24"/>
          <w:szCs w:val="24"/>
        </w:rPr>
        <w:t>reagents will be used for this research:</w:t>
      </w:r>
      <w:r w:rsidRPr="002E7761">
        <w:rPr>
          <w:rFonts w:ascii="Times New Roman" w:hAnsi="Times New Roman" w:cs="Times New Roman"/>
          <w:sz w:val="24"/>
          <w:szCs w:val="24"/>
        </w:rPr>
        <w:t xml:space="preserve"> PCR buffer, 3% </w:t>
      </w:r>
      <w:proofErr w:type="spellStart"/>
      <w:r w:rsidRPr="002E7761">
        <w:rPr>
          <w:rFonts w:ascii="Times New Roman" w:hAnsi="Times New Roman" w:cs="Times New Roman"/>
          <w:sz w:val="24"/>
          <w:szCs w:val="24"/>
        </w:rPr>
        <w:t>agarose</w:t>
      </w:r>
      <w:proofErr w:type="spellEnd"/>
      <w:r w:rsidRPr="002E7761">
        <w:rPr>
          <w:rFonts w:ascii="Times New Roman" w:hAnsi="Times New Roman" w:cs="Times New Roman"/>
          <w:sz w:val="24"/>
          <w:szCs w:val="24"/>
        </w:rPr>
        <w:t xml:space="preserve"> gel, Primers, </w:t>
      </w:r>
      <w:proofErr w:type="spellStart"/>
      <w:r w:rsidRPr="002E7761">
        <w:rPr>
          <w:rFonts w:ascii="Times New Roman" w:hAnsi="Times New Roman" w:cs="Times New Roman"/>
          <w:sz w:val="24"/>
          <w:szCs w:val="24"/>
        </w:rPr>
        <w:t>ethidium</w:t>
      </w:r>
      <w:proofErr w:type="spellEnd"/>
      <w:r w:rsidRPr="002E7761">
        <w:rPr>
          <w:rFonts w:ascii="Times New Roman" w:hAnsi="Times New Roman" w:cs="Times New Roman"/>
          <w:sz w:val="24"/>
          <w:szCs w:val="24"/>
        </w:rPr>
        <w:t xml:space="preserve"> bromide, </w:t>
      </w:r>
      <w:proofErr w:type="spellStart"/>
      <w:r w:rsidRPr="002E7761">
        <w:rPr>
          <w:rFonts w:ascii="Times New Roman" w:hAnsi="Times New Roman" w:cs="Times New Roman"/>
          <w:sz w:val="24"/>
          <w:szCs w:val="24"/>
        </w:rPr>
        <w:t>DNase</w:t>
      </w:r>
      <w:proofErr w:type="spellEnd"/>
      <w:r w:rsidRPr="002E7761">
        <w:rPr>
          <w:rFonts w:ascii="Times New Roman" w:hAnsi="Times New Roman" w:cs="Times New Roman"/>
          <w:sz w:val="24"/>
          <w:szCs w:val="24"/>
        </w:rPr>
        <w:t xml:space="preserve">-free water, </w:t>
      </w:r>
      <w:proofErr w:type="spellStart"/>
      <w:r w:rsidRPr="002E7761">
        <w:rPr>
          <w:rFonts w:ascii="Times New Roman" w:hAnsi="Times New Roman" w:cs="Times New Roman"/>
          <w:sz w:val="24"/>
          <w:szCs w:val="24"/>
          <w:lang w:val="en-US"/>
        </w:rPr>
        <w:t>Ethidium</w:t>
      </w:r>
      <w:proofErr w:type="spellEnd"/>
      <w:r w:rsidRPr="002E7761">
        <w:rPr>
          <w:rFonts w:ascii="Times New Roman" w:hAnsi="Times New Roman" w:cs="Times New Roman"/>
          <w:sz w:val="24"/>
          <w:szCs w:val="24"/>
          <w:lang w:val="en-US"/>
        </w:rPr>
        <w:t xml:space="preserve"> bromide, Primer sets, PCR </w:t>
      </w:r>
      <w:proofErr w:type="spellStart"/>
      <w:r w:rsidRPr="002E7761">
        <w:rPr>
          <w:rFonts w:ascii="Times New Roman" w:hAnsi="Times New Roman" w:cs="Times New Roman"/>
          <w:sz w:val="24"/>
          <w:szCs w:val="24"/>
          <w:lang w:val="en-US"/>
        </w:rPr>
        <w:t>Supermix</w:t>
      </w:r>
      <w:proofErr w:type="spellEnd"/>
      <w:r w:rsidRPr="002E7761">
        <w:rPr>
          <w:rFonts w:ascii="Times New Roman" w:hAnsi="Times New Roman" w:cs="Times New Roman"/>
          <w:sz w:val="24"/>
          <w:szCs w:val="24"/>
          <w:lang w:val="en-US"/>
        </w:rPr>
        <w:t xml:space="preserve">, </w:t>
      </w:r>
      <w:proofErr w:type="spellStart"/>
      <w:r w:rsidRPr="002E7761">
        <w:rPr>
          <w:rFonts w:ascii="Times New Roman" w:hAnsi="Times New Roman" w:cs="Times New Roman"/>
          <w:sz w:val="24"/>
          <w:szCs w:val="24"/>
          <w:lang w:val="en-US"/>
        </w:rPr>
        <w:t>Agarose</w:t>
      </w:r>
      <w:proofErr w:type="spellEnd"/>
      <w:r w:rsidRPr="002E7761">
        <w:rPr>
          <w:rFonts w:ascii="Times New Roman" w:hAnsi="Times New Roman" w:cs="Times New Roman"/>
          <w:sz w:val="24"/>
          <w:szCs w:val="24"/>
          <w:lang w:val="en-US"/>
        </w:rPr>
        <w:t xml:space="preserve"> Powder, Loading Dye, ELISA Kits, TBE Buffer </w:t>
      </w:r>
      <w:r w:rsidRPr="002E7761">
        <w:rPr>
          <w:rFonts w:ascii="Times New Roman" w:hAnsi="Times New Roman" w:cs="Times New Roman"/>
          <w:sz w:val="24"/>
          <w:szCs w:val="24"/>
        </w:rPr>
        <w:t>and TBE 2X.</w:t>
      </w:r>
    </w:p>
    <w:p w:rsidR="00F77439" w:rsidRPr="002E7761" w:rsidRDefault="00775C68" w:rsidP="00BA6281">
      <w:pPr>
        <w:spacing w:before="240"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3.2 Methods</w:t>
      </w:r>
      <w:r w:rsidR="00F77439" w:rsidRPr="002E7761">
        <w:rPr>
          <w:rFonts w:ascii="Times New Roman" w:hAnsi="Times New Roman" w:cs="Times New Roman"/>
          <w:sz w:val="24"/>
          <w:szCs w:val="24"/>
          <w:lang w:val="en-US"/>
        </w:rPr>
        <w:t xml:space="preserve"> </w:t>
      </w:r>
    </w:p>
    <w:p w:rsidR="00775C68" w:rsidRDefault="00775C68" w:rsidP="006D3376">
      <w:pPr>
        <w:spacing w:line="360" w:lineRule="auto"/>
        <w:jc w:val="both"/>
        <w:rPr>
          <w:rFonts w:ascii="Times New Roman" w:hAnsi="Times New Roman" w:cs="Times New Roman"/>
          <w:b/>
          <w:bCs/>
          <w:sz w:val="24"/>
          <w:szCs w:val="24"/>
        </w:rPr>
      </w:pPr>
      <w:bookmarkStart w:id="3" w:name="_Toc142653302"/>
      <w:r>
        <w:rPr>
          <w:rStyle w:val="Heading2Char"/>
        </w:rPr>
        <w:t>3.2.1</w:t>
      </w:r>
      <w:r w:rsidRPr="00E072A5">
        <w:rPr>
          <w:rStyle w:val="Heading2Char"/>
        </w:rPr>
        <w:t xml:space="preserve"> Study Population</w:t>
      </w:r>
      <w:bookmarkEnd w:id="3"/>
      <w:r w:rsidRPr="002523EA">
        <w:rPr>
          <w:rFonts w:ascii="Times New Roman" w:hAnsi="Times New Roman" w:cs="Times New Roman"/>
          <w:b/>
          <w:bCs/>
          <w:sz w:val="24"/>
          <w:szCs w:val="24"/>
        </w:rPr>
        <w:t xml:space="preserve">: </w:t>
      </w:r>
      <w:r w:rsidR="006C2022">
        <w:rPr>
          <w:rFonts w:ascii="Times New Roman" w:eastAsia="Calibri" w:hAnsi="Times New Roman" w:cs="Times New Roman"/>
          <w:color w:val="000000"/>
          <w:sz w:val="24"/>
          <w:szCs w:val="24"/>
        </w:rPr>
        <w:t>A</w:t>
      </w:r>
      <w:r w:rsidRPr="002523EA">
        <w:rPr>
          <w:rFonts w:ascii="Times New Roman" w:eastAsia="Calibri" w:hAnsi="Times New Roman" w:cs="Times New Roman"/>
          <w:color w:val="000000"/>
          <w:sz w:val="24"/>
          <w:szCs w:val="24"/>
        </w:rPr>
        <w:t xml:space="preserve"> case-control </w:t>
      </w:r>
      <w:r>
        <w:rPr>
          <w:rFonts w:ascii="Times New Roman" w:eastAsia="Calibri" w:hAnsi="Times New Roman" w:cs="Times New Roman"/>
          <w:color w:val="000000"/>
          <w:sz w:val="24"/>
          <w:szCs w:val="24"/>
        </w:rPr>
        <w:t>design of 80 participants: 40 histologically diagnosed prostate</w:t>
      </w:r>
      <w:r w:rsidRPr="002523EA">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 xml:space="preserve">cancer patients attending </w:t>
      </w:r>
      <w:r w:rsidR="006C2022">
        <w:rPr>
          <w:rFonts w:ascii="Times New Roman" w:eastAsia="Calibri" w:hAnsi="Times New Roman" w:cs="Times New Roman"/>
          <w:color w:val="000000"/>
          <w:sz w:val="24"/>
          <w:szCs w:val="24"/>
        </w:rPr>
        <w:t>hospital</w:t>
      </w:r>
      <w:r>
        <w:rPr>
          <w:rFonts w:ascii="Times New Roman" w:eastAsia="Calibri" w:hAnsi="Times New Roman" w:cs="Times New Roman"/>
          <w:color w:val="000000"/>
          <w:sz w:val="24"/>
          <w:szCs w:val="24"/>
        </w:rPr>
        <w:t xml:space="preserve"> and 40 apparently healthy </w:t>
      </w:r>
      <w:r w:rsidRPr="002523EA">
        <w:rPr>
          <w:rFonts w:ascii="Times New Roman" w:eastAsia="Calibri" w:hAnsi="Times New Roman" w:cs="Times New Roman"/>
          <w:color w:val="000000"/>
          <w:sz w:val="24"/>
          <w:szCs w:val="24"/>
        </w:rPr>
        <w:t>men as control.</w:t>
      </w:r>
    </w:p>
    <w:p w:rsidR="00F77439" w:rsidRDefault="00775C68" w:rsidP="006D337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3.2.2 </w:t>
      </w:r>
      <w:r w:rsidR="00F77439" w:rsidRPr="002E7761">
        <w:rPr>
          <w:rFonts w:ascii="Times New Roman" w:hAnsi="Times New Roman" w:cs="Times New Roman"/>
          <w:b/>
          <w:bCs/>
          <w:sz w:val="24"/>
          <w:szCs w:val="24"/>
        </w:rPr>
        <w:t xml:space="preserve">Study Area: </w:t>
      </w:r>
      <w:r w:rsidR="00F77439" w:rsidRPr="002E7761">
        <w:rPr>
          <w:rFonts w:ascii="Times New Roman" w:hAnsi="Times New Roman" w:cs="Times New Roman"/>
          <w:sz w:val="24"/>
          <w:szCs w:val="24"/>
        </w:rPr>
        <w:t xml:space="preserve">The primary study area will be </w:t>
      </w:r>
      <w:r w:rsidR="006C2022">
        <w:rPr>
          <w:rFonts w:ascii="Times New Roman" w:hAnsi="Times New Roman" w:cs="Times New Roman"/>
          <w:sz w:val="24"/>
          <w:szCs w:val="24"/>
        </w:rPr>
        <w:t>the</w:t>
      </w:r>
      <w:r w:rsidR="006C2022">
        <w:rPr>
          <w:rFonts w:ascii="Times New Roman" w:eastAsia="Calibri" w:hAnsi="Times New Roman" w:cs="Times New Roman"/>
          <w:color w:val="000000"/>
          <w:sz w:val="24"/>
          <w:szCs w:val="24"/>
        </w:rPr>
        <w:t xml:space="preserve"> </w:t>
      </w:r>
      <w:r w:rsidR="006C2022" w:rsidRPr="002523EA">
        <w:rPr>
          <w:rFonts w:ascii="Times New Roman" w:eastAsia="Calibri" w:hAnsi="Times New Roman" w:cs="Times New Roman"/>
          <w:color w:val="000000"/>
          <w:sz w:val="24"/>
          <w:szCs w:val="24"/>
        </w:rPr>
        <w:t>Lagos</w:t>
      </w:r>
      <w:r w:rsidR="006C2022">
        <w:rPr>
          <w:rFonts w:ascii="Times New Roman" w:eastAsia="Calibri" w:hAnsi="Times New Roman" w:cs="Times New Roman"/>
          <w:color w:val="000000"/>
          <w:sz w:val="24"/>
          <w:szCs w:val="24"/>
        </w:rPr>
        <w:t xml:space="preserve"> State</w:t>
      </w:r>
      <w:r w:rsidR="006C2022" w:rsidRPr="002523EA">
        <w:rPr>
          <w:rFonts w:ascii="Times New Roman" w:eastAsia="Calibri" w:hAnsi="Times New Roman" w:cs="Times New Roman"/>
          <w:color w:val="000000"/>
          <w:sz w:val="24"/>
          <w:szCs w:val="24"/>
        </w:rPr>
        <w:t xml:space="preserve"> University Teaching Hospital (L</w:t>
      </w:r>
      <w:r w:rsidR="006C2022">
        <w:rPr>
          <w:rFonts w:ascii="Times New Roman" w:eastAsia="Calibri" w:hAnsi="Times New Roman" w:cs="Times New Roman"/>
          <w:color w:val="000000"/>
          <w:sz w:val="24"/>
          <w:szCs w:val="24"/>
        </w:rPr>
        <w:t>AS</w:t>
      </w:r>
      <w:r w:rsidR="006C2022" w:rsidRPr="002523EA">
        <w:rPr>
          <w:rFonts w:ascii="Times New Roman" w:eastAsia="Calibri" w:hAnsi="Times New Roman" w:cs="Times New Roman"/>
          <w:color w:val="000000"/>
          <w:sz w:val="24"/>
          <w:szCs w:val="24"/>
        </w:rPr>
        <w:t>U</w:t>
      </w:r>
      <w:r w:rsidR="006C2022">
        <w:rPr>
          <w:rFonts w:ascii="Times New Roman" w:eastAsia="Calibri" w:hAnsi="Times New Roman" w:cs="Times New Roman"/>
          <w:color w:val="000000"/>
          <w:sz w:val="24"/>
          <w:szCs w:val="24"/>
        </w:rPr>
        <w:t xml:space="preserve">TH), </w:t>
      </w:r>
      <w:r w:rsidR="006C2022" w:rsidRPr="002523EA">
        <w:rPr>
          <w:rFonts w:ascii="Times New Roman" w:eastAsia="Calibri" w:hAnsi="Times New Roman" w:cs="Times New Roman"/>
          <w:color w:val="000000"/>
          <w:sz w:val="24"/>
          <w:szCs w:val="24"/>
        </w:rPr>
        <w:t>Univ</w:t>
      </w:r>
      <w:r w:rsidR="006C2022">
        <w:rPr>
          <w:rFonts w:ascii="Times New Roman" w:eastAsia="Calibri" w:hAnsi="Times New Roman" w:cs="Times New Roman"/>
          <w:color w:val="000000"/>
          <w:sz w:val="24"/>
          <w:szCs w:val="24"/>
        </w:rPr>
        <w:t>ersity of Lagos Teaching Hospital (LUTH)</w:t>
      </w:r>
      <w:r w:rsidRPr="00775C68">
        <w:rPr>
          <w:rFonts w:ascii="Times New Roman" w:hAnsi="Times New Roman" w:cs="Times New Roman"/>
          <w:sz w:val="24"/>
          <w:szCs w:val="24"/>
        </w:rPr>
        <w:t>, Cancer</w:t>
      </w:r>
      <w:r w:rsidR="006C2022">
        <w:rPr>
          <w:rFonts w:ascii="Times New Roman" w:hAnsi="Times New Roman" w:cs="Times New Roman"/>
          <w:sz w:val="24"/>
          <w:szCs w:val="24"/>
        </w:rPr>
        <w:t xml:space="preserve"> Research Lab domiciled at </w:t>
      </w:r>
      <w:r w:rsidR="00F77439" w:rsidRPr="002E7761">
        <w:rPr>
          <w:rFonts w:ascii="Times New Roman" w:hAnsi="Times New Roman" w:cs="Times New Roman"/>
          <w:sz w:val="24"/>
          <w:szCs w:val="24"/>
        </w:rPr>
        <w:t>Covenant University Ota.</w:t>
      </w:r>
    </w:p>
    <w:p w:rsidR="00775C68" w:rsidRPr="00775C68" w:rsidRDefault="00775C68" w:rsidP="00775C68">
      <w:pPr>
        <w:spacing w:line="360" w:lineRule="auto"/>
        <w:jc w:val="both"/>
        <w:rPr>
          <w:rFonts w:ascii="Times New Roman" w:hAnsi="Times New Roman" w:cs="Times New Roman"/>
          <w:b/>
          <w:bCs/>
          <w:sz w:val="24"/>
          <w:szCs w:val="24"/>
        </w:rPr>
      </w:pPr>
      <w:bookmarkStart w:id="4" w:name="_Toc142653304"/>
      <w:r>
        <w:rPr>
          <w:rStyle w:val="Heading2Char"/>
        </w:rPr>
        <w:t>3.2.3</w:t>
      </w:r>
      <w:r w:rsidRPr="009F7658">
        <w:rPr>
          <w:rStyle w:val="Heading2Char"/>
        </w:rPr>
        <w:t xml:space="preserve"> </w:t>
      </w:r>
      <w:bookmarkEnd w:id="4"/>
      <w:r w:rsidRPr="002E7761">
        <w:rPr>
          <w:rFonts w:ascii="Times New Roman" w:hAnsi="Times New Roman" w:cs="Times New Roman"/>
          <w:b/>
          <w:sz w:val="24"/>
          <w:szCs w:val="24"/>
          <w:lang w:val="en-US"/>
        </w:rPr>
        <w:t>Inclusion and exclusion criteria</w:t>
      </w:r>
    </w:p>
    <w:p w:rsidR="00775C68" w:rsidRPr="002E7761" w:rsidRDefault="00775C68" w:rsidP="00775C68">
      <w:pPr>
        <w:spacing w:after="0" w:line="360" w:lineRule="auto"/>
        <w:jc w:val="both"/>
        <w:rPr>
          <w:rFonts w:ascii="Times New Roman" w:hAnsi="Times New Roman" w:cs="Times New Roman"/>
          <w:sz w:val="24"/>
          <w:szCs w:val="24"/>
          <w:lang w:val="en-US"/>
        </w:rPr>
      </w:pPr>
      <w:r w:rsidRPr="002E7761">
        <w:rPr>
          <w:rFonts w:ascii="Times New Roman" w:hAnsi="Times New Roman" w:cs="Times New Roman"/>
          <w:sz w:val="24"/>
          <w:szCs w:val="24"/>
          <w:lang w:val="en-US"/>
        </w:rPr>
        <w:t>Inclusion criteria</w:t>
      </w:r>
    </w:p>
    <w:p w:rsidR="00775C68" w:rsidRPr="002E7761" w:rsidRDefault="00775C68" w:rsidP="00775C68">
      <w:pPr>
        <w:numPr>
          <w:ilvl w:val="0"/>
          <w:numId w:val="16"/>
        </w:numPr>
        <w:spacing w:after="0" w:line="360" w:lineRule="auto"/>
        <w:jc w:val="both"/>
        <w:rPr>
          <w:rFonts w:ascii="Times New Roman" w:hAnsi="Times New Roman" w:cs="Times New Roman"/>
          <w:b/>
          <w:sz w:val="24"/>
          <w:szCs w:val="24"/>
          <w:lang w:val="en-US"/>
        </w:rPr>
      </w:pPr>
      <w:r w:rsidRPr="002E7761">
        <w:rPr>
          <w:rFonts w:ascii="Times New Roman" w:hAnsi="Times New Roman" w:cs="Times New Roman"/>
          <w:sz w:val="24"/>
          <w:szCs w:val="24"/>
          <w:lang w:val="en-US"/>
        </w:rPr>
        <w:t xml:space="preserve">Men 40 – 75 years of age </w:t>
      </w:r>
      <w:r>
        <w:rPr>
          <w:rFonts w:ascii="Times New Roman" w:hAnsi="Times New Roman" w:cs="Times New Roman"/>
          <w:sz w:val="24"/>
          <w:szCs w:val="24"/>
          <w:lang w:val="en-US"/>
        </w:rPr>
        <w:t>who</w:t>
      </w:r>
      <w:r w:rsidRPr="002E7761">
        <w:rPr>
          <w:rFonts w:ascii="Times New Roman" w:hAnsi="Times New Roman" w:cs="Times New Roman"/>
          <w:sz w:val="24"/>
          <w:szCs w:val="24"/>
          <w:lang w:val="en-US"/>
        </w:rPr>
        <w:t xml:space="preserve"> have </w:t>
      </w:r>
      <w:r>
        <w:rPr>
          <w:rFonts w:ascii="Times New Roman" w:hAnsi="Times New Roman" w:cs="Times New Roman"/>
          <w:sz w:val="24"/>
          <w:szCs w:val="24"/>
          <w:lang w:val="en-US"/>
        </w:rPr>
        <w:t xml:space="preserve">been </w:t>
      </w:r>
      <w:r w:rsidRPr="002E7761">
        <w:rPr>
          <w:rFonts w:ascii="Times New Roman" w:hAnsi="Times New Roman" w:cs="Times New Roman"/>
          <w:sz w:val="24"/>
          <w:szCs w:val="24"/>
          <w:lang w:val="en-US"/>
        </w:rPr>
        <w:t xml:space="preserve">diagnosed with prostate cancer </w:t>
      </w:r>
    </w:p>
    <w:p w:rsidR="00775C68" w:rsidRPr="00775C68" w:rsidRDefault="00775C68" w:rsidP="00775C68">
      <w:pPr>
        <w:numPr>
          <w:ilvl w:val="0"/>
          <w:numId w:val="16"/>
        </w:numPr>
        <w:spacing w:after="0" w:line="360" w:lineRule="auto"/>
        <w:jc w:val="both"/>
        <w:rPr>
          <w:rFonts w:ascii="Times New Roman" w:hAnsi="Times New Roman" w:cs="Times New Roman"/>
          <w:b/>
          <w:sz w:val="24"/>
          <w:szCs w:val="24"/>
          <w:lang w:val="en-US"/>
        </w:rPr>
      </w:pPr>
      <w:r w:rsidRPr="002E7761">
        <w:rPr>
          <w:rFonts w:ascii="Times New Roman" w:hAnsi="Times New Roman" w:cs="Times New Roman"/>
          <w:sz w:val="24"/>
          <w:szCs w:val="24"/>
          <w:lang w:val="en-US"/>
        </w:rPr>
        <w:t xml:space="preserve">Men who have been clinically diagnosed with </w:t>
      </w:r>
      <w:proofErr w:type="spellStart"/>
      <w:r w:rsidRPr="002E7761">
        <w:rPr>
          <w:rFonts w:ascii="Times New Roman" w:hAnsi="Times New Roman" w:cs="Times New Roman"/>
          <w:sz w:val="24"/>
          <w:szCs w:val="24"/>
          <w:lang w:val="en-US"/>
        </w:rPr>
        <w:t>PCa</w:t>
      </w:r>
      <w:proofErr w:type="spellEnd"/>
      <w:r w:rsidRPr="002E7761">
        <w:rPr>
          <w:rFonts w:ascii="Times New Roman" w:hAnsi="Times New Roman" w:cs="Times New Roman"/>
          <w:sz w:val="24"/>
          <w:szCs w:val="24"/>
          <w:lang w:val="en-US"/>
        </w:rPr>
        <w:t xml:space="preserve"> </w:t>
      </w:r>
      <w:r>
        <w:rPr>
          <w:rFonts w:ascii="Times New Roman" w:hAnsi="Times New Roman" w:cs="Times New Roman"/>
          <w:sz w:val="24"/>
          <w:szCs w:val="24"/>
          <w:lang w:val="en-US"/>
        </w:rPr>
        <w:t>and</w:t>
      </w:r>
      <w:r w:rsidRPr="002E7761">
        <w:rPr>
          <w:rFonts w:ascii="Times New Roman" w:hAnsi="Times New Roman" w:cs="Times New Roman"/>
          <w:sz w:val="24"/>
          <w:szCs w:val="24"/>
          <w:lang w:val="en-US"/>
        </w:rPr>
        <w:t xml:space="preserve"> are willing to participate</w:t>
      </w:r>
    </w:p>
    <w:p w:rsidR="00775C68" w:rsidRPr="002E7761" w:rsidRDefault="00775C68" w:rsidP="00775C68">
      <w:pPr>
        <w:spacing w:after="0" w:line="360" w:lineRule="auto"/>
        <w:jc w:val="both"/>
        <w:rPr>
          <w:rFonts w:ascii="Times New Roman" w:hAnsi="Times New Roman" w:cs="Times New Roman"/>
          <w:sz w:val="24"/>
          <w:szCs w:val="24"/>
          <w:lang w:val="en-US"/>
        </w:rPr>
      </w:pPr>
      <w:r w:rsidRPr="002E7761">
        <w:rPr>
          <w:rFonts w:ascii="Times New Roman" w:hAnsi="Times New Roman" w:cs="Times New Roman"/>
          <w:sz w:val="24"/>
          <w:szCs w:val="24"/>
          <w:lang w:val="en-US"/>
        </w:rPr>
        <w:t>Exclusion criteria</w:t>
      </w:r>
    </w:p>
    <w:p w:rsidR="00775C68" w:rsidRPr="002E7761" w:rsidRDefault="00775C68" w:rsidP="00775C68">
      <w:pPr>
        <w:numPr>
          <w:ilvl w:val="0"/>
          <w:numId w:val="17"/>
        </w:numPr>
        <w:spacing w:after="0" w:line="360" w:lineRule="auto"/>
        <w:jc w:val="both"/>
        <w:rPr>
          <w:rFonts w:ascii="Times New Roman" w:hAnsi="Times New Roman" w:cs="Times New Roman"/>
          <w:sz w:val="24"/>
          <w:szCs w:val="24"/>
          <w:lang w:val="en-US"/>
        </w:rPr>
      </w:pPr>
      <w:r w:rsidRPr="002E7761">
        <w:rPr>
          <w:rFonts w:ascii="Times New Roman" w:hAnsi="Times New Roman" w:cs="Times New Roman"/>
          <w:sz w:val="24"/>
          <w:szCs w:val="24"/>
          <w:lang w:val="en-US"/>
        </w:rPr>
        <w:t>Men that are outside the age range of 40 - 75</w:t>
      </w:r>
    </w:p>
    <w:p w:rsidR="00775C68" w:rsidRPr="002E7761" w:rsidRDefault="00775C68" w:rsidP="00775C68">
      <w:pPr>
        <w:numPr>
          <w:ilvl w:val="0"/>
          <w:numId w:val="17"/>
        </w:numPr>
        <w:spacing w:after="0" w:line="360" w:lineRule="auto"/>
        <w:jc w:val="both"/>
        <w:rPr>
          <w:rFonts w:ascii="Times New Roman" w:hAnsi="Times New Roman" w:cs="Times New Roman"/>
          <w:sz w:val="24"/>
          <w:szCs w:val="24"/>
          <w:lang w:val="en-US"/>
        </w:rPr>
      </w:pPr>
      <w:r w:rsidRPr="002E7761">
        <w:rPr>
          <w:rFonts w:ascii="Times New Roman" w:hAnsi="Times New Roman" w:cs="Times New Roman"/>
          <w:sz w:val="24"/>
          <w:szCs w:val="24"/>
          <w:lang w:val="en-US"/>
        </w:rPr>
        <w:t>Unwilling and Non-Nigerian men</w:t>
      </w:r>
    </w:p>
    <w:p w:rsidR="00775C68" w:rsidRPr="002E7761" w:rsidRDefault="00775C68" w:rsidP="00775C68">
      <w:pPr>
        <w:numPr>
          <w:ilvl w:val="0"/>
          <w:numId w:val="17"/>
        </w:numPr>
        <w:spacing w:line="360" w:lineRule="auto"/>
        <w:jc w:val="both"/>
        <w:rPr>
          <w:rFonts w:ascii="Times New Roman" w:hAnsi="Times New Roman" w:cs="Times New Roman"/>
          <w:sz w:val="24"/>
          <w:szCs w:val="24"/>
          <w:lang w:val="en-US"/>
        </w:rPr>
      </w:pPr>
      <w:r w:rsidRPr="002E7761">
        <w:rPr>
          <w:rFonts w:ascii="Times New Roman" w:hAnsi="Times New Roman" w:cs="Times New Roman"/>
          <w:sz w:val="24"/>
          <w:szCs w:val="24"/>
          <w:lang w:val="en-US"/>
        </w:rPr>
        <w:t>Individuals with a history of other types of cancer</w:t>
      </w:r>
    </w:p>
    <w:p w:rsidR="00D84CF6" w:rsidRDefault="00775C68" w:rsidP="00775C68">
      <w:pPr>
        <w:spacing w:line="360" w:lineRule="auto"/>
        <w:jc w:val="both"/>
        <w:rPr>
          <w:rFonts w:ascii="Times New Roman" w:hAnsi="Times New Roman" w:cs="Times New Roman"/>
          <w:sz w:val="24"/>
          <w:szCs w:val="24"/>
        </w:rPr>
      </w:pPr>
      <w:bookmarkStart w:id="5" w:name="_Toc142653306"/>
      <w:r>
        <w:rPr>
          <w:rStyle w:val="Heading2Char"/>
        </w:rPr>
        <w:lastRenderedPageBreak/>
        <w:t>3.2.4</w:t>
      </w:r>
      <w:r w:rsidRPr="009F7658">
        <w:rPr>
          <w:rStyle w:val="Heading2Char"/>
        </w:rPr>
        <w:t xml:space="preserve"> Sampling Technique</w:t>
      </w:r>
      <w:bookmarkEnd w:id="5"/>
      <w:r w:rsidRPr="002523EA">
        <w:rPr>
          <w:rFonts w:ascii="Times New Roman" w:hAnsi="Times New Roman" w:cs="Times New Roman"/>
          <w:b/>
          <w:bCs/>
          <w:sz w:val="24"/>
          <w:szCs w:val="24"/>
        </w:rPr>
        <w:t>:</w:t>
      </w:r>
      <w:r w:rsidRPr="002523EA">
        <w:rPr>
          <w:rFonts w:ascii="Times New Roman" w:hAnsi="Times New Roman" w:cs="Times New Roman"/>
          <w:sz w:val="24"/>
          <w:szCs w:val="24"/>
        </w:rPr>
        <w:t xml:space="preserve"> Eligible volunteers who met the inclusion criteria were enrolled in the study and informed that their blood samples would be used for a research project. The samples were collected only after obtaining written informed consent. </w:t>
      </w:r>
      <w:bookmarkStart w:id="6" w:name="_Toc142653307"/>
    </w:p>
    <w:p w:rsidR="00775C68" w:rsidRPr="002523EA" w:rsidRDefault="00FE2D03" w:rsidP="00775C68">
      <w:pPr>
        <w:spacing w:line="360" w:lineRule="auto"/>
        <w:jc w:val="both"/>
        <w:rPr>
          <w:rFonts w:ascii="Times New Roman" w:hAnsi="Times New Roman" w:cs="Times New Roman"/>
          <w:sz w:val="24"/>
          <w:szCs w:val="24"/>
        </w:rPr>
      </w:pPr>
      <w:r>
        <w:rPr>
          <w:rStyle w:val="Heading2Char"/>
        </w:rPr>
        <w:t>3.2.5</w:t>
      </w:r>
      <w:r w:rsidR="00775C68" w:rsidRPr="009F7658">
        <w:rPr>
          <w:rStyle w:val="Heading2Char"/>
        </w:rPr>
        <w:t xml:space="preserve"> Blood Collection</w:t>
      </w:r>
      <w:bookmarkEnd w:id="6"/>
      <w:r w:rsidR="00775C68" w:rsidRPr="002523EA">
        <w:rPr>
          <w:rFonts w:ascii="Times New Roman" w:hAnsi="Times New Roman" w:cs="Times New Roman"/>
          <w:b/>
          <w:bCs/>
          <w:sz w:val="24"/>
          <w:szCs w:val="24"/>
        </w:rPr>
        <w:t xml:space="preserve">: </w:t>
      </w:r>
      <w:r w:rsidR="00775C68">
        <w:rPr>
          <w:rFonts w:ascii="Times New Roman" w:hAnsi="Times New Roman" w:cs="Times New Roman"/>
          <w:sz w:val="24"/>
          <w:szCs w:val="24"/>
        </w:rPr>
        <w:t>B</w:t>
      </w:r>
      <w:r w:rsidR="00775C68" w:rsidRPr="002523EA">
        <w:rPr>
          <w:rFonts w:ascii="Times New Roman" w:hAnsi="Times New Roman" w:cs="Times New Roman"/>
          <w:sz w:val="24"/>
          <w:szCs w:val="24"/>
        </w:rPr>
        <w:t>lood samples</w:t>
      </w:r>
      <w:r w:rsidR="00775C68">
        <w:rPr>
          <w:rFonts w:ascii="Times New Roman" w:hAnsi="Times New Roman" w:cs="Times New Roman"/>
          <w:sz w:val="24"/>
          <w:szCs w:val="24"/>
        </w:rPr>
        <w:t xml:space="preserve"> from </w:t>
      </w:r>
      <w:r w:rsidR="00BA6281">
        <w:rPr>
          <w:rFonts w:ascii="Times New Roman" w:hAnsi="Times New Roman" w:cs="Times New Roman"/>
          <w:sz w:val="24"/>
          <w:szCs w:val="24"/>
        </w:rPr>
        <w:t>participants</w:t>
      </w:r>
      <w:r w:rsidR="00775C68">
        <w:rPr>
          <w:rFonts w:ascii="Times New Roman" w:hAnsi="Times New Roman" w:cs="Times New Roman"/>
          <w:sz w:val="24"/>
          <w:szCs w:val="24"/>
        </w:rPr>
        <w:t xml:space="preserve"> </w:t>
      </w:r>
      <w:r w:rsidR="00775C68" w:rsidRPr="002523EA">
        <w:rPr>
          <w:rFonts w:ascii="Times New Roman" w:hAnsi="Times New Roman" w:cs="Times New Roman"/>
          <w:sz w:val="24"/>
          <w:szCs w:val="24"/>
        </w:rPr>
        <w:t xml:space="preserve">were collected and preserved in </w:t>
      </w:r>
      <w:proofErr w:type="spellStart"/>
      <w:r w:rsidR="00775C68" w:rsidRPr="002523EA">
        <w:rPr>
          <w:rFonts w:ascii="Times New Roman" w:hAnsi="Times New Roman" w:cs="Times New Roman"/>
          <w:sz w:val="24"/>
          <w:szCs w:val="24"/>
        </w:rPr>
        <w:t>vacutainer</w:t>
      </w:r>
      <w:proofErr w:type="spellEnd"/>
      <w:r w:rsidR="00775C68" w:rsidRPr="002523EA">
        <w:rPr>
          <w:rFonts w:ascii="Times New Roman" w:hAnsi="Times New Roman" w:cs="Times New Roman"/>
          <w:sz w:val="24"/>
          <w:szCs w:val="24"/>
        </w:rPr>
        <w:t xml:space="preserve"> tubes containing EDTA as an anticoagulant. Subsequently, the samples were separated, and the plasma was extracted and stored at -20ͦ C for further analysis.</w:t>
      </w:r>
    </w:p>
    <w:p w:rsidR="00F77439" w:rsidRDefault="00FE2D03" w:rsidP="006D3376">
      <w:pPr>
        <w:spacing w:line="360" w:lineRule="auto"/>
        <w:jc w:val="both"/>
        <w:rPr>
          <w:rFonts w:ascii="Times New Roman" w:hAnsi="Times New Roman" w:cs="Times New Roman"/>
          <w:sz w:val="24"/>
          <w:szCs w:val="24"/>
        </w:rPr>
      </w:pPr>
      <w:bookmarkStart w:id="7" w:name="_Toc142653308"/>
      <w:r>
        <w:rPr>
          <w:rStyle w:val="Heading2Char"/>
        </w:rPr>
        <w:t>3.2.6</w:t>
      </w:r>
      <w:r w:rsidR="00BA6281">
        <w:rPr>
          <w:rStyle w:val="Heading2Char"/>
        </w:rPr>
        <w:t xml:space="preserve"> Ethical</w:t>
      </w:r>
      <w:r w:rsidR="00775C68" w:rsidRPr="009F7658">
        <w:rPr>
          <w:rStyle w:val="Heading2Char"/>
        </w:rPr>
        <w:t xml:space="preserve"> </w:t>
      </w:r>
      <w:bookmarkEnd w:id="7"/>
      <w:r>
        <w:rPr>
          <w:rStyle w:val="Heading2Char"/>
        </w:rPr>
        <w:t>Clearance</w:t>
      </w:r>
      <w:r w:rsidRPr="002E7761">
        <w:rPr>
          <w:rFonts w:ascii="Times New Roman" w:eastAsia="Calibri" w:hAnsi="Times New Roman" w:cs="Times New Roman"/>
          <w:b/>
          <w:sz w:val="24"/>
          <w:szCs w:val="24"/>
          <w:lang w:val="en-US"/>
        </w:rPr>
        <w:t>:</w:t>
      </w:r>
      <w:r>
        <w:rPr>
          <w:rFonts w:ascii="Times New Roman" w:eastAsia="Calibri" w:hAnsi="Times New Roman" w:cs="Times New Roman"/>
          <w:sz w:val="24"/>
          <w:szCs w:val="24"/>
          <w:lang w:val="en-US"/>
        </w:rPr>
        <w:t xml:space="preserve"> This research was</w:t>
      </w:r>
      <w:r w:rsidRPr="002E7761">
        <w:rPr>
          <w:rFonts w:ascii="Times New Roman" w:eastAsia="Calibri" w:hAnsi="Times New Roman" w:cs="Times New Roman"/>
          <w:sz w:val="24"/>
          <w:szCs w:val="24"/>
          <w:lang w:val="en-US"/>
        </w:rPr>
        <w:t xml:space="preserve"> carried out in line with the Helsinki Declaration which is the cornerstone document for human research. This study </w:t>
      </w:r>
      <w:r w:rsidR="008A3F63">
        <w:rPr>
          <w:rFonts w:ascii="Times New Roman" w:eastAsia="Calibri" w:hAnsi="Times New Roman" w:cs="Times New Roman"/>
          <w:sz w:val="24"/>
          <w:szCs w:val="24"/>
          <w:lang w:val="en-US"/>
        </w:rPr>
        <w:t>obtained ethical</w:t>
      </w:r>
      <w:r w:rsidR="008A3F63" w:rsidRPr="002E7761">
        <w:rPr>
          <w:rFonts w:ascii="Times New Roman" w:eastAsia="Calibri" w:hAnsi="Times New Roman" w:cs="Times New Roman"/>
          <w:sz w:val="24"/>
          <w:szCs w:val="24"/>
          <w:lang w:val="en-US"/>
        </w:rPr>
        <w:t xml:space="preserve"> </w:t>
      </w:r>
      <w:r w:rsidR="008A3F63">
        <w:rPr>
          <w:rFonts w:ascii="Times New Roman" w:eastAsia="Calibri" w:hAnsi="Times New Roman" w:cs="Times New Roman"/>
          <w:sz w:val="24"/>
          <w:szCs w:val="24"/>
          <w:lang w:val="en-US"/>
        </w:rPr>
        <w:t>approval from</w:t>
      </w:r>
      <w:r w:rsidR="008A3F63" w:rsidRPr="002E7761">
        <w:rPr>
          <w:rFonts w:ascii="Times New Roman" w:eastAsia="Calibri" w:hAnsi="Times New Roman" w:cs="Times New Roman"/>
          <w:sz w:val="24"/>
          <w:szCs w:val="24"/>
          <w:lang w:val="en-US"/>
        </w:rPr>
        <w:t xml:space="preserve"> </w:t>
      </w:r>
      <w:r w:rsidRPr="002E7761">
        <w:rPr>
          <w:rFonts w:ascii="Times New Roman" w:eastAsia="Calibri" w:hAnsi="Times New Roman" w:cs="Times New Roman"/>
          <w:sz w:val="24"/>
          <w:szCs w:val="24"/>
          <w:lang w:val="en-US"/>
        </w:rPr>
        <w:t>the Covenant Health Research Ethics Committee (CHREC)</w:t>
      </w:r>
      <w:r w:rsidR="008A3F63">
        <w:rPr>
          <w:rFonts w:ascii="Times New Roman" w:eastAsia="Calibri" w:hAnsi="Times New Roman" w:cs="Times New Roman"/>
          <w:sz w:val="24"/>
          <w:szCs w:val="24"/>
          <w:lang w:val="en-US"/>
        </w:rPr>
        <w:t>. Informed consent was also</w:t>
      </w:r>
      <w:r w:rsidRPr="002E7761">
        <w:rPr>
          <w:rFonts w:ascii="Times New Roman" w:eastAsia="Calibri" w:hAnsi="Times New Roman" w:cs="Times New Roman"/>
          <w:sz w:val="24"/>
          <w:szCs w:val="24"/>
          <w:lang w:val="en-US"/>
        </w:rPr>
        <w:t xml:space="preserve"> obtained from all individuals be</w:t>
      </w:r>
      <w:r>
        <w:rPr>
          <w:rFonts w:ascii="Times New Roman" w:eastAsia="Calibri" w:hAnsi="Times New Roman" w:cs="Times New Roman"/>
          <w:sz w:val="24"/>
          <w:szCs w:val="24"/>
          <w:lang w:val="en-US"/>
        </w:rPr>
        <w:t>fore participation in the study</w:t>
      </w:r>
      <w:r w:rsidR="00775C68" w:rsidRPr="002523EA">
        <w:rPr>
          <w:rFonts w:ascii="Times New Roman" w:hAnsi="Times New Roman" w:cs="Times New Roman"/>
          <w:sz w:val="24"/>
          <w:szCs w:val="24"/>
        </w:rPr>
        <w:t>.</w:t>
      </w:r>
    </w:p>
    <w:p w:rsidR="00303DDB" w:rsidRPr="00303DDB" w:rsidRDefault="00303DDB" w:rsidP="00303DDB">
      <w:pPr>
        <w:spacing w:line="360" w:lineRule="auto"/>
        <w:jc w:val="both"/>
        <w:rPr>
          <w:rFonts w:ascii="Times New Roman" w:eastAsia="Calibri" w:hAnsi="Times New Roman" w:cs="Times New Roman"/>
          <w:sz w:val="24"/>
          <w:szCs w:val="24"/>
          <w:lang w:val="en-US"/>
        </w:rPr>
      </w:pPr>
      <w:r w:rsidRPr="00303DDB">
        <w:rPr>
          <w:rFonts w:ascii="Times New Roman" w:eastAsia="Calibri" w:hAnsi="Times New Roman" w:cs="Times New Roman"/>
          <w:b/>
          <w:bCs/>
          <w:iCs/>
          <w:sz w:val="24"/>
          <w:szCs w:val="24"/>
          <w:lang w:val="en-US"/>
        </w:rPr>
        <w:t>Extraction and Quantification of Gen</w:t>
      </w:r>
      <w:r>
        <w:rPr>
          <w:rFonts w:ascii="Times New Roman" w:eastAsia="Calibri" w:hAnsi="Times New Roman" w:cs="Times New Roman"/>
          <w:b/>
          <w:bCs/>
          <w:iCs/>
          <w:sz w:val="24"/>
          <w:szCs w:val="24"/>
          <w:lang w:val="en-US"/>
        </w:rPr>
        <w:t xml:space="preserve">omic </w:t>
      </w:r>
      <w:r w:rsidRPr="00303DDB">
        <w:rPr>
          <w:rFonts w:ascii="Times New Roman" w:eastAsia="Calibri" w:hAnsi="Times New Roman" w:cs="Times New Roman"/>
          <w:b/>
          <w:bCs/>
          <w:iCs/>
          <w:sz w:val="24"/>
          <w:szCs w:val="24"/>
          <w:lang w:val="en-US"/>
        </w:rPr>
        <w:t xml:space="preserve">DNA from Blood: </w:t>
      </w:r>
      <w:r w:rsidRPr="00303DDB">
        <w:rPr>
          <w:rFonts w:ascii="Times New Roman" w:eastAsia="Calibri" w:hAnsi="Times New Roman" w:cs="Times New Roman"/>
          <w:sz w:val="24"/>
          <w:szCs w:val="24"/>
        </w:rPr>
        <w:t>For genotypi</w:t>
      </w:r>
      <w:r>
        <w:rPr>
          <w:rFonts w:ascii="Times New Roman" w:eastAsia="Calibri" w:hAnsi="Times New Roman" w:cs="Times New Roman"/>
          <w:sz w:val="24"/>
          <w:szCs w:val="24"/>
        </w:rPr>
        <w:t>ng analysis, whole blood was</w:t>
      </w:r>
      <w:r w:rsidRPr="00303DDB">
        <w:rPr>
          <w:rFonts w:ascii="Times New Roman" w:eastAsia="Calibri" w:hAnsi="Times New Roman" w:cs="Times New Roman"/>
          <w:sz w:val="24"/>
          <w:szCs w:val="24"/>
        </w:rPr>
        <w:t xml:space="preserve"> digested with 500ul of a mixture of </w:t>
      </w:r>
      <w:proofErr w:type="spellStart"/>
      <w:r w:rsidRPr="00303DDB">
        <w:rPr>
          <w:rFonts w:ascii="Times New Roman" w:eastAsia="Calibri" w:hAnsi="Times New Roman" w:cs="Times New Roman"/>
          <w:sz w:val="24"/>
          <w:szCs w:val="24"/>
        </w:rPr>
        <w:t>lysis</w:t>
      </w:r>
      <w:proofErr w:type="spellEnd"/>
      <w:r w:rsidRPr="00303DDB">
        <w:rPr>
          <w:rFonts w:ascii="Times New Roman" w:eastAsia="Calibri" w:hAnsi="Times New Roman" w:cs="Times New Roman"/>
          <w:sz w:val="24"/>
          <w:szCs w:val="24"/>
        </w:rPr>
        <w:t xml:space="preserve"> buffer and proteinase k. </w:t>
      </w:r>
      <w:r w:rsidRPr="00303DDB">
        <w:rPr>
          <w:rFonts w:ascii="Times New Roman" w:eastAsia="Calibri" w:hAnsi="Times New Roman" w:cs="Times New Roman"/>
          <w:sz w:val="24"/>
          <w:szCs w:val="24"/>
          <w:lang w:val="en-US"/>
        </w:rPr>
        <w:t xml:space="preserve">Genomic extracted from buffy coat utilizing the </w:t>
      </w:r>
      <w:proofErr w:type="spellStart"/>
      <w:r w:rsidRPr="00303DDB">
        <w:rPr>
          <w:rFonts w:ascii="Times New Roman" w:eastAsia="Calibri" w:hAnsi="Times New Roman" w:cs="Times New Roman"/>
          <w:sz w:val="24"/>
          <w:szCs w:val="24"/>
          <w:lang w:val="en-US"/>
        </w:rPr>
        <w:t>QIAamp</w:t>
      </w:r>
      <w:proofErr w:type="spellEnd"/>
      <w:r w:rsidRPr="00303DDB">
        <w:rPr>
          <w:rFonts w:ascii="Times New Roman" w:eastAsia="Calibri" w:hAnsi="Times New Roman" w:cs="Times New Roman"/>
          <w:sz w:val="24"/>
          <w:szCs w:val="24"/>
          <w:lang w:val="en-US"/>
        </w:rPr>
        <w:t xml:space="preserve"> DNA Blood Mini Kit (</w:t>
      </w:r>
      <w:proofErr w:type="spellStart"/>
      <w:r w:rsidRPr="00303DDB">
        <w:rPr>
          <w:rFonts w:ascii="Times New Roman" w:eastAsia="Calibri" w:hAnsi="Times New Roman" w:cs="Times New Roman"/>
          <w:sz w:val="24"/>
          <w:szCs w:val="24"/>
          <w:lang w:val="en-US"/>
        </w:rPr>
        <w:t>Qiagen</w:t>
      </w:r>
      <w:proofErr w:type="spellEnd"/>
      <w:r w:rsidRPr="00303DDB">
        <w:rPr>
          <w:rFonts w:ascii="Times New Roman" w:eastAsia="Calibri" w:hAnsi="Times New Roman" w:cs="Times New Roman"/>
          <w:sz w:val="24"/>
          <w:szCs w:val="24"/>
          <w:lang w:val="en-US"/>
        </w:rPr>
        <w:t>, Hilden, Germany), following the manu</w:t>
      </w:r>
      <w:r>
        <w:rPr>
          <w:rFonts w:ascii="Times New Roman" w:eastAsia="Calibri" w:hAnsi="Times New Roman" w:cs="Times New Roman"/>
          <w:sz w:val="24"/>
          <w:szCs w:val="24"/>
          <w:lang w:val="en-US"/>
        </w:rPr>
        <w:t>facturer's recommended protocol</w:t>
      </w:r>
      <w:r w:rsidRPr="00303DDB">
        <w:rPr>
          <w:rFonts w:ascii="Times New Roman" w:eastAsia="Calibri" w:hAnsi="Times New Roman" w:cs="Times New Roman"/>
          <w:sz w:val="24"/>
          <w:szCs w:val="24"/>
          <w:lang w:val="en-US"/>
        </w:rPr>
        <w:t>. The extracted DN</w:t>
      </w:r>
      <w:r>
        <w:rPr>
          <w:rFonts w:ascii="Times New Roman" w:eastAsia="Calibri" w:hAnsi="Times New Roman" w:cs="Times New Roman"/>
          <w:sz w:val="24"/>
          <w:szCs w:val="24"/>
          <w:lang w:val="en-US"/>
        </w:rPr>
        <w:t>A's quality and quantity was</w:t>
      </w:r>
      <w:r w:rsidRPr="00303DDB">
        <w:rPr>
          <w:rFonts w:ascii="Times New Roman" w:eastAsia="Calibri" w:hAnsi="Times New Roman" w:cs="Times New Roman"/>
          <w:sz w:val="24"/>
          <w:szCs w:val="24"/>
          <w:lang w:val="en-US"/>
        </w:rPr>
        <w:t xml:space="preserve"> determined </w:t>
      </w:r>
      <w:proofErr w:type="spellStart"/>
      <w:r w:rsidRPr="00303DDB">
        <w:rPr>
          <w:rFonts w:ascii="Times New Roman" w:eastAsia="Calibri" w:hAnsi="Times New Roman" w:cs="Times New Roman"/>
          <w:sz w:val="24"/>
          <w:szCs w:val="24"/>
          <w:lang w:val="en-US"/>
        </w:rPr>
        <w:t>spectrophotometrically</w:t>
      </w:r>
      <w:proofErr w:type="spellEnd"/>
      <w:r w:rsidRPr="00303DDB">
        <w:rPr>
          <w:rFonts w:ascii="Times New Roman" w:eastAsia="Calibri" w:hAnsi="Times New Roman" w:cs="Times New Roman"/>
          <w:sz w:val="24"/>
          <w:szCs w:val="24"/>
          <w:lang w:val="en-US"/>
        </w:rPr>
        <w:t xml:space="preserve"> at 260nm using a </w:t>
      </w:r>
      <w:proofErr w:type="spellStart"/>
      <w:r w:rsidRPr="00303DDB">
        <w:rPr>
          <w:rFonts w:ascii="Times New Roman" w:eastAsia="Calibri" w:hAnsi="Times New Roman" w:cs="Times New Roman"/>
          <w:sz w:val="24"/>
          <w:szCs w:val="24"/>
          <w:lang w:val="en-US"/>
        </w:rPr>
        <w:t>NanoDrop</w:t>
      </w:r>
      <w:proofErr w:type="spellEnd"/>
      <w:r w:rsidRPr="00303DDB">
        <w:rPr>
          <w:rFonts w:ascii="Times New Roman" w:eastAsia="Calibri" w:hAnsi="Times New Roman" w:cs="Times New Roman"/>
          <w:sz w:val="24"/>
          <w:szCs w:val="24"/>
          <w:lang w:val="en-US"/>
        </w:rPr>
        <w:t xml:space="preserve"> spectrophotome</w:t>
      </w:r>
      <w:r>
        <w:rPr>
          <w:rFonts w:ascii="Times New Roman" w:eastAsia="Calibri" w:hAnsi="Times New Roman" w:cs="Times New Roman"/>
          <w:sz w:val="24"/>
          <w:szCs w:val="24"/>
          <w:lang w:val="en-US"/>
        </w:rPr>
        <w:t>ter, while its integrity was</w:t>
      </w:r>
      <w:r w:rsidRPr="00303DDB">
        <w:rPr>
          <w:rFonts w:ascii="Times New Roman" w:eastAsia="Calibri" w:hAnsi="Times New Roman" w:cs="Times New Roman"/>
          <w:sz w:val="24"/>
          <w:szCs w:val="24"/>
          <w:lang w:val="en-US"/>
        </w:rPr>
        <w:t xml:space="preserve"> evaluated by subjecting it to electrophoresis on a 1% </w:t>
      </w:r>
      <w:proofErr w:type="spellStart"/>
      <w:r w:rsidRPr="00303DDB">
        <w:rPr>
          <w:rFonts w:ascii="Times New Roman" w:eastAsia="Calibri" w:hAnsi="Times New Roman" w:cs="Times New Roman"/>
          <w:sz w:val="24"/>
          <w:szCs w:val="24"/>
          <w:lang w:val="en-US"/>
        </w:rPr>
        <w:t>agarose</w:t>
      </w:r>
      <w:proofErr w:type="spellEnd"/>
      <w:r w:rsidRPr="00303DDB">
        <w:rPr>
          <w:rFonts w:ascii="Times New Roman" w:eastAsia="Calibri" w:hAnsi="Times New Roman" w:cs="Times New Roman"/>
          <w:sz w:val="24"/>
          <w:szCs w:val="24"/>
          <w:lang w:val="en-US"/>
        </w:rPr>
        <w:t xml:space="preserve"> gel. Following the analysis</w:t>
      </w:r>
      <w:r>
        <w:rPr>
          <w:rFonts w:ascii="Times New Roman" w:eastAsia="Calibri" w:hAnsi="Times New Roman" w:cs="Times New Roman"/>
          <w:sz w:val="24"/>
          <w:szCs w:val="24"/>
          <w:lang w:val="en-US"/>
        </w:rPr>
        <w:t xml:space="preserve">, the isolated DNA samples was </w:t>
      </w:r>
      <w:r w:rsidRPr="00303DDB">
        <w:rPr>
          <w:rFonts w:ascii="Times New Roman" w:eastAsia="Calibri" w:hAnsi="Times New Roman" w:cs="Times New Roman"/>
          <w:sz w:val="24"/>
          <w:szCs w:val="24"/>
          <w:lang w:val="en-US"/>
        </w:rPr>
        <w:t xml:space="preserve">properly preserved at a temperature of -20℃ until the time of further analysis. </w:t>
      </w:r>
    </w:p>
    <w:p w:rsidR="003271FE" w:rsidRPr="003271FE" w:rsidRDefault="00303DDB" w:rsidP="00303DDB">
      <w:pPr>
        <w:spacing w:line="360" w:lineRule="auto"/>
        <w:jc w:val="both"/>
        <w:rPr>
          <w:rFonts w:ascii="Times New Roman" w:hAnsi="Times New Roman" w:cs="Times New Roman"/>
          <w:b/>
          <w:sz w:val="24"/>
          <w:szCs w:val="24"/>
        </w:rPr>
      </w:pPr>
      <w:r w:rsidRPr="00303DDB">
        <w:rPr>
          <w:rFonts w:ascii="Times New Roman" w:eastAsia="Calibri" w:hAnsi="Times New Roman" w:cs="Times New Roman"/>
          <w:b/>
          <w:bCs/>
          <w:sz w:val="24"/>
          <w:szCs w:val="24"/>
        </w:rPr>
        <w:t>PCR Amplification</w:t>
      </w:r>
      <w:r w:rsidR="003271FE">
        <w:rPr>
          <w:rFonts w:ascii="Times New Roman" w:eastAsia="Calibri" w:hAnsi="Times New Roman" w:cs="Times New Roman"/>
          <w:b/>
          <w:bCs/>
          <w:iCs/>
          <w:sz w:val="24"/>
          <w:szCs w:val="24"/>
          <w:lang w:val="en-US"/>
        </w:rPr>
        <w:t xml:space="preserve"> and </w:t>
      </w:r>
      <w:r w:rsidR="003271FE" w:rsidRPr="0098571C">
        <w:rPr>
          <w:rFonts w:ascii="Times New Roman" w:hAnsi="Times New Roman" w:cs="Times New Roman"/>
          <w:b/>
          <w:sz w:val="24"/>
          <w:szCs w:val="24"/>
        </w:rPr>
        <w:t>Sanger Sequencing</w:t>
      </w:r>
    </w:p>
    <w:p w:rsidR="00303DDB" w:rsidRPr="00303DDB" w:rsidRDefault="003271FE" w:rsidP="00303DDB">
      <w:pPr>
        <w:spacing w:line="360" w:lineRule="auto"/>
        <w:jc w:val="both"/>
        <w:rPr>
          <w:rFonts w:ascii="Times New Roman" w:eastAsia="Calibri" w:hAnsi="Times New Roman" w:cs="Times New Roman"/>
          <w:sz w:val="24"/>
          <w:szCs w:val="24"/>
          <w:lang w:val="en-US"/>
        </w:rPr>
      </w:pPr>
      <w:r w:rsidRPr="003271FE">
        <w:rPr>
          <w:rFonts w:ascii="Times New Roman" w:eastAsia="Calibri" w:hAnsi="Times New Roman" w:cs="Times New Roman"/>
          <w:sz w:val="24"/>
          <w:szCs w:val="24"/>
        </w:rPr>
        <w:t>In our study, we amplified exon-specific products</w:t>
      </w:r>
      <w:r>
        <w:rPr>
          <w:rFonts w:ascii="Times New Roman" w:eastAsia="Calibri" w:hAnsi="Times New Roman" w:cs="Times New Roman"/>
          <w:sz w:val="24"/>
          <w:szCs w:val="24"/>
        </w:rPr>
        <w:t>,</w:t>
      </w:r>
      <w:r w:rsidRPr="003271FE">
        <w:rPr>
          <w:rFonts w:ascii="Times New Roman" w:eastAsia="Calibri" w:hAnsi="Times New Roman" w:cs="Times New Roman"/>
          <w:sz w:val="24"/>
          <w:szCs w:val="24"/>
        </w:rPr>
        <w:t xml:space="preserve"> </w:t>
      </w:r>
      <w:r>
        <w:rPr>
          <w:rFonts w:ascii="Times New Roman" w:eastAsia="Calibri" w:hAnsi="Times New Roman" w:cs="Times New Roman"/>
          <w:sz w:val="24"/>
          <w:szCs w:val="24"/>
        </w:rPr>
        <w:t>the exon 6 of SPOP gene of s</w:t>
      </w:r>
      <w:r w:rsidRPr="00303DDB">
        <w:rPr>
          <w:rFonts w:ascii="Times New Roman" w:eastAsia="Calibri" w:hAnsi="Times New Roman" w:cs="Times New Roman"/>
          <w:sz w:val="24"/>
          <w:szCs w:val="24"/>
        </w:rPr>
        <w:t xml:space="preserve">ize 248 </w:t>
      </w:r>
      <w:proofErr w:type="spellStart"/>
      <w:r w:rsidRPr="00303DDB">
        <w:rPr>
          <w:rFonts w:ascii="Times New Roman" w:eastAsia="Calibri" w:hAnsi="Times New Roman" w:cs="Times New Roman"/>
          <w:sz w:val="24"/>
          <w:szCs w:val="24"/>
        </w:rPr>
        <w:t>bp</w:t>
      </w:r>
      <w:proofErr w:type="spellEnd"/>
      <w:r w:rsidRPr="003271FE">
        <w:rPr>
          <w:rFonts w:ascii="Times New Roman" w:eastAsia="Calibri" w:hAnsi="Times New Roman" w:cs="Times New Roman"/>
          <w:sz w:val="24"/>
          <w:szCs w:val="24"/>
        </w:rPr>
        <w:t xml:space="preserve"> using polymerase </w:t>
      </w:r>
      <w:r>
        <w:rPr>
          <w:rFonts w:ascii="Times New Roman" w:eastAsia="Calibri" w:hAnsi="Times New Roman" w:cs="Times New Roman"/>
          <w:sz w:val="24"/>
          <w:szCs w:val="24"/>
        </w:rPr>
        <w:t>chain reaction (PCR). W</w:t>
      </w:r>
      <w:r w:rsidRPr="003271FE">
        <w:rPr>
          <w:rFonts w:ascii="Times New Roman" w:eastAsia="Calibri" w:hAnsi="Times New Roman" w:cs="Times New Roman"/>
          <w:sz w:val="24"/>
          <w:szCs w:val="24"/>
        </w:rPr>
        <w:t>e utilized exon-specific primers (</w:t>
      </w:r>
      <w:r w:rsidRPr="00303DDB">
        <w:rPr>
          <w:rFonts w:ascii="Times New Roman" w:eastAsia="Calibri" w:hAnsi="Times New Roman" w:cs="Times New Roman"/>
          <w:sz w:val="24"/>
          <w:szCs w:val="24"/>
        </w:rPr>
        <w:t xml:space="preserve">forward: TTTTCTATCTGTTTTGGACAGG  </w:t>
      </w:r>
      <w:r>
        <w:rPr>
          <w:rFonts w:ascii="Times New Roman" w:eastAsia="Calibri" w:hAnsi="Times New Roman" w:cs="Times New Roman"/>
          <w:sz w:val="24"/>
          <w:szCs w:val="24"/>
        </w:rPr>
        <w:t>and reverse: CAAAGCCACAACTTGTCAGTG</w:t>
      </w:r>
      <w:r w:rsidRPr="00303DDB">
        <w:rPr>
          <w:rFonts w:ascii="Times New Roman" w:eastAsia="Calibri" w:hAnsi="Times New Roman" w:cs="Times New Roman"/>
          <w:sz w:val="24"/>
          <w:szCs w:val="24"/>
        </w:rPr>
        <w:t xml:space="preserve"> </w:t>
      </w:r>
      <w:r w:rsidRPr="00303DDB">
        <w:rPr>
          <w:rFonts w:ascii="Times New Roman" w:eastAsia="Calibri" w:hAnsi="Times New Roman" w:cs="Times New Roman"/>
          <w:sz w:val="24"/>
          <w:szCs w:val="24"/>
          <w:lang w:val="en-US"/>
        </w:rPr>
        <w:fldChar w:fldCharType="begin"/>
      </w:r>
      <w:r w:rsidRPr="00303DDB">
        <w:rPr>
          <w:rFonts w:ascii="Times New Roman" w:eastAsia="Calibri" w:hAnsi="Times New Roman" w:cs="Times New Roman"/>
          <w:sz w:val="24"/>
          <w:szCs w:val="24"/>
          <w:lang w:val="en-US"/>
        </w:rPr>
        <w:instrText xml:space="preserve"> ADDIN ZOTERO_ITEM CSL_CITATION {"citationID":"APqZhEkZ","properties":{"formattedCitation":"(Buckles et al., 2014)","plainCitation":"(Buckles et al., 2014)","noteIndex":0},"citationItems":[{"id":891,"uris":["http://zotero.org/users/11300200/items/WB9VETD7"],"itemData":{"id":891,"type":"article-journal","container-title":"Asian Journal of Andrology","DOI":"10.4103/1008-682X.132470","ISSN":"1008-682X","issue":"6","journalAbbreviation":"Asian J Androl","language":"en","page":"829","source":"DOI.org (Crossref)","title":"Identification of speckle-type POZ protein somatic mutations in African American prostate cancer","volume":"16","author":[{"family":"Buckles","given":"Eric"},{"family":"Qian","given":"Chiping"},{"family":"Tadros","given":"Andrew"},{"family":"Majumdar","given":"Sumana"},{"family":"Cvitanovic","given":"Jennifer"},{"family":"Zabaleta","given":"Jovanny"},{"family":"Estrada","given":"John"},{"family":"Wilson","given":"John"},{"family":"Liu","given":"Wanguo"}],"issued":{"date-parts":[["2014"]]}}}],"schema":"https://github.com/citation-style-language/schema/raw/master/csl-citation.json"} </w:instrText>
      </w:r>
      <w:r w:rsidRPr="00303DDB">
        <w:rPr>
          <w:rFonts w:ascii="Times New Roman" w:eastAsia="Calibri" w:hAnsi="Times New Roman" w:cs="Times New Roman"/>
          <w:sz w:val="24"/>
          <w:szCs w:val="24"/>
          <w:lang w:val="en-US"/>
        </w:rPr>
        <w:fldChar w:fldCharType="separate"/>
      </w:r>
      <w:r w:rsidRPr="00303DDB">
        <w:rPr>
          <w:rFonts w:ascii="Times New Roman" w:eastAsia="Calibri" w:hAnsi="Times New Roman" w:cs="Times New Roman"/>
          <w:sz w:val="24"/>
          <w:szCs w:val="24"/>
        </w:rPr>
        <w:t>(Buckles et al., 2014)</w:t>
      </w:r>
      <w:r w:rsidRPr="00303DDB">
        <w:rPr>
          <w:rFonts w:ascii="Times New Roman" w:eastAsia="Calibri" w:hAnsi="Times New Roman" w:cs="Times New Roman"/>
          <w:sz w:val="24"/>
          <w:szCs w:val="24"/>
          <w:lang w:val="en-US"/>
        </w:rPr>
        <w:fldChar w:fldCharType="end"/>
      </w:r>
      <w:r w:rsidRPr="003271FE">
        <w:rPr>
          <w:rFonts w:ascii="Times New Roman" w:eastAsia="Calibri" w:hAnsi="Times New Roman" w:cs="Times New Roman"/>
          <w:sz w:val="24"/>
          <w:szCs w:val="24"/>
        </w:rPr>
        <w:t xml:space="preserve">. The PCR reaction mixture consisted of genomic DNA (3.5 </w:t>
      </w:r>
      <w:proofErr w:type="spellStart"/>
      <w:r w:rsidRPr="003271FE">
        <w:rPr>
          <w:rFonts w:ascii="Times New Roman" w:eastAsia="Calibri" w:hAnsi="Times New Roman" w:cs="Times New Roman"/>
          <w:sz w:val="24"/>
          <w:szCs w:val="24"/>
        </w:rPr>
        <w:t>ng</w:t>
      </w:r>
      <w:proofErr w:type="spellEnd"/>
      <w:r w:rsidRPr="003271FE">
        <w:rPr>
          <w:rFonts w:ascii="Times New Roman" w:eastAsia="Calibri" w:hAnsi="Times New Roman" w:cs="Times New Roman"/>
          <w:sz w:val="24"/>
          <w:szCs w:val="24"/>
        </w:rPr>
        <w:t xml:space="preserve">), 1× </w:t>
      </w:r>
      <w:proofErr w:type="spellStart"/>
      <w:r w:rsidRPr="003271FE">
        <w:rPr>
          <w:rFonts w:ascii="Times New Roman" w:eastAsia="Calibri" w:hAnsi="Times New Roman" w:cs="Times New Roman"/>
          <w:sz w:val="24"/>
          <w:szCs w:val="24"/>
        </w:rPr>
        <w:t>AmpliTaq</w:t>
      </w:r>
      <w:proofErr w:type="spellEnd"/>
      <w:r w:rsidRPr="003271FE">
        <w:rPr>
          <w:rFonts w:ascii="Times New Roman" w:eastAsia="Calibri" w:hAnsi="Times New Roman" w:cs="Times New Roman"/>
          <w:sz w:val="24"/>
          <w:szCs w:val="24"/>
        </w:rPr>
        <w:t xml:space="preserve"> Gold PCR buffer, 2.0 </w:t>
      </w:r>
      <w:proofErr w:type="spellStart"/>
      <w:r w:rsidRPr="003271FE">
        <w:rPr>
          <w:rFonts w:ascii="Times New Roman" w:eastAsia="Calibri" w:hAnsi="Times New Roman" w:cs="Times New Roman"/>
          <w:sz w:val="24"/>
          <w:szCs w:val="24"/>
        </w:rPr>
        <w:t>mmol</w:t>
      </w:r>
      <w:proofErr w:type="spellEnd"/>
      <w:r w:rsidRPr="003271FE">
        <w:rPr>
          <w:rFonts w:ascii="Times New Roman" w:eastAsia="Calibri" w:hAnsi="Times New Roman" w:cs="Times New Roman"/>
          <w:sz w:val="24"/>
          <w:szCs w:val="24"/>
        </w:rPr>
        <w:t xml:space="preserve">/L </w:t>
      </w:r>
      <w:proofErr w:type="spellStart"/>
      <w:r w:rsidRPr="003271FE">
        <w:rPr>
          <w:rFonts w:ascii="Times New Roman" w:eastAsia="Calibri" w:hAnsi="Times New Roman" w:cs="Times New Roman"/>
          <w:sz w:val="24"/>
          <w:szCs w:val="24"/>
        </w:rPr>
        <w:t>MgCl</w:t>
      </w:r>
      <w:proofErr w:type="spellEnd"/>
      <w:r w:rsidRPr="003271FE">
        <w:rPr>
          <w:rFonts w:ascii="Times New Roman" w:eastAsia="Calibri" w:hAnsi="Times New Roman" w:cs="Times New Roman"/>
          <w:sz w:val="24"/>
          <w:szCs w:val="24"/>
        </w:rPr>
        <w:t xml:space="preserve">₂, 0.2 </w:t>
      </w:r>
      <w:proofErr w:type="spellStart"/>
      <w:r w:rsidRPr="003271FE">
        <w:rPr>
          <w:rFonts w:ascii="Times New Roman" w:eastAsia="Calibri" w:hAnsi="Times New Roman" w:cs="Times New Roman"/>
          <w:sz w:val="24"/>
          <w:szCs w:val="24"/>
        </w:rPr>
        <w:t>mmol</w:t>
      </w:r>
      <w:proofErr w:type="spellEnd"/>
      <w:r w:rsidRPr="003271FE">
        <w:rPr>
          <w:rFonts w:ascii="Times New Roman" w:eastAsia="Calibri" w:hAnsi="Times New Roman" w:cs="Times New Roman"/>
          <w:sz w:val="24"/>
          <w:szCs w:val="24"/>
        </w:rPr>
        <w:t xml:space="preserve">/L of each </w:t>
      </w:r>
      <w:proofErr w:type="spellStart"/>
      <w:r w:rsidRPr="003271FE">
        <w:rPr>
          <w:rFonts w:ascii="Times New Roman" w:eastAsia="Calibri" w:hAnsi="Times New Roman" w:cs="Times New Roman"/>
          <w:sz w:val="24"/>
          <w:szCs w:val="24"/>
        </w:rPr>
        <w:t>dNTP</w:t>
      </w:r>
      <w:proofErr w:type="spellEnd"/>
      <w:r w:rsidRPr="003271FE">
        <w:rPr>
          <w:rFonts w:ascii="Times New Roman" w:eastAsia="Calibri" w:hAnsi="Times New Roman" w:cs="Times New Roman"/>
          <w:sz w:val="24"/>
          <w:szCs w:val="24"/>
        </w:rPr>
        <w:t>, 0.4 µ</w:t>
      </w:r>
      <w:proofErr w:type="spellStart"/>
      <w:r w:rsidRPr="003271FE">
        <w:rPr>
          <w:rFonts w:ascii="Times New Roman" w:eastAsia="Calibri" w:hAnsi="Times New Roman" w:cs="Times New Roman"/>
          <w:sz w:val="24"/>
          <w:szCs w:val="24"/>
        </w:rPr>
        <w:t>mol</w:t>
      </w:r>
      <w:proofErr w:type="spellEnd"/>
      <w:r w:rsidRPr="003271FE">
        <w:rPr>
          <w:rFonts w:ascii="Times New Roman" w:eastAsia="Calibri" w:hAnsi="Times New Roman" w:cs="Times New Roman"/>
          <w:sz w:val="24"/>
          <w:szCs w:val="24"/>
        </w:rPr>
        <w:t>/L sense primer, 0.4 µ</w:t>
      </w:r>
      <w:proofErr w:type="spellStart"/>
      <w:r w:rsidRPr="003271FE">
        <w:rPr>
          <w:rFonts w:ascii="Times New Roman" w:eastAsia="Calibri" w:hAnsi="Times New Roman" w:cs="Times New Roman"/>
          <w:sz w:val="24"/>
          <w:szCs w:val="24"/>
        </w:rPr>
        <w:t>mol</w:t>
      </w:r>
      <w:proofErr w:type="spellEnd"/>
      <w:r w:rsidRPr="003271FE">
        <w:rPr>
          <w:rFonts w:ascii="Times New Roman" w:eastAsia="Calibri" w:hAnsi="Times New Roman" w:cs="Times New Roman"/>
          <w:sz w:val="24"/>
          <w:szCs w:val="24"/>
        </w:rPr>
        <w:t xml:space="preserve">/L antisense primer, and 0.5 units of </w:t>
      </w:r>
      <w:proofErr w:type="spellStart"/>
      <w:r w:rsidRPr="003271FE">
        <w:rPr>
          <w:rFonts w:ascii="Times New Roman" w:eastAsia="Calibri" w:hAnsi="Times New Roman" w:cs="Times New Roman"/>
          <w:sz w:val="24"/>
          <w:szCs w:val="24"/>
        </w:rPr>
        <w:t>AmpliTaq</w:t>
      </w:r>
      <w:proofErr w:type="spellEnd"/>
      <w:r w:rsidRPr="003271FE">
        <w:rPr>
          <w:rFonts w:ascii="Times New Roman" w:eastAsia="Calibri" w:hAnsi="Times New Roman" w:cs="Times New Roman"/>
          <w:sz w:val="24"/>
          <w:szCs w:val="24"/>
        </w:rPr>
        <w:t xml:space="preserve"> Gold DNA polymerase. The PCR amplification was performed using a DNA Engine </w:t>
      </w:r>
      <w:proofErr w:type="spellStart"/>
      <w:r w:rsidRPr="003271FE">
        <w:rPr>
          <w:rFonts w:ascii="Times New Roman" w:eastAsia="Calibri" w:hAnsi="Times New Roman" w:cs="Times New Roman"/>
          <w:sz w:val="24"/>
          <w:szCs w:val="24"/>
        </w:rPr>
        <w:t>Peltier</w:t>
      </w:r>
      <w:proofErr w:type="spellEnd"/>
      <w:r w:rsidRPr="003271FE">
        <w:rPr>
          <w:rFonts w:ascii="Times New Roman" w:eastAsia="Calibri" w:hAnsi="Times New Roman" w:cs="Times New Roman"/>
          <w:sz w:val="24"/>
          <w:szCs w:val="24"/>
        </w:rPr>
        <w:t xml:space="preserve"> Thermal Cycler (Bio-Rad, Hercules, CA, USA). Subsequently, we purified the PCR </w:t>
      </w:r>
      <w:proofErr w:type="spellStart"/>
      <w:r w:rsidRPr="003271FE">
        <w:rPr>
          <w:rFonts w:ascii="Times New Roman" w:eastAsia="Calibri" w:hAnsi="Times New Roman" w:cs="Times New Roman"/>
          <w:sz w:val="24"/>
          <w:szCs w:val="24"/>
        </w:rPr>
        <w:t>amplicons</w:t>
      </w:r>
      <w:proofErr w:type="spellEnd"/>
      <w:r w:rsidRPr="003271FE">
        <w:rPr>
          <w:rFonts w:ascii="Times New Roman" w:eastAsia="Calibri" w:hAnsi="Times New Roman" w:cs="Times New Roman"/>
          <w:sz w:val="24"/>
          <w:szCs w:val="24"/>
        </w:rPr>
        <w:t xml:space="preserve"> using </w:t>
      </w:r>
      <w:proofErr w:type="spellStart"/>
      <w:r w:rsidRPr="003271FE">
        <w:rPr>
          <w:rFonts w:ascii="Times New Roman" w:eastAsia="Calibri" w:hAnsi="Times New Roman" w:cs="Times New Roman"/>
          <w:sz w:val="24"/>
          <w:szCs w:val="24"/>
        </w:rPr>
        <w:t>exonuclease</w:t>
      </w:r>
      <w:proofErr w:type="spellEnd"/>
      <w:r w:rsidRPr="003271FE">
        <w:rPr>
          <w:rFonts w:ascii="Times New Roman" w:eastAsia="Calibri" w:hAnsi="Times New Roman" w:cs="Times New Roman"/>
          <w:sz w:val="24"/>
          <w:szCs w:val="24"/>
        </w:rPr>
        <w:t xml:space="preserve"> I (USB/</w:t>
      </w:r>
      <w:proofErr w:type="spellStart"/>
      <w:r w:rsidRPr="003271FE">
        <w:rPr>
          <w:rFonts w:ascii="Times New Roman" w:eastAsia="Calibri" w:hAnsi="Times New Roman" w:cs="Times New Roman"/>
          <w:sz w:val="24"/>
          <w:szCs w:val="24"/>
        </w:rPr>
        <w:t>Affymetrix</w:t>
      </w:r>
      <w:proofErr w:type="spellEnd"/>
      <w:r w:rsidRPr="003271FE">
        <w:rPr>
          <w:rFonts w:ascii="Times New Roman" w:eastAsia="Calibri" w:hAnsi="Times New Roman" w:cs="Times New Roman"/>
          <w:sz w:val="24"/>
          <w:szCs w:val="24"/>
        </w:rPr>
        <w:t>, Santa Clara, CA, USA) and shrimp alkaline phosphatase (USB/</w:t>
      </w:r>
      <w:proofErr w:type="spellStart"/>
      <w:r w:rsidRPr="003271FE">
        <w:rPr>
          <w:rFonts w:ascii="Times New Roman" w:eastAsia="Calibri" w:hAnsi="Times New Roman" w:cs="Times New Roman"/>
          <w:sz w:val="24"/>
          <w:szCs w:val="24"/>
        </w:rPr>
        <w:t>Affymetrix</w:t>
      </w:r>
      <w:proofErr w:type="spellEnd"/>
      <w:r w:rsidRPr="003271FE">
        <w:rPr>
          <w:rFonts w:ascii="Times New Roman" w:eastAsia="Calibri" w:hAnsi="Times New Roman" w:cs="Times New Roman"/>
          <w:sz w:val="24"/>
          <w:szCs w:val="24"/>
        </w:rPr>
        <w:t>). Finally, direct Sanger sequencing was carried out using both forward and reverse PCR primers. To confirm mutations, we performed bi-directional sequencing of an independent PCR product from the original genomic DNA template. All sequencing procedures w</w:t>
      </w:r>
      <w:r>
        <w:rPr>
          <w:rFonts w:ascii="Times New Roman" w:eastAsia="Calibri" w:hAnsi="Times New Roman" w:cs="Times New Roman"/>
          <w:sz w:val="24"/>
          <w:szCs w:val="24"/>
        </w:rPr>
        <w:t xml:space="preserve">ere conducted at the </w:t>
      </w:r>
      <w:proofErr w:type="spellStart"/>
      <w:r>
        <w:rPr>
          <w:rFonts w:ascii="Times New Roman" w:eastAsia="Calibri" w:hAnsi="Times New Roman" w:cs="Times New Roman"/>
          <w:sz w:val="24"/>
          <w:szCs w:val="24"/>
        </w:rPr>
        <w:t>Inqaba</w:t>
      </w:r>
      <w:proofErr w:type="spellEnd"/>
      <w:r>
        <w:rPr>
          <w:rFonts w:ascii="Times New Roman" w:eastAsia="Calibri" w:hAnsi="Times New Roman" w:cs="Times New Roman"/>
          <w:sz w:val="24"/>
          <w:szCs w:val="24"/>
        </w:rPr>
        <w:t xml:space="preserve"> Genomic Biotech Company Facility in Ibadan, Oyo State, Nigeria</w:t>
      </w:r>
      <w:r w:rsidRPr="003271FE">
        <w:rPr>
          <w:rFonts w:ascii="Times New Roman" w:eastAsia="Calibri" w:hAnsi="Times New Roman" w:cs="Times New Roman"/>
          <w:sz w:val="24"/>
          <w:szCs w:val="24"/>
        </w:rPr>
        <w:t>.</w:t>
      </w:r>
    </w:p>
    <w:p w:rsidR="00545F8B" w:rsidRPr="0098571C" w:rsidRDefault="00545F8B" w:rsidP="00545F8B">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Sequence A</w:t>
      </w:r>
      <w:r w:rsidRPr="0098571C">
        <w:rPr>
          <w:rFonts w:ascii="Times New Roman" w:hAnsi="Times New Roman" w:cs="Times New Roman"/>
          <w:b/>
          <w:sz w:val="24"/>
          <w:szCs w:val="24"/>
        </w:rPr>
        <w:t>lignment and Analysis</w:t>
      </w:r>
    </w:p>
    <w:p w:rsidR="00545F8B" w:rsidRPr="003271FE" w:rsidRDefault="00545F8B" w:rsidP="00545F8B">
      <w:pPr>
        <w:spacing w:line="360" w:lineRule="auto"/>
        <w:jc w:val="both"/>
        <w:rPr>
          <w:rFonts w:ascii="Times New Roman" w:eastAsia="Calibri" w:hAnsi="Times New Roman" w:cs="Times New Roman"/>
          <w:b/>
          <w:bCs/>
          <w:sz w:val="24"/>
          <w:szCs w:val="24"/>
          <w:lang w:val="en-US"/>
        </w:rPr>
      </w:pPr>
      <w:r>
        <w:rPr>
          <w:rFonts w:ascii="Times New Roman" w:hAnsi="Times New Roman" w:cs="Times New Roman"/>
          <w:sz w:val="24"/>
          <w:szCs w:val="24"/>
        </w:rPr>
        <w:t>W</w:t>
      </w:r>
      <w:r w:rsidRPr="0098571C">
        <w:rPr>
          <w:rFonts w:ascii="Times New Roman" w:hAnsi="Times New Roman" w:cs="Times New Roman"/>
          <w:sz w:val="24"/>
          <w:szCs w:val="24"/>
        </w:rPr>
        <w:t xml:space="preserve">e conducted </w:t>
      </w:r>
      <w:r>
        <w:rPr>
          <w:rFonts w:ascii="Times New Roman" w:hAnsi="Times New Roman" w:cs="Times New Roman"/>
          <w:sz w:val="24"/>
          <w:szCs w:val="24"/>
        </w:rPr>
        <w:t xml:space="preserve">a </w:t>
      </w:r>
      <w:r w:rsidRPr="0098571C">
        <w:rPr>
          <w:rFonts w:ascii="Times New Roman" w:hAnsi="Times New Roman" w:cs="Times New Roman"/>
          <w:sz w:val="24"/>
          <w:szCs w:val="24"/>
        </w:rPr>
        <w:t xml:space="preserve">sequencing analysis using the following steps. First, individual AB1 files were manually </w:t>
      </w:r>
      <w:r>
        <w:rPr>
          <w:rFonts w:ascii="Times New Roman" w:hAnsi="Times New Roman" w:cs="Times New Roman"/>
          <w:sz w:val="24"/>
          <w:szCs w:val="24"/>
        </w:rPr>
        <w:t>based on</w:t>
      </w:r>
      <w:r w:rsidRPr="0098571C">
        <w:rPr>
          <w:rFonts w:ascii="Times New Roman" w:hAnsi="Times New Roman" w:cs="Times New Roman"/>
          <w:sz w:val="24"/>
          <w:szCs w:val="24"/>
        </w:rPr>
        <w:t xml:space="preserve"> </w:t>
      </w:r>
      <w:proofErr w:type="spellStart"/>
      <w:r w:rsidRPr="0098571C">
        <w:rPr>
          <w:rFonts w:ascii="Times New Roman" w:hAnsi="Times New Roman" w:cs="Times New Roman"/>
          <w:sz w:val="24"/>
          <w:szCs w:val="24"/>
        </w:rPr>
        <w:t>BioEdit</w:t>
      </w:r>
      <w:proofErr w:type="spellEnd"/>
      <w:r w:rsidRPr="0098571C">
        <w:rPr>
          <w:rFonts w:ascii="Times New Roman" w:hAnsi="Times New Roman" w:cs="Times New Roman"/>
          <w:sz w:val="24"/>
          <w:szCs w:val="24"/>
        </w:rPr>
        <w:t xml:space="preserve"> v7.2. Subsequently, we verified the final sequences through </w:t>
      </w:r>
      <w:proofErr w:type="spellStart"/>
      <w:r w:rsidRPr="0098571C">
        <w:rPr>
          <w:rFonts w:ascii="Times New Roman" w:hAnsi="Times New Roman" w:cs="Times New Roman"/>
          <w:sz w:val="24"/>
          <w:szCs w:val="24"/>
        </w:rPr>
        <w:t>nBLAST</w:t>
      </w:r>
      <w:proofErr w:type="spellEnd"/>
      <w:r w:rsidRPr="0098571C">
        <w:rPr>
          <w:rFonts w:ascii="Times New Roman" w:hAnsi="Times New Roman" w:cs="Times New Roman"/>
          <w:sz w:val="24"/>
          <w:szCs w:val="24"/>
        </w:rPr>
        <w:t xml:space="preserve">. Next, we performed putative amino acid translations within </w:t>
      </w:r>
      <w:proofErr w:type="spellStart"/>
      <w:r w:rsidRPr="0098571C">
        <w:rPr>
          <w:rFonts w:ascii="Times New Roman" w:hAnsi="Times New Roman" w:cs="Times New Roman"/>
          <w:sz w:val="24"/>
          <w:szCs w:val="24"/>
        </w:rPr>
        <w:t>BioEdit</w:t>
      </w:r>
      <w:proofErr w:type="spellEnd"/>
      <w:r w:rsidRPr="0098571C">
        <w:rPr>
          <w:rFonts w:ascii="Times New Roman" w:hAnsi="Times New Roman" w:cs="Times New Roman"/>
          <w:sz w:val="24"/>
          <w:szCs w:val="24"/>
        </w:rPr>
        <w:t xml:space="preserve">. To validate protein derivatives across exon sequences, we utilized </w:t>
      </w:r>
      <w:proofErr w:type="spellStart"/>
      <w:r w:rsidRPr="0098571C">
        <w:rPr>
          <w:rFonts w:ascii="Times New Roman" w:hAnsi="Times New Roman" w:cs="Times New Roman"/>
          <w:sz w:val="24"/>
          <w:szCs w:val="24"/>
        </w:rPr>
        <w:t>BLASTp</w:t>
      </w:r>
      <w:proofErr w:type="spellEnd"/>
      <w:r w:rsidRPr="0098571C">
        <w:rPr>
          <w:rFonts w:ascii="Times New Roman" w:hAnsi="Times New Roman" w:cs="Times New Roman"/>
          <w:sz w:val="24"/>
          <w:szCs w:val="24"/>
        </w:rPr>
        <w:t xml:space="preserve">. Our wild-type reference was the Human Genome retrieved from the </w:t>
      </w:r>
      <w:proofErr w:type="spellStart"/>
      <w:r w:rsidRPr="0098571C">
        <w:rPr>
          <w:rFonts w:ascii="Times New Roman" w:hAnsi="Times New Roman" w:cs="Times New Roman"/>
          <w:sz w:val="24"/>
          <w:szCs w:val="24"/>
        </w:rPr>
        <w:t>GenBank</w:t>
      </w:r>
      <w:proofErr w:type="spellEnd"/>
      <w:r w:rsidRPr="0098571C">
        <w:rPr>
          <w:rFonts w:ascii="Times New Roman" w:hAnsi="Times New Roman" w:cs="Times New Roman"/>
          <w:sz w:val="24"/>
          <w:szCs w:val="24"/>
        </w:rPr>
        <w:t xml:space="preserve"> database at the National </w:t>
      </w:r>
      <w:proofErr w:type="spellStart"/>
      <w:r w:rsidRPr="0098571C">
        <w:rPr>
          <w:rFonts w:ascii="Times New Roman" w:hAnsi="Times New Roman" w:cs="Times New Roman"/>
          <w:sz w:val="24"/>
          <w:szCs w:val="24"/>
        </w:rPr>
        <w:t>Center</w:t>
      </w:r>
      <w:proofErr w:type="spellEnd"/>
      <w:r w:rsidRPr="0098571C">
        <w:rPr>
          <w:rFonts w:ascii="Times New Roman" w:hAnsi="Times New Roman" w:cs="Times New Roman"/>
          <w:sz w:val="24"/>
          <w:szCs w:val="24"/>
        </w:rPr>
        <w:t xml:space="preserve"> for Biotechnology Information (NCBI). Specifically, we compared nucleotide sequences with the Homo sapiens chromosome 17, NA24385 reference primary assembly (</w:t>
      </w:r>
      <w:proofErr w:type="spellStart"/>
      <w:r w:rsidRPr="0098571C">
        <w:rPr>
          <w:rFonts w:ascii="Times New Roman" w:hAnsi="Times New Roman" w:cs="Times New Roman"/>
          <w:sz w:val="24"/>
          <w:szCs w:val="24"/>
        </w:rPr>
        <w:t>GenBank</w:t>
      </w:r>
      <w:proofErr w:type="spellEnd"/>
      <w:r w:rsidRPr="0098571C">
        <w:rPr>
          <w:rFonts w:ascii="Times New Roman" w:hAnsi="Times New Roman" w:cs="Times New Roman"/>
          <w:sz w:val="24"/>
          <w:szCs w:val="24"/>
        </w:rPr>
        <w:t xml:space="preserve">: CP139526.2), starting from position 50,112,984 </w:t>
      </w:r>
      <w:proofErr w:type="gramStart"/>
      <w:r w:rsidRPr="0098571C">
        <w:rPr>
          <w:rFonts w:ascii="Times New Roman" w:hAnsi="Times New Roman" w:cs="Times New Roman"/>
          <w:sz w:val="24"/>
          <w:szCs w:val="24"/>
        </w:rPr>
        <w:t>nt</w:t>
      </w:r>
      <w:proofErr w:type="gramEnd"/>
      <w:r w:rsidRPr="0098571C">
        <w:rPr>
          <w:rFonts w:ascii="Times New Roman" w:hAnsi="Times New Roman" w:cs="Times New Roman"/>
          <w:sz w:val="24"/>
          <w:szCs w:val="24"/>
        </w:rPr>
        <w:t>. For derived protein sequences, we employed the speckle-type POZ protein (Homo sapiens) NCBI Reference Sequence NP_001007229.1, beginning at posi</w:t>
      </w:r>
      <w:r>
        <w:rPr>
          <w:rFonts w:ascii="Times New Roman" w:hAnsi="Times New Roman" w:cs="Times New Roman"/>
          <w:sz w:val="24"/>
          <w:szCs w:val="24"/>
        </w:rPr>
        <w:t xml:space="preserve">tion 77. Finally, all sequences (nucleotides and proteins) were aligned to the wild type using the </w:t>
      </w:r>
      <w:proofErr w:type="spellStart"/>
      <w:r w:rsidRPr="0098571C">
        <w:rPr>
          <w:rFonts w:ascii="Times New Roman" w:hAnsi="Times New Roman" w:cs="Times New Roman"/>
          <w:sz w:val="24"/>
          <w:szCs w:val="24"/>
        </w:rPr>
        <w:t>Clustal</w:t>
      </w:r>
      <w:proofErr w:type="spellEnd"/>
      <w:r w:rsidRPr="0098571C">
        <w:rPr>
          <w:rFonts w:ascii="Times New Roman" w:hAnsi="Times New Roman" w:cs="Times New Roman"/>
          <w:sz w:val="24"/>
          <w:szCs w:val="24"/>
        </w:rPr>
        <w:t xml:space="preserve">-W multiple sequence alignment executed in </w:t>
      </w:r>
      <w:proofErr w:type="spellStart"/>
      <w:r w:rsidRPr="0098571C">
        <w:rPr>
          <w:rFonts w:ascii="Times New Roman" w:hAnsi="Times New Roman" w:cs="Times New Roman"/>
          <w:sz w:val="24"/>
          <w:szCs w:val="24"/>
        </w:rPr>
        <w:t>BioEdit</w:t>
      </w:r>
      <w:proofErr w:type="spellEnd"/>
      <w:r w:rsidRPr="0098571C">
        <w:rPr>
          <w:rFonts w:ascii="Times New Roman" w:hAnsi="Times New Roman" w:cs="Times New Roman"/>
          <w:sz w:val="24"/>
          <w:szCs w:val="24"/>
        </w:rPr>
        <w:t>.</w:t>
      </w:r>
      <w:r w:rsidR="003271FE">
        <w:rPr>
          <w:rFonts w:ascii="Times New Roman" w:hAnsi="Times New Roman" w:cs="Times New Roman"/>
          <w:sz w:val="24"/>
          <w:szCs w:val="24"/>
        </w:rPr>
        <w:t xml:space="preserve"> </w:t>
      </w:r>
      <w:r w:rsidR="003271FE" w:rsidRPr="00303DDB">
        <w:rPr>
          <w:rFonts w:ascii="Times New Roman" w:eastAsia="Calibri" w:hAnsi="Times New Roman" w:cs="Times New Roman"/>
          <w:bCs/>
          <w:sz w:val="24"/>
          <w:szCs w:val="24"/>
          <w:lang w:val="en-US"/>
        </w:rPr>
        <w:t>Further analysis of clinical parameters such as Gleason score, tumor stage, PSA levels, and other relevant clinical factors in relation to the presence of SPOP mutations.</w:t>
      </w:r>
      <w:r w:rsidR="003271FE" w:rsidRPr="00303DDB">
        <w:rPr>
          <w:rFonts w:ascii="Times New Roman" w:eastAsia="Calibri" w:hAnsi="Times New Roman" w:cs="Times New Roman"/>
          <w:b/>
          <w:bCs/>
          <w:sz w:val="24"/>
          <w:szCs w:val="24"/>
          <w:lang w:val="en-US"/>
        </w:rPr>
        <w:t xml:space="preserve"> </w:t>
      </w:r>
    </w:p>
    <w:p w:rsidR="00E13667" w:rsidRDefault="00D84CF6" w:rsidP="006D3376">
      <w:pPr>
        <w:spacing w:line="360" w:lineRule="auto"/>
        <w:jc w:val="both"/>
        <w:rPr>
          <w:rFonts w:ascii="Times New Roman" w:hAnsi="Times New Roman" w:cs="Times New Roman"/>
          <w:bCs/>
          <w:sz w:val="24"/>
          <w:szCs w:val="24"/>
          <w:lang w:val="en-US"/>
        </w:rPr>
      </w:pPr>
      <w:r>
        <w:rPr>
          <w:rFonts w:ascii="Times New Roman" w:hAnsi="Times New Roman" w:cs="Times New Roman"/>
          <w:b/>
          <w:bCs/>
          <w:sz w:val="24"/>
          <w:szCs w:val="24"/>
          <w:lang w:val="en-US"/>
        </w:rPr>
        <w:t>3.2.7</w:t>
      </w:r>
      <w:r w:rsidR="00517AFC" w:rsidRPr="00A12BA2">
        <w:rPr>
          <w:rFonts w:ascii="Times New Roman" w:hAnsi="Times New Roman" w:cs="Times New Roman"/>
          <w:b/>
          <w:bCs/>
          <w:sz w:val="24"/>
          <w:szCs w:val="24"/>
          <w:lang w:val="en-US"/>
        </w:rPr>
        <w:t xml:space="preserve"> </w:t>
      </w:r>
      <w:r w:rsidR="001E649A" w:rsidRPr="00A12BA2">
        <w:rPr>
          <w:rFonts w:ascii="Times New Roman" w:hAnsi="Times New Roman" w:cs="Times New Roman"/>
          <w:b/>
          <w:bCs/>
          <w:sz w:val="24"/>
          <w:szCs w:val="24"/>
          <w:lang w:val="en-US"/>
        </w:rPr>
        <w:t>Enzyme-lin</w:t>
      </w:r>
      <w:r w:rsidR="00E13667">
        <w:rPr>
          <w:rFonts w:ascii="Times New Roman" w:hAnsi="Times New Roman" w:cs="Times New Roman"/>
          <w:b/>
          <w:bCs/>
          <w:sz w:val="24"/>
          <w:szCs w:val="24"/>
          <w:lang w:val="en-US"/>
        </w:rPr>
        <w:t xml:space="preserve">ked </w:t>
      </w:r>
      <w:proofErr w:type="spellStart"/>
      <w:r w:rsidR="00E13667">
        <w:rPr>
          <w:rFonts w:ascii="Times New Roman" w:hAnsi="Times New Roman" w:cs="Times New Roman"/>
          <w:b/>
          <w:bCs/>
          <w:sz w:val="24"/>
          <w:szCs w:val="24"/>
          <w:lang w:val="en-US"/>
        </w:rPr>
        <w:t>immunosorbent</w:t>
      </w:r>
      <w:proofErr w:type="spellEnd"/>
      <w:r w:rsidR="00E13667">
        <w:rPr>
          <w:rFonts w:ascii="Times New Roman" w:hAnsi="Times New Roman" w:cs="Times New Roman"/>
          <w:b/>
          <w:bCs/>
          <w:sz w:val="24"/>
          <w:szCs w:val="24"/>
          <w:lang w:val="en-US"/>
        </w:rPr>
        <w:t xml:space="preserve"> assay (ELISA)</w:t>
      </w:r>
    </w:p>
    <w:p w:rsidR="00F77439" w:rsidRPr="00E13667" w:rsidRDefault="00E13667" w:rsidP="006D3376">
      <w:pPr>
        <w:spacing w:line="360" w:lineRule="auto"/>
        <w:jc w:val="both"/>
        <w:rPr>
          <w:rFonts w:ascii="Times New Roman" w:eastAsia="Calibri" w:hAnsi="Times New Roman" w:cs="Times New Roman"/>
          <w:bCs/>
          <w:sz w:val="24"/>
          <w:szCs w:val="24"/>
          <w:lang w:val="en-US"/>
        </w:rPr>
      </w:pPr>
      <w:r>
        <w:rPr>
          <w:rFonts w:ascii="Times New Roman" w:eastAsia="Calibri" w:hAnsi="Times New Roman" w:cs="Times New Roman"/>
          <w:bCs/>
          <w:sz w:val="24"/>
          <w:szCs w:val="24"/>
        </w:rPr>
        <w:t>To m</w:t>
      </w:r>
      <w:r w:rsidRPr="00303DDB">
        <w:rPr>
          <w:rFonts w:ascii="Times New Roman" w:eastAsia="Calibri" w:hAnsi="Times New Roman" w:cs="Times New Roman"/>
          <w:bCs/>
          <w:sz w:val="24"/>
          <w:szCs w:val="24"/>
        </w:rPr>
        <w:t>easure AR target gene expression and investigate the effects of mutations on SPOP protein stability and its interaction with</w:t>
      </w:r>
      <w:r>
        <w:rPr>
          <w:rFonts w:ascii="Times New Roman" w:eastAsia="Calibri" w:hAnsi="Times New Roman" w:cs="Times New Roman"/>
          <w:bCs/>
          <w:sz w:val="24"/>
          <w:szCs w:val="24"/>
        </w:rPr>
        <w:t xml:space="preserve"> AR signalling proteins we assess the circulating levels of</w:t>
      </w:r>
      <w:r w:rsidRPr="00303DDB">
        <w:rPr>
          <w:rFonts w:ascii="Times New Roman" w:eastAsia="Calibri" w:hAnsi="Times New Roman" w:cs="Times New Roman"/>
          <w:bCs/>
          <w:sz w:val="24"/>
          <w:szCs w:val="24"/>
        </w:rPr>
        <w:t xml:space="preserve"> AR,</w:t>
      </w:r>
      <w:r>
        <w:rPr>
          <w:rFonts w:ascii="Times New Roman" w:eastAsia="Calibri" w:hAnsi="Times New Roman" w:cs="Times New Roman"/>
          <w:bCs/>
          <w:sz w:val="24"/>
          <w:szCs w:val="24"/>
        </w:rPr>
        <w:t xml:space="preserve"> SPOP, and SRC-3 proteins using </w:t>
      </w:r>
      <w:r w:rsidRPr="00303DDB">
        <w:rPr>
          <w:rFonts w:ascii="Times New Roman" w:eastAsia="Calibri" w:hAnsi="Times New Roman" w:cs="Times New Roman"/>
          <w:bCs/>
          <w:sz w:val="24"/>
          <w:szCs w:val="24"/>
        </w:rPr>
        <w:t xml:space="preserve">enzyme-linked </w:t>
      </w:r>
      <w:proofErr w:type="spellStart"/>
      <w:r w:rsidRPr="00303DDB">
        <w:rPr>
          <w:rFonts w:ascii="Times New Roman" w:eastAsia="Calibri" w:hAnsi="Times New Roman" w:cs="Times New Roman"/>
          <w:bCs/>
          <w:sz w:val="24"/>
          <w:szCs w:val="24"/>
        </w:rPr>
        <w:t>immuno</w:t>
      </w:r>
      <w:r>
        <w:rPr>
          <w:rFonts w:ascii="Times New Roman" w:eastAsia="Calibri" w:hAnsi="Times New Roman" w:cs="Times New Roman"/>
          <w:bCs/>
          <w:sz w:val="24"/>
          <w:szCs w:val="24"/>
        </w:rPr>
        <w:t>sorbent</w:t>
      </w:r>
      <w:proofErr w:type="spellEnd"/>
      <w:r>
        <w:rPr>
          <w:rFonts w:ascii="Times New Roman" w:eastAsia="Calibri" w:hAnsi="Times New Roman" w:cs="Times New Roman"/>
          <w:bCs/>
          <w:sz w:val="24"/>
          <w:szCs w:val="24"/>
        </w:rPr>
        <w:t xml:space="preserve"> assay (ELISA) technique</w:t>
      </w:r>
      <w:r w:rsidRPr="00B041D7">
        <w:rPr>
          <w:rFonts w:ascii="Times New Roman" w:eastAsia="Calibri" w:hAnsi="Times New Roman" w:cs="Times New Roman"/>
          <w:bCs/>
          <w:sz w:val="24"/>
          <w:szCs w:val="24"/>
          <w:lang w:val="en-US"/>
        </w:rPr>
        <w:t>, as previously described</w:t>
      </w:r>
      <w:r w:rsidRPr="00B041D7">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by .</w:t>
      </w:r>
      <w:r>
        <w:rPr>
          <w:rFonts w:ascii="Times New Roman" w:eastAsia="Calibri" w:hAnsi="Times New Roman" w:cs="Times New Roman"/>
          <w:bCs/>
          <w:sz w:val="24"/>
          <w:szCs w:val="24"/>
          <w:lang w:val="en-US"/>
        </w:rPr>
        <w:t xml:space="preserve"> </w:t>
      </w:r>
      <w:r w:rsidR="00F77439" w:rsidRPr="00A12BA2">
        <w:rPr>
          <w:rFonts w:ascii="Times New Roman" w:hAnsi="Times New Roman" w:cs="Times New Roman"/>
          <w:bCs/>
          <w:sz w:val="24"/>
          <w:szCs w:val="24"/>
          <w:lang w:val="en-US"/>
        </w:rPr>
        <w:t>Quantification of AR, SPOP and SRC-3</w:t>
      </w:r>
      <w:r w:rsidR="001E649A" w:rsidRPr="00A12BA2">
        <w:rPr>
          <w:rFonts w:ascii="Times New Roman" w:hAnsi="Times New Roman" w:cs="Times New Roman"/>
          <w:bCs/>
          <w:sz w:val="24"/>
          <w:szCs w:val="24"/>
          <w:lang w:val="en-US"/>
        </w:rPr>
        <w:t xml:space="preserve"> protein levels was</w:t>
      </w:r>
      <w:r w:rsidR="00BA6281">
        <w:rPr>
          <w:rFonts w:ascii="Times New Roman" w:hAnsi="Times New Roman" w:cs="Times New Roman"/>
          <w:bCs/>
          <w:sz w:val="24"/>
          <w:szCs w:val="24"/>
          <w:lang w:val="en-US"/>
        </w:rPr>
        <w:t xml:space="preserve"> done</w:t>
      </w:r>
      <w:r w:rsidR="001E649A" w:rsidRPr="00A12BA2">
        <w:rPr>
          <w:rFonts w:ascii="Times New Roman" w:hAnsi="Times New Roman" w:cs="Times New Roman"/>
          <w:bCs/>
          <w:sz w:val="24"/>
          <w:szCs w:val="24"/>
          <w:lang w:val="en-US"/>
        </w:rPr>
        <w:t xml:space="preserve"> using Human AR, Human SPOP, and Human SRC-3 </w:t>
      </w:r>
      <w:r w:rsidR="00BA6281">
        <w:rPr>
          <w:rFonts w:ascii="Times New Roman" w:hAnsi="Times New Roman" w:cs="Times New Roman"/>
          <w:bCs/>
          <w:sz w:val="24"/>
          <w:szCs w:val="24"/>
          <w:lang w:val="en-US"/>
        </w:rPr>
        <w:t xml:space="preserve">ELISA </w:t>
      </w:r>
      <w:r w:rsidR="001E649A" w:rsidRPr="00A12BA2">
        <w:rPr>
          <w:rFonts w:ascii="Times New Roman" w:hAnsi="Times New Roman" w:cs="Times New Roman"/>
          <w:bCs/>
          <w:sz w:val="24"/>
          <w:szCs w:val="24"/>
          <w:lang w:val="en-US"/>
        </w:rPr>
        <w:t xml:space="preserve">Kits from BIOVATION </w:t>
      </w:r>
      <w:proofErr w:type="spellStart"/>
      <w:r w:rsidR="001E649A" w:rsidRPr="00A12BA2">
        <w:rPr>
          <w:rFonts w:ascii="Times New Roman" w:hAnsi="Times New Roman" w:cs="Times New Roman"/>
          <w:bCs/>
          <w:i/>
          <w:sz w:val="24"/>
          <w:szCs w:val="24"/>
          <w:lang w:val="en-US"/>
        </w:rPr>
        <w:t>I</w:t>
      </w:r>
      <w:r w:rsidR="001E649A" w:rsidRPr="00A12BA2">
        <w:rPr>
          <w:rFonts w:ascii="Times New Roman" w:hAnsi="Times New Roman" w:cs="Times New Roman"/>
          <w:bCs/>
          <w:sz w:val="24"/>
          <w:szCs w:val="24"/>
          <w:lang w:val="en-US"/>
        </w:rPr>
        <w:t>nc</w:t>
      </w:r>
      <w:proofErr w:type="spellEnd"/>
      <w:r w:rsidR="001E649A" w:rsidRPr="00A12BA2">
        <w:rPr>
          <w:rFonts w:ascii="Times New Roman" w:hAnsi="Times New Roman" w:cs="Times New Roman"/>
          <w:bCs/>
          <w:sz w:val="24"/>
          <w:szCs w:val="24"/>
          <w:lang w:val="en-US"/>
        </w:rPr>
        <w:t xml:space="preserve"> China</w:t>
      </w:r>
      <w:r w:rsidR="00517AFC" w:rsidRPr="00A12BA2">
        <w:rPr>
          <w:rFonts w:ascii="Times New Roman" w:hAnsi="Times New Roman" w:cs="Times New Roman"/>
          <w:bCs/>
          <w:sz w:val="24"/>
          <w:szCs w:val="24"/>
          <w:lang w:val="en-US"/>
        </w:rPr>
        <w:t xml:space="preserve"> </w:t>
      </w:r>
      <w:r w:rsidR="00517AFC" w:rsidRPr="00A12BA2">
        <w:rPr>
          <w:rFonts w:ascii="Times New Roman" w:hAnsi="Times New Roman" w:cs="Times New Roman"/>
          <w:iCs/>
          <w:sz w:val="24"/>
          <w:szCs w:val="24"/>
          <w:lang w:val="en-US"/>
        </w:rPr>
        <w:t>following the manufacturer's recommended protocol</w:t>
      </w:r>
      <w:r w:rsidR="001E649A" w:rsidRPr="00A12BA2">
        <w:rPr>
          <w:rFonts w:ascii="Times New Roman" w:hAnsi="Times New Roman" w:cs="Times New Roman"/>
          <w:bCs/>
          <w:sz w:val="24"/>
          <w:szCs w:val="24"/>
          <w:lang w:val="en-US"/>
        </w:rPr>
        <w:t xml:space="preserve">. </w:t>
      </w:r>
      <w:r w:rsidR="00A12BA2" w:rsidRPr="00A12BA2">
        <w:rPr>
          <w:rFonts w:ascii="Times New Roman" w:hAnsi="Times New Roman" w:cs="Times New Roman"/>
          <w:color w:val="0D0D0D"/>
          <w:sz w:val="24"/>
          <w:szCs w:val="24"/>
          <w:shd w:val="clear" w:color="auto" w:fill="FFFFFF"/>
        </w:rPr>
        <w:t>The absorbance readings and subsequent calculations provided quantitative data on the protein levels.</w:t>
      </w:r>
      <w:r w:rsidR="00A12BA2" w:rsidRPr="00A12BA2">
        <w:rPr>
          <w:rFonts w:ascii="Times New Roman" w:hAnsi="Times New Roman" w:cs="Times New Roman"/>
          <w:bCs/>
          <w:sz w:val="24"/>
          <w:szCs w:val="24"/>
          <w:lang w:val="en-US"/>
        </w:rPr>
        <w:t xml:space="preserve"> </w:t>
      </w:r>
    </w:p>
    <w:p w:rsidR="001E649A" w:rsidRPr="001E649A" w:rsidRDefault="0065633E" w:rsidP="001E649A">
      <w:pPr>
        <w:spacing w:line="360" w:lineRule="auto"/>
        <w:jc w:val="both"/>
        <w:rPr>
          <w:rFonts w:ascii="Times New Roman" w:hAnsi="Times New Roman" w:cs="Times New Roman"/>
          <w:b/>
          <w:bCs/>
          <w:sz w:val="24"/>
          <w:szCs w:val="24"/>
        </w:rPr>
      </w:pPr>
      <w:bookmarkStart w:id="8" w:name="_Toc142653312"/>
      <w:r>
        <w:rPr>
          <w:rFonts w:ascii="Times New Roman" w:hAnsi="Times New Roman" w:cs="Times New Roman"/>
          <w:b/>
          <w:bCs/>
          <w:sz w:val="24"/>
          <w:szCs w:val="24"/>
        </w:rPr>
        <w:t>3.2</w:t>
      </w:r>
      <w:r w:rsidR="00D84CF6">
        <w:rPr>
          <w:rFonts w:ascii="Times New Roman" w:hAnsi="Times New Roman" w:cs="Times New Roman"/>
          <w:b/>
          <w:bCs/>
          <w:sz w:val="24"/>
          <w:szCs w:val="24"/>
        </w:rPr>
        <w:t>.7</w:t>
      </w:r>
      <w:r w:rsidR="001E649A" w:rsidRPr="001E649A">
        <w:rPr>
          <w:rFonts w:ascii="Times New Roman" w:hAnsi="Times New Roman" w:cs="Times New Roman"/>
          <w:b/>
          <w:bCs/>
          <w:sz w:val="24"/>
          <w:szCs w:val="24"/>
        </w:rPr>
        <w:t xml:space="preserve">.1 Quantification of </w:t>
      </w:r>
      <w:bookmarkEnd w:id="8"/>
      <w:r w:rsidR="00517AFC">
        <w:rPr>
          <w:rFonts w:ascii="Times New Roman" w:hAnsi="Times New Roman" w:cs="Times New Roman"/>
          <w:b/>
          <w:bCs/>
          <w:sz w:val="24"/>
          <w:szCs w:val="24"/>
        </w:rPr>
        <w:t>Human SPOP</w:t>
      </w:r>
    </w:p>
    <w:p w:rsidR="001E649A" w:rsidRPr="00A12BA2" w:rsidRDefault="00A12BA2" w:rsidP="001E649A">
      <w:pPr>
        <w:spacing w:line="360" w:lineRule="auto"/>
        <w:jc w:val="both"/>
        <w:rPr>
          <w:rFonts w:ascii="Times New Roman" w:hAnsi="Times New Roman" w:cs="Times New Roman"/>
          <w:bCs/>
          <w:sz w:val="24"/>
          <w:szCs w:val="24"/>
        </w:rPr>
      </w:pPr>
      <w:r w:rsidRPr="00A12BA2">
        <w:rPr>
          <w:rFonts w:ascii="Times New Roman" w:hAnsi="Times New Roman" w:cs="Times New Roman"/>
          <w:color w:val="0D0D0D"/>
          <w:sz w:val="24"/>
          <w:szCs w:val="24"/>
          <w:shd w:val="clear" w:color="auto" w:fill="FFFFFF"/>
        </w:rPr>
        <w:t>The ELISA assay for detecting SPOP protein in plasma from human prostate cancer patients</w:t>
      </w:r>
      <w:r>
        <w:rPr>
          <w:rFonts w:ascii="Times New Roman" w:hAnsi="Times New Roman" w:cs="Times New Roman"/>
          <w:color w:val="0D0D0D"/>
          <w:sz w:val="24"/>
          <w:szCs w:val="24"/>
          <w:shd w:val="clear" w:color="auto" w:fill="FFFFFF"/>
        </w:rPr>
        <w:t xml:space="preserve"> and controls</w:t>
      </w:r>
      <w:r w:rsidRPr="00A12BA2">
        <w:rPr>
          <w:rFonts w:ascii="Times New Roman" w:hAnsi="Times New Roman" w:cs="Times New Roman"/>
          <w:color w:val="0D0D0D"/>
          <w:sz w:val="24"/>
          <w:szCs w:val="24"/>
          <w:shd w:val="clear" w:color="auto" w:fill="FFFFFF"/>
        </w:rPr>
        <w:t xml:space="preserve"> was conducted with precise steps to ensure accuracy. Plasma samples were </w:t>
      </w:r>
      <w:r>
        <w:rPr>
          <w:rFonts w:ascii="Times New Roman" w:hAnsi="Times New Roman" w:cs="Times New Roman"/>
          <w:color w:val="0D0D0D"/>
          <w:sz w:val="24"/>
          <w:szCs w:val="24"/>
          <w:shd w:val="clear" w:color="auto" w:fill="FFFFFF"/>
        </w:rPr>
        <w:t xml:space="preserve">collected using EDTA </w:t>
      </w:r>
      <w:r w:rsidRPr="00A12BA2">
        <w:rPr>
          <w:rFonts w:ascii="Times New Roman" w:hAnsi="Times New Roman" w:cs="Times New Roman"/>
          <w:color w:val="0D0D0D"/>
          <w:sz w:val="24"/>
          <w:szCs w:val="24"/>
          <w:shd w:val="clear" w:color="auto" w:fill="FFFFFF"/>
        </w:rPr>
        <w:t xml:space="preserve">as anticoagulants and centrifuged at 2000-3000 </w:t>
      </w:r>
      <w:proofErr w:type="spellStart"/>
      <w:r w:rsidRPr="00A12BA2">
        <w:rPr>
          <w:rFonts w:ascii="Times New Roman" w:hAnsi="Times New Roman" w:cs="Times New Roman"/>
          <w:color w:val="0D0D0D"/>
          <w:sz w:val="24"/>
          <w:szCs w:val="24"/>
          <w:shd w:val="clear" w:color="auto" w:fill="FFFFFF"/>
        </w:rPr>
        <w:t>r.p.m</w:t>
      </w:r>
      <w:proofErr w:type="spellEnd"/>
      <w:r w:rsidRPr="00A12BA2">
        <w:rPr>
          <w:rFonts w:ascii="Times New Roman" w:hAnsi="Times New Roman" w:cs="Times New Roman"/>
          <w:color w:val="0D0D0D"/>
          <w:sz w:val="24"/>
          <w:szCs w:val="24"/>
          <w:shd w:val="clear" w:color="auto" w:fill="FFFFFF"/>
        </w:rPr>
        <w:t xml:space="preserve">. for 20 minutes, with the supernatant carefully removed. A standard curve was prepared by adding 100 µl of standards to the wells and diluting them sequentially. Samples were added to the wells with a 5-fold dilution, mixed gently, and incubated at 37°C for 30 minutes. The wells were washed five times using a diluted wash solution. </w:t>
      </w:r>
      <w:r w:rsidR="00BA6281">
        <w:rPr>
          <w:rFonts w:ascii="Times New Roman" w:hAnsi="Times New Roman" w:cs="Times New Roman"/>
          <w:color w:val="0D0D0D"/>
          <w:sz w:val="24"/>
          <w:szCs w:val="24"/>
          <w:shd w:val="clear" w:color="auto" w:fill="FFFFFF"/>
        </w:rPr>
        <w:t>The HRP-conjugate</w:t>
      </w:r>
      <w:r w:rsidRPr="00A12BA2">
        <w:rPr>
          <w:rFonts w:ascii="Times New Roman" w:hAnsi="Times New Roman" w:cs="Times New Roman"/>
          <w:color w:val="0D0D0D"/>
          <w:sz w:val="24"/>
          <w:szCs w:val="24"/>
          <w:shd w:val="clear" w:color="auto" w:fill="FFFFFF"/>
        </w:rPr>
        <w:t xml:space="preserve"> reagent was added and incubated again at 37°C for 30 minutes, followed by another washing step. </w:t>
      </w:r>
      <w:r w:rsidR="00BA6281">
        <w:rPr>
          <w:rFonts w:ascii="Times New Roman" w:hAnsi="Times New Roman" w:cs="Times New Roman"/>
          <w:color w:val="0D0D0D"/>
          <w:sz w:val="24"/>
          <w:szCs w:val="24"/>
          <w:shd w:val="clear" w:color="auto" w:fill="FFFFFF"/>
        </w:rPr>
        <w:t>Colour</w:t>
      </w:r>
      <w:r w:rsidRPr="00A12BA2">
        <w:rPr>
          <w:rFonts w:ascii="Times New Roman" w:hAnsi="Times New Roman" w:cs="Times New Roman"/>
          <w:color w:val="0D0D0D"/>
          <w:sz w:val="24"/>
          <w:szCs w:val="24"/>
          <w:shd w:val="clear" w:color="auto" w:fill="FFFFFF"/>
        </w:rPr>
        <w:t xml:space="preserve"> development was initiated by adding </w:t>
      </w:r>
      <w:proofErr w:type="spellStart"/>
      <w:r w:rsidRPr="00A12BA2">
        <w:rPr>
          <w:rFonts w:ascii="Times New Roman" w:hAnsi="Times New Roman" w:cs="Times New Roman"/>
          <w:color w:val="0D0D0D"/>
          <w:sz w:val="24"/>
          <w:szCs w:val="24"/>
          <w:shd w:val="clear" w:color="auto" w:fill="FFFFFF"/>
        </w:rPr>
        <w:t>Chromogen</w:t>
      </w:r>
      <w:proofErr w:type="spellEnd"/>
      <w:r w:rsidRPr="00A12BA2">
        <w:rPr>
          <w:rFonts w:ascii="Times New Roman" w:hAnsi="Times New Roman" w:cs="Times New Roman"/>
          <w:color w:val="0D0D0D"/>
          <w:sz w:val="24"/>
          <w:szCs w:val="24"/>
          <w:shd w:val="clear" w:color="auto" w:fill="FFFFFF"/>
        </w:rPr>
        <w:t xml:space="preserve"> Solutions A and B and incubating at 37°C for 15 minutes in the </w:t>
      </w:r>
      <w:r w:rsidRPr="00A12BA2">
        <w:rPr>
          <w:rFonts w:ascii="Times New Roman" w:hAnsi="Times New Roman" w:cs="Times New Roman"/>
          <w:color w:val="0D0D0D"/>
          <w:sz w:val="24"/>
          <w:szCs w:val="24"/>
          <w:shd w:val="clear" w:color="auto" w:fill="FFFFFF"/>
        </w:rPr>
        <w:lastRenderedPageBreak/>
        <w:t xml:space="preserve">dark. The reaction was stopped with a Stop Solution, changing the </w:t>
      </w:r>
      <w:r w:rsidR="00BA6281">
        <w:rPr>
          <w:rFonts w:ascii="Times New Roman" w:hAnsi="Times New Roman" w:cs="Times New Roman"/>
          <w:color w:val="0D0D0D"/>
          <w:sz w:val="24"/>
          <w:szCs w:val="24"/>
          <w:shd w:val="clear" w:color="auto" w:fill="FFFFFF"/>
        </w:rPr>
        <w:t>colour</w:t>
      </w:r>
      <w:r w:rsidRPr="00A12BA2">
        <w:rPr>
          <w:rFonts w:ascii="Times New Roman" w:hAnsi="Times New Roman" w:cs="Times New Roman"/>
          <w:color w:val="0D0D0D"/>
          <w:sz w:val="24"/>
          <w:szCs w:val="24"/>
          <w:shd w:val="clear" w:color="auto" w:fill="FFFFFF"/>
        </w:rPr>
        <w:t xml:space="preserve"> from blue to yellow, and absorbance was measured at 450 nm. The concentrations of SPOP protein were determined by plotting a standard curve and comparing the absorbance values, adjusted by the dilution factor.</w:t>
      </w:r>
    </w:p>
    <w:p w:rsidR="001E649A" w:rsidRPr="001E649A" w:rsidRDefault="0065633E" w:rsidP="001E649A">
      <w:pPr>
        <w:spacing w:line="360" w:lineRule="auto"/>
        <w:jc w:val="both"/>
        <w:rPr>
          <w:rFonts w:ascii="Times New Roman" w:hAnsi="Times New Roman" w:cs="Times New Roman"/>
          <w:b/>
          <w:bCs/>
          <w:sz w:val="24"/>
          <w:szCs w:val="24"/>
        </w:rPr>
      </w:pPr>
      <w:bookmarkStart w:id="9" w:name="_Toc142653313"/>
      <w:r>
        <w:rPr>
          <w:rFonts w:ascii="Times New Roman" w:hAnsi="Times New Roman" w:cs="Times New Roman"/>
          <w:b/>
          <w:bCs/>
          <w:sz w:val="24"/>
          <w:szCs w:val="24"/>
        </w:rPr>
        <w:t>3.2</w:t>
      </w:r>
      <w:r w:rsidR="001E649A" w:rsidRPr="001E649A">
        <w:rPr>
          <w:rFonts w:ascii="Times New Roman" w:hAnsi="Times New Roman" w:cs="Times New Roman"/>
          <w:b/>
          <w:bCs/>
          <w:sz w:val="24"/>
          <w:szCs w:val="24"/>
        </w:rPr>
        <w:t>.</w:t>
      </w:r>
      <w:r w:rsidR="00D84CF6">
        <w:rPr>
          <w:rFonts w:ascii="Times New Roman" w:hAnsi="Times New Roman" w:cs="Times New Roman"/>
          <w:b/>
          <w:bCs/>
          <w:sz w:val="24"/>
          <w:szCs w:val="24"/>
        </w:rPr>
        <w:t>7</w:t>
      </w:r>
      <w:r w:rsidR="001E649A" w:rsidRPr="001E649A">
        <w:rPr>
          <w:rFonts w:ascii="Times New Roman" w:hAnsi="Times New Roman" w:cs="Times New Roman"/>
          <w:b/>
          <w:bCs/>
          <w:sz w:val="24"/>
          <w:szCs w:val="24"/>
        </w:rPr>
        <w:t xml:space="preserve">.2 Quantification of </w:t>
      </w:r>
      <w:bookmarkEnd w:id="9"/>
      <w:r w:rsidR="00A12BA2">
        <w:rPr>
          <w:rFonts w:ascii="Times New Roman" w:hAnsi="Times New Roman" w:cs="Times New Roman"/>
          <w:b/>
          <w:bCs/>
          <w:sz w:val="24"/>
          <w:szCs w:val="24"/>
        </w:rPr>
        <w:t>Androgen Receptor</w:t>
      </w:r>
    </w:p>
    <w:p w:rsidR="001E649A" w:rsidRPr="001E649A" w:rsidRDefault="00A12BA2" w:rsidP="001E649A">
      <w:pPr>
        <w:spacing w:line="360" w:lineRule="auto"/>
        <w:jc w:val="both"/>
        <w:rPr>
          <w:rFonts w:ascii="Times New Roman" w:hAnsi="Times New Roman" w:cs="Times New Roman"/>
          <w:bCs/>
          <w:sz w:val="24"/>
          <w:szCs w:val="24"/>
        </w:rPr>
      </w:pPr>
      <w:r w:rsidRPr="00A12BA2">
        <w:rPr>
          <w:rFonts w:ascii="Times New Roman" w:hAnsi="Times New Roman" w:cs="Times New Roman"/>
          <w:color w:val="0D0D0D"/>
          <w:sz w:val="24"/>
          <w:szCs w:val="24"/>
          <w:shd w:val="clear" w:color="auto" w:fill="FFFFFF"/>
        </w:rPr>
        <w:t>The E</w:t>
      </w:r>
      <w:r>
        <w:rPr>
          <w:rFonts w:ascii="Times New Roman" w:hAnsi="Times New Roman" w:cs="Times New Roman"/>
          <w:color w:val="0D0D0D"/>
          <w:sz w:val="24"/>
          <w:szCs w:val="24"/>
          <w:shd w:val="clear" w:color="auto" w:fill="FFFFFF"/>
        </w:rPr>
        <w:t>LISA assay for detecting AR</w:t>
      </w:r>
      <w:r w:rsidRPr="00A12BA2">
        <w:rPr>
          <w:rFonts w:ascii="Times New Roman" w:hAnsi="Times New Roman" w:cs="Times New Roman"/>
          <w:color w:val="0D0D0D"/>
          <w:sz w:val="24"/>
          <w:szCs w:val="24"/>
          <w:shd w:val="clear" w:color="auto" w:fill="FFFFFF"/>
        </w:rPr>
        <w:t xml:space="preserve"> protein in plasma from human prostate cancer patients</w:t>
      </w:r>
      <w:r>
        <w:rPr>
          <w:rFonts w:ascii="Times New Roman" w:hAnsi="Times New Roman" w:cs="Times New Roman"/>
          <w:color w:val="0D0D0D"/>
          <w:sz w:val="24"/>
          <w:szCs w:val="24"/>
          <w:shd w:val="clear" w:color="auto" w:fill="FFFFFF"/>
        </w:rPr>
        <w:t xml:space="preserve"> and controls</w:t>
      </w:r>
      <w:r w:rsidRPr="00A12BA2">
        <w:rPr>
          <w:rFonts w:ascii="Times New Roman" w:hAnsi="Times New Roman" w:cs="Times New Roman"/>
          <w:color w:val="0D0D0D"/>
          <w:sz w:val="24"/>
          <w:szCs w:val="24"/>
          <w:shd w:val="clear" w:color="auto" w:fill="FFFFFF"/>
        </w:rPr>
        <w:t xml:space="preserve"> was conducted with precise steps to ensure accuracy. Plasma samples were </w:t>
      </w:r>
      <w:r>
        <w:rPr>
          <w:rFonts w:ascii="Times New Roman" w:hAnsi="Times New Roman" w:cs="Times New Roman"/>
          <w:color w:val="0D0D0D"/>
          <w:sz w:val="24"/>
          <w:szCs w:val="24"/>
          <w:shd w:val="clear" w:color="auto" w:fill="FFFFFF"/>
        </w:rPr>
        <w:t xml:space="preserve">collected using EDTA </w:t>
      </w:r>
      <w:r w:rsidRPr="00A12BA2">
        <w:rPr>
          <w:rFonts w:ascii="Times New Roman" w:hAnsi="Times New Roman" w:cs="Times New Roman"/>
          <w:color w:val="0D0D0D"/>
          <w:sz w:val="24"/>
          <w:szCs w:val="24"/>
          <w:shd w:val="clear" w:color="auto" w:fill="FFFFFF"/>
        </w:rPr>
        <w:t xml:space="preserve">as anticoagulants and centrifuged at 2000-3000 </w:t>
      </w:r>
      <w:proofErr w:type="spellStart"/>
      <w:r w:rsidRPr="00A12BA2">
        <w:rPr>
          <w:rFonts w:ascii="Times New Roman" w:hAnsi="Times New Roman" w:cs="Times New Roman"/>
          <w:color w:val="0D0D0D"/>
          <w:sz w:val="24"/>
          <w:szCs w:val="24"/>
          <w:shd w:val="clear" w:color="auto" w:fill="FFFFFF"/>
        </w:rPr>
        <w:t>r.p.m</w:t>
      </w:r>
      <w:proofErr w:type="spellEnd"/>
      <w:r w:rsidRPr="00A12BA2">
        <w:rPr>
          <w:rFonts w:ascii="Times New Roman" w:hAnsi="Times New Roman" w:cs="Times New Roman"/>
          <w:color w:val="0D0D0D"/>
          <w:sz w:val="24"/>
          <w:szCs w:val="24"/>
          <w:shd w:val="clear" w:color="auto" w:fill="FFFFFF"/>
        </w:rPr>
        <w:t xml:space="preserve">. for 20 minutes, with the supernatant carefully removed. A standard curve was prepared by adding 100 µl of standards to the wells and diluting them sequentially. Samples were added to the wells with a 5-fold dilution, mixed gently, and incubated at 37°C for 30 minutes. The wells were washed five times using a diluted wash solution. </w:t>
      </w:r>
      <w:r w:rsidR="00BA6281">
        <w:rPr>
          <w:rFonts w:ascii="Times New Roman" w:hAnsi="Times New Roman" w:cs="Times New Roman"/>
          <w:color w:val="0D0D0D"/>
          <w:sz w:val="24"/>
          <w:szCs w:val="24"/>
          <w:shd w:val="clear" w:color="auto" w:fill="FFFFFF"/>
        </w:rPr>
        <w:t>The HRP-c</w:t>
      </w:r>
      <w:r w:rsidRPr="00A12BA2">
        <w:rPr>
          <w:rFonts w:ascii="Times New Roman" w:hAnsi="Times New Roman" w:cs="Times New Roman"/>
          <w:color w:val="0D0D0D"/>
          <w:sz w:val="24"/>
          <w:szCs w:val="24"/>
          <w:shd w:val="clear" w:color="auto" w:fill="FFFFFF"/>
        </w:rPr>
        <w:t xml:space="preserve">onjugate reagent was added and incubated again at 37°C for 30 minutes, followed by another washing step. </w:t>
      </w:r>
      <w:r w:rsidR="00BA6281">
        <w:rPr>
          <w:rFonts w:ascii="Times New Roman" w:hAnsi="Times New Roman" w:cs="Times New Roman"/>
          <w:color w:val="0D0D0D"/>
          <w:sz w:val="24"/>
          <w:szCs w:val="24"/>
          <w:shd w:val="clear" w:color="auto" w:fill="FFFFFF"/>
        </w:rPr>
        <w:t>Colour</w:t>
      </w:r>
      <w:r w:rsidRPr="00A12BA2">
        <w:rPr>
          <w:rFonts w:ascii="Times New Roman" w:hAnsi="Times New Roman" w:cs="Times New Roman"/>
          <w:color w:val="0D0D0D"/>
          <w:sz w:val="24"/>
          <w:szCs w:val="24"/>
          <w:shd w:val="clear" w:color="auto" w:fill="FFFFFF"/>
        </w:rPr>
        <w:t xml:space="preserve"> development was initiated by adding </w:t>
      </w:r>
      <w:proofErr w:type="spellStart"/>
      <w:r w:rsidRPr="00A12BA2">
        <w:rPr>
          <w:rFonts w:ascii="Times New Roman" w:hAnsi="Times New Roman" w:cs="Times New Roman"/>
          <w:color w:val="0D0D0D"/>
          <w:sz w:val="24"/>
          <w:szCs w:val="24"/>
          <w:shd w:val="clear" w:color="auto" w:fill="FFFFFF"/>
        </w:rPr>
        <w:t>Chromogen</w:t>
      </w:r>
      <w:proofErr w:type="spellEnd"/>
      <w:r w:rsidRPr="00A12BA2">
        <w:rPr>
          <w:rFonts w:ascii="Times New Roman" w:hAnsi="Times New Roman" w:cs="Times New Roman"/>
          <w:color w:val="0D0D0D"/>
          <w:sz w:val="24"/>
          <w:szCs w:val="24"/>
          <w:shd w:val="clear" w:color="auto" w:fill="FFFFFF"/>
        </w:rPr>
        <w:t xml:space="preserve"> Solutions A and B and incubating at 37°C for 15 minutes in the dark. The reaction was stopped with a Stop Solution, changing the </w:t>
      </w:r>
      <w:r w:rsidR="00BA6281">
        <w:rPr>
          <w:rFonts w:ascii="Times New Roman" w:hAnsi="Times New Roman" w:cs="Times New Roman"/>
          <w:color w:val="0D0D0D"/>
          <w:sz w:val="24"/>
          <w:szCs w:val="24"/>
          <w:shd w:val="clear" w:color="auto" w:fill="FFFFFF"/>
        </w:rPr>
        <w:t>colour</w:t>
      </w:r>
      <w:r w:rsidRPr="00A12BA2">
        <w:rPr>
          <w:rFonts w:ascii="Times New Roman" w:hAnsi="Times New Roman" w:cs="Times New Roman"/>
          <w:color w:val="0D0D0D"/>
          <w:sz w:val="24"/>
          <w:szCs w:val="24"/>
          <w:shd w:val="clear" w:color="auto" w:fill="FFFFFF"/>
        </w:rPr>
        <w:t xml:space="preserve"> from blue to yellow, and absorbance was measured at 45</w:t>
      </w:r>
      <w:r w:rsidR="001F0818">
        <w:rPr>
          <w:rFonts w:ascii="Times New Roman" w:hAnsi="Times New Roman" w:cs="Times New Roman"/>
          <w:color w:val="0D0D0D"/>
          <w:sz w:val="24"/>
          <w:szCs w:val="24"/>
          <w:shd w:val="clear" w:color="auto" w:fill="FFFFFF"/>
        </w:rPr>
        <w:t xml:space="preserve">0 nm. The concentrations of AR </w:t>
      </w:r>
      <w:r w:rsidRPr="00A12BA2">
        <w:rPr>
          <w:rFonts w:ascii="Times New Roman" w:hAnsi="Times New Roman" w:cs="Times New Roman"/>
          <w:color w:val="0D0D0D"/>
          <w:sz w:val="24"/>
          <w:szCs w:val="24"/>
          <w:shd w:val="clear" w:color="auto" w:fill="FFFFFF"/>
        </w:rPr>
        <w:t>were determined by plotting a standard curve and comparing the absorbance values, adjusted by the dilution factor</w:t>
      </w:r>
      <w:r w:rsidR="001E649A" w:rsidRPr="001E649A">
        <w:rPr>
          <w:rFonts w:ascii="Times New Roman" w:hAnsi="Times New Roman" w:cs="Times New Roman"/>
          <w:bCs/>
          <w:sz w:val="24"/>
          <w:szCs w:val="24"/>
        </w:rPr>
        <w:t>.</w:t>
      </w:r>
    </w:p>
    <w:p w:rsidR="001E649A" w:rsidRPr="001E649A" w:rsidRDefault="0065633E" w:rsidP="001E649A">
      <w:pPr>
        <w:spacing w:line="360" w:lineRule="auto"/>
        <w:jc w:val="both"/>
        <w:rPr>
          <w:rFonts w:ascii="Times New Roman" w:hAnsi="Times New Roman" w:cs="Times New Roman"/>
          <w:b/>
          <w:bCs/>
          <w:sz w:val="24"/>
          <w:szCs w:val="24"/>
        </w:rPr>
      </w:pPr>
      <w:bookmarkStart w:id="10" w:name="_Toc142653314"/>
      <w:r>
        <w:rPr>
          <w:rFonts w:ascii="Times New Roman" w:hAnsi="Times New Roman" w:cs="Times New Roman"/>
          <w:b/>
          <w:bCs/>
          <w:sz w:val="24"/>
          <w:szCs w:val="24"/>
        </w:rPr>
        <w:t>3.2</w:t>
      </w:r>
      <w:r w:rsidR="00D84CF6">
        <w:rPr>
          <w:rFonts w:ascii="Times New Roman" w:hAnsi="Times New Roman" w:cs="Times New Roman"/>
          <w:b/>
          <w:bCs/>
          <w:sz w:val="24"/>
          <w:szCs w:val="24"/>
        </w:rPr>
        <w:t>.7</w:t>
      </w:r>
      <w:r w:rsidR="001E649A" w:rsidRPr="001E649A">
        <w:rPr>
          <w:rFonts w:ascii="Times New Roman" w:hAnsi="Times New Roman" w:cs="Times New Roman"/>
          <w:b/>
          <w:bCs/>
          <w:sz w:val="24"/>
          <w:szCs w:val="24"/>
        </w:rPr>
        <w:t xml:space="preserve">.3 Quantification of </w:t>
      </w:r>
      <w:bookmarkEnd w:id="10"/>
      <w:r w:rsidR="001F0818">
        <w:rPr>
          <w:rFonts w:ascii="Times New Roman" w:hAnsi="Times New Roman" w:cs="Times New Roman"/>
          <w:b/>
          <w:bCs/>
          <w:sz w:val="24"/>
          <w:szCs w:val="24"/>
        </w:rPr>
        <w:t>Steroid</w:t>
      </w:r>
      <w:r w:rsidR="00A12BA2">
        <w:rPr>
          <w:rFonts w:ascii="Times New Roman" w:hAnsi="Times New Roman" w:cs="Times New Roman"/>
          <w:b/>
          <w:bCs/>
          <w:sz w:val="24"/>
          <w:szCs w:val="24"/>
        </w:rPr>
        <w:t xml:space="preserve"> Receptor Co-Activator-3</w:t>
      </w:r>
    </w:p>
    <w:p w:rsidR="001E649A" w:rsidRPr="00BA6281" w:rsidRDefault="001E649A" w:rsidP="006D3376">
      <w:pPr>
        <w:spacing w:line="360" w:lineRule="auto"/>
        <w:jc w:val="both"/>
        <w:rPr>
          <w:rFonts w:ascii="Times New Roman" w:hAnsi="Times New Roman" w:cs="Times New Roman"/>
          <w:bCs/>
          <w:sz w:val="24"/>
          <w:szCs w:val="24"/>
        </w:rPr>
      </w:pPr>
      <w:r w:rsidRPr="001E649A">
        <w:rPr>
          <w:rFonts w:ascii="Times New Roman" w:hAnsi="Times New Roman" w:cs="Times New Roman"/>
          <w:bCs/>
          <w:sz w:val="24"/>
          <w:szCs w:val="24"/>
        </w:rPr>
        <w:t xml:space="preserve"> </w:t>
      </w:r>
      <w:r w:rsidR="001F0818" w:rsidRPr="00A12BA2">
        <w:rPr>
          <w:rFonts w:ascii="Times New Roman" w:hAnsi="Times New Roman" w:cs="Times New Roman"/>
          <w:color w:val="0D0D0D"/>
          <w:sz w:val="24"/>
          <w:szCs w:val="24"/>
          <w:shd w:val="clear" w:color="auto" w:fill="FFFFFF"/>
        </w:rPr>
        <w:t>The E</w:t>
      </w:r>
      <w:r w:rsidR="001F0818">
        <w:rPr>
          <w:rFonts w:ascii="Times New Roman" w:hAnsi="Times New Roman" w:cs="Times New Roman"/>
          <w:color w:val="0D0D0D"/>
          <w:sz w:val="24"/>
          <w:szCs w:val="24"/>
          <w:shd w:val="clear" w:color="auto" w:fill="FFFFFF"/>
        </w:rPr>
        <w:t>LISA assay for detecting SRC-3</w:t>
      </w:r>
      <w:r w:rsidR="001F0818" w:rsidRPr="00A12BA2">
        <w:rPr>
          <w:rFonts w:ascii="Times New Roman" w:hAnsi="Times New Roman" w:cs="Times New Roman"/>
          <w:color w:val="0D0D0D"/>
          <w:sz w:val="24"/>
          <w:szCs w:val="24"/>
          <w:shd w:val="clear" w:color="auto" w:fill="FFFFFF"/>
        </w:rPr>
        <w:t xml:space="preserve"> protein in plasma from human prostate cancer patients</w:t>
      </w:r>
      <w:r w:rsidR="001F0818">
        <w:rPr>
          <w:rFonts w:ascii="Times New Roman" w:hAnsi="Times New Roman" w:cs="Times New Roman"/>
          <w:color w:val="0D0D0D"/>
          <w:sz w:val="24"/>
          <w:szCs w:val="24"/>
          <w:shd w:val="clear" w:color="auto" w:fill="FFFFFF"/>
        </w:rPr>
        <w:t xml:space="preserve"> and controls</w:t>
      </w:r>
      <w:r w:rsidR="001F0818" w:rsidRPr="00A12BA2">
        <w:rPr>
          <w:rFonts w:ascii="Times New Roman" w:hAnsi="Times New Roman" w:cs="Times New Roman"/>
          <w:color w:val="0D0D0D"/>
          <w:sz w:val="24"/>
          <w:szCs w:val="24"/>
          <w:shd w:val="clear" w:color="auto" w:fill="FFFFFF"/>
        </w:rPr>
        <w:t xml:space="preserve"> was conducted with precise steps to ensure accuracy. Plasma samples were </w:t>
      </w:r>
      <w:r w:rsidR="001F0818">
        <w:rPr>
          <w:rFonts w:ascii="Times New Roman" w:hAnsi="Times New Roman" w:cs="Times New Roman"/>
          <w:color w:val="0D0D0D"/>
          <w:sz w:val="24"/>
          <w:szCs w:val="24"/>
          <w:shd w:val="clear" w:color="auto" w:fill="FFFFFF"/>
        </w:rPr>
        <w:t xml:space="preserve">collected using EDTA </w:t>
      </w:r>
      <w:r w:rsidR="001F0818" w:rsidRPr="00A12BA2">
        <w:rPr>
          <w:rFonts w:ascii="Times New Roman" w:hAnsi="Times New Roman" w:cs="Times New Roman"/>
          <w:color w:val="0D0D0D"/>
          <w:sz w:val="24"/>
          <w:szCs w:val="24"/>
          <w:shd w:val="clear" w:color="auto" w:fill="FFFFFF"/>
        </w:rPr>
        <w:t xml:space="preserve">as anticoagulants and centrifuged at 2000-3000 </w:t>
      </w:r>
      <w:proofErr w:type="spellStart"/>
      <w:r w:rsidR="001F0818" w:rsidRPr="00A12BA2">
        <w:rPr>
          <w:rFonts w:ascii="Times New Roman" w:hAnsi="Times New Roman" w:cs="Times New Roman"/>
          <w:color w:val="0D0D0D"/>
          <w:sz w:val="24"/>
          <w:szCs w:val="24"/>
          <w:shd w:val="clear" w:color="auto" w:fill="FFFFFF"/>
        </w:rPr>
        <w:t>r.p.m</w:t>
      </w:r>
      <w:proofErr w:type="spellEnd"/>
      <w:r w:rsidR="001F0818" w:rsidRPr="00A12BA2">
        <w:rPr>
          <w:rFonts w:ascii="Times New Roman" w:hAnsi="Times New Roman" w:cs="Times New Roman"/>
          <w:color w:val="0D0D0D"/>
          <w:sz w:val="24"/>
          <w:szCs w:val="24"/>
          <w:shd w:val="clear" w:color="auto" w:fill="FFFFFF"/>
        </w:rPr>
        <w:t xml:space="preserve">. for 20 minutes, with the supernatant carefully removed. A standard curve was prepared by adding 100 µl of standards to the wells and diluting them sequentially. Samples were added to the wells with a 5-fold dilution, mixed gently, and incubated at 37°C for 30 minutes. The wells were washed five times using a diluted wash solution. </w:t>
      </w:r>
      <w:r w:rsidR="00BA6281">
        <w:rPr>
          <w:rFonts w:ascii="Times New Roman" w:hAnsi="Times New Roman" w:cs="Times New Roman"/>
          <w:color w:val="0D0D0D"/>
          <w:sz w:val="24"/>
          <w:szCs w:val="24"/>
          <w:shd w:val="clear" w:color="auto" w:fill="FFFFFF"/>
        </w:rPr>
        <w:t>The HRP-c</w:t>
      </w:r>
      <w:r w:rsidR="001F0818" w:rsidRPr="00A12BA2">
        <w:rPr>
          <w:rFonts w:ascii="Times New Roman" w:hAnsi="Times New Roman" w:cs="Times New Roman"/>
          <w:color w:val="0D0D0D"/>
          <w:sz w:val="24"/>
          <w:szCs w:val="24"/>
          <w:shd w:val="clear" w:color="auto" w:fill="FFFFFF"/>
        </w:rPr>
        <w:t xml:space="preserve">onjugate reagent was added and incubated again at 37°C for 30 minutes, followed by another washing step. </w:t>
      </w:r>
      <w:r w:rsidR="00BA6281" w:rsidRPr="00A12BA2">
        <w:rPr>
          <w:rFonts w:ascii="Times New Roman" w:hAnsi="Times New Roman" w:cs="Times New Roman"/>
          <w:color w:val="0D0D0D"/>
          <w:sz w:val="24"/>
          <w:szCs w:val="24"/>
          <w:shd w:val="clear" w:color="auto" w:fill="FFFFFF"/>
        </w:rPr>
        <w:t>Colour</w:t>
      </w:r>
      <w:r w:rsidR="001F0818" w:rsidRPr="00A12BA2">
        <w:rPr>
          <w:rFonts w:ascii="Times New Roman" w:hAnsi="Times New Roman" w:cs="Times New Roman"/>
          <w:color w:val="0D0D0D"/>
          <w:sz w:val="24"/>
          <w:szCs w:val="24"/>
          <w:shd w:val="clear" w:color="auto" w:fill="FFFFFF"/>
        </w:rPr>
        <w:t xml:space="preserve"> development was initiated by adding </w:t>
      </w:r>
      <w:proofErr w:type="spellStart"/>
      <w:r w:rsidR="001F0818" w:rsidRPr="00A12BA2">
        <w:rPr>
          <w:rFonts w:ascii="Times New Roman" w:hAnsi="Times New Roman" w:cs="Times New Roman"/>
          <w:color w:val="0D0D0D"/>
          <w:sz w:val="24"/>
          <w:szCs w:val="24"/>
          <w:shd w:val="clear" w:color="auto" w:fill="FFFFFF"/>
        </w:rPr>
        <w:t>Chromogen</w:t>
      </w:r>
      <w:proofErr w:type="spellEnd"/>
      <w:r w:rsidR="001F0818" w:rsidRPr="00A12BA2">
        <w:rPr>
          <w:rFonts w:ascii="Times New Roman" w:hAnsi="Times New Roman" w:cs="Times New Roman"/>
          <w:color w:val="0D0D0D"/>
          <w:sz w:val="24"/>
          <w:szCs w:val="24"/>
          <w:shd w:val="clear" w:color="auto" w:fill="FFFFFF"/>
        </w:rPr>
        <w:t xml:space="preserve"> Solutions A and B and incubating at 37°C for 15 minutes in the dark. The reaction was stopped with a Stop Solution, changing the </w:t>
      </w:r>
      <w:r w:rsidR="00BA6281">
        <w:rPr>
          <w:rFonts w:ascii="Times New Roman" w:hAnsi="Times New Roman" w:cs="Times New Roman"/>
          <w:color w:val="0D0D0D"/>
          <w:sz w:val="24"/>
          <w:szCs w:val="24"/>
          <w:shd w:val="clear" w:color="auto" w:fill="FFFFFF"/>
        </w:rPr>
        <w:t>colour</w:t>
      </w:r>
      <w:r w:rsidR="001F0818" w:rsidRPr="00A12BA2">
        <w:rPr>
          <w:rFonts w:ascii="Times New Roman" w:hAnsi="Times New Roman" w:cs="Times New Roman"/>
          <w:color w:val="0D0D0D"/>
          <w:sz w:val="24"/>
          <w:szCs w:val="24"/>
          <w:shd w:val="clear" w:color="auto" w:fill="FFFFFF"/>
        </w:rPr>
        <w:t xml:space="preserve"> from blue to yellow, and absorbance was measured at 450 nm. Th</w:t>
      </w:r>
      <w:r w:rsidR="001F0818">
        <w:rPr>
          <w:rFonts w:ascii="Times New Roman" w:hAnsi="Times New Roman" w:cs="Times New Roman"/>
          <w:color w:val="0D0D0D"/>
          <w:sz w:val="24"/>
          <w:szCs w:val="24"/>
          <w:shd w:val="clear" w:color="auto" w:fill="FFFFFF"/>
        </w:rPr>
        <w:t>e concentrations of SRC-3</w:t>
      </w:r>
      <w:r w:rsidR="001F0818" w:rsidRPr="00A12BA2">
        <w:rPr>
          <w:rFonts w:ascii="Times New Roman" w:hAnsi="Times New Roman" w:cs="Times New Roman"/>
          <w:color w:val="0D0D0D"/>
          <w:sz w:val="24"/>
          <w:szCs w:val="24"/>
          <w:shd w:val="clear" w:color="auto" w:fill="FFFFFF"/>
        </w:rPr>
        <w:t xml:space="preserve"> were determined by plotting a standard curve and comparing the absorbance values, adjusted by the dilution factor</w:t>
      </w:r>
      <w:r w:rsidRPr="001E649A">
        <w:rPr>
          <w:rFonts w:ascii="Times New Roman" w:hAnsi="Times New Roman" w:cs="Times New Roman"/>
          <w:bCs/>
          <w:sz w:val="24"/>
          <w:szCs w:val="24"/>
        </w:rPr>
        <w:t>.</w:t>
      </w:r>
    </w:p>
    <w:p w:rsidR="00F77439" w:rsidRPr="002E7761" w:rsidRDefault="00D84CF6" w:rsidP="006D3376">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3.3</w:t>
      </w:r>
      <w:r w:rsidR="001F0818">
        <w:rPr>
          <w:rFonts w:ascii="Times New Roman" w:hAnsi="Times New Roman" w:cs="Times New Roman"/>
          <w:b/>
          <w:bCs/>
          <w:sz w:val="24"/>
          <w:szCs w:val="24"/>
          <w:lang w:val="en-US"/>
        </w:rPr>
        <w:t xml:space="preserve"> </w:t>
      </w:r>
      <w:r w:rsidR="006C2022">
        <w:rPr>
          <w:rFonts w:ascii="Times New Roman" w:hAnsi="Times New Roman" w:cs="Times New Roman"/>
          <w:b/>
          <w:bCs/>
          <w:sz w:val="24"/>
          <w:szCs w:val="24"/>
          <w:lang w:val="en-US"/>
        </w:rPr>
        <w:t xml:space="preserve">Computational Simulations for Therapeutic </w:t>
      </w:r>
      <w:proofErr w:type="spellStart"/>
      <w:r w:rsidR="006C2022">
        <w:rPr>
          <w:rFonts w:ascii="Times New Roman" w:hAnsi="Times New Roman" w:cs="Times New Roman"/>
          <w:b/>
          <w:bCs/>
          <w:sz w:val="24"/>
          <w:szCs w:val="24"/>
          <w:lang w:val="en-US"/>
        </w:rPr>
        <w:t>Trageting</w:t>
      </w:r>
      <w:proofErr w:type="spellEnd"/>
    </w:p>
    <w:p w:rsidR="00F77439" w:rsidRPr="002E7761" w:rsidRDefault="00F77439" w:rsidP="006D3376">
      <w:pPr>
        <w:spacing w:line="360" w:lineRule="auto"/>
        <w:jc w:val="both"/>
        <w:rPr>
          <w:rFonts w:ascii="Times New Roman" w:hAnsi="Times New Roman" w:cs="Times New Roman"/>
          <w:bCs/>
          <w:sz w:val="24"/>
          <w:szCs w:val="24"/>
          <w:lang w:val="en-US"/>
        </w:rPr>
      </w:pPr>
      <w:r w:rsidRPr="002E7761">
        <w:rPr>
          <w:rFonts w:ascii="Times New Roman" w:hAnsi="Times New Roman" w:cs="Times New Roman"/>
          <w:bCs/>
          <w:sz w:val="24"/>
          <w:szCs w:val="24"/>
          <w:lang w:val="en-US"/>
        </w:rPr>
        <w:lastRenderedPageBreak/>
        <w:t xml:space="preserve">Computational techniques </w:t>
      </w:r>
      <w:r w:rsidR="006205B3">
        <w:rPr>
          <w:rFonts w:ascii="Times New Roman" w:hAnsi="Times New Roman" w:cs="Times New Roman"/>
          <w:bCs/>
          <w:sz w:val="24"/>
          <w:szCs w:val="24"/>
          <w:lang w:val="en-US"/>
        </w:rPr>
        <w:t>were used to simulate and predict the interactions between the AR, SPOP,</w:t>
      </w:r>
      <w:r w:rsidRPr="002E7761">
        <w:rPr>
          <w:rFonts w:ascii="Times New Roman" w:hAnsi="Times New Roman" w:cs="Times New Roman"/>
          <w:bCs/>
          <w:sz w:val="24"/>
          <w:szCs w:val="24"/>
          <w:lang w:val="en-US"/>
        </w:rPr>
        <w:t xml:space="preserve"> and SRC-3 against selected pure compounds for </w:t>
      </w:r>
      <w:r w:rsidR="006205B3">
        <w:rPr>
          <w:rFonts w:ascii="Times New Roman" w:hAnsi="Times New Roman" w:cs="Times New Roman"/>
          <w:bCs/>
          <w:sz w:val="24"/>
          <w:szCs w:val="24"/>
          <w:lang w:val="en-US"/>
        </w:rPr>
        <w:t xml:space="preserve">the </w:t>
      </w:r>
      <w:r w:rsidRPr="002E7761">
        <w:rPr>
          <w:rFonts w:ascii="Times New Roman" w:hAnsi="Times New Roman" w:cs="Times New Roman"/>
          <w:bCs/>
          <w:sz w:val="24"/>
          <w:szCs w:val="24"/>
          <w:lang w:val="en-US"/>
        </w:rPr>
        <w:t>identification of potential drug targets.</w:t>
      </w:r>
    </w:p>
    <w:p w:rsidR="00F77439" w:rsidRPr="002E7761" w:rsidRDefault="00D84CF6" w:rsidP="006D3376">
      <w:pPr>
        <w:spacing w:before="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3.3.1 </w:t>
      </w:r>
      <w:r w:rsidR="00F77439" w:rsidRPr="002E7761">
        <w:rPr>
          <w:rFonts w:ascii="Times New Roman" w:eastAsia="Times New Roman" w:hAnsi="Times New Roman" w:cs="Times New Roman"/>
          <w:b/>
          <w:bCs/>
          <w:sz w:val="24"/>
          <w:szCs w:val="24"/>
        </w:rPr>
        <w:t>Ligand selection and preparation</w:t>
      </w:r>
    </w:p>
    <w:p w:rsidR="00F77439" w:rsidRPr="002E7761" w:rsidRDefault="00F77439" w:rsidP="006D3376">
      <w:pPr>
        <w:spacing w:line="360" w:lineRule="auto"/>
        <w:jc w:val="both"/>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 xml:space="preserve">The procedures in this research closely followed those previously outlined </w:t>
      </w:r>
      <w:r w:rsidRPr="002E7761">
        <w:rPr>
          <w:rFonts w:ascii="Times New Roman" w:eastAsia="Times New Roman" w:hAnsi="Times New Roman" w:cs="Times New Roman"/>
          <w:sz w:val="24"/>
          <w:szCs w:val="24"/>
        </w:rPr>
        <w:fldChar w:fldCharType="begin"/>
      </w:r>
      <w:r w:rsidR="0082093D">
        <w:rPr>
          <w:rFonts w:ascii="Times New Roman" w:eastAsia="Times New Roman" w:hAnsi="Times New Roman" w:cs="Times New Roman"/>
          <w:sz w:val="24"/>
          <w:szCs w:val="24"/>
        </w:rPr>
        <w:instrText xml:space="preserve"> ADDIN ZOTERO_ITEM CSL_CITATION {"citationID":"wo3LlFbH","properties":{"formattedCitation":"(Iheagwam et al., 2019; Gbore, Zakari &amp; Yusuf, 2023)","plainCitation":"(Iheagwam et al., 2019; Gbore, Zakari &amp; Yusuf, 2023)","noteIndex":0},"citationItems":[{"id":510,"uris":["http://zotero.org/users/11300200/items/Z7DYCJUW"],"itemData":{"id":510,"type":"article-journal","abstract":"Tyrosine kinase (TK), vascular endothelial growth factor (VEGF), and matrix metalloproteinases (MMP) are important cancer therapeutic target proteins. Based on reported anti-cancer and cytotoxic activities of Caesalpinia bonduc, this study isolated phytochemicals from young twigs and leaves of C bonduc and identified the interaction between them and cancer target proteins (TK, VEGF, and MMP) in silico. AutoDock Vina, iGEMDOCK, and analysis of pharmacokinetic and pharmacodynamic properties of the isolated bioactives as therapeutic molecules were performed. Seven phytochemicals (7-hydroxy-4′-methoxy-3,11-dehydrohomoisoflavanone, 4,4′-dihydroxy-2’-methoxy-chalcone, 7,4′-dihydroxy-3,11-dehydrohomoisoflavanone, luteolin, quercetin-3-methyl, kaempferol-3-O-β-d-xylopyranoside and kaempferol-3-O-α-l-rhamnopyranosyl-(1 → 2)-β-D-xylopyranoside) were isolated. Molecular docking analysis showed that the phytochemicals displayed strong interactions with the proteins compared with their respective drug inhibitors. Pharmacokinetic and pharmacodynamic properties of the compounds were promising suggesting that they can be developed as putative lead compounds for developing new anti-cancer drugs.","container-title":"Bioinformatics and Biology Insights","DOI":"10.1177/1177932218821371","ISSN":"1177-9322, 1177-9322","journalAbbreviation":"Bioinform Biol Insights","language":"en","page":"117793221882137","source":"DOI.org (Crossref)","title":"Potential Anti-Cancer Flavonoids Isolated From &lt;i&gt;Caesalpinia bonduc&lt;/i&gt; Young Twigs and Leaves: Molecular Docking and In Silico Studies","title-short":"Potential Anti-Cancer Flavonoids Isolated From &lt;i&gt;Caesalpinia bonduc&lt;/i&gt; Young Twigs and Leaves","volume":"13","author":[{"family":"Iheagwam","given":"Franklyn Nonso"},{"family":"Ogunlana","given":"Olubanke Olujoke"},{"family":"Ogunlana","given":"Oluseyi Ebenezer"},{"family":"Isewon","given":"Itunuoluwa"},{"family":"Oyelade","given":"Jelili"}],"issued":{"date-parts":[["2019",1]]}},"label":"page"},{"id":437,"uris":["http://zotero.org/users/11300200/items/529VHDU8"],"itemData":{"id":437,"type":"article-journal","container-title":"Informatics in Medicine Unlocked","DOI":"10.1016/j.imu.2023.101214","ISSN":"23529148","journalAbbreviation":"Informatics in Medicine Unlocked","language":"en","page":"101214","source":"DOI.org (Crossref)","title":"In silico studies of bioactive compounds from Alpinia officinarum as inhibitors of Zika virus protease","volume":"38","author":[{"family":"Gbore","given":"Damilola J."},{"family":"Zakari","given":"Suleiman"},{"family":"Yusuf","given":"Lukman"}],"issued":{"date-parts":[["2023"]]}}}],"schema":"https://github.com/citation-style-language/schema/raw/master/csl-citation.json"} </w:instrText>
      </w:r>
      <w:r w:rsidRPr="002E7761">
        <w:rPr>
          <w:rFonts w:ascii="Times New Roman" w:eastAsia="Times New Roman" w:hAnsi="Times New Roman" w:cs="Times New Roman"/>
          <w:sz w:val="24"/>
          <w:szCs w:val="24"/>
        </w:rPr>
        <w:fldChar w:fldCharType="separate"/>
      </w:r>
      <w:r w:rsidR="00A316B3" w:rsidRPr="00A316B3">
        <w:rPr>
          <w:rFonts w:ascii="Times New Roman" w:hAnsi="Times New Roman" w:cs="Times New Roman"/>
          <w:sz w:val="24"/>
        </w:rPr>
        <w:t>(Iheagwam et al., 2019; Gbore, Zakari &amp; Yusuf, 2023)</w:t>
      </w:r>
      <w:r w:rsidRPr="002E7761">
        <w:rPr>
          <w:rFonts w:ascii="Times New Roman" w:eastAsia="Times New Roman" w:hAnsi="Times New Roman" w:cs="Times New Roman"/>
          <w:sz w:val="24"/>
          <w:szCs w:val="24"/>
        </w:rPr>
        <w:fldChar w:fldCharType="end"/>
      </w:r>
      <w:r w:rsidRPr="002E7761">
        <w:rPr>
          <w:rFonts w:ascii="Times New Roman" w:eastAsia="Times New Roman" w:hAnsi="Times New Roman" w:cs="Times New Roman"/>
          <w:sz w:val="24"/>
          <w:szCs w:val="24"/>
        </w:rPr>
        <w:t xml:space="preserve">. The bioactive substances from </w:t>
      </w:r>
      <w:r w:rsidRPr="002E7761">
        <w:rPr>
          <w:rFonts w:ascii="Times New Roman" w:eastAsia="Times New Roman" w:hAnsi="Times New Roman" w:cs="Times New Roman"/>
          <w:i/>
          <w:sz w:val="24"/>
          <w:szCs w:val="24"/>
        </w:rPr>
        <w:t xml:space="preserve">C. </w:t>
      </w:r>
      <w:proofErr w:type="spellStart"/>
      <w:r w:rsidRPr="002E7761">
        <w:rPr>
          <w:rFonts w:ascii="Times New Roman" w:eastAsia="Times New Roman" w:hAnsi="Times New Roman" w:cs="Times New Roman"/>
          <w:i/>
          <w:sz w:val="24"/>
          <w:szCs w:val="24"/>
        </w:rPr>
        <w:t>bonduc</w:t>
      </w:r>
      <w:proofErr w:type="spellEnd"/>
      <w:r w:rsidRPr="002E7761">
        <w:rPr>
          <w:rFonts w:ascii="Times New Roman" w:eastAsia="Times New Roman" w:hAnsi="Times New Roman" w:cs="Times New Roman"/>
          <w:sz w:val="24"/>
          <w:szCs w:val="24"/>
        </w:rPr>
        <w:t xml:space="preserve"> with potential anti-cancer properties were sourced from </w:t>
      </w:r>
      <w:proofErr w:type="spellStart"/>
      <w:r w:rsidRPr="002E7761">
        <w:rPr>
          <w:rFonts w:ascii="Times New Roman" w:eastAsia="Times New Roman" w:hAnsi="Times New Roman" w:cs="Times New Roman"/>
          <w:sz w:val="24"/>
          <w:szCs w:val="24"/>
        </w:rPr>
        <w:t>Ogunlana's</w:t>
      </w:r>
      <w:proofErr w:type="spellEnd"/>
      <w:r w:rsidRPr="002E7761">
        <w:rPr>
          <w:rFonts w:ascii="Times New Roman" w:eastAsia="Times New Roman" w:hAnsi="Times New Roman" w:cs="Times New Roman"/>
          <w:sz w:val="24"/>
          <w:szCs w:val="24"/>
        </w:rPr>
        <w:t xml:space="preserve"> work in 2012 </w:t>
      </w:r>
      <w:r w:rsidRPr="002E7761">
        <w:rPr>
          <w:rFonts w:ascii="Times New Roman" w:eastAsia="Times New Roman" w:hAnsi="Times New Roman" w:cs="Times New Roman"/>
          <w:sz w:val="24"/>
          <w:szCs w:val="24"/>
        </w:rPr>
        <w:fldChar w:fldCharType="begin"/>
      </w:r>
      <w:r w:rsidRPr="002E7761">
        <w:rPr>
          <w:rFonts w:ascii="Times New Roman" w:eastAsia="Times New Roman" w:hAnsi="Times New Roman" w:cs="Times New Roman"/>
          <w:sz w:val="24"/>
          <w:szCs w:val="24"/>
        </w:rPr>
        <w:instrText xml:space="preserve"> ADDIN ZOTERO_ITEM CSL_CITATION {"citationID":"2eYRnh7M","properties":{"formattedCitation":"(Ogunlana, 2012)","plainCitation":"(Ogunlana, 2012)","noteIndex":0},"citationItems":[{"id":673,"uris":["http://zotero.org/users/11300200/items/SY94WX7W"],"itemData":{"id":673,"type":"thesis","event-place":"Ota, Nigeria","language":"en","publisher":"Covenanat University","publisher-place":"Ota, Nigeria","source":"Zotero","title":"PHYTOCHEMICAL, BIOLOGICAL AND TOXICOLOGICAL STUDIES OF THE EXTRACTS OF YOUNG TWIGS AND LEAVES OF GRAY NICKER NUT","URL":"http://eprints.covenantuniversity.edu.ng/1156/1/CUGP070176-Olubanke%20Olujoke%20Ogunlana.pdf","author":[{"family":"Ogunlana","given":"Olubanke Olujoke"}],"issued":{"date-parts":[["2012"]]}}}],"schema":"https://github.com/citation-style-language/schema/raw/master/csl-citation.json"} </w:instrText>
      </w:r>
      <w:r w:rsidRPr="002E7761">
        <w:rPr>
          <w:rFonts w:ascii="Times New Roman" w:eastAsia="Times New Roman" w:hAnsi="Times New Roman" w:cs="Times New Roman"/>
          <w:sz w:val="24"/>
          <w:szCs w:val="24"/>
        </w:rPr>
        <w:fldChar w:fldCharType="separate"/>
      </w:r>
      <w:r w:rsidR="00A316B3" w:rsidRPr="00A316B3">
        <w:rPr>
          <w:rFonts w:ascii="Times New Roman" w:hAnsi="Times New Roman" w:cs="Times New Roman"/>
          <w:sz w:val="24"/>
        </w:rPr>
        <w:t>(Ogunlana, 2012)</w:t>
      </w:r>
      <w:r w:rsidRPr="002E7761">
        <w:rPr>
          <w:rFonts w:ascii="Times New Roman" w:eastAsia="Times New Roman" w:hAnsi="Times New Roman" w:cs="Times New Roman"/>
          <w:sz w:val="24"/>
          <w:szCs w:val="24"/>
        </w:rPr>
        <w:fldChar w:fldCharType="end"/>
      </w:r>
      <w:r w:rsidRPr="002E7761">
        <w:rPr>
          <w:rFonts w:ascii="Times New Roman" w:eastAsia="Times New Roman" w:hAnsi="Times New Roman" w:cs="Times New Roman"/>
          <w:sz w:val="24"/>
          <w:szCs w:val="24"/>
        </w:rPr>
        <w:t>. The 2D structures of these compounds; 4,4-dihydroxy-2-methoxy-chalcone (2-methoxyisoliquiritigenin), 7,4-dihydroxy-3,11-dehydrohomoisoflavanone, 5,7,3-tetrahydroxy-flavone (</w:t>
      </w:r>
      <w:proofErr w:type="spellStart"/>
      <w:r w:rsidRPr="002E7761">
        <w:rPr>
          <w:rFonts w:ascii="Times New Roman" w:eastAsia="Times New Roman" w:hAnsi="Times New Roman" w:cs="Times New Roman"/>
          <w:sz w:val="24"/>
          <w:szCs w:val="24"/>
        </w:rPr>
        <w:t>Luteolin</w:t>
      </w:r>
      <w:proofErr w:type="spellEnd"/>
      <w:r w:rsidRPr="002E7761">
        <w:rPr>
          <w:rFonts w:ascii="Times New Roman" w:eastAsia="Times New Roman" w:hAnsi="Times New Roman" w:cs="Times New Roman"/>
          <w:sz w:val="24"/>
          <w:szCs w:val="24"/>
        </w:rPr>
        <w:t xml:space="preserve">), and 7,3,4-tetrahydroxy-3-methoxyflavone (quercetin-3-methyl ether) were sketched with </w:t>
      </w:r>
      <w:proofErr w:type="spellStart"/>
      <w:r w:rsidRPr="002E7761">
        <w:rPr>
          <w:rFonts w:ascii="Times New Roman" w:eastAsia="Times New Roman" w:hAnsi="Times New Roman" w:cs="Times New Roman"/>
          <w:sz w:val="24"/>
          <w:szCs w:val="24"/>
        </w:rPr>
        <w:t>MarvinSketch</w:t>
      </w:r>
      <w:proofErr w:type="spellEnd"/>
      <w:r w:rsidRPr="002E7761">
        <w:rPr>
          <w:rFonts w:ascii="Times New Roman" w:eastAsia="Times New Roman" w:hAnsi="Times New Roman" w:cs="Times New Roman"/>
          <w:sz w:val="24"/>
          <w:szCs w:val="24"/>
        </w:rPr>
        <w:t xml:space="preserve"> 22.13 and Schrodinger Maestro 11.5 2D sketcher, while those of the standard drugs </w:t>
      </w:r>
      <w:proofErr w:type="spellStart"/>
      <w:r w:rsidRPr="002E7761">
        <w:rPr>
          <w:rFonts w:ascii="Times New Roman" w:eastAsia="Times New Roman" w:hAnsi="Times New Roman" w:cs="Times New Roman"/>
          <w:sz w:val="24"/>
          <w:szCs w:val="24"/>
        </w:rPr>
        <w:t>Enzalutamide</w:t>
      </w:r>
      <w:proofErr w:type="spellEnd"/>
      <w:r w:rsidRPr="002E7761">
        <w:rPr>
          <w:rFonts w:ascii="Times New Roman" w:eastAsia="Times New Roman" w:hAnsi="Times New Roman" w:cs="Times New Roman"/>
          <w:sz w:val="24"/>
          <w:szCs w:val="24"/>
        </w:rPr>
        <w:t xml:space="preserve"> and </w:t>
      </w:r>
      <w:proofErr w:type="spellStart"/>
      <w:r w:rsidRPr="002E7761">
        <w:rPr>
          <w:rFonts w:ascii="Times New Roman" w:eastAsia="Times New Roman" w:hAnsi="Times New Roman" w:cs="Times New Roman"/>
          <w:sz w:val="24"/>
          <w:szCs w:val="24"/>
        </w:rPr>
        <w:t>Apalutamide</w:t>
      </w:r>
      <w:proofErr w:type="spellEnd"/>
      <w:r w:rsidRPr="002E7761">
        <w:rPr>
          <w:rFonts w:ascii="Times New Roman" w:eastAsia="Times New Roman" w:hAnsi="Times New Roman" w:cs="Times New Roman"/>
          <w:sz w:val="24"/>
          <w:szCs w:val="24"/>
        </w:rPr>
        <w:t xml:space="preserve"> were obtained from the </w:t>
      </w:r>
      <w:proofErr w:type="spellStart"/>
      <w:r w:rsidRPr="002E7761">
        <w:rPr>
          <w:rFonts w:ascii="Times New Roman" w:eastAsia="Times New Roman" w:hAnsi="Times New Roman" w:cs="Times New Roman"/>
          <w:sz w:val="24"/>
          <w:szCs w:val="24"/>
        </w:rPr>
        <w:t>PubChem</w:t>
      </w:r>
      <w:proofErr w:type="spellEnd"/>
      <w:r w:rsidRPr="002E7761">
        <w:rPr>
          <w:rFonts w:ascii="Times New Roman" w:eastAsia="Times New Roman" w:hAnsi="Times New Roman" w:cs="Times New Roman"/>
          <w:sz w:val="24"/>
          <w:szCs w:val="24"/>
        </w:rPr>
        <w:t xml:space="preserve"> database (</w:t>
      </w:r>
      <w:hyperlink r:id="rId15" w:history="1">
        <w:r w:rsidRPr="002E7761">
          <w:rPr>
            <w:rStyle w:val="Hyperlink"/>
            <w:rFonts w:ascii="Times New Roman" w:eastAsia="Times New Roman" w:hAnsi="Times New Roman" w:cs="Times New Roman"/>
            <w:sz w:val="24"/>
            <w:szCs w:val="24"/>
          </w:rPr>
          <w:t>https://pubchem.ncbi.nlm.nih.gov/</w:t>
        </w:r>
      </w:hyperlink>
      <w:r w:rsidRPr="002E7761">
        <w:rPr>
          <w:rFonts w:ascii="Times New Roman" w:eastAsia="Times New Roman" w:hAnsi="Times New Roman" w:cs="Times New Roman"/>
          <w:sz w:val="24"/>
          <w:szCs w:val="24"/>
        </w:rPr>
        <w:t xml:space="preserve">). The ligands were prepared using the </w:t>
      </w:r>
      <w:proofErr w:type="spellStart"/>
      <w:r w:rsidRPr="002E7761">
        <w:rPr>
          <w:rFonts w:ascii="Times New Roman" w:eastAsia="Times New Roman" w:hAnsi="Times New Roman" w:cs="Times New Roman"/>
          <w:sz w:val="24"/>
          <w:szCs w:val="24"/>
        </w:rPr>
        <w:t>Ligprep</w:t>
      </w:r>
      <w:proofErr w:type="spellEnd"/>
      <w:r w:rsidRPr="002E7761">
        <w:rPr>
          <w:rFonts w:ascii="Times New Roman" w:eastAsia="Times New Roman" w:hAnsi="Times New Roman" w:cs="Times New Roman"/>
          <w:sz w:val="24"/>
          <w:szCs w:val="24"/>
        </w:rPr>
        <w:t xml:space="preserve"> module of Maestro 11.5, which utilized the OPSL3 </w:t>
      </w:r>
      <w:proofErr w:type="spellStart"/>
      <w:r w:rsidRPr="002E7761">
        <w:rPr>
          <w:rFonts w:ascii="Times New Roman" w:eastAsia="Times New Roman" w:hAnsi="Times New Roman" w:cs="Times New Roman"/>
          <w:sz w:val="24"/>
          <w:szCs w:val="24"/>
        </w:rPr>
        <w:t>forcefield</w:t>
      </w:r>
      <w:proofErr w:type="spellEnd"/>
      <w:r w:rsidRPr="002E7761">
        <w:rPr>
          <w:rFonts w:ascii="Times New Roman" w:eastAsia="Times New Roman" w:hAnsi="Times New Roman" w:cs="Times New Roman"/>
          <w:sz w:val="24"/>
          <w:szCs w:val="24"/>
        </w:rPr>
        <w:t xml:space="preserve"> and generated various ionization states for each compound at a physiological pH of 7.2 ± 0.2.</w:t>
      </w:r>
    </w:p>
    <w:p w:rsidR="00F77439" w:rsidRPr="002E7761" w:rsidRDefault="00D84CF6" w:rsidP="006D3376">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3.3.2 </w:t>
      </w:r>
      <w:r w:rsidR="00F77439" w:rsidRPr="002E7761">
        <w:rPr>
          <w:rFonts w:ascii="Times New Roman" w:eastAsia="Times New Roman" w:hAnsi="Times New Roman" w:cs="Times New Roman"/>
          <w:b/>
          <w:sz w:val="24"/>
          <w:szCs w:val="24"/>
        </w:rPr>
        <w:t>Protein Preparation</w:t>
      </w:r>
    </w:p>
    <w:p w:rsidR="00F77439" w:rsidRPr="002E7761" w:rsidRDefault="00F77439" w:rsidP="006D3376">
      <w:pPr>
        <w:spacing w:line="360" w:lineRule="auto"/>
        <w:jc w:val="both"/>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 xml:space="preserve">The 3D crystal structures of human mutant SPOP and AR-V7 were modelled with the </w:t>
      </w:r>
      <w:proofErr w:type="spellStart"/>
      <w:r w:rsidRPr="002E7761">
        <w:rPr>
          <w:rFonts w:ascii="Times New Roman" w:eastAsia="Times New Roman" w:hAnsi="Times New Roman" w:cs="Times New Roman"/>
          <w:sz w:val="24"/>
          <w:szCs w:val="24"/>
        </w:rPr>
        <w:t>Robetta</w:t>
      </w:r>
      <w:proofErr w:type="spellEnd"/>
      <w:r w:rsidRPr="002E7761">
        <w:rPr>
          <w:rFonts w:ascii="Times New Roman" w:eastAsia="Times New Roman" w:hAnsi="Times New Roman" w:cs="Times New Roman"/>
          <w:sz w:val="24"/>
          <w:szCs w:val="24"/>
        </w:rPr>
        <w:t xml:space="preserve"> Server using their sequence retrieved from </w:t>
      </w:r>
      <w:proofErr w:type="spellStart"/>
      <w:r w:rsidRPr="002E7761">
        <w:rPr>
          <w:rFonts w:ascii="Times New Roman" w:eastAsia="Times New Roman" w:hAnsi="Times New Roman" w:cs="Times New Roman"/>
          <w:sz w:val="24"/>
          <w:szCs w:val="24"/>
        </w:rPr>
        <w:t>Uniprot</w:t>
      </w:r>
      <w:proofErr w:type="spellEnd"/>
      <w:r w:rsidRPr="002E7761">
        <w:rPr>
          <w:rFonts w:ascii="Times New Roman" w:eastAsia="Times New Roman" w:hAnsi="Times New Roman" w:cs="Times New Roman"/>
          <w:sz w:val="24"/>
          <w:szCs w:val="24"/>
        </w:rPr>
        <w:t xml:space="preserve"> with IDs O43791 and P10275-3 respectively. The predicted structures were validated and assessed using </w:t>
      </w:r>
      <w:proofErr w:type="spellStart"/>
      <w:r w:rsidRPr="002E7761">
        <w:rPr>
          <w:rFonts w:ascii="Times New Roman" w:eastAsia="Times New Roman" w:hAnsi="Times New Roman" w:cs="Times New Roman"/>
          <w:sz w:val="24"/>
          <w:szCs w:val="24"/>
        </w:rPr>
        <w:t>Molprobity</w:t>
      </w:r>
      <w:proofErr w:type="spellEnd"/>
      <w:r w:rsidRPr="002E7761">
        <w:rPr>
          <w:rFonts w:ascii="Times New Roman" w:eastAsia="Times New Roman" w:hAnsi="Times New Roman" w:cs="Times New Roman"/>
          <w:sz w:val="24"/>
          <w:szCs w:val="24"/>
        </w:rPr>
        <w:t xml:space="preserve"> and </w:t>
      </w:r>
      <w:proofErr w:type="spellStart"/>
      <w:r w:rsidRPr="002E7761">
        <w:rPr>
          <w:rFonts w:ascii="Times New Roman" w:eastAsia="Times New Roman" w:hAnsi="Times New Roman" w:cs="Times New Roman"/>
          <w:sz w:val="24"/>
          <w:szCs w:val="24"/>
        </w:rPr>
        <w:t>SavesServer</w:t>
      </w:r>
      <w:proofErr w:type="spellEnd"/>
      <w:r w:rsidRPr="002E7761">
        <w:rPr>
          <w:rFonts w:ascii="Times New Roman" w:eastAsia="Times New Roman" w:hAnsi="Times New Roman" w:cs="Times New Roman"/>
          <w:sz w:val="24"/>
          <w:szCs w:val="24"/>
        </w:rPr>
        <w:t>. Model 1 and Model 3 of the predicted 3D structures of SPOP and AR-V7 were selected based on this assessment and used for further analysis.</w:t>
      </w:r>
    </w:p>
    <w:p w:rsidR="00F77439" w:rsidRPr="002E7761" w:rsidRDefault="00D84CF6" w:rsidP="006D3376">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3.3.3 </w:t>
      </w:r>
      <w:r w:rsidR="00F77439" w:rsidRPr="002E7761">
        <w:rPr>
          <w:rFonts w:ascii="Times New Roman" w:eastAsia="Times New Roman" w:hAnsi="Times New Roman" w:cs="Times New Roman"/>
          <w:b/>
          <w:sz w:val="24"/>
          <w:szCs w:val="24"/>
        </w:rPr>
        <w:t>Virtual screening and molecular docking</w:t>
      </w:r>
    </w:p>
    <w:p w:rsidR="00F77439" w:rsidRPr="002E7761" w:rsidRDefault="00F77439" w:rsidP="006D3376">
      <w:pPr>
        <w:spacing w:before="240" w:line="360" w:lineRule="auto"/>
        <w:jc w:val="both"/>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 xml:space="preserve">We used </w:t>
      </w:r>
      <w:proofErr w:type="spellStart"/>
      <w:r w:rsidRPr="002E7761">
        <w:rPr>
          <w:rFonts w:ascii="Times New Roman" w:eastAsia="Times New Roman" w:hAnsi="Times New Roman" w:cs="Times New Roman"/>
          <w:sz w:val="24"/>
          <w:szCs w:val="24"/>
        </w:rPr>
        <w:t>PyRx</w:t>
      </w:r>
      <w:proofErr w:type="spellEnd"/>
      <w:r w:rsidRPr="002E7761">
        <w:rPr>
          <w:rFonts w:ascii="Times New Roman" w:eastAsia="Times New Roman" w:hAnsi="Times New Roman" w:cs="Times New Roman"/>
          <w:sz w:val="24"/>
          <w:szCs w:val="24"/>
        </w:rPr>
        <w:t xml:space="preserve"> software to conduct virtual screening and molecular docking of 16 compounds with mutant SPOP and AR-V7. The potential active binding sites of the proteins with the most </w:t>
      </w:r>
      <w:proofErr w:type="spellStart"/>
      <w:r w:rsidRPr="002E7761">
        <w:rPr>
          <w:rFonts w:ascii="Times New Roman" w:eastAsia="Times New Roman" w:hAnsi="Times New Roman" w:cs="Times New Roman"/>
          <w:sz w:val="24"/>
          <w:szCs w:val="24"/>
        </w:rPr>
        <w:t>favorable</w:t>
      </w:r>
      <w:proofErr w:type="spellEnd"/>
      <w:r w:rsidRPr="002E7761">
        <w:rPr>
          <w:rFonts w:ascii="Times New Roman" w:eastAsia="Times New Roman" w:hAnsi="Times New Roman" w:cs="Times New Roman"/>
          <w:sz w:val="24"/>
          <w:szCs w:val="24"/>
        </w:rPr>
        <w:t xml:space="preserve"> volume, surface area, and </w:t>
      </w:r>
      <w:proofErr w:type="spellStart"/>
      <w:r w:rsidRPr="002E7761">
        <w:rPr>
          <w:rFonts w:ascii="Times New Roman" w:eastAsia="Times New Roman" w:hAnsi="Times New Roman" w:cs="Times New Roman"/>
          <w:sz w:val="24"/>
          <w:szCs w:val="24"/>
        </w:rPr>
        <w:t>druggability</w:t>
      </w:r>
      <w:proofErr w:type="spellEnd"/>
      <w:r w:rsidRPr="002E7761">
        <w:rPr>
          <w:rFonts w:ascii="Times New Roman" w:eastAsia="Times New Roman" w:hAnsi="Times New Roman" w:cs="Times New Roman"/>
          <w:sz w:val="24"/>
          <w:szCs w:val="24"/>
        </w:rPr>
        <w:t xml:space="preserve"> score were chosen for this investigation after we performed a blind docking. Four compounds showed the highest dock scores: 4,4-dihydroxy-2-methoxy-chalcone (2-methoxyisoliquiritigenin), 7,4-dihydroxy-3,11-dehydrohomoisoflavanone, 5,7,3-tetrahydroxy-flavone (</w:t>
      </w:r>
      <w:proofErr w:type="spellStart"/>
      <w:r w:rsidRPr="002E7761">
        <w:rPr>
          <w:rFonts w:ascii="Times New Roman" w:eastAsia="Times New Roman" w:hAnsi="Times New Roman" w:cs="Times New Roman"/>
          <w:sz w:val="24"/>
          <w:szCs w:val="24"/>
        </w:rPr>
        <w:t>Luteolin</w:t>
      </w:r>
      <w:proofErr w:type="spellEnd"/>
      <w:r w:rsidRPr="002E7761">
        <w:rPr>
          <w:rFonts w:ascii="Times New Roman" w:eastAsia="Times New Roman" w:hAnsi="Times New Roman" w:cs="Times New Roman"/>
          <w:sz w:val="24"/>
          <w:szCs w:val="24"/>
        </w:rPr>
        <w:t xml:space="preserve">), and 7,3,4-tetrahydroxy-3-methoxyflavone (quercetin-3-methyl ether). The best-docked poses with the highest binding energies were chosen for further analysis. Additionally, blind virtual screening was performed </w:t>
      </w:r>
      <w:r w:rsidRPr="002E7761">
        <w:rPr>
          <w:rFonts w:ascii="Times New Roman" w:eastAsia="Times New Roman" w:hAnsi="Times New Roman" w:cs="Times New Roman"/>
          <w:sz w:val="24"/>
          <w:szCs w:val="24"/>
        </w:rPr>
        <w:lastRenderedPageBreak/>
        <w:t xml:space="preserve">to identify potential compounds with higher binding affinity than </w:t>
      </w:r>
      <w:proofErr w:type="spellStart"/>
      <w:r w:rsidRPr="002E7761">
        <w:rPr>
          <w:rFonts w:ascii="Times New Roman" w:eastAsia="Times New Roman" w:hAnsi="Times New Roman" w:cs="Times New Roman"/>
          <w:sz w:val="24"/>
          <w:szCs w:val="24"/>
        </w:rPr>
        <w:t>enzalutamide</w:t>
      </w:r>
      <w:proofErr w:type="spellEnd"/>
      <w:r w:rsidRPr="002E7761">
        <w:rPr>
          <w:rFonts w:ascii="Times New Roman" w:eastAsia="Times New Roman" w:hAnsi="Times New Roman" w:cs="Times New Roman"/>
          <w:sz w:val="24"/>
          <w:szCs w:val="24"/>
        </w:rPr>
        <w:t xml:space="preserve"> and </w:t>
      </w:r>
      <w:proofErr w:type="spellStart"/>
      <w:r w:rsidRPr="002E7761">
        <w:rPr>
          <w:rFonts w:ascii="Times New Roman" w:eastAsia="Times New Roman" w:hAnsi="Times New Roman" w:cs="Times New Roman"/>
          <w:sz w:val="24"/>
          <w:szCs w:val="24"/>
        </w:rPr>
        <w:t>apalutamide</w:t>
      </w:r>
      <w:proofErr w:type="spellEnd"/>
      <w:r w:rsidRPr="002E7761">
        <w:rPr>
          <w:rFonts w:ascii="Times New Roman" w:eastAsia="Times New Roman" w:hAnsi="Times New Roman" w:cs="Times New Roman"/>
          <w:sz w:val="24"/>
          <w:szCs w:val="24"/>
        </w:rPr>
        <w:t xml:space="preserve">, standard drugs for these targets. The resulting conformations were visualized using Discovery Studio Visualizer and </w:t>
      </w:r>
      <w:proofErr w:type="spellStart"/>
      <w:r w:rsidRPr="002E7761">
        <w:rPr>
          <w:rFonts w:ascii="Times New Roman" w:eastAsia="Times New Roman" w:hAnsi="Times New Roman" w:cs="Times New Roman"/>
          <w:sz w:val="24"/>
          <w:szCs w:val="24"/>
        </w:rPr>
        <w:t>PyMol</w:t>
      </w:r>
      <w:proofErr w:type="spellEnd"/>
      <w:r w:rsidRPr="002E7761">
        <w:rPr>
          <w:rFonts w:ascii="Times New Roman" w:eastAsia="Times New Roman" w:hAnsi="Times New Roman" w:cs="Times New Roman"/>
          <w:sz w:val="24"/>
          <w:szCs w:val="24"/>
        </w:rPr>
        <w:t>.</w:t>
      </w:r>
    </w:p>
    <w:p w:rsidR="00F77439" w:rsidRPr="002E7761" w:rsidRDefault="00D84CF6" w:rsidP="006D3376">
      <w:pPr>
        <w:spacing w:before="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3.3.4 </w:t>
      </w:r>
      <w:r w:rsidR="00F77439" w:rsidRPr="002E7761">
        <w:rPr>
          <w:rFonts w:ascii="Times New Roman" w:eastAsia="Times New Roman" w:hAnsi="Times New Roman" w:cs="Times New Roman"/>
          <w:b/>
          <w:bCs/>
          <w:sz w:val="24"/>
          <w:szCs w:val="24"/>
        </w:rPr>
        <w:t>Absorption Distribution Metabolism Excretion and Toxicity/Pharmacokinetics Prediction (ADMET) Analysis</w:t>
      </w:r>
    </w:p>
    <w:p w:rsidR="00F77439" w:rsidRPr="001F0818" w:rsidRDefault="00F77439" w:rsidP="001F0818">
      <w:pPr>
        <w:spacing w:before="240" w:line="360" w:lineRule="auto"/>
        <w:jc w:val="both"/>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 xml:space="preserve">The compounds' absorption, distribution, metabolism, excretion, and toxicity (ADMET) were </w:t>
      </w:r>
      <w:proofErr w:type="spellStart"/>
      <w:r w:rsidRPr="002E7761">
        <w:rPr>
          <w:rFonts w:ascii="Times New Roman" w:eastAsia="Times New Roman" w:hAnsi="Times New Roman" w:cs="Times New Roman"/>
          <w:sz w:val="24"/>
          <w:szCs w:val="24"/>
        </w:rPr>
        <w:t>analyzed</w:t>
      </w:r>
      <w:proofErr w:type="spellEnd"/>
      <w:r w:rsidRPr="002E7761">
        <w:rPr>
          <w:rFonts w:ascii="Times New Roman" w:eastAsia="Times New Roman" w:hAnsi="Times New Roman" w:cs="Times New Roman"/>
          <w:sz w:val="24"/>
          <w:szCs w:val="24"/>
        </w:rPr>
        <w:t xml:space="preserve"> using the web servers </w:t>
      </w:r>
      <w:proofErr w:type="spellStart"/>
      <w:r w:rsidRPr="002E7761">
        <w:rPr>
          <w:rFonts w:ascii="Times New Roman" w:eastAsia="Times New Roman" w:hAnsi="Times New Roman" w:cs="Times New Roman"/>
          <w:sz w:val="24"/>
          <w:szCs w:val="24"/>
        </w:rPr>
        <w:t>SwissADME</w:t>
      </w:r>
      <w:proofErr w:type="spellEnd"/>
      <w:r w:rsidRPr="002E7761">
        <w:rPr>
          <w:rFonts w:ascii="Times New Roman" w:eastAsia="Times New Roman" w:hAnsi="Times New Roman" w:cs="Times New Roman"/>
          <w:sz w:val="24"/>
          <w:szCs w:val="24"/>
        </w:rPr>
        <w:t xml:space="preserve"> and </w:t>
      </w:r>
      <w:proofErr w:type="spellStart"/>
      <w:r w:rsidRPr="002E7761">
        <w:rPr>
          <w:rFonts w:ascii="Times New Roman" w:eastAsia="Times New Roman" w:hAnsi="Times New Roman" w:cs="Times New Roman"/>
          <w:sz w:val="24"/>
          <w:szCs w:val="24"/>
        </w:rPr>
        <w:t>admetSAR</w:t>
      </w:r>
      <w:proofErr w:type="spellEnd"/>
      <w:r w:rsidRPr="002E7761">
        <w:rPr>
          <w:rFonts w:ascii="Times New Roman" w:eastAsia="Times New Roman" w:hAnsi="Times New Roman" w:cs="Times New Roman"/>
          <w:sz w:val="24"/>
          <w:szCs w:val="24"/>
        </w:rPr>
        <w:t xml:space="preserve"> to assess their pharmacokinetic profile, drug-likeness,</w:t>
      </w:r>
      <w:r w:rsidR="001F0818">
        <w:rPr>
          <w:rFonts w:ascii="Times New Roman" w:eastAsia="Times New Roman" w:hAnsi="Times New Roman" w:cs="Times New Roman"/>
          <w:sz w:val="24"/>
          <w:szCs w:val="24"/>
        </w:rPr>
        <w:t xml:space="preserve"> bioavailability, and toxicity.</w:t>
      </w:r>
    </w:p>
    <w:p w:rsidR="00CE701D" w:rsidRDefault="00D84CF6" w:rsidP="006D3376">
      <w:pPr>
        <w:spacing w:line="360" w:lineRule="auto"/>
        <w:jc w:val="both"/>
        <w:rPr>
          <w:rFonts w:ascii="Times New Roman" w:hAnsi="Times New Roman" w:cs="Times New Roman"/>
          <w:bCs/>
          <w:sz w:val="24"/>
          <w:szCs w:val="24"/>
          <w:lang w:val="en-US"/>
        </w:rPr>
      </w:pPr>
      <w:r>
        <w:rPr>
          <w:rFonts w:ascii="Times New Roman" w:hAnsi="Times New Roman" w:cs="Times New Roman"/>
          <w:b/>
          <w:bCs/>
          <w:sz w:val="24"/>
          <w:szCs w:val="24"/>
          <w:lang w:val="en-US"/>
        </w:rPr>
        <w:t>3.4</w:t>
      </w:r>
      <w:r w:rsidR="001F0818">
        <w:rPr>
          <w:rFonts w:ascii="Times New Roman" w:hAnsi="Times New Roman" w:cs="Times New Roman"/>
          <w:b/>
          <w:bCs/>
          <w:sz w:val="24"/>
          <w:szCs w:val="24"/>
          <w:lang w:val="en-US"/>
        </w:rPr>
        <w:t xml:space="preserve"> </w:t>
      </w:r>
      <w:r w:rsidR="00F77439" w:rsidRPr="002E7761">
        <w:rPr>
          <w:rFonts w:ascii="Times New Roman" w:hAnsi="Times New Roman" w:cs="Times New Roman"/>
          <w:b/>
          <w:bCs/>
          <w:sz w:val="24"/>
          <w:szCs w:val="24"/>
          <w:lang w:val="en-US"/>
        </w:rPr>
        <w:t>Methods of Statistical Analysis</w:t>
      </w:r>
    </w:p>
    <w:p w:rsidR="00BA6281" w:rsidRDefault="00D65374" w:rsidP="003271FE">
      <w:pPr>
        <w:spacing w:line="360" w:lineRule="auto"/>
        <w:jc w:val="both"/>
        <w:rPr>
          <w:rFonts w:ascii="Times New Roman" w:hAnsi="Times New Roman" w:cs="Times New Roman"/>
          <w:sz w:val="24"/>
          <w:szCs w:val="24"/>
        </w:rPr>
      </w:pPr>
      <w:r w:rsidRPr="00BF420A">
        <w:rPr>
          <w:rFonts w:ascii="Times New Roman" w:hAnsi="Times New Roman" w:cs="Times New Roman"/>
          <w:sz w:val="24"/>
          <w:szCs w:val="24"/>
        </w:rPr>
        <w:t>D</w:t>
      </w:r>
      <w:r>
        <w:rPr>
          <w:rFonts w:ascii="Times New Roman" w:hAnsi="Times New Roman" w:cs="Times New Roman"/>
          <w:sz w:val="24"/>
          <w:szCs w:val="24"/>
        </w:rPr>
        <w:t>ata was collected, and descriptive statistics were</w:t>
      </w:r>
      <w:r w:rsidRPr="00BF420A">
        <w:rPr>
          <w:rFonts w:ascii="Times New Roman" w:hAnsi="Times New Roman" w:cs="Times New Roman"/>
          <w:sz w:val="24"/>
          <w:szCs w:val="24"/>
        </w:rPr>
        <w:t xml:space="preserve"> done using Microsoft Excel</w:t>
      </w:r>
      <w:r>
        <w:rPr>
          <w:rFonts w:ascii="Times New Roman" w:hAnsi="Times New Roman" w:cs="Times New Roman"/>
          <w:sz w:val="24"/>
          <w:szCs w:val="24"/>
        </w:rPr>
        <w:t>. At the same time,</w:t>
      </w:r>
      <w:r w:rsidRPr="00BF420A">
        <w:rPr>
          <w:rFonts w:ascii="Times New Roman" w:hAnsi="Times New Roman" w:cs="Times New Roman"/>
          <w:sz w:val="24"/>
          <w:szCs w:val="24"/>
        </w:rPr>
        <w:t xml:space="preserve"> further statistical analyses were</w:t>
      </w:r>
      <w:r w:rsidR="001916A0">
        <w:rPr>
          <w:rFonts w:ascii="Times New Roman" w:hAnsi="Times New Roman" w:cs="Times New Roman"/>
          <w:sz w:val="24"/>
          <w:szCs w:val="24"/>
        </w:rPr>
        <w:t xml:space="preserve"> performed using </w:t>
      </w:r>
      <w:proofErr w:type="spellStart"/>
      <w:r w:rsidR="001916A0">
        <w:rPr>
          <w:rFonts w:ascii="Times New Roman" w:hAnsi="Times New Roman" w:cs="Times New Roman"/>
          <w:sz w:val="24"/>
          <w:szCs w:val="24"/>
        </w:rPr>
        <w:t>GraphPad</w:t>
      </w:r>
      <w:proofErr w:type="spellEnd"/>
      <w:r w:rsidR="001916A0">
        <w:rPr>
          <w:rFonts w:ascii="Times New Roman" w:hAnsi="Times New Roman" w:cs="Times New Roman"/>
          <w:sz w:val="24"/>
          <w:szCs w:val="24"/>
        </w:rPr>
        <w:t xml:space="preserve"> Prism10.2.3</w:t>
      </w:r>
      <w:r w:rsidRPr="00BF420A">
        <w:rPr>
          <w:rFonts w:ascii="Times New Roman" w:hAnsi="Times New Roman" w:cs="Times New Roman"/>
          <w:sz w:val="24"/>
          <w:szCs w:val="24"/>
        </w:rPr>
        <w:t xml:space="preserve"> (</w:t>
      </w:r>
      <w:proofErr w:type="spellStart"/>
      <w:r w:rsidRPr="00BF420A">
        <w:rPr>
          <w:rFonts w:ascii="Times New Roman" w:hAnsi="Times New Roman" w:cs="Times New Roman"/>
          <w:sz w:val="24"/>
          <w:szCs w:val="24"/>
        </w:rPr>
        <w:t>GraphPad</w:t>
      </w:r>
      <w:proofErr w:type="spellEnd"/>
      <w:r w:rsidRPr="00BF420A">
        <w:rPr>
          <w:rFonts w:ascii="Times New Roman" w:hAnsi="Times New Roman" w:cs="Times New Roman"/>
          <w:sz w:val="24"/>
          <w:szCs w:val="24"/>
        </w:rPr>
        <w:t xml:space="preserve"> Software, Inc., La Jolla, CA, USA)</w:t>
      </w:r>
      <w:r w:rsidR="00812F76">
        <w:rPr>
          <w:rFonts w:ascii="Times New Roman" w:hAnsi="Times New Roman" w:cs="Times New Roman"/>
          <w:sz w:val="24"/>
          <w:szCs w:val="24"/>
        </w:rPr>
        <w:t xml:space="preserve"> and </w:t>
      </w:r>
      <w:proofErr w:type="spellStart"/>
      <w:r w:rsidR="00812F76">
        <w:rPr>
          <w:rFonts w:ascii="Times New Roman" w:hAnsi="Times New Roman" w:cs="Times New Roman"/>
          <w:sz w:val="24"/>
          <w:szCs w:val="24"/>
        </w:rPr>
        <w:t>OriginPro</w:t>
      </w:r>
      <w:proofErr w:type="spellEnd"/>
      <w:r w:rsidR="00812F76">
        <w:rPr>
          <w:rFonts w:ascii="Times New Roman" w:hAnsi="Times New Roman" w:cs="Times New Roman"/>
          <w:sz w:val="24"/>
          <w:szCs w:val="24"/>
        </w:rPr>
        <w:t xml:space="preserve"> software.</w:t>
      </w:r>
      <w:r w:rsidRPr="00BF420A">
        <w:rPr>
          <w:rFonts w:ascii="Times New Roman" w:hAnsi="Times New Roman" w:cs="Times New Roman"/>
          <w:sz w:val="24"/>
          <w:szCs w:val="24"/>
        </w:rPr>
        <w:t xml:space="preserve"> P &lt; 0.05 was considered statistical</w:t>
      </w:r>
      <w:r w:rsidR="006205B3">
        <w:rPr>
          <w:rFonts w:ascii="Times New Roman" w:hAnsi="Times New Roman" w:cs="Times New Roman"/>
          <w:sz w:val="24"/>
          <w:szCs w:val="24"/>
        </w:rPr>
        <w:t xml:space="preserve">ly significant. </w:t>
      </w:r>
      <w:r w:rsidRPr="00BF420A">
        <w:rPr>
          <w:rFonts w:ascii="Times New Roman" w:hAnsi="Times New Roman" w:cs="Times New Roman"/>
          <w:sz w:val="24"/>
          <w:szCs w:val="24"/>
        </w:rPr>
        <w:t>Student's t‐test was used to evaluat</w:t>
      </w:r>
      <w:r>
        <w:rPr>
          <w:rFonts w:ascii="Times New Roman" w:hAnsi="Times New Roman" w:cs="Times New Roman"/>
          <w:sz w:val="24"/>
          <w:szCs w:val="24"/>
        </w:rPr>
        <w:t>e the mean difference in plasma levels of SPOP, AR, and SRC-3 between prostate cancer patients (cases) and</w:t>
      </w:r>
      <w:r w:rsidR="00812F76">
        <w:rPr>
          <w:rFonts w:ascii="Times New Roman" w:hAnsi="Times New Roman" w:cs="Times New Roman"/>
          <w:sz w:val="24"/>
          <w:szCs w:val="24"/>
        </w:rPr>
        <w:t xml:space="preserve"> healthy controls. Pearson correlation</w:t>
      </w:r>
      <w:r>
        <w:rPr>
          <w:rFonts w:ascii="Times New Roman" w:hAnsi="Times New Roman" w:cs="Times New Roman"/>
          <w:sz w:val="24"/>
          <w:szCs w:val="24"/>
        </w:rPr>
        <w:t xml:space="preserve"> was used to te</w:t>
      </w:r>
      <w:r w:rsidR="00812F76">
        <w:rPr>
          <w:rFonts w:ascii="Times New Roman" w:hAnsi="Times New Roman" w:cs="Times New Roman"/>
          <w:sz w:val="24"/>
          <w:szCs w:val="24"/>
        </w:rPr>
        <w:t>st the significance, strength and direction of the relationship in</w:t>
      </w:r>
      <w:r>
        <w:rPr>
          <w:rFonts w:ascii="Times New Roman" w:hAnsi="Times New Roman" w:cs="Times New Roman"/>
          <w:sz w:val="24"/>
          <w:szCs w:val="24"/>
        </w:rPr>
        <w:t xml:space="preserve"> the mean leve</w:t>
      </w:r>
      <w:r w:rsidR="00812F76">
        <w:rPr>
          <w:rFonts w:ascii="Times New Roman" w:hAnsi="Times New Roman" w:cs="Times New Roman"/>
          <w:sz w:val="24"/>
          <w:szCs w:val="24"/>
        </w:rPr>
        <w:t>ls of SPOP, AR, and SRC-3 proteins</w:t>
      </w:r>
      <w:r w:rsidRPr="00BF420A">
        <w:rPr>
          <w:rFonts w:ascii="Times New Roman" w:hAnsi="Times New Roman" w:cs="Times New Roman"/>
          <w:sz w:val="24"/>
          <w:szCs w:val="24"/>
        </w:rPr>
        <w:t xml:space="preserve">. </w:t>
      </w:r>
      <w:r w:rsidR="003271FE">
        <w:rPr>
          <w:rFonts w:ascii="Times New Roman" w:hAnsi="Times New Roman" w:cs="Times New Roman"/>
          <w:sz w:val="24"/>
          <w:szCs w:val="24"/>
        </w:rPr>
        <w:t xml:space="preserve">Clinical </w:t>
      </w:r>
      <w:r w:rsidR="003271FE" w:rsidRPr="003271FE">
        <w:rPr>
          <w:rFonts w:ascii="Times New Roman" w:hAnsi="Times New Roman" w:cs="Times New Roman"/>
          <w:sz w:val="24"/>
          <w:szCs w:val="24"/>
        </w:rPr>
        <w:t xml:space="preserve">variables, such as age and Gleason </w:t>
      </w:r>
      <w:r w:rsidR="003271FE">
        <w:rPr>
          <w:rFonts w:ascii="Times New Roman" w:hAnsi="Times New Roman" w:cs="Times New Roman"/>
          <w:sz w:val="24"/>
          <w:szCs w:val="24"/>
        </w:rPr>
        <w:t xml:space="preserve">score, were compared using the </w:t>
      </w:r>
      <w:r w:rsidR="003271FE" w:rsidRPr="003271FE">
        <w:rPr>
          <w:rFonts w:ascii="Times New Roman" w:hAnsi="Times New Roman" w:cs="Times New Roman"/>
          <w:sz w:val="24"/>
          <w:szCs w:val="24"/>
        </w:rPr>
        <w:t>chi-squared test.</w:t>
      </w:r>
    </w:p>
    <w:p w:rsidR="006205B3" w:rsidRDefault="006205B3" w:rsidP="006D3376">
      <w:pPr>
        <w:spacing w:line="360" w:lineRule="auto"/>
        <w:jc w:val="both"/>
        <w:rPr>
          <w:rFonts w:ascii="Times New Roman" w:hAnsi="Times New Roman" w:cs="Times New Roman"/>
          <w:bCs/>
          <w:sz w:val="24"/>
          <w:szCs w:val="24"/>
          <w:lang w:val="en-US"/>
        </w:rPr>
      </w:pPr>
    </w:p>
    <w:p w:rsidR="00535927" w:rsidRDefault="00535927" w:rsidP="006D3376">
      <w:pPr>
        <w:spacing w:line="360" w:lineRule="auto"/>
        <w:jc w:val="both"/>
        <w:rPr>
          <w:rFonts w:ascii="Times New Roman" w:hAnsi="Times New Roman" w:cs="Times New Roman"/>
          <w:bCs/>
          <w:sz w:val="24"/>
          <w:szCs w:val="24"/>
          <w:lang w:val="en-US"/>
        </w:rPr>
      </w:pPr>
    </w:p>
    <w:p w:rsidR="00535927" w:rsidRDefault="00535927" w:rsidP="006D3376">
      <w:pPr>
        <w:spacing w:line="360" w:lineRule="auto"/>
        <w:jc w:val="both"/>
        <w:rPr>
          <w:rFonts w:ascii="Times New Roman" w:hAnsi="Times New Roman" w:cs="Times New Roman"/>
          <w:bCs/>
          <w:sz w:val="24"/>
          <w:szCs w:val="24"/>
          <w:lang w:val="en-US"/>
        </w:rPr>
      </w:pPr>
    </w:p>
    <w:p w:rsidR="00BA6281" w:rsidRDefault="00BA6281" w:rsidP="006D3376">
      <w:pPr>
        <w:spacing w:line="360" w:lineRule="auto"/>
        <w:jc w:val="both"/>
        <w:rPr>
          <w:rFonts w:ascii="Times New Roman" w:hAnsi="Times New Roman" w:cs="Times New Roman"/>
          <w:bCs/>
          <w:sz w:val="24"/>
          <w:szCs w:val="24"/>
          <w:lang w:val="en-US"/>
        </w:rPr>
      </w:pPr>
    </w:p>
    <w:p w:rsidR="008E0532" w:rsidRDefault="008E0532" w:rsidP="006D3376">
      <w:pPr>
        <w:spacing w:line="360" w:lineRule="auto"/>
        <w:jc w:val="both"/>
        <w:rPr>
          <w:rFonts w:ascii="Times New Roman" w:hAnsi="Times New Roman" w:cs="Times New Roman"/>
          <w:bCs/>
          <w:sz w:val="24"/>
          <w:szCs w:val="24"/>
          <w:lang w:val="en-US"/>
        </w:rPr>
      </w:pPr>
    </w:p>
    <w:p w:rsidR="008E0532" w:rsidRDefault="008E0532" w:rsidP="006D3376">
      <w:pPr>
        <w:spacing w:line="360" w:lineRule="auto"/>
        <w:jc w:val="both"/>
        <w:rPr>
          <w:rFonts w:ascii="Times New Roman" w:hAnsi="Times New Roman" w:cs="Times New Roman"/>
          <w:bCs/>
          <w:sz w:val="24"/>
          <w:szCs w:val="24"/>
          <w:lang w:val="en-US"/>
        </w:rPr>
      </w:pPr>
    </w:p>
    <w:p w:rsidR="008E0532" w:rsidRDefault="008E0532" w:rsidP="006D3376">
      <w:pPr>
        <w:spacing w:line="360" w:lineRule="auto"/>
        <w:jc w:val="both"/>
        <w:rPr>
          <w:rFonts w:ascii="Times New Roman" w:hAnsi="Times New Roman" w:cs="Times New Roman"/>
          <w:bCs/>
          <w:sz w:val="24"/>
          <w:szCs w:val="24"/>
          <w:lang w:val="en-US"/>
        </w:rPr>
      </w:pPr>
    </w:p>
    <w:p w:rsidR="008E0532" w:rsidRDefault="008E0532" w:rsidP="006D3376">
      <w:pPr>
        <w:spacing w:line="360" w:lineRule="auto"/>
        <w:jc w:val="both"/>
        <w:rPr>
          <w:rFonts w:ascii="Times New Roman" w:hAnsi="Times New Roman" w:cs="Times New Roman"/>
          <w:bCs/>
          <w:sz w:val="24"/>
          <w:szCs w:val="24"/>
          <w:lang w:val="en-US"/>
        </w:rPr>
      </w:pPr>
    </w:p>
    <w:p w:rsidR="008E0532" w:rsidRDefault="008E0532" w:rsidP="006D3376">
      <w:pPr>
        <w:spacing w:line="360" w:lineRule="auto"/>
        <w:jc w:val="both"/>
        <w:rPr>
          <w:rFonts w:ascii="Times New Roman" w:hAnsi="Times New Roman" w:cs="Times New Roman"/>
          <w:bCs/>
          <w:sz w:val="24"/>
          <w:szCs w:val="24"/>
          <w:lang w:val="en-US"/>
        </w:rPr>
      </w:pPr>
    </w:p>
    <w:p w:rsidR="00303DDB" w:rsidRPr="002E7761" w:rsidRDefault="00303DDB" w:rsidP="006D3376">
      <w:pPr>
        <w:spacing w:line="360" w:lineRule="auto"/>
        <w:jc w:val="both"/>
        <w:rPr>
          <w:rFonts w:ascii="Times New Roman" w:hAnsi="Times New Roman" w:cs="Times New Roman"/>
          <w:bCs/>
          <w:sz w:val="24"/>
          <w:szCs w:val="24"/>
          <w:lang w:val="en-US"/>
        </w:rPr>
      </w:pPr>
    </w:p>
    <w:p w:rsidR="001F0818" w:rsidRDefault="001F0818" w:rsidP="006D3376">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CHAPTER FOUR</w:t>
      </w:r>
    </w:p>
    <w:p w:rsidR="00F77439" w:rsidRPr="002E7761" w:rsidRDefault="00F77439" w:rsidP="006D3376">
      <w:pPr>
        <w:spacing w:line="360" w:lineRule="auto"/>
        <w:jc w:val="center"/>
        <w:rPr>
          <w:rFonts w:ascii="Times New Roman" w:hAnsi="Times New Roman" w:cs="Times New Roman"/>
          <w:b/>
          <w:sz w:val="24"/>
          <w:szCs w:val="24"/>
        </w:rPr>
      </w:pPr>
      <w:r w:rsidRPr="002E7761">
        <w:rPr>
          <w:rFonts w:ascii="Times New Roman" w:hAnsi="Times New Roman" w:cs="Times New Roman"/>
          <w:b/>
          <w:sz w:val="24"/>
          <w:szCs w:val="24"/>
        </w:rPr>
        <w:t>RESULTS</w:t>
      </w:r>
    </w:p>
    <w:p w:rsidR="00303DDB" w:rsidRDefault="00303DDB" w:rsidP="006D3376">
      <w:pPr>
        <w:spacing w:line="360" w:lineRule="auto"/>
        <w:jc w:val="both"/>
        <w:rPr>
          <w:rFonts w:ascii="Times New Roman" w:eastAsia="Calibri" w:hAnsi="Times New Roman" w:cs="Times New Roman"/>
          <w:b/>
          <w:bCs/>
          <w:sz w:val="24"/>
          <w:szCs w:val="24"/>
          <w:lang w:val="en-US"/>
        </w:rPr>
      </w:pPr>
      <w:r>
        <w:rPr>
          <w:rFonts w:ascii="Times New Roman" w:eastAsia="Calibri" w:hAnsi="Times New Roman" w:cs="Times New Roman"/>
          <w:b/>
          <w:bCs/>
          <w:sz w:val="24"/>
          <w:szCs w:val="24"/>
          <w:lang w:val="en-US"/>
        </w:rPr>
        <w:t xml:space="preserve">4.1 </w:t>
      </w:r>
      <w:r w:rsidRPr="00303DDB">
        <w:rPr>
          <w:rFonts w:ascii="Times New Roman" w:eastAsia="Calibri" w:hAnsi="Times New Roman" w:cs="Times New Roman"/>
          <w:b/>
          <w:bCs/>
          <w:sz w:val="24"/>
          <w:szCs w:val="24"/>
          <w:lang w:val="en-US"/>
        </w:rPr>
        <w:t>SPOP Mutation Identification and Clinical Correlations</w:t>
      </w:r>
    </w:p>
    <w:p w:rsidR="00B041D7" w:rsidRPr="001E4EC6" w:rsidRDefault="001E4EC6" w:rsidP="006D3376">
      <w:pPr>
        <w:spacing w:line="360" w:lineRule="auto"/>
        <w:jc w:val="both"/>
        <w:rPr>
          <w:rFonts w:ascii="Times New Roman" w:hAnsi="Times New Roman" w:cs="Times New Roman"/>
          <w:bCs/>
          <w:sz w:val="24"/>
          <w:szCs w:val="24"/>
          <w:lang w:val="en-US"/>
        </w:rPr>
      </w:pPr>
      <w:r w:rsidRPr="001E4EC6">
        <w:rPr>
          <w:rFonts w:ascii="Times New Roman" w:hAnsi="Times New Roman" w:cs="Times New Roman"/>
          <w:bCs/>
          <w:sz w:val="24"/>
          <w:szCs w:val="24"/>
        </w:rPr>
        <w:t>In prostate cancer</w:t>
      </w:r>
      <w:r>
        <w:rPr>
          <w:rFonts w:ascii="Times New Roman" w:hAnsi="Times New Roman" w:cs="Times New Roman"/>
          <w:bCs/>
          <w:sz w:val="24"/>
          <w:szCs w:val="24"/>
        </w:rPr>
        <w:t xml:space="preserve"> patients</w:t>
      </w:r>
      <w:r w:rsidRPr="001E4EC6">
        <w:rPr>
          <w:rFonts w:ascii="Times New Roman" w:hAnsi="Times New Roman" w:cs="Times New Roman"/>
          <w:bCs/>
          <w:sz w:val="24"/>
          <w:szCs w:val="24"/>
        </w:rPr>
        <w:t>, SPOP mutations were foun</w:t>
      </w:r>
      <w:r w:rsidR="00B57A24">
        <w:rPr>
          <w:rFonts w:ascii="Times New Roman" w:hAnsi="Times New Roman" w:cs="Times New Roman"/>
          <w:bCs/>
          <w:sz w:val="24"/>
          <w:szCs w:val="24"/>
        </w:rPr>
        <w:t>d in 8 out of 40 study cohorts</w:t>
      </w:r>
      <w:r w:rsidRPr="001E4EC6">
        <w:rPr>
          <w:rFonts w:ascii="Times New Roman" w:hAnsi="Times New Roman" w:cs="Times New Roman"/>
          <w:bCs/>
          <w:sz w:val="24"/>
          <w:szCs w:val="24"/>
        </w:rPr>
        <w:t xml:space="preserve"> (8.1%). These mutations targeted previously identified mutations. Notably, the most frequently mutated residue was F133 (50%), followed by Y87 (15%), W131, and F102 (9%). Additionally, mutations at F125 (3%), K129 (2%), F104 (2%), and K135 (2%) were observed. All these mutations were missense mutations and clustered within the </w:t>
      </w:r>
      <w:r>
        <w:rPr>
          <w:rFonts w:ascii="Times New Roman" w:hAnsi="Times New Roman" w:cs="Times New Roman"/>
          <w:bCs/>
          <w:sz w:val="24"/>
          <w:szCs w:val="24"/>
        </w:rPr>
        <w:t>substrate-binding</w:t>
      </w:r>
      <w:r w:rsidRPr="001E4EC6">
        <w:rPr>
          <w:rFonts w:ascii="Times New Roman" w:hAnsi="Times New Roman" w:cs="Times New Roman"/>
          <w:bCs/>
          <w:sz w:val="24"/>
          <w:szCs w:val="24"/>
        </w:rPr>
        <w:t xml:space="preserve"> MATH domain</w:t>
      </w:r>
      <w:r w:rsidR="00B57A24">
        <w:rPr>
          <w:rFonts w:ascii="Times New Roman" w:hAnsi="Times New Roman" w:cs="Times New Roman"/>
          <w:bCs/>
          <w:sz w:val="24"/>
          <w:szCs w:val="24"/>
        </w:rPr>
        <w:t xml:space="preserve"> of exon 6</w:t>
      </w:r>
      <w:bookmarkStart w:id="11" w:name="_GoBack"/>
      <w:bookmarkEnd w:id="11"/>
      <w:r w:rsidRPr="001E4EC6">
        <w:rPr>
          <w:rFonts w:ascii="Times New Roman" w:hAnsi="Times New Roman" w:cs="Times New Roman"/>
          <w:bCs/>
          <w:sz w:val="24"/>
          <w:szCs w:val="24"/>
        </w:rPr>
        <w:t xml:space="preserve">. </w:t>
      </w:r>
      <w:proofErr w:type="gramStart"/>
      <w:r w:rsidRPr="001E4EC6">
        <w:rPr>
          <w:rFonts w:ascii="Times New Roman" w:hAnsi="Times New Roman" w:cs="Times New Roman"/>
          <w:bCs/>
          <w:sz w:val="24"/>
          <w:szCs w:val="24"/>
        </w:rPr>
        <w:t>Interestingly</w:t>
      </w:r>
      <w:proofErr w:type="gramEnd"/>
      <w:r w:rsidRPr="001E4EC6">
        <w:rPr>
          <w:rFonts w:ascii="Times New Roman" w:hAnsi="Times New Roman" w:cs="Times New Roman"/>
          <w:bCs/>
          <w:sz w:val="24"/>
          <w:szCs w:val="24"/>
        </w:rPr>
        <w:t>, mutations at F104 and K135 had not been described previously.</w:t>
      </w:r>
    </w:p>
    <w:p w:rsidR="00F77439" w:rsidRPr="002E7761" w:rsidRDefault="00303DDB" w:rsidP="006D3376">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4.2</w:t>
      </w:r>
      <w:r w:rsidR="0020784A">
        <w:rPr>
          <w:rFonts w:ascii="Times New Roman" w:hAnsi="Times New Roman" w:cs="Times New Roman"/>
          <w:b/>
          <w:bCs/>
          <w:sz w:val="24"/>
          <w:szCs w:val="24"/>
          <w:lang w:val="en-US"/>
        </w:rPr>
        <w:t xml:space="preserve"> </w:t>
      </w:r>
      <w:r w:rsidR="00820222">
        <w:rPr>
          <w:rFonts w:ascii="Times New Roman" w:hAnsi="Times New Roman" w:cs="Times New Roman"/>
          <w:b/>
          <w:bCs/>
          <w:sz w:val="24"/>
          <w:szCs w:val="24"/>
          <w:lang w:val="en-US"/>
        </w:rPr>
        <w:t xml:space="preserve">Levels </w:t>
      </w:r>
      <w:r w:rsidR="00820222" w:rsidRPr="002E7761">
        <w:rPr>
          <w:rFonts w:ascii="Times New Roman" w:hAnsi="Times New Roman" w:cs="Times New Roman"/>
          <w:b/>
          <w:bCs/>
          <w:sz w:val="24"/>
          <w:szCs w:val="24"/>
          <w:lang w:val="en-US"/>
        </w:rPr>
        <w:t>of Human AR, SPOP and SRC-3</w:t>
      </w:r>
      <w:r w:rsidR="00987628">
        <w:rPr>
          <w:rFonts w:ascii="Times New Roman" w:hAnsi="Times New Roman" w:cs="Times New Roman"/>
          <w:b/>
          <w:bCs/>
          <w:sz w:val="24"/>
          <w:szCs w:val="24"/>
          <w:lang w:val="en-US"/>
        </w:rPr>
        <w:t xml:space="preserve"> proteins</w:t>
      </w:r>
    </w:p>
    <w:p w:rsidR="00D733DA" w:rsidRPr="002E7761" w:rsidRDefault="00D65374" w:rsidP="00D733D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rPr>
        <w:t xml:space="preserve">The </w:t>
      </w:r>
      <w:r w:rsidR="006205B3">
        <w:rPr>
          <w:rFonts w:ascii="Times New Roman" w:hAnsi="Times New Roman" w:cs="Times New Roman"/>
          <w:sz w:val="24"/>
          <w:szCs w:val="24"/>
        </w:rPr>
        <w:t>level</w:t>
      </w:r>
      <w:r w:rsidRPr="007B2E8F">
        <w:rPr>
          <w:rFonts w:ascii="Times New Roman" w:hAnsi="Times New Roman" w:cs="Times New Roman"/>
          <w:sz w:val="24"/>
          <w:szCs w:val="24"/>
        </w:rPr>
        <w:t>s</w:t>
      </w:r>
      <w:r>
        <w:rPr>
          <w:rFonts w:ascii="Times New Roman" w:hAnsi="Times New Roman" w:cs="Times New Roman"/>
          <w:bCs/>
          <w:sz w:val="24"/>
          <w:szCs w:val="24"/>
          <w:lang w:val="en-US"/>
        </w:rPr>
        <w:t xml:space="preserve"> of </w:t>
      </w:r>
      <w:r>
        <w:rPr>
          <w:rFonts w:ascii="Times New Roman" w:hAnsi="Times New Roman" w:cs="Times New Roman"/>
          <w:bCs/>
          <w:sz w:val="24"/>
          <w:szCs w:val="24"/>
        </w:rPr>
        <w:t>SPOP,</w:t>
      </w:r>
      <w:r w:rsidR="006C2022">
        <w:rPr>
          <w:rFonts w:ascii="Times New Roman" w:hAnsi="Times New Roman" w:cs="Times New Roman"/>
          <w:bCs/>
          <w:sz w:val="24"/>
          <w:szCs w:val="24"/>
        </w:rPr>
        <w:t xml:space="preserve"> SRC-3 and</w:t>
      </w:r>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AR</w:t>
      </w:r>
      <w:r w:rsidR="006C2022">
        <w:rPr>
          <w:rFonts w:ascii="Times New Roman" w:hAnsi="Times New Roman" w:cs="Times New Roman"/>
          <w:bCs/>
          <w:sz w:val="24"/>
          <w:szCs w:val="24"/>
        </w:rPr>
        <w:t xml:space="preserve"> </w:t>
      </w:r>
      <w:r>
        <w:rPr>
          <w:rFonts w:ascii="Times New Roman" w:hAnsi="Times New Roman" w:cs="Times New Roman"/>
          <w:bCs/>
          <w:sz w:val="24"/>
          <w:szCs w:val="24"/>
        </w:rPr>
        <w:t xml:space="preserve"> proteins</w:t>
      </w:r>
      <w:proofErr w:type="gramEnd"/>
      <w:r>
        <w:rPr>
          <w:rFonts w:ascii="Times New Roman" w:hAnsi="Times New Roman" w:cs="Times New Roman"/>
          <w:bCs/>
          <w:sz w:val="24"/>
          <w:szCs w:val="24"/>
        </w:rPr>
        <w:t xml:space="preserve"> </w:t>
      </w:r>
      <w:r>
        <w:rPr>
          <w:rFonts w:ascii="Times New Roman" w:hAnsi="Times New Roman" w:cs="Times New Roman"/>
          <w:sz w:val="24"/>
          <w:szCs w:val="24"/>
        </w:rPr>
        <w:t>in plasma</w:t>
      </w:r>
      <w:r w:rsidRPr="007B2E8F">
        <w:rPr>
          <w:rFonts w:ascii="Times New Roman" w:hAnsi="Times New Roman" w:cs="Times New Roman"/>
          <w:sz w:val="24"/>
          <w:szCs w:val="24"/>
        </w:rPr>
        <w:t xml:space="preserve"> samples from </w:t>
      </w:r>
      <w:r>
        <w:rPr>
          <w:rFonts w:ascii="Times New Roman" w:hAnsi="Times New Roman" w:cs="Times New Roman"/>
          <w:sz w:val="24"/>
          <w:szCs w:val="24"/>
        </w:rPr>
        <w:t xml:space="preserve">prostate </w:t>
      </w:r>
      <w:r w:rsidRPr="007B2E8F">
        <w:rPr>
          <w:rFonts w:ascii="Times New Roman" w:hAnsi="Times New Roman" w:cs="Times New Roman"/>
          <w:sz w:val="24"/>
          <w:szCs w:val="24"/>
        </w:rPr>
        <w:t>cancer patients versus non‐cancer subjects are pr</w:t>
      </w:r>
      <w:r w:rsidR="00A7035C">
        <w:rPr>
          <w:rFonts w:ascii="Times New Roman" w:hAnsi="Times New Roman" w:cs="Times New Roman"/>
          <w:sz w:val="24"/>
          <w:szCs w:val="24"/>
        </w:rPr>
        <w:t xml:space="preserve">esented in </w:t>
      </w:r>
      <w:r w:rsidR="00411D5F">
        <w:rPr>
          <w:rFonts w:ascii="Times New Roman" w:hAnsi="Times New Roman" w:cs="Times New Roman"/>
          <w:sz w:val="24"/>
          <w:szCs w:val="24"/>
        </w:rPr>
        <w:t>Figure 6</w:t>
      </w:r>
      <w:r w:rsidR="00A0401C">
        <w:rPr>
          <w:rFonts w:ascii="Times New Roman" w:hAnsi="Times New Roman" w:cs="Times New Roman"/>
          <w:bCs/>
          <w:sz w:val="24"/>
          <w:szCs w:val="24"/>
          <w:lang w:val="en-US"/>
        </w:rPr>
        <w:t>.</w:t>
      </w:r>
      <w:r w:rsidR="00D8512E">
        <w:rPr>
          <w:rFonts w:ascii="Times New Roman" w:hAnsi="Times New Roman" w:cs="Times New Roman"/>
          <w:bCs/>
          <w:sz w:val="24"/>
          <w:szCs w:val="24"/>
          <w:lang w:val="en-US"/>
        </w:rPr>
        <w:t xml:space="preserve"> </w:t>
      </w:r>
      <w:r w:rsidR="00D8512E">
        <w:rPr>
          <w:rFonts w:ascii="Times New Roman" w:hAnsi="Times New Roman" w:cs="Times New Roman"/>
          <w:sz w:val="24"/>
          <w:szCs w:val="24"/>
        </w:rPr>
        <w:t>There are</w:t>
      </w:r>
      <w:r w:rsidR="00D8512E" w:rsidRPr="001916A0">
        <w:rPr>
          <w:rFonts w:ascii="Times New Roman" w:hAnsi="Times New Roman" w:cs="Times New Roman"/>
          <w:sz w:val="24"/>
          <w:szCs w:val="24"/>
        </w:rPr>
        <w:t xml:space="preserve"> variations in protein concentrations among prostate cancer patients</w:t>
      </w:r>
      <w:r w:rsidR="00D8512E">
        <w:rPr>
          <w:rFonts w:ascii="Times New Roman" w:hAnsi="Times New Roman" w:cs="Times New Roman"/>
          <w:sz w:val="24"/>
          <w:szCs w:val="24"/>
        </w:rPr>
        <w:t xml:space="preserve"> and controls</w:t>
      </w:r>
      <w:r w:rsidR="00D8512E" w:rsidRPr="001916A0">
        <w:rPr>
          <w:rFonts w:ascii="Times New Roman" w:hAnsi="Times New Roman" w:cs="Times New Roman"/>
          <w:sz w:val="24"/>
          <w:szCs w:val="24"/>
        </w:rPr>
        <w:t>, particularly between</w:t>
      </w:r>
      <w:r w:rsidR="00D8512E">
        <w:rPr>
          <w:rFonts w:ascii="Times New Roman" w:hAnsi="Times New Roman" w:cs="Times New Roman"/>
          <w:sz w:val="24"/>
          <w:szCs w:val="24"/>
        </w:rPr>
        <w:t xml:space="preserve"> SPOP and AR, SCR-3 </w:t>
      </w:r>
      <w:r w:rsidR="00D8512E" w:rsidRPr="001916A0">
        <w:rPr>
          <w:rFonts w:ascii="Times New Roman" w:hAnsi="Times New Roman" w:cs="Times New Roman"/>
          <w:sz w:val="24"/>
          <w:szCs w:val="24"/>
        </w:rPr>
        <w:t>proteins</w:t>
      </w:r>
      <w:r w:rsidR="00274833">
        <w:rPr>
          <w:rFonts w:ascii="Times New Roman" w:hAnsi="Times New Roman" w:cs="Times New Roman"/>
          <w:sz w:val="24"/>
          <w:szCs w:val="24"/>
        </w:rPr>
        <w:t xml:space="preserve"> (Figure 6</w:t>
      </w:r>
      <w:r w:rsidR="00D8512E" w:rsidRPr="001916A0">
        <w:rPr>
          <w:rFonts w:ascii="Times New Roman" w:hAnsi="Times New Roman" w:cs="Times New Roman"/>
          <w:sz w:val="24"/>
          <w:szCs w:val="24"/>
        </w:rPr>
        <w:t>).</w:t>
      </w:r>
    </w:p>
    <w:p w:rsidR="00F77439" w:rsidRPr="002E7761" w:rsidRDefault="00F77439" w:rsidP="006D3376">
      <w:pPr>
        <w:spacing w:line="360" w:lineRule="auto"/>
        <w:jc w:val="center"/>
        <w:rPr>
          <w:rFonts w:ascii="Times New Roman" w:hAnsi="Times New Roman" w:cs="Times New Roman"/>
          <w:bCs/>
          <w:sz w:val="24"/>
          <w:szCs w:val="24"/>
          <w:lang w:val="en-US"/>
        </w:rPr>
      </w:pPr>
      <w:r w:rsidRPr="002E7761">
        <w:rPr>
          <w:rFonts w:ascii="Times New Roman" w:hAnsi="Times New Roman" w:cs="Times New Roman"/>
          <w:bCs/>
          <w:noProof/>
          <w:sz w:val="24"/>
          <w:szCs w:val="24"/>
          <w:lang w:val="en-US"/>
        </w:rPr>
        <w:lastRenderedPageBreak/>
        <w:drawing>
          <wp:inline distT="0" distB="0" distL="0" distR="0" wp14:anchorId="11D62F47" wp14:editId="60E07A27">
            <wp:extent cx="3956050" cy="4343400"/>
            <wp:effectExtent l="0" t="0" r="6350" b="0"/>
            <wp:docPr id="42" name="Picture 42" descr="C:\Users\PC\Desktop\Dissertation Files\ELISA ASSAYS\Mean+_SE Conc Bar grap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C\Desktop\Dissertation Files\ELISA ASSAYS\Mean+_SE Conc Bar graph.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956050" cy="4343400"/>
                    </a:xfrm>
                    <a:prstGeom prst="rect">
                      <a:avLst/>
                    </a:prstGeom>
                    <a:noFill/>
                    <a:ln>
                      <a:noFill/>
                    </a:ln>
                  </pic:spPr>
                </pic:pic>
              </a:graphicData>
            </a:graphic>
          </wp:inline>
        </w:drawing>
      </w:r>
    </w:p>
    <w:p w:rsidR="000C1B02" w:rsidRDefault="00BA6281" w:rsidP="006D337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Figure </w:t>
      </w:r>
      <w:r w:rsidR="00DC7975">
        <w:rPr>
          <w:rFonts w:ascii="Times New Roman" w:hAnsi="Times New Roman" w:cs="Times New Roman"/>
          <w:sz w:val="24"/>
          <w:szCs w:val="24"/>
        </w:rPr>
        <w:t>6</w:t>
      </w:r>
      <w:r w:rsidR="000C1B02">
        <w:rPr>
          <w:rFonts w:ascii="Times New Roman" w:hAnsi="Times New Roman" w:cs="Times New Roman"/>
          <w:sz w:val="24"/>
          <w:szCs w:val="24"/>
        </w:rPr>
        <w:t xml:space="preserve">: </w:t>
      </w:r>
      <w:r w:rsidR="00DC7975">
        <w:rPr>
          <w:rFonts w:ascii="Times New Roman" w:hAnsi="Times New Roman" w:cs="Times New Roman"/>
          <w:sz w:val="24"/>
          <w:szCs w:val="24"/>
        </w:rPr>
        <w:t>The bar</w:t>
      </w:r>
      <w:r w:rsidR="000C1B02">
        <w:rPr>
          <w:rFonts w:ascii="Times New Roman" w:hAnsi="Times New Roman" w:cs="Times New Roman"/>
          <w:sz w:val="24"/>
          <w:szCs w:val="24"/>
        </w:rPr>
        <w:t xml:space="preserve"> graph </w:t>
      </w:r>
      <w:r w:rsidR="00DC7975">
        <w:rPr>
          <w:rFonts w:ascii="Times New Roman" w:eastAsia="Calibri" w:hAnsi="Times New Roman" w:cs="Times New Roman"/>
          <w:sz w:val="24"/>
          <w:szCs w:val="24"/>
        </w:rPr>
        <w:t>visualizes t</w:t>
      </w:r>
      <w:r w:rsidR="004366D2">
        <w:rPr>
          <w:rFonts w:ascii="Times New Roman" w:hAnsi="Times New Roman" w:cs="Times New Roman"/>
          <w:sz w:val="24"/>
          <w:szCs w:val="24"/>
        </w:rPr>
        <w:t>he level</w:t>
      </w:r>
      <w:r w:rsidR="00D65374">
        <w:rPr>
          <w:rFonts w:ascii="Times New Roman" w:hAnsi="Times New Roman" w:cs="Times New Roman"/>
          <w:sz w:val="24"/>
          <w:szCs w:val="24"/>
        </w:rPr>
        <w:t>s (</w:t>
      </w:r>
      <w:proofErr w:type="spellStart"/>
      <w:r w:rsidR="00D65374">
        <w:rPr>
          <w:rFonts w:ascii="Times New Roman" w:hAnsi="Times New Roman" w:cs="Times New Roman"/>
          <w:sz w:val="24"/>
          <w:szCs w:val="24"/>
        </w:rPr>
        <w:t>M</w:t>
      </w:r>
      <w:r w:rsidR="000C1B02">
        <w:rPr>
          <w:rFonts w:ascii="Times New Roman" w:hAnsi="Times New Roman" w:cs="Times New Roman"/>
          <w:sz w:val="24"/>
          <w:szCs w:val="24"/>
        </w:rPr>
        <w:t>ean</w:t>
      </w:r>
      <w:r w:rsidR="000C1B02" w:rsidRPr="000C1B02">
        <w:rPr>
          <w:rFonts w:ascii="Times New Roman" w:hAnsi="Times New Roman" w:cs="Times New Roman"/>
          <w:sz w:val="24"/>
          <w:szCs w:val="24"/>
          <w:u w:val="single"/>
        </w:rPr>
        <w:t>+</w:t>
      </w:r>
      <w:r w:rsidR="00122917">
        <w:rPr>
          <w:rFonts w:ascii="Times New Roman" w:hAnsi="Times New Roman" w:cs="Times New Roman"/>
          <w:sz w:val="24"/>
          <w:szCs w:val="24"/>
        </w:rPr>
        <w:t>SE</w:t>
      </w:r>
      <w:r w:rsidR="006559DA">
        <w:rPr>
          <w:rFonts w:ascii="Times New Roman" w:hAnsi="Times New Roman" w:cs="Times New Roman"/>
          <w:sz w:val="24"/>
          <w:szCs w:val="24"/>
        </w:rPr>
        <w:t>M</w:t>
      </w:r>
      <w:proofErr w:type="spellEnd"/>
      <w:r w:rsidR="000C1B02">
        <w:rPr>
          <w:rFonts w:ascii="Times New Roman" w:hAnsi="Times New Roman" w:cs="Times New Roman"/>
          <w:sz w:val="24"/>
          <w:szCs w:val="24"/>
        </w:rPr>
        <w:t>) of SPOP, AR, and SRC-3 in disease and control samples</w:t>
      </w:r>
    </w:p>
    <w:p w:rsidR="00DC7975" w:rsidRPr="009051BD" w:rsidRDefault="008E0532" w:rsidP="006D3376">
      <w:pPr>
        <w:spacing w:line="360" w:lineRule="auto"/>
        <w:jc w:val="both"/>
        <w:rPr>
          <w:rFonts w:ascii="Times New Roman" w:hAnsi="Times New Roman" w:cs="Times New Roman"/>
          <w:sz w:val="24"/>
          <w:szCs w:val="24"/>
        </w:rPr>
      </w:pPr>
      <w:r>
        <w:rPr>
          <w:rFonts w:ascii="Times New Roman" w:hAnsi="Times New Roman" w:cs="Times New Roman"/>
          <w:sz w:val="24"/>
          <w:szCs w:val="24"/>
        </w:rPr>
        <w:t>Figures 7</w:t>
      </w:r>
      <w:r w:rsidR="009051BD" w:rsidRPr="009051BD">
        <w:rPr>
          <w:rFonts w:ascii="Times New Roman" w:hAnsi="Times New Roman" w:cs="Times New Roman"/>
          <w:sz w:val="24"/>
          <w:szCs w:val="24"/>
        </w:rPr>
        <w:t>,</w:t>
      </w:r>
      <w:r w:rsidR="009051BD">
        <w:rPr>
          <w:rFonts w:ascii="Times New Roman" w:hAnsi="Times New Roman" w:cs="Times New Roman"/>
          <w:sz w:val="24"/>
          <w:szCs w:val="24"/>
        </w:rPr>
        <w:t xml:space="preserve"> </w:t>
      </w:r>
      <w:r>
        <w:rPr>
          <w:rFonts w:ascii="Times New Roman" w:hAnsi="Times New Roman" w:cs="Times New Roman"/>
          <w:sz w:val="24"/>
          <w:szCs w:val="24"/>
        </w:rPr>
        <w:t>8</w:t>
      </w:r>
      <w:r w:rsidR="009051BD" w:rsidRPr="009051BD">
        <w:rPr>
          <w:rFonts w:ascii="Times New Roman" w:hAnsi="Times New Roman" w:cs="Times New Roman"/>
          <w:sz w:val="24"/>
          <w:szCs w:val="24"/>
        </w:rPr>
        <w:t>,</w:t>
      </w:r>
      <w:r>
        <w:rPr>
          <w:rFonts w:ascii="Times New Roman" w:hAnsi="Times New Roman" w:cs="Times New Roman"/>
          <w:sz w:val="24"/>
          <w:szCs w:val="24"/>
        </w:rPr>
        <w:t xml:space="preserve"> and 9</w:t>
      </w:r>
      <w:r w:rsidR="009051BD">
        <w:rPr>
          <w:rFonts w:ascii="Times New Roman" w:hAnsi="Times New Roman" w:cs="Times New Roman"/>
          <w:sz w:val="24"/>
          <w:szCs w:val="24"/>
        </w:rPr>
        <w:t xml:space="preserve"> show</w:t>
      </w:r>
      <w:r w:rsidR="00A7035C">
        <w:rPr>
          <w:rFonts w:ascii="Times New Roman" w:hAnsi="Times New Roman" w:cs="Times New Roman"/>
          <w:sz w:val="24"/>
          <w:szCs w:val="24"/>
        </w:rPr>
        <w:t>s the</w:t>
      </w:r>
      <w:r w:rsidR="009051BD" w:rsidRPr="009051BD">
        <w:rPr>
          <w:rFonts w:ascii="Times New Roman" w:hAnsi="Times New Roman" w:cs="Times New Roman"/>
          <w:sz w:val="24"/>
          <w:szCs w:val="24"/>
        </w:rPr>
        <w:t xml:space="preserve"> estimation plots of Welch's t-test for each protein comparing dise</w:t>
      </w:r>
      <w:r w:rsidR="009051BD">
        <w:rPr>
          <w:rFonts w:ascii="Times New Roman" w:hAnsi="Times New Roman" w:cs="Times New Roman"/>
          <w:sz w:val="24"/>
          <w:szCs w:val="24"/>
        </w:rPr>
        <w:t>ase and control samples. T</w:t>
      </w:r>
      <w:r w:rsidR="009051BD" w:rsidRPr="009051BD">
        <w:rPr>
          <w:rFonts w:ascii="Times New Roman" w:hAnsi="Times New Roman" w:cs="Times New Roman"/>
          <w:sz w:val="24"/>
          <w:szCs w:val="24"/>
        </w:rPr>
        <w:t>hese plots typically show the distribution of data points and the estimated difference between groups with confidence intervals.</w:t>
      </w:r>
      <w:r w:rsidR="00411D5F">
        <w:rPr>
          <w:rFonts w:ascii="Times New Roman" w:hAnsi="Times New Roman" w:cs="Times New Roman"/>
          <w:sz w:val="24"/>
          <w:szCs w:val="24"/>
        </w:rPr>
        <w:t xml:space="preserve"> </w:t>
      </w:r>
      <w:r w:rsidR="00DC7975" w:rsidRPr="007B2E8F">
        <w:rPr>
          <w:rFonts w:ascii="Times New Roman" w:hAnsi="Times New Roman" w:cs="Times New Roman"/>
          <w:sz w:val="24"/>
          <w:szCs w:val="24"/>
          <w:shd w:val="clear" w:color="auto" w:fill="FFFFFF"/>
        </w:rPr>
        <w:t xml:space="preserve">The mean </w:t>
      </w:r>
      <w:r w:rsidR="00DC7975">
        <w:rPr>
          <w:rFonts w:ascii="Times New Roman" w:hAnsi="Times New Roman" w:cs="Times New Roman"/>
          <w:bCs/>
          <w:sz w:val="24"/>
          <w:szCs w:val="24"/>
        </w:rPr>
        <w:t>SPOP protein</w:t>
      </w:r>
      <w:r w:rsidR="006205B3">
        <w:rPr>
          <w:rFonts w:ascii="Times New Roman" w:hAnsi="Times New Roman" w:cs="Times New Roman"/>
          <w:sz w:val="24"/>
          <w:szCs w:val="24"/>
          <w:shd w:val="clear" w:color="auto" w:fill="FFFFFF"/>
        </w:rPr>
        <w:t xml:space="preserve"> levels</w:t>
      </w:r>
      <w:r w:rsidR="00DC7975">
        <w:rPr>
          <w:rFonts w:ascii="Times New Roman" w:hAnsi="Times New Roman" w:cs="Times New Roman"/>
          <w:sz w:val="24"/>
          <w:szCs w:val="24"/>
          <w:shd w:val="clear" w:color="auto" w:fill="FFFFFF"/>
        </w:rPr>
        <w:t xml:space="preserve"> was 153.5 </w:t>
      </w:r>
      <w:proofErr w:type="spellStart"/>
      <w:r w:rsidR="00DC7975">
        <w:rPr>
          <w:rFonts w:ascii="Times New Roman" w:hAnsi="Times New Roman" w:cs="Times New Roman"/>
          <w:sz w:val="24"/>
          <w:szCs w:val="24"/>
          <w:shd w:val="clear" w:color="auto" w:fill="FFFFFF"/>
        </w:rPr>
        <w:t>ng</w:t>
      </w:r>
      <w:proofErr w:type="spellEnd"/>
      <w:r w:rsidR="00DC7975" w:rsidRPr="007B2E8F">
        <w:rPr>
          <w:rFonts w:ascii="Times New Roman" w:hAnsi="Times New Roman" w:cs="Times New Roman"/>
          <w:sz w:val="24"/>
          <w:szCs w:val="24"/>
          <w:shd w:val="clear" w:color="auto" w:fill="FFFFFF"/>
        </w:rPr>
        <w:t xml:space="preserve">/ml (95% CI, </w:t>
      </w:r>
      <w:r w:rsidR="00DC7975">
        <w:rPr>
          <w:rFonts w:ascii="Times New Roman" w:hAnsi="Times New Roman" w:cs="Times New Roman"/>
          <w:sz w:val="24"/>
          <w:szCs w:val="24"/>
          <w:shd w:val="clear" w:color="auto" w:fill="FFFFFF"/>
        </w:rPr>
        <w:t>119.0-</w:t>
      </w:r>
      <w:r w:rsidR="00DC7975" w:rsidRPr="007B2E8F">
        <w:rPr>
          <w:rFonts w:ascii="Times New Roman" w:hAnsi="Times New Roman" w:cs="Times New Roman"/>
          <w:sz w:val="24"/>
          <w:szCs w:val="24"/>
          <w:shd w:val="clear" w:color="auto" w:fill="FFFFFF"/>
        </w:rPr>
        <w:t xml:space="preserve">187.9) in cancer </w:t>
      </w:r>
      <w:r w:rsidR="00DC7975">
        <w:rPr>
          <w:rFonts w:ascii="Times New Roman" w:hAnsi="Times New Roman" w:cs="Times New Roman"/>
          <w:sz w:val="24"/>
          <w:szCs w:val="24"/>
          <w:shd w:val="clear" w:color="auto" w:fill="FFFFFF"/>
        </w:rPr>
        <w:t>plasma samples versus 161.4 </w:t>
      </w:r>
      <w:proofErr w:type="spellStart"/>
      <w:r w:rsidR="00DC7975">
        <w:rPr>
          <w:rFonts w:ascii="Times New Roman" w:hAnsi="Times New Roman" w:cs="Times New Roman"/>
          <w:sz w:val="24"/>
          <w:szCs w:val="24"/>
          <w:shd w:val="clear" w:color="auto" w:fill="FFFFFF"/>
        </w:rPr>
        <w:t>n</w:t>
      </w:r>
      <w:r w:rsidR="00DC7975" w:rsidRPr="007B2E8F">
        <w:rPr>
          <w:rFonts w:ascii="Times New Roman" w:hAnsi="Times New Roman" w:cs="Times New Roman"/>
          <w:sz w:val="24"/>
          <w:szCs w:val="24"/>
          <w:shd w:val="clear" w:color="auto" w:fill="FFFFFF"/>
        </w:rPr>
        <w:t>g</w:t>
      </w:r>
      <w:proofErr w:type="spellEnd"/>
      <w:r w:rsidR="00DC7975" w:rsidRPr="007B2E8F">
        <w:rPr>
          <w:rFonts w:ascii="Times New Roman" w:hAnsi="Times New Roman" w:cs="Times New Roman"/>
          <w:sz w:val="24"/>
          <w:szCs w:val="24"/>
          <w:shd w:val="clear" w:color="auto" w:fill="FFFFFF"/>
        </w:rPr>
        <w:t>/ml (95% CI</w:t>
      </w:r>
      <w:r w:rsidR="00DC7975">
        <w:rPr>
          <w:rFonts w:ascii="Times New Roman" w:hAnsi="Times New Roman" w:cs="Times New Roman"/>
          <w:sz w:val="24"/>
          <w:szCs w:val="24"/>
          <w:shd w:val="clear" w:color="auto" w:fill="FFFFFF"/>
        </w:rPr>
        <w:t>, 123.3-</w:t>
      </w:r>
      <w:r w:rsidR="00DC7975" w:rsidRPr="007B2E8F">
        <w:rPr>
          <w:rFonts w:ascii="Times New Roman" w:hAnsi="Times New Roman" w:cs="Times New Roman"/>
          <w:sz w:val="24"/>
          <w:szCs w:val="24"/>
          <w:shd w:val="clear" w:color="auto" w:fill="FFFFFF"/>
        </w:rPr>
        <w:t>199.5</w:t>
      </w:r>
      <w:r w:rsidR="00DC7975">
        <w:rPr>
          <w:rFonts w:ascii="Times New Roman" w:hAnsi="Times New Roman" w:cs="Times New Roman"/>
          <w:sz w:val="24"/>
          <w:szCs w:val="24"/>
          <w:shd w:val="clear" w:color="auto" w:fill="FFFFFF"/>
        </w:rPr>
        <w:t>) in non‐cancer plasma samples</w:t>
      </w:r>
      <w:r w:rsidR="00DC7975" w:rsidRPr="007B2E8F">
        <w:rPr>
          <w:rFonts w:ascii="Times New Roman" w:hAnsi="Times New Roman" w:cs="Times New Roman"/>
          <w:sz w:val="24"/>
          <w:szCs w:val="24"/>
          <w:shd w:val="clear" w:color="auto" w:fill="FFFFFF"/>
        </w:rPr>
        <w:t>. There was no significant difference in</w:t>
      </w:r>
      <w:r w:rsidR="006C2022">
        <w:rPr>
          <w:rFonts w:ascii="Times New Roman" w:hAnsi="Times New Roman" w:cs="Times New Roman"/>
          <w:sz w:val="24"/>
          <w:szCs w:val="24"/>
          <w:shd w:val="clear" w:color="auto" w:fill="FFFFFF"/>
        </w:rPr>
        <w:t xml:space="preserve"> the plasma levels of</w:t>
      </w:r>
      <w:r w:rsidR="00DC7975" w:rsidRPr="007B2E8F">
        <w:rPr>
          <w:rFonts w:ascii="Times New Roman" w:hAnsi="Times New Roman" w:cs="Times New Roman"/>
          <w:sz w:val="24"/>
          <w:szCs w:val="24"/>
          <w:shd w:val="clear" w:color="auto" w:fill="FFFFFF"/>
        </w:rPr>
        <w:t xml:space="preserve"> </w:t>
      </w:r>
      <w:r w:rsidR="00DC7975">
        <w:rPr>
          <w:rFonts w:ascii="Times New Roman" w:hAnsi="Times New Roman" w:cs="Times New Roman"/>
          <w:bCs/>
          <w:sz w:val="24"/>
          <w:szCs w:val="24"/>
        </w:rPr>
        <w:t>SPOP</w:t>
      </w:r>
      <w:r w:rsidR="00DC7975" w:rsidRPr="007B2E8F">
        <w:rPr>
          <w:rFonts w:ascii="Times New Roman" w:hAnsi="Times New Roman" w:cs="Times New Roman"/>
          <w:sz w:val="24"/>
          <w:szCs w:val="24"/>
          <w:shd w:val="clear" w:color="auto" w:fill="FFFFFF"/>
        </w:rPr>
        <w:t xml:space="preserve"> between cancer</w:t>
      </w:r>
      <w:r w:rsidR="006C2022">
        <w:rPr>
          <w:rFonts w:ascii="Times New Roman" w:hAnsi="Times New Roman" w:cs="Times New Roman"/>
          <w:sz w:val="24"/>
          <w:szCs w:val="24"/>
          <w:shd w:val="clear" w:color="auto" w:fill="FFFFFF"/>
        </w:rPr>
        <w:t>ou</w:t>
      </w:r>
      <w:r w:rsidR="00DC7975" w:rsidRPr="007B2E8F">
        <w:rPr>
          <w:rFonts w:ascii="Times New Roman" w:hAnsi="Times New Roman" w:cs="Times New Roman"/>
          <w:sz w:val="24"/>
          <w:szCs w:val="24"/>
          <w:shd w:val="clear" w:color="auto" w:fill="FFFFFF"/>
        </w:rPr>
        <w:t>s versu</w:t>
      </w:r>
      <w:r w:rsidR="006C2022">
        <w:rPr>
          <w:rFonts w:ascii="Times New Roman" w:hAnsi="Times New Roman" w:cs="Times New Roman"/>
          <w:sz w:val="24"/>
          <w:szCs w:val="24"/>
          <w:shd w:val="clear" w:color="auto" w:fill="FFFFFF"/>
        </w:rPr>
        <w:t>s non‐cancer</w:t>
      </w:r>
      <w:r w:rsidR="00DC7975">
        <w:rPr>
          <w:rFonts w:ascii="Times New Roman" w:hAnsi="Times New Roman" w:cs="Times New Roman"/>
          <w:sz w:val="24"/>
          <w:szCs w:val="24"/>
          <w:shd w:val="clear" w:color="auto" w:fill="FFFFFF"/>
        </w:rPr>
        <w:t xml:space="preserve"> samples</w:t>
      </w:r>
      <w:r w:rsidR="00DC7975" w:rsidRPr="007B2E8F">
        <w:rPr>
          <w:rFonts w:ascii="Times New Roman" w:hAnsi="Times New Roman" w:cs="Times New Roman"/>
          <w:sz w:val="24"/>
          <w:szCs w:val="24"/>
          <w:shd w:val="clear" w:color="auto" w:fill="FFFFFF"/>
        </w:rPr>
        <w:t xml:space="preserve"> (Figure </w:t>
      </w:r>
      <w:r w:rsidR="00DC7975">
        <w:rPr>
          <w:rFonts w:ascii="Times New Roman" w:hAnsi="Times New Roman" w:cs="Times New Roman"/>
          <w:sz w:val="24"/>
          <w:szCs w:val="24"/>
          <w:shd w:val="clear" w:color="auto" w:fill="FFFFFF"/>
        </w:rPr>
        <w:t>8</w:t>
      </w:r>
      <w:r w:rsidR="00DC7975" w:rsidRPr="007B2E8F">
        <w:rPr>
          <w:rFonts w:ascii="Times New Roman" w:hAnsi="Times New Roman" w:cs="Times New Roman"/>
          <w:sz w:val="24"/>
          <w:szCs w:val="24"/>
          <w:shd w:val="clear" w:color="auto" w:fill="FFFFFF"/>
        </w:rPr>
        <w:t>)</w:t>
      </w:r>
      <w:r w:rsidR="00DC7975">
        <w:rPr>
          <w:rFonts w:ascii="Times New Roman" w:hAnsi="Times New Roman" w:cs="Times New Roman"/>
          <w:sz w:val="24"/>
          <w:szCs w:val="24"/>
          <w:shd w:val="clear" w:color="auto" w:fill="FFFFFF"/>
        </w:rPr>
        <w:t>.</w:t>
      </w:r>
    </w:p>
    <w:p w:rsidR="000C1B02" w:rsidRDefault="000C1B02" w:rsidP="00DC7975">
      <w:pPr>
        <w:spacing w:line="360" w:lineRule="auto"/>
        <w:jc w:val="center"/>
        <w:rPr>
          <w:rFonts w:ascii="Times New Roman" w:hAnsi="Times New Roman" w:cs="Times New Roman"/>
          <w:sz w:val="24"/>
          <w:szCs w:val="24"/>
        </w:rPr>
      </w:pPr>
      <w:r w:rsidRPr="000C1B02">
        <w:rPr>
          <w:rFonts w:ascii="Times New Roman" w:hAnsi="Times New Roman" w:cs="Times New Roman"/>
          <w:noProof/>
          <w:sz w:val="24"/>
          <w:szCs w:val="24"/>
          <w:lang w:val="en-US"/>
        </w:rPr>
        <w:lastRenderedPageBreak/>
        <w:drawing>
          <wp:inline distT="0" distB="0" distL="0" distR="0" wp14:anchorId="1BA6A1F0" wp14:editId="629F2E41">
            <wp:extent cx="3787302" cy="3430270"/>
            <wp:effectExtent l="0" t="0" r="3810" b="0"/>
            <wp:docPr id="48" name="Picture 48" descr="C:\Users\PC\Desktop\Dissertation Files\ELISA ASSAYS\Estimation Plot_ Welch's t test of SP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C\Desktop\Dissertation Files\ELISA ASSAYS\Estimation Plot_ Welch's t test of SPOP.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803071" cy="3444552"/>
                    </a:xfrm>
                    <a:prstGeom prst="rect">
                      <a:avLst/>
                    </a:prstGeom>
                    <a:noFill/>
                    <a:ln>
                      <a:noFill/>
                    </a:ln>
                  </pic:spPr>
                </pic:pic>
              </a:graphicData>
            </a:graphic>
          </wp:inline>
        </w:drawing>
      </w:r>
    </w:p>
    <w:p w:rsidR="000C1B02" w:rsidRDefault="008E0532" w:rsidP="006D3376">
      <w:pPr>
        <w:spacing w:line="360" w:lineRule="auto"/>
        <w:jc w:val="both"/>
        <w:rPr>
          <w:rFonts w:ascii="Times New Roman" w:hAnsi="Times New Roman" w:cs="Times New Roman"/>
          <w:sz w:val="24"/>
          <w:szCs w:val="24"/>
        </w:rPr>
      </w:pPr>
      <w:r>
        <w:rPr>
          <w:rFonts w:ascii="Times New Roman" w:hAnsi="Times New Roman" w:cs="Times New Roman"/>
          <w:sz w:val="24"/>
          <w:szCs w:val="24"/>
        </w:rPr>
        <w:t>Figure 7</w:t>
      </w:r>
      <w:r w:rsidR="000C1B02" w:rsidRPr="000C1B02">
        <w:rPr>
          <w:rFonts w:ascii="Times New Roman" w:hAnsi="Times New Roman" w:cs="Times New Roman"/>
          <w:sz w:val="24"/>
          <w:szCs w:val="24"/>
        </w:rPr>
        <w:t>: Estimation plot of Welch's t test of SPOP protein in disease and control samples</w:t>
      </w:r>
    </w:p>
    <w:p w:rsidR="00DC7975" w:rsidRDefault="00DC7975" w:rsidP="006D3376">
      <w:pPr>
        <w:spacing w:line="36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 xml:space="preserve">The mean AR concentration was 67.42 </w:t>
      </w:r>
      <w:proofErr w:type="spellStart"/>
      <w:r>
        <w:rPr>
          <w:rFonts w:ascii="Times New Roman" w:hAnsi="Times New Roman" w:cs="Times New Roman"/>
          <w:sz w:val="24"/>
          <w:szCs w:val="24"/>
          <w:shd w:val="clear" w:color="auto" w:fill="FFFFFF"/>
        </w:rPr>
        <w:t>n</w:t>
      </w:r>
      <w:r w:rsidRPr="007B2E8F">
        <w:rPr>
          <w:rFonts w:ascii="Times New Roman" w:hAnsi="Times New Roman" w:cs="Times New Roman"/>
          <w:sz w:val="24"/>
          <w:szCs w:val="24"/>
          <w:shd w:val="clear" w:color="auto" w:fill="FFFFFF"/>
        </w:rPr>
        <w:t>g</w:t>
      </w:r>
      <w:proofErr w:type="spellEnd"/>
      <w:r w:rsidRPr="007B2E8F">
        <w:rPr>
          <w:rFonts w:ascii="Times New Roman" w:hAnsi="Times New Roman" w:cs="Times New Roman"/>
          <w:sz w:val="24"/>
          <w:szCs w:val="24"/>
          <w:shd w:val="clear" w:color="auto" w:fill="FFFFFF"/>
        </w:rPr>
        <w:t xml:space="preserve">/ml (95% CI, </w:t>
      </w:r>
      <w:r>
        <w:rPr>
          <w:rFonts w:ascii="Times New Roman" w:hAnsi="Times New Roman" w:cs="Times New Roman"/>
          <w:sz w:val="24"/>
          <w:szCs w:val="24"/>
          <w:shd w:val="clear" w:color="auto" w:fill="FFFFFF"/>
        </w:rPr>
        <w:t>63.18-</w:t>
      </w:r>
      <w:r w:rsidRPr="007B2E8F">
        <w:rPr>
          <w:rFonts w:ascii="Times New Roman" w:hAnsi="Times New Roman" w:cs="Times New Roman"/>
          <w:sz w:val="24"/>
          <w:szCs w:val="24"/>
          <w:shd w:val="clear" w:color="auto" w:fill="FFFFFF"/>
        </w:rPr>
        <w:t xml:space="preserve">71.66) in cancer </w:t>
      </w:r>
      <w:r>
        <w:rPr>
          <w:rFonts w:ascii="Times New Roman" w:hAnsi="Times New Roman" w:cs="Times New Roman"/>
          <w:sz w:val="24"/>
          <w:szCs w:val="24"/>
          <w:shd w:val="clear" w:color="auto" w:fill="FFFFFF"/>
        </w:rPr>
        <w:t>plasma samples versus 66.58 </w:t>
      </w:r>
      <w:proofErr w:type="spellStart"/>
      <w:r>
        <w:rPr>
          <w:rFonts w:ascii="Times New Roman" w:hAnsi="Times New Roman" w:cs="Times New Roman"/>
          <w:sz w:val="24"/>
          <w:szCs w:val="24"/>
          <w:shd w:val="clear" w:color="auto" w:fill="FFFFFF"/>
        </w:rPr>
        <w:t>n</w:t>
      </w:r>
      <w:r w:rsidRPr="007B2E8F">
        <w:rPr>
          <w:rFonts w:ascii="Times New Roman" w:hAnsi="Times New Roman" w:cs="Times New Roman"/>
          <w:sz w:val="24"/>
          <w:szCs w:val="24"/>
          <w:shd w:val="clear" w:color="auto" w:fill="FFFFFF"/>
        </w:rPr>
        <w:t>g</w:t>
      </w:r>
      <w:proofErr w:type="spellEnd"/>
      <w:r w:rsidRPr="007B2E8F">
        <w:rPr>
          <w:rFonts w:ascii="Times New Roman" w:hAnsi="Times New Roman" w:cs="Times New Roman"/>
          <w:sz w:val="24"/>
          <w:szCs w:val="24"/>
          <w:shd w:val="clear" w:color="auto" w:fill="FFFFFF"/>
        </w:rPr>
        <w:t>/ml (95% CI</w:t>
      </w:r>
      <w:r>
        <w:rPr>
          <w:rFonts w:ascii="Times New Roman" w:hAnsi="Times New Roman" w:cs="Times New Roman"/>
          <w:sz w:val="24"/>
          <w:szCs w:val="24"/>
          <w:shd w:val="clear" w:color="auto" w:fill="FFFFFF"/>
        </w:rPr>
        <w:t>, 56.41-</w:t>
      </w:r>
      <w:r w:rsidRPr="007B2E8F">
        <w:rPr>
          <w:rFonts w:ascii="Times New Roman" w:hAnsi="Times New Roman" w:cs="Times New Roman"/>
          <w:sz w:val="24"/>
          <w:szCs w:val="24"/>
          <w:shd w:val="clear" w:color="auto" w:fill="FFFFFF"/>
        </w:rPr>
        <w:t>76.76</w:t>
      </w:r>
      <w:r>
        <w:rPr>
          <w:rFonts w:ascii="Times New Roman" w:hAnsi="Times New Roman" w:cs="Times New Roman"/>
          <w:sz w:val="24"/>
          <w:szCs w:val="24"/>
          <w:shd w:val="clear" w:color="auto" w:fill="FFFFFF"/>
        </w:rPr>
        <w:t>) in non‐cancer plasma samples (Figure 9)</w:t>
      </w:r>
    </w:p>
    <w:p w:rsidR="000C1B02" w:rsidRDefault="000C1B02" w:rsidP="00DC7975">
      <w:pPr>
        <w:spacing w:line="360" w:lineRule="auto"/>
        <w:jc w:val="center"/>
        <w:rPr>
          <w:rFonts w:ascii="Times New Roman" w:hAnsi="Times New Roman" w:cs="Times New Roman"/>
          <w:sz w:val="24"/>
          <w:szCs w:val="24"/>
        </w:rPr>
      </w:pPr>
      <w:r w:rsidRPr="000C1B02">
        <w:rPr>
          <w:rFonts w:ascii="Times New Roman" w:hAnsi="Times New Roman" w:cs="Times New Roman"/>
          <w:noProof/>
          <w:sz w:val="24"/>
          <w:szCs w:val="24"/>
          <w:lang w:val="en-US"/>
        </w:rPr>
        <w:drawing>
          <wp:inline distT="0" distB="0" distL="0" distR="0" wp14:anchorId="0FBE6B0D" wp14:editId="171D99BB">
            <wp:extent cx="3851910" cy="3463046"/>
            <wp:effectExtent l="0" t="0" r="0" b="4445"/>
            <wp:docPr id="49" name="Picture 49" descr="C:\Users\PC\Desktop\Dissertation Files\ELISA ASSAYS\Estimation Plot_ Welch's t test of 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C\Desktop\Dissertation Files\ELISA ASSAYS\Estimation Plot_ Welch's t test of AR.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865955" cy="3475673"/>
                    </a:xfrm>
                    <a:prstGeom prst="rect">
                      <a:avLst/>
                    </a:prstGeom>
                    <a:noFill/>
                    <a:ln>
                      <a:noFill/>
                    </a:ln>
                  </pic:spPr>
                </pic:pic>
              </a:graphicData>
            </a:graphic>
          </wp:inline>
        </w:drawing>
      </w:r>
    </w:p>
    <w:p w:rsidR="000C1B02" w:rsidRDefault="008E0532" w:rsidP="000C1B02">
      <w:pPr>
        <w:spacing w:line="360" w:lineRule="auto"/>
        <w:jc w:val="both"/>
        <w:rPr>
          <w:rFonts w:ascii="Times New Roman" w:hAnsi="Times New Roman" w:cs="Times New Roman"/>
          <w:sz w:val="24"/>
          <w:szCs w:val="24"/>
        </w:rPr>
      </w:pPr>
      <w:r>
        <w:rPr>
          <w:rFonts w:ascii="Times New Roman" w:hAnsi="Times New Roman" w:cs="Times New Roman"/>
          <w:sz w:val="24"/>
          <w:szCs w:val="24"/>
        </w:rPr>
        <w:t>Figure 8</w:t>
      </w:r>
      <w:r w:rsidR="000C1B02" w:rsidRPr="000C1B02">
        <w:rPr>
          <w:rFonts w:ascii="Times New Roman" w:hAnsi="Times New Roman" w:cs="Times New Roman"/>
          <w:sz w:val="24"/>
          <w:szCs w:val="24"/>
        </w:rPr>
        <w:t xml:space="preserve">: Estimation plot of Welch's t test of </w:t>
      </w:r>
      <w:r w:rsidR="000C1B02">
        <w:rPr>
          <w:rFonts w:ascii="Times New Roman" w:hAnsi="Times New Roman" w:cs="Times New Roman"/>
          <w:sz w:val="24"/>
          <w:szCs w:val="24"/>
        </w:rPr>
        <w:t>AR</w:t>
      </w:r>
      <w:r w:rsidR="000C1B02" w:rsidRPr="000C1B02">
        <w:rPr>
          <w:rFonts w:ascii="Times New Roman" w:hAnsi="Times New Roman" w:cs="Times New Roman"/>
          <w:sz w:val="24"/>
          <w:szCs w:val="24"/>
        </w:rPr>
        <w:t xml:space="preserve"> protein in disease and control samples</w:t>
      </w:r>
    </w:p>
    <w:p w:rsidR="00DC7975" w:rsidRDefault="00DC7975" w:rsidP="000C1B02">
      <w:pPr>
        <w:spacing w:line="36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lastRenderedPageBreak/>
        <w:t>The mean SRC-3</w:t>
      </w:r>
      <w:r w:rsidRPr="007B2E8F">
        <w:rPr>
          <w:rFonts w:ascii="Times New Roman" w:hAnsi="Times New Roman" w:cs="Times New Roman"/>
          <w:sz w:val="24"/>
          <w:szCs w:val="24"/>
          <w:shd w:val="clear" w:color="auto" w:fill="FFFFFF"/>
        </w:rPr>
        <w:t xml:space="preserve"> concentration </w:t>
      </w:r>
      <w:r>
        <w:rPr>
          <w:rFonts w:ascii="Times New Roman" w:hAnsi="Times New Roman" w:cs="Times New Roman"/>
          <w:sz w:val="24"/>
          <w:szCs w:val="24"/>
          <w:shd w:val="clear" w:color="auto" w:fill="FFFFFF"/>
        </w:rPr>
        <w:t xml:space="preserve">was 56.35 </w:t>
      </w:r>
      <w:proofErr w:type="spellStart"/>
      <w:r>
        <w:rPr>
          <w:rFonts w:ascii="Times New Roman" w:hAnsi="Times New Roman" w:cs="Times New Roman"/>
          <w:sz w:val="24"/>
          <w:szCs w:val="24"/>
          <w:shd w:val="clear" w:color="auto" w:fill="FFFFFF"/>
        </w:rPr>
        <w:t>ng</w:t>
      </w:r>
      <w:proofErr w:type="spellEnd"/>
      <w:r w:rsidRPr="007B2E8F">
        <w:rPr>
          <w:rFonts w:ascii="Times New Roman" w:hAnsi="Times New Roman" w:cs="Times New Roman"/>
          <w:sz w:val="24"/>
          <w:szCs w:val="24"/>
          <w:shd w:val="clear" w:color="auto" w:fill="FFFFFF"/>
        </w:rPr>
        <w:t xml:space="preserve">/ml (95% CI, </w:t>
      </w:r>
      <w:r>
        <w:rPr>
          <w:rFonts w:ascii="Times New Roman" w:hAnsi="Times New Roman" w:cs="Times New Roman"/>
          <w:sz w:val="24"/>
          <w:szCs w:val="24"/>
          <w:shd w:val="clear" w:color="auto" w:fill="FFFFFF"/>
        </w:rPr>
        <w:t>52.51-</w:t>
      </w:r>
      <w:r w:rsidRPr="007B2E8F">
        <w:rPr>
          <w:rFonts w:ascii="Times New Roman" w:hAnsi="Times New Roman" w:cs="Times New Roman"/>
          <w:sz w:val="24"/>
          <w:szCs w:val="24"/>
          <w:shd w:val="clear" w:color="auto" w:fill="FFFFFF"/>
        </w:rPr>
        <w:t xml:space="preserve">60.18) in cancer </w:t>
      </w:r>
      <w:r>
        <w:rPr>
          <w:rFonts w:ascii="Times New Roman" w:hAnsi="Times New Roman" w:cs="Times New Roman"/>
          <w:sz w:val="24"/>
          <w:szCs w:val="24"/>
          <w:shd w:val="clear" w:color="auto" w:fill="FFFFFF"/>
        </w:rPr>
        <w:t xml:space="preserve">plasma samples versus 60.88 </w:t>
      </w:r>
      <w:proofErr w:type="spellStart"/>
      <w:r>
        <w:rPr>
          <w:rFonts w:ascii="Times New Roman" w:hAnsi="Times New Roman" w:cs="Times New Roman"/>
          <w:sz w:val="24"/>
          <w:szCs w:val="24"/>
          <w:shd w:val="clear" w:color="auto" w:fill="FFFFFF"/>
        </w:rPr>
        <w:t>n</w:t>
      </w:r>
      <w:r w:rsidRPr="007B2E8F">
        <w:rPr>
          <w:rFonts w:ascii="Times New Roman" w:hAnsi="Times New Roman" w:cs="Times New Roman"/>
          <w:sz w:val="24"/>
          <w:szCs w:val="24"/>
          <w:shd w:val="clear" w:color="auto" w:fill="FFFFFF"/>
        </w:rPr>
        <w:t>g</w:t>
      </w:r>
      <w:proofErr w:type="spellEnd"/>
      <w:r w:rsidRPr="007B2E8F">
        <w:rPr>
          <w:rFonts w:ascii="Times New Roman" w:hAnsi="Times New Roman" w:cs="Times New Roman"/>
          <w:sz w:val="24"/>
          <w:szCs w:val="24"/>
          <w:shd w:val="clear" w:color="auto" w:fill="FFFFFF"/>
        </w:rPr>
        <w:t>/ml (95% CI</w:t>
      </w:r>
      <w:r>
        <w:rPr>
          <w:rFonts w:ascii="Times New Roman" w:hAnsi="Times New Roman" w:cs="Times New Roman"/>
          <w:sz w:val="24"/>
          <w:szCs w:val="24"/>
          <w:shd w:val="clear" w:color="auto" w:fill="FFFFFF"/>
        </w:rPr>
        <w:t>, 52.37-</w:t>
      </w:r>
      <w:r w:rsidRPr="007B2E8F">
        <w:rPr>
          <w:rFonts w:ascii="Times New Roman" w:hAnsi="Times New Roman" w:cs="Times New Roman"/>
          <w:sz w:val="24"/>
          <w:szCs w:val="24"/>
          <w:shd w:val="clear" w:color="auto" w:fill="FFFFFF"/>
        </w:rPr>
        <w:t>69.39</w:t>
      </w:r>
      <w:r>
        <w:rPr>
          <w:rFonts w:ascii="Times New Roman" w:hAnsi="Times New Roman" w:cs="Times New Roman"/>
          <w:sz w:val="24"/>
          <w:szCs w:val="24"/>
          <w:shd w:val="clear" w:color="auto" w:fill="FFFFFF"/>
        </w:rPr>
        <w:t>) in non‐cancer plasma samples</w:t>
      </w:r>
      <w:r w:rsidRPr="007B2E8F">
        <w:rPr>
          <w:rFonts w:ascii="Times New Roman" w:hAnsi="Times New Roman" w:cs="Times New Roman"/>
          <w:sz w:val="24"/>
          <w:szCs w:val="24"/>
          <w:shd w:val="clear" w:color="auto" w:fill="FFFFFF"/>
        </w:rPr>
        <w:t>.</w:t>
      </w:r>
    </w:p>
    <w:p w:rsidR="000C1B02" w:rsidRPr="000C1B02" w:rsidRDefault="000C1B02" w:rsidP="00DC7975">
      <w:pPr>
        <w:spacing w:line="360" w:lineRule="auto"/>
        <w:jc w:val="center"/>
        <w:rPr>
          <w:rFonts w:ascii="Times New Roman" w:hAnsi="Times New Roman" w:cs="Times New Roman"/>
          <w:sz w:val="24"/>
          <w:szCs w:val="24"/>
        </w:rPr>
      </w:pPr>
      <w:r w:rsidRPr="000C1B02">
        <w:rPr>
          <w:rFonts w:ascii="Times New Roman" w:hAnsi="Times New Roman" w:cs="Times New Roman"/>
          <w:noProof/>
          <w:sz w:val="24"/>
          <w:szCs w:val="24"/>
          <w:lang w:val="en-US"/>
        </w:rPr>
        <w:drawing>
          <wp:inline distT="0" distB="0" distL="0" distR="0" wp14:anchorId="659F63C3" wp14:editId="2EC31EF6">
            <wp:extent cx="3735422" cy="3637915"/>
            <wp:effectExtent l="0" t="0" r="0" b="635"/>
            <wp:docPr id="50" name="Picture 50" descr="C:\Users\PC\Desktop\Dissertation Files\ELISA ASSAYS\Estimation Plot_ Welch's t test of SR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C\Desktop\Dissertation Files\ELISA ASSAYS\Estimation Plot_ Welch's t test of SRC-3.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747581" cy="3649757"/>
                    </a:xfrm>
                    <a:prstGeom prst="rect">
                      <a:avLst/>
                    </a:prstGeom>
                    <a:noFill/>
                    <a:ln>
                      <a:noFill/>
                    </a:ln>
                  </pic:spPr>
                </pic:pic>
              </a:graphicData>
            </a:graphic>
          </wp:inline>
        </w:drawing>
      </w:r>
    </w:p>
    <w:p w:rsidR="000C1B02" w:rsidRPr="000C1B02" w:rsidRDefault="008E0532" w:rsidP="000C1B02">
      <w:pPr>
        <w:spacing w:line="360" w:lineRule="auto"/>
        <w:jc w:val="both"/>
        <w:rPr>
          <w:rFonts w:ascii="Times New Roman" w:hAnsi="Times New Roman" w:cs="Times New Roman"/>
          <w:sz w:val="24"/>
          <w:szCs w:val="24"/>
        </w:rPr>
      </w:pPr>
      <w:r>
        <w:rPr>
          <w:rFonts w:ascii="Times New Roman" w:hAnsi="Times New Roman" w:cs="Times New Roman"/>
          <w:sz w:val="24"/>
          <w:szCs w:val="24"/>
        </w:rPr>
        <w:t>Figure 9</w:t>
      </w:r>
      <w:r w:rsidR="000C1B02" w:rsidRPr="000C1B02">
        <w:rPr>
          <w:rFonts w:ascii="Times New Roman" w:hAnsi="Times New Roman" w:cs="Times New Roman"/>
          <w:sz w:val="24"/>
          <w:szCs w:val="24"/>
        </w:rPr>
        <w:t xml:space="preserve">: Estimation plot of Welch's </w:t>
      </w:r>
      <w:r w:rsidR="00411D5F">
        <w:rPr>
          <w:rFonts w:ascii="Times New Roman" w:hAnsi="Times New Roman" w:cs="Times New Roman"/>
          <w:sz w:val="24"/>
          <w:szCs w:val="24"/>
        </w:rPr>
        <w:t>t-test</w:t>
      </w:r>
      <w:r w:rsidR="000C1B02" w:rsidRPr="000C1B02">
        <w:rPr>
          <w:rFonts w:ascii="Times New Roman" w:hAnsi="Times New Roman" w:cs="Times New Roman"/>
          <w:sz w:val="24"/>
          <w:szCs w:val="24"/>
        </w:rPr>
        <w:t xml:space="preserve"> of </w:t>
      </w:r>
      <w:r w:rsidR="000C1B02">
        <w:rPr>
          <w:rFonts w:ascii="Times New Roman" w:hAnsi="Times New Roman" w:cs="Times New Roman"/>
          <w:sz w:val="24"/>
          <w:szCs w:val="24"/>
        </w:rPr>
        <w:t>SRC-3</w:t>
      </w:r>
      <w:r w:rsidR="000C1B02" w:rsidRPr="000C1B02">
        <w:rPr>
          <w:rFonts w:ascii="Times New Roman" w:hAnsi="Times New Roman" w:cs="Times New Roman"/>
          <w:sz w:val="24"/>
          <w:szCs w:val="24"/>
        </w:rPr>
        <w:t xml:space="preserve"> protein in disease and control samples</w:t>
      </w:r>
    </w:p>
    <w:p w:rsidR="00DB0C4E" w:rsidRPr="00427179" w:rsidRDefault="00427179" w:rsidP="00DB0C4E">
      <w:pPr>
        <w:spacing w:line="360" w:lineRule="auto"/>
        <w:jc w:val="both"/>
        <w:rPr>
          <w:rFonts w:ascii="Times New Roman" w:hAnsi="Times New Roman" w:cs="Times New Roman"/>
          <w:sz w:val="24"/>
          <w:szCs w:val="24"/>
        </w:rPr>
      </w:pPr>
      <w:r w:rsidRPr="00427179">
        <w:rPr>
          <w:rFonts w:ascii="Times New Roman" w:hAnsi="Times New Roman" w:cs="Times New Roman"/>
          <w:sz w:val="24"/>
          <w:szCs w:val="24"/>
        </w:rPr>
        <w:t xml:space="preserve">The </w:t>
      </w:r>
      <w:r w:rsidR="001E51FB">
        <w:rPr>
          <w:rFonts w:ascii="Times New Roman" w:hAnsi="Times New Roman" w:cs="Times New Roman"/>
          <w:sz w:val="24"/>
          <w:szCs w:val="24"/>
        </w:rPr>
        <w:t xml:space="preserve">Pearson </w:t>
      </w:r>
      <w:r w:rsidRPr="00427179">
        <w:rPr>
          <w:rFonts w:ascii="Times New Roman" w:hAnsi="Times New Roman" w:cs="Times New Roman"/>
          <w:sz w:val="24"/>
          <w:szCs w:val="24"/>
        </w:rPr>
        <w:t>correlation analysis provides important insights beyond comparing mea</w:t>
      </w:r>
      <w:r w:rsidR="00325ADD">
        <w:rPr>
          <w:rFonts w:ascii="Times New Roman" w:hAnsi="Times New Roman" w:cs="Times New Roman"/>
          <w:sz w:val="24"/>
          <w:szCs w:val="24"/>
        </w:rPr>
        <w:t xml:space="preserve">n protein levels </w:t>
      </w:r>
      <w:r w:rsidRPr="00427179">
        <w:rPr>
          <w:rFonts w:ascii="Times New Roman" w:hAnsi="Times New Roman" w:cs="Times New Roman"/>
          <w:sz w:val="24"/>
          <w:szCs w:val="24"/>
        </w:rPr>
        <w:t xml:space="preserve">(Figure 13). </w:t>
      </w:r>
      <w:r w:rsidR="00DB0C4E" w:rsidRPr="00427179">
        <w:rPr>
          <w:rFonts w:ascii="Times New Roman" w:hAnsi="Times New Roman" w:cs="Times New Roman"/>
          <w:sz w:val="24"/>
          <w:szCs w:val="24"/>
        </w:rPr>
        <w:t>The Pearson correlation coefficient (</w:t>
      </w:r>
      <w:r w:rsidR="00DB0C4E">
        <w:rPr>
          <w:rFonts w:ascii="Times New Roman" w:hAnsi="Times New Roman" w:cs="Times New Roman"/>
          <w:sz w:val="24"/>
          <w:szCs w:val="24"/>
        </w:rPr>
        <w:t>r) between AR levels and SRC-3 was an exceptionally high 0.9</w:t>
      </w:r>
      <w:r w:rsidR="00DB0C4E" w:rsidRPr="00427179">
        <w:rPr>
          <w:rFonts w:ascii="Times New Roman" w:hAnsi="Times New Roman" w:cs="Times New Roman"/>
          <w:sz w:val="24"/>
          <w:szCs w:val="24"/>
        </w:rPr>
        <w:t>, indicating a very strong, positive, and statistically significant (p &lt; 0.0001).</w:t>
      </w:r>
      <w:r w:rsidR="00DB0C4E">
        <w:rPr>
          <w:rFonts w:ascii="Times New Roman" w:hAnsi="Times New Roman" w:cs="Times New Roman"/>
          <w:sz w:val="24"/>
          <w:szCs w:val="24"/>
        </w:rPr>
        <w:t xml:space="preserve"> </w:t>
      </w:r>
      <w:r w:rsidR="00DB0C4E" w:rsidRPr="00427179">
        <w:rPr>
          <w:rFonts w:ascii="Times New Roman" w:hAnsi="Times New Roman" w:cs="Times New Roman"/>
          <w:sz w:val="24"/>
          <w:szCs w:val="24"/>
        </w:rPr>
        <w:t>This extremely robu</w:t>
      </w:r>
      <w:r w:rsidR="00DB0C4E">
        <w:rPr>
          <w:rFonts w:ascii="Times New Roman" w:hAnsi="Times New Roman" w:cs="Times New Roman"/>
          <w:sz w:val="24"/>
          <w:szCs w:val="24"/>
        </w:rPr>
        <w:t>st correlation implies that AR</w:t>
      </w:r>
      <w:r w:rsidR="00DB0C4E" w:rsidRPr="00427179">
        <w:rPr>
          <w:rFonts w:ascii="Times New Roman" w:hAnsi="Times New Roman" w:cs="Times New Roman"/>
          <w:sz w:val="24"/>
          <w:szCs w:val="24"/>
        </w:rPr>
        <w:t xml:space="preserve"> levels are distributed similarl</w:t>
      </w:r>
      <w:r w:rsidR="00DB0C4E">
        <w:rPr>
          <w:rFonts w:ascii="Times New Roman" w:hAnsi="Times New Roman" w:cs="Times New Roman"/>
          <w:sz w:val="24"/>
          <w:szCs w:val="24"/>
        </w:rPr>
        <w:t xml:space="preserve">y to SRC-3 levels. </w:t>
      </w:r>
      <w:r w:rsidR="00DB0C4E" w:rsidRPr="00DB0C4E">
        <w:rPr>
          <w:rFonts w:ascii="Times New Roman" w:hAnsi="Times New Roman" w:cs="Times New Roman"/>
          <w:sz w:val="24"/>
          <w:szCs w:val="24"/>
        </w:rPr>
        <w:t>This could imply that these proteins may work synergistically i</w:t>
      </w:r>
      <w:r w:rsidR="00987628">
        <w:rPr>
          <w:rFonts w:ascii="Times New Roman" w:hAnsi="Times New Roman" w:cs="Times New Roman"/>
          <w:sz w:val="24"/>
          <w:szCs w:val="24"/>
        </w:rPr>
        <w:t xml:space="preserve">n the context of </w:t>
      </w:r>
      <w:proofErr w:type="spellStart"/>
      <w:r w:rsidR="00987628">
        <w:rPr>
          <w:rFonts w:ascii="Times New Roman" w:hAnsi="Times New Roman" w:cs="Times New Roman"/>
          <w:sz w:val="24"/>
          <w:szCs w:val="24"/>
        </w:rPr>
        <w:t>PCa</w:t>
      </w:r>
      <w:proofErr w:type="spellEnd"/>
      <w:r w:rsidR="00DB0C4E" w:rsidRPr="00DB0C4E">
        <w:rPr>
          <w:rFonts w:ascii="Times New Roman" w:hAnsi="Times New Roman" w:cs="Times New Roman"/>
          <w:sz w:val="24"/>
          <w:szCs w:val="24"/>
        </w:rPr>
        <w:t xml:space="preserve"> progression and response to treatment.</w:t>
      </w:r>
      <w:r w:rsidR="00DB0C4E">
        <w:rPr>
          <w:rFonts w:ascii="Times New Roman" w:hAnsi="Times New Roman" w:cs="Times New Roman"/>
          <w:sz w:val="24"/>
          <w:szCs w:val="24"/>
        </w:rPr>
        <w:t xml:space="preserve"> T</w:t>
      </w:r>
      <w:r w:rsidR="00DB0C4E" w:rsidRPr="00427179">
        <w:rPr>
          <w:rFonts w:ascii="Times New Roman" w:hAnsi="Times New Roman" w:cs="Times New Roman"/>
          <w:sz w:val="24"/>
          <w:szCs w:val="24"/>
        </w:rPr>
        <w:t>he correlation between</w:t>
      </w:r>
      <w:r w:rsidR="00DB0C4E">
        <w:rPr>
          <w:rFonts w:ascii="Times New Roman" w:hAnsi="Times New Roman" w:cs="Times New Roman"/>
          <w:sz w:val="24"/>
          <w:szCs w:val="24"/>
        </w:rPr>
        <w:t xml:space="preserve"> SPOP and AR levels</w:t>
      </w:r>
      <w:r w:rsidR="00DB0C4E" w:rsidRPr="00427179">
        <w:rPr>
          <w:rFonts w:ascii="Times New Roman" w:hAnsi="Times New Roman" w:cs="Times New Roman"/>
          <w:sz w:val="24"/>
          <w:szCs w:val="24"/>
        </w:rPr>
        <w:t xml:space="preserve"> while still statistically significant (p &lt; 0.0001),</w:t>
      </w:r>
      <w:r w:rsidR="00DB0C4E">
        <w:rPr>
          <w:rFonts w:ascii="Times New Roman" w:hAnsi="Times New Roman" w:cs="Times New Roman"/>
          <w:sz w:val="24"/>
          <w:szCs w:val="24"/>
        </w:rPr>
        <w:t xml:space="preserve"> was moderately high (r = 0.7). Also, the correlation between SPOP and SRC-3 was </w:t>
      </w:r>
      <w:r w:rsidR="00DB0C4E" w:rsidRPr="00427179">
        <w:rPr>
          <w:rFonts w:ascii="Times New Roman" w:hAnsi="Times New Roman" w:cs="Times New Roman"/>
          <w:sz w:val="24"/>
          <w:szCs w:val="24"/>
        </w:rPr>
        <w:t>still statistically significant (p &lt; 0.0001),</w:t>
      </w:r>
      <w:r w:rsidR="00DB0C4E">
        <w:rPr>
          <w:rFonts w:ascii="Times New Roman" w:hAnsi="Times New Roman" w:cs="Times New Roman"/>
          <w:sz w:val="24"/>
          <w:szCs w:val="24"/>
        </w:rPr>
        <w:t xml:space="preserve"> was more moderate (r = 0.6)</w:t>
      </w:r>
      <w:r w:rsidR="00DB0C4E" w:rsidRPr="00427179">
        <w:rPr>
          <w:rFonts w:ascii="Times New Roman" w:hAnsi="Times New Roman" w:cs="Times New Roman"/>
          <w:sz w:val="24"/>
          <w:szCs w:val="24"/>
        </w:rPr>
        <w:t>.</w:t>
      </w:r>
      <w:r w:rsidR="00DB0C4E">
        <w:rPr>
          <w:rFonts w:ascii="Times New Roman" w:hAnsi="Times New Roman" w:cs="Times New Roman"/>
          <w:sz w:val="24"/>
          <w:szCs w:val="24"/>
        </w:rPr>
        <w:t xml:space="preserve"> The results indicate positive </w:t>
      </w:r>
      <w:r w:rsidR="00DB0C4E" w:rsidRPr="00427179">
        <w:rPr>
          <w:rFonts w:ascii="Times New Roman" w:hAnsi="Times New Roman" w:cs="Times New Roman"/>
          <w:sz w:val="24"/>
          <w:szCs w:val="24"/>
        </w:rPr>
        <w:t>relationsh</w:t>
      </w:r>
      <w:r w:rsidR="00DB0C4E">
        <w:rPr>
          <w:rFonts w:ascii="Times New Roman" w:hAnsi="Times New Roman" w:cs="Times New Roman"/>
          <w:sz w:val="24"/>
          <w:szCs w:val="24"/>
        </w:rPr>
        <w:t>ip between three protein levels</w:t>
      </w:r>
      <w:r w:rsidR="00DB0C4E" w:rsidRPr="00427179">
        <w:rPr>
          <w:rFonts w:ascii="Times New Roman" w:hAnsi="Times New Roman" w:cs="Times New Roman"/>
          <w:sz w:val="24"/>
          <w:szCs w:val="24"/>
        </w:rPr>
        <w:t>.</w:t>
      </w:r>
      <w:r w:rsidR="00DB0C4E">
        <w:rPr>
          <w:rFonts w:ascii="Times New Roman" w:hAnsi="Times New Roman" w:cs="Times New Roman"/>
          <w:sz w:val="24"/>
          <w:szCs w:val="24"/>
        </w:rPr>
        <w:t xml:space="preserve"> All </w:t>
      </w:r>
      <w:r w:rsidR="00DB0C4E" w:rsidRPr="00DB0C4E">
        <w:rPr>
          <w:rFonts w:ascii="Times New Roman" w:hAnsi="Times New Roman" w:cs="Times New Roman"/>
          <w:sz w:val="24"/>
          <w:szCs w:val="24"/>
        </w:rPr>
        <w:t>the correlations are statistically significant, providing evidence that the interplay between SPOP, AR, and SRC-3 is meaningful in the context of prostate cancer.</w:t>
      </w:r>
    </w:p>
    <w:p w:rsidR="00DB0C4E" w:rsidRDefault="00DB0C4E" w:rsidP="001E51FB">
      <w:pPr>
        <w:spacing w:line="360" w:lineRule="auto"/>
        <w:jc w:val="both"/>
        <w:rPr>
          <w:rFonts w:ascii="Times New Roman" w:hAnsi="Times New Roman" w:cs="Times New Roman"/>
          <w:sz w:val="24"/>
          <w:szCs w:val="24"/>
        </w:rPr>
      </w:pPr>
    </w:p>
    <w:p w:rsidR="00427179" w:rsidRDefault="00325ADD" w:rsidP="001E51FB">
      <w:pPr>
        <w:jc w:val="center"/>
        <w:rPr>
          <w:rFonts w:ascii="Times New Roman" w:hAnsi="Times New Roman" w:cs="Times New Roman"/>
          <w:sz w:val="24"/>
          <w:szCs w:val="24"/>
        </w:rPr>
      </w:pPr>
      <w:r w:rsidRPr="00325ADD">
        <w:rPr>
          <w:rFonts w:ascii="Times New Roman" w:hAnsi="Times New Roman" w:cs="Times New Roman"/>
          <w:noProof/>
          <w:sz w:val="24"/>
          <w:szCs w:val="24"/>
          <w:lang w:val="en-US"/>
        </w:rPr>
        <w:lastRenderedPageBreak/>
        <w:drawing>
          <wp:inline distT="0" distB="0" distL="0" distR="0" wp14:anchorId="131EE535" wp14:editId="4069C04F">
            <wp:extent cx="5731510" cy="438785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4387850"/>
                    </a:xfrm>
                    <a:prstGeom prst="rect">
                      <a:avLst/>
                    </a:prstGeom>
                  </pic:spPr>
                </pic:pic>
              </a:graphicData>
            </a:graphic>
          </wp:inline>
        </w:drawing>
      </w:r>
    </w:p>
    <w:p w:rsidR="00122917" w:rsidRPr="00427179" w:rsidRDefault="008E0532" w:rsidP="00DB0C4E">
      <w:pPr>
        <w:jc w:val="both"/>
        <w:rPr>
          <w:rFonts w:ascii="Times New Roman" w:hAnsi="Times New Roman" w:cs="Times New Roman"/>
          <w:sz w:val="24"/>
          <w:szCs w:val="24"/>
        </w:rPr>
      </w:pPr>
      <w:r>
        <w:rPr>
          <w:rFonts w:ascii="Times New Roman" w:hAnsi="Times New Roman" w:cs="Times New Roman"/>
          <w:sz w:val="24"/>
          <w:szCs w:val="24"/>
        </w:rPr>
        <w:t>Figure 10</w:t>
      </w:r>
      <w:r w:rsidR="00427179">
        <w:rPr>
          <w:rFonts w:ascii="Times New Roman" w:hAnsi="Times New Roman" w:cs="Times New Roman"/>
          <w:sz w:val="24"/>
          <w:szCs w:val="24"/>
        </w:rPr>
        <w:t xml:space="preserve">: </w:t>
      </w:r>
      <w:r w:rsidR="00325ADD">
        <w:rPr>
          <w:rFonts w:ascii="Times New Roman" w:hAnsi="Times New Roman" w:cs="Times New Roman"/>
          <w:sz w:val="24"/>
          <w:szCs w:val="24"/>
        </w:rPr>
        <w:t>Scatter matrix plot</w:t>
      </w:r>
      <w:r w:rsidR="002A0BA3">
        <w:rPr>
          <w:rFonts w:ascii="Times New Roman" w:hAnsi="Times New Roman" w:cs="Times New Roman"/>
          <w:sz w:val="24"/>
          <w:szCs w:val="24"/>
        </w:rPr>
        <w:t xml:space="preserve"> of the c</w:t>
      </w:r>
      <w:r w:rsidR="00427179" w:rsidRPr="00427179">
        <w:rPr>
          <w:rFonts w:ascii="Times New Roman" w:hAnsi="Times New Roman" w:cs="Times New Roman"/>
          <w:sz w:val="24"/>
          <w:szCs w:val="24"/>
        </w:rPr>
        <w:t>or</w:t>
      </w:r>
      <w:r w:rsidR="00427179">
        <w:rPr>
          <w:rFonts w:ascii="Times New Roman" w:hAnsi="Times New Roman" w:cs="Times New Roman"/>
          <w:sz w:val="24"/>
          <w:szCs w:val="24"/>
        </w:rPr>
        <w:t>relation of SPOP, AR and SRC-3 levels</w:t>
      </w:r>
      <w:r w:rsidR="00DB0C4E">
        <w:rPr>
          <w:rFonts w:ascii="Times New Roman" w:hAnsi="Times New Roman" w:cs="Times New Roman"/>
          <w:sz w:val="24"/>
          <w:szCs w:val="24"/>
        </w:rPr>
        <w:t xml:space="preserve">. The plot </w:t>
      </w:r>
      <w:r w:rsidR="00DB0C4E" w:rsidRPr="00DB0C4E">
        <w:rPr>
          <w:rFonts w:ascii="Times New Roman" w:hAnsi="Times New Roman" w:cs="Times New Roman"/>
          <w:sz w:val="24"/>
          <w:szCs w:val="24"/>
        </w:rPr>
        <w:t>visually represents the relationships between the protein levels. Each scatter plot in the matrix shows the distribution of two variables and helps identify patterns, trends, or outliers. This visual representation can complement the statistical results by providing a clearer picture of how the proteins interact with one another.</w:t>
      </w:r>
    </w:p>
    <w:p w:rsidR="00F77439" w:rsidRPr="002E7761" w:rsidRDefault="00D84CF6" w:rsidP="006D3376">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4.2</w:t>
      </w:r>
      <w:r w:rsidR="00BA6281">
        <w:rPr>
          <w:rFonts w:ascii="Times New Roman" w:hAnsi="Times New Roman" w:cs="Times New Roman"/>
          <w:b/>
          <w:bCs/>
          <w:sz w:val="24"/>
          <w:szCs w:val="24"/>
          <w:lang w:val="en-US"/>
        </w:rPr>
        <w:t xml:space="preserve"> </w:t>
      </w:r>
      <w:r w:rsidR="006C2022">
        <w:rPr>
          <w:rFonts w:ascii="Times New Roman" w:hAnsi="Times New Roman" w:cs="Times New Roman"/>
          <w:b/>
          <w:bCs/>
          <w:sz w:val="24"/>
          <w:szCs w:val="24"/>
          <w:lang w:val="en-US"/>
        </w:rPr>
        <w:t>Therapeutic Potentials of Pure Compounds using Computational simulations</w:t>
      </w:r>
    </w:p>
    <w:p w:rsidR="00122917" w:rsidRPr="00122917" w:rsidRDefault="00D84CF6" w:rsidP="006D337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4.2.1 </w:t>
      </w:r>
      <w:r w:rsidR="00122917" w:rsidRPr="00122917">
        <w:rPr>
          <w:rFonts w:ascii="Times New Roman" w:eastAsia="Times New Roman" w:hAnsi="Times New Roman" w:cs="Times New Roman"/>
          <w:b/>
          <w:sz w:val="24"/>
          <w:szCs w:val="24"/>
        </w:rPr>
        <w:t>Ligands</w:t>
      </w:r>
    </w:p>
    <w:p w:rsidR="00F77439" w:rsidRPr="002E7761" w:rsidRDefault="00F77439" w:rsidP="006D3376">
      <w:pPr>
        <w:spacing w:line="360" w:lineRule="auto"/>
        <w:jc w:val="both"/>
        <w:rPr>
          <w:rFonts w:ascii="Times New Roman" w:eastAsia="Times New Roman" w:hAnsi="Times New Roman" w:cs="Times New Roman"/>
          <w:b/>
          <w:sz w:val="24"/>
          <w:szCs w:val="24"/>
        </w:rPr>
      </w:pPr>
      <w:r w:rsidRPr="002E7761">
        <w:rPr>
          <w:rFonts w:ascii="Times New Roman" w:eastAsia="Times New Roman" w:hAnsi="Times New Roman" w:cs="Times New Roman"/>
          <w:sz w:val="24"/>
          <w:szCs w:val="24"/>
        </w:rPr>
        <w:t xml:space="preserve">The pure compounds of </w:t>
      </w:r>
      <w:r w:rsidRPr="00BA6281">
        <w:rPr>
          <w:rFonts w:ascii="Times New Roman" w:eastAsia="Times New Roman" w:hAnsi="Times New Roman" w:cs="Times New Roman"/>
          <w:i/>
          <w:sz w:val="24"/>
          <w:szCs w:val="24"/>
        </w:rPr>
        <w:t xml:space="preserve">C. </w:t>
      </w:r>
      <w:proofErr w:type="spellStart"/>
      <w:r w:rsidRPr="00BA6281">
        <w:rPr>
          <w:rFonts w:ascii="Times New Roman" w:eastAsia="Times New Roman" w:hAnsi="Times New Roman" w:cs="Times New Roman"/>
          <w:i/>
          <w:sz w:val="24"/>
          <w:szCs w:val="24"/>
        </w:rPr>
        <w:t>bonduc</w:t>
      </w:r>
      <w:proofErr w:type="spellEnd"/>
      <w:r w:rsidRPr="002E7761">
        <w:rPr>
          <w:rFonts w:ascii="Times New Roman" w:eastAsia="Times New Roman" w:hAnsi="Times New Roman" w:cs="Times New Roman"/>
          <w:sz w:val="24"/>
          <w:szCs w:val="24"/>
        </w:rPr>
        <w:t xml:space="preserve"> were already identified </w:t>
      </w:r>
      <w:r w:rsidRPr="002E7761">
        <w:rPr>
          <w:rFonts w:ascii="Times New Roman" w:eastAsia="Times New Roman" w:hAnsi="Times New Roman" w:cs="Times New Roman"/>
          <w:sz w:val="24"/>
          <w:szCs w:val="24"/>
        </w:rPr>
        <w:fldChar w:fldCharType="begin"/>
      </w:r>
      <w:r w:rsidRPr="002E7761">
        <w:rPr>
          <w:rFonts w:ascii="Times New Roman" w:eastAsia="Times New Roman" w:hAnsi="Times New Roman" w:cs="Times New Roman"/>
          <w:sz w:val="24"/>
          <w:szCs w:val="24"/>
        </w:rPr>
        <w:instrText xml:space="preserve"> ADDIN ZOTERO_ITEM CSL_CITATION {"citationID":"LnAqFqsr","properties":{"formattedCitation":"(Ogunlana, 2012)","plainCitation":"(Ogunlana, 2012)","noteIndex":0},"citationItems":[{"id":673,"uris":["http://zotero.org/users/11300200/items/SY94WX7W"],"itemData":{"id":673,"type":"thesis","event-place":"Ota, Nigeria","language":"en","publisher":"Covenanat University","publisher-place":"Ota, Nigeria","source":"Zotero","title":"PHYTOCHEMICAL, BIOLOGICAL AND TOXICOLOGICAL STUDIES OF THE EXTRACTS OF YOUNG TWIGS AND LEAVES OF GRAY NICKER NUT","URL":"http://eprints.covenantuniversity.edu.ng/1156/1/CUGP070176-Olubanke%20Olujoke%20Ogunlana.pdf","author":[{"family":"Ogunlana","given":"Olubanke Olujoke"}],"issued":{"date-parts":[["2012"]]}}}],"schema":"https://github.com/citation-style-language/schema/raw/master/csl-citation.json"} </w:instrText>
      </w:r>
      <w:r w:rsidRPr="002E7761">
        <w:rPr>
          <w:rFonts w:ascii="Times New Roman" w:eastAsia="Times New Roman" w:hAnsi="Times New Roman" w:cs="Times New Roman"/>
          <w:sz w:val="24"/>
          <w:szCs w:val="24"/>
        </w:rPr>
        <w:fldChar w:fldCharType="separate"/>
      </w:r>
      <w:r w:rsidR="00A316B3" w:rsidRPr="00A316B3">
        <w:rPr>
          <w:rFonts w:ascii="Times New Roman" w:hAnsi="Times New Roman" w:cs="Times New Roman"/>
          <w:sz w:val="24"/>
        </w:rPr>
        <w:t>(Ogunlana, 2012)</w:t>
      </w:r>
      <w:r w:rsidRPr="002E7761">
        <w:rPr>
          <w:rFonts w:ascii="Times New Roman" w:eastAsia="Times New Roman" w:hAnsi="Times New Roman" w:cs="Times New Roman"/>
          <w:sz w:val="24"/>
          <w:szCs w:val="24"/>
        </w:rPr>
        <w:fldChar w:fldCharType="end"/>
      </w:r>
      <w:r w:rsidRPr="002E7761">
        <w:rPr>
          <w:rFonts w:ascii="Times New Roman" w:eastAsia="Times New Roman" w:hAnsi="Times New Roman" w:cs="Times New Roman"/>
          <w:sz w:val="24"/>
          <w:szCs w:val="24"/>
        </w:rPr>
        <w:t>. The chemical structures of the selected compounds for the analysis, including 4,4'-dihydroxy-2'-methoxy-chalcone, 7,4'-dihydroxy-3,11-dehydrohomoisoflavanone, 5,7,3',4'-tetrahydroxy-flavone (</w:t>
      </w:r>
      <w:proofErr w:type="spellStart"/>
      <w:r w:rsidRPr="002E7761">
        <w:rPr>
          <w:rFonts w:ascii="Times New Roman" w:eastAsia="Times New Roman" w:hAnsi="Times New Roman" w:cs="Times New Roman"/>
          <w:sz w:val="24"/>
          <w:szCs w:val="24"/>
        </w:rPr>
        <w:t>Luteolin</w:t>
      </w:r>
      <w:proofErr w:type="spellEnd"/>
      <w:r w:rsidRPr="002E7761">
        <w:rPr>
          <w:rFonts w:ascii="Times New Roman" w:eastAsia="Times New Roman" w:hAnsi="Times New Roman" w:cs="Times New Roman"/>
          <w:sz w:val="24"/>
          <w:szCs w:val="24"/>
        </w:rPr>
        <w:t>), and 7,3',4'-tetrahydroxy-3-methoxyflavone (quercetin-3-methyl ether), are depicted</w:t>
      </w:r>
      <w:r w:rsidRPr="002E7761">
        <w:rPr>
          <w:rFonts w:ascii="Times New Roman" w:hAnsi="Times New Roman" w:cs="Times New Roman"/>
          <w:sz w:val="24"/>
          <w:szCs w:val="24"/>
        </w:rPr>
        <w:t xml:space="preserve"> </w:t>
      </w:r>
      <w:r w:rsidR="006C2022">
        <w:rPr>
          <w:rFonts w:ascii="Times New Roman" w:eastAsia="Times New Roman" w:hAnsi="Times New Roman" w:cs="Times New Roman"/>
          <w:sz w:val="24"/>
          <w:szCs w:val="24"/>
        </w:rPr>
        <w:t>COMP1, COMP2, COMP3 and COMP4</w:t>
      </w:r>
      <w:r w:rsidRPr="002E7761">
        <w:rPr>
          <w:rFonts w:ascii="Times New Roman" w:eastAsia="Times New Roman" w:hAnsi="Times New Roman" w:cs="Times New Roman"/>
          <w:sz w:val="24"/>
          <w:szCs w:val="24"/>
        </w:rPr>
        <w:t xml:space="preserve"> respectively. The structure of </w:t>
      </w:r>
      <w:r w:rsidR="006C2022">
        <w:rPr>
          <w:rFonts w:ascii="Times New Roman" w:eastAsia="Times New Roman" w:hAnsi="Times New Roman" w:cs="Times New Roman"/>
          <w:sz w:val="24"/>
          <w:szCs w:val="24"/>
        </w:rPr>
        <w:t>COMP1, COMP2, COMP3 and COMP4</w:t>
      </w:r>
      <w:r w:rsidR="006C2022" w:rsidRPr="002E7761">
        <w:rPr>
          <w:rFonts w:ascii="Times New Roman" w:eastAsia="Times New Roman" w:hAnsi="Times New Roman" w:cs="Times New Roman"/>
          <w:sz w:val="24"/>
          <w:szCs w:val="24"/>
        </w:rPr>
        <w:t xml:space="preserve"> </w:t>
      </w:r>
      <w:r w:rsidRPr="002E7761">
        <w:rPr>
          <w:rFonts w:ascii="Times New Roman" w:eastAsia="Times New Roman" w:hAnsi="Times New Roman" w:cs="Times New Roman"/>
          <w:sz w:val="24"/>
          <w:szCs w:val="24"/>
        </w:rPr>
        <w:t>was identified as 4,4'-dihydroxy-2'-methoxy-chalcone (2'-methoxyisoliquiritigenin), 7,4'-dihydroxy-3,11-dehydrohomoisoflavanone, 5,7,3',4'-tetrahydroxy-flavone (</w:t>
      </w:r>
      <w:proofErr w:type="spellStart"/>
      <w:r w:rsidRPr="002E7761">
        <w:rPr>
          <w:rFonts w:ascii="Times New Roman" w:eastAsia="Times New Roman" w:hAnsi="Times New Roman" w:cs="Times New Roman"/>
          <w:sz w:val="24"/>
          <w:szCs w:val="24"/>
        </w:rPr>
        <w:t>Luteolin</w:t>
      </w:r>
      <w:proofErr w:type="spellEnd"/>
      <w:r w:rsidRPr="002E7761">
        <w:rPr>
          <w:rFonts w:ascii="Times New Roman" w:eastAsia="Times New Roman" w:hAnsi="Times New Roman" w:cs="Times New Roman"/>
          <w:sz w:val="24"/>
          <w:szCs w:val="24"/>
        </w:rPr>
        <w:t>), and  7,3',4'-tetrahydroxy-3-methoxyflavone (quercetin-3-methyl ether) respectively  (Figure 1</w:t>
      </w:r>
      <w:r w:rsidR="006C2022">
        <w:rPr>
          <w:rFonts w:ascii="Times New Roman" w:eastAsia="Times New Roman" w:hAnsi="Times New Roman" w:cs="Times New Roman"/>
          <w:sz w:val="24"/>
          <w:szCs w:val="24"/>
        </w:rPr>
        <w:t>1</w:t>
      </w:r>
      <w:r w:rsidRPr="002E7761">
        <w:rPr>
          <w:rFonts w:ascii="Times New Roman" w:eastAsia="Times New Roman" w:hAnsi="Times New Roman" w:cs="Times New Roman"/>
          <w:sz w:val="24"/>
          <w:szCs w:val="24"/>
        </w:rPr>
        <w:t>).</w:t>
      </w:r>
    </w:p>
    <w:p w:rsidR="00F77439" w:rsidRPr="002E7761" w:rsidRDefault="00F77439" w:rsidP="00F77439">
      <w:pPr>
        <w:spacing w:before="120" w:after="240" w:line="240" w:lineRule="auto"/>
        <w:jc w:val="both"/>
        <w:rPr>
          <w:rFonts w:ascii="Times New Roman" w:hAnsi="Times New Roman" w:cs="Times New Roman"/>
          <w:noProof/>
          <w:sz w:val="24"/>
          <w:szCs w:val="24"/>
        </w:rPr>
      </w:pPr>
      <w:r w:rsidRPr="002E7761">
        <w:rPr>
          <w:rFonts w:ascii="Times New Roman" w:eastAsia="Times New Roman" w:hAnsi="Times New Roman" w:cs="Times New Roman"/>
          <w:b/>
          <w:sz w:val="24"/>
          <w:szCs w:val="24"/>
        </w:rPr>
        <w:lastRenderedPageBreak/>
        <w:t>4</w:t>
      </w:r>
      <w:proofErr w:type="gramStart"/>
      <w:r w:rsidRPr="002E7761">
        <w:rPr>
          <w:rFonts w:ascii="Times New Roman" w:eastAsia="Times New Roman" w:hAnsi="Times New Roman" w:cs="Times New Roman"/>
          <w:b/>
          <w:sz w:val="24"/>
          <w:szCs w:val="24"/>
        </w:rPr>
        <w:t>,4'</w:t>
      </w:r>
      <w:proofErr w:type="gramEnd"/>
      <w:r w:rsidRPr="002E7761">
        <w:rPr>
          <w:rFonts w:ascii="Times New Roman" w:eastAsia="Times New Roman" w:hAnsi="Times New Roman" w:cs="Times New Roman"/>
          <w:b/>
          <w:sz w:val="24"/>
          <w:szCs w:val="24"/>
        </w:rPr>
        <w:t>-dihydroxy-2'-methoxy-chalcone (TCB9)</w:t>
      </w:r>
      <w:r w:rsidRPr="002E7761">
        <w:rPr>
          <w:rFonts w:ascii="Times New Roman" w:hAnsi="Times New Roman" w:cs="Times New Roman"/>
          <w:noProof/>
          <w:sz w:val="24"/>
          <w:szCs w:val="24"/>
          <w:lang w:val="en-US"/>
        </w:rPr>
        <w:drawing>
          <wp:anchor distT="0" distB="0" distL="114300" distR="114300" simplePos="0" relativeHeight="251660288" behindDoc="0" locked="0" layoutInCell="1" hidden="0" allowOverlap="1" wp14:anchorId="7EFAE4F0" wp14:editId="7A2DD221">
            <wp:simplePos x="0" y="0"/>
            <wp:positionH relativeFrom="column">
              <wp:posOffset>1</wp:posOffset>
            </wp:positionH>
            <wp:positionV relativeFrom="paragraph">
              <wp:posOffset>215265</wp:posOffset>
            </wp:positionV>
            <wp:extent cx="2286000" cy="1752600"/>
            <wp:effectExtent l="0" t="0" r="0" b="0"/>
            <wp:wrapSquare wrapText="bothSides" distT="0" distB="0" distL="114300" distR="114300"/>
            <wp:docPr id="5"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1"/>
                    <a:srcRect/>
                    <a:stretch>
                      <a:fillRect/>
                    </a:stretch>
                  </pic:blipFill>
                  <pic:spPr>
                    <a:xfrm>
                      <a:off x="0" y="0"/>
                      <a:ext cx="2286000" cy="1752600"/>
                    </a:xfrm>
                    <a:prstGeom prst="rect">
                      <a:avLst/>
                    </a:prstGeom>
                    <a:ln/>
                  </pic:spPr>
                </pic:pic>
              </a:graphicData>
            </a:graphic>
          </wp:anchor>
        </w:drawing>
      </w:r>
    </w:p>
    <w:p w:rsidR="00F77439" w:rsidRPr="002E7761" w:rsidRDefault="00F77439" w:rsidP="00F77439">
      <w:pPr>
        <w:spacing w:before="120" w:after="240" w:line="240" w:lineRule="auto"/>
        <w:jc w:val="both"/>
        <w:rPr>
          <w:rFonts w:ascii="Times New Roman" w:eastAsia="Times New Roman" w:hAnsi="Times New Roman" w:cs="Times New Roman"/>
          <w:sz w:val="24"/>
          <w:szCs w:val="24"/>
        </w:rPr>
      </w:pPr>
      <w:r w:rsidRPr="002E7761">
        <w:rPr>
          <w:rFonts w:ascii="Times New Roman" w:hAnsi="Times New Roman" w:cs="Times New Roman"/>
          <w:noProof/>
          <w:sz w:val="24"/>
          <w:szCs w:val="24"/>
          <w:lang w:val="en-US"/>
        </w:rPr>
        <w:drawing>
          <wp:anchor distT="0" distB="0" distL="114300" distR="114300" simplePos="0" relativeHeight="251661312" behindDoc="0" locked="0" layoutInCell="1" hidden="0" allowOverlap="1" wp14:anchorId="4AE3416F" wp14:editId="0B522C80">
            <wp:simplePos x="0" y="0"/>
            <wp:positionH relativeFrom="column">
              <wp:posOffset>3619500</wp:posOffset>
            </wp:positionH>
            <wp:positionV relativeFrom="paragraph">
              <wp:posOffset>116204</wp:posOffset>
            </wp:positionV>
            <wp:extent cx="2133600" cy="1704975"/>
            <wp:effectExtent l="0" t="0" r="0" b="0"/>
            <wp:wrapSquare wrapText="bothSides" distT="0" distB="0" distL="114300" distR="114300"/>
            <wp:docPr id="35"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22"/>
                    <a:srcRect/>
                    <a:stretch>
                      <a:fillRect/>
                    </a:stretch>
                  </pic:blipFill>
                  <pic:spPr>
                    <a:xfrm>
                      <a:off x="0" y="0"/>
                      <a:ext cx="2133600" cy="1704975"/>
                    </a:xfrm>
                    <a:prstGeom prst="rect">
                      <a:avLst/>
                    </a:prstGeom>
                    <a:ln/>
                  </pic:spPr>
                </pic:pic>
              </a:graphicData>
            </a:graphic>
          </wp:anchor>
        </w:drawing>
      </w:r>
    </w:p>
    <w:p w:rsidR="00F77439" w:rsidRPr="002E7761" w:rsidRDefault="00F77439" w:rsidP="00F77439">
      <w:pPr>
        <w:spacing w:before="120" w:after="240" w:line="240" w:lineRule="auto"/>
        <w:jc w:val="both"/>
        <w:rPr>
          <w:rFonts w:ascii="Times New Roman" w:eastAsia="Times New Roman" w:hAnsi="Times New Roman" w:cs="Times New Roman"/>
          <w:sz w:val="24"/>
          <w:szCs w:val="24"/>
        </w:rPr>
      </w:pPr>
    </w:p>
    <w:p w:rsidR="00F77439" w:rsidRPr="002E7761" w:rsidRDefault="00F77439" w:rsidP="00F77439">
      <w:pPr>
        <w:spacing w:before="120" w:after="240" w:line="240" w:lineRule="auto"/>
        <w:jc w:val="both"/>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 xml:space="preserve">                    </w:t>
      </w:r>
    </w:p>
    <w:p w:rsidR="00F77439" w:rsidRPr="002E7761" w:rsidRDefault="00F77439" w:rsidP="00F77439">
      <w:pPr>
        <w:spacing w:before="120" w:after="240" w:line="240" w:lineRule="auto"/>
        <w:jc w:val="both"/>
        <w:rPr>
          <w:rFonts w:ascii="Times New Roman" w:eastAsia="Times New Roman" w:hAnsi="Times New Roman" w:cs="Times New Roman"/>
          <w:sz w:val="24"/>
          <w:szCs w:val="24"/>
        </w:rPr>
      </w:pPr>
    </w:p>
    <w:p w:rsidR="00F77439" w:rsidRPr="002E7761" w:rsidRDefault="00F77439" w:rsidP="00F77439">
      <w:pPr>
        <w:spacing w:before="120" w:after="240" w:line="240" w:lineRule="auto"/>
        <w:jc w:val="both"/>
        <w:rPr>
          <w:rFonts w:ascii="Times New Roman" w:eastAsia="Times New Roman" w:hAnsi="Times New Roman" w:cs="Times New Roman"/>
          <w:sz w:val="24"/>
          <w:szCs w:val="24"/>
        </w:rPr>
      </w:pPr>
    </w:p>
    <w:p w:rsidR="00F77439" w:rsidRPr="002E7761" w:rsidRDefault="00F77439" w:rsidP="00F77439">
      <w:pPr>
        <w:spacing w:before="120" w:after="240" w:line="240" w:lineRule="auto"/>
        <w:jc w:val="both"/>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 xml:space="preserve">                                                                                            </w:t>
      </w:r>
    </w:p>
    <w:p w:rsidR="00F77439" w:rsidRPr="002E7761" w:rsidRDefault="00F77439" w:rsidP="00F77439">
      <w:pPr>
        <w:spacing w:before="120" w:after="240" w:line="240" w:lineRule="auto"/>
        <w:jc w:val="both"/>
        <w:rPr>
          <w:rFonts w:ascii="Times New Roman" w:eastAsia="Times New Roman" w:hAnsi="Times New Roman" w:cs="Times New Roman"/>
          <w:b/>
          <w:sz w:val="24"/>
          <w:szCs w:val="24"/>
        </w:rPr>
      </w:pPr>
      <w:r w:rsidRPr="002E7761">
        <w:rPr>
          <w:rFonts w:ascii="Times New Roman" w:eastAsia="Times New Roman" w:hAnsi="Times New Roman" w:cs="Times New Roman"/>
          <w:b/>
          <w:sz w:val="24"/>
          <w:szCs w:val="24"/>
        </w:rPr>
        <w:t xml:space="preserve">                                                            7</w:t>
      </w:r>
      <w:proofErr w:type="gramStart"/>
      <w:r w:rsidRPr="002E7761">
        <w:rPr>
          <w:rFonts w:ascii="Times New Roman" w:eastAsia="Times New Roman" w:hAnsi="Times New Roman" w:cs="Times New Roman"/>
          <w:b/>
          <w:sz w:val="24"/>
          <w:szCs w:val="24"/>
        </w:rPr>
        <w:t>,4'</w:t>
      </w:r>
      <w:proofErr w:type="gramEnd"/>
      <w:r w:rsidRPr="002E7761">
        <w:rPr>
          <w:rFonts w:ascii="Times New Roman" w:eastAsia="Times New Roman" w:hAnsi="Times New Roman" w:cs="Times New Roman"/>
          <w:b/>
          <w:sz w:val="24"/>
          <w:szCs w:val="24"/>
        </w:rPr>
        <w:t>-dihydroxy-3,11-dehydrohomoisoflavanone (TCB11)</w:t>
      </w:r>
    </w:p>
    <w:p w:rsidR="00F77439" w:rsidRPr="002E7761" w:rsidRDefault="00F77439" w:rsidP="00F77439">
      <w:pPr>
        <w:spacing w:before="120" w:after="0" w:line="240" w:lineRule="auto"/>
        <w:ind w:left="720"/>
        <w:jc w:val="both"/>
        <w:rPr>
          <w:rFonts w:ascii="Times New Roman" w:eastAsia="Times New Roman" w:hAnsi="Times New Roman" w:cs="Times New Roman"/>
          <w:sz w:val="24"/>
          <w:szCs w:val="24"/>
        </w:rPr>
      </w:pPr>
    </w:p>
    <w:p w:rsidR="00F77439" w:rsidRPr="002E7761" w:rsidRDefault="00F77439" w:rsidP="00F77439">
      <w:pPr>
        <w:spacing w:after="0" w:line="240" w:lineRule="auto"/>
        <w:ind w:left="720"/>
        <w:jc w:val="both"/>
        <w:rPr>
          <w:rFonts w:ascii="Times New Roman" w:eastAsia="Times New Roman" w:hAnsi="Times New Roman" w:cs="Times New Roman"/>
          <w:sz w:val="24"/>
          <w:szCs w:val="24"/>
        </w:rPr>
      </w:pPr>
    </w:p>
    <w:p w:rsidR="00F77439" w:rsidRPr="002E7761" w:rsidRDefault="00F77439" w:rsidP="00F77439">
      <w:pPr>
        <w:spacing w:after="0" w:line="240" w:lineRule="auto"/>
        <w:ind w:left="720"/>
        <w:jc w:val="both"/>
        <w:rPr>
          <w:rFonts w:ascii="Times New Roman" w:eastAsia="Times New Roman" w:hAnsi="Times New Roman" w:cs="Times New Roman"/>
          <w:b/>
          <w:sz w:val="24"/>
          <w:szCs w:val="24"/>
        </w:rPr>
      </w:pPr>
      <w:r w:rsidRPr="002E7761">
        <w:rPr>
          <w:rFonts w:ascii="Times New Roman" w:eastAsia="Times New Roman" w:hAnsi="Times New Roman" w:cs="Times New Roman"/>
          <w:b/>
          <w:sz w:val="24"/>
          <w:szCs w:val="24"/>
        </w:rPr>
        <w:t>5</w:t>
      </w:r>
      <w:proofErr w:type="gramStart"/>
      <w:r w:rsidRPr="002E7761">
        <w:rPr>
          <w:rFonts w:ascii="Times New Roman" w:eastAsia="Times New Roman" w:hAnsi="Times New Roman" w:cs="Times New Roman"/>
          <w:b/>
          <w:sz w:val="24"/>
          <w:szCs w:val="24"/>
        </w:rPr>
        <w:t>,7,3',4'</w:t>
      </w:r>
      <w:proofErr w:type="gramEnd"/>
      <w:r w:rsidRPr="002E7761">
        <w:rPr>
          <w:rFonts w:ascii="Times New Roman" w:eastAsia="Times New Roman" w:hAnsi="Times New Roman" w:cs="Times New Roman"/>
          <w:b/>
          <w:sz w:val="24"/>
          <w:szCs w:val="24"/>
        </w:rPr>
        <w:t>-tetrahydroxy-flavone (TCB15)</w:t>
      </w:r>
      <w:r w:rsidRPr="002E7761">
        <w:rPr>
          <w:rFonts w:ascii="Times New Roman" w:hAnsi="Times New Roman" w:cs="Times New Roman"/>
          <w:b/>
          <w:noProof/>
          <w:sz w:val="24"/>
          <w:szCs w:val="24"/>
          <w:lang w:val="en-US"/>
        </w:rPr>
        <w:drawing>
          <wp:anchor distT="0" distB="0" distL="114300" distR="114300" simplePos="0" relativeHeight="251662336" behindDoc="0" locked="0" layoutInCell="1" hidden="0" allowOverlap="1" wp14:anchorId="6A81D090" wp14:editId="112B08A5">
            <wp:simplePos x="0" y="0"/>
            <wp:positionH relativeFrom="column">
              <wp:posOffset>1</wp:posOffset>
            </wp:positionH>
            <wp:positionV relativeFrom="paragraph">
              <wp:posOffset>320040</wp:posOffset>
            </wp:positionV>
            <wp:extent cx="2019300" cy="1743075"/>
            <wp:effectExtent l="0" t="0" r="0" b="0"/>
            <wp:wrapSquare wrapText="bothSides" distT="0" distB="0" distL="114300" distR="114300"/>
            <wp:docPr id="32"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23"/>
                    <a:srcRect/>
                    <a:stretch>
                      <a:fillRect/>
                    </a:stretch>
                  </pic:blipFill>
                  <pic:spPr>
                    <a:xfrm>
                      <a:off x="0" y="0"/>
                      <a:ext cx="2019300" cy="1743075"/>
                    </a:xfrm>
                    <a:prstGeom prst="rect">
                      <a:avLst/>
                    </a:prstGeom>
                    <a:ln/>
                  </pic:spPr>
                </pic:pic>
              </a:graphicData>
            </a:graphic>
          </wp:anchor>
        </w:drawing>
      </w:r>
    </w:p>
    <w:p w:rsidR="00F77439" w:rsidRPr="002E7761" w:rsidRDefault="00F77439" w:rsidP="00F77439">
      <w:pPr>
        <w:spacing w:after="240" w:line="240" w:lineRule="auto"/>
        <w:jc w:val="both"/>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 xml:space="preserve"> </w:t>
      </w:r>
    </w:p>
    <w:p w:rsidR="00F77439" w:rsidRPr="002E7761" w:rsidRDefault="00F77439" w:rsidP="00F77439">
      <w:pPr>
        <w:spacing w:before="120" w:after="240" w:line="240" w:lineRule="auto"/>
        <w:jc w:val="both"/>
        <w:rPr>
          <w:rFonts w:ascii="Times New Roman" w:eastAsia="Times New Roman" w:hAnsi="Times New Roman" w:cs="Times New Roman"/>
          <w:sz w:val="24"/>
          <w:szCs w:val="24"/>
        </w:rPr>
      </w:pPr>
      <w:r w:rsidRPr="002E7761">
        <w:rPr>
          <w:rFonts w:ascii="Times New Roman" w:hAnsi="Times New Roman" w:cs="Times New Roman"/>
          <w:noProof/>
          <w:sz w:val="24"/>
          <w:szCs w:val="24"/>
          <w:lang w:val="en-US"/>
        </w:rPr>
        <w:drawing>
          <wp:anchor distT="0" distB="0" distL="114300" distR="114300" simplePos="0" relativeHeight="251663360" behindDoc="0" locked="0" layoutInCell="1" hidden="0" allowOverlap="1" wp14:anchorId="3AF75DBC" wp14:editId="3ED3CD30">
            <wp:simplePos x="0" y="0"/>
            <wp:positionH relativeFrom="column">
              <wp:posOffset>2343150</wp:posOffset>
            </wp:positionH>
            <wp:positionV relativeFrom="paragraph">
              <wp:posOffset>112395</wp:posOffset>
            </wp:positionV>
            <wp:extent cx="1857375" cy="1866900"/>
            <wp:effectExtent l="0" t="0" r="0" b="0"/>
            <wp:wrapSquare wrapText="bothSides" distT="0" distB="0" distL="114300" distR="114300"/>
            <wp:docPr id="27"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4"/>
                    <a:srcRect/>
                    <a:stretch>
                      <a:fillRect/>
                    </a:stretch>
                  </pic:blipFill>
                  <pic:spPr>
                    <a:xfrm>
                      <a:off x="0" y="0"/>
                      <a:ext cx="1857375" cy="1866900"/>
                    </a:xfrm>
                    <a:prstGeom prst="rect">
                      <a:avLst/>
                    </a:prstGeom>
                    <a:ln/>
                  </pic:spPr>
                </pic:pic>
              </a:graphicData>
            </a:graphic>
          </wp:anchor>
        </w:drawing>
      </w:r>
    </w:p>
    <w:p w:rsidR="00F77439" w:rsidRPr="002E7761" w:rsidRDefault="00F77439" w:rsidP="00F77439">
      <w:pPr>
        <w:spacing w:before="120" w:after="240" w:line="240" w:lineRule="auto"/>
        <w:jc w:val="both"/>
        <w:rPr>
          <w:rFonts w:ascii="Times New Roman" w:eastAsia="Times New Roman" w:hAnsi="Times New Roman" w:cs="Times New Roman"/>
          <w:sz w:val="24"/>
          <w:szCs w:val="24"/>
        </w:rPr>
      </w:pPr>
    </w:p>
    <w:p w:rsidR="00F77439" w:rsidRPr="002E7761" w:rsidRDefault="00F77439" w:rsidP="00F77439">
      <w:pPr>
        <w:spacing w:before="120" w:after="240" w:line="240" w:lineRule="auto"/>
        <w:jc w:val="both"/>
        <w:rPr>
          <w:rFonts w:ascii="Times New Roman" w:eastAsia="Times New Roman" w:hAnsi="Times New Roman" w:cs="Times New Roman"/>
          <w:sz w:val="24"/>
          <w:szCs w:val="24"/>
        </w:rPr>
      </w:pPr>
    </w:p>
    <w:p w:rsidR="00F77439" w:rsidRPr="002E7761" w:rsidRDefault="00F77439" w:rsidP="00F77439">
      <w:pPr>
        <w:spacing w:before="120" w:after="240" w:line="240" w:lineRule="auto"/>
        <w:jc w:val="both"/>
        <w:rPr>
          <w:rFonts w:ascii="Times New Roman" w:eastAsia="Times New Roman" w:hAnsi="Times New Roman" w:cs="Times New Roman"/>
          <w:b/>
          <w:sz w:val="24"/>
          <w:szCs w:val="24"/>
        </w:rPr>
      </w:pPr>
      <w:r w:rsidRPr="002E7761">
        <w:rPr>
          <w:rFonts w:ascii="Times New Roman" w:eastAsia="Times New Roman" w:hAnsi="Times New Roman" w:cs="Times New Roman"/>
          <w:b/>
          <w:sz w:val="24"/>
          <w:szCs w:val="24"/>
        </w:rPr>
        <w:t>7</w:t>
      </w:r>
      <w:proofErr w:type="gramStart"/>
      <w:r w:rsidRPr="002E7761">
        <w:rPr>
          <w:rFonts w:ascii="Times New Roman" w:eastAsia="Times New Roman" w:hAnsi="Times New Roman" w:cs="Times New Roman"/>
          <w:b/>
          <w:sz w:val="24"/>
          <w:szCs w:val="24"/>
        </w:rPr>
        <w:t>,3',4'</w:t>
      </w:r>
      <w:proofErr w:type="gramEnd"/>
      <w:r w:rsidRPr="002E7761">
        <w:rPr>
          <w:rFonts w:ascii="Times New Roman" w:eastAsia="Times New Roman" w:hAnsi="Times New Roman" w:cs="Times New Roman"/>
          <w:b/>
          <w:sz w:val="24"/>
          <w:szCs w:val="24"/>
        </w:rPr>
        <w:t>-tetrahydroxy-3-methoxyflavone (TCB16)</w:t>
      </w:r>
    </w:p>
    <w:p w:rsidR="00F77439" w:rsidRPr="002E7761" w:rsidRDefault="00F77439" w:rsidP="00F77439">
      <w:pPr>
        <w:spacing w:before="120" w:after="240" w:line="240" w:lineRule="auto"/>
        <w:jc w:val="both"/>
        <w:rPr>
          <w:rFonts w:ascii="Times New Roman" w:eastAsia="Times New Roman" w:hAnsi="Times New Roman" w:cs="Times New Roman"/>
          <w:sz w:val="24"/>
          <w:szCs w:val="24"/>
        </w:rPr>
      </w:pPr>
    </w:p>
    <w:p w:rsidR="00F77439" w:rsidRPr="002E7761" w:rsidRDefault="00F77439" w:rsidP="00F77439">
      <w:pPr>
        <w:spacing w:before="120" w:after="240" w:line="240" w:lineRule="auto"/>
        <w:jc w:val="both"/>
        <w:rPr>
          <w:rFonts w:ascii="Times New Roman" w:eastAsia="Times New Roman" w:hAnsi="Times New Roman" w:cs="Times New Roman"/>
          <w:sz w:val="24"/>
          <w:szCs w:val="24"/>
        </w:rPr>
      </w:pPr>
    </w:p>
    <w:p w:rsidR="00F77439" w:rsidRPr="002E7761" w:rsidRDefault="00F77439" w:rsidP="00F77439">
      <w:pPr>
        <w:spacing w:before="120" w:after="240" w:line="240" w:lineRule="auto"/>
        <w:jc w:val="both"/>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Figure 1</w:t>
      </w:r>
      <w:r w:rsidR="008E0532">
        <w:rPr>
          <w:rFonts w:ascii="Times New Roman" w:eastAsia="Times New Roman" w:hAnsi="Times New Roman" w:cs="Times New Roman"/>
          <w:sz w:val="24"/>
          <w:szCs w:val="24"/>
        </w:rPr>
        <w:t>1</w:t>
      </w:r>
      <w:r w:rsidRPr="002E7761">
        <w:rPr>
          <w:rFonts w:ascii="Times New Roman" w:eastAsia="Times New Roman" w:hAnsi="Times New Roman" w:cs="Times New Roman"/>
          <w:sz w:val="24"/>
          <w:szCs w:val="24"/>
        </w:rPr>
        <w:t>. Chemical structure</w:t>
      </w:r>
      <w:r w:rsidR="002A0BA3">
        <w:rPr>
          <w:rFonts w:ascii="Times New Roman" w:eastAsia="Times New Roman" w:hAnsi="Times New Roman" w:cs="Times New Roman"/>
          <w:sz w:val="24"/>
          <w:szCs w:val="24"/>
        </w:rPr>
        <w:t>s of</w:t>
      </w:r>
      <w:r w:rsidR="00820222">
        <w:rPr>
          <w:rFonts w:ascii="Times New Roman" w:eastAsia="Times New Roman" w:hAnsi="Times New Roman" w:cs="Times New Roman"/>
          <w:sz w:val="24"/>
          <w:szCs w:val="24"/>
        </w:rPr>
        <w:t xml:space="preserve"> the</w:t>
      </w:r>
      <w:r w:rsidR="002A0BA3">
        <w:rPr>
          <w:rFonts w:ascii="Times New Roman" w:eastAsia="Times New Roman" w:hAnsi="Times New Roman" w:cs="Times New Roman"/>
          <w:sz w:val="24"/>
          <w:szCs w:val="24"/>
        </w:rPr>
        <w:t xml:space="preserve"> selected pure compounds</w:t>
      </w:r>
      <w:r w:rsidRPr="002E7761">
        <w:rPr>
          <w:rFonts w:ascii="Times New Roman" w:eastAsia="Times New Roman" w:hAnsi="Times New Roman" w:cs="Times New Roman"/>
          <w:sz w:val="24"/>
          <w:szCs w:val="24"/>
        </w:rPr>
        <w:t xml:space="preserve"> from </w:t>
      </w:r>
      <w:proofErr w:type="spellStart"/>
      <w:r w:rsidRPr="002E7761">
        <w:rPr>
          <w:rFonts w:ascii="Times New Roman" w:eastAsia="Times New Roman" w:hAnsi="Times New Roman" w:cs="Times New Roman"/>
          <w:i/>
          <w:sz w:val="24"/>
          <w:szCs w:val="24"/>
        </w:rPr>
        <w:t>Caesalpinia</w:t>
      </w:r>
      <w:proofErr w:type="spellEnd"/>
      <w:r w:rsidRPr="002E7761">
        <w:rPr>
          <w:rFonts w:ascii="Times New Roman" w:eastAsia="Times New Roman" w:hAnsi="Times New Roman" w:cs="Times New Roman"/>
          <w:i/>
          <w:sz w:val="24"/>
          <w:szCs w:val="24"/>
        </w:rPr>
        <w:t xml:space="preserve"> </w:t>
      </w:r>
      <w:proofErr w:type="spellStart"/>
      <w:r w:rsidRPr="002E7761">
        <w:rPr>
          <w:rFonts w:ascii="Times New Roman" w:eastAsia="Times New Roman" w:hAnsi="Times New Roman" w:cs="Times New Roman"/>
          <w:i/>
          <w:sz w:val="24"/>
          <w:szCs w:val="24"/>
        </w:rPr>
        <w:t>bonduc</w:t>
      </w:r>
      <w:proofErr w:type="spellEnd"/>
    </w:p>
    <w:p w:rsidR="00F77439" w:rsidRPr="002E7761" w:rsidRDefault="00D84CF6" w:rsidP="006D3376">
      <w:pPr>
        <w:spacing w:before="12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4.2.2 </w:t>
      </w:r>
      <w:r w:rsidR="00F77439" w:rsidRPr="002E7761">
        <w:rPr>
          <w:rFonts w:ascii="Times New Roman" w:eastAsia="Times New Roman" w:hAnsi="Times New Roman" w:cs="Times New Roman"/>
          <w:b/>
          <w:sz w:val="24"/>
          <w:szCs w:val="24"/>
        </w:rPr>
        <w:t>Physicochemical Properties</w:t>
      </w:r>
    </w:p>
    <w:p w:rsidR="00F77439" w:rsidRPr="002E7761" w:rsidRDefault="00F77439" w:rsidP="006D3376">
      <w:pPr>
        <w:spacing w:before="120" w:after="240" w:line="360" w:lineRule="auto"/>
        <w:jc w:val="both"/>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 xml:space="preserve">The </w:t>
      </w:r>
      <w:r w:rsidR="00BB137C" w:rsidRPr="00BB137C">
        <w:rPr>
          <w:rFonts w:ascii="Times New Roman" w:eastAsia="Times New Roman" w:hAnsi="Times New Roman" w:cs="Times New Roman"/>
          <w:sz w:val="24"/>
          <w:szCs w:val="24"/>
        </w:rPr>
        <w:t xml:space="preserve">physical characteristics </w:t>
      </w:r>
      <w:r w:rsidR="002A0BA3">
        <w:rPr>
          <w:rFonts w:ascii="Times New Roman" w:eastAsia="Times New Roman" w:hAnsi="Times New Roman" w:cs="Times New Roman"/>
          <w:sz w:val="24"/>
          <w:szCs w:val="24"/>
        </w:rPr>
        <w:t>of the</w:t>
      </w:r>
      <w:r w:rsidRPr="002E7761">
        <w:rPr>
          <w:rFonts w:ascii="Times New Roman" w:eastAsia="Times New Roman" w:hAnsi="Times New Roman" w:cs="Times New Roman"/>
          <w:sz w:val="24"/>
          <w:szCs w:val="24"/>
        </w:rPr>
        <w:t xml:space="preserve"> compounds were determined, including their </w:t>
      </w:r>
      <w:r w:rsidR="00BB137C" w:rsidRPr="002E7761">
        <w:rPr>
          <w:rFonts w:ascii="Times New Roman" w:eastAsia="Times New Roman" w:hAnsi="Times New Roman" w:cs="Times New Roman"/>
          <w:sz w:val="24"/>
          <w:szCs w:val="24"/>
        </w:rPr>
        <w:t>water solubility, hydrogen bond donors and acceptors</w:t>
      </w:r>
      <w:r w:rsidR="00BB137C">
        <w:rPr>
          <w:rFonts w:ascii="Times New Roman" w:eastAsia="Times New Roman" w:hAnsi="Times New Roman" w:cs="Times New Roman"/>
          <w:sz w:val="24"/>
          <w:szCs w:val="24"/>
        </w:rPr>
        <w:t>,</w:t>
      </w:r>
      <w:r w:rsidR="00BB137C" w:rsidRPr="002E7761">
        <w:rPr>
          <w:rFonts w:ascii="Times New Roman" w:eastAsia="Times New Roman" w:hAnsi="Times New Roman" w:cs="Times New Roman"/>
          <w:sz w:val="24"/>
          <w:szCs w:val="24"/>
        </w:rPr>
        <w:t xml:space="preserve"> </w:t>
      </w:r>
      <w:r w:rsidRPr="002E7761">
        <w:rPr>
          <w:rFonts w:ascii="Times New Roman" w:eastAsia="Times New Roman" w:hAnsi="Times New Roman" w:cs="Times New Roman"/>
          <w:sz w:val="24"/>
          <w:szCs w:val="24"/>
        </w:rPr>
        <w:t xml:space="preserve">molecular weight, </w:t>
      </w:r>
      <w:proofErr w:type="spellStart"/>
      <w:r w:rsidRPr="002E7761">
        <w:rPr>
          <w:rFonts w:ascii="Times New Roman" w:eastAsia="Times New Roman" w:hAnsi="Times New Roman" w:cs="Times New Roman"/>
          <w:sz w:val="24"/>
          <w:szCs w:val="24"/>
        </w:rPr>
        <w:t>lipophilicity</w:t>
      </w:r>
      <w:proofErr w:type="spellEnd"/>
      <w:r w:rsidRPr="002E7761">
        <w:rPr>
          <w:rFonts w:ascii="Times New Roman" w:eastAsia="Times New Roman" w:hAnsi="Times New Roman" w:cs="Times New Roman"/>
          <w:sz w:val="24"/>
          <w:szCs w:val="24"/>
        </w:rPr>
        <w:t xml:space="preserve"> (</w:t>
      </w:r>
      <w:proofErr w:type="spellStart"/>
      <w:r w:rsidRPr="002E7761">
        <w:rPr>
          <w:rFonts w:ascii="Times New Roman" w:eastAsia="Times New Roman" w:hAnsi="Times New Roman" w:cs="Times New Roman"/>
          <w:sz w:val="24"/>
          <w:szCs w:val="24"/>
        </w:rPr>
        <w:t>LogP</w:t>
      </w:r>
      <w:proofErr w:type="spellEnd"/>
      <w:r w:rsidRPr="002E7761">
        <w:rPr>
          <w:rFonts w:ascii="Times New Roman" w:eastAsia="Times New Roman" w:hAnsi="Times New Roman" w:cs="Times New Roman"/>
          <w:sz w:val="24"/>
          <w:szCs w:val="24"/>
        </w:rPr>
        <w:t xml:space="preserve">), </w:t>
      </w:r>
      <w:r w:rsidR="00122917">
        <w:rPr>
          <w:rFonts w:ascii="Times New Roman" w:eastAsia="Times New Roman" w:hAnsi="Times New Roman" w:cs="Times New Roman"/>
          <w:sz w:val="24"/>
          <w:szCs w:val="24"/>
        </w:rPr>
        <w:t>and polar surface area. Table 4</w:t>
      </w:r>
      <w:r w:rsidRPr="002E7761">
        <w:rPr>
          <w:rFonts w:ascii="Times New Roman" w:eastAsia="Times New Roman" w:hAnsi="Times New Roman" w:cs="Times New Roman"/>
          <w:sz w:val="24"/>
          <w:szCs w:val="24"/>
        </w:rPr>
        <w:t xml:space="preserve"> presents the physicochemical properties of the isolated compounds, including </w:t>
      </w:r>
      <w:proofErr w:type="spellStart"/>
      <w:r w:rsidR="00BB137C" w:rsidRPr="002E7761">
        <w:rPr>
          <w:rFonts w:ascii="Times New Roman" w:eastAsia="Times New Roman" w:hAnsi="Times New Roman" w:cs="Times New Roman"/>
          <w:sz w:val="24"/>
          <w:szCs w:val="24"/>
        </w:rPr>
        <w:t>lipophilicity</w:t>
      </w:r>
      <w:proofErr w:type="spellEnd"/>
      <w:r w:rsidR="00BB137C" w:rsidRPr="002E7761">
        <w:rPr>
          <w:rFonts w:ascii="Times New Roman" w:eastAsia="Times New Roman" w:hAnsi="Times New Roman" w:cs="Times New Roman"/>
          <w:sz w:val="24"/>
          <w:szCs w:val="24"/>
        </w:rPr>
        <w:t xml:space="preserve"> (</w:t>
      </w:r>
      <w:proofErr w:type="spellStart"/>
      <w:r w:rsidR="00BB137C" w:rsidRPr="002E7761">
        <w:rPr>
          <w:rFonts w:ascii="Times New Roman" w:eastAsia="Times New Roman" w:hAnsi="Times New Roman" w:cs="Times New Roman"/>
          <w:sz w:val="24"/>
          <w:szCs w:val="24"/>
        </w:rPr>
        <w:t>LogP</w:t>
      </w:r>
      <w:proofErr w:type="spellEnd"/>
      <w:r w:rsidR="00BB137C" w:rsidRPr="002E7761">
        <w:rPr>
          <w:rFonts w:ascii="Times New Roman" w:eastAsia="Times New Roman" w:hAnsi="Times New Roman" w:cs="Times New Roman"/>
          <w:sz w:val="24"/>
          <w:szCs w:val="24"/>
        </w:rPr>
        <w:t xml:space="preserve">), water solubility, </w:t>
      </w:r>
      <w:r w:rsidRPr="002E7761">
        <w:rPr>
          <w:rFonts w:ascii="Times New Roman" w:eastAsia="Times New Roman" w:hAnsi="Times New Roman" w:cs="Times New Roman"/>
          <w:sz w:val="24"/>
          <w:szCs w:val="24"/>
        </w:rPr>
        <w:t>molecular weight, hydrogen bond donors and acceptors, and polar surface area. The properties of the compounds demonstrate their drug-likeness and potential for therapeutic applications.</w:t>
      </w:r>
    </w:p>
    <w:p w:rsidR="00F77439" w:rsidRPr="002E7761" w:rsidRDefault="008E0532" w:rsidP="006D3376">
      <w:pPr>
        <w:spacing w:before="12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Table 3</w:t>
      </w:r>
      <w:r w:rsidR="00F77439" w:rsidRPr="002E7761">
        <w:rPr>
          <w:rFonts w:ascii="Times New Roman" w:eastAsia="Times New Roman" w:hAnsi="Times New Roman" w:cs="Times New Roman"/>
          <w:sz w:val="24"/>
          <w:szCs w:val="24"/>
        </w:rPr>
        <w:t xml:space="preserve">. Physicochemical Properties of the Selected Pure Compounds Isolated from </w:t>
      </w:r>
      <w:proofErr w:type="spellStart"/>
      <w:r w:rsidR="00F77439" w:rsidRPr="002E7761">
        <w:rPr>
          <w:rFonts w:ascii="Times New Roman" w:eastAsia="Times New Roman" w:hAnsi="Times New Roman" w:cs="Times New Roman"/>
          <w:i/>
          <w:sz w:val="24"/>
          <w:szCs w:val="24"/>
        </w:rPr>
        <w:t>Caesalpinia</w:t>
      </w:r>
      <w:proofErr w:type="spellEnd"/>
      <w:r w:rsidR="00F77439" w:rsidRPr="002E7761">
        <w:rPr>
          <w:rFonts w:ascii="Times New Roman" w:eastAsia="Times New Roman" w:hAnsi="Times New Roman" w:cs="Times New Roman"/>
          <w:i/>
          <w:sz w:val="24"/>
          <w:szCs w:val="24"/>
        </w:rPr>
        <w:t xml:space="preserve"> </w:t>
      </w:r>
      <w:proofErr w:type="spellStart"/>
      <w:r w:rsidR="00F77439" w:rsidRPr="002E7761">
        <w:rPr>
          <w:rFonts w:ascii="Times New Roman" w:eastAsia="Times New Roman" w:hAnsi="Times New Roman" w:cs="Times New Roman"/>
          <w:i/>
          <w:sz w:val="24"/>
          <w:szCs w:val="24"/>
        </w:rPr>
        <w:t>bonduc</w:t>
      </w:r>
      <w:proofErr w:type="spellEnd"/>
      <w:r w:rsidR="00F77439" w:rsidRPr="002E7761">
        <w:rPr>
          <w:rFonts w:ascii="Times New Roman" w:eastAsia="Times New Roman" w:hAnsi="Times New Roman" w:cs="Times New Roman"/>
          <w:i/>
          <w:sz w:val="24"/>
          <w:szCs w:val="24"/>
        </w:rPr>
        <w:t xml:space="preserve"> </w:t>
      </w:r>
      <w:r w:rsidR="00820222">
        <w:rPr>
          <w:rFonts w:ascii="Times New Roman" w:eastAsia="Times New Roman" w:hAnsi="Times New Roman" w:cs="Times New Roman"/>
          <w:sz w:val="24"/>
          <w:szCs w:val="24"/>
        </w:rPr>
        <w:t>and the standard drug</w:t>
      </w:r>
      <w:r w:rsidR="00F77439" w:rsidRPr="002E7761">
        <w:rPr>
          <w:rFonts w:ascii="Times New Roman" w:eastAsia="Times New Roman" w:hAnsi="Times New Roman" w:cs="Times New Roman"/>
          <w:sz w:val="24"/>
          <w:szCs w:val="24"/>
        </w:rPr>
        <w:t xml:space="preserve">s, </w:t>
      </w:r>
      <w:proofErr w:type="spellStart"/>
      <w:r w:rsidR="00F77439" w:rsidRPr="002E7761">
        <w:rPr>
          <w:rFonts w:ascii="Times New Roman" w:eastAsia="Times New Roman" w:hAnsi="Times New Roman" w:cs="Times New Roman"/>
          <w:sz w:val="24"/>
          <w:szCs w:val="24"/>
        </w:rPr>
        <w:t>Enzalutamide</w:t>
      </w:r>
      <w:proofErr w:type="spellEnd"/>
      <w:r w:rsidR="00F77439" w:rsidRPr="002E7761">
        <w:rPr>
          <w:rFonts w:ascii="Times New Roman" w:eastAsia="Times New Roman" w:hAnsi="Times New Roman" w:cs="Times New Roman"/>
          <w:sz w:val="24"/>
          <w:szCs w:val="24"/>
        </w:rPr>
        <w:t xml:space="preserve"> and </w:t>
      </w:r>
      <w:proofErr w:type="spellStart"/>
      <w:r w:rsidR="00F77439" w:rsidRPr="002E7761">
        <w:rPr>
          <w:rFonts w:ascii="Times New Roman" w:eastAsia="Times New Roman" w:hAnsi="Times New Roman" w:cs="Times New Roman"/>
          <w:sz w:val="24"/>
          <w:szCs w:val="24"/>
        </w:rPr>
        <w:t>Apalutamide</w:t>
      </w:r>
      <w:proofErr w:type="spellEnd"/>
    </w:p>
    <w:tbl>
      <w:tblPr>
        <w:tblStyle w:val="ListTable2"/>
        <w:tblW w:w="9240" w:type="dxa"/>
        <w:tblBorders>
          <w:top w:val="single" w:sz="12" w:space="0" w:color="auto"/>
          <w:bottom w:val="single" w:sz="12" w:space="0" w:color="auto"/>
          <w:insideH w:val="none" w:sz="0" w:space="0" w:color="auto"/>
        </w:tblBorders>
        <w:tblLayout w:type="fixed"/>
        <w:tblLook w:val="0600" w:firstRow="0" w:lastRow="0" w:firstColumn="0" w:lastColumn="0" w:noHBand="1" w:noVBand="1"/>
      </w:tblPr>
      <w:tblGrid>
        <w:gridCol w:w="1710"/>
        <w:gridCol w:w="1350"/>
        <w:gridCol w:w="1170"/>
        <w:gridCol w:w="1260"/>
        <w:gridCol w:w="1110"/>
        <w:gridCol w:w="1320"/>
        <w:gridCol w:w="1320"/>
      </w:tblGrid>
      <w:tr w:rsidR="00F77439" w:rsidRPr="002E7761" w:rsidTr="00896B0D">
        <w:tc>
          <w:tcPr>
            <w:tcW w:w="1710" w:type="dxa"/>
            <w:tcBorders>
              <w:top w:val="single" w:sz="12" w:space="0" w:color="auto"/>
              <w:bottom w:val="single" w:sz="12" w:space="0" w:color="auto"/>
            </w:tcBorders>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b/>
                <w:sz w:val="24"/>
                <w:szCs w:val="24"/>
              </w:rPr>
            </w:pPr>
            <w:r w:rsidRPr="002E7761">
              <w:rPr>
                <w:rFonts w:ascii="Times New Roman" w:eastAsia="Times New Roman" w:hAnsi="Times New Roman" w:cs="Times New Roman"/>
                <w:b/>
                <w:sz w:val="24"/>
                <w:szCs w:val="24"/>
              </w:rPr>
              <w:t>Compounds</w:t>
            </w:r>
          </w:p>
        </w:tc>
        <w:tc>
          <w:tcPr>
            <w:tcW w:w="1350" w:type="dxa"/>
            <w:tcBorders>
              <w:top w:val="single" w:sz="12" w:space="0" w:color="auto"/>
              <w:bottom w:val="single" w:sz="12" w:space="0" w:color="auto"/>
            </w:tcBorders>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b/>
                <w:sz w:val="24"/>
                <w:szCs w:val="24"/>
              </w:rPr>
            </w:pPr>
            <w:r w:rsidRPr="002E7761">
              <w:rPr>
                <w:rFonts w:ascii="Times New Roman" w:eastAsia="Times New Roman" w:hAnsi="Times New Roman" w:cs="Times New Roman"/>
                <w:b/>
                <w:sz w:val="24"/>
                <w:szCs w:val="24"/>
              </w:rPr>
              <w:t>Molecular Weight</w:t>
            </w:r>
          </w:p>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b/>
                <w:sz w:val="24"/>
                <w:szCs w:val="24"/>
              </w:rPr>
            </w:pPr>
            <w:r w:rsidRPr="002E7761">
              <w:rPr>
                <w:rFonts w:ascii="Times New Roman" w:eastAsia="Times New Roman" w:hAnsi="Times New Roman" w:cs="Times New Roman"/>
                <w:b/>
                <w:sz w:val="24"/>
                <w:szCs w:val="24"/>
              </w:rPr>
              <w:t>(g/</w:t>
            </w:r>
            <w:proofErr w:type="spellStart"/>
            <w:r w:rsidRPr="002E7761">
              <w:rPr>
                <w:rFonts w:ascii="Times New Roman" w:eastAsia="Times New Roman" w:hAnsi="Times New Roman" w:cs="Times New Roman"/>
                <w:b/>
                <w:sz w:val="24"/>
                <w:szCs w:val="24"/>
              </w:rPr>
              <w:t>mol</w:t>
            </w:r>
            <w:proofErr w:type="spellEnd"/>
            <w:r w:rsidRPr="002E7761">
              <w:rPr>
                <w:rFonts w:ascii="Times New Roman" w:eastAsia="Times New Roman" w:hAnsi="Times New Roman" w:cs="Times New Roman"/>
                <w:b/>
                <w:sz w:val="24"/>
                <w:szCs w:val="24"/>
              </w:rPr>
              <w:t>)</w:t>
            </w:r>
          </w:p>
        </w:tc>
        <w:tc>
          <w:tcPr>
            <w:tcW w:w="1170" w:type="dxa"/>
            <w:tcBorders>
              <w:top w:val="single" w:sz="12" w:space="0" w:color="auto"/>
              <w:bottom w:val="single" w:sz="12" w:space="0" w:color="auto"/>
            </w:tcBorders>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b/>
                <w:sz w:val="24"/>
                <w:szCs w:val="24"/>
              </w:rPr>
            </w:pPr>
            <w:proofErr w:type="spellStart"/>
            <w:r w:rsidRPr="002E7761">
              <w:rPr>
                <w:rFonts w:ascii="Times New Roman" w:eastAsia="Times New Roman" w:hAnsi="Times New Roman" w:cs="Times New Roman"/>
                <w:b/>
                <w:sz w:val="24"/>
                <w:szCs w:val="24"/>
              </w:rPr>
              <w:t>Lipophilicity</w:t>
            </w:r>
            <w:proofErr w:type="spellEnd"/>
            <w:r w:rsidRPr="002E7761">
              <w:rPr>
                <w:rFonts w:ascii="Times New Roman" w:eastAsia="Times New Roman" w:hAnsi="Times New Roman" w:cs="Times New Roman"/>
                <w:b/>
                <w:sz w:val="24"/>
                <w:szCs w:val="24"/>
              </w:rPr>
              <w:br/>
              <w:t>(</w:t>
            </w:r>
            <w:proofErr w:type="spellStart"/>
            <w:r w:rsidRPr="002E7761">
              <w:rPr>
                <w:rFonts w:ascii="Times New Roman" w:eastAsia="Times New Roman" w:hAnsi="Times New Roman" w:cs="Times New Roman"/>
                <w:b/>
                <w:sz w:val="24"/>
                <w:szCs w:val="24"/>
              </w:rPr>
              <w:t>LogP</w:t>
            </w:r>
            <w:proofErr w:type="spellEnd"/>
            <w:r w:rsidRPr="002E7761">
              <w:rPr>
                <w:rFonts w:ascii="Times New Roman" w:eastAsia="Times New Roman" w:hAnsi="Times New Roman" w:cs="Times New Roman"/>
                <w:b/>
                <w:sz w:val="24"/>
                <w:szCs w:val="24"/>
              </w:rPr>
              <w:t>) (</w:t>
            </w:r>
            <w:proofErr w:type="spellStart"/>
            <w:r w:rsidRPr="002E7761">
              <w:rPr>
                <w:rFonts w:ascii="Times New Roman" w:eastAsia="Times New Roman" w:hAnsi="Times New Roman" w:cs="Times New Roman"/>
                <w:b/>
                <w:sz w:val="24"/>
                <w:szCs w:val="24"/>
              </w:rPr>
              <w:t>iLOGP</w:t>
            </w:r>
            <w:proofErr w:type="spellEnd"/>
            <w:r w:rsidRPr="002E7761">
              <w:rPr>
                <w:rFonts w:ascii="Times New Roman" w:eastAsia="Times New Roman" w:hAnsi="Times New Roman" w:cs="Times New Roman"/>
                <w:b/>
                <w:sz w:val="24"/>
                <w:szCs w:val="24"/>
              </w:rPr>
              <w:t>)</w:t>
            </w:r>
          </w:p>
        </w:tc>
        <w:tc>
          <w:tcPr>
            <w:tcW w:w="1260" w:type="dxa"/>
            <w:tcBorders>
              <w:top w:val="single" w:sz="12" w:space="0" w:color="auto"/>
              <w:bottom w:val="single" w:sz="12" w:space="0" w:color="auto"/>
            </w:tcBorders>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b/>
                <w:sz w:val="24"/>
                <w:szCs w:val="24"/>
              </w:rPr>
            </w:pPr>
            <w:r w:rsidRPr="002E7761">
              <w:rPr>
                <w:rFonts w:ascii="Times New Roman" w:eastAsia="Times New Roman" w:hAnsi="Times New Roman" w:cs="Times New Roman"/>
                <w:b/>
                <w:sz w:val="24"/>
                <w:szCs w:val="24"/>
              </w:rPr>
              <w:t>Water Solubility (ESOL)</w:t>
            </w:r>
          </w:p>
        </w:tc>
        <w:tc>
          <w:tcPr>
            <w:tcW w:w="1110" w:type="dxa"/>
            <w:tcBorders>
              <w:top w:val="single" w:sz="12" w:space="0" w:color="auto"/>
              <w:bottom w:val="single" w:sz="12" w:space="0" w:color="auto"/>
            </w:tcBorders>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b/>
                <w:sz w:val="24"/>
                <w:szCs w:val="24"/>
              </w:rPr>
            </w:pPr>
            <w:r w:rsidRPr="002E7761">
              <w:rPr>
                <w:rFonts w:ascii="Times New Roman" w:eastAsia="Times New Roman" w:hAnsi="Times New Roman" w:cs="Times New Roman"/>
                <w:b/>
                <w:sz w:val="24"/>
                <w:szCs w:val="24"/>
              </w:rPr>
              <w:t>Hydrogen Bond Donors</w:t>
            </w:r>
          </w:p>
        </w:tc>
        <w:tc>
          <w:tcPr>
            <w:tcW w:w="1320" w:type="dxa"/>
            <w:tcBorders>
              <w:top w:val="single" w:sz="12" w:space="0" w:color="auto"/>
              <w:bottom w:val="single" w:sz="12" w:space="0" w:color="auto"/>
            </w:tcBorders>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b/>
                <w:sz w:val="24"/>
                <w:szCs w:val="24"/>
              </w:rPr>
            </w:pPr>
            <w:r w:rsidRPr="002E7761">
              <w:rPr>
                <w:rFonts w:ascii="Times New Roman" w:eastAsia="Times New Roman" w:hAnsi="Times New Roman" w:cs="Times New Roman"/>
                <w:b/>
                <w:sz w:val="24"/>
                <w:szCs w:val="24"/>
              </w:rPr>
              <w:t>Hydrogen Bond Acceptors</w:t>
            </w:r>
          </w:p>
        </w:tc>
        <w:tc>
          <w:tcPr>
            <w:tcW w:w="1320" w:type="dxa"/>
            <w:tcBorders>
              <w:top w:val="single" w:sz="12" w:space="0" w:color="auto"/>
              <w:bottom w:val="single" w:sz="12" w:space="0" w:color="auto"/>
            </w:tcBorders>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b/>
                <w:sz w:val="24"/>
                <w:szCs w:val="24"/>
              </w:rPr>
            </w:pPr>
            <w:r w:rsidRPr="002E7761">
              <w:rPr>
                <w:rFonts w:ascii="Times New Roman" w:eastAsia="Times New Roman" w:hAnsi="Times New Roman" w:cs="Times New Roman"/>
                <w:b/>
                <w:sz w:val="24"/>
                <w:szCs w:val="24"/>
              </w:rPr>
              <w:t>Polar Surface Area</w:t>
            </w:r>
          </w:p>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b/>
                <w:sz w:val="24"/>
                <w:szCs w:val="24"/>
              </w:rPr>
            </w:pPr>
            <w:r w:rsidRPr="002E7761">
              <w:rPr>
                <w:rFonts w:ascii="Times New Roman" w:eastAsia="Times New Roman" w:hAnsi="Times New Roman" w:cs="Times New Roman"/>
                <w:b/>
                <w:sz w:val="24"/>
                <w:szCs w:val="24"/>
              </w:rPr>
              <w:t>(Å</w:t>
            </w:r>
            <w:r w:rsidRPr="002E7761">
              <w:rPr>
                <w:rFonts w:ascii="Times New Roman" w:eastAsia="Times New Roman" w:hAnsi="Times New Roman" w:cs="Times New Roman"/>
                <w:b/>
                <w:sz w:val="24"/>
                <w:szCs w:val="24"/>
                <w:vertAlign w:val="superscript"/>
              </w:rPr>
              <w:t>2</w:t>
            </w:r>
            <w:r w:rsidRPr="002E7761">
              <w:rPr>
                <w:rFonts w:ascii="Times New Roman" w:eastAsia="Times New Roman" w:hAnsi="Times New Roman" w:cs="Times New Roman"/>
                <w:b/>
                <w:sz w:val="24"/>
                <w:szCs w:val="24"/>
              </w:rPr>
              <w:t>)</w:t>
            </w:r>
          </w:p>
        </w:tc>
      </w:tr>
      <w:tr w:rsidR="00896B0D" w:rsidRPr="002E7761" w:rsidTr="00896B0D">
        <w:tc>
          <w:tcPr>
            <w:tcW w:w="1710" w:type="dxa"/>
            <w:tcBorders>
              <w:top w:val="single" w:sz="12" w:space="0" w:color="auto"/>
            </w:tcBorders>
          </w:tcPr>
          <w:p w:rsidR="00896B0D" w:rsidRPr="0020784A" w:rsidRDefault="00896B0D" w:rsidP="00896B0D">
            <w:pPr>
              <w:jc w:val="both"/>
              <w:rPr>
                <w:rFonts w:ascii="Times New Roman" w:hAnsi="Times New Roman" w:cs="Times New Roman"/>
                <w:sz w:val="24"/>
                <w:szCs w:val="24"/>
              </w:rPr>
            </w:pPr>
            <w:r w:rsidRPr="0020784A">
              <w:rPr>
                <w:rFonts w:ascii="Times New Roman" w:hAnsi="Times New Roman" w:cs="Times New Roman"/>
                <w:sz w:val="24"/>
                <w:szCs w:val="24"/>
              </w:rPr>
              <w:t>COMP1</w:t>
            </w:r>
          </w:p>
        </w:tc>
        <w:tc>
          <w:tcPr>
            <w:tcW w:w="1350" w:type="dxa"/>
            <w:tcBorders>
              <w:top w:val="single" w:sz="12" w:space="0" w:color="auto"/>
            </w:tcBorders>
          </w:tcPr>
          <w:p w:rsidR="00896B0D" w:rsidRPr="002E7761" w:rsidRDefault="00896B0D" w:rsidP="00896B0D">
            <w:pPr>
              <w:jc w:val="both"/>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270.28</w:t>
            </w:r>
          </w:p>
        </w:tc>
        <w:tc>
          <w:tcPr>
            <w:tcW w:w="1170" w:type="dxa"/>
            <w:tcBorders>
              <w:top w:val="single" w:sz="12" w:space="0" w:color="auto"/>
            </w:tcBorders>
          </w:tcPr>
          <w:p w:rsidR="00896B0D" w:rsidRPr="002E7761" w:rsidRDefault="00896B0D" w:rsidP="00896B0D">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2.05</w:t>
            </w:r>
          </w:p>
        </w:tc>
        <w:tc>
          <w:tcPr>
            <w:tcW w:w="1260" w:type="dxa"/>
            <w:tcBorders>
              <w:top w:val="single" w:sz="12" w:space="0" w:color="auto"/>
            </w:tcBorders>
          </w:tcPr>
          <w:p w:rsidR="00896B0D" w:rsidRPr="002E7761" w:rsidRDefault="00896B0D" w:rsidP="00896B0D">
            <w:pPr>
              <w:jc w:val="both"/>
              <w:rPr>
                <w:rFonts w:ascii="Times New Roman" w:hAnsi="Times New Roman" w:cs="Times New Roman"/>
                <w:sz w:val="24"/>
                <w:szCs w:val="24"/>
              </w:rPr>
            </w:pPr>
            <w:r w:rsidRPr="002E7761">
              <w:rPr>
                <w:rFonts w:ascii="Times New Roman" w:hAnsi="Times New Roman" w:cs="Times New Roman"/>
                <w:sz w:val="24"/>
                <w:szCs w:val="24"/>
              </w:rPr>
              <w:t>-3.55</w:t>
            </w:r>
          </w:p>
          <w:p w:rsidR="00896B0D" w:rsidRPr="002E7761" w:rsidRDefault="00896B0D" w:rsidP="00896B0D">
            <w:pPr>
              <w:jc w:val="both"/>
              <w:rPr>
                <w:rFonts w:ascii="Times New Roman" w:hAnsi="Times New Roman" w:cs="Times New Roman"/>
                <w:sz w:val="24"/>
                <w:szCs w:val="24"/>
              </w:rPr>
            </w:pPr>
            <w:r w:rsidRPr="002E7761">
              <w:rPr>
                <w:rFonts w:ascii="Times New Roman" w:hAnsi="Times New Roman" w:cs="Times New Roman"/>
                <w:sz w:val="24"/>
                <w:szCs w:val="24"/>
              </w:rPr>
              <w:t>(Soluble)</w:t>
            </w:r>
          </w:p>
        </w:tc>
        <w:tc>
          <w:tcPr>
            <w:tcW w:w="1110" w:type="dxa"/>
            <w:tcBorders>
              <w:top w:val="single" w:sz="12" w:space="0" w:color="auto"/>
            </w:tcBorders>
          </w:tcPr>
          <w:p w:rsidR="00896B0D" w:rsidRPr="002E7761" w:rsidRDefault="00896B0D" w:rsidP="00896B0D">
            <w:pPr>
              <w:jc w:val="both"/>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2</w:t>
            </w:r>
          </w:p>
        </w:tc>
        <w:tc>
          <w:tcPr>
            <w:tcW w:w="1320" w:type="dxa"/>
            <w:tcBorders>
              <w:top w:val="single" w:sz="12" w:space="0" w:color="auto"/>
            </w:tcBorders>
          </w:tcPr>
          <w:p w:rsidR="00896B0D" w:rsidRPr="002E7761" w:rsidRDefault="00896B0D" w:rsidP="00896B0D">
            <w:pPr>
              <w:jc w:val="both"/>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4</w:t>
            </w:r>
          </w:p>
        </w:tc>
        <w:tc>
          <w:tcPr>
            <w:tcW w:w="1320" w:type="dxa"/>
            <w:tcBorders>
              <w:top w:val="single" w:sz="12" w:space="0" w:color="auto"/>
            </w:tcBorders>
          </w:tcPr>
          <w:p w:rsidR="00896B0D" w:rsidRPr="002E7761" w:rsidRDefault="00896B0D" w:rsidP="00896B0D">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66.76</w:t>
            </w:r>
          </w:p>
        </w:tc>
      </w:tr>
      <w:tr w:rsidR="00896B0D" w:rsidRPr="002E7761" w:rsidTr="00896B0D">
        <w:tc>
          <w:tcPr>
            <w:tcW w:w="1710" w:type="dxa"/>
          </w:tcPr>
          <w:p w:rsidR="00896B0D" w:rsidRPr="0020784A" w:rsidRDefault="00896B0D" w:rsidP="00896B0D">
            <w:pPr>
              <w:jc w:val="both"/>
              <w:rPr>
                <w:rFonts w:ascii="Times New Roman" w:hAnsi="Times New Roman" w:cs="Times New Roman"/>
                <w:sz w:val="24"/>
                <w:szCs w:val="24"/>
              </w:rPr>
            </w:pPr>
            <w:r w:rsidRPr="0020784A">
              <w:rPr>
                <w:rFonts w:ascii="Times New Roman" w:hAnsi="Times New Roman" w:cs="Times New Roman"/>
                <w:sz w:val="24"/>
                <w:szCs w:val="24"/>
              </w:rPr>
              <w:t>COMP2</w:t>
            </w:r>
          </w:p>
        </w:tc>
        <w:tc>
          <w:tcPr>
            <w:tcW w:w="1350" w:type="dxa"/>
          </w:tcPr>
          <w:p w:rsidR="00896B0D" w:rsidRPr="002E7761" w:rsidRDefault="00896B0D" w:rsidP="00896B0D">
            <w:pPr>
              <w:jc w:val="both"/>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268.26</w:t>
            </w:r>
          </w:p>
        </w:tc>
        <w:tc>
          <w:tcPr>
            <w:tcW w:w="1170" w:type="dxa"/>
          </w:tcPr>
          <w:p w:rsidR="00896B0D" w:rsidRPr="002E7761" w:rsidRDefault="00896B0D" w:rsidP="00896B0D">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2.00</w:t>
            </w:r>
          </w:p>
        </w:tc>
        <w:tc>
          <w:tcPr>
            <w:tcW w:w="1260" w:type="dxa"/>
          </w:tcPr>
          <w:p w:rsidR="00896B0D" w:rsidRPr="002E7761" w:rsidRDefault="00896B0D" w:rsidP="00896B0D">
            <w:pPr>
              <w:jc w:val="both"/>
              <w:rPr>
                <w:rFonts w:ascii="Times New Roman" w:hAnsi="Times New Roman" w:cs="Times New Roman"/>
                <w:sz w:val="24"/>
                <w:szCs w:val="24"/>
              </w:rPr>
            </w:pPr>
            <w:r w:rsidRPr="002E7761">
              <w:rPr>
                <w:rFonts w:ascii="Times New Roman" w:hAnsi="Times New Roman" w:cs="Times New Roman"/>
                <w:sz w:val="24"/>
                <w:szCs w:val="24"/>
              </w:rPr>
              <w:t>-3.53 (Soluble)</w:t>
            </w:r>
          </w:p>
        </w:tc>
        <w:tc>
          <w:tcPr>
            <w:tcW w:w="1110" w:type="dxa"/>
          </w:tcPr>
          <w:p w:rsidR="00896B0D" w:rsidRPr="002E7761" w:rsidRDefault="00896B0D" w:rsidP="00896B0D">
            <w:pPr>
              <w:jc w:val="both"/>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2</w:t>
            </w:r>
          </w:p>
        </w:tc>
        <w:tc>
          <w:tcPr>
            <w:tcW w:w="1320" w:type="dxa"/>
          </w:tcPr>
          <w:p w:rsidR="00896B0D" w:rsidRPr="002E7761" w:rsidRDefault="00896B0D" w:rsidP="00896B0D">
            <w:pPr>
              <w:jc w:val="both"/>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4</w:t>
            </w:r>
          </w:p>
        </w:tc>
        <w:tc>
          <w:tcPr>
            <w:tcW w:w="1320" w:type="dxa"/>
          </w:tcPr>
          <w:p w:rsidR="00896B0D" w:rsidRPr="002E7761" w:rsidRDefault="00896B0D" w:rsidP="00896B0D">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66.76</w:t>
            </w:r>
          </w:p>
        </w:tc>
      </w:tr>
      <w:tr w:rsidR="00896B0D" w:rsidRPr="002E7761" w:rsidTr="00896B0D">
        <w:tc>
          <w:tcPr>
            <w:tcW w:w="1710" w:type="dxa"/>
          </w:tcPr>
          <w:p w:rsidR="00896B0D" w:rsidRPr="0020784A" w:rsidRDefault="00896B0D" w:rsidP="00896B0D">
            <w:pPr>
              <w:jc w:val="both"/>
              <w:rPr>
                <w:rFonts w:ascii="Times New Roman" w:hAnsi="Times New Roman" w:cs="Times New Roman"/>
                <w:sz w:val="24"/>
                <w:szCs w:val="24"/>
              </w:rPr>
            </w:pPr>
            <w:r w:rsidRPr="0020784A">
              <w:rPr>
                <w:rFonts w:ascii="Times New Roman" w:hAnsi="Times New Roman" w:cs="Times New Roman"/>
                <w:sz w:val="24"/>
                <w:szCs w:val="24"/>
              </w:rPr>
              <w:t>COMP3</w:t>
            </w:r>
          </w:p>
        </w:tc>
        <w:tc>
          <w:tcPr>
            <w:tcW w:w="1350" w:type="dxa"/>
          </w:tcPr>
          <w:p w:rsidR="00896B0D" w:rsidRPr="002E7761" w:rsidRDefault="00896B0D" w:rsidP="00896B0D">
            <w:pPr>
              <w:jc w:val="both"/>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286.24</w:t>
            </w:r>
          </w:p>
        </w:tc>
        <w:tc>
          <w:tcPr>
            <w:tcW w:w="1170" w:type="dxa"/>
          </w:tcPr>
          <w:p w:rsidR="00896B0D" w:rsidRPr="002E7761" w:rsidRDefault="00896B0D" w:rsidP="00896B0D">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1.89</w:t>
            </w:r>
          </w:p>
        </w:tc>
        <w:tc>
          <w:tcPr>
            <w:tcW w:w="1260" w:type="dxa"/>
          </w:tcPr>
          <w:p w:rsidR="00896B0D" w:rsidRPr="002E7761" w:rsidRDefault="00896B0D" w:rsidP="00896B0D">
            <w:pPr>
              <w:jc w:val="both"/>
              <w:rPr>
                <w:rFonts w:ascii="Times New Roman" w:hAnsi="Times New Roman" w:cs="Times New Roman"/>
                <w:sz w:val="24"/>
                <w:szCs w:val="24"/>
              </w:rPr>
            </w:pPr>
            <w:r w:rsidRPr="002E7761">
              <w:rPr>
                <w:rFonts w:ascii="Times New Roman" w:hAnsi="Times New Roman" w:cs="Times New Roman"/>
                <w:sz w:val="24"/>
                <w:szCs w:val="24"/>
              </w:rPr>
              <w:t>-3.71 (Soluble)</w:t>
            </w:r>
          </w:p>
        </w:tc>
        <w:tc>
          <w:tcPr>
            <w:tcW w:w="1110" w:type="dxa"/>
          </w:tcPr>
          <w:p w:rsidR="00896B0D" w:rsidRPr="002E7761" w:rsidRDefault="00896B0D" w:rsidP="00896B0D">
            <w:pPr>
              <w:jc w:val="both"/>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4</w:t>
            </w:r>
          </w:p>
        </w:tc>
        <w:tc>
          <w:tcPr>
            <w:tcW w:w="1320" w:type="dxa"/>
          </w:tcPr>
          <w:p w:rsidR="00896B0D" w:rsidRPr="002E7761" w:rsidRDefault="00896B0D" w:rsidP="00896B0D">
            <w:pPr>
              <w:jc w:val="both"/>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6</w:t>
            </w:r>
          </w:p>
        </w:tc>
        <w:tc>
          <w:tcPr>
            <w:tcW w:w="1320" w:type="dxa"/>
          </w:tcPr>
          <w:p w:rsidR="00896B0D" w:rsidRPr="002E7761" w:rsidRDefault="00896B0D" w:rsidP="00896B0D">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111.13</w:t>
            </w:r>
          </w:p>
        </w:tc>
      </w:tr>
      <w:tr w:rsidR="00896B0D" w:rsidRPr="002E7761" w:rsidTr="00896B0D">
        <w:tc>
          <w:tcPr>
            <w:tcW w:w="1710" w:type="dxa"/>
          </w:tcPr>
          <w:p w:rsidR="00896B0D" w:rsidRPr="0020784A" w:rsidRDefault="00896B0D" w:rsidP="00896B0D">
            <w:pPr>
              <w:jc w:val="both"/>
              <w:rPr>
                <w:rFonts w:ascii="Times New Roman" w:hAnsi="Times New Roman" w:cs="Times New Roman"/>
                <w:sz w:val="24"/>
                <w:szCs w:val="24"/>
              </w:rPr>
            </w:pPr>
            <w:r w:rsidRPr="0020784A">
              <w:rPr>
                <w:rFonts w:ascii="Times New Roman" w:hAnsi="Times New Roman" w:cs="Times New Roman"/>
                <w:sz w:val="24"/>
                <w:szCs w:val="24"/>
              </w:rPr>
              <w:t>COMP4</w:t>
            </w:r>
          </w:p>
        </w:tc>
        <w:tc>
          <w:tcPr>
            <w:tcW w:w="1350" w:type="dxa"/>
          </w:tcPr>
          <w:p w:rsidR="00896B0D" w:rsidRPr="002E7761" w:rsidRDefault="00896B0D" w:rsidP="00896B0D">
            <w:pPr>
              <w:jc w:val="both"/>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316.26</w:t>
            </w:r>
          </w:p>
        </w:tc>
        <w:tc>
          <w:tcPr>
            <w:tcW w:w="1170" w:type="dxa"/>
          </w:tcPr>
          <w:p w:rsidR="00896B0D" w:rsidRPr="002E7761" w:rsidRDefault="00896B0D" w:rsidP="00896B0D">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2.00</w:t>
            </w:r>
          </w:p>
        </w:tc>
        <w:tc>
          <w:tcPr>
            <w:tcW w:w="1260" w:type="dxa"/>
          </w:tcPr>
          <w:p w:rsidR="00896B0D" w:rsidRPr="002E7761" w:rsidRDefault="00896B0D" w:rsidP="00896B0D">
            <w:pPr>
              <w:jc w:val="both"/>
              <w:rPr>
                <w:rFonts w:ascii="Times New Roman" w:hAnsi="Times New Roman" w:cs="Times New Roman"/>
                <w:sz w:val="24"/>
                <w:szCs w:val="24"/>
              </w:rPr>
            </w:pPr>
            <w:r w:rsidRPr="002E7761">
              <w:rPr>
                <w:rFonts w:ascii="Times New Roman" w:hAnsi="Times New Roman" w:cs="Times New Roman"/>
                <w:sz w:val="24"/>
                <w:szCs w:val="24"/>
              </w:rPr>
              <w:t>-3.89 (Soluble)</w:t>
            </w:r>
          </w:p>
        </w:tc>
        <w:tc>
          <w:tcPr>
            <w:tcW w:w="1110" w:type="dxa"/>
          </w:tcPr>
          <w:p w:rsidR="00896B0D" w:rsidRPr="002E7761" w:rsidRDefault="00896B0D" w:rsidP="00896B0D">
            <w:pPr>
              <w:jc w:val="both"/>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4</w:t>
            </w:r>
          </w:p>
        </w:tc>
        <w:tc>
          <w:tcPr>
            <w:tcW w:w="1320" w:type="dxa"/>
          </w:tcPr>
          <w:p w:rsidR="00896B0D" w:rsidRPr="002E7761" w:rsidRDefault="00896B0D" w:rsidP="00896B0D">
            <w:pPr>
              <w:jc w:val="both"/>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7</w:t>
            </w:r>
          </w:p>
        </w:tc>
        <w:tc>
          <w:tcPr>
            <w:tcW w:w="1320" w:type="dxa"/>
          </w:tcPr>
          <w:p w:rsidR="00896B0D" w:rsidRPr="002E7761" w:rsidRDefault="00896B0D" w:rsidP="00896B0D">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120.36</w:t>
            </w:r>
          </w:p>
        </w:tc>
      </w:tr>
      <w:tr w:rsidR="00F77439" w:rsidRPr="002E7761" w:rsidTr="00896B0D">
        <w:tc>
          <w:tcPr>
            <w:tcW w:w="1710" w:type="dxa"/>
          </w:tcPr>
          <w:p w:rsidR="00F77439" w:rsidRPr="0020784A" w:rsidRDefault="00F77439" w:rsidP="00EB7E61">
            <w:pPr>
              <w:jc w:val="both"/>
              <w:rPr>
                <w:rFonts w:ascii="Times New Roman" w:eastAsia="Times New Roman" w:hAnsi="Times New Roman" w:cs="Times New Roman"/>
                <w:sz w:val="24"/>
                <w:szCs w:val="24"/>
              </w:rPr>
            </w:pPr>
            <w:proofErr w:type="spellStart"/>
            <w:r w:rsidRPr="0020784A">
              <w:rPr>
                <w:rFonts w:ascii="Times New Roman" w:eastAsia="Times New Roman" w:hAnsi="Times New Roman" w:cs="Times New Roman"/>
                <w:sz w:val="24"/>
                <w:szCs w:val="24"/>
              </w:rPr>
              <w:t>Enzalutamide</w:t>
            </w:r>
            <w:proofErr w:type="spellEnd"/>
          </w:p>
        </w:tc>
        <w:tc>
          <w:tcPr>
            <w:tcW w:w="1350" w:type="dxa"/>
          </w:tcPr>
          <w:p w:rsidR="00F77439" w:rsidRPr="002E7761" w:rsidRDefault="00F77439" w:rsidP="00EB7E61">
            <w:pPr>
              <w:jc w:val="both"/>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464.44</w:t>
            </w:r>
          </w:p>
        </w:tc>
        <w:tc>
          <w:tcPr>
            <w:tcW w:w="1170" w:type="dxa"/>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2.92</w:t>
            </w:r>
          </w:p>
        </w:tc>
        <w:tc>
          <w:tcPr>
            <w:tcW w:w="1260" w:type="dxa"/>
          </w:tcPr>
          <w:p w:rsidR="00F77439" w:rsidRPr="002E7761" w:rsidRDefault="00F77439" w:rsidP="00EB7E61">
            <w:pPr>
              <w:jc w:val="both"/>
              <w:rPr>
                <w:rFonts w:ascii="Times New Roman" w:hAnsi="Times New Roman" w:cs="Times New Roman"/>
                <w:sz w:val="24"/>
                <w:szCs w:val="24"/>
              </w:rPr>
            </w:pPr>
            <w:r w:rsidRPr="002E7761">
              <w:rPr>
                <w:rFonts w:ascii="Times New Roman" w:hAnsi="Times New Roman" w:cs="Times New Roman"/>
                <w:sz w:val="24"/>
                <w:szCs w:val="24"/>
              </w:rPr>
              <w:t>-4.94 (Moderately Soluble)</w:t>
            </w:r>
          </w:p>
        </w:tc>
        <w:tc>
          <w:tcPr>
            <w:tcW w:w="1110" w:type="dxa"/>
          </w:tcPr>
          <w:p w:rsidR="00F77439" w:rsidRPr="002E7761" w:rsidRDefault="00F77439" w:rsidP="00EB7E61">
            <w:pPr>
              <w:jc w:val="both"/>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1</w:t>
            </w:r>
          </w:p>
        </w:tc>
        <w:tc>
          <w:tcPr>
            <w:tcW w:w="1320" w:type="dxa"/>
          </w:tcPr>
          <w:p w:rsidR="00F77439" w:rsidRPr="002E7761" w:rsidRDefault="00F77439" w:rsidP="00EB7E61">
            <w:pPr>
              <w:jc w:val="both"/>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7</w:t>
            </w:r>
          </w:p>
        </w:tc>
        <w:tc>
          <w:tcPr>
            <w:tcW w:w="1320" w:type="dxa"/>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108.53</w:t>
            </w:r>
          </w:p>
        </w:tc>
      </w:tr>
      <w:tr w:rsidR="00F77439" w:rsidRPr="002E7761" w:rsidTr="00896B0D">
        <w:tc>
          <w:tcPr>
            <w:tcW w:w="1710" w:type="dxa"/>
          </w:tcPr>
          <w:p w:rsidR="00F77439" w:rsidRPr="0020784A" w:rsidRDefault="00F77439" w:rsidP="00EB7E61">
            <w:pPr>
              <w:jc w:val="both"/>
              <w:rPr>
                <w:rFonts w:ascii="Times New Roman" w:eastAsia="Times New Roman" w:hAnsi="Times New Roman" w:cs="Times New Roman"/>
                <w:sz w:val="24"/>
                <w:szCs w:val="24"/>
              </w:rPr>
            </w:pPr>
            <w:proofErr w:type="spellStart"/>
            <w:r w:rsidRPr="0020784A">
              <w:rPr>
                <w:rFonts w:ascii="Times New Roman" w:eastAsia="Times New Roman" w:hAnsi="Times New Roman" w:cs="Times New Roman"/>
                <w:sz w:val="24"/>
                <w:szCs w:val="24"/>
              </w:rPr>
              <w:t>Apalutamide</w:t>
            </w:r>
            <w:proofErr w:type="spellEnd"/>
          </w:p>
        </w:tc>
        <w:tc>
          <w:tcPr>
            <w:tcW w:w="1350" w:type="dxa"/>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477.43</w:t>
            </w:r>
          </w:p>
        </w:tc>
        <w:tc>
          <w:tcPr>
            <w:tcW w:w="1170" w:type="dxa"/>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2.69</w:t>
            </w:r>
          </w:p>
        </w:tc>
        <w:tc>
          <w:tcPr>
            <w:tcW w:w="1260" w:type="dxa"/>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-4.62 (Moderately Soluble)</w:t>
            </w:r>
          </w:p>
        </w:tc>
        <w:tc>
          <w:tcPr>
            <w:tcW w:w="1110" w:type="dxa"/>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1</w:t>
            </w:r>
          </w:p>
        </w:tc>
        <w:tc>
          <w:tcPr>
            <w:tcW w:w="1320" w:type="dxa"/>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8</w:t>
            </w:r>
          </w:p>
        </w:tc>
        <w:tc>
          <w:tcPr>
            <w:tcW w:w="1320" w:type="dxa"/>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121.42</w:t>
            </w:r>
          </w:p>
        </w:tc>
      </w:tr>
    </w:tbl>
    <w:p w:rsidR="00F77439" w:rsidRPr="002E7761" w:rsidRDefault="00F77439" w:rsidP="00F77439">
      <w:pPr>
        <w:spacing w:before="120" w:after="240" w:line="240" w:lineRule="auto"/>
        <w:jc w:val="both"/>
        <w:rPr>
          <w:rFonts w:ascii="Times New Roman" w:eastAsia="Times New Roman" w:hAnsi="Times New Roman" w:cs="Times New Roman"/>
          <w:b/>
          <w:sz w:val="24"/>
          <w:szCs w:val="24"/>
        </w:rPr>
      </w:pPr>
    </w:p>
    <w:p w:rsidR="00F77439" w:rsidRPr="002E7761" w:rsidRDefault="00D84CF6" w:rsidP="006D337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4.2.3 </w:t>
      </w:r>
      <w:r w:rsidR="00F77439" w:rsidRPr="002E7761">
        <w:rPr>
          <w:rFonts w:ascii="Times New Roman" w:eastAsia="Times New Roman" w:hAnsi="Times New Roman" w:cs="Times New Roman"/>
          <w:b/>
          <w:sz w:val="24"/>
          <w:szCs w:val="24"/>
        </w:rPr>
        <w:t xml:space="preserve">Drug-likeness results </w:t>
      </w:r>
    </w:p>
    <w:p w:rsidR="00F77439" w:rsidRPr="002E7761" w:rsidRDefault="00F77439" w:rsidP="006D3376">
      <w:pPr>
        <w:spacing w:line="360" w:lineRule="auto"/>
        <w:jc w:val="both"/>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When evaluating a compound's suitability as a drug, it is important to consider its physicochemical properties and their alignment with vari</w:t>
      </w:r>
      <w:r w:rsidR="00BB137C">
        <w:rPr>
          <w:rFonts w:ascii="Times New Roman" w:eastAsia="Times New Roman" w:hAnsi="Times New Roman" w:cs="Times New Roman"/>
          <w:sz w:val="24"/>
          <w:szCs w:val="24"/>
        </w:rPr>
        <w:t xml:space="preserve">ous filter criteria such as </w:t>
      </w:r>
      <w:proofErr w:type="spellStart"/>
      <w:r w:rsidR="00BB137C" w:rsidRPr="002E7761">
        <w:rPr>
          <w:rFonts w:ascii="Times New Roman" w:eastAsia="Times New Roman" w:hAnsi="Times New Roman" w:cs="Times New Roman"/>
          <w:sz w:val="24"/>
          <w:szCs w:val="24"/>
        </w:rPr>
        <w:t>Ghose</w:t>
      </w:r>
      <w:proofErr w:type="spellEnd"/>
      <w:r w:rsidR="00BB137C" w:rsidRPr="002E7761">
        <w:rPr>
          <w:rFonts w:ascii="Times New Roman" w:eastAsia="Times New Roman" w:hAnsi="Times New Roman" w:cs="Times New Roman"/>
          <w:sz w:val="24"/>
          <w:szCs w:val="24"/>
        </w:rPr>
        <w:t xml:space="preserve"> filter, </w:t>
      </w:r>
      <w:proofErr w:type="spellStart"/>
      <w:r w:rsidR="00BB137C" w:rsidRPr="002E7761">
        <w:rPr>
          <w:rFonts w:ascii="Times New Roman" w:eastAsia="Times New Roman" w:hAnsi="Times New Roman" w:cs="Times New Roman"/>
          <w:sz w:val="24"/>
          <w:szCs w:val="24"/>
        </w:rPr>
        <w:t>Veber</w:t>
      </w:r>
      <w:proofErr w:type="spellEnd"/>
      <w:r w:rsidR="00BB137C" w:rsidRPr="002E7761">
        <w:rPr>
          <w:rFonts w:ascii="Times New Roman" w:eastAsia="Times New Roman" w:hAnsi="Times New Roman" w:cs="Times New Roman"/>
          <w:sz w:val="24"/>
          <w:szCs w:val="24"/>
        </w:rPr>
        <w:t xml:space="preserve"> rule, Ega</w:t>
      </w:r>
      <w:r w:rsidR="00BB137C">
        <w:rPr>
          <w:rFonts w:ascii="Times New Roman" w:eastAsia="Times New Roman" w:hAnsi="Times New Roman" w:cs="Times New Roman"/>
          <w:sz w:val="24"/>
          <w:szCs w:val="24"/>
        </w:rPr>
        <w:t xml:space="preserve">n rule, and </w:t>
      </w:r>
      <w:proofErr w:type="spellStart"/>
      <w:r w:rsidR="00BB137C">
        <w:rPr>
          <w:rFonts w:ascii="Times New Roman" w:eastAsia="Times New Roman" w:hAnsi="Times New Roman" w:cs="Times New Roman"/>
          <w:sz w:val="24"/>
          <w:szCs w:val="24"/>
        </w:rPr>
        <w:t>Muegge</w:t>
      </w:r>
      <w:proofErr w:type="spellEnd"/>
      <w:r w:rsidR="00BB137C">
        <w:rPr>
          <w:rFonts w:ascii="Times New Roman" w:eastAsia="Times New Roman" w:hAnsi="Times New Roman" w:cs="Times New Roman"/>
          <w:sz w:val="24"/>
          <w:szCs w:val="24"/>
        </w:rPr>
        <w:t xml:space="preserve"> rule</w:t>
      </w:r>
      <w:r w:rsidR="00BB137C" w:rsidRPr="002E7761">
        <w:rPr>
          <w:rFonts w:ascii="Times New Roman" w:eastAsia="Times New Roman" w:hAnsi="Times New Roman" w:cs="Times New Roman"/>
          <w:sz w:val="24"/>
          <w:szCs w:val="24"/>
        </w:rPr>
        <w:t xml:space="preserve"> </w:t>
      </w:r>
      <w:r w:rsidR="00BB137C">
        <w:rPr>
          <w:rFonts w:ascii="Times New Roman" w:eastAsia="Times New Roman" w:hAnsi="Times New Roman" w:cs="Times New Roman"/>
          <w:sz w:val="24"/>
          <w:szCs w:val="24"/>
        </w:rPr>
        <w:t>and the Lipinski rule of 5 (RO5)</w:t>
      </w:r>
      <w:r w:rsidR="00122917">
        <w:rPr>
          <w:rFonts w:ascii="Times New Roman" w:eastAsia="Times New Roman" w:hAnsi="Times New Roman" w:cs="Times New Roman"/>
          <w:sz w:val="24"/>
          <w:szCs w:val="24"/>
        </w:rPr>
        <w:t>. Table 5</w:t>
      </w:r>
      <w:r w:rsidRPr="002E7761">
        <w:rPr>
          <w:rFonts w:ascii="Times New Roman" w:eastAsia="Times New Roman" w:hAnsi="Times New Roman" w:cs="Times New Roman"/>
          <w:sz w:val="24"/>
          <w:szCs w:val="24"/>
        </w:rPr>
        <w:t xml:space="preserve"> shows that the isolated compounds adhered to all known drug-likeness guidelines as with the </w:t>
      </w:r>
      <w:proofErr w:type="spellStart"/>
      <w:r w:rsidRPr="002E7761">
        <w:rPr>
          <w:rFonts w:ascii="Times New Roman" w:eastAsia="Times New Roman" w:hAnsi="Times New Roman" w:cs="Times New Roman"/>
          <w:sz w:val="24"/>
          <w:szCs w:val="24"/>
        </w:rPr>
        <w:t>Enzalutamide</w:t>
      </w:r>
      <w:proofErr w:type="spellEnd"/>
      <w:r w:rsidRPr="002E7761">
        <w:rPr>
          <w:rFonts w:ascii="Times New Roman" w:eastAsia="Times New Roman" w:hAnsi="Times New Roman" w:cs="Times New Roman"/>
          <w:sz w:val="24"/>
          <w:szCs w:val="24"/>
        </w:rPr>
        <w:t xml:space="preserve"> and </w:t>
      </w:r>
      <w:proofErr w:type="spellStart"/>
      <w:r w:rsidRPr="002E7761">
        <w:rPr>
          <w:rFonts w:ascii="Times New Roman" w:eastAsia="Times New Roman" w:hAnsi="Times New Roman" w:cs="Times New Roman"/>
          <w:sz w:val="24"/>
          <w:szCs w:val="24"/>
        </w:rPr>
        <w:t>Apalutamide</w:t>
      </w:r>
      <w:proofErr w:type="spellEnd"/>
      <w:r w:rsidRPr="002E7761">
        <w:rPr>
          <w:rFonts w:ascii="Times New Roman" w:eastAsia="Times New Roman" w:hAnsi="Times New Roman" w:cs="Times New Roman"/>
          <w:sz w:val="24"/>
          <w:szCs w:val="24"/>
        </w:rPr>
        <w:t>, the reference compounds.</w:t>
      </w:r>
    </w:p>
    <w:p w:rsidR="00F77439" w:rsidRPr="002E7761" w:rsidRDefault="008E0532" w:rsidP="00F77439">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Table 4</w:t>
      </w:r>
      <w:r w:rsidR="00F77439" w:rsidRPr="002E7761">
        <w:rPr>
          <w:rFonts w:ascii="Times New Roman" w:eastAsia="Times New Roman" w:hAnsi="Times New Roman" w:cs="Times New Roman"/>
          <w:sz w:val="24"/>
          <w:szCs w:val="24"/>
        </w:rPr>
        <w:t xml:space="preserve">. Adherence of isolated and reference compounds to the known drug-likeness guidelines. </w:t>
      </w:r>
    </w:p>
    <w:p w:rsidR="00F77439" w:rsidRPr="002E7761" w:rsidRDefault="00F77439" w:rsidP="00F77439">
      <w:pPr>
        <w:spacing w:after="0"/>
        <w:jc w:val="center"/>
        <w:rPr>
          <w:rFonts w:ascii="Times New Roman" w:eastAsia="Times New Roman" w:hAnsi="Times New Roman" w:cs="Times New Roman"/>
          <w:sz w:val="24"/>
          <w:szCs w:val="24"/>
        </w:rPr>
      </w:pPr>
    </w:p>
    <w:tbl>
      <w:tblPr>
        <w:tblStyle w:val="ListTable2"/>
        <w:tblW w:w="9360" w:type="dxa"/>
        <w:tblBorders>
          <w:top w:val="single" w:sz="12" w:space="0" w:color="auto"/>
          <w:bottom w:val="single" w:sz="12" w:space="0" w:color="auto"/>
          <w:insideH w:val="none" w:sz="0" w:space="0" w:color="auto"/>
        </w:tblBorders>
        <w:tblLayout w:type="fixed"/>
        <w:tblLook w:val="0600" w:firstRow="0" w:lastRow="0" w:firstColumn="0" w:lastColumn="0" w:noHBand="1" w:noVBand="1"/>
      </w:tblPr>
      <w:tblGrid>
        <w:gridCol w:w="1701"/>
        <w:gridCol w:w="1419"/>
        <w:gridCol w:w="1560"/>
        <w:gridCol w:w="1560"/>
        <w:gridCol w:w="1560"/>
        <w:gridCol w:w="1560"/>
      </w:tblGrid>
      <w:tr w:rsidR="00F77439" w:rsidRPr="002E7761" w:rsidTr="00896B0D">
        <w:tc>
          <w:tcPr>
            <w:tcW w:w="1701" w:type="dxa"/>
            <w:tcBorders>
              <w:top w:val="single" w:sz="12" w:space="0" w:color="auto"/>
              <w:bottom w:val="single" w:sz="12" w:space="0" w:color="auto"/>
            </w:tcBorders>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b/>
                <w:sz w:val="24"/>
                <w:szCs w:val="24"/>
              </w:rPr>
            </w:pPr>
            <w:r w:rsidRPr="002E7761">
              <w:rPr>
                <w:rFonts w:ascii="Times New Roman" w:eastAsia="Times New Roman" w:hAnsi="Times New Roman" w:cs="Times New Roman"/>
                <w:b/>
                <w:sz w:val="24"/>
                <w:szCs w:val="24"/>
              </w:rPr>
              <w:t>Compounds</w:t>
            </w:r>
          </w:p>
        </w:tc>
        <w:tc>
          <w:tcPr>
            <w:tcW w:w="1419" w:type="dxa"/>
            <w:tcBorders>
              <w:top w:val="single" w:sz="12" w:space="0" w:color="auto"/>
              <w:bottom w:val="single" w:sz="12" w:space="0" w:color="auto"/>
            </w:tcBorders>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b/>
                <w:sz w:val="24"/>
                <w:szCs w:val="24"/>
              </w:rPr>
            </w:pPr>
            <w:r w:rsidRPr="002E7761">
              <w:rPr>
                <w:rFonts w:ascii="Times New Roman" w:eastAsia="Times New Roman" w:hAnsi="Times New Roman" w:cs="Times New Roman"/>
                <w:b/>
                <w:sz w:val="24"/>
                <w:szCs w:val="24"/>
              </w:rPr>
              <w:t>Lipinski</w:t>
            </w:r>
          </w:p>
        </w:tc>
        <w:tc>
          <w:tcPr>
            <w:tcW w:w="1560" w:type="dxa"/>
            <w:tcBorders>
              <w:top w:val="single" w:sz="12" w:space="0" w:color="auto"/>
              <w:bottom w:val="single" w:sz="12" w:space="0" w:color="auto"/>
            </w:tcBorders>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b/>
                <w:sz w:val="24"/>
                <w:szCs w:val="24"/>
              </w:rPr>
            </w:pPr>
            <w:proofErr w:type="spellStart"/>
            <w:r w:rsidRPr="002E7761">
              <w:rPr>
                <w:rFonts w:ascii="Times New Roman" w:eastAsia="Times New Roman" w:hAnsi="Times New Roman" w:cs="Times New Roman"/>
                <w:b/>
                <w:sz w:val="24"/>
                <w:szCs w:val="24"/>
              </w:rPr>
              <w:t>Veber</w:t>
            </w:r>
            <w:proofErr w:type="spellEnd"/>
          </w:p>
        </w:tc>
        <w:tc>
          <w:tcPr>
            <w:tcW w:w="1560" w:type="dxa"/>
            <w:tcBorders>
              <w:top w:val="single" w:sz="12" w:space="0" w:color="auto"/>
              <w:bottom w:val="single" w:sz="12" w:space="0" w:color="auto"/>
            </w:tcBorders>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b/>
                <w:sz w:val="24"/>
                <w:szCs w:val="24"/>
              </w:rPr>
            </w:pPr>
            <w:proofErr w:type="spellStart"/>
            <w:r w:rsidRPr="002E7761">
              <w:rPr>
                <w:rFonts w:ascii="Times New Roman" w:eastAsia="Times New Roman" w:hAnsi="Times New Roman" w:cs="Times New Roman"/>
                <w:b/>
                <w:sz w:val="24"/>
                <w:szCs w:val="24"/>
              </w:rPr>
              <w:t>Ghose</w:t>
            </w:r>
            <w:proofErr w:type="spellEnd"/>
          </w:p>
        </w:tc>
        <w:tc>
          <w:tcPr>
            <w:tcW w:w="1560" w:type="dxa"/>
            <w:tcBorders>
              <w:top w:val="single" w:sz="12" w:space="0" w:color="auto"/>
              <w:bottom w:val="single" w:sz="12" w:space="0" w:color="auto"/>
            </w:tcBorders>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b/>
                <w:sz w:val="24"/>
                <w:szCs w:val="24"/>
              </w:rPr>
            </w:pPr>
            <w:r w:rsidRPr="002E7761">
              <w:rPr>
                <w:rFonts w:ascii="Times New Roman" w:eastAsia="Times New Roman" w:hAnsi="Times New Roman" w:cs="Times New Roman"/>
                <w:b/>
                <w:sz w:val="24"/>
                <w:szCs w:val="24"/>
              </w:rPr>
              <w:t>Egan</w:t>
            </w:r>
          </w:p>
        </w:tc>
        <w:tc>
          <w:tcPr>
            <w:tcW w:w="1560" w:type="dxa"/>
            <w:tcBorders>
              <w:top w:val="single" w:sz="12" w:space="0" w:color="auto"/>
              <w:bottom w:val="single" w:sz="12" w:space="0" w:color="auto"/>
            </w:tcBorders>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b/>
                <w:sz w:val="24"/>
                <w:szCs w:val="24"/>
              </w:rPr>
            </w:pPr>
            <w:proofErr w:type="spellStart"/>
            <w:r w:rsidRPr="002E7761">
              <w:rPr>
                <w:rFonts w:ascii="Times New Roman" w:eastAsia="Times New Roman" w:hAnsi="Times New Roman" w:cs="Times New Roman"/>
                <w:b/>
                <w:sz w:val="24"/>
                <w:szCs w:val="24"/>
              </w:rPr>
              <w:t>Muegge</w:t>
            </w:r>
            <w:proofErr w:type="spellEnd"/>
          </w:p>
        </w:tc>
      </w:tr>
      <w:tr w:rsidR="00896B0D" w:rsidRPr="002E7761" w:rsidTr="00896B0D">
        <w:tc>
          <w:tcPr>
            <w:tcW w:w="1701" w:type="dxa"/>
            <w:tcBorders>
              <w:top w:val="single" w:sz="12" w:space="0" w:color="auto"/>
            </w:tcBorders>
          </w:tcPr>
          <w:p w:rsidR="00896B0D" w:rsidRPr="0020784A" w:rsidRDefault="00896B0D" w:rsidP="00896B0D">
            <w:pPr>
              <w:jc w:val="both"/>
              <w:rPr>
                <w:rFonts w:ascii="Times New Roman" w:hAnsi="Times New Roman" w:cs="Times New Roman"/>
                <w:sz w:val="24"/>
                <w:szCs w:val="24"/>
              </w:rPr>
            </w:pPr>
            <w:r w:rsidRPr="0020784A">
              <w:rPr>
                <w:rFonts w:ascii="Times New Roman" w:hAnsi="Times New Roman" w:cs="Times New Roman"/>
                <w:sz w:val="24"/>
                <w:szCs w:val="24"/>
              </w:rPr>
              <w:t>COMP1</w:t>
            </w:r>
          </w:p>
        </w:tc>
        <w:tc>
          <w:tcPr>
            <w:tcW w:w="1419" w:type="dxa"/>
            <w:tcBorders>
              <w:top w:val="single" w:sz="12" w:space="0" w:color="auto"/>
            </w:tcBorders>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560" w:type="dxa"/>
            <w:tcBorders>
              <w:top w:val="single" w:sz="12" w:space="0" w:color="auto"/>
            </w:tcBorders>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560" w:type="dxa"/>
            <w:tcBorders>
              <w:top w:val="single" w:sz="12" w:space="0" w:color="auto"/>
            </w:tcBorders>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560" w:type="dxa"/>
            <w:tcBorders>
              <w:top w:val="single" w:sz="12" w:space="0" w:color="auto"/>
            </w:tcBorders>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560" w:type="dxa"/>
            <w:tcBorders>
              <w:top w:val="single" w:sz="12" w:space="0" w:color="auto"/>
            </w:tcBorders>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r>
      <w:tr w:rsidR="00896B0D" w:rsidRPr="002E7761" w:rsidTr="00896B0D">
        <w:tc>
          <w:tcPr>
            <w:tcW w:w="1701" w:type="dxa"/>
          </w:tcPr>
          <w:p w:rsidR="00896B0D" w:rsidRPr="0020784A" w:rsidRDefault="00896B0D" w:rsidP="00896B0D">
            <w:pPr>
              <w:jc w:val="both"/>
              <w:rPr>
                <w:rFonts w:ascii="Times New Roman" w:hAnsi="Times New Roman" w:cs="Times New Roman"/>
                <w:sz w:val="24"/>
                <w:szCs w:val="24"/>
              </w:rPr>
            </w:pPr>
            <w:r w:rsidRPr="0020784A">
              <w:rPr>
                <w:rFonts w:ascii="Times New Roman" w:hAnsi="Times New Roman" w:cs="Times New Roman"/>
                <w:sz w:val="24"/>
                <w:szCs w:val="24"/>
              </w:rPr>
              <w:t>COMP2</w:t>
            </w:r>
          </w:p>
        </w:tc>
        <w:tc>
          <w:tcPr>
            <w:tcW w:w="1419" w:type="dxa"/>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560" w:type="dxa"/>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560" w:type="dxa"/>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560" w:type="dxa"/>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560" w:type="dxa"/>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r>
      <w:tr w:rsidR="00896B0D" w:rsidRPr="002E7761" w:rsidTr="00896B0D">
        <w:tc>
          <w:tcPr>
            <w:tcW w:w="1701" w:type="dxa"/>
          </w:tcPr>
          <w:p w:rsidR="00896B0D" w:rsidRPr="0020784A" w:rsidRDefault="00896B0D" w:rsidP="00896B0D">
            <w:pPr>
              <w:jc w:val="both"/>
              <w:rPr>
                <w:rFonts w:ascii="Times New Roman" w:hAnsi="Times New Roman" w:cs="Times New Roman"/>
                <w:sz w:val="24"/>
                <w:szCs w:val="24"/>
              </w:rPr>
            </w:pPr>
            <w:r w:rsidRPr="0020784A">
              <w:rPr>
                <w:rFonts w:ascii="Times New Roman" w:hAnsi="Times New Roman" w:cs="Times New Roman"/>
                <w:sz w:val="24"/>
                <w:szCs w:val="24"/>
              </w:rPr>
              <w:t>COMP3</w:t>
            </w:r>
          </w:p>
        </w:tc>
        <w:tc>
          <w:tcPr>
            <w:tcW w:w="1419" w:type="dxa"/>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560" w:type="dxa"/>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560" w:type="dxa"/>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560" w:type="dxa"/>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560" w:type="dxa"/>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r>
      <w:tr w:rsidR="00896B0D" w:rsidRPr="002E7761" w:rsidTr="00896B0D">
        <w:tc>
          <w:tcPr>
            <w:tcW w:w="1701" w:type="dxa"/>
          </w:tcPr>
          <w:p w:rsidR="00896B0D" w:rsidRPr="0020784A" w:rsidRDefault="00896B0D" w:rsidP="00896B0D">
            <w:pPr>
              <w:jc w:val="both"/>
              <w:rPr>
                <w:rFonts w:ascii="Times New Roman" w:hAnsi="Times New Roman" w:cs="Times New Roman"/>
                <w:sz w:val="24"/>
                <w:szCs w:val="24"/>
              </w:rPr>
            </w:pPr>
            <w:r w:rsidRPr="0020784A">
              <w:rPr>
                <w:rFonts w:ascii="Times New Roman" w:hAnsi="Times New Roman" w:cs="Times New Roman"/>
                <w:sz w:val="24"/>
                <w:szCs w:val="24"/>
              </w:rPr>
              <w:t>COMP4</w:t>
            </w:r>
          </w:p>
        </w:tc>
        <w:tc>
          <w:tcPr>
            <w:tcW w:w="1419" w:type="dxa"/>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560" w:type="dxa"/>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560" w:type="dxa"/>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560" w:type="dxa"/>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560" w:type="dxa"/>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r>
      <w:tr w:rsidR="00F77439" w:rsidRPr="002E7761" w:rsidTr="00896B0D">
        <w:tc>
          <w:tcPr>
            <w:tcW w:w="1701" w:type="dxa"/>
          </w:tcPr>
          <w:p w:rsidR="00F77439" w:rsidRPr="0020784A" w:rsidRDefault="00F77439" w:rsidP="00EB7E61">
            <w:pPr>
              <w:jc w:val="both"/>
              <w:rPr>
                <w:rFonts w:ascii="Times New Roman" w:eastAsia="Times New Roman" w:hAnsi="Times New Roman" w:cs="Times New Roman"/>
                <w:sz w:val="24"/>
                <w:szCs w:val="24"/>
              </w:rPr>
            </w:pPr>
            <w:proofErr w:type="spellStart"/>
            <w:r w:rsidRPr="0020784A">
              <w:rPr>
                <w:rFonts w:ascii="Times New Roman" w:eastAsia="Times New Roman" w:hAnsi="Times New Roman" w:cs="Times New Roman"/>
                <w:sz w:val="24"/>
                <w:szCs w:val="24"/>
              </w:rPr>
              <w:t>Enzalutamide</w:t>
            </w:r>
            <w:proofErr w:type="spellEnd"/>
          </w:p>
        </w:tc>
        <w:tc>
          <w:tcPr>
            <w:tcW w:w="1419"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56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56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56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56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r>
      <w:tr w:rsidR="00F77439" w:rsidRPr="002E7761" w:rsidTr="00896B0D">
        <w:tc>
          <w:tcPr>
            <w:tcW w:w="1701" w:type="dxa"/>
          </w:tcPr>
          <w:p w:rsidR="00F77439" w:rsidRPr="0020784A" w:rsidRDefault="00F77439" w:rsidP="00EB7E61">
            <w:pPr>
              <w:jc w:val="both"/>
              <w:rPr>
                <w:rFonts w:ascii="Times New Roman" w:eastAsia="Times New Roman" w:hAnsi="Times New Roman" w:cs="Times New Roman"/>
                <w:sz w:val="24"/>
                <w:szCs w:val="24"/>
              </w:rPr>
            </w:pPr>
            <w:proofErr w:type="spellStart"/>
            <w:r w:rsidRPr="0020784A">
              <w:rPr>
                <w:rFonts w:ascii="Times New Roman" w:eastAsia="Times New Roman" w:hAnsi="Times New Roman" w:cs="Times New Roman"/>
                <w:sz w:val="24"/>
                <w:szCs w:val="24"/>
              </w:rPr>
              <w:t>Apalutamide</w:t>
            </w:r>
            <w:proofErr w:type="spellEnd"/>
          </w:p>
        </w:tc>
        <w:tc>
          <w:tcPr>
            <w:tcW w:w="1419"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56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56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56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56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r>
    </w:tbl>
    <w:p w:rsidR="00F77439" w:rsidRPr="002E7761" w:rsidRDefault="00F77439" w:rsidP="00F77439">
      <w:pPr>
        <w:spacing w:after="0"/>
        <w:jc w:val="center"/>
        <w:rPr>
          <w:rFonts w:ascii="Times New Roman" w:eastAsia="Times New Roman" w:hAnsi="Times New Roman" w:cs="Times New Roman"/>
          <w:sz w:val="24"/>
          <w:szCs w:val="24"/>
        </w:rPr>
      </w:pPr>
    </w:p>
    <w:p w:rsidR="00F77439" w:rsidRPr="002E7761" w:rsidRDefault="00D84CF6" w:rsidP="006D3376">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4.2.4 </w:t>
      </w:r>
      <w:r w:rsidR="00F77439" w:rsidRPr="002E7761">
        <w:rPr>
          <w:rFonts w:ascii="Times New Roman" w:eastAsia="Times New Roman" w:hAnsi="Times New Roman" w:cs="Times New Roman"/>
          <w:b/>
          <w:sz w:val="24"/>
          <w:szCs w:val="24"/>
        </w:rPr>
        <w:t>Virtual screening and molecular docking analyses</w:t>
      </w:r>
    </w:p>
    <w:p w:rsidR="00F77439" w:rsidRPr="00BB137C" w:rsidRDefault="00BB137C" w:rsidP="006D3376">
      <w:pPr>
        <w:spacing w:after="0" w:line="360" w:lineRule="auto"/>
        <w:jc w:val="both"/>
        <w:rPr>
          <w:rFonts w:ascii="Times New Roman" w:eastAsia="Times New Roman" w:hAnsi="Times New Roman" w:cs="Times New Roman"/>
          <w:sz w:val="24"/>
          <w:szCs w:val="24"/>
          <w:lang w:val="en-US"/>
        </w:rPr>
      </w:pPr>
      <w:r w:rsidRPr="00BB137C">
        <w:rPr>
          <w:rFonts w:ascii="Times New Roman" w:eastAsia="Times New Roman" w:hAnsi="Times New Roman" w:cs="Times New Roman"/>
          <w:sz w:val="24"/>
          <w:szCs w:val="24"/>
        </w:rPr>
        <w:lastRenderedPageBreak/>
        <w:t>Molecular docking studies and virt</w:t>
      </w:r>
      <w:r>
        <w:rPr>
          <w:rFonts w:ascii="Times New Roman" w:eastAsia="Times New Roman" w:hAnsi="Times New Roman" w:cs="Times New Roman"/>
          <w:sz w:val="24"/>
          <w:szCs w:val="24"/>
        </w:rPr>
        <w:t>ual screening were carried out</w:t>
      </w:r>
      <w:r w:rsidR="00F77439" w:rsidRPr="002E7761">
        <w:rPr>
          <w:rFonts w:ascii="Times New Roman" w:eastAsia="Times New Roman" w:hAnsi="Times New Roman" w:cs="Times New Roman"/>
          <w:sz w:val="24"/>
          <w:szCs w:val="24"/>
        </w:rPr>
        <w:t xml:space="preserve"> to assess the binding affinities of the compounds wit</w:t>
      </w:r>
      <w:r w:rsidR="00896B0D">
        <w:rPr>
          <w:rFonts w:ascii="Times New Roman" w:eastAsia="Times New Roman" w:hAnsi="Times New Roman" w:cs="Times New Roman"/>
          <w:sz w:val="24"/>
          <w:szCs w:val="24"/>
        </w:rPr>
        <w:t>h mutated SPOP and ARV7. Table 5</w:t>
      </w:r>
      <w:r w:rsidR="00F77439" w:rsidRPr="002E7761">
        <w:rPr>
          <w:rFonts w:ascii="Times New Roman" w:eastAsia="Times New Roman" w:hAnsi="Times New Roman" w:cs="Times New Roman"/>
          <w:sz w:val="24"/>
          <w:szCs w:val="24"/>
        </w:rPr>
        <w:t xml:space="preserve"> shows the results of virtual screening and molecular docking of the identified compounds against Mutated SPOP.</w:t>
      </w:r>
      <w:r w:rsidR="00C15BD8">
        <w:rPr>
          <w:rFonts w:ascii="Times New Roman" w:eastAsia="Times New Roman" w:hAnsi="Times New Roman" w:cs="Times New Roman"/>
          <w:sz w:val="24"/>
          <w:szCs w:val="24"/>
        </w:rPr>
        <w:t xml:space="preserve"> </w:t>
      </w:r>
      <w:r w:rsidR="00C15BD8" w:rsidRPr="00C15BD8">
        <w:rPr>
          <w:rFonts w:ascii="Times New Roman" w:eastAsia="Times New Roman" w:hAnsi="Times New Roman" w:cs="Times New Roman"/>
          <w:sz w:val="24"/>
          <w:szCs w:val="24"/>
        </w:rPr>
        <w:t xml:space="preserve">Binding energy provides insights into </w:t>
      </w:r>
      <w:r w:rsidRPr="00BB137C">
        <w:rPr>
          <w:rFonts w:ascii="Times New Roman" w:eastAsia="Times New Roman" w:hAnsi="Times New Roman" w:cs="Times New Roman"/>
          <w:sz w:val="24"/>
          <w:szCs w:val="24"/>
          <w:lang w:val="en-US"/>
        </w:rPr>
        <w:t>the degree to which a substance interacts with a target protein's binding sit</w:t>
      </w:r>
      <w:r>
        <w:rPr>
          <w:rFonts w:ascii="Times New Roman" w:eastAsia="Times New Roman" w:hAnsi="Times New Roman" w:cs="Times New Roman"/>
          <w:sz w:val="24"/>
          <w:szCs w:val="24"/>
          <w:lang w:val="en-US"/>
        </w:rPr>
        <w:t>e with intensity and attraction</w:t>
      </w:r>
      <w:r w:rsidR="00C15BD8">
        <w:rPr>
          <w:rFonts w:ascii="Times New Roman" w:eastAsia="Times New Roman" w:hAnsi="Times New Roman" w:cs="Times New Roman"/>
          <w:sz w:val="24"/>
          <w:szCs w:val="24"/>
        </w:rPr>
        <w:t xml:space="preserve"> (as illu</w:t>
      </w:r>
      <w:r w:rsidR="00896B0D">
        <w:rPr>
          <w:rFonts w:ascii="Times New Roman" w:eastAsia="Times New Roman" w:hAnsi="Times New Roman" w:cs="Times New Roman"/>
          <w:sz w:val="24"/>
          <w:szCs w:val="24"/>
        </w:rPr>
        <w:t>strated in table 5</w:t>
      </w:r>
      <w:r w:rsidR="00C15BD8" w:rsidRPr="00C15BD8">
        <w:rPr>
          <w:rFonts w:ascii="Times New Roman" w:eastAsia="Times New Roman" w:hAnsi="Times New Roman" w:cs="Times New Roman"/>
          <w:sz w:val="24"/>
          <w:szCs w:val="24"/>
        </w:rPr>
        <w:t>). A compound with a lower binding energy is preferred as a potential drug candidate, while a compound with a higher binding energy is less desirable.</w:t>
      </w:r>
      <w:r w:rsidR="00F77439" w:rsidRPr="002E7761">
        <w:rPr>
          <w:rFonts w:ascii="Times New Roman" w:eastAsia="Times New Roman" w:hAnsi="Times New Roman" w:cs="Times New Roman"/>
          <w:sz w:val="24"/>
          <w:szCs w:val="24"/>
        </w:rPr>
        <w:t xml:space="preserve"> The results indicate that </w:t>
      </w:r>
      <w:r w:rsidR="00896B0D">
        <w:rPr>
          <w:rFonts w:ascii="Times New Roman" w:hAnsi="Times New Roman" w:cs="Times New Roman"/>
          <w:sz w:val="24"/>
          <w:szCs w:val="24"/>
        </w:rPr>
        <w:t xml:space="preserve">COMP2 and COMP3 </w:t>
      </w:r>
      <w:r w:rsidR="00F77439" w:rsidRPr="002E7761">
        <w:rPr>
          <w:rFonts w:ascii="Times New Roman" w:eastAsia="Times New Roman" w:hAnsi="Times New Roman" w:cs="Times New Roman"/>
          <w:sz w:val="24"/>
          <w:szCs w:val="24"/>
        </w:rPr>
        <w:t xml:space="preserve">exhibited stronger binding affinities to mutated SPOP compared to the reference compound </w:t>
      </w:r>
      <w:proofErr w:type="spellStart"/>
      <w:r w:rsidR="00F77439" w:rsidRPr="002E7761">
        <w:rPr>
          <w:rFonts w:ascii="Times New Roman" w:eastAsia="Times New Roman" w:hAnsi="Times New Roman" w:cs="Times New Roman"/>
          <w:sz w:val="24"/>
          <w:szCs w:val="24"/>
        </w:rPr>
        <w:t>Enzalutamide</w:t>
      </w:r>
      <w:proofErr w:type="spellEnd"/>
      <w:r w:rsidR="00F77439" w:rsidRPr="002E7761">
        <w:rPr>
          <w:rFonts w:ascii="Times New Roman" w:eastAsia="Times New Roman" w:hAnsi="Times New Roman" w:cs="Times New Roman"/>
          <w:sz w:val="24"/>
          <w:szCs w:val="24"/>
        </w:rPr>
        <w:t>.</w:t>
      </w:r>
    </w:p>
    <w:p w:rsidR="00F77439" w:rsidRPr="002E7761" w:rsidRDefault="00F77439" w:rsidP="00F77439">
      <w:pPr>
        <w:spacing w:after="0"/>
        <w:jc w:val="both"/>
        <w:rPr>
          <w:rFonts w:ascii="Times New Roman" w:eastAsia="Times New Roman" w:hAnsi="Times New Roman" w:cs="Times New Roman"/>
          <w:sz w:val="24"/>
          <w:szCs w:val="24"/>
        </w:rPr>
      </w:pPr>
    </w:p>
    <w:p w:rsidR="00F77439" w:rsidRPr="002E7761" w:rsidRDefault="008E0532" w:rsidP="00F77439">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Table 5</w:t>
      </w:r>
      <w:r w:rsidR="00F77439" w:rsidRPr="002E7761">
        <w:rPr>
          <w:rFonts w:ascii="Times New Roman" w:eastAsia="Times New Roman" w:hAnsi="Times New Roman" w:cs="Times New Roman"/>
          <w:sz w:val="24"/>
          <w:szCs w:val="24"/>
        </w:rPr>
        <w:t xml:space="preserve">. Molecular docking analysis of pure compounds showing estimated binding free energy and interacting residues in the binding site of </w:t>
      </w:r>
      <w:proofErr w:type="spellStart"/>
      <w:r w:rsidR="00F77439" w:rsidRPr="002E7761">
        <w:rPr>
          <w:rFonts w:ascii="Times New Roman" w:eastAsia="Times New Roman" w:hAnsi="Times New Roman" w:cs="Times New Roman"/>
          <w:sz w:val="24"/>
          <w:szCs w:val="24"/>
        </w:rPr>
        <w:t>mut</w:t>
      </w:r>
      <w:proofErr w:type="spellEnd"/>
      <w:r w:rsidR="00F77439" w:rsidRPr="002E7761">
        <w:rPr>
          <w:rFonts w:ascii="Times New Roman" w:eastAsia="Times New Roman" w:hAnsi="Times New Roman" w:cs="Times New Roman"/>
          <w:sz w:val="24"/>
          <w:szCs w:val="24"/>
        </w:rPr>
        <w:t xml:space="preserve"> SPOP.</w:t>
      </w:r>
    </w:p>
    <w:p w:rsidR="00F77439" w:rsidRPr="002E7761" w:rsidRDefault="00F77439" w:rsidP="00F77439">
      <w:pPr>
        <w:spacing w:after="0"/>
        <w:jc w:val="center"/>
        <w:rPr>
          <w:rFonts w:ascii="Times New Roman" w:eastAsia="Times New Roman" w:hAnsi="Times New Roman" w:cs="Times New Roman"/>
          <w:sz w:val="24"/>
          <w:szCs w:val="24"/>
        </w:rPr>
      </w:pPr>
    </w:p>
    <w:tbl>
      <w:tblPr>
        <w:tblW w:w="9360" w:type="dxa"/>
        <w:jc w:val="center"/>
        <w:tblBorders>
          <w:top w:val="single" w:sz="12" w:space="0" w:color="auto"/>
          <w:bottom w:val="single" w:sz="12" w:space="0" w:color="auto"/>
        </w:tblBorders>
        <w:tblLayout w:type="fixed"/>
        <w:tblLook w:val="0600" w:firstRow="0" w:lastRow="0" w:firstColumn="0" w:lastColumn="0" w:noHBand="1" w:noVBand="1"/>
      </w:tblPr>
      <w:tblGrid>
        <w:gridCol w:w="2340"/>
        <w:gridCol w:w="2340"/>
        <w:gridCol w:w="2340"/>
        <w:gridCol w:w="2340"/>
      </w:tblGrid>
      <w:tr w:rsidR="00F77439" w:rsidRPr="002E7761" w:rsidTr="00896B0D">
        <w:trPr>
          <w:jc w:val="center"/>
        </w:trPr>
        <w:tc>
          <w:tcPr>
            <w:tcW w:w="2340" w:type="dxa"/>
            <w:tcBorders>
              <w:top w:val="single" w:sz="12" w:space="0" w:color="auto"/>
              <w:bottom w:val="single" w:sz="12" w:space="0" w:color="auto"/>
            </w:tcBorders>
            <w:shd w:val="clear" w:color="auto" w:fill="auto"/>
            <w:tcMar>
              <w:top w:w="100" w:type="dxa"/>
              <w:left w:w="100" w:type="dxa"/>
              <w:bottom w:w="100" w:type="dxa"/>
              <w:right w:w="100" w:type="dxa"/>
            </w:tcMar>
          </w:tcPr>
          <w:p w:rsidR="00F77439" w:rsidRPr="00205A3D" w:rsidRDefault="00F77439" w:rsidP="00EB7E61">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r w:rsidRPr="00205A3D">
              <w:rPr>
                <w:rFonts w:ascii="Times New Roman" w:eastAsia="Times New Roman" w:hAnsi="Times New Roman" w:cs="Times New Roman"/>
                <w:b/>
                <w:sz w:val="24"/>
                <w:szCs w:val="24"/>
              </w:rPr>
              <w:t>Compounds</w:t>
            </w:r>
          </w:p>
        </w:tc>
        <w:tc>
          <w:tcPr>
            <w:tcW w:w="2340" w:type="dxa"/>
            <w:tcBorders>
              <w:top w:val="single" w:sz="12" w:space="0" w:color="auto"/>
              <w:bottom w:val="single" w:sz="12" w:space="0" w:color="auto"/>
            </w:tcBorders>
            <w:shd w:val="clear" w:color="auto" w:fill="auto"/>
            <w:tcMar>
              <w:top w:w="100" w:type="dxa"/>
              <w:left w:w="100" w:type="dxa"/>
              <w:bottom w:w="100" w:type="dxa"/>
              <w:right w:w="100" w:type="dxa"/>
            </w:tcMar>
          </w:tcPr>
          <w:p w:rsidR="00F77439" w:rsidRPr="00205A3D" w:rsidRDefault="00F77439" w:rsidP="00EB7E61">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r w:rsidRPr="00205A3D">
              <w:rPr>
                <w:rFonts w:ascii="Times New Roman" w:eastAsia="Times New Roman" w:hAnsi="Times New Roman" w:cs="Times New Roman"/>
                <w:b/>
                <w:sz w:val="24"/>
                <w:szCs w:val="24"/>
              </w:rPr>
              <w:t>2D Structure</w:t>
            </w:r>
          </w:p>
        </w:tc>
        <w:tc>
          <w:tcPr>
            <w:tcW w:w="2340" w:type="dxa"/>
            <w:tcBorders>
              <w:top w:val="single" w:sz="12" w:space="0" w:color="auto"/>
              <w:bottom w:val="single" w:sz="12" w:space="0" w:color="auto"/>
            </w:tcBorders>
            <w:shd w:val="clear" w:color="auto" w:fill="auto"/>
            <w:tcMar>
              <w:top w:w="100" w:type="dxa"/>
              <w:left w:w="100" w:type="dxa"/>
              <w:bottom w:w="100" w:type="dxa"/>
              <w:right w:w="100" w:type="dxa"/>
            </w:tcMar>
          </w:tcPr>
          <w:p w:rsidR="00F77439" w:rsidRPr="00205A3D" w:rsidRDefault="00F77439" w:rsidP="00EB7E61">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r w:rsidRPr="00205A3D">
              <w:rPr>
                <w:rFonts w:ascii="Times New Roman" w:eastAsia="Times New Roman" w:hAnsi="Times New Roman" w:cs="Times New Roman"/>
                <w:b/>
                <w:sz w:val="24"/>
                <w:szCs w:val="24"/>
              </w:rPr>
              <w:t>Binding Affinity of Compound at Mode 0 (kcal/</w:t>
            </w:r>
            <w:proofErr w:type="spellStart"/>
            <w:r w:rsidRPr="00205A3D">
              <w:rPr>
                <w:rFonts w:ascii="Times New Roman" w:eastAsia="Times New Roman" w:hAnsi="Times New Roman" w:cs="Times New Roman"/>
                <w:b/>
                <w:sz w:val="24"/>
                <w:szCs w:val="24"/>
              </w:rPr>
              <w:t>mol</w:t>
            </w:r>
            <w:proofErr w:type="spellEnd"/>
            <w:r w:rsidRPr="00205A3D">
              <w:rPr>
                <w:rFonts w:ascii="Times New Roman" w:eastAsia="Times New Roman" w:hAnsi="Times New Roman" w:cs="Times New Roman"/>
                <w:b/>
                <w:sz w:val="24"/>
                <w:szCs w:val="24"/>
              </w:rPr>
              <w:t>)</w:t>
            </w:r>
          </w:p>
        </w:tc>
        <w:tc>
          <w:tcPr>
            <w:tcW w:w="2340" w:type="dxa"/>
            <w:tcBorders>
              <w:top w:val="single" w:sz="12" w:space="0" w:color="auto"/>
              <w:bottom w:val="single" w:sz="12" w:space="0" w:color="auto"/>
            </w:tcBorders>
            <w:shd w:val="clear" w:color="auto" w:fill="auto"/>
            <w:tcMar>
              <w:top w:w="100" w:type="dxa"/>
              <w:left w:w="100" w:type="dxa"/>
              <w:bottom w:w="100" w:type="dxa"/>
              <w:right w:w="100" w:type="dxa"/>
            </w:tcMar>
          </w:tcPr>
          <w:p w:rsidR="00F77439" w:rsidRPr="00205A3D" w:rsidRDefault="00F77439" w:rsidP="00EB7E61">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r w:rsidRPr="00205A3D">
              <w:rPr>
                <w:rFonts w:ascii="Times New Roman" w:eastAsia="Times New Roman" w:hAnsi="Times New Roman" w:cs="Times New Roman"/>
                <w:b/>
                <w:sz w:val="24"/>
                <w:szCs w:val="24"/>
              </w:rPr>
              <w:t>Interacting Residues of Mutant SPOP and types of Interactions</w:t>
            </w:r>
          </w:p>
        </w:tc>
      </w:tr>
      <w:tr w:rsidR="00896B0D" w:rsidRPr="002E7761" w:rsidTr="00896B0D">
        <w:trPr>
          <w:jc w:val="center"/>
        </w:trPr>
        <w:tc>
          <w:tcPr>
            <w:tcW w:w="2340" w:type="dxa"/>
            <w:tcBorders>
              <w:top w:val="single" w:sz="12" w:space="0" w:color="auto"/>
            </w:tcBorders>
          </w:tcPr>
          <w:p w:rsidR="00896B0D" w:rsidRPr="0020784A" w:rsidRDefault="00896B0D" w:rsidP="00896B0D">
            <w:pPr>
              <w:jc w:val="both"/>
              <w:rPr>
                <w:rFonts w:ascii="Times New Roman" w:hAnsi="Times New Roman" w:cs="Times New Roman"/>
                <w:sz w:val="24"/>
                <w:szCs w:val="24"/>
              </w:rPr>
            </w:pPr>
            <w:r w:rsidRPr="0020784A">
              <w:rPr>
                <w:rFonts w:ascii="Times New Roman" w:hAnsi="Times New Roman" w:cs="Times New Roman"/>
                <w:sz w:val="24"/>
                <w:szCs w:val="24"/>
              </w:rPr>
              <w:t>COMP1</w:t>
            </w:r>
          </w:p>
        </w:tc>
        <w:tc>
          <w:tcPr>
            <w:tcW w:w="2340" w:type="dxa"/>
            <w:tcBorders>
              <w:top w:val="single" w:sz="12" w:space="0" w:color="auto"/>
            </w:tcBorders>
            <w:shd w:val="clear" w:color="auto" w:fill="auto"/>
            <w:tcMar>
              <w:top w:w="100" w:type="dxa"/>
              <w:left w:w="100" w:type="dxa"/>
              <w:bottom w:w="100" w:type="dxa"/>
              <w:right w:w="100" w:type="dxa"/>
            </w:tcMar>
          </w:tcPr>
          <w:p w:rsidR="00896B0D" w:rsidRPr="002E7761" w:rsidRDefault="00896B0D" w:rsidP="00896B0D">
            <w:pPr>
              <w:spacing w:after="0" w:line="240" w:lineRule="auto"/>
              <w:jc w:val="both"/>
              <w:rPr>
                <w:rFonts w:ascii="Times New Roman" w:eastAsia="Times New Roman" w:hAnsi="Times New Roman" w:cs="Times New Roman"/>
                <w:sz w:val="24"/>
                <w:szCs w:val="24"/>
              </w:rPr>
            </w:pPr>
            <w:r w:rsidRPr="002E7761">
              <w:rPr>
                <w:rFonts w:ascii="Times New Roman" w:hAnsi="Times New Roman" w:cs="Times New Roman"/>
                <w:noProof/>
                <w:sz w:val="24"/>
                <w:szCs w:val="24"/>
                <w:lang w:val="en-US"/>
              </w:rPr>
              <w:drawing>
                <wp:inline distT="0" distB="0" distL="0" distR="0" wp14:anchorId="45703B69" wp14:editId="7DA416AA">
                  <wp:extent cx="1352550" cy="1358900"/>
                  <wp:effectExtent l="0" t="0" r="0" b="0"/>
                  <wp:docPr id="18"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5"/>
                          <a:srcRect/>
                          <a:stretch>
                            <a:fillRect/>
                          </a:stretch>
                        </pic:blipFill>
                        <pic:spPr>
                          <a:xfrm>
                            <a:off x="0" y="0"/>
                            <a:ext cx="1352550" cy="1358900"/>
                          </a:xfrm>
                          <a:prstGeom prst="rect">
                            <a:avLst/>
                          </a:prstGeom>
                          <a:ln/>
                        </pic:spPr>
                      </pic:pic>
                    </a:graphicData>
                  </a:graphic>
                </wp:inline>
              </w:drawing>
            </w:r>
          </w:p>
        </w:tc>
        <w:tc>
          <w:tcPr>
            <w:tcW w:w="2340" w:type="dxa"/>
            <w:tcBorders>
              <w:top w:val="single" w:sz="12" w:space="0" w:color="auto"/>
            </w:tcBorders>
            <w:shd w:val="clear" w:color="auto" w:fill="auto"/>
            <w:tcMar>
              <w:top w:w="100" w:type="dxa"/>
              <w:left w:w="100" w:type="dxa"/>
              <w:bottom w:w="100" w:type="dxa"/>
              <w:right w:w="100" w:type="dxa"/>
            </w:tcMar>
          </w:tcPr>
          <w:p w:rsidR="00896B0D" w:rsidRPr="002E7761" w:rsidRDefault="00896B0D" w:rsidP="00896B0D">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-5.9</w:t>
            </w:r>
          </w:p>
        </w:tc>
        <w:tc>
          <w:tcPr>
            <w:tcW w:w="2340" w:type="dxa"/>
            <w:tcBorders>
              <w:top w:val="single" w:sz="12" w:space="0" w:color="auto"/>
            </w:tcBorders>
            <w:shd w:val="clear" w:color="auto" w:fill="auto"/>
            <w:tcMar>
              <w:top w:w="100" w:type="dxa"/>
              <w:left w:w="100" w:type="dxa"/>
              <w:bottom w:w="100" w:type="dxa"/>
              <w:right w:w="100" w:type="dxa"/>
            </w:tcMar>
          </w:tcPr>
          <w:p w:rsidR="00896B0D" w:rsidRPr="002E7761" w:rsidRDefault="00896B0D" w:rsidP="00896B0D">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PHE257, ILE258, ARG284, ALA281 - Conventional Hydrogen Bonds;</w:t>
            </w:r>
          </w:p>
          <w:p w:rsidR="00896B0D" w:rsidRPr="002E7761" w:rsidRDefault="00896B0D" w:rsidP="00896B0D">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ARG221, PRO223 - Alkyl/Pi-Alkyl</w:t>
            </w:r>
          </w:p>
        </w:tc>
      </w:tr>
      <w:tr w:rsidR="00896B0D" w:rsidRPr="002E7761" w:rsidTr="00896B0D">
        <w:trPr>
          <w:jc w:val="center"/>
        </w:trPr>
        <w:tc>
          <w:tcPr>
            <w:tcW w:w="2340" w:type="dxa"/>
          </w:tcPr>
          <w:p w:rsidR="00896B0D" w:rsidRPr="0020784A" w:rsidRDefault="00896B0D" w:rsidP="00896B0D">
            <w:pPr>
              <w:jc w:val="both"/>
              <w:rPr>
                <w:rFonts w:ascii="Times New Roman" w:hAnsi="Times New Roman" w:cs="Times New Roman"/>
                <w:sz w:val="24"/>
                <w:szCs w:val="24"/>
              </w:rPr>
            </w:pPr>
            <w:r w:rsidRPr="0020784A">
              <w:rPr>
                <w:rFonts w:ascii="Times New Roman" w:hAnsi="Times New Roman" w:cs="Times New Roman"/>
                <w:sz w:val="24"/>
                <w:szCs w:val="24"/>
              </w:rPr>
              <w:t>COMP2</w:t>
            </w:r>
          </w:p>
        </w:tc>
        <w:tc>
          <w:tcPr>
            <w:tcW w:w="2340" w:type="dxa"/>
            <w:shd w:val="clear" w:color="auto" w:fill="auto"/>
            <w:tcMar>
              <w:top w:w="100" w:type="dxa"/>
              <w:left w:w="100" w:type="dxa"/>
              <w:bottom w:w="100" w:type="dxa"/>
              <w:right w:w="100" w:type="dxa"/>
            </w:tcMar>
          </w:tcPr>
          <w:p w:rsidR="00896B0D" w:rsidRPr="002E7761" w:rsidRDefault="00896B0D" w:rsidP="00896B0D">
            <w:pPr>
              <w:spacing w:after="0" w:line="240" w:lineRule="auto"/>
              <w:jc w:val="both"/>
              <w:rPr>
                <w:rFonts w:ascii="Times New Roman" w:eastAsia="Times New Roman" w:hAnsi="Times New Roman" w:cs="Times New Roman"/>
                <w:sz w:val="24"/>
                <w:szCs w:val="24"/>
              </w:rPr>
            </w:pPr>
            <w:r w:rsidRPr="002E7761">
              <w:rPr>
                <w:rFonts w:ascii="Times New Roman" w:hAnsi="Times New Roman" w:cs="Times New Roman"/>
                <w:noProof/>
                <w:sz w:val="24"/>
                <w:szCs w:val="24"/>
                <w:lang w:val="en-US"/>
              </w:rPr>
              <w:drawing>
                <wp:inline distT="0" distB="0" distL="0" distR="0" wp14:anchorId="1B066AB3" wp14:editId="60382114">
                  <wp:extent cx="1352550" cy="1358900"/>
                  <wp:effectExtent l="0" t="0" r="0" b="0"/>
                  <wp:docPr id="3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6"/>
                          <a:srcRect/>
                          <a:stretch>
                            <a:fillRect/>
                          </a:stretch>
                        </pic:blipFill>
                        <pic:spPr>
                          <a:xfrm>
                            <a:off x="0" y="0"/>
                            <a:ext cx="1352550" cy="1358900"/>
                          </a:xfrm>
                          <a:prstGeom prst="rect">
                            <a:avLst/>
                          </a:prstGeom>
                          <a:ln/>
                        </pic:spPr>
                      </pic:pic>
                    </a:graphicData>
                  </a:graphic>
                </wp:inline>
              </w:drawing>
            </w:r>
          </w:p>
        </w:tc>
        <w:tc>
          <w:tcPr>
            <w:tcW w:w="2340" w:type="dxa"/>
          </w:tcPr>
          <w:p w:rsidR="00896B0D" w:rsidRPr="002E7761" w:rsidRDefault="00896B0D" w:rsidP="00896B0D">
            <w:pPr>
              <w:spacing w:after="0" w:line="240" w:lineRule="auto"/>
              <w:jc w:val="both"/>
              <w:rPr>
                <w:rFonts w:ascii="Times New Roman" w:hAnsi="Times New Roman" w:cs="Times New Roman"/>
                <w:sz w:val="24"/>
                <w:szCs w:val="24"/>
              </w:rPr>
            </w:pPr>
            <w:r w:rsidRPr="002E7761">
              <w:rPr>
                <w:rFonts w:ascii="Times New Roman" w:hAnsi="Times New Roman" w:cs="Times New Roman"/>
                <w:sz w:val="24"/>
                <w:szCs w:val="24"/>
              </w:rPr>
              <w:t>-6.9</w:t>
            </w:r>
          </w:p>
        </w:tc>
        <w:tc>
          <w:tcPr>
            <w:tcW w:w="2340" w:type="dxa"/>
            <w:shd w:val="clear" w:color="auto" w:fill="auto"/>
            <w:tcMar>
              <w:top w:w="100" w:type="dxa"/>
              <w:left w:w="100" w:type="dxa"/>
              <w:bottom w:w="100" w:type="dxa"/>
              <w:right w:w="100" w:type="dxa"/>
            </w:tcMar>
          </w:tcPr>
          <w:p w:rsidR="00896B0D" w:rsidRPr="002E7761" w:rsidRDefault="00896B0D" w:rsidP="00896B0D">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ARG284 - Conventional Hydrogen Bonds; PRO223, ARG221 - Pi-Alkyl</w:t>
            </w:r>
          </w:p>
        </w:tc>
      </w:tr>
      <w:tr w:rsidR="00896B0D" w:rsidRPr="002E7761" w:rsidTr="00896B0D">
        <w:trPr>
          <w:jc w:val="center"/>
        </w:trPr>
        <w:tc>
          <w:tcPr>
            <w:tcW w:w="2340" w:type="dxa"/>
          </w:tcPr>
          <w:p w:rsidR="00896B0D" w:rsidRPr="0020784A" w:rsidRDefault="00896B0D" w:rsidP="00896B0D">
            <w:pPr>
              <w:jc w:val="both"/>
              <w:rPr>
                <w:rFonts w:ascii="Times New Roman" w:hAnsi="Times New Roman" w:cs="Times New Roman"/>
                <w:sz w:val="24"/>
                <w:szCs w:val="24"/>
              </w:rPr>
            </w:pPr>
            <w:r w:rsidRPr="0020784A">
              <w:rPr>
                <w:rFonts w:ascii="Times New Roman" w:hAnsi="Times New Roman" w:cs="Times New Roman"/>
                <w:sz w:val="24"/>
                <w:szCs w:val="24"/>
              </w:rPr>
              <w:t>COMP3</w:t>
            </w:r>
          </w:p>
        </w:tc>
        <w:tc>
          <w:tcPr>
            <w:tcW w:w="2340" w:type="dxa"/>
            <w:shd w:val="clear" w:color="auto" w:fill="auto"/>
            <w:tcMar>
              <w:top w:w="100" w:type="dxa"/>
              <w:left w:w="100" w:type="dxa"/>
              <w:bottom w:w="100" w:type="dxa"/>
              <w:right w:w="100" w:type="dxa"/>
            </w:tcMar>
          </w:tcPr>
          <w:p w:rsidR="00896B0D" w:rsidRPr="002E7761" w:rsidRDefault="00896B0D" w:rsidP="00896B0D">
            <w:pPr>
              <w:spacing w:after="0" w:line="240" w:lineRule="auto"/>
              <w:jc w:val="both"/>
              <w:rPr>
                <w:rFonts w:ascii="Times New Roman" w:eastAsia="Times New Roman" w:hAnsi="Times New Roman" w:cs="Times New Roman"/>
                <w:sz w:val="24"/>
                <w:szCs w:val="24"/>
              </w:rPr>
            </w:pPr>
            <w:r w:rsidRPr="002E7761">
              <w:rPr>
                <w:rFonts w:ascii="Times New Roman" w:hAnsi="Times New Roman" w:cs="Times New Roman"/>
                <w:noProof/>
                <w:sz w:val="24"/>
                <w:szCs w:val="24"/>
                <w:lang w:val="en-US"/>
              </w:rPr>
              <w:drawing>
                <wp:inline distT="0" distB="0" distL="0" distR="0" wp14:anchorId="6459E41D" wp14:editId="6791234B">
                  <wp:extent cx="1352550" cy="1358900"/>
                  <wp:effectExtent l="0" t="0" r="0" b="0"/>
                  <wp:docPr id="21"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7"/>
                          <a:srcRect/>
                          <a:stretch>
                            <a:fillRect/>
                          </a:stretch>
                        </pic:blipFill>
                        <pic:spPr>
                          <a:xfrm>
                            <a:off x="0" y="0"/>
                            <a:ext cx="1352550" cy="1358900"/>
                          </a:xfrm>
                          <a:prstGeom prst="rect">
                            <a:avLst/>
                          </a:prstGeom>
                          <a:ln/>
                        </pic:spPr>
                      </pic:pic>
                    </a:graphicData>
                  </a:graphic>
                </wp:inline>
              </w:drawing>
            </w:r>
          </w:p>
        </w:tc>
        <w:tc>
          <w:tcPr>
            <w:tcW w:w="2340" w:type="dxa"/>
          </w:tcPr>
          <w:p w:rsidR="00896B0D" w:rsidRPr="002E7761" w:rsidRDefault="00896B0D" w:rsidP="00896B0D">
            <w:pPr>
              <w:spacing w:after="0" w:line="240" w:lineRule="auto"/>
              <w:jc w:val="both"/>
              <w:rPr>
                <w:rFonts w:ascii="Times New Roman" w:hAnsi="Times New Roman" w:cs="Times New Roman"/>
                <w:sz w:val="24"/>
                <w:szCs w:val="24"/>
              </w:rPr>
            </w:pPr>
            <w:r w:rsidRPr="002E7761">
              <w:rPr>
                <w:rFonts w:ascii="Times New Roman" w:hAnsi="Times New Roman" w:cs="Times New Roman"/>
                <w:sz w:val="24"/>
                <w:szCs w:val="24"/>
              </w:rPr>
              <w:t>-7.1</w:t>
            </w:r>
          </w:p>
        </w:tc>
        <w:tc>
          <w:tcPr>
            <w:tcW w:w="2340" w:type="dxa"/>
            <w:shd w:val="clear" w:color="auto" w:fill="auto"/>
            <w:tcMar>
              <w:top w:w="100" w:type="dxa"/>
              <w:left w:w="100" w:type="dxa"/>
              <w:bottom w:w="100" w:type="dxa"/>
              <w:right w:w="100" w:type="dxa"/>
            </w:tcMar>
          </w:tcPr>
          <w:p w:rsidR="00896B0D" w:rsidRPr="002E7761" w:rsidRDefault="00896B0D" w:rsidP="00896B0D">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 xml:space="preserve">PHE257, ILE258, ARG284, and ALA281- Conventional Hydrogen Bonds; </w:t>
            </w:r>
          </w:p>
          <w:p w:rsidR="00896B0D" w:rsidRPr="002E7761" w:rsidRDefault="00896B0D" w:rsidP="00896B0D">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ARG264 - Pi-</w:t>
            </w:r>
            <w:proofErr w:type="spellStart"/>
            <w:r w:rsidRPr="002E7761">
              <w:rPr>
                <w:rFonts w:ascii="Times New Roman" w:eastAsia="Times New Roman" w:hAnsi="Times New Roman" w:cs="Times New Roman"/>
                <w:sz w:val="24"/>
                <w:szCs w:val="24"/>
              </w:rPr>
              <w:t>Cation</w:t>
            </w:r>
            <w:proofErr w:type="spellEnd"/>
            <w:r w:rsidRPr="002E7761">
              <w:rPr>
                <w:rFonts w:ascii="Times New Roman" w:eastAsia="Times New Roman" w:hAnsi="Times New Roman" w:cs="Times New Roman"/>
                <w:sz w:val="24"/>
                <w:szCs w:val="24"/>
              </w:rPr>
              <w:t xml:space="preserve">; </w:t>
            </w:r>
          </w:p>
          <w:p w:rsidR="00896B0D" w:rsidRPr="002E7761" w:rsidRDefault="00896B0D" w:rsidP="00896B0D">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ARG221, ARG284 - Pi-Alkyl</w:t>
            </w:r>
          </w:p>
        </w:tc>
      </w:tr>
      <w:tr w:rsidR="00896B0D" w:rsidRPr="002E7761" w:rsidTr="00896B0D">
        <w:trPr>
          <w:jc w:val="center"/>
        </w:trPr>
        <w:tc>
          <w:tcPr>
            <w:tcW w:w="2340" w:type="dxa"/>
          </w:tcPr>
          <w:p w:rsidR="00896B0D" w:rsidRPr="0020784A" w:rsidRDefault="00896B0D" w:rsidP="00896B0D">
            <w:pPr>
              <w:jc w:val="both"/>
              <w:rPr>
                <w:rFonts w:ascii="Times New Roman" w:hAnsi="Times New Roman" w:cs="Times New Roman"/>
                <w:sz w:val="24"/>
                <w:szCs w:val="24"/>
              </w:rPr>
            </w:pPr>
            <w:r w:rsidRPr="0020784A">
              <w:rPr>
                <w:rFonts w:ascii="Times New Roman" w:hAnsi="Times New Roman" w:cs="Times New Roman"/>
                <w:sz w:val="24"/>
                <w:szCs w:val="24"/>
              </w:rPr>
              <w:lastRenderedPageBreak/>
              <w:t>COMP4</w:t>
            </w:r>
          </w:p>
        </w:tc>
        <w:tc>
          <w:tcPr>
            <w:tcW w:w="2340" w:type="dxa"/>
            <w:shd w:val="clear" w:color="auto" w:fill="auto"/>
            <w:tcMar>
              <w:top w:w="100" w:type="dxa"/>
              <w:left w:w="100" w:type="dxa"/>
              <w:bottom w:w="100" w:type="dxa"/>
              <w:right w:w="100" w:type="dxa"/>
            </w:tcMar>
          </w:tcPr>
          <w:p w:rsidR="00896B0D" w:rsidRPr="002E7761" w:rsidRDefault="00896B0D" w:rsidP="00896B0D">
            <w:pPr>
              <w:spacing w:after="0" w:line="240" w:lineRule="auto"/>
              <w:jc w:val="both"/>
              <w:rPr>
                <w:rFonts w:ascii="Times New Roman" w:eastAsia="Times New Roman" w:hAnsi="Times New Roman" w:cs="Times New Roman"/>
                <w:sz w:val="24"/>
                <w:szCs w:val="24"/>
              </w:rPr>
            </w:pPr>
            <w:r w:rsidRPr="002E7761">
              <w:rPr>
                <w:rFonts w:ascii="Times New Roman" w:hAnsi="Times New Roman" w:cs="Times New Roman"/>
                <w:noProof/>
                <w:sz w:val="24"/>
                <w:szCs w:val="24"/>
                <w:lang w:val="en-US"/>
              </w:rPr>
              <w:drawing>
                <wp:inline distT="0" distB="0" distL="0" distR="0" wp14:anchorId="4603F0A1" wp14:editId="2033180C">
                  <wp:extent cx="1352550" cy="1358900"/>
                  <wp:effectExtent l="0" t="0" r="0" b="0"/>
                  <wp:docPr id="36"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28"/>
                          <a:srcRect/>
                          <a:stretch>
                            <a:fillRect/>
                          </a:stretch>
                        </pic:blipFill>
                        <pic:spPr>
                          <a:xfrm>
                            <a:off x="0" y="0"/>
                            <a:ext cx="1352550" cy="1358900"/>
                          </a:xfrm>
                          <a:prstGeom prst="rect">
                            <a:avLst/>
                          </a:prstGeom>
                          <a:ln/>
                        </pic:spPr>
                      </pic:pic>
                    </a:graphicData>
                  </a:graphic>
                </wp:inline>
              </w:drawing>
            </w:r>
          </w:p>
        </w:tc>
        <w:tc>
          <w:tcPr>
            <w:tcW w:w="2340" w:type="dxa"/>
          </w:tcPr>
          <w:p w:rsidR="00896B0D" w:rsidRPr="002E7761" w:rsidRDefault="00896B0D" w:rsidP="00896B0D">
            <w:pPr>
              <w:spacing w:after="0" w:line="240" w:lineRule="auto"/>
              <w:jc w:val="both"/>
              <w:rPr>
                <w:rFonts w:ascii="Times New Roman" w:hAnsi="Times New Roman" w:cs="Times New Roman"/>
                <w:sz w:val="24"/>
                <w:szCs w:val="24"/>
              </w:rPr>
            </w:pPr>
            <w:r w:rsidRPr="002E7761">
              <w:rPr>
                <w:rFonts w:ascii="Times New Roman" w:hAnsi="Times New Roman" w:cs="Times New Roman"/>
                <w:sz w:val="24"/>
                <w:szCs w:val="24"/>
              </w:rPr>
              <w:t>-6.8</w:t>
            </w:r>
          </w:p>
        </w:tc>
        <w:tc>
          <w:tcPr>
            <w:tcW w:w="2340" w:type="dxa"/>
            <w:shd w:val="clear" w:color="auto" w:fill="auto"/>
            <w:tcMar>
              <w:top w:w="100" w:type="dxa"/>
              <w:left w:w="100" w:type="dxa"/>
              <w:bottom w:w="100" w:type="dxa"/>
              <w:right w:w="100" w:type="dxa"/>
            </w:tcMar>
          </w:tcPr>
          <w:p w:rsidR="00896B0D" w:rsidRPr="002E7761" w:rsidRDefault="00896B0D" w:rsidP="00896B0D">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GLU118, GLU113 THR114 -Conventional Hydrogen Bonds; ALA116, PRO223, ALA227 - Pi-Alkyl</w:t>
            </w:r>
          </w:p>
        </w:tc>
      </w:tr>
      <w:tr w:rsidR="00F77439" w:rsidRPr="002E7761" w:rsidTr="00896B0D">
        <w:trPr>
          <w:jc w:val="center"/>
        </w:trPr>
        <w:tc>
          <w:tcPr>
            <w:tcW w:w="2340" w:type="dxa"/>
          </w:tcPr>
          <w:p w:rsidR="00F77439" w:rsidRPr="0020784A" w:rsidRDefault="0020784A" w:rsidP="00EB7E61">
            <w:pPr>
              <w:spacing w:after="0" w:line="240" w:lineRule="auto"/>
              <w:jc w:val="both"/>
              <w:rPr>
                <w:rFonts w:ascii="Times New Roman" w:hAnsi="Times New Roman" w:cs="Times New Roman"/>
                <w:sz w:val="24"/>
                <w:szCs w:val="24"/>
              </w:rPr>
            </w:pPr>
            <w:proofErr w:type="spellStart"/>
            <w:r w:rsidRPr="0020784A">
              <w:rPr>
                <w:rFonts w:ascii="Times New Roman" w:hAnsi="Times New Roman" w:cs="Times New Roman"/>
                <w:sz w:val="24"/>
                <w:szCs w:val="24"/>
              </w:rPr>
              <w:t>Enzalutamide</w:t>
            </w:r>
            <w:proofErr w:type="spellEnd"/>
          </w:p>
        </w:tc>
        <w:tc>
          <w:tcPr>
            <w:tcW w:w="2340" w:type="dxa"/>
            <w:shd w:val="clear" w:color="auto" w:fill="auto"/>
            <w:tcMar>
              <w:top w:w="100" w:type="dxa"/>
              <w:left w:w="100" w:type="dxa"/>
              <w:bottom w:w="100" w:type="dxa"/>
              <w:right w:w="100" w:type="dxa"/>
            </w:tcMar>
          </w:tcPr>
          <w:p w:rsidR="00F77439" w:rsidRPr="002E7761" w:rsidRDefault="00F77439" w:rsidP="00EB7E61">
            <w:pPr>
              <w:spacing w:after="0" w:line="240" w:lineRule="auto"/>
              <w:jc w:val="both"/>
              <w:rPr>
                <w:rFonts w:ascii="Times New Roman" w:eastAsia="Times New Roman" w:hAnsi="Times New Roman" w:cs="Times New Roman"/>
                <w:sz w:val="24"/>
                <w:szCs w:val="24"/>
              </w:rPr>
            </w:pPr>
            <w:r w:rsidRPr="002E7761">
              <w:rPr>
                <w:rFonts w:ascii="Times New Roman" w:hAnsi="Times New Roman" w:cs="Times New Roman"/>
                <w:noProof/>
                <w:sz w:val="24"/>
                <w:szCs w:val="24"/>
                <w:lang w:val="en-US"/>
              </w:rPr>
              <w:drawing>
                <wp:inline distT="0" distB="0" distL="0" distR="0" wp14:anchorId="05F57C7C" wp14:editId="35B54EFB">
                  <wp:extent cx="1352550" cy="1219200"/>
                  <wp:effectExtent l="0" t="0" r="0" b="0"/>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9"/>
                          <a:srcRect/>
                          <a:stretch>
                            <a:fillRect/>
                          </a:stretch>
                        </pic:blipFill>
                        <pic:spPr>
                          <a:xfrm>
                            <a:off x="0" y="0"/>
                            <a:ext cx="1352550" cy="1219200"/>
                          </a:xfrm>
                          <a:prstGeom prst="rect">
                            <a:avLst/>
                          </a:prstGeom>
                          <a:ln/>
                        </pic:spPr>
                      </pic:pic>
                    </a:graphicData>
                  </a:graphic>
                </wp:inline>
              </w:drawing>
            </w:r>
          </w:p>
        </w:tc>
        <w:tc>
          <w:tcPr>
            <w:tcW w:w="2340" w:type="dxa"/>
          </w:tcPr>
          <w:p w:rsidR="00F77439" w:rsidRPr="002E7761" w:rsidRDefault="00F77439" w:rsidP="00EB7E61">
            <w:pPr>
              <w:spacing w:after="0" w:line="240" w:lineRule="auto"/>
              <w:jc w:val="both"/>
              <w:rPr>
                <w:rFonts w:ascii="Times New Roman" w:hAnsi="Times New Roman" w:cs="Times New Roman"/>
                <w:sz w:val="24"/>
                <w:szCs w:val="24"/>
              </w:rPr>
            </w:pPr>
            <w:r w:rsidRPr="002E7761">
              <w:rPr>
                <w:rFonts w:ascii="Times New Roman" w:hAnsi="Times New Roman" w:cs="Times New Roman"/>
                <w:sz w:val="24"/>
                <w:szCs w:val="24"/>
              </w:rPr>
              <w:t>-6.8</w:t>
            </w:r>
          </w:p>
        </w:tc>
        <w:tc>
          <w:tcPr>
            <w:tcW w:w="2340" w:type="dxa"/>
            <w:shd w:val="clear" w:color="auto" w:fill="auto"/>
            <w:tcMar>
              <w:top w:w="100" w:type="dxa"/>
              <w:left w:w="100" w:type="dxa"/>
              <w:bottom w:w="100" w:type="dxa"/>
              <w:right w:w="100" w:type="dxa"/>
            </w:tcMar>
          </w:tcPr>
          <w:p w:rsidR="00F77439" w:rsidRPr="002E7761" w:rsidRDefault="00F77439" w:rsidP="00EB7E61">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ARG284, ARG121 -</w:t>
            </w:r>
            <w:proofErr w:type="spellStart"/>
            <w:r w:rsidRPr="002E7761">
              <w:rPr>
                <w:rFonts w:ascii="Times New Roman" w:eastAsia="Times New Roman" w:hAnsi="Times New Roman" w:cs="Times New Roman"/>
                <w:sz w:val="24"/>
                <w:szCs w:val="24"/>
              </w:rPr>
              <w:t>Coventional</w:t>
            </w:r>
            <w:proofErr w:type="spellEnd"/>
            <w:r w:rsidRPr="002E7761">
              <w:rPr>
                <w:rFonts w:ascii="Times New Roman" w:eastAsia="Times New Roman" w:hAnsi="Times New Roman" w:cs="Times New Roman"/>
                <w:sz w:val="24"/>
                <w:szCs w:val="24"/>
              </w:rPr>
              <w:t xml:space="preserve"> Hydrogen Bonds; ARG284, ALA116 - Carbon Hydrogen Bond; GLU283 -Halogen (Fluorine); GLU118 - Pi-Anion</w:t>
            </w:r>
          </w:p>
          <w:p w:rsidR="00F77439" w:rsidRPr="002E7761" w:rsidRDefault="00F77439" w:rsidP="00EB7E61">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GLU283- Amide-Pi Stacked; PRO223, VAL287 -Alkyl/</w:t>
            </w:r>
            <w:proofErr w:type="spellStart"/>
            <w:r w:rsidRPr="002E7761">
              <w:rPr>
                <w:rFonts w:ascii="Times New Roman" w:eastAsia="Times New Roman" w:hAnsi="Times New Roman" w:cs="Times New Roman"/>
                <w:sz w:val="24"/>
                <w:szCs w:val="24"/>
              </w:rPr>
              <w:t>PiALkyl</w:t>
            </w:r>
            <w:proofErr w:type="spellEnd"/>
          </w:p>
        </w:tc>
      </w:tr>
    </w:tbl>
    <w:p w:rsidR="00F77439" w:rsidRPr="002E7761" w:rsidRDefault="00F77439" w:rsidP="00F77439">
      <w:pPr>
        <w:spacing w:after="0"/>
        <w:rPr>
          <w:rFonts w:ascii="Times New Roman" w:eastAsia="Times New Roman" w:hAnsi="Times New Roman" w:cs="Times New Roman"/>
          <w:sz w:val="24"/>
          <w:szCs w:val="24"/>
        </w:rPr>
      </w:pPr>
    </w:p>
    <w:p w:rsidR="00F77439" w:rsidRPr="001666F2" w:rsidRDefault="008E0532" w:rsidP="001666F2">
      <w:pPr>
        <w:jc w:val="both"/>
        <w:rPr>
          <w:rFonts w:ascii="Times New Roman" w:hAnsi="Times New Roman" w:cs="Times New Roman"/>
          <w:sz w:val="24"/>
          <w:szCs w:val="24"/>
        </w:rPr>
      </w:pPr>
      <w:r>
        <w:rPr>
          <w:rFonts w:ascii="Times New Roman" w:eastAsia="Times New Roman" w:hAnsi="Times New Roman" w:cs="Times New Roman"/>
          <w:sz w:val="24"/>
          <w:szCs w:val="24"/>
        </w:rPr>
        <w:t>Figure 12</w:t>
      </w:r>
      <w:r w:rsidR="001666F2">
        <w:rPr>
          <w:rFonts w:ascii="Times New Roman" w:eastAsia="Times New Roman" w:hAnsi="Times New Roman" w:cs="Times New Roman"/>
          <w:sz w:val="24"/>
          <w:szCs w:val="24"/>
        </w:rPr>
        <w:t xml:space="preserve"> presents the </w:t>
      </w:r>
      <w:r w:rsidR="0066480D">
        <w:rPr>
          <w:rFonts w:ascii="Times New Roman" w:eastAsia="Times New Roman" w:hAnsi="Times New Roman" w:cs="Times New Roman"/>
          <w:sz w:val="24"/>
          <w:szCs w:val="24"/>
        </w:rPr>
        <w:t xml:space="preserve">views in </w:t>
      </w:r>
      <w:r w:rsidR="001666F2">
        <w:rPr>
          <w:rFonts w:ascii="Times New Roman" w:eastAsia="Times New Roman" w:hAnsi="Times New Roman" w:cs="Times New Roman"/>
          <w:sz w:val="24"/>
          <w:szCs w:val="24"/>
        </w:rPr>
        <w:t xml:space="preserve">2D </w:t>
      </w:r>
      <w:r w:rsidR="0066480D">
        <w:rPr>
          <w:rFonts w:ascii="Times New Roman" w:eastAsia="Times New Roman" w:hAnsi="Times New Roman" w:cs="Times New Roman"/>
          <w:sz w:val="24"/>
          <w:szCs w:val="24"/>
        </w:rPr>
        <w:t xml:space="preserve">and 3D </w:t>
      </w:r>
      <w:r w:rsidR="00F77439" w:rsidRPr="002E7761">
        <w:rPr>
          <w:rFonts w:ascii="Times New Roman" w:eastAsia="Times New Roman" w:hAnsi="Times New Roman" w:cs="Times New Roman"/>
          <w:sz w:val="24"/>
          <w:szCs w:val="24"/>
        </w:rPr>
        <w:t>(A) 4,4'-dihydroxy-2'-methoxy-chalcone (2'-methoxyisoliquiritigenin), (B) 7,4'-dihydroxy-3,11-dehydrohomoisoflavanone, (C) 5,7,3',4'-tetrahydroxy-flavone (</w:t>
      </w:r>
      <w:proofErr w:type="spellStart"/>
      <w:r w:rsidR="00F77439" w:rsidRPr="002E7761">
        <w:rPr>
          <w:rFonts w:ascii="Times New Roman" w:eastAsia="Times New Roman" w:hAnsi="Times New Roman" w:cs="Times New Roman"/>
          <w:sz w:val="24"/>
          <w:szCs w:val="24"/>
        </w:rPr>
        <w:t>Luteolin</w:t>
      </w:r>
      <w:proofErr w:type="spellEnd"/>
      <w:r w:rsidR="00F77439" w:rsidRPr="002E7761">
        <w:rPr>
          <w:rFonts w:ascii="Times New Roman" w:eastAsia="Times New Roman" w:hAnsi="Times New Roman" w:cs="Times New Roman"/>
          <w:sz w:val="24"/>
          <w:szCs w:val="24"/>
        </w:rPr>
        <w:t xml:space="preserve">), (D) 7,3',4'-tetrahydroxy-3-methoxyflavone (quercetin-3-methyl ether), and (E) </w:t>
      </w:r>
      <w:proofErr w:type="spellStart"/>
      <w:r w:rsidR="00F77439" w:rsidRPr="002E7761">
        <w:rPr>
          <w:rFonts w:ascii="Times New Roman" w:eastAsia="Times New Roman" w:hAnsi="Times New Roman" w:cs="Times New Roman"/>
          <w:sz w:val="24"/>
          <w:szCs w:val="24"/>
        </w:rPr>
        <w:t>Enzalutamide</w:t>
      </w:r>
      <w:proofErr w:type="spellEnd"/>
      <w:r w:rsidR="00F77439" w:rsidRPr="002E7761">
        <w:rPr>
          <w:rFonts w:ascii="Times New Roman" w:eastAsia="Times New Roman" w:hAnsi="Times New Roman" w:cs="Times New Roman"/>
          <w:sz w:val="24"/>
          <w:szCs w:val="24"/>
        </w:rPr>
        <w:t xml:space="preserve"> interactions with mutant SPOP.</w:t>
      </w:r>
    </w:p>
    <w:p w:rsidR="00F77439" w:rsidRPr="002E7761" w:rsidRDefault="00F77439" w:rsidP="00F77439">
      <w:pPr>
        <w:spacing w:after="0"/>
        <w:jc w:val="both"/>
        <w:rPr>
          <w:rFonts w:ascii="Times New Roman" w:eastAsia="Times New Roman" w:hAnsi="Times New Roman" w:cs="Times New Roman"/>
          <w:sz w:val="24"/>
          <w:szCs w:val="24"/>
        </w:rPr>
      </w:pPr>
    </w:p>
    <w:tbl>
      <w:tblPr>
        <w:tblW w:w="9360" w:type="dxa"/>
        <w:jc w:val="center"/>
        <w:tblLayout w:type="fixed"/>
        <w:tblLook w:val="0600" w:firstRow="0" w:lastRow="0" w:firstColumn="0" w:lastColumn="0" w:noHBand="1" w:noVBand="1"/>
      </w:tblPr>
      <w:tblGrid>
        <w:gridCol w:w="4680"/>
        <w:gridCol w:w="4680"/>
      </w:tblGrid>
      <w:tr w:rsidR="00F77439" w:rsidRPr="002E7761" w:rsidTr="001666F2">
        <w:trPr>
          <w:jc w:val="center"/>
        </w:trPr>
        <w:tc>
          <w:tcPr>
            <w:tcW w:w="4680" w:type="dxa"/>
            <w:shd w:val="clear" w:color="auto" w:fill="auto"/>
            <w:tcMar>
              <w:top w:w="100" w:type="dxa"/>
              <w:left w:w="100" w:type="dxa"/>
              <w:bottom w:w="100" w:type="dxa"/>
              <w:right w:w="100" w:type="dxa"/>
            </w:tcMar>
          </w:tcPr>
          <w:p w:rsidR="00F77439" w:rsidRPr="002E7761" w:rsidRDefault="00F77439" w:rsidP="00EB7E61">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sidRPr="002E7761">
              <w:rPr>
                <w:rFonts w:ascii="Times New Roman" w:eastAsia="Times New Roman" w:hAnsi="Times New Roman" w:cs="Times New Roman"/>
                <w:noProof/>
                <w:sz w:val="24"/>
                <w:szCs w:val="24"/>
                <w:lang w:val="en-US"/>
              </w:rPr>
              <w:drawing>
                <wp:inline distT="114300" distB="114300" distL="114300" distR="114300" wp14:anchorId="07A3B3ED" wp14:editId="2E3A3C2D">
                  <wp:extent cx="2876550" cy="2838450"/>
                  <wp:effectExtent l="0" t="0" r="0" b="0"/>
                  <wp:docPr id="7"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rotWithShape="1">
                          <a:blip r:embed="rId30"/>
                          <a:srcRect r="2013" b="2644"/>
                          <a:stretch/>
                        </pic:blipFill>
                        <pic:spPr bwMode="auto">
                          <a:xfrm>
                            <a:off x="0" y="0"/>
                            <a:ext cx="2876550" cy="2838450"/>
                          </a:xfrm>
                          <a:prstGeom prst="rect">
                            <a:avLst/>
                          </a:prstGeom>
                          <a:ln>
                            <a:noFill/>
                          </a:ln>
                          <a:extLst>
                            <a:ext uri="{53640926-AAD7-44D8-BBD7-CCE9431645EC}">
                              <a14:shadowObscured xmlns:a14="http://schemas.microsoft.com/office/drawing/2010/main"/>
                            </a:ext>
                          </a:extLst>
                        </pic:spPr>
                      </pic:pic>
                    </a:graphicData>
                  </a:graphic>
                </wp:inline>
              </w:drawing>
            </w:r>
          </w:p>
        </w:tc>
        <w:tc>
          <w:tcPr>
            <w:tcW w:w="4680" w:type="dxa"/>
            <w:shd w:val="clear" w:color="auto" w:fill="auto"/>
            <w:tcMar>
              <w:top w:w="100" w:type="dxa"/>
              <w:left w:w="100" w:type="dxa"/>
              <w:bottom w:w="100" w:type="dxa"/>
              <w:right w:w="100" w:type="dxa"/>
            </w:tcMar>
          </w:tcPr>
          <w:p w:rsidR="00F77439" w:rsidRPr="002E7761" w:rsidRDefault="00F77439" w:rsidP="00EB7E61">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sidRPr="002E7761">
              <w:rPr>
                <w:rFonts w:ascii="Times New Roman" w:eastAsia="Times New Roman" w:hAnsi="Times New Roman" w:cs="Times New Roman"/>
                <w:noProof/>
                <w:sz w:val="24"/>
                <w:szCs w:val="24"/>
                <w:lang w:val="en-US"/>
              </w:rPr>
              <w:drawing>
                <wp:inline distT="114300" distB="114300" distL="114300" distR="114300" wp14:anchorId="0B236337" wp14:editId="67A1F8CA">
                  <wp:extent cx="3117850" cy="1917700"/>
                  <wp:effectExtent l="0" t="0" r="6350" b="6350"/>
                  <wp:docPr id="20"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31"/>
                          <a:srcRect/>
                          <a:stretch>
                            <a:fillRect/>
                          </a:stretch>
                        </pic:blipFill>
                        <pic:spPr>
                          <a:xfrm>
                            <a:off x="0" y="0"/>
                            <a:ext cx="3117850" cy="1917700"/>
                          </a:xfrm>
                          <a:prstGeom prst="rect">
                            <a:avLst/>
                          </a:prstGeom>
                          <a:ln/>
                        </pic:spPr>
                      </pic:pic>
                    </a:graphicData>
                  </a:graphic>
                </wp:inline>
              </w:drawing>
            </w:r>
          </w:p>
        </w:tc>
      </w:tr>
    </w:tbl>
    <w:p w:rsidR="00F77439" w:rsidRPr="002E7761" w:rsidRDefault="00F77439" w:rsidP="00F77439">
      <w:pPr>
        <w:spacing w:after="0"/>
        <w:jc w:val="cente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 xml:space="preserve">(A): </w:t>
      </w:r>
      <w:r w:rsidR="001666F2">
        <w:rPr>
          <w:rFonts w:ascii="Times New Roman" w:hAnsi="Times New Roman" w:cs="Times New Roman"/>
          <w:sz w:val="24"/>
          <w:szCs w:val="24"/>
        </w:rPr>
        <w:t>COMP1</w:t>
      </w:r>
    </w:p>
    <w:p w:rsidR="00F77439" w:rsidRPr="002E7761" w:rsidRDefault="00F77439" w:rsidP="00F77439">
      <w:pPr>
        <w:spacing w:after="0"/>
        <w:jc w:val="both"/>
        <w:rPr>
          <w:rFonts w:ascii="Times New Roman" w:eastAsia="Times New Roman" w:hAnsi="Times New Roman" w:cs="Times New Roman"/>
          <w:sz w:val="24"/>
          <w:szCs w:val="24"/>
        </w:rPr>
      </w:pPr>
    </w:p>
    <w:p w:rsidR="00F77439" w:rsidRPr="002E7761" w:rsidRDefault="00F77439" w:rsidP="00F77439">
      <w:pPr>
        <w:spacing w:after="0"/>
        <w:jc w:val="both"/>
        <w:rPr>
          <w:rFonts w:ascii="Times New Roman" w:eastAsia="Times New Roman" w:hAnsi="Times New Roman" w:cs="Times New Roman"/>
          <w:sz w:val="24"/>
          <w:szCs w:val="24"/>
        </w:rPr>
      </w:pPr>
    </w:p>
    <w:tbl>
      <w:tblPr>
        <w:tblW w:w="9360" w:type="dxa"/>
        <w:tblLayout w:type="fixed"/>
        <w:tblLook w:val="0600" w:firstRow="0" w:lastRow="0" w:firstColumn="0" w:lastColumn="0" w:noHBand="1" w:noVBand="1"/>
      </w:tblPr>
      <w:tblGrid>
        <w:gridCol w:w="4680"/>
        <w:gridCol w:w="4680"/>
      </w:tblGrid>
      <w:tr w:rsidR="00F77439" w:rsidRPr="002E7761" w:rsidTr="001666F2">
        <w:tc>
          <w:tcPr>
            <w:tcW w:w="4680" w:type="dxa"/>
            <w:shd w:val="clear" w:color="auto" w:fill="auto"/>
            <w:tcMar>
              <w:top w:w="100" w:type="dxa"/>
              <w:left w:w="100" w:type="dxa"/>
              <w:bottom w:w="100" w:type="dxa"/>
              <w:right w:w="100" w:type="dxa"/>
            </w:tcMar>
          </w:tcPr>
          <w:p w:rsidR="00F77439" w:rsidRPr="002E7761" w:rsidRDefault="00F77439" w:rsidP="00EB7E61">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sidRPr="002E7761">
              <w:rPr>
                <w:rFonts w:ascii="Times New Roman" w:eastAsia="Times New Roman" w:hAnsi="Times New Roman" w:cs="Times New Roman"/>
                <w:noProof/>
                <w:sz w:val="24"/>
                <w:szCs w:val="24"/>
                <w:lang w:val="en-US"/>
              </w:rPr>
              <w:lastRenderedPageBreak/>
              <w:drawing>
                <wp:inline distT="114300" distB="114300" distL="114300" distR="114300" wp14:anchorId="4BD245FB" wp14:editId="5CD39DE6">
                  <wp:extent cx="2794000" cy="2844800"/>
                  <wp:effectExtent l="0" t="0" r="6350" b="0"/>
                  <wp:docPr id="11"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rotWithShape="1">
                          <a:blip r:embed="rId32"/>
                          <a:srcRect l="1" r="1566" b="1322"/>
                          <a:stretch/>
                        </pic:blipFill>
                        <pic:spPr bwMode="auto">
                          <a:xfrm>
                            <a:off x="0" y="0"/>
                            <a:ext cx="2794000" cy="2844800"/>
                          </a:xfrm>
                          <a:prstGeom prst="rect">
                            <a:avLst/>
                          </a:prstGeom>
                          <a:ln>
                            <a:noFill/>
                          </a:ln>
                          <a:extLst>
                            <a:ext uri="{53640926-AAD7-44D8-BBD7-CCE9431645EC}">
                              <a14:shadowObscured xmlns:a14="http://schemas.microsoft.com/office/drawing/2010/main"/>
                            </a:ext>
                          </a:extLst>
                        </pic:spPr>
                      </pic:pic>
                    </a:graphicData>
                  </a:graphic>
                </wp:inline>
              </w:drawing>
            </w:r>
          </w:p>
        </w:tc>
        <w:tc>
          <w:tcPr>
            <w:tcW w:w="4680" w:type="dxa"/>
            <w:shd w:val="clear" w:color="auto" w:fill="auto"/>
            <w:tcMar>
              <w:top w:w="100" w:type="dxa"/>
              <w:left w:w="100" w:type="dxa"/>
              <w:bottom w:w="100" w:type="dxa"/>
              <w:right w:w="100" w:type="dxa"/>
            </w:tcMar>
          </w:tcPr>
          <w:p w:rsidR="00F77439" w:rsidRPr="002E7761" w:rsidRDefault="00F77439" w:rsidP="00EB7E61">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sidRPr="002E7761">
              <w:rPr>
                <w:rFonts w:ascii="Times New Roman" w:eastAsia="Times New Roman" w:hAnsi="Times New Roman" w:cs="Times New Roman"/>
                <w:noProof/>
                <w:sz w:val="24"/>
                <w:szCs w:val="24"/>
                <w:lang w:val="en-US"/>
              </w:rPr>
              <w:drawing>
                <wp:inline distT="114300" distB="114300" distL="114300" distR="114300" wp14:anchorId="3D5D7A17" wp14:editId="46218FA9">
                  <wp:extent cx="2838450" cy="1409700"/>
                  <wp:effectExtent l="0" t="0" r="0" b="0"/>
                  <wp:docPr id="31"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33"/>
                          <a:srcRect/>
                          <a:stretch>
                            <a:fillRect/>
                          </a:stretch>
                        </pic:blipFill>
                        <pic:spPr>
                          <a:xfrm>
                            <a:off x="0" y="0"/>
                            <a:ext cx="2838450" cy="1409700"/>
                          </a:xfrm>
                          <a:prstGeom prst="rect">
                            <a:avLst/>
                          </a:prstGeom>
                          <a:ln/>
                        </pic:spPr>
                      </pic:pic>
                    </a:graphicData>
                  </a:graphic>
                </wp:inline>
              </w:drawing>
            </w:r>
          </w:p>
        </w:tc>
      </w:tr>
    </w:tbl>
    <w:p w:rsidR="00F77439" w:rsidRPr="002E7761" w:rsidRDefault="00F77439" w:rsidP="00F77439">
      <w:pPr>
        <w:spacing w:after="0"/>
        <w:jc w:val="cente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 xml:space="preserve">(B): </w:t>
      </w:r>
      <w:r w:rsidR="001666F2">
        <w:rPr>
          <w:rFonts w:ascii="Times New Roman" w:hAnsi="Times New Roman" w:cs="Times New Roman"/>
          <w:sz w:val="24"/>
          <w:szCs w:val="24"/>
        </w:rPr>
        <w:t>COMP2</w:t>
      </w:r>
    </w:p>
    <w:p w:rsidR="00F77439" w:rsidRPr="002E7761" w:rsidRDefault="00F77439" w:rsidP="001666F2">
      <w:pPr>
        <w:tabs>
          <w:tab w:val="left" w:pos="2880"/>
        </w:tabs>
        <w:spacing w:after="0"/>
        <w:jc w:val="both"/>
        <w:rPr>
          <w:rFonts w:ascii="Times New Roman" w:eastAsia="Times New Roman" w:hAnsi="Times New Roman" w:cs="Times New Roman"/>
          <w:sz w:val="24"/>
          <w:szCs w:val="24"/>
        </w:rPr>
      </w:pPr>
    </w:p>
    <w:p w:rsidR="00F77439" w:rsidRPr="002E7761" w:rsidRDefault="00F77439" w:rsidP="00F77439">
      <w:pPr>
        <w:spacing w:after="0"/>
        <w:jc w:val="both"/>
        <w:rPr>
          <w:rFonts w:ascii="Times New Roman" w:eastAsia="Times New Roman" w:hAnsi="Times New Roman" w:cs="Times New Roman"/>
          <w:sz w:val="24"/>
          <w:szCs w:val="24"/>
        </w:rPr>
      </w:pPr>
    </w:p>
    <w:p w:rsidR="00F77439" w:rsidRPr="002E7761" w:rsidRDefault="00F77439" w:rsidP="00F77439">
      <w:pPr>
        <w:spacing w:after="0"/>
        <w:jc w:val="center"/>
        <w:rPr>
          <w:rFonts w:ascii="Times New Roman" w:eastAsia="Times New Roman" w:hAnsi="Times New Roman" w:cs="Times New Roman"/>
          <w:sz w:val="24"/>
          <w:szCs w:val="24"/>
        </w:rPr>
      </w:pPr>
    </w:p>
    <w:tbl>
      <w:tblPr>
        <w:tblW w:w="9360" w:type="dxa"/>
        <w:jc w:val="center"/>
        <w:tblLayout w:type="fixed"/>
        <w:tblLook w:val="0600" w:firstRow="0" w:lastRow="0" w:firstColumn="0" w:lastColumn="0" w:noHBand="1" w:noVBand="1"/>
      </w:tblPr>
      <w:tblGrid>
        <w:gridCol w:w="4680"/>
        <w:gridCol w:w="4680"/>
      </w:tblGrid>
      <w:tr w:rsidR="00F77439" w:rsidRPr="002E7761" w:rsidTr="001666F2">
        <w:trPr>
          <w:jc w:val="center"/>
        </w:trPr>
        <w:tc>
          <w:tcPr>
            <w:tcW w:w="4680" w:type="dxa"/>
            <w:shd w:val="clear" w:color="auto" w:fill="auto"/>
            <w:tcMar>
              <w:top w:w="100" w:type="dxa"/>
              <w:left w:w="100" w:type="dxa"/>
              <w:bottom w:w="100" w:type="dxa"/>
              <w:right w:w="100" w:type="dxa"/>
            </w:tcMar>
          </w:tcPr>
          <w:p w:rsidR="00F77439" w:rsidRPr="002E7761" w:rsidRDefault="00F77439" w:rsidP="00EB7E61">
            <w:pPr>
              <w:widowControl w:val="0"/>
              <w:spacing w:after="0" w:line="240" w:lineRule="auto"/>
              <w:rPr>
                <w:rFonts w:ascii="Times New Roman" w:eastAsia="Times New Roman" w:hAnsi="Times New Roman" w:cs="Times New Roman"/>
                <w:sz w:val="24"/>
                <w:szCs w:val="24"/>
              </w:rPr>
            </w:pPr>
            <w:r w:rsidRPr="002E7761">
              <w:rPr>
                <w:rFonts w:ascii="Times New Roman" w:eastAsia="Times New Roman" w:hAnsi="Times New Roman" w:cs="Times New Roman"/>
                <w:noProof/>
                <w:sz w:val="24"/>
                <w:szCs w:val="24"/>
                <w:lang w:val="en-US"/>
              </w:rPr>
              <w:drawing>
                <wp:inline distT="114300" distB="114300" distL="114300" distR="114300" wp14:anchorId="10910EEE" wp14:editId="27F66D58">
                  <wp:extent cx="2800350" cy="2838450"/>
                  <wp:effectExtent l="0" t="0" r="0" b="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rotWithShape="1">
                          <a:blip r:embed="rId34"/>
                          <a:srcRect l="1" r="1342" b="1542"/>
                          <a:stretch/>
                        </pic:blipFill>
                        <pic:spPr bwMode="auto">
                          <a:xfrm>
                            <a:off x="0" y="0"/>
                            <a:ext cx="2800350" cy="2838450"/>
                          </a:xfrm>
                          <a:prstGeom prst="rect">
                            <a:avLst/>
                          </a:prstGeom>
                          <a:ln>
                            <a:noFill/>
                          </a:ln>
                          <a:extLst>
                            <a:ext uri="{53640926-AAD7-44D8-BBD7-CCE9431645EC}">
                              <a14:shadowObscured xmlns:a14="http://schemas.microsoft.com/office/drawing/2010/main"/>
                            </a:ext>
                          </a:extLst>
                        </pic:spPr>
                      </pic:pic>
                    </a:graphicData>
                  </a:graphic>
                </wp:inline>
              </w:drawing>
            </w:r>
          </w:p>
        </w:tc>
        <w:tc>
          <w:tcPr>
            <w:tcW w:w="4680" w:type="dxa"/>
            <w:shd w:val="clear" w:color="auto" w:fill="auto"/>
            <w:tcMar>
              <w:top w:w="100" w:type="dxa"/>
              <w:left w:w="100" w:type="dxa"/>
              <w:bottom w:w="100" w:type="dxa"/>
              <w:right w:w="100" w:type="dxa"/>
            </w:tcMar>
          </w:tcPr>
          <w:p w:rsidR="00F77439" w:rsidRPr="002E7761" w:rsidRDefault="00F77439" w:rsidP="00EB7E61">
            <w:pPr>
              <w:widowControl w:val="0"/>
              <w:spacing w:after="0" w:line="240" w:lineRule="auto"/>
              <w:rPr>
                <w:rFonts w:ascii="Times New Roman" w:eastAsia="Times New Roman" w:hAnsi="Times New Roman" w:cs="Times New Roman"/>
                <w:sz w:val="24"/>
                <w:szCs w:val="24"/>
              </w:rPr>
            </w:pPr>
            <w:r w:rsidRPr="002E7761">
              <w:rPr>
                <w:rFonts w:ascii="Times New Roman" w:eastAsia="Times New Roman" w:hAnsi="Times New Roman" w:cs="Times New Roman"/>
                <w:noProof/>
                <w:sz w:val="24"/>
                <w:szCs w:val="24"/>
                <w:lang w:val="en-US"/>
              </w:rPr>
              <w:drawing>
                <wp:inline distT="114300" distB="114300" distL="114300" distR="114300" wp14:anchorId="33CD9B3E" wp14:editId="71C95DEE">
                  <wp:extent cx="2838450" cy="2870200"/>
                  <wp:effectExtent l="0" t="0" r="0" b="0"/>
                  <wp:docPr id="30"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35"/>
                          <a:srcRect/>
                          <a:stretch>
                            <a:fillRect/>
                          </a:stretch>
                        </pic:blipFill>
                        <pic:spPr>
                          <a:xfrm>
                            <a:off x="0" y="0"/>
                            <a:ext cx="2838450" cy="2870200"/>
                          </a:xfrm>
                          <a:prstGeom prst="rect">
                            <a:avLst/>
                          </a:prstGeom>
                          <a:ln/>
                        </pic:spPr>
                      </pic:pic>
                    </a:graphicData>
                  </a:graphic>
                </wp:inline>
              </w:drawing>
            </w:r>
          </w:p>
        </w:tc>
      </w:tr>
    </w:tbl>
    <w:p w:rsidR="00F77439" w:rsidRPr="002E7761" w:rsidRDefault="001666F2" w:rsidP="00F77439">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 </w:t>
      </w:r>
      <w:r>
        <w:rPr>
          <w:rFonts w:ascii="Times New Roman" w:hAnsi="Times New Roman" w:cs="Times New Roman"/>
          <w:sz w:val="24"/>
          <w:szCs w:val="24"/>
        </w:rPr>
        <w:t>COMP3</w:t>
      </w:r>
    </w:p>
    <w:p w:rsidR="00F77439" w:rsidRPr="002E7761" w:rsidRDefault="00F77439" w:rsidP="00F77439">
      <w:pPr>
        <w:spacing w:after="0"/>
        <w:jc w:val="center"/>
        <w:rPr>
          <w:rFonts w:ascii="Times New Roman" w:eastAsia="Times New Roman" w:hAnsi="Times New Roman" w:cs="Times New Roman"/>
          <w:sz w:val="24"/>
          <w:szCs w:val="24"/>
        </w:rPr>
      </w:pPr>
    </w:p>
    <w:p w:rsidR="00F77439" w:rsidRPr="002E7761" w:rsidRDefault="00F77439" w:rsidP="00F77439">
      <w:pPr>
        <w:spacing w:after="0"/>
        <w:jc w:val="center"/>
        <w:rPr>
          <w:rFonts w:ascii="Times New Roman" w:eastAsia="Times New Roman" w:hAnsi="Times New Roman" w:cs="Times New Roman"/>
          <w:sz w:val="24"/>
          <w:szCs w:val="24"/>
        </w:rPr>
      </w:pPr>
    </w:p>
    <w:p w:rsidR="00F77439" w:rsidRPr="002E7761" w:rsidRDefault="00F77439" w:rsidP="00F77439">
      <w:pPr>
        <w:spacing w:after="0"/>
        <w:jc w:val="center"/>
        <w:rPr>
          <w:rFonts w:ascii="Times New Roman" w:eastAsia="Times New Roman" w:hAnsi="Times New Roman" w:cs="Times New Roman"/>
          <w:sz w:val="24"/>
          <w:szCs w:val="24"/>
        </w:rPr>
      </w:pPr>
    </w:p>
    <w:p w:rsidR="00F77439" w:rsidRPr="002E7761" w:rsidRDefault="00F77439" w:rsidP="00F77439">
      <w:pPr>
        <w:spacing w:after="0"/>
        <w:jc w:val="center"/>
        <w:rPr>
          <w:rFonts w:ascii="Times New Roman" w:eastAsia="Times New Roman" w:hAnsi="Times New Roman" w:cs="Times New Roman"/>
          <w:sz w:val="24"/>
          <w:szCs w:val="24"/>
        </w:rPr>
      </w:pPr>
    </w:p>
    <w:p w:rsidR="00F77439" w:rsidRPr="002E7761" w:rsidRDefault="00F77439" w:rsidP="00F77439">
      <w:pPr>
        <w:spacing w:after="0"/>
        <w:jc w:val="center"/>
        <w:rPr>
          <w:rFonts w:ascii="Times New Roman" w:eastAsia="Times New Roman" w:hAnsi="Times New Roman" w:cs="Times New Roman"/>
          <w:sz w:val="24"/>
          <w:szCs w:val="24"/>
        </w:rPr>
      </w:pPr>
    </w:p>
    <w:tbl>
      <w:tblPr>
        <w:tblW w:w="9360" w:type="dxa"/>
        <w:jc w:val="center"/>
        <w:tblLayout w:type="fixed"/>
        <w:tblLook w:val="0600" w:firstRow="0" w:lastRow="0" w:firstColumn="0" w:lastColumn="0" w:noHBand="1" w:noVBand="1"/>
      </w:tblPr>
      <w:tblGrid>
        <w:gridCol w:w="4680"/>
        <w:gridCol w:w="4680"/>
      </w:tblGrid>
      <w:tr w:rsidR="00F77439" w:rsidRPr="002E7761" w:rsidTr="001666F2">
        <w:trPr>
          <w:jc w:val="center"/>
        </w:trPr>
        <w:tc>
          <w:tcPr>
            <w:tcW w:w="4680" w:type="dxa"/>
            <w:shd w:val="clear" w:color="auto" w:fill="auto"/>
            <w:tcMar>
              <w:top w:w="100" w:type="dxa"/>
              <w:left w:w="100" w:type="dxa"/>
              <w:bottom w:w="100" w:type="dxa"/>
              <w:right w:w="100" w:type="dxa"/>
            </w:tcMar>
          </w:tcPr>
          <w:p w:rsidR="00F77439" w:rsidRPr="002E7761" w:rsidRDefault="00F77439" w:rsidP="00EB7E61">
            <w:pPr>
              <w:widowControl w:val="0"/>
              <w:spacing w:after="0" w:line="240" w:lineRule="auto"/>
              <w:rPr>
                <w:rFonts w:ascii="Times New Roman" w:eastAsia="Times New Roman" w:hAnsi="Times New Roman" w:cs="Times New Roman"/>
                <w:sz w:val="24"/>
                <w:szCs w:val="24"/>
              </w:rPr>
            </w:pPr>
            <w:r w:rsidRPr="002E7761">
              <w:rPr>
                <w:rFonts w:ascii="Times New Roman" w:eastAsia="Times New Roman" w:hAnsi="Times New Roman" w:cs="Times New Roman"/>
                <w:noProof/>
                <w:sz w:val="24"/>
                <w:szCs w:val="24"/>
                <w:lang w:val="en-US"/>
              </w:rPr>
              <w:lastRenderedPageBreak/>
              <w:drawing>
                <wp:inline distT="114300" distB="114300" distL="114300" distR="114300" wp14:anchorId="55256D71" wp14:editId="17E47D2B">
                  <wp:extent cx="2806700" cy="2857500"/>
                  <wp:effectExtent l="0" t="0" r="0" b="0"/>
                  <wp:docPr id="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rotWithShape="1">
                          <a:blip r:embed="rId36"/>
                          <a:srcRect t="1" r="1119" b="881"/>
                          <a:stretch/>
                        </pic:blipFill>
                        <pic:spPr bwMode="auto">
                          <a:xfrm>
                            <a:off x="0" y="0"/>
                            <a:ext cx="2806700" cy="2857500"/>
                          </a:xfrm>
                          <a:prstGeom prst="rect">
                            <a:avLst/>
                          </a:prstGeom>
                          <a:ln>
                            <a:noFill/>
                          </a:ln>
                          <a:extLst>
                            <a:ext uri="{53640926-AAD7-44D8-BBD7-CCE9431645EC}">
                              <a14:shadowObscured xmlns:a14="http://schemas.microsoft.com/office/drawing/2010/main"/>
                            </a:ext>
                          </a:extLst>
                        </pic:spPr>
                      </pic:pic>
                    </a:graphicData>
                  </a:graphic>
                </wp:inline>
              </w:drawing>
            </w:r>
          </w:p>
        </w:tc>
        <w:tc>
          <w:tcPr>
            <w:tcW w:w="4680" w:type="dxa"/>
            <w:shd w:val="clear" w:color="auto" w:fill="auto"/>
            <w:tcMar>
              <w:top w:w="100" w:type="dxa"/>
              <w:left w:w="100" w:type="dxa"/>
              <w:bottom w:w="100" w:type="dxa"/>
              <w:right w:w="100" w:type="dxa"/>
            </w:tcMar>
          </w:tcPr>
          <w:p w:rsidR="00F77439" w:rsidRPr="002E7761" w:rsidRDefault="00F77439" w:rsidP="00EB7E61">
            <w:pPr>
              <w:widowControl w:val="0"/>
              <w:spacing w:after="0" w:line="240" w:lineRule="auto"/>
              <w:rPr>
                <w:rFonts w:ascii="Times New Roman" w:eastAsia="Times New Roman" w:hAnsi="Times New Roman" w:cs="Times New Roman"/>
                <w:sz w:val="24"/>
                <w:szCs w:val="24"/>
              </w:rPr>
            </w:pPr>
            <w:r w:rsidRPr="002E7761">
              <w:rPr>
                <w:rFonts w:ascii="Times New Roman" w:eastAsia="Times New Roman" w:hAnsi="Times New Roman" w:cs="Times New Roman"/>
                <w:noProof/>
                <w:sz w:val="24"/>
                <w:szCs w:val="24"/>
                <w:lang w:val="en-US"/>
              </w:rPr>
              <w:drawing>
                <wp:inline distT="114300" distB="114300" distL="114300" distR="114300" wp14:anchorId="33A28A6D" wp14:editId="7DA54D16">
                  <wp:extent cx="2838450" cy="1714500"/>
                  <wp:effectExtent l="0" t="0" r="0" b="0"/>
                  <wp:docPr id="1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7"/>
                          <a:srcRect/>
                          <a:stretch>
                            <a:fillRect/>
                          </a:stretch>
                        </pic:blipFill>
                        <pic:spPr>
                          <a:xfrm>
                            <a:off x="0" y="0"/>
                            <a:ext cx="2838450" cy="1714500"/>
                          </a:xfrm>
                          <a:prstGeom prst="rect">
                            <a:avLst/>
                          </a:prstGeom>
                          <a:ln/>
                        </pic:spPr>
                      </pic:pic>
                    </a:graphicData>
                  </a:graphic>
                </wp:inline>
              </w:drawing>
            </w:r>
          </w:p>
        </w:tc>
      </w:tr>
    </w:tbl>
    <w:p w:rsidR="00F77439" w:rsidRPr="002E7761" w:rsidRDefault="001666F2" w:rsidP="00F77439">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 </w:t>
      </w:r>
      <w:r>
        <w:rPr>
          <w:rFonts w:ascii="Times New Roman" w:hAnsi="Times New Roman" w:cs="Times New Roman"/>
          <w:sz w:val="24"/>
          <w:szCs w:val="24"/>
        </w:rPr>
        <w:t>COMP4</w:t>
      </w:r>
    </w:p>
    <w:p w:rsidR="00F77439" w:rsidRPr="002E7761" w:rsidRDefault="00F77439" w:rsidP="00F77439">
      <w:pPr>
        <w:spacing w:after="0"/>
        <w:jc w:val="both"/>
        <w:rPr>
          <w:rFonts w:ascii="Times New Roman" w:eastAsia="Times New Roman" w:hAnsi="Times New Roman" w:cs="Times New Roman"/>
          <w:sz w:val="24"/>
          <w:szCs w:val="24"/>
        </w:rPr>
      </w:pPr>
    </w:p>
    <w:tbl>
      <w:tblPr>
        <w:tblW w:w="9360" w:type="dxa"/>
        <w:tblLayout w:type="fixed"/>
        <w:tblLook w:val="0600" w:firstRow="0" w:lastRow="0" w:firstColumn="0" w:lastColumn="0" w:noHBand="1" w:noVBand="1"/>
      </w:tblPr>
      <w:tblGrid>
        <w:gridCol w:w="4680"/>
        <w:gridCol w:w="4680"/>
      </w:tblGrid>
      <w:tr w:rsidR="00F77439" w:rsidRPr="002E7761" w:rsidTr="001666F2">
        <w:tc>
          <w:tcPr>
            <w:tcW w:w="4680" w:type="dxa"/>
            <w:shd w:val="clear" w:color="auto" w:fill="auto"/>
            <w:tcMar>
              <w:top w:w="100" w:type="dxa"/>
              <w:left w:w="100" w:type="dxa"/>
              <w:bottom w:w="100" w:type="dxa"/>
              <w:right w:w="100" w:type="dxa"/>
            </w:tcMar>
          </w:tcPr>
          <w:p w:rsidR="00F77439" w:rsidRPr="002E7761" w:rsidRDefault="00F77439" w:rsidP="00EB7E61">
            <w:pPr>
              <w:widowControl w:val="0"/>
              <w:spacing w:after="0" w:line="240" w:lineRule="auto"/>
              <w:rPr>
                <w:rFonts w:ascii="Times New Roman" w:eastAsia="Times New Roman" w:hAnsi="Times New Roman" w:cs="Times New Roman"/>
                <w:sz w:val="24"/>
                <w:szCs w:val="24"/>
              </w:rPr>
            </w:pPr>
            <w:r w:rsidRPr="002E7761">
              <w:rPr>
                <w:rFonts w:ascii="Times New Roman" w:eastAsia="Times New Roman" w:hAnsi="Times New Roman" w:cs="Times New Roman"/>
                <w:noProof/>
                <w:sz w:val="24"/>
                <w:szCs w:val="24"/>
                <w:lang w:val="en-US"/>
              </w:rPr>
              <w:drawing>
                <wp:inline distT="114300" distB="114300" distL="114300" distR="114300" wp14:anchorId="498B4EDC" wp14:editId="005D3028">
                  <wp:extent cx="2806700" cy="2851150"/>
                  <wp:effectExtent l="0" t="0" r="0" b="635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rotWithShape="1">
                          <a:blip r:embed="rId38"/>
                          <a:srcRect r="1119" b="1102"/>
                          <a:stretch/>
                        </pic:blipFill>
                        <pic:spPr bwMode="auto">
                          <a:xfrm>
                            <a:off x="0" y="0"/>
                            <a:ext cx="2806700" cy="2851150"/>
                          </a:xfrm>
                          <a:prstGeom prst="rect">
                            <a:avLst/>
                          </a:prstGeom>
                          <a:ln>
                            <a:noFill/>
                          </a:ln>
                          <a:extLst>
                            <a:ext uri="{53640926-AAD7-44D8-BBD7-CCE9431645EC}">
                              <a14:shadowObscured xmlns:a14="http://schemas.microsoft.com/office/drawing/2010/main"/>
                            </a:ext>
                          </a:extLst>
                        </pic:spPr>
                      </pic:pic>
                    </a:graphicData>
                  </a:graphic>
                </wp:inline>
              </w:drawing>
            </w:r>
          </w:p>
        </w:tc>
        <w:tc>
          <w:tcPr>
            <w:tcW w:w="4680" w:type="dxa"/>
            <w:shd w:val="clear" w:color="auto" w:fill="auto"/>
            <w:tcMar>
              <w:top w:w="100" w:type="dxa"/>
              <w:left w:w="100" w:type="dxa"/>
              <w:bottom w:w="100" w:type="dxa"/>
              <w:right w:w="100" w:type="dxa"/>
            </w:tcMar>
          </w:tcPr>
          <w:p w:rsidR="00F77439" w:rsidRPr="002E7761" w:rsidRDefault="00F77439" w:rsidP="00EB7E61">
            <w:pPr>
              <w:widowControl w:val="0"/>
              <w:spacing w:after="0" w:line="240" w:lineRule="auto"/>
              <w:rPr>
                <w:rFonts w:ascii="Times New Roman" w:eastAsia="Times New Roman" w:hAnsi="Times New Roman" w:cs="Times New Roman"/>
                <w:sz w:val="24"/>
                <w:szCs w:val="24"/>
              </w:rPr>
            </w:pPr>
            <w:r w:rsidRPr="002E7761">
              <w:rPr>
                <w:rFonts w:ascii="Times New Roman" w:eastAsia="Times New Roman" w:hAnsi="Times New Roman" w:cs="Times New Roman"/>
                <w:noProof/>
                <w:sz w:val="24"/>
                <w:szCs w:val="24"/>
                <w:lang w:val="en-US"/>
              </w:rPr>
              <w:drawing>
                <wp:inline distT="114300" distB="114300" distL="114300" distR="114300" wp14:anchorId="120D2708" wp14:editId="1D9F0FBD">
                  <wp:extent cx="2762250" cy="1943100"/>
                  <wp:effectExtent l="0" t="0" r="0" b="0"/>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9"/>
                          <a:srcRect/>
                          <a:stretch>
                            <a:fillRect/>
                          </a:stretch>
                        </pic:blipFill>
                        <pic:spPr>
                          <a:xfrm>
                            <a:off x="0" y="0"/>
                            <a:ext cx="2762250" cy="1943100"/>
                          </a:xfrm>
                          <a:prstGeom prst="rect">
                            <a:avLst/>
                          </a:prstGeom>
                          <a:ln/>
                        </pic:spPr>
                      </pic:pic>
                    </a:graphicData>
                  </a:graphic>
                </wp:inline>
              </w:drawing>
            </w:r>
          </w:p>
        </w:tc>
      </w:tr>
    </w:tbl>
    <w:p w:rsidR="00F77439" w:rsidRPr="002E7761" w:rsidRDefault="001666F2" w:rsidP="00F77439">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 </w:t>
      </w:r>
      <w:proofErr w:type="spellStart"/>
      <w:r>
        <w:rPr>
          <w:rFonts w:ascii="Times New Roman" w:eastAsia="Times New Roman" w:hAnsi="Times New Roman" w:cs="Times New Roman"/>
          <w:sz w:val="24"/>
          <w:szCs w:val="24"/>
        </w:rPr>
        <w:t>Enzalutamide</w:t>
      </w:r>
      <w:proofErr w:type="spellEnd"/>
    </w:p>
    <w:p w:rsidR="00F77439" w:rsidRPr="002E7761" w:rsidRDefault="008E0532" w:rsidP="00F77439">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Figure 12</w:t>
      </w:r>
      <w:r w:rsidR="00F77439" w:rsidRPr="002E7761">
        <w:rPr>
          <w:rFonts w:ascii="Times New Roman" w:eastAsia="Times New Roman" w:hAnsi="Times New Roman" w:cs="Times New Roman"/>
          <w:sz w:val="24"/>
          <w:szCs w:val="24"/>
        </w:rPr>
        <w:t xml:space="preserve">. The </w:t>
      </w:r>
      <w:r w:rsidR="0066480D">
        <w:rPr>
          <w:rFonts w:ascii="Times New Roman" w:eastAsia="Times New Roman" w:hAnsi="Times New Roman" w:cs="Times New Roman"/>
          <w:sz w:val="24"/>
          <w:szCs w:val="24"/>
        </w:rPr>
        <w:t xml:space="preserve">views in 2D and 3D </w:t>
      </w:r>
      <w:r w:rsidR="001666F2">
        <w:rPr>
          <w:rFonts w:ascii="Times New Roman" w:hAnsi="Times New Roman" w:cs="Times New Roman"/>
          <w:sz w:val="24"/>
          <w:szCs w:val="24"/>
        </w:rPr>
        <w:t>COMP2 COMP3 COMP4</w:t>
      </w:r>
      <w:r w:rsidR="001666F2" w:rsidRPr="002E7761">
        <w:rPr>
          <w:rFonts w:ascii="Times New Roman" w:eastAsia="Times New Roman" w:hAnsi="Times New Roman" w:cs="Times New Roman"/>
          <w:sz w:val="24"/>
          <w:szCs w:val="24"/>
        </w:rPr>
        <w:t xml:space="preserve"> </w:t>
      </w:r>
      <w:r w:rsidR="001666F2">
        <w:rPr>
          <w:rFonts w:ascii="Times New Roman" w:eastAsia="Times New Roman" w:hAnsi="Times New Roman" w:cs="Times New Roman"/>
          <w:sz w:val="24"/>
          <w:szCs w:val="24"/>
        </w:rPr>
        <w:t xml:space="preserve">and </w:t>
      </w:r>
      <w:proofErr w:type="spellStart"/>
      <w:r w:rsidR="00F77439" w:rsidRPr="002E7761">
        <w:rPr>
          <w:rFonts w:ascii="Times New Roman" w:eastAsia="Times New Roman" w:hAnsi="Times New Roman" w:cs="Times New Roman"/>
          <w:sz w:val="24"/>
          <w:szCs w:val="24"/>
        </w:rPr>
        <w:t>Enzalutamide</w:t>
      </w:r>
      <w:proofErr w:type="spellEnd"/>
      <w:r w:rsidR="00F77439" w:rsidRPr="002E7761">
        <w:rPr>
          <w:rFonts w:ascii="Times New Roman" w:eastAsia="Times New Roman" w:hAnsi="Times New Roman" w:cs="Times New Roman"/>
          <w:sz w:val="24"/>
          <w:szCs w:val="24"/>
        </w:rPr>
        <w:t xml:space="preserve"> interactions with mut</w:t>
      </w:r>
      <w:r w:rsidR="001666F2">
        <w:rPr>
          <w:rFonts w:ascii="Times New Roman" w:eastAsia="Times New Roman" w:hAnsi="Times New Roman" w:cs="Times New Roman"/>
          <w:sz w:val="24"/>
          <w:szCs w:val="24"/>
        </w:rPr>
        <w:t>ant</w:t>
      </w:r>
      <w:r w:rsidR="00F77439" w:rsidRPr="002E7761">
        <w:rPr>
          <w:rFonts w:ascii="Times New Roman" w:eastAsia="Times New Roman" w:hAnsi="Times New Roman" w:cs="Times New Roman"/>
          <w:sz w:val="24"/>
          <w:szCs w:val="24"/>
        </w:rPr>
        <w:t xml:space="preserve"> SPOP using </w:t>
      </w:r>
      <w:proofErr w:type="spellStart"/>
      <w:r w:rsidR="00F77439" w:rsidRPr="002E7761">
        <w:rPr>
          <w:rFonts w:ascii="Times New Roman" w:eastAsia="Times New Roman" w:hAnsi="Times New Roman" w:cs="Times New Roman"/>
          <w:sz w:val="24"/>
          <w:szCs w:val="24"/>
        </w:rPr>
        <w:t>autoDock</w:t>
      </w:r>
      <w:proofErr w:type="spellEnd"/>
      <w:r w:rsidR="00F77439" w:rsidRPr="002E7761">
        <w:rPr>
          <w:rFonts w:ascii="Times New Roman" w:eastAsia="Times New Roman" w:hAnsi="Times New Roman" w:cs="Times New Roman"/>
          <w:sz w:val="24"/>
          <w:szCs w:val="24"/>
        </w:rPr>
        <w:t xml:space="preserve"> </w:t>
      </w:r>
      <w:proofErr w:type="spellStart"/>
      <w:r w:rsidR="00F77439" w:rsidRPr="002E7761">
        <w:rPr>
          <w:rFonts w:ascii="Times New Roman" w:eastAsia="Times New Roman" w:hAnsi="Times New Roman" w:cs="Times New Roman"/>
          <w:sz w:val="24"/>
          <w:szCs w:val="24"/>
        </w:rPr>
        <w:t>vina</w:t>
      </w:r>
      <w:proofErr w:type="spellEnd"/>
      <w:r w:rsidR="00F77439" w:rsidRPr="002E7761">
        <w:rPr>
          <w:rFonts w:ascii="Times New Roman" w:eastAsia="Times New Roman" w:hAnsi="Times New Roman" w:cs="Times New Roman"/>
          <w:sz w:val="24"/>
          <w:szCs w:val="24"/>
        </w:rPr>
        <w:t xml:space="preserve">. </w:t>
      </w:r>
    </w:p>
    <w:p w:rsidR="00F77439" w:rsidRPr="002E7761" w:rsidRDefault="00F77439" w:rsidP="00F77439">
      <w:pPr>
        <w:spacing w:after="0"/>
        <w:rPr>
          <w:rFonts w:ascii="Times New Roman" w:eastAsia="Times New Roman" w:hAnsi="Times New Roman" w:cs="Times New Roman"/>
          <w:sz w:val="24"/>
          <w:szCs w:val="24"/>
        </w:rPr>
      </w:pPr>
    </w:p>
    <w:p w:rsidR="00F77439" w:rsidRPr="0066480D" w:rsidRDefault="00F77439" w:rsidP="006D3376">
      <w:pPr>
        <w:spacing w:after="0" w:line="360" w:lineRule="auto"/>
        <w:jc w:val="both"/>
        <w:rPr>
          <w:rFonts w:ascii="Times New Roman" w:eastAsia="Times New Roman" w:hAnsi="Times New Roman" w:cs="Times New Roman"/>
          <w:sz w:val="24"/>
          <w:szCs w:val="24"/>
          <w:lang w:val="en-US"/>
        </w:rPr>
      </w:pPr>
      <w:r w:rsidRPr="002E7761">
        <w:rPr>
          <w:rFonts w:ascii="Times New Roman" w:eastAsia="Times New Roman" w:hAnsi="Times New Roman" w:cs="Times New Roman"/>
          <w:sz w:val="24"/>
          <w:szCs w:val="24"/>
        </w:rPr>
        <w:t xml:space="preserve">Molecular docking analysis of </w:t>
      </w:r>
      <w:r w:rsidR="0066480D" w:rsidRPr="0066480D">
        <w:rPr>
          <w:rFonts w:ascii="Times New Roman" w:eastAsia="Times New Roman" w:hAnsi="Times New Roman" w:cs="Times New Roman"/>
          <w:sz w:val="24"/>
          <w:szCs w:val="24"/>
          <w:lang w:val="en-US"/>
        </w:rPr>
        <w:t>substances with interacting residues at the binding site</w:t>
      </w:r>
      <w:r w:rsidR="0066480D">
        <w:rPr>
          <w:rFonts w:ascii="Times New Roman" w:eastAsia="Times New Roman" w:hAnsi="Times New Roman" w:cs="Times New Roman"/>
          <w:sz w:val="24"/>
          <w:szCs w:val="24"/>
          <w:lang w:val="en-US"/>
        </w:rPr>
        <w:t xml:space="preserve"> of AR-V7</w:t>
      </w:r>
      <w:r w:rsidR="0066480D" w:rsidRPr="0066480D">
        <w:rPr>
          <w:rFonts w:ascii="Times New Roman" w:eastAsia="Times New Roman" w:hAnsi="Times New Roman" w:cs="Times New Roman"/>
          <w:sz w:val="24"/>
          <w:szCs w:val="24"/>
          <w:lang w:val="en-US"/>
        </w:rPr>
        <w:t xml:space="preserve"> and estimated binding free energy</w:t>
      </w:r>
      <w:r w:rsidR="00122917">
        <w:rPr>
          <w:rFonts w:ascii="Times New Roman" w:eastAsia="Times New Roman" w:hAnsi="Times New Roman" w:cs="Times New Roman"/>
          <w:sz w:val="24"/>
          <w:szCs w:val="24"/>
        </w:rPr>
        <w:t xml:space="preserve"> (Table 6</w:t>
      </w:r>
      <w:r w:rsidRPr="002E7761">
        <w:rPr>
          <w:rFonts w:ascii="Times New Roman" w:eastAsia="Times New Roman" w:hAnsi="Times New Roman" w:cs="Times New Roman"/>
          <w:sz w:val="24"/>
          <w:szCs w:val="24"/>
        </w:rPr>
        <w:t xml:space="preserve">). </w:t>
      </w:r>
      <w:r w:rsidR="001666F2">
        <w:rPr>
          <w:rFonts w:ascii="Times New Roman" w:hAnsi="Times New Roman" w:cs="Times New Roman"/>
          <w:sz w:val="24"/>
          <w:szCs w:val="24"/>
        </w:rPr>
        <w:t>COMP2, COMP3, and COMP4</w:t>
      </w:r>
      <w:r w:rsidR="001666F2" w:rsidRPr="002E7761">
        <w:rPr>
          <w:rFonts w:ascii="Times New Roman" w:eastAsia="Times New Roman" w:hAnsi="Times New Roman" w:cs="Times New Roman"/>
          <w:sz w:val="24"/>
          <w:szCs w:val="24"/>
        </w:rPr>
        <w:t xml:space="preserve"> </w:t>
      </w:r>
      <w:r w:rsidRPr="002E7761">
        <w:rPr>
          <w:rFonts w:ascii="Times New Roman" w:eastAsia="Times New Roman" w:hAnsi="Times New Roman" w:cs="Times New Roman"/>
          <w:sz w:val="24"/>
          <w:szCs w:val="24"/>
        </w:rPr>
        <w:t xml:space="preserve">showed stronger binding affinities to AR-V7 compared to the reference compound </w:t>
      </w:r>
      <w:proofErr w:type="spellStart"/>
      <w:r w:rsidRPr="002E7761">
        <w:rPr>
          <w:rFonts w:ascii="Times New Roman" w:eastAsia="Times New Roman" w:hAnsi="Times New Roman" w:cs="Times New Roman"/>
          <w:sz w:val="24"/>
          <w:szCs w:val="24"/>
        </w:rPr>
        <w:t>Apalutamide</w:t>
      </w:r>
      <w:proofErr w:type="spellEnd"/>
      <w:r w:rsidRPr="002E7761">
        <w:rPr>
          <w:rFonts w:ascii="Times New Roman" w:eastAsia="Times New Roman" w:hAnsi="Times New Roman" w:cs="Times New Roman"/>
          <w:sz w:val="24"/>
          <w:szCs w:val="24"/>
        </w:rPr>
        <w:t>.</w:t>
      </w:r>
    </w:p>
    <w:p w:rsidR="00F77439" w:rsidRPr="002E7761" w:rsidRDefault="00F77439" w:rsidP="00F77439">
      <w:pPr>
        <w:spacing w:after="0"/>
        <w:jc w:val="both"/>
        <w:rPr>
          <w:rFonts w:ascii="Times New Roman" w:eastAsia="Times New Roman" w:hAnsi="Times New Roman" w:cs="Times New Roman"/>
          <w:sz w:val="24"/>
          <w:szCs w:val="24"/>
        </w:rPr>
      </w:pPr>
    </w:p>
    <w:p w:rsidR="00F77439" w:rsidRPr="0066480D" w:rsidRDefault="00BA6281" w:rsidP="0066480D">
      <w:pPr>
        <w:spacing w:after="0"/>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Table 6</w:t>
      </w:r>
      <w:r w:rsidR="00F77439" w:rsidRPr="002E7761">
        <w:rPr>
          <w:rFonts w:ascii="Times New Roman" w:eastAsia="Times New Roman" w:hAnsi="Times New Roman" w:cs="Times New Roman"/>
          <w:sz w:val="24"/>
          <w:szCs w:val="24"/>
        </w:rPr>
        <w:t xml:space="preserve">. Molecular docking analysis of pure </w:t>
      </w:r>
      <w:r w:rsidR="0066480D" w:rsidRPr="0066480D">
        <w:rPr>
          <w:rFonts w:ascii="Times New Roman" w:eastAsia="Times New Roman" w:hAnsi="Times New Roman" w:cs="Times New Roman"/>
          <w:sz w:val="24"/>
          <w:szCs w:val="24"/>
          <w:lang w:val="en-US"/>
        </w:rPr>
        <w:t xml:space="preserve">molecules displaying interacting residues in the binding site </w:t>
      </w:r>
      <w:r w:rsidR="0066480D" w:rsidRPr="002E7761">
        <w:rPr>
          <w:rFonts w:ascii="Times New Roman" w:eastAsia="Times New Roman" w:hAnsi="Times New Roman" w:cs="Times New Roman"/>
          <w:sz w:val="24"/>
          <w:szCs w:val="24"/>
        </w:rPr>
        <w:t>of AR-V7</w:t>
      </w:r>
      <w:r w:rsidR="0066480D">
        <w:rPr>
          <w:rFonts w:ascii="Times New Roman" w:eastAsia="Times New Roman" w:hAnsi="Times New Roman" w:cs="Times New Roman"/>
          <w:sz w:val="24"/>
          <w:szCs w:val="24"/>
          <w:lang w:val="en-US"/>
        </w:rPr>
        <w:t xml:space="preserve"> </w:t>
      </w:r>
      <w:r w:rsidR="0066480D" w:rsidRPr="0066480D">
        <w:rPr>
          <w:rFonts w:ascii="Times New Roman" w:eastAsia="Times New Roman" w:hAnsi="Times New Roman" w:cs="Times New Roman"/>
          <w:sz w:val="24"/>
          <w:szCs w:val="24"/>
          <w:lang w:val="en-US"/>
        </w:rPr>
        <w:t>and estimated binding free energy</w:t>
      </w:r>
    </w:p>
    <w:p w:rsidR="00F77439" w:rsidRPr="002E7761" w:rsidRDefault="00F77439" w:rsidP="00F77439">
      <w:pPr>
        <w:spacing w:after="0"/>
        <w:jc w:val="center"/>
        <w:rPr>
          <w:rFonts w:ascii="Times New Roman" w:eastAsia="Times New Roman" w:hAnsi="Times New Roman" w:cs="Times New Roman"/>
          <w:sz w:val="24"/>
          <w:szCs w:val="24"/>
        </w:rPr>
      </w:pPr>
    </w:p>
    <w:tbl>
      <w:tblPr>
        <w:tblW w:w="9360" w:type="dxa"/>
        <w:jc w:val="center"/>
        <w:tblBorders>
          <w:top w:val="single" w:sz="12" w:space="0" w:color="auto"/>
          <w:bottom w:val="single" w:sz="12" w:space="0" w:color="auto"/>
        </w:tblBorders>
        <w:tblLayout w:type="fixed"/>
        <w:tblLook w:val="0600" w:firstRow="0" w:lastRow="0" w:firstColumn="0" w:lastColumn="0" w:noHBand="1" w:noVBand="1"/>
      </w:tblPr>
      <w:tblGrid>
        <w:gridCol w:w="2340"/>
        <w:gridCol w:w="2340"/>
        <w:gridCol w:w="2340"/>
        <w:gridCol w:w="2340"/>
      </w:tblGrid>
      <w:tr w:rsidR="00F77439" w:rsidRPr="002E7761" w:rsidTr="001666F2">
        <w:trPr>
          <w:jc w:val="center"/>
        </w:trPr>
        <w:tc>
          <w:tcPr>
            <w:tcW w:w="2340" w:type="dxa"/>
            <w:tcBorders>
              <w:top w:val="single" w:sz="12" w:space="0" w:color="auto"/>
              <w:bottom w:val="single" w:sz="12" w:space="0" w:color="auto"/>
            </w:tcBorders>
            <w:shd w:val="clear" w:color="auto" w:fill="auto"/>
            <w:tcMar>
              <w:top w:w="100" w:type="dxa"/>
              <w:left w:w="100" w:type="dxa"/>
              <w:bottom w:w="100" w:type="dxa"/>
              <w:right w:w="100" w:type="dxa"/>
            </w:tcMar>
          </w:tcPr>
          <w:p w:rsidR="00F77439" w:rsidRPr="00205A3D" w:rsidRDefault="00F77439" w:rsidP="00EB7E61">
            <w:pPr>
              <w:widowControl w:val="0"/>
              <w:spacing w:after="0" w:line="240" w:lineRule="auto"/>
              <w:rPr>
                <w:rFonts w:ascii="Times New Roman" w:eastAsia="Times New Roman" w:hAnsi="Times New Roman" w:cs="Times New Roman"/>
                <w:b/>
                <w:sz w:val="24"/>
                <w:szCs w:val="24"/>
              </w:rPr>
            </w:pPr>
            <w:r w:rsidRPr="00205A3D">
              <w:rPr>
                <w:rFonts w:ascii="Times New Roman" w:eastAsia="Times New Roman" w:hAnsi="Times New Roman" w:cs="Times New Roman"/>
                <w:b/>
                <w:sz w:val="24"/>
                <w:szCs w:val="24"/>
              </w:rPr>
              <w:lastRenderedPageBreak/>
              <w:t>Compounds</w:t>
            </w:r>
          </w:p>
        </w:tc>
        <w:tc>
          <w:tcPr>
            <w:tcW w:w="2340" w:type="dxa"/>
            <w:tcBorders>
              <w:top w:val="single" w:sz="12" w:space="0" w:color="auto"/>
              <w:bottom w:val="single" w:sz="12" w:space="0" w:color="auto"/>
            </w:tcBorders>
            <w:shd w:val="clear" w:color="auto" w:fill="auto"/>
            <w:tcMar>
              <w:top w:w="100" w:type="dxa"/>
              <w:left w:w="100" w:type="dxa"/>
              <w:bottom w:w="100" w:type="dxa"/>
              <w:right w:w="100" w:type="dxa"/>
            </w:tcMar>
          </w:tcPr>
          <w:p w:rsidR="00F77439" w:rsidRPr="00205A3D" w:rsidRDefault="00F77439" w:rsidP="00EB7E61">
            <w:pPr>
              <w:widowControl w:val="0"/>
              <w:spacing w:after="0" w:line="240" w:lineRule="auto"/>
              <w:rPr>
                <w:rFonts w:ascii="Times New Roman" w:eastAsia="Times New Roman" w:hAnsi="Times New Roman" w:cs="Times New Roman"/>
                <w:b/>
                <w:sz w:val="24"/>
                <w:szCs w:val="24"/>
              </w:rPr>
            </w:pPr>
            <w:r w:rsidRPr="00205A3D">
              <w:rPr>
                <w:rFonts w:ascii="Times New Roman" w:eastAsia="Times New Roman" w:hAnsi="Times New Roman" w:cs="Times New Roman"/>
                <w:b/>
                <w:sz w:val="24"/>
                <w:szCs w:val="24"/>
              </w:rPr>
              <w:t>2D Structure</w:t>
            </w:r>
          </w:p>
        </w:tc>
        <w:tc>
          <w:tcPr>
            <w:tcW w:w="2340" w:type="dxa"/>
            <w:tcBorders>
              <w:top w:val="single" w:sz="12" w:space="0" w:color="auto"/>
              <w:bottom w:val="single" w:sz="12" w:space="0" w:color="auto"/>
            </w:tcBorders>
            <w:shd w:val="clear" w:color="auto" w:fill="auto"/>
            <w:tcMar>
              <w:top w:w="100" w:type="dxa"/>
              <w:left w:w="100" w:type="dxa"/>
              <w:bottom w:w="100" w:type="dxa"/>
              <w:right w:w="100" w:type="dxa"/>
            </w:tcMar>
          </w:tcPr>
          <w:p w:rsidR="00F77439" w:rsidRPr="00205A3D" w:rsidRDefault="00F77439" w:rsidP="00EB7E61">
            <w:pPr>
              <w:widowControl w:val="0"/>
              <w:spacing w:after="0" w:line="240" w:lineRule="auto"/>
              <w:rPr>
                <w:rFonts w:ascii="Times New Roman" w:eastAsia="Times New Roman" w:hAnsi="Times New Roman" w:cs="Times New Roman"/>
                <w:b/>
                <w:sz w:val="24"/>
                <w:szCs w:val="24"/>
              </w:rPr>
            </w:pPr>
            <w:r w:rsidRPr="00205A3D">
              <w:rPr>
                <w:rFonts w:ascii="Times New Roman" w:eastAsia="Times New Roman" w:hAnsi="Times New Roman" w:cs="Times New Roman"/>
                <w:b/>
                <w:sz w:val="24"/>
                <w:szCs w:val="24"/>
              </w:rPr>
              <w:t>Binding Affinity of Compound at Mode 0 (kcal/</w:t>
            </w:r>
            <w:proofErr w:type="spellStart"/>
            <w:r w:rsidRPr="00205A3D">
              <w:rPr>
                <w:rFonts w:ascii="Times New Roman" w:eastAsia="Times New Roman" w:hAnsi="Times New Roman" w:cs="Times New Roman"/>
                <w:b/>
                <w:sz w:val="24"/>
                <w:szCs w:val="24"/>
              </w:rPr>
              <w:t>mol</w:t>
            </w:r>
            <w:proofErr w:type="spellEnd"/>
            <w:r w:rsidRPr="00205A3D">
              <w:rPr>
                <w:rFonts w:ascii="Times New Roman" w:eastAsia="Times New Roman" w:hAnsi="Times New Roman" w:cs="Times New Roman"/>
                <w:b/>
                <w:sz w:val="24"/>
                <w:szCs w:val="24"/>
              </w:rPr>
              <w:t>)</w:t>
            </w:r>
          </w:p>
        </w:tc>
        <w:tc>
          <w:tcPr>
            <w:tcW w:w="2340" w:type="dxa"/>
            <w:tcBorders>
              <w:top w:val="single" w:sz="12" w:space="0" w:color="auto"/>
              <w:bottom w:val="single" w:sz="12" w:space="0" w:color="auto"/>
            </w:tcBorders>
            <w:shd w:val="clear" w:color="auto" w:fill="auto"/>
            <w:tcMar>
              <w:top w:w="100" w:type="dxa"/>
              <w:left w:w="100" w:type="dxa"/>
              <w:bottom w:w="100" w:type="dxa"/>
              <w:right w:w="100" w:type="dxa"/>
            </w:tcMar>
          </w:tcPr>
          <w:p w:rsidR="00F77439" w:rsidRPr="00205A3D" w:rsidRDefault="00F77439" w:rsidP="00EB7E61">
            <w:pPr>
              <w:widowControl w:val="0"/>
              <w:spacing w:after="0" w:line="240" w:lineRule="auto"/>
              <w:rPr>
                <w:rFonts w:ascii="Times New Roman" w:eastAsia="Times New Roman" w:hAnsi="Times New Roman" w:cs="Times New Roman"/>
                <w:b/>
                <w:sz w:val="24"/>
                <w:szCs w:val="24"/>
              </w:rPr>
            </w:pPr>
            <w:r w:rsidRPr="00205A3D">
              <w:rPr>
                <w:rFonts w:ascii="Times New Roman" w:eastAsia="Times New Roman" w:hAnsi="Times New Roman" w:cs="Times New Roman"/>
                <w:b/>
                <w:sz w:val="24"/>
                <w:szCs w:val="24"/>
              </w:rPr>
              <w:t>Interacting Residues of Mutant AR-V7 and types of Interactions</w:t>
            </w:r>
          </w:p>
        </w:tc>
      </w:tr>
      <w:tr w:rsidR="00896B0D" w:rsidRPr="002E7761" w:rsidTr="001666F2">
        <w:trPr>
          <w:jc w:val="center"/>
        </w:trPr>
        <w:tc>
          <w:tcPr>
            <w:tcW w:w="2340" w:type="dxa"/>
            <w:tcBorders>
              <w:top w:val="single" w:sz="12" w:space="0" w:color="auto"/>
            </w:tcBorders>
          </w:tcPr>
          <w:p w:rsidR="00896B0D" w:rsidRPr="0020784A" w:rsidRDefault="00896B0D" w:rsidP="00896B0D">
            <w:pPr>
              <w:jc w:val="both"/>
              <w:rPr>
                <w:rFonts w:ascii="Times New Roman" w:hAnsi="Times New Roman" w:cs="Times New Roman"/>
                <w:sz w:val="24"/>
                <w:szCs w:val="24"/>
              </w:rPr>
            </w:pPr>
            <w:r w:rsidRPr="0020784A">
              <w:rPr>
                <w:rFonts w:ascii="Times New Roman" w:hAnsi="Times New Roman" w:cs="Times New Roman"/>
                <w:sz w:val="24"/>
                <w:szCs w:val="24"/>
              </w:rPr>
              <w:t>COMP1</w:t>
            </w:r>
          </w:p>
        </w:tc>
        <w:tc>
          <w:tcPr>
            <w:tcW w:w="2340" w:type="dxa"/>
            <w:tcBorders>
              <w:top w:val="single" w:sz="12" w:space="0" w:color="auto"/>
            </w:tcBorders>
            <w:shd w:val="clear" w:color="auto" w:fill="auto"/>
            <w:tcMar>
              <w:top w:w="100" w:type="dxa"/>
              <w:left w:w="100" w:type="dxa"/>
              <w:bottom w:w="100" w:type="dxa"/>
              <w:right w:w="100" w:type="dxa"/>
            </w:tcMar>
          </w:tcPr>
          <w:p w:rsidR="00896B0D" w:rsidRPr="002E7761" w:rsidRDefault="00896B0D" w:rsidP="00896B0D">
            <w:pPr>
              <w:spacing w:after="0" w:line="240" w:lineRule="auto"/>
              <w:jc w:val="both"/>
              <w:rPr>
                <w:rFonts w:ascii="Times New Roman" w:eastAsia="Times New Roman" w:hAnsi="Times New Roman" w:cs="Times New Roman"/>
                <w:sz w:val="24"/>
                <w:szCs w:val="24"/>
              </w:rPr>
            </w:pPr>
            <w:r w:rsidRPr="002E7761">
              <w:rPr>
                <w:rFonts w:ascii="Times New Roman" w:hAnsi="Times New Roman" w:cs="Times New Roman"/>
                <w:noProof/>
                <w:sz w:val="24"/>
                <w:szCs w:val="24"/>
                <w:lang w:val="en-US"/>
              </w:rPr>
              <w:drawing>
                <wp:inline distT="0" distB="0" distL="0" distR="0" wp14:anchorId="4A6FD000" wp14:editId="3E8B6C2A">
                  <wp:extent cx="1352550" cy="1358900"/>
                  <wp:effectExtent l="0" t="0" r="0" b="0"/>
                  <wp:docPr id="17"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5"/>
                          <a:srcRect/>
                          <a:stretch>
                            <a:fillRect/>
                          </a:stretch>
                        </pic:blipFill>
                        <pic:spPr>
                          <a:xfrm>
                            <a:off x="0" y="0"/>
                            <a:ext cx="1352550" cy="1358900"/>
                          </a:xfrm>
                          <a:prstGeom prst="rect">
                            <a:avLst/>
                          </a:prstGeom>
                          <a:ln/>
                        </pic:spPr>
                      </pic:pic>
                    </a:graphicData>
                  </a:graphic>
                </wp:inline>
              </w:drawing>
            </w:r>
          </w:p>
        </w:tc>
        <w:tc>
          <w:tcPr>
            <w:tcW w:w="2340" w:type="dxa"/>
            <w:tcBorders>
              <w:top w:val="single" w:sz="12" w:space="0" w:color="auto"/>
            </w:tcBorders>
            <w:shd w:val="clear" w:color="auto" w:fill="auto"/>
            <w:tcMar>
              <w:top w:w="100" w:type="dxa"/>
              <w:left w:w="100" w:type="dxa"/>
              <w:bottom w:w="100" w:type="dxa"/>
              <w:right w:w="100" w:type="dxa"/>
            </w:tcMar>
          </w:tcPr>
          <w:p w:rsidR="00896B0D" w:rsidRPr="002E7761" w:rsidRDefault="00896B0D" w:rsidP="00896B0D">
            <w:pPr>
              <w:widowControl w:val="0"/>
              <w:spacing w:after="0" w:line="240" w:lineRule="auto"/>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-6.4</w:t>
            </w:r>
          </w:p>
        </w:tc>
        <w:tc>
          <w:tcPr>
            <w:tcW w:w="2340" w:type="dxa"/>
            <w:tcBorders>
              <w:top w:val="single" w:sz="12" w:space="0" w:color="auto"/>
            </w:tcBorders>
            <w:shd w:val="clear" w:color="auto" w:fill="auto"/>
            <w:tcMar>
              <w:top w:w="100" w:type="dxa"/>
              <w:left w:w="100" w:type="dxa"/>
              <w:bottom w:w="100" w:type="dxa"/>
              <w:right w:w="100" w:type="dxa"/>
            </w:tcMar>
          </w:tcPr>
          <w:p w:rsidR="00896B0D" w:rsidRPr="002E7761" w:rsidRDefault="00896B0D" w:rsidP="00896B0D">
            <w:pPr>
              <w:widowControl w:val="0"/>
              <w:spacing w:after="0" w:line="240" w:lineRule="auto"/>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GLU238, LYS241 - Pi-Anion/Pi-</w:t>
            </w:r>
            <w:proofErr w:type="spellStart"/>
            <w:r w:rsidRPr="002E7761">
              <w:rPr>
                <w:rFonts w:ascii="Times New Roman" w:eastAsia="Times New Roman" w:hAnsi="Times New Roman" w:cs="Times New Roman"/>
                <w:sz w:val="24"/>
                <w:szCs w:val="24"/>
              </w:rPr>
              <w:t>Cation</w:t>
            </w:r>
            <w:proofErr w:type="spellEnd"/>
            <w:r w:rsidRPr="002E7761">
              <w:rPr>
                <w:rFonts w:ascii="Times New Roman" w:eastAsia="Times New Roman" w:hAnsi="Times New Roman" w:cs="Times New Roman"/>
                <w:sz w:val="24"/>
                <w:szCs w:val="24"/>
              </w:rPr>
              <w:t>; CYS240- Pi-</w:t>
            </w:r>
            <w:proofErr w:type="spellStart"/>
            <w:r w:rsidRPr="002E7761">
              <w:rPr>
                <w:rFonts w:ascii="Times New Roman" w:eastAsia="Times New Roman" w:hAnsi="Times New Roman" w:cs="Times New Roman"/>
                <w:sz w:val="24"/>
                <w:szCs w:val="24"/>
              </w:rPr>
              <w:t>Sulfur</w:t>
            </w:r>
            <w:proofErr w:type="spellEnd"/>
            <w:r w:rsidRPr="002E7761">
              <w:rPr>
                <w:rFonts w:ascii="Times New Roman" w:eastAsia="Times New Roman" w:hAnsi="Times New Roman" w:cs="Times New Roman"/>
                <w:sz w:val="24"/>
                <w:szCs w:val="24"/>
              </w:rPr>
              <w:t>; TYR269 - Pi-Pi Stacked; LYS237, LEU254 - Pi-Alkyl</w:t>
            </w:r>
          </w:p>
        </w:tc>
      </w:tr>
      <w:tr w:rsidR="00896B0D" w:rsidRPr="002E7761" w:rsidTr="001666F2">
        <w:trPr>
          <w:jc w:val="center"/>
        </w:trPr>
        <w:tc>
          <w:tcPr>
            <w:tcW w:w="2340" w:type="dxa"/>
          </w:tcPr>
          <w:p w:rsidR="00896B0D" w:rsidRPr="0020784A" w:rsidRDefault="00896B0D" w:rsidP="00896B0D">
            <w:pPr>
              <w:jc w:val="both"/>
              <w:rPr>
                <w:rFonts w:ascii="Times New Roman" w:hAnsi="Times New Roman" w:cs="Times New Roman"/>
                <w:sz w:val="24"/>
                <w:szCs w:val="24"/>
              </w:rPr>
            </w:pPr>
            <w:r w:rsidRPr="0020784A">
              <w:rPr>
                <w:rFonts w:ascii="Times New Roman" w:hAnsi="Times New Roman" w:cs="Times New Roman"/>
                <w:sz w:val="24"/>
                <w:szCs w:val="24"/>
              </w:rPr>
              <w:t>COMP2</w:t>
            </w:r>
          </w:p>
        </w:tc>
        <w:tc>
          <w:tcPr>
            <w:tcW w:w="2340" w:type="dxa"/>
            <w:shd w:val="clear" w:color="auto" w:fill="auto"/>
            <w:tcMar>
              <w:top w:w="100" w:type="dxa"/>
              <w:left w:w="100" w:type="dxa"/>
              <w:bottom w:w="100" w:type="dxa"/>
              <w:right w:w="100" w:type="dxa"/>
            </w:tcMar>
          </w:tcPr>
          <w:p w:rsidR="00896B0D" w:rsidRPr="002E7761" w:rsidRDefault="00896B0D" w:rsidP="00896B0D">
            <w:pPr>
              <w:spacing w:after="0" w:line="240" w:lineRule="auto"/>
              <w:jc w:val="both"/>
              <w:rPr>
                <w:rFonts w:ascii="Times New Roman" w:eastAsia="Times New Roman" w:hAnsi="Times New Roman" w:cs="Times New Roman"/>
                <w:sz w:val="24"/>
                <w:szCs w:val="24"/>
              </w:rPr>
            </w:pPr>
            <w:r w:rsidRPr="002E7761">
              <w:rPr>
                <w:rFonts w:ascii="Times New Roman" w:hAnsi="Times New Roman" w:cs="Times New Roman"/>
                <w:noProof/>
                <w:sz w:val="24"/>
                <w:szCs w:val="24"/>
                <w:lang w:val="en-US"/>
              </w:rPr>
              <w:drawing>
                <wp:inline distT="0" distB="0" distL="0" distR="0" wp14:anchorId="05C14AC6" wp14:editId="635E344B">
                  <wp:extent cx="1352550" cy="1358900"/>
                  <wp:effectExtent l="0" t="0" r="0" b="0"/>
                  <wp:docPr id="1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6"/>
                          <a:srcRect/>
                          <a:stretch>
                            <a:fillRect/>
                          </a:stretch>
                        </pic:blipFill>
                        <pic:spPr>
                          <a:xfrm>
                            <a:off x="0" y="0"/>
                            <a:ext cx="1352550" cy="1358900"/>
                          </a:xfrm>
                          <a:prstGeom prst="rect">
                            <a:avLst/>
                          </a:prstGeom>
                          <a:ln/>
                        </pic:spPr>
                      </pic:pic>
                    </a:graphicData>
                  </a:graphic>
                </wp:inline>
              </w:drawing>
            </w:r>
          </w:p>
        </w:tc>
        <w:tc>
          <w:tcPr>
            <w:tcW w:w="2340" w:type="dxa"/>
          </w:tcPr>
          <w:p w:rsidR="00896B0D" w:rsidRPr="002E7761" w:rsidRDefault="00896B0D" w:rsidP="00896B0D">
            <w:pPr>
              <w:spacing w:after="0" w:line="240" w:lineRule="auto"/>
              <w:jc w:val="both"/>
              <w:rPr>
                <w:rFonts w:ascii="Times New Roman" w:hAnsi="Times New Roman" w:cs="Times New Roman"/>
                <w:sz w:val="24"/>
                <w:szCs w:val="24"/>
              </w:rPr>
            </w:pPr>
            <w:r w:rsidRPr="002E7761">
              <w:rPr>
                <w:rFonts w:ascii="Times New Roman" w:hAnsi="Times New Roman" w:cs="Times New Roman"/>
                <w:sz w:val="24"/>
                <w:szCs w:val="24"/>
              </w:rPr>
              <w:t>-7.6</w:t>
            </w:r>
          </w:p>
        </w:tc>
        <w:tc>
          <w:tcPr>
            <w:tcW w:w="2340" w:type="dxa"/>
            <w:shd w:val="clear" w:color="auto" w:fill="auto"/>
            <w:tcMar>
              <w:top w:w="100" w:type="dxa"/>
              <w:left w:w="100" w:type="dxa"/>
              <w:bottom w:w="100" w:type="dxa"/>
              <w:right w:w="100" w:type="dxa"/>
            </w:tcMar>
          </w:tcPr>
          <w:p w:rsidR="00896B0D" w:rsidRPr="002E7761" w:rsidRDefault="00896B0D" w:rsidP="00896B0D">
            <w:pPr>
              <w:widowControl w:val="0"/>
              <w:spacing w:after="0" w:line="240" w:lineRule="auto"/>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VAL30 -Amide-Pi Stacked; ARG31, ILE34, ALA52, PRO49, ALA372, PRO342 - Pi-Alkyl</w:t>
            </w:r>
          </w:p>
        </w:tc>
      </w:tr>
      <w:tr w:rsidR="00896B0D" w:rsidRPr="002E7761" w:rsidTr="001666F2">
        <w:trPr>
          <w:jc w:val="center"/>
        </w:trPr>
        <w:tc>
          <w:tcPr>
            <w:tcW w:w="2340" w:type="dxa"/>
          </w:tcPr>
          <w:p w:rsidR="00896B0D" w:rsidRPr="0020784A" w:rsidRDefault="00896B0D" w:rsidP="00896B0D">
            <w:pPr>
              <w:jc w:val="both"/>
              <w:rPr>
                <w:rFonts w:ascii="Times New Roman" w:hAnsi="Times New Roman" w:cs="Times New Roman"/>
                <w:sz w:val="24"/>
                <w:szCs w:val="24"/>
              </w:rPr>
            </w:pPr>
            <w:r w:rsidRPr="0020784A">
              <w:rPr>
                <w:rFonts w:ascii="Times New Roman" w:hAnsi="Times New Roman" w:cs="Times New Roman"/>
                <w:sz w:val="24"/>
                <w:szCs w:val="24"/>
              </w:rPr>
              <w:t>COMP3</w:t>
            </w:r>
          </w:p>
        </w:tc>
        <w:tc>
          <w:tcPr>
            <w:tcW w:w="2340" w:type="dxa"/>
            <w:shd w:val="clear" w:color="auto" w:fill="auto"/>
            <w:tcMar>
              <w:top w:w="100" w:type="dxa"/>
              <w:left w:w="100" w:type="dxa"/>
              <w:bottom w:w="100" w:type="dxa"/>
              <w:right w:w="100" w:type="dxa"/>
            </w:tcMar>
          </w:tcPr>
          <w:p w:rsidR="00896B0D" w:rsidRPr="002E7761" w:rsidRDefault="00896B0D" w:rsidP="00896B0D">
            <w:pPr>
              <w:spacing w:after="0" w:line="240" w:lineRule="auto"/>
              <w:jc w:val="both"/>
              <w:rPr>
                <w:rFonts w:ascii="Times New Roman" w:eastAsia="Times New Roman" w:hAnsi="Times New Roman" w:cs="Times New Roman"/>
                <w:sz w:val="24"/>
                <w:szCs w:val="24"/>
              </w:rPr>
            </w:pPr>
            <w:r w:rsidRPr="002E7761">
              <w:rPr>
                <w:rFonts w:ascii="Times New Roman" w:hAnsi="Times New Roman" w:cs="Times New Roman"/>
                <w:noProof/>
                <w:sz w:val="24"/>
                <w:szCs w:val="24"/>
                <w:lang w:val="en-US"/>
              </w:rPr>
              <w:drawing>
                <wp:inline distT="0" distB="0" distL="0" distR="0" wp14:anchorId="3008FB16" wp14:editId="63954CAA">
                  <wp:extent cx="1352550" cy="1358900"/>
                  <wp:effectExtent l="0" t="0" r="0" b="0"/>
                  <wp:docPr id="29"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7"/>
                          <a:srcRect/>
                          <a:stretch>
                            <a:fillRect/>
                          </a:stretch>
                        </pic:blipFill>
                        <pic:spPr>
                          <a:xfrm>
                            <a:off x="0" y="0"/>
                            <a:ext cx="1352550" cy="1358900"/>
                          </a:xfrm>
                          <a:prstGeom prst="rect">
                            <a:avLst/>
                          </a:prstGeom>
                          <a:ln/>
                        </pic:spPr>
                      </pic:pic>
                    </a:graphicData>
                  </a:graphic>
                </wp:inline>
              </w:drawing>
            </w:r>
          </w:p>
        </w:tc>
        <w:tc>
          <w:tcPr>
            <w:tcW w:w="2340" w:type="dxa"/>
          </w:tcPr>
          <w:p w:rsidR="00896B0D" w:rsidRPr="002E7761" w:rsidRDefault="00896B0D" w:rsidP="00896B0D">
            <w:pPr>
              <w:spacing w:after="0" w:line="240" w:lineRule="auto"/>
              <w:jc w:val="both"/>
              <w:rPr>
                <w:rFonts w:ascii="Times New Roman" w:hAnsi="Times New Roman" w:cs="Times New Roman"/>
                <w:sz w:val="24"/>
                <w:szCs w:val="24"/>
              </w:rPr>
            </w:pPr>
            <w:r w:rsidRPr="002E7761">
              <w:rPr>
                <w:rFonts w:ascii="Times New Roman" w:hAnsi="Times New Roman" w:cs="Times New Roman"/>
                <w:sz w:val="24"/>
                <w:szCs w:val="24"/>
              </w:rPr>
              <w:t>-7.2</w:t>
            </w:r>
          </w:p>
        </w:tc>
        <w:tc>
          <w:tcPr>
            <w:tcW w:w="2340" w:type="dxa"/>
            <w:shd w:val="clear" w:color="auto" w:fill="auto"/>
            <w:tcMar>
              <w:top w:w="100" w:type="dxa"/>
              <w:left w:w="100" w:type="dxa"/>
              <w:bottom w:w="100" w:type="dxa"/>
              <w:right w:w="100" w:type="dxa"/>
            </w:tcMar>
          </w:tcPr>
          <w:p w:rsidR="00896B0D" w:rsidRPr="002E7761" w:rsidRDefault="00896B0D" w:rsidP="00896B0D">
            <w:pPr>
              <w:widowControl w:val="0"/>
              <w:spacing w:after="0" w:line="240" w:lineRule="auto"/>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LYS237, GLN262 -Conventional Hydrogen Bonds; CYS240- Pi-</w:t>
            </w:r>
            <w:proofErr w:type="spellStart"/>
            <w:r w:rsidRPr="002E7761">
              <w:rPr>
                <w:rFonts w:ascii="Times New Roman" w:eastAsia="Times New Roman" w:hAnsi="Times New Roman" w:cs="Times New Roman"/>
                <w:sz w:val="24"/>
                <w:szCs w:val="24"/>
              </w:rPr>
              <w:t>Sulfur</w:t>
            </w:r>
            <w:proofErr w:type="spellEnd"/>
            <w:r w:rsidRPr="002E7761">
              <w:rPr>
                <w:rFonts w:ascii="Times New Roman" w:eastAsia="Times New Roman" w:hAnsi="Times New Roman" w:cs="Times New Roman"/>
                <w:sz w:val="24"/>
                <w:szCs w:val="24"/>
              </w:rPr>
              <w:t>; LYS241, LEU254, ILE232 - Pi-Alkyl</w:t>
            </w:r>
          </w:p>
        </w:tc>
      </w:tr>
      <w:tr w:rsidR="00896B0D" w:rsidRPr="002E7761" w:rsidTr="001666F2">
        <w:trPr>
          <w:jc w:val="center"/>
        </w:trPr>
        <w:tc>
          <w:tcPr>
            <w:tcW w:w="2340" w:type="dxa"/>
          </w:tcPr>
          <w:p w:rsidR="00896B0D" w:rsidRPr="0020784A" w:rsidRDefault="00896B0D" w:rsidP="00896B0D">
            <w:pPr>
              <w:jc w:val="both"/>
              <w:rPr>
                <w:rFonts w:ascii="Times New Roman" w:hAnsi="Times New Roman" w:cs="Times New Roman"/>
                <w:sz w:val="24"/>
                <w:szCs w:val="24"/>
              </w:rPr>
            </w:pPr>
            <w:r w:rsidRPr="0020784A">
              <w:rPr>
                <w:rFonts w:ascii="Times New Roman" w:hAnsi="Times New Roman" w:cs="Times New Roman"/>
                <w:sz w:val="24"/>
                <w:szCs w:val="24"/>
              </w:rPr>
              <w:t>COMP4</w:t>
            </w:r>
          </w:p>
        </w:tc>
        <w:tc>
          <w:tcPr>
            <w:tcW w:w="2340" w:type="dxa"/>
            <w:shd w:val="clear" w:color="auto" w:fill="auto"/>
            <w:tcMar>
              <w:top w:w="100" w:type="dxa"/>
              <w:left w:w="100" w:type="dxa"/>
              <w:bottom w:w="100" w:type="dxa"/>
              <w:right w:w="100" w:type="dxa"/>
            </w:tcMar>
          </w:tcPr>
          <w:p w:rsidR="00896B0D" w:rsidRPr="002E7761" w:rsidRDefault="00896B0D" w:rsidP="00896B0D">
            <w:pPr>
              <w:spacing w:after="0" w:line="240" w:lineRule="auto"/>
              <w:jc w:val="both"/>
              <w:rPr>
                <w:rFonts w:ascii="Times New Roman" w:eastAsia="Times New Roman" w:hAnsi="Times New Roman" w:cs="Times New Roman"/>
                <w:sz w:val="24"/>
                <w:szCs w:val="24"/>
              </w:rPr>
            </w:pPr>
            <w:r w:rsidRPr="002E7761">
              <w:rPr>
                <w:rFonts w:ascii="Times New Roman" w:hAnsi="Times New Roman" w:cs="Times New Roman"/>
                <w:noProof/>
                <w:sz w:val="24"/>
                <w:szCs w:val="24"/>
                <w:lang w:val="en-US"/>
              </w:rPr>
              <w:drawing>
                <wp:inline distT="0" distB="0" distL="0" distR="0" wp14:anchorId="71AAEF25" wp14:editId="45A55308">
                  <wp:extent cx="1352550" cy="1358900"/>
                  <wp:effectExtent l="0" t="0" r="0" b="0"/>
                  <wp:docPr id="23"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28"/>
                          <a:srcRect/>
                          <a:stretch>
                            <a:fillRect/>
                          </a:stretch>
                        </pic:blipFill>
                        <pic:spPr>
                          <a:xfrm>
                            <a:off x="0" y="0"/>
                            <a:ext cx="1352550" cy="1358900"/>
                          </a:xfrm>
                          <a:prstGeom prst="rect">
                            <a:avLst/>
                          </a:prstGeom>
                          <a:ln/>
                        </pic:spPr>
                      </pic:pic>
                    </a:graphicData>
                  </a:graphic>
                </wp:inline>
              </w:drawing>
            </w:r>
          </w:p>
        </w:tc>
        <w:tc>
          <w:tcPr>
            <w:tcW w:w="2340" w:type="dxa"/>
          </w:tcPr>
          <w:p w:rsidR="00896B0D" w:rsidRPr="002E7761" w:rsidRDefault="00896B0D" w:rsidP="00896B0D">
            <w:pPr>
              <w:spacing w:after="0" w:line="240" w:lineRule="auto"/>
              <w:jc w:val="both"/>
              <w:rPr>
                <w:rFonts w:ascii="Times New Roman" w:hAnsi="Times New Roman" w:cs="Times New Roman"/>
                <w:sz w:val="24"/>
                <w:szCs w:val="24"/>
              </w:rPr>
            </w:pPr>
            <w:r w:rsidRPr="002E7761">
              <w:rPr>
                <w:rFonts w:ascii="Times New Roman" w:hAnsi="Times New Roman" w:cs="Times New Roman"/>
                <w:sz w:val="24"/>
                <w:szCs w:val="24"/>
              </w:rPr>
              <w:t>-7.1</w:t>
            </w:r>
          </w:p>
        </w:tc>
        <w:tc>
          <w:tcPr>
            <w:tcW w:w="2340" w:type="dxa"/>
            <w:shd w:val="clear" w:color="auto" w:fill="auto"/>
            <w:tcMar>
              <w:top w:w="100" w:type="dxa"/>
              <w:left w:w="100" w:type="dxa"/>
              <w:bottom w:w="100" w:type="dxa"/>
              <w:right w:w="100" w:type="dxa"/>
            </w:tcMar>
          </w:tcPr>
          <w:p w:rsidR="00896B0D" w:rsidRPr="002E7761" w:rsidRDefault="00896B0D" w:rsidP="00896B0D">
            <w:pPr>
              <w:widowControl w:val="0"/>
              <w:spacing w:after="0" w:line="240" w:lineRule="auto"/>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 xml:space="preserve">LYS349 -Conventional Hydrogen Bond; SER346, LEU347- Carbon Hydrogen Bond/Pi-Donor Hydrogen Bond; TYR348, SER346- </w:t>
            </w:r>
            <w:proofErr w:type="spellStart"/>
            <w:r w:rsidRPr="002E7761">
              <w:rPr>
                <w:rFonts w:ascii="Times New Roman" w:eastAsia="Times New Roman" w:hAnsi="Times New Roman" w:cs="Times New Roman"/>
                <w:sz w:val="24"/>
                <w:szCs w:val="24"/>
              </w:rPr>
              <w:t>Unfavourabl</w:t>
            </w:r>
            <w:proofErr w:type="spellEnd"/>
            <w:r w:rsidRPr="002E7761">
              <w:rPr>
                <w:rFonts w:ascii="Times New Roman" w:eastAsia="Times New Roman" w:hAnsi="Times New Roman" w:cs="Times New Roman"/>
                <w:sz w:val="24"/>
                <w:szCs w:val="24"/>
              </w:rPr>
              <w:t xml:space="preserve"> Donor-Donor/Unfavourable Acceptor-Acceptor; ARG264- Pi-</w:t>
            </w:r>
            <w:proofErr w:type="spellStart"/>
            <w:r w:rsidRPr="002E7761">
              <w:rPr>
                <w:rFonts w:ascii="Times New Roman" w:eastAsia="Times New Roman" w:hAnsi="Times New Roman" w:cs="Times New Roman"/>
                <w:sz w:val="24"/>
                <w:szCs w:val="24"/>
              </w:rPr>
              <w:t>Cation</w:t>
            </w:r>
            <w:proofErr w:type="spellEnd"/>
            <w:r w:rsidRPr="002E7761">
              <w:rPr>
                <w:rFonts w:ascii="Times New Roman" w:eastAsia="Times New Roman" w:hAnsi="Times New Roman" w:cs="Times New Roman"/>
                <w:sz w:val="24"/>
                <w:szCs w:val="24"/>
              </w:rPr>
              <w:t>; LYS349 -Pi-Sigma; LEU341 - Pi-Alkyl</w:t>
            </w:r>
          </w:p>
        </w:tc>
      </w:tr>
      <w:tr w:rsidR="00896B0D" w:rsidRPr="002E7761" w:rsidTr="001666F2">
        <w:trPr>
          <w:jc w:val="center"/>
        </w:trPr>
        <w:tc>
          <w:tcPr>
            <w:tcW w:w="2340" w:type="dxa"/>
          </w:tcPr>
          <w:p w:rsidR="00896B0D" w:rsidRPr="0020784A" w:rsidRDefault="0020784A" w:rsidP="00896B0D">
            <w:pPr>
              <w:jc w:val="both"/>
              <w:rPr>
                <w:rFonts w:ascii="Times New Roman" w:hAnsi="Times New Roman" w:cs="Times New Roman"/>
                <w:sz w:val="24"/>
                <w:szCs w:val="24"/>
              </w:rPr>
            </w:pPr>
            <w:proofErr w:type="spellStart"/>
            <w:r>
              <w:rPr>
                <w:rFonts w:ascii="Times New Roman" w:eastAsia="Times New Roman" w:hAnsi="Times New Roman" w:cs="Times New Roman"/>
                <w:sz w:val="24"/>
                <w:szCs w:val="24"/>
              </w:rPr>
              <w:lastRenderedPageBreak/>
              <w:t>Ap</w:t>
            </w:r>
            <w:r w:rsidRPr="002E7761">
              <w:rPr>
                <w:rFonts w:ascii="Times New Roman" w:eastAsia="Times New Roman" w:hAnsi="Times New Roman" w:cs="Times New Roman"/>
                <w:sz w:val="24"/>
                <w:szCs w:val="24"/>
              </w:rPr>
              <w:t>alutamide</w:t>
            </w:r>
            <w:proofErr w:type="spellEnd"/>
          </w:p>
        </w:tc>
        <w:tc>
          <w:tcPr>
            <w:tcW w:w="2340" w:type="dxa"/>
            <w:shd w:val="clear" w:color="auto" w:fill="auto"/>
            <w:tcMar>
              <w:top w:w="100" w:type="dxa"/>
              <w:left w:w="100" w:type="dxa"/>
              <w:bottom w:w="100" w:type="dxa"/>
              <w:right w:w="100" w:type="dxa"/>
            </w:tcMar>
          </w:tcPr>
          <w:p w:rsidR="00896B0D" w:rsidRPr="002E7761" w:rsidRDefault="00896B0D" w:rsidP="00896B0D">
            <w:pPr>
              <w:spacing w:after="0" w:line="240" w:lineRule="auto"/>
              <w:jc w:val="both"/>
              <w:rPr>
                <w:rFonts w:ascii="Times New Roman" w:eastAsia="Times New Roman" w:hAnsi="Times New Roman" w:cs="Times New Roman"/>
                <w:sz w:val="24"/>
                <w:szCs w:val="24"/>
              </w:rPr>
            </w:pPr>
            <w:r w:rsidRPr="002E7761">
              <w:rPr>
                <w:rFonts w:ascii="Times New Roman" w:hAnsi="Times New Roman" w:cs="Times New Roman"/>
                <w:noProof/>
                <w:sz w:val="24"/>
                <w:szCs w:val="24"/>
                <w:lang w:val="en-US"/>
              </w:rPr>
              <w:drawing>
                <wp:inline distT="114300" distB="114300" distL="114300" distR="114300" wp14:anchorId="726F25A8" wp14:editId="2D049060">
                  <wp:extent cx="1352550" cy="1358900"/>
                  <wp:effectExtent l="0" t="0" r="0" b="0"/>
                  <wp:docPr id="34"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40"/>
                          <a:srcRect/>
                          <a:stretch>
                            <a:fillRect/>
                          </a:stretch>
                        </pic:blipFill>
                        <pic:spPr>
                          <a:xfrm>
                            <a:off x="0" y="0"/>
                            <a:ext cx="1352550" cy="1358900"/>
                          </a:xfrm>
                          <a:prstGeom prst="rect">
                            <a:avLst/>
                          </a:prstGeom>
                          <a:ln/>
                        </pic:spPr>
                      </pic:pic>
                    </a:graphicData>
                  </a:graphic>
                </wp:inline>
              </w:drawing>
            </w:r>
          </w:p>
        </w:tc>
        <w:tc>
          <w:tcPr>
            <w:tcW w:w="2340" w:type="dxa"/>
          </w:tcPr>
          <w:p w:rsidR="00896B0D" w:rsidRPr="002E7761" w:rsidRDefault="00896B0D" w:rsidP="00896B0D">
            <w:pPr>
              <w:spacing w:after="0" w:line="240" w:lineRule="auto"/>
              <w:jc w:val="both"/>
              <w:rPr>
                <w:rFonts w:ascii="Times New Roman" w:hAnsi="Times New Roman" w:cs="Times New Roman"/>
                <w:sz w:val="24"/>
                <w:szCs w:val="24"/>
              </w:rPr>
            </w:pPr>
            <w:r w:rsidRPr="002E7761">
              <w:rPr>
                <w:rFonts w:ascii="Times New Roman" w:hAnsi="Times New Roman" w:cs="Times New Roman"/>
                <w:sz w:val="24"/>
                <w:szCs w:val="24"/>
              </w:rPr>
              <w:t>-7.0</w:t>
            </w:r>
          </w:p>
        </w:tc>
        <w:tc>
          <w:tcPr>
            <w:tcW w:w="2340" w:type="dxa"/>
            <w:shd w:val="clear" w:color="auto" w:fill="auto"/>
            <w:tcMar>
              <w:top w:w="100" w:type="dxa"/>
              <w:left w:w="100" w:type="dxa"/>
              <w:bottom w:w="100" w:type="dxa"/>
              <w:right w:w="100" w:type="dxa"/>
            </w:tcMar>
          </w:tcPr>
          <w:p w:rsidR="00896B0D" w:rsidRPr="002E7761" w:rsidRDefault="00896B0D" w:rsidP="00896B0D">
            <w:pPr>
              <w:widowControl w:val="0"/>
              <w:spacing w:after="0" w:line="240" w:lineRule="auto"/>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SER29 -Carbon Hydrogen Bond; GLU32 - Halogen (Fluorine); VAL30, LEU26,  LEU5, VAL33 -Alkyl/Pi-Alkyl</w:t>
            </w:r>
          </w:p>
        </w:tc>
      </w:tr>
    </w:tbl>
    <w:p w:rsidR="00F77439" w:rsidRPr="002E7761" w:rsidRDefault="00F77439" w:rsidP="00F77439">
      <w:pPr>
        <w:spacing w:after="0"/>
        <w:jc w:val="center"/>
        <w:rPr>
          <w:rFonts w:ascii="Times New Roman" w:eastAsia="Times New Roman" w:hAnsi="Times New Roman" w:cs="Times New Roman"/>
          <w:sz w:val="24"/>
          <w:szCs w:val="24"/>
        </w:rPr>
      </w:pPr>
    </w:p>
    <w:p w:rsidR="00F77439" w:rsidRPr="002E7761" w:rsidRDefault="00F77439" w:rsidP="00F77439">
      <w:pPr>
        <w:spacing w:after="0"/>
        <w:jc w:val="both"/>
        <w:rPr>
          <w:rFonts w:ascii="Times New Roman" w:eastAsia="Times New Roman" w:hAnsi="Times New Roman" w:cs="Times New Roman"/>
          <w:sz w:val="24"/>
          <w:szCs w:val="24"/>
        </w:rPr>
      </w:pPr>
    </w:p>
    <w:p w:rsidR="00F77439" w:rsidRPr="002E7761" w:rsidRDefault="008E0532" w:rsidP="00F77439">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Figure 13</w:t>
      </w:r>
      <w:r w:rsidR="00F77439" w:rsidRPr="002E7761">
        <w:rPr>
          <w:rFonts w:ascii="Times New Roman" w:eastAsia="Times New Roman" w:hAnsi="Times New Roman" w:cs="Times New Roman"/>
          <w:sz w:val="24"/>
          <w:szCs w:val="24"/>
        </w:rPr>
        <w:t>, the</w:t>
      </w:r>
      <w:r w:rsidR="0066480D">
        <w:rPr>
          <w:rFonts w:ascii="Times New Roman" w:eastAsia="Times New Roman" w:hAnsi="Times New Roman" w:cs="Times New Roman"/>
          <w:sz w:val="24"/>
          <w:szCs w:val="24"/>
        </w:rPr>
        <w:t xml:space="preserve"> views in 2D and 3D</w:t>
      </w:r>
      <w:r w:rsidR="00F77439" w:rsidRPr="002E7761">
        <w:rPr>
          <w:rFonts w:ascii="Times New Roman" w:eastAsia="Times New Roman" w:hAnsi="Times New Roman" w:cs="Times New Roman"/>
          <w:sz w:val="24"/>
          <w:szCs w:val="24"/>
        </w:rPr>
        <w:t xml:space="preserve"> of (A) 4,4'-dihydroxy-2'-methoxy-chalcone (2'-methoxyisoliquiritigenin), (B) 7,4'-dihydroxy-3,11-dehydrohomoisoflavanone, (C) 5,7,3',4'-tetrahydroxy-flavone (</w:t>
      </w:r>
      <w:proofErr w:type="spellStart"/>
      <w:r w:rsidR="00F77439" w:rsidRPr="002E7761">
        <w:rPr>
          <w:rFonts w:ascii="Times New Roman" w:eastAsia="Times New Roman" w:hAnsi="Times New Roman" w:cs="Times New Roman"/>
          <w:sz w:val="24"/>
          <w:szCs w:val="24"/>
        </w:rPr>
        <w:t>Luteolin</w:t>
      </w:r>
      <w:proofErr w:type="spellEnd"/>
      <w:r w:rsidR="00F77439" w:rsidRPr="002E7761">
        <w:rPr>
          <w:rFonts w:ascii="Times New Roman" w:eastAsia="Times New Roman" w:hAnsi="Times New Roman" w:cs="Times New Roman"/>
          <w:sz w:val="24"/>
          <w:szCs w:val="24"/>
        </w:rPr>
        <w:t>), (D) 7,3',4'-tetrahydroxy-3-methoxyflavone (querce</w:t>
      </w:r>
      <w:r w:rsidR="00D772A9">
        <w:rPr>
          <w:rFonts w:ascii="Times New Roman" w:eastAsia="Times New Roman" w:hAnsi="Times New Roman" w:cs="Times New Roman"/>
          <w:sz w:val="24"/>
          <w:szCs w:val="24"/>
        </w:rPr>
        <w:t xml:space="preserve">tin-3-methyl ether), and (E) </w:t>
      </w:r>
      <w:proofErr w:type="spellStart"/>
      <w:r w:rsidR="00D772A9">
        <w:rPr>
          <w:rFonts w:ascii="Times New Roman" w:eastAsia="Times New Roman" w:hAnsi="Times New Roman" w:cs="Times New Roman"/>
          <w:sz w:val="24"/>
          <w:szCs w:val="24"/>
        </w:rPr>
        <w:t>Ap</w:t>
      </w:r>
      <w:r w:rsidR="00F77439" w:rsidRPr="002E7761">
        <w:rPr>
          <w:rFonts w:ascii="Times New Roman" w:eastAsia="Times New Roman" w:hAnsi="Times New Roman" w:cs="Times New Roman"/>
          <w:sz w:val="24"/>
          <w:szCs w:val="24"/>
        </w:rPr>
        <w:t>alutamide</w:t>
      </w:r>
      <w:proofErr w:type="spellEnd"/>
      <w:r w:rsidR="00F77439" w:rsidRPr="002E7761">
        <w:rPr>
          <w:rFonts w:ascii="Times New Roman" w:eastAsia="Times New Roman" w:hAnsi="Times New Roman" w:cs="Times New Roman"/>
          <w:sz w:val="24"/>
          <w:szCs w:val="24"/>
        </w:rPr>
        <w:t xml:space="preserve"> interactions with AR-V7.</w:t>
      </w:r>
    </w:p>
    <w:p w:rsidR="00F77439" w:rsidRPr="002E7761" w:rsidRDefault="00F77439" w:rsidP="00F77439">
      <w:pPr>
        <w:spacing w:after="0"/>
        <w:jc w:val="both"/>
        <w:rPr>
          <w:rFonts w:ascii="Times New Roman" w:eastAsia="Times New Roman" w:hAnsi="Times New Roman" w:cs="Times New Roman"/>
          <w:sz w:val="24"/>
          <w:szCs w:val="24"/>
        </w:rPr>
      </w:pPr>
    </w:p>
    <w:tbl>
      <w:tblPr>
        <w:tblW w:w="9360" w:type="dxa"/>
        <w:tblLayout w:type="fixed"/>
        <w:tblLook w:val="0600" w:firstRow="0" w:lastRow="0" w:firstColumn="0" w:lastColumn="0" w:noHBand="1" w:noVBand="1"/>
      </w:tblPr>
      <w:tblGrid>
        <w:gridCol w:w="4680"/>
        <w:gridCol w:w="4680"/>
      </w:tblGrid>
      <w:tr w:rsidR="00F77439" w:rsidRPr="002E7761" w:rsidTr="001666F2">
        <w:tc>
          <w:tcPr>
            <w:tcW w:w="4680" w:type="dxa"/>
            <w:shd w:val="clear" w:color="auto" w:fill="auto"/>
            <w:tcMar>
              <w:top w:w="100" w:type="dxa"/>
              <w:left w:w="100" w:type="dxa"/>
              <w:bottom w:w="100" w:type="dxa"/>
              <w:right w:w="100" w:type="dxa"/>
            </w:tcMar>
          </w:tcPr>
          <w:p w:rsidR="00F77439" w:rsidRPr="002E7761" w:rsidRDefault="00F77439" w:rsidP="00EB7E61">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sidRPr="002E7761">
              <w:rPr>
                <w:rFonts w:ascii="Times New Roman" w:eastAsia="Times New Roman" w:hAnsi="Times New Roman" w:cs="Times New Roman"/>
                <w:noProof/>
                <w:sz w:val="24"/>
                <w:szCs w:val="24"/>
                <w:lang w:val="en-US"/>
              </w:rPr>
              <w:drawing>
                <wp:inline distT="114300" distB="114300" distL="114300" distR="114300" wp14:anchorId="24D8F966" wp14:editId="32E488D6">
                  <wp:extent cx="2813050" cy="2851150"/>
                  <wp:effectExtent l="0" t="0" r="6350" b="6350"/>
                  <wp:docPr id="1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rotWithShape="1">
                          <a:blip r:embed="rId41"/>
                          <a:srcRect r="894" b="1102"/>
                          <a:stretch/>
                        </pic:blipFill>
                        <pic:spPr bwMode="auto">
                          <a:xfrm>
                            <a:off x="0" y="0"/>
                            <a:ext cx="2813050" cy="2851150"/>
                          </a:xfrm>
                          <a:prstGeom prst="rect">
                            <a:avLst/>
                          </a:prstGeom>
                          <a:ln>
                            <a:noFill/>
                          </a:ln>
                          <a:extLst>
                            <a:ext uri="{53640926-AAD7-44D8-BBD7-CCE9431645EC}">
                              <a14:shadowObscured xmlns:a14="http://schemas.microsoft.com/office/drawing/2010/main"/>
                            </a:ext>
                          </a:extLst>
                        </pic:spPr>
                      </pic:pic>
                    </a:graphicData>
                  </a:graphic>
                </wp:inline>
              </w:drawing>
            </w:r>
          </w:p>
        </w:tc>
        <w:tc>
          <w:tcPr>
            <w:tcW w:w="4680" w:type="dxa"/>
            <w:shd w:val="clear" w:color="auto" w:fill="auto"/>
            <w:tcMar>
              <w:top w:w="100" w:type="dxa"/>
              <w:left w:w="100" w:type="dxa"/>
              <w:bottom w:w="100" w:type="dxa"/>
              <w:right w:w="100" w:type="dxa"/>
            </w:tcMar>
          </w:tcPr>
          <w:p w:rsidR="00F77439" w:rsidRPr="002E7761" w:rsidRDefault="00F77439" w:rsidP="00EB7E61">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sidRPr="002E7761">
              <w:rPr>
                <w:rFonts w:ascii="Times New Roman" w:eastAsia="Times New Roman" w:hAnsi="Times New Roman" w:cs="Times New Roman"/>
                <w:noProof/>
                <w:sz w:val="24"/>
                <w:szCs w:val="24"/>
                <w:lang w:val="en-US"/>
              </w:rPr>
              <w:drawing>
                <wp:inline distT="114300" distB="114300" distL="114300" distR="114300" wp14:anchorId="046237DD" wp14:editId="4705BCA7">
                  <wp:extent cx="2838450" cy="1409700"/>
                  <wp:effectExtent l="0" t="0" r="0" b="0"/>
                  <wp:docPr id="1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2"/>
                          <a:srcRect/>
                          <a:stretch>
                            <a:fillRect/>
                          </a:stretch>
                        </pic:blipFill>
                        <pic:spPr>
                          <a:xfrm>
                            <a:off x="0" y="0"/>
                            <a:ext cx="2838450" cy="1409700"/>
                          </a:xfrm>
                          <a:prstGeom prst="rect">
                            <a:avLst/>
                          </a:prstGeom>
                          <a:ln/>
                        </pic:spPr>
                      </pic:pic>
                    </a:graphicData>
                  </a:graphic>
                </wp:inline>
              </w:drawing>
            </w:r>
          </w:p>
        </w:tc>
      </w:tr>
    </w:tbl>
    <w:p w:rsidR="00F77439" w:rsidRPr="002E7761" w:rsidRDefault="00F77439" w:rsidP="00F77439">
      <w:pPr>
        <w:spacing w:after="0"/>
        <w:jc w:val="cente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 xml:space="preserve">(A): </w:t>
      </w:r>
      <w:r w:rsidR="001666F2">
        <w:rPr>
          <w:rFonts w:ascii="Times New Roman" w:hAnsi="Times New Roman" w:cs="Times New Roman"/>
          <w:sz w:val="24"/>
          <w:szCs w:val="24"/>
        </w:rPr>
        <w:t>COMP1</w:t>
      </w:r>
    </w:p>
    <w:p w:rsidR="00F77439" w:rsidRPr="002E7761" w:rsidRDefault="00F77439" w:rsidP="00F77439">
      <w:pPr>
        <w:spacing w:after="0"/>
        <w:jc w:val="both"/>
        <w:rPr>
          <w:rFonts w:ascii="Times New Roman" w:eastAsia="Times New Roman" w:hAnsi="Times New Roman" w:cs="Times New Roman"/>
          <w:sz w:val="24"/>
          <w:szCs w:val="24"/>
        </w:rPr>
      </w:pPr>
    </w:p>
    <w:p w:rsidR="00F77439" w:rsidRPr="002E7761" w:rsidRDefault="00F77439" w:rsidP="00F77439">
      <w:pPr>
        <w:spacing w:after="0"/>
        <w:jc w:val="both"/>
        <w:rPr>
          <w:rFonts w:ascii="Times New Roman" w:eastAsia="Times New Roman" w:hAnsi="Times New Roman" w:cs="Times New Roman"/>
          <w:sz w:val="24"/>
          <w:szCs w:val="24"/>
        </w:rPr>
      </w:pPr>
    </w:p>
    <w:p w:rsidR="00F77439" w:rsidRPr="002E7761" w:rsidRDefault="00F77439" w:rsidP="00F77439">
      <w:pPr>
        <w:spacing w:after="0"/>
        <w:jc w:val="both"/>
        <w:rPr>
          <w:rFonts w:ascii="Times New Roman" w:eastAsia="Times New Roman" w:hAnsi="Times New Roman" w:cs="Times New Roman"/>
          <w:sz w:val="24"/>
          <w:szCs w:val="24"/>
        </w:rPr>
      </w:pPr>
    </w:p>
    <w:p w:rsidR="00F77439" w:rsidRPr="002E7761" w:rsidRDefault="00F77439" w:rsidP="00F77439">
      <w:pPr>
        <w:spacing w:after="0"/>
        <w:jc w:val="both"/>
        <w:rPr>
          <w:rFonts w:ascii="Times New Roman" w:eastAsia="Times New Roman" w:hAnsi="Times New Roman" w:cs="Times New Roman"/>
          <w:sz w:val="24"/>
          <w:szCs w:val="24"/>
        </w:rPr>
      </w:pPr>
    </w:p>
    <w:tbl>
      <w:tblPr>
        <w:tblW w:w="9360" w:type="dxa"/>
        <w:tblLayout w:type="fixed"/>
        <w:tblLook w:val="0600" w:firstRow="0" w:lastRow="0" w:firstColumn="0" w:lastColumn="0" w:noHBand="1" w:noVBand="1"/>
      </w:tblPr>
      <w:tblGrid>
        <w:gridCol w:w="4680"/>
        <w:gridCol w:w="4680"/>
      </w:tblGrid>
      <w:tr w:rsidR="00F77439" w:rsidRPr="002E7761" w:rsidTr="001666F2">
        <w:tc>
          <w:tcPr>
            <w:tcW w:w="4680" w:type="dxa"/>
            <w:shd w:val="clear" w:color="auto" w:fill="auto"/>
            <w:tcMar>
              <w:top w:w="100" w:type="dxa"/>
              <w:left w:w="100" w:type="dxa"/>
              <w:bottom w:w="100" w:type="dxa"/>
              <w:right w:w="100" w:type="dxa"/>
            </w:tcMar>
          </w:tcPr>
          <w:p w:rsidR="00F77439" w:rsidRPr="002E7761" w:rsidRDefault="00F77439" w:rsidP="00EB7E61">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sidRPr="002E7761">
              <w:rPr>
                <w:rFonts w:ascii="Times New Roman" w:eastAsia="Times New Roman" w:hAnsi="Times New Roman" w:cs="Times New Roman"/>
                <w:noProof/>
                <w:sz w:val="24"/>
                <w:szCs w:val="24"/>
                <w:lang w:val="en-US"/>
              </w:rPr>
              <w:lastRenderedPageBreak/>
              <w:drawing>
                <wp:inline distT="114300" distB="114300" distL="114300" distR="114300" wp14:anchorId="42232251" wp14:editId="58E85A7C">
                  <wp:extent cx="2813050" cy="2863850"/>
                  <wp:effectExtent l="0" t="0" r="6350" b="0"/>
                  <wp:docPr id="24"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rotWithShape="1">
                          <a:blip r:embed="rId43"/>
                          <a:srcRect t="-1" r="894" b="661"/>
                          <a:stretch/>
                        </pic:blipFill>
                        <pic:spPr bwMode="auto">
                          <a:xfrm>
                            <a:off x="0" y="0"/>
                            <a:ext cx="2813050" cy="2863850"/>
                          </a:xfrm>
                          <a:prstGeom prst="rect">
                            <a:avLst/>
                          </a:prstGeom>
                          <a:ln>
                            <a:noFill/>
                          </a:ln>
                          <a:extLst>
                            <a:ext uri="{53640926-AAD7-44D8-BBD7-CCE9431645EC}">
                              <a14:shadowObscured xmlns:a14="http://schemas.microsoft.com/office/drawing/2010/main"/>
                            </a:ext>
                          </a:extLst>
                        </pic:spPr>
                      </pic:pic>
                    </a:graphicData>
                  </a:graphic>
                </wp:inline>
              </w:drawing>
            </w:r>
          </w:p>
        </w:tc>
        <w:tc>
          <w:tcPr>
            <w:tcW w:w="4680" w:type="dxa"/>
            <w:shd w:val="clear" w:color="auto" w:fill="auto"/>
            <w:tcMar>
              <w:top w:w="100" w:type="dxa"/>
              <w:left w:w="100" w:type="dxa"/>
              <w:bottom w:w="100" w:type="dxa"/>
              <w:right w:w="100" w:type="dxa"/>
            </w:tcMar>
          </w:tcPr>
          <w:p w:rsidR="00F77439" w:rsidRPr="002E7761" w:rsidRDefault="00F77439" w:rsidP="00EB7E61">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sidRPr="002E7761">
              <w:rPr>
                <w:rFonts w:ascii="Times New Roman" w:eastAsia="Times New Roman" w:hAnsi="Times New Roman" w:cs="Times New Roman"/>
                <w:noProof/>
                <w:sz w:val="24"/>
                <w:szCs w:val="24"/>
                <w:lang w:val="en-US"/>
              </w:rPr>
              <w:drawing>
                <wp:inline distT="114300" distB="114300" distL="114300" distR="114300" wp14:anchorId="64E437D0" wp14:editId="223E0E91">
                  <wp:extent cx="2838450" cy="1409700"/>
                  <wp:effectExtent l="0" t="0" r="0" b="0"/>
                  <wp:docPr id="1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44"/>
                          <a:srcRect/>
                          <a:stretch>
                            <a:fillRect/>
                          </a:stretch>
                        </pic:blipFill>
                        <pic:spPr>
                          <a:xfrm>
                            <a:off x="0" y="0"/>
                            <a:ext cx="2838450" cy="1409700"/>
                          </a:xfrm>
                          <a:prstGeom prst="rect">
                            <a:avLst/>
                          </a:prstGeom>
                          <a:ln/>
                        </pic:spPr>
                      </pic:pic>
                    </a:graphicData>
                  </a:graphic>
                </wp:inline>
              </w:drawing>
            </w:r>
          </w:p>
        </w:tc>
      </w:tr>
    </w:tbl>
    <w:p w:rsidR="00F77439" w:rsidRPr="002E7761" w:rsidRDefault="00F77439" w:rsidP="00F77439">
      <w:pPr>
        <w:spacing w:after="0"/>
        <w:jc w:val="cente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 xml:space="preserve">(B): </w:t>
      </w:r>
      <w:r w:rsidR="001666F2">
        <w:rPr>
          <w:rFonts w:ascii="Times New Roman" w:hAnsi="Times New Roman" w:cs="Times New Roman"/>
          <w:sz w:val="24"/>
          <w:szCs w:val="24"/>
        </w:rPr>
        <w:t>COMP2</w:t>
      </w:r>
    </w:p>
    <w:p w:rsidR="00F77439" w:rsidRPr="002E7761" w:rsidRDefault="00F77439" w:rsidP="00F77439">
      <w:pPr>
        <w:spacing w:after="0"/>
        <w:jc w:val="both"/>
        <w:rPr>
          <w:rFonts w:ascii="Times New Roman" w:eastAsia="Times New Roman" w:hAnsi="Times New Roman" w:cs="Times New Roman"/>
          <w:sz w:val="24"/>
          <w:szCs w:val="24"/>
        </w:rPr>
      </w:pPr>
    </w:p>
    <w:tbl>
      <w:tblPr>
        <w:tblW w:w="9360" w:type="dxa"/>
        <w:tblLayout w:type="fixed"/>
        <w:tblLook w:val="0600" w:firstRow="0" w:lastRow="0" w:firstColumn="0" w:lastColumn="0" w:noHBand="1" w:noVBand="1"/>
      </w:tblPr>
      <w:tblGrid>
        <w:gridCol w:w="4680"/>
        <w:gridCol w:w="4680"/>
      </w:tblGrid>
      <w:tr w:rsidR="00F77439" w:rsidRPr="002E7761" w:rsidTr="001666F2">
        <w:tc>
          <w:tcPr>
            <w:tcW w:w="4680" w:type="dxa"/>
            <w:shd w:val="clear" w:color="auto" w:fill="auto"/>
            <w:tcMar>
              <w:top w:w="100" w:type="dxa"/>
              <w:left w:w="100" w:type="dxa"/>
              <w:bottom w:w="100" w:type="dxa"/>
              <w:right w:w="100" w:type="dxa"/>
            </w:tcMar>
          </w:tcPr>
          <w:p w:rsidR="00F77439" w:rsidRPr="002E7761" w:rsidRDefault="00F77439" w:rsidP="00EB7E61">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sidRPr="002E7761">
              <w:rPr>
                <w:rFonts w:ascii="Times New Roman" w:eastAsia="Times New Roman" w:hAnsi="Times New Roman" w:cs="Times New Roman"/>
                <w:noProof/>
                <w:sz w:val="24"/>
                <w:szCs w:val="24"/>
                <w:lang w:val="en-US"/>
              </w:rPr>
              <w:drawing>
                <wp:inline distT="114300" distB="114300" distL="114300" distR="114300" wp14:anchorId="41C188A6" wp14:editId="38A41615">
                  <wp:extent cx="2794000" cy="2857500"/>
                  <wp:effectExtent l="0" t="0" r="6350" b="0"/>
                  <wp:docPr id="2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rotWithShape="1">
                          <a:blip r:embed="rId45"/>
                          <a:srcRect l="1" t="1" r="1566" b="881"/>
                          <a:stretch/>
                        </pic:blipFill>
                        <pic:spPr bwMode="auto">
                          <a:xfrm>
                            <a:off x="0" y="0"/>
                            <a:ext cx="2794000" cy="2857500"/>
                          </a:xfrm>
                          <a:prstGeom prst="rect">
                            <a:avLst/>
                          </a:prstGeom>
                          <a:ln>
                            <a:noFill/>
                          </a:ln>
                          <a:extLst>
                            <a:ext uri="{53640926-AAD7-44D8-BBD7-CCE9431645EC}">
                              <a14:shadowObscured xmlns:a14="http://schemas.microsoft.com/office/drawing/2010/main"/>
                            </a:ext>
                          </a:extLst>
                        </pic:spPr>
                      </pic:pic>
                    </a:graphicData>
                  </a:graphic>
                </wp:inline>
              </w:drawing>
            </w:r>
          </w:p>
        </w:tc>
        <w:tc>
          <w:tcPr>
            <w:tcW w:w="4680" w:type="dxa"/>
            <w:shd w:val="clear" w:color="auto" w:fill="auto"/>
            <w:tcMar>
              <w:top w:w="100" w:type="dxa"/>
              <w:left w:w="100" w:type="dxa"/>
              <w:bottom w:w="100" w:type="dxa"/>
              <w:right w:w="100" w:type="dxa"/>
            </w:tcMar>
          </w:tcPr>
          <w:p w:rsidR="00F77439" w:rsidRPr="002E7761" w:rsidRDefault="00F77439" w:rsidP="00EB7E61">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sidRPr="002E7761">
              <w:rPr>
                <w:rFonts w:ascii="Times New Roman" w:eastAsia="Times New Roman" w:hAnsi="Times New Roman" w:cs="Times New Roman"/>
                <w:noProof/>
                <w:sz w:val="24"/>
                <w:szCs w:val="24"/>
                <w:lang w:val="en-US"/>
              </w:rPr>
              <w:drawing>
                <wp:inline distT="114300" distB="114300" distL="114300" distR="114300" wp14:anchorId="09EFEBF0" wp14:editId="543B1487">
                  <wp:extent cx="2838450" cy="1409700"/>
                  <wp:effectExtent l="0" t="0" r="0" b="0"/>
                  <wp:docPr id="2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46"/>
                          <a:srcRect/>
                          <a:stretch>
                            <a:fillRect/>
                          </a:stretch>
                        </pic:blipFill>
                        <pic:spPr>
                          <a:xfrm>
                            <a:off x="0" y="0"/>
                            <a:ext cx="2838450" cy="1409700"/>
                          </a:xfrm>
                          <a:prstGeom prst="rect">
                            <a:avLst/>
                          </a:prstGeom>
                          <a:ln/>
                        </pic:spPr>
                      </pic:pic>
                    </a:graphicData>
                  </a:graphic>
                </wp:inline>
              </w:drawing>
            </w:r>
          </w:p>
        </w:tc>
      </w:tr>
    </w:tbl>
    <w:p w:rsidR="00F77439" w:rsidRPr="002E7761" w:rsidRDefault="00F77439" w:rsidP="00F77439">
      <w:pPr>
        <w:spacing w:after="0"/>
        <w:jc w:val="cente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 xml:space="preserve">(C): </w:t>
      </w:r>
      <w:r w:rsidR="001666F2">
        <w:rPr>
          <w:rFonts w:ascii="Times New Roman" w:hAnsi="Times New Roman" w:cs="Times New Roman"/>
          <w:sz w:val="24"/>
          <w:szCs w:val="24"/>
        </w:rPr>
        <w:t>COMP3</w:t>
      </w:r>
    </w:p>
    <w:p w:rsidR="00F77439" w:rsidRPr="002E7761" w:rsidRDefault="00F77439" w:rsidP="00F77439">
      <w:pPr>
        <w:spacing w:after="0"/>
        <w:jc w:val="both"/>
        <w:rPr>
          <w:rFonts w:ascii="Times New Roman" w:eastAsia="Times New Roman" w:hAnsi="Times New Roman" w:cs="Times New Roman"/>
          <w:sz w:val="24"/>
          <w:szCs w:val="24"/>
        </w:rPr>
      </w:pPr>
    </w:p>
    <w:p w:rsidR="00F77439" w:rsidRPr="002E7761" w:rsidRDefault="00F77439" w:rsidP="00F77439">
      <w:pPr>
        <w:spacing w:after="0"/>
        <w:jc w:val="both"/>
        <w:rPr>
          <w:rFonts w:ascii="Times New Roman" w:eastAsia="Times New Roman" w:hAnsi="Times New Roman" w:cs="Times New Roman"/>
          <w:sz w:val="24"/>
          <w:szCs w:val="24"/>
        </w:rPr>
      </w:pPr>
    </w:p>
    <w:p w:rsidR="00F77439" w:rsidRPr="002E7761" w:rsidRDefault="00F77439" w:rsidP="00F77439">
      <w:pPr>
        <w:spacing w:after="0"/>
        <w:jc w:val="both"/>
        <w:rPr>
          <w:rFonts w:ascii="Times New Roman" w:eastAsia="Times New Roman" w:hAnsi="Times New Roman" w:cs="Times New Roman"/>
          <w:sz w:val="24"/>
          <w:szCs w:val="24"/>
        </w:rPr>
      </w:pPr>
    </w:p>
    <w:tbl>
      <w:tblPr>
        <w:tblW w:w="9360" w:type="dxa"/>
        <w:tblLayout w:type="fixed"/>
        <w:tblLook w:val="0600" w:firstRow="0" w:lastRow="0" w:firstColumn="0" w:lastColumn="0" w:noHBand="1" w:noVBand="1"/>
      </w:tblPr>
      <w:tblGrid>
        <w:gridCol w:w="4680"/>
        <w:gridCol w:w="4680"/>
      </w:tblGrid>
      <w:tr w:rsidR="00F77439" w:rsidRPr="002E7761" w:rsidTr="001666F2">
        <w:tc>
          <w:tcPr>
            <w:tcW w:w="4680" w:type="dxa"/>
            <w:shd w:val="clear" w:color="auto" w:fill="auto"/>
            <w:tcMar>
              <w:top w:w="100" w:type="dxa"/>
              <w:left w:w="100" w:type="dxa"/>
              <w:bottom w:w="100" w:type="dxa"/>
              <w:right w:w="100" w:type="dxa"/>
            </w:tcMar>
          </w:tcPr>
          <w:p w:rsidR="00F77439" w:rsidRPr="002E7761" w:rsidRDefault="00F77439" w:rsidP="00EB7E61">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sidRPr="002E7761">
              <w:rPr>
                <w:rFonts w:ascii="Times New Roman" w:eastAsia="Times New Roman" w:hAnsi="Times New Roman" w:cs="Times New Roman"/>
                <w:noProof/>
                <w:sz w:val="24"/>
                <w:szCs w:val="24"/>
                <w:lang w:val="en-US"/>
              </w:rPr>
              <w:lastRenderedPageBreak/>
              <w:drawing>
                <wp:inline distT="114300" distB="114300" distL="114300" distR="114300" wp14:anchorId="798F5DAD" wp14:editId="0C099F80">
                  <wp:extent cx="2800350" cy="2876550"/>
                  <wp:effectExtent l="0" t="0" r="0" b="0"/>
                  <wp:docPr id="26"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rotWithShape="1">
                          <a:blip r:embed="rId47"/>
                          <a:srcRect l="1" t="1" r="1342" b="220"/>
                          <a:stretch/>
                        </pic:blipFill>
                        <pic:spPr bwMode="auto">
                          <a:xfrm>
                            <a:off x="0" y="0"/>
                            <a:ext cx="2800350" cy="2876550"/>
                          </a:xfrm>
                          <a:prstGeom prst="rect">
                            <a:avLst/>
                          </a:prstGeom>
                          <a:ln>
                            <a:noFill/>
                          </a:ln>
                          <a:extLst>
                            <a:ext uri="{53640926-AAD7-44D8-BBD7-CCE9431645EC}">
                              <a14:shadowObscured xmlns:a14="http://schemas.microsoft.com/office/drawing/2010/main"/>
                            </a:ext>
                          </a:extLst>
                        </pic:spPr>
                      </pic:pic>
                    </a:graphicData>
                  </a:graphic>
                </wp:inline>
              </w:drawing>
            </w:r>
          </w:p>
        </w:tc>
        <w:tc>
          <w:tcPr>
            <w:tcW w:w="4680" w:type="dxa"/>
            <w:shd w:val="clear" w:color="auto" w:fill="auto"/>
            <w:tcMar>
              <w:top w:w="100" w:type="dxa"/>
              <w:left w:w="100" w:type="dxa"/>
              <w:bottom w:w="100" w:type="dxa"/>
              <w:right w:w="100" w:type="dxa"/>
            </w:tcMar>
          </w:tcPr>
          <w:p w:rsidR="00F77439" w:rsidRPr="002E7761" w:rsidRDefault="00F77439" w:rsidP="00EB7E61">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sidRPr="002E7761">
              <w:rPr>
                <w:rFonts w:ascii="Times New Roman" w:eastAsia="Times New Roman" w:hAnsi="Times New Roman" w:cs="Times New Roman"/>
                <w:noProof/>
                <w:sz w:val="24"/>
                <w:szCs w:val="24"/>
                <w:lang w:val="en-US"/>
              </w:rPr>
              <w:drawing>
                <wp:inline distT="114300" distB="114300" distL="114300" distR="114300" wp14:anchorId="6838A978" wp14:editId="60CA54BB">
                  <wp:extent cx="2838450" cy="1409700"/>
                  <wp:effectExtent l="0" t="0" r="0" b="0"/>
                  <wp:docPr id="28"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48"/>
                          <a:srcRect/>
                          <a:stretch>
                            <a:fillRect/>
                          </a:stretch>
                        </pic:blipFill>
                        <pic:spPr>
                          <a:xfrm>
                            <a:off x="0" y="0"/>
                            <a:ext cx="2838450" cy="1409700"/>
                          </a:xfrm>
                          <a:prstGeom prst="rect">
                            <a:avLst/>
                          </a:prstGeom>
                          <a:ln/>
                        </pic:spPr>
                      </pic:pic>
                    </a:graphicData>
                  </a:graphic>
                </wp:inline>
              </w:drawing>
            </w:r>
          </w:p>
        </w:tc>
      </w:tr>
    </w:tbl>
    <w:p w:rsidR="00F77439" w:rsidRPr="002E7761" w:rsidRDefault="00F77439" w:rsidP="00F77439">
      <w:pPr>
        <w:spacing w:after="0"/>
        <w:jc w:val="cente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 xml:space="preserve">(D): </w:t>
      </w:r>
      <w:r w:rsidR="001666F2">
        <w:rPr>
          <w:rFonts w:ascii="Times New Roman" w:hAnsi="Times New Roman" w:cs="Times New Roman"/>
          <w:sz w:val="24"/>
          <w:szCs w:val="24"/>
        </w:rPr>
        <w:t>COMP4</w:t>
      </w:r>
    </w:p>
    <w:p w:rsidR="00F77439" w:rsidRPr="002E7761" w:rsidRDefault="00F77439" w:rsidP="00F77439">
      <w:pPr>
        <w:spacing w:after="0"/>
        <w:jc w:val="both"/>
        <w:rPr>
          <w:rFonts w:ascii="Times New Roman" w:eastAsia="Times New Roman" w:hAnsi="Times New Roman" w:cs="Times New Roman"/>
          <w:sz w:val="24"/>
          <w:szCs w:val="24"/>
        </w:rPr>
      </w:pPr>
    </w:p>
    <w:tbl>
      <w:tblPr>
        <w:tblW w:w="9360" w:type="dxa"/>
        <w:tblLayout w:type="fixed"/>
        <w:tblLook w:val="0600" w:firstRow="0" w:lastRow="0" w:firstColumn="0" w:lastColumn="0" w:noHBand="1" w:noVBand="1"/>
      </w:tblPr>
      <w:tblGrid>
        <w:gridCol w:w="4680"/>
        <w:gridCol w:w="4680"/>
      </w:tblGrid>
      <w:tr w:rsidR="00F77439" w:rsidRPr="002E7761" w:rsidTr="001666F2">
        <w:tc>
          <w:tcPr>
            <w:tcW w:w="4680" w:type="dxa"/>
            <w:shd w:val="clear" w:color="auto" w:fill="auto"/>
            <w:tcMar>
              <w:top w:w="100" w:type="dxa"/>
              <w:left w:w="100" w:type="dxa"/>
              <w:bottom w:w="100" w:type="dxa"/>
              <w:right w:w="100" w:type="dxa"/>
            </w:tcMar>
          </w:tcPr>
          <w:p w:rsidR="00F77439" w:rsidRPr="002E7761" w:rsidRDefault="00F77439" w:rsidP="00EB7E61">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sidRPr="002E7761">
              <w:rPr>
                <w:rFonts w:ascii="Times New Roman" w:eastAsia="Times New Roman" w:hAnsi="Times New Roman" w:cs="Times New Roman"/>
                <w:noProof/>
                <w:sz w:val="24"/>
                <w:szCs w:val="24"/>
                <w:lang w:val="en-US"/>
              </w:rPr>
              <w:drawing>
                <wp:inline distT="114300" distB="114300" distL="114300" distR="114300" wp14:anchorId="4D21789A" wp14:editId="181C90A7">
                  <wp:extent cx="2800350" cy="2876550"/>
                  <wp:effectExtent l="0" t="0" r="0" b="0"/>
                  <wp:docPr id="37"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rotWithShape="1">
                          <a:blip r:embed="rId49"/>
                          <a:srcRect l="1" t="1" r="1342" b="220"/>
                          <a:stretch/>
                        </pic:blipFill>
                        <pic:spPr bwMode="auto">
                          <a:xfrm>
                            <a:off x="0" y="0"/>
                            <a:ext cx="2800350" cy="2876550"/>
                          </a:xfrm>
                          <a:prstGeom prst="rect">
                            <a:avLst/>
                          </a:prstGeom>
                          <a:ln>
                            <a:noFill/>
                          </a:ln>
                          <a:extLst>
                            <a:ext uri="{53640926-AAD7-44D8-BBD7-CCE9431645EC}">
                              <a14:shadowObscured xmlns:a14="http://schemas.microsoft.com/office/drawing/2010/main"/>
                            </a:ext>
                          </a:extLst>
                        </pic:spPr>
                      </pic:pic>
                    </a:graphicData>
                  </a:graphic>
                </wp:inline>
              </w:drawing>
            </w:r>
          </w:p>
        </w:tc>
        <w:tc>
          <w:tcPr>
            <w:tcW w:w="4680" w:type="dxa"/>
            <w:shd w:val="clear" w:color="auto" w:fill="auto"/>
            <w:tcMar>
              <w:top w:w="100" w:type="dxa"/>
              <w:left w:w="100" w:type="dxa"/>
              <w:bottom w:w="100" w:type="dxa"/>
              <w:right w:w="100" w:type="dxa"/>
            </w:tcMar>
          </w:tcPr>
          <w:p w:rsidR="00F77439" w:rsidRPr="002E7761" w:rsidRDefault="00F77439" w:rsidP="00EB7E61">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sidRPr="002E7761">
              <w:rPr>
                <w:rFonts w:ascii="Times New Roman" w:eastAsia="Times New Roman" w:hAnsi="Times New Roman" w:cs="Times New Roman"/>
                <w:noProof/>
                <w:sz w:val="24"/>
                <w:szCs w:val="24"/>
                <w:lang w:val="en-US"/>
              </w:rPr>
              <w:drawing>
                <wp:inline distT="114300" distB="114300" distL="114300" distR="114300" wp14:anchorId="1AE60EF1" wp14:editId="06D7F6D7">
                  <wp:extent cx="2838450" cy="1409700"/>
                  <wp:effectExtent l="0" t="0" r="0" b="0"/>
                  <wp:docPr id="38"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50"/>
                          <a:srcRect/>
                          <a:stretch>
                            <a:fillRect/>
                          </a:stretch>
                        </pic:blipFill>
                        <pic:spPr>
                          <a:xfrm>
                            <a:off x="0" y="0"/>
                            <a:ext cx="2838450" cy="1409700"/>
                          </a:xfrm>
                          <a:prstGeom prst="rect">
                            <a:avLst/>
                          </a:prstGeom>
                          <a:ln/>
                        </pic:spPr>
                      </pic:pic>
                    </a:graphicData>
                  </a:graphic>
                </wp:inline>
              </w:drawing>
            </w:r>
          </w:p>
        </w:tc>
      </w:tr>
    </w:tbl>
    <w:p w:rsidR="00F77439" w:rsidRPr="002E7761" w:rsidRDefault="00F77439" w:rsidP="00F77439">
      <w:pPr>
        <w:spacing w:after="0"/>
        <w:jc w:val="cente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 xml:space="preserve">(E): </w:t>
      </w:r>
      <w:proofErr w:type="spellStart"/>
      <w:r w:rsidRPr="002E7761">
        <w:rPr>
          <w:rFonts w:ascii="Times New Roman" w:eastAsia="Times New Roman" w:hAnsi="Times New Roman" w:cs="Times New Roman"/>
          <w:sz w:val="24"/>
          <w:szCs w:val="24"/>
        </w:rPr>
        <w:t>Apalutamide</w:t>
      </w:r>
      <w:proofErr w:type="spellEnd"/>
    </w:p>
    <w:p w:rsidR="00F77439" w:rsidRPr="002E7761" w:rsidRDefault="00F77439" w:rsidP="00F77439">
      <w:pPr>
        <w:spacing w:after="0"/>
        <w:jc w:val="both"/>
        <w:rPr>
          <w:rFonts w:ascii="Times New Roman" w:eastAsia="Times New Roman" w:hAnsi="Times New Roman" w:cs="Times New Roman"/>
          <w:sz w:val="24"/>
          <w:szCs w:val="24"/>
        </w:rPr>
      </w:pPr>
    </w:p>
    <w:p w:rsidR="00F77439" w:rsidRPr="002E7761" w:rsidRDefault="008E0532" w:rsidP="00F77439">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Figure 13</w:t>
      </w:r>
      <w:r w:rsidR="00F77439" w:rsidRPr="002E7761">
        <w:rPr>
          <w:rFonts w:ascii="Times New Roman" w:eastAsia="Times New Roman" w:hAnsi="Times New Roman" w:cs="Times New Roman"/>
          <w:sz w:val="24"/>
          <w:szCs w:val="24"/>
        </w:rPr>
        <w:t>. The</w:t>
      </w:r>
      <w:r w:rsidR="0066480D">
        <w:rPr>
          <w:rFonts w:ascii="Times New Roman" w:eastAsia="Times New Roman" w:hAnsi="Times New Roman" w:cs="Times New Roman"/>
          <w:sz w:val="24"/>
          <w:szCs w:val="24"/>
        </w:rPr>
        <w:t xml:space="preserve"> views in 2D and 3D </w:t>
      </w:r>
      <w:r w:rsidR="00F77439" w:rsidRPr="002E7761">
        <w:rPr>
          <w:rFonts w:ascii="Times New Roman" w:eastAsia="Times New Roman" w:hAnsi="Times New Roman" w:cs="Times New Roman"/>
          <w:sz w:val="24"/>
          <w:szCs w:val="24"/>
        </w:rPr>
        <w:t xml:space="preserve">of </w:t>
      </w:r>
      <w:r w:rsidR="001666F2">
        <w:rPr>
          <w:rFonts w:ascii="Times New Roman" w:hAnsi="Times New Roman" w:cs="Times New Roman"/>
          <w:sz w:val="24"/>
          <w:szCs w:val="24"/>
        </w:rPr>
        <w:t>COMP1, COMP2, COMP3, COMP4 and</w:t>
      </w:r>
      <w:r w:rsidR="00D772A9">
        <w:rPr>
          <w:rFonts w:ascii="Times New Roman" w:eastAsia="Times New Roman" w:hAnsi="Times New Roman" w:cs="Times New Roman"/>
          <w:sz w:val="24"/>
          <w:szCs w:val="24"/>
        </w:rPr>
        <w:t xml:space="preserve"> </w:t>
      </w:r>
      <w:proofErr w:type="spellStart"/>
      <w:r w:rsidR="00D772A9">
        <w:rPr>
          <w:rFonts w:ascii="Times New Roman" w:eastAsia="Times New Roman" w:hAnsi="Times New Roman" w:cs="Times New Roman"/>
          <w:sz w:val="24"/>
          <w:szCs w:val="24"/>
        </w:rPr>
        <w:t>Ap</w:t>
      </w:r>
      <w:r w:rsidR="00F77439" w:rsidRPr="002E7761">
        <w:rPr>
          <w:rFonts w:ascii="Times New Roman" w:eastAsia="Times New Roman" w:hAnsi="Times New Roman" w:cs="Times New Roman"/>
          <w:sz w:val="24"/>
          <w:szCs w:val="24"/>
        </w:rPr>
        <w:t>alutamide</w:t>
      </w:r>
      <w:proofErr w:type="spellEnd"/>
      <w:r w:rsidR="00F77439" w:rsidRPr="002E7761">
        <w:rPr>
          <w:rFonts w:ascii="Times New Roman" w:eastAsia="Times New Roman" w:hAnsi="Times New Roman" w:cs="Times New Roman"/>
          <w:sz w:val="24"/>
          <w:szCs w:val="24"/>
        </w:rPr>
        <w:t xml:space="preserve"> interactions with AR-V7. </w:t>
      </w:r>
    </w:p>
    <w:p w:rsidR="00F77439" w:rsidRPr="002E7761" w:rsidRDefault="00D84CF6" w:rsidP="006D3376">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4.2.5 </w:t>
      </w:r>
      <w:r w:rsidR="00F77439" w:rsidRPr="002E7761">
        <w:rPr>
          <w:rFonts w:ascii="Times New Roman" w:eastAsia="Times New Roman" w:hAnsi="Times New Roman" w:cs="Times New Roman"/>
          <w:b/>
          <w:sz w:val="24"/>
          <w:szCs w:val="24"/>
        </w:rPr>
        <w:t>Predicted molecular adsorption, metabolism, and toxicity profiles of the isolated compounds</w:t>
      </w:r>
    </w:p>
    <w:p w:rsidR="00F77439" w:rsidRPr="002E7761" w:rsidRDefault="00122917" w:rsidP="006D337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Table 7, Table 8, and Table 9</w:t>
      </w:r>
      <w:r w:rsidR="00F77439" w:rsidRPr="002E7761">
        <w:rPr>
          <w:rFonts w:ascii="Times New Roman" w:eastAsia="Times New Roman" w:hAnsi="Times New Roman" w:cs="Times New Roman"/>
          <w:sz w:val="24"/>
          <w:szCs w:val="24"/>
        </w:rPr>
        <w:t xml:space="preserve">: Predicted molecular adsorption, metabolism, and toxicity profiles of the isolated compounds. These tables provide insights into the predicted molecular adsorption, metabolism, and toxicity profiles of the isolated compounds. This includes </w:t>
      </w:r>
      <w:r w:rsidR="00F77439" w:rsidRPr="002E7761">
        <w:rPr>
          <w:rFonts w:ascii="Times New Roman" w:eastAsia="Times New Roman" w:hAnsi="Times New Roman" w:cs="Times New Roman"/>
          <w:sz w:val="24"/>
          <w:szCs w:val="24"/>
        </w:rPr>
        <w:lastRenderedPageBreak/>
        <w:t>assessments related to intestinal absorption, skin permeability, P-glycoprotein substrate and inhibitor status, as well as potential toxicity indicators. The results aid in understanding the therapeutic potential and safety profiles of the compounds.</w:t>
      </w:r>
    </w:p>
    <w:p w:rsidR="00F77439" w:rsidRPr="002E7761" w:rsidRDefault="00F77439" w:rsidP="00F77439">
      <w:pPr>
        <w:spacing w:after="0"/>
        <w:jc w:val="both"/>
        <w:rPr>
          <w:rFonts w:ascii="Times New Roman" w:eastAsia="Times New Roman" w:hAnsi="Times New Roman" w:cs="Times New Roman"/>
          <w:sz w:val="24"/>
          <w:szCs w:val="24"/>
        </w:rPr>
      </w:pPr>
    </w:p>
    <w:p w:rsidR="00F77439" w:rsidRPr="0066480D" w:rsidRDefault="00BA6281" w:rsidP="00F77439">
      <w:pPr>
        <w:spacing w:after="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Table 7</w:t>
      </w:r>
      <w:r w:rsidR="00F77439" w:rsidRPr="002E7761">
        <w:rPr>
          <w:rFonts w:ascii="Times New Roman" w:eastAsia="Times New Roman" w:hAnsi="Times New Roman" w:cs="Times New Roman"/>
          <w:sz w:val="24"/>
          <w:szCs w:val="24"/>
        </w:rPr>
        <w:t xml:space="preserve">. </w:t>
      </w:r>
      <w:r w:rsidR="0066480D" w:rsidRPr="0066480D">
        <w:rPr>
          <w:rFonts w:ascii="Times New Roman" w:eastAsia="Times New Roman" w:hAnsi="Times New Roman" w:cs="Times New Roman"/>
          <w:sz w:val="24"/>
          <w:szCs w:val="24"/>
          <w:lang w:val="en-US"/>
        </w:rPr>
        <w:t xml:space="preserve">Estimated molecular adsorption profile of specific pure </w:t>
      </w:r>
      <w:proofErr w:type="spellStart"/>
      <w:r w:rsidR="0066480D" w:rsidRPr="00C126ED">
        <w:rPr>
          <w:rFonts w:ascii="Times New Roman" w:eastAsia="Times New Roman" w:hAnsi="Times New Roman" w:cs="Times New Roman"/>
          <w:i/>
          <w:sz w:val="24"/>
          <w:szCs w:val="24"/>
          <w:lang w:val="en-US"/>
        </w:rPr>
        <w:t>Caesalpinia</w:t>
      </w:r>
      <w:proofErr w:type="spellEnd"/>
      <w:r w:rsidR="0066480D" w:rsidRPr="00C126ED">
        <w:rPr>
          <w:rFonts w:ascii="Times New Roman" w:eastAsia="Times New Roman" w:hAnsi="Times New Roman" w:cs="Times New Roman"/>
          <w:i/>
          <w:sz w:val="24"/>
          <w:szCs w:val="24"/>
          <w:lang w:val="en-US"/>
        </w:rPr>
        <w:t xml:space="preserve"> </w:t>
      </w:r>
      <w:proofErr w:type="spellStart"/>
      <w:r w:rsidR="0066480D" w:rsidRPr="00C126ED">
        <w:rPr>
          <w:rFonts w:ascii="Times New Roman" w:eastAsia="Times New Roman" w:hAnsi="Times New Roman" w:cs="Times New Roman"/>
          <w:i/>
          <w:sz w:val="24"/>
          <w:szCs w:val="24"/>
          <w:lang w:val="en-US"/>
        </w:rPr>
        <w:t>bonduc</w:t>
      </w:r>
      <w:proofErr w:type="spellEnd"/>
      <w:r w:rsidR="0066480D" w:rsidRPr="0066480D">
        <w:rPr>
          <w:rFonts w:ascii="Times New Roman" w:eastAsia="Times New Roman" w:hAnsi="Times New Roman" w:cs="Times New Roman"/>
          <w:sz w:val="24"/>
          <w:szCs w:val="24"/>
          <w:lang w:val="en-US"/>
        </w:rPr>
        <w:t xml:space="preserve"> chemicals and the reference</w:t>
      </w:r>
      <w:r w:rsidR="0066480D">
        <w:rPr>
          <w:rFonts w:ascii="Times New Roman" w:eastAsia="Times New Roman" w:hAnsi="Times New Roman" w:cs="Times New Roman"/>
          <w:sz w:val="24"/>
          <w:szCs w:val="24"/>
          <w:lang w:val="en-US"/>
        </w:rPr>
        <w:t>.</w:t>
      </w:r>
    </w:p>
    <w:p w:rsidR="00F77439" w:rsidRPr="002E7761" w:rsidRDefault="00F77439" w:rsidP="00F77439">
      <w:pPr>
        <w:spacing w:after="0"/>
        <w:rPr>
          <w:rFonts w:ascii="Times New Roman" w:eastAsia="Times New Roman" w:hAnsi="Times New Roman" w:cs="Times New Roman"/>
          <w:sz w:val="24"/>
          <w:szCs w:val="24"/>
        </w:rPr>
      </w:pPr>
    </w:p>
    <w:tbl>
      <w:tblPr>
        <w:tblStyle w:val="ListTable21"/>
        <w:tblW w:w="5000" w:type="pct"/>
        <w:tblBorders>
          <w:top w:val="single" w:sz="12" w:space="0" w:color="auto"/>
          <w:bottom w:val="single" w:sz="12" w:space="0" w:color="auto"/>
          <w:insideH w:val="none" w:sz="0" w:space="0" w:color="auto"/>
        </w:tblBorders>
        <w:tblLayout w:type="fixed"/>
        <w:tblLook w:val="0600" w:firstRow="0" w:lastRow="0" w:firstColumn="0" w:lastColumn="0" w:noHBand="1" w:noVBand="1"/>
      </w:tblPr>
      <w:tblGrid>
        <w:gridCol w:w="1914"/>
        <w:gridCol w:w="1459"/>
        <w:gridCol w:w="1442"/>
        <w:gridCol w:w="1404"/>
        <w:gridCol w:w="1404"/>
        <w:gridCol w:w="1403"/>
      </w:tblGrid>
      <w:tr w:rsidR="00F77439" w:rsidRPr="002E7761" w:rsidTr="00896B0D">
        <w:tc>
          <w:tcPr>
            <w:tcW w:w="1060" w:type="pct"/>
            <w:tcBorders>
              <w:top w:val="single" w:sz="12" w:space="0" w:color="auto"/>
              <w:bottom w:val="single" w:sz="12" w:space="0" w:color="auto"/>
            </w:tcBorders>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b/>
                <w:sz w:val="24"/>
                <w:szCs w:val="24"/>
              </w:rPr>
            </w:pPr>
            <w:r w:rsidRPr="002E7761">
              <w:rPr>
                <w:rFonts w:ascii="Times New Roman" w:eastAsia="Times New Roman" w:hAnsi="Times New Roman" w:cs="Times New Roman"/>
                <w:b/>
                <w:sz w:val="24"/>
                <w:szCs w:val="24"/>
              </w:rPr>
              <w:t>Compounds</w:t>
            </w:r>
          </w:p>
        </w:tc>
        <w:tc>
          <w:tcPr>
            <w:tcW w:w="808" w:type="pct"/>
            <w:tcBorders>
              <w:top w:val="single" w:sz="12" w:space="0" w:color="auto"/>
              <w:bottom w:val="single" w:sz="12" w:space="0" w:color="auto"/>
            </w:tcBorders>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b/>
                <w:sz w:val="24"/>
                <w:szCs w:val="24"/>
              </w:rPr>
            </w:pPr>
            <w:r w:rsidRPr="002E7761">
              <w:rPr>
                <w:rFonts w:ascii="Times New Roman" w:eastAsia="Arial" w:hAnsi="Times New Roman" w:cs="Times New Roman"/>
                <w:b/>
                <w:color w:val="333333"/>
                <w:sz w:val="24"/>
                <w:szCs w:val="24"/>
                <w:shd w:val="clear" w:color="auto" w:fill="F5F5F5"/>
              </w:rPr>
              <w:t>Intestinal absorption (human) (%Absorbed)</w:t>
            </w:r>
          </w:p>
        </w:tc>
        <w:tc>
          <w:tcPr>
            <w:tcW w:w="799" w:type="pct"/>
            <w:tcBorders>
              <w:top w:val="single" w:sz="12" w:space="0" w:color="auto"/>
              <w:bottom w:val="single" w:sz="12" w:space="0" w:color="auto"/>
            </w:tcBorders>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b/>
                <w:sz w:val="24"/>
                <w:szCs w:val="24"/>
              </w:rPr>
            </w:pPr>
            <w:r w:rsidRPr="002E7761">
              <w:rPr>
                <w:rFonts w:ascii="Times New Roman" w:eastAsia="Arial" w:hAnsi="Times New Roman" w:cs="Times New Roman"/>
                <w:b/>
                <w:color w:val="333333"/>
                <w:sz w:val="24"/>
                <w:szCs w:val="24"/>
                <w:shd w:val="clear" w:color="auto" w:fill="F5F5F5"/>
              </w:rPr>
              <w:t xml:space="preserve">Skin Permeability (log </w:t>
            </w:r>
            <w:proofErr w:type="spellStart"/>
            <w:r w:rsidRPr="002E7761">
              <w:rPr>
                <w:rFonts w:ascii="Times New Roman" w:eastAsia="Arial" w:hAnsi="Times New Roman" w:cs="Times New Roman"/>
                <w:b/>
                <w:color w:val="333333"/>
                <w:sz w:val="24"/>
                <w:szCs w:val="24"/>
                <w:shd w:val="clear" w:color="auto" w:fill="F5F5F5"/>
              </w:rPr>
              <w:t>Kp</w:t>
            </w:r>
            <w:proofErr w:type="spellEnd"/>
            <w:r w:rsidRPr="002E7761">
              <w:rPr>
                <w:rFonts w:ascii="Times New Roman" w:eastAsia="Arial" w:hAnsi="Times New Roman" w:cs="Times New Roman"/>
                <w:b/>
                <w:color w:val="333333"/>
                <w:sz w:val="24"/>
                <w:szCs w:val="24"/>
                <w:shd w:val="clear" w:color="auto" w:fill="F5F5F5"/>
              </w:rPr>
              <w:t>)</w:t>
            </w:r>
          </w:p>
        </w:tc>
        <w:tc>
          <w:tcPr>
            <w:tcW w:w="778" w:type="pct"/>
            <w:tcBorders>
              <w:top w:val="single" w:sz="12" w:space="0" w:color="auto"/>
              <w:bottom w:val="single" w:sz="12" w:space="0" w:color="auto"/>
            </w:tcBorders>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b/>
                <w:sz w:val="24"/>
                <w:szCs w:val="24"/>
              </w:rPr>
            </w:pPr>
            <w:r w:rsidRPr="002E7761">
              <w:rPr>
                <w:rFonts w:ascii="Times New Roman" w:eastAsia="Arial" w:hAnsi="Times New Roman" w:cs="Times New Roman"/>
                <w:b/>
                <w:color w:val="333333"/>
                <w:sz w:val="24"/>
                <w:szCs w:val="24"/>
                <w:shd w:val="clear" w:color="auto" w:fill="F5F5F5"/>
              </w:rPr>
              <w:t>P-glycoprotein substrate</w:t>
            </w:r>
          </w:p>
        </w:tc>
        <w:tc>
          <w:tcPr>
            <w:tcW w:w="778" w:type="pct"/>
            <w:tcBorders>
              <w:top w:val="single" w:sz="12" w:space="0" w:color="auto"/>
              <w:bottom w:val="single" w:sz="12" w:space="0" w:color="auto"/>
            </w:tcBorders>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b/>
                <w:sz w:val="24"/>
                <w:szCs w:val="24"/>
              </w:rPr>
            </w:pPr>
            <w:r w:rsidRPr="002E7761">
              <w:rPr>
                <w:rFonts w:ascii="Times New Roman" w:eastAsia="Arial" w:hAnsi="Times New Roman" w:cs="Times New Roman"/>
                <w:b/>
                <w:color w:val="333333"/>
                <w:sz w:val="24"/>
                <w:szCs w:val="24"/>
                <w:shd w:val="clear" w:color="auto" w:fill="F5F5F5"/>
              </w:rPr>
              <w:t>P-glycoprotein I inhibitor</w:t>
            </w:r>
          </w:p>
        </w:tc>
        <w:tc>
          <w:tcPr>
            <w:tcW w:w="778" w:type="pct"/>
            <w:tcBorders>
              <w:top w:val="single" w:sz="12" w:space="0" w:color="auto"/>
              <w:bottom w:val="single" w:sz="12" w:space="0" w:color="auto"/>
            </w:tcBorders>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b/>
                <w:sz w:val="24"/>
                <w:szCs w:val="24"/>
              </w:rPr>
            </w:pPr>
            <w:r w:rsidRPr="002E7761">
              <w:rPr>
                <w:rFonts w:ascii="Times New Roman" w:eastAsia="Arial" w:hAnsi="Times New Roman" w:cs="Times New Roman"/>
                <w:b/>
                <w:color w:val="333333"/>
                <w:sz w:val="24"/>
                <w:szCs w:val="24"/>
                <w:shd w:val="clear" w:color="auto" w:fill="F5F5F5"/>
              </w:rPr>
              <w:t>P-glycoprotein II inhibitor</w:t>
            </w:r>
          </w:p>
        </w:tc>
      </w:tr>
      <w:tr w:rsidR="00F77439" w:rsidRPr="002E7761" w:rsidTr="00896B0D">
        <w:tc>
          <w:tcPr>
            <w:tcW w:w="1060" w:type="pct"/>
            <w:tcBorders>
              <w:top w:val="single" w:sz="12" w:space="0" w:color="auto"/>
            </w:tcBorders>
          </w:tcPr>
          <w:p w:rsidR="00F77439" w:rsidRPr="0020784A" w:rsidRDefault="00896B0D" w:rsidP="00EB7E61">
            <w:pPr>
              <w:jc w:val="both"/>
              <w:rPr>
                <w:rFonts w:ascii="Times New Roman" w:hAnsi="Times New Roman" w:cs="Times New Roman"/>
                <w:sz w:val="24"/>
                <w:szCs w:val="24"/>
              </w:rPr>
            </w:pPr>
            <w:r w:rsidRPr="0020784A">
              <w:rPr>
                <w:rFonts w:ascii="Times New Roman" w:hAnsi="Times New Roman" w:cs="Times New Roman"/>
                <w:sz w:val="24"/>
                <w:szCs w:val="24"/>
              </w:rPr>
              <w:t>COMP1</w:t>
            </w:r>
          </w:p>
        </w:tc>
        <w:tc>
          <w:tcPr>
            <w:tcW w:w="808" w:type="pct"/>
            <w:tcBorders>
              <w:top w:val="single" w:sz="12" w:space="0" w:color="auto"/>
            </w:tcBorders>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91.81%</w:t>
            </w:r>
          </w:p>
        </w:tc>
        <w:tc>
          <w:tcPr>
            <w:tcW w:w="799" w:type="pct"/>
            <w:tcBorders>
              <w:top w:val="single" w:sz="12" w:space="0" w:color="auto"/>
            </w:tcBorders>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-2.79</w:t>
            </w:r>
          </w:p>
        </w:tc>
        <w:tc>
          <w:tcPr>
            <w:tcW w:w="778" w:type="pct"/>
            <w:tcBorders>
              <w:top w:val="single" w:sz="12" w:space="0" w:color="auto"/>
            </w:tcBorders>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778" w:type="pct"/>
            <w:tcBorders>
              <w:top w:val="single" w:sz="12" w:space="0" w:color="auto"/>
            </w:tcBorders>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c>
          <w:tcPr>
            <w:tcW w:w="778" w:type="pct"/>
            <w:tcBorders>
              <w:top w:val="single" w:sz="12" w:space="0" w:color="auto"/>
            </w:tcBorders>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r>
      <w:tr w:rsidR="00F77439" w:rsidRPr="002E7761" w:rsidTr="00896B0D">
        <w:tc>
          <w:tcPr>
            <w:tcW w:w="1060" w:type="pct"/>
          </w:tcPr>
          <w:p w:rsidR="00F77439" w:rsidRPr="0020784A" w:rsidRDefault="00896B0D" w:rsidP="00EB7E61">
            <w:pPr>
              <w:jc w:val="both"/>
              <w:rPr>
                <w:rFonts w:ascii="Times New Roman" w:hAnsi="Times New Roman" w:cs="Times New Roman"/>
                <w:sz w:val="24"/>
                <w:szCs w:val="24"/>
              </w:rPr>
            </w:pPr>
            <w:r w:rsidRPr="0020784A">
              <w:rPr>
                <w:rFonts w:ascii="Times New Roman" w:hAnsi="Times New Roman" w:cs="Times New Roman"/>
                <w:sz w:val="24"/>
                <w:szCs w:val="24"/>
              </w:rPr>
              <w:t>COMP2</w:t>
            </w:r>
          </w:p>
        </w:tc>
        <w:tc>
          <w:tcPr>
            <w:tcW w:w="808" w:type="pct"/>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94.95</w:t>
            </w:r>
          </w:p>
        </w:tc>
        <w:tc>
          <w:tcPr>
            <w:tcW w:w="799" w:type="pct"/>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-2.86</w:t>
            </w:r>
          </w:p>
        </w:tc>
        <w:tc>
          <w:tcPr>
            <w:tcW w:w="778" w:type="pct"/>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778" w:type="pct"/>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c>
          <w:tcPr>
            <w:tcW w:w="778" w:type="pct"/>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r>
      <w:tr w:rsidR="00F77439" w:rsidRPr="002E7761" w:rsidTr="00896B0D">
        <w:tc>
          <w:tcPr>
            <w:tcW w:w="1060" w:type="pct"/>
          </w:tcPr>
          <w:p w:rsidR="00F77439" w:rsidRPr="0020784A" w:rsidRDefault="00896B0D" w:rsidP="00EB7E61">
            <w:pPr>
              <w:jc w:val="both"/>
              <w:rPr>
                <w:rFonts w:ascii="Times New Roman" w:hAnsi="Times New Roman" w:cs="Times New Roman"/>
                <w:sz w:val="24"/>
                <w:szCs w:val="24"/>
              </w:rPr>
            </w:pPr>
            <w:r w:rsidRPr="0020784A">
              <w:rPr>
                <w:rFonts w:ascii="Times New Roman" w:hAnsi="Times New Roman" w:cs="Times New Roman"/>
                <w:sz w:val="24"/>
                <w:szCs w:val="24"/>
              </w:rPr>
              <w:t>COMP3</w:t>
            </w:r>
          </w:p>
        </w:tc>
        <w:tc>
          <w:tcPr>
            <w:tcW w:w="808" w:type="pct"/>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81.13</w:t>
            </w:r>
          </w:p>
        </w:tc>
        <w:tc>
          <w:tcPr>
            <w:tcW w:w="799" w:type="pct"/>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-2.74</w:t>
            </w:r>
          </w:p>
        </w:tc>
        <w:tc>
          <w:tcPr>
            <w:tcW w:w="778" w:type="pct"/>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778" w:type="pct"/>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c>
          <w:tcPr>
            <w:tcW w:w="778" w:type="pct"/>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r>
      <w:tr w:rsidR="00F77439" w:rsidRPr="002E7761" w:rsidTr="00896B0D">
        <w:tc>
          <w:tcPr>
            <w:tcW w:w="1060" w:type="pct"/>
          </w:tcPr>
          <w:p w:rsidR="00F77439" w:rsidRPr="0020784A" w:rsidRDefault="00896B0D" w:rsidP="00EB7E61">
            <w:pPr>
              <w:jc w:val="both"/>
              <w:rPr>
                <w:rFonts w:ascii="Times New Roman" w:hAnsi="Times New Roman" w:cs="Times New Roman"/>
                <w:sz w:val="24"/>
                <w:szCs w:val="24"/>
              </w:rPr>
            </w:pPr>
            <w:r w:rsidRPr="0020784A">
              <w:rPr>
                <w:rFonts w:ascii="Times New Roman" w:hAnsi="Times New Roman" w:cs="Times New Roman"/>
                <w:sz w:val="24"/>
                <w:szCs w:val="24"/>
              </w:rPr>
              <w:t>COMP4</w:t>
            </w:r>
          </w:p>
        </w:tc>
        <w:tc>
          <w:tcPr>
            <w:tcW w:w="808" w:type="pct"/>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76.07</w:t>
            </w:r>
          </w:p>
        </w:tc>
        <w:tc>
          <w:tcPr>
            <w:tcW w:w="799" w:type="pct"/>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-2.74</w:t>
            </w:r>
          </w:p>
        </w:tc>
        <w:tc>
          <w:tcPr>
            <w:tcW w:w="778" w:type="pct"/>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778" w:type="pct"/>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c>
          <w:tcPr>
            <w:tcW w:w="778" w:type="pct"/>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r>
      <w:tr w:rsidR="00F77439" w:rsidRPr="002E7761" w:rsidTr="00896B0D">
        <w:tc>
          <w:tcPr>
            <w:tcW w:w="1060" w:type="pct"/>
          </w:tcPr>
          <w:p w:rsidR="00F77439" w:rsidRPr="0020784A" w:rsidRDefault="00F77439" w:rsidP="00EB7E61">
            <w:pPr>
              <w:widowControl w:val="0"/>
              <w:pBdr>
                <w:top w:val="nil"/>
                <w:left w:val="nil"/>
                <w:bottom w:val="nil"/>
                <w:right w:val="nil"/>
                <w:between w:val="nil"/>
              </w:pBdr>
              <w:rPr>
                <w:rFonts w:ascii="Times New Roman" w:eastAsia="Times New Roman" w:hAnsi="Times New Roman" w:cs="Times New Roman"/>
                <w:sz w:val="24"/>
                <w:szCs w:val="24"/>
              </w:rPr>
            </w:pPr>
            <w:proofErr w:type="spellStart"/>
            <w:r w:rsidRPr="0020784A">
              <w:rPr>
                <w:rFonts w:ascii="Times New Roman" w:eastAsia="Times New Roman" w:hAnsi="Times New Roman" w:cs="Times New Roman"/>
                <w:sz w:val="24"/>
                <w:szCs w:val="24"/>
              </w:rPr>
              <w:t>Enzalutamide</w:t>
            </w:r>
            <w:proofErr w:type="spellEnd"/>
          </w:p>
        </w:tc>
        <w:tc>
          <w:tcPr>
            <w:tcW w:w="808" w:type="pct"/>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90.15</w:t>
            </w:r>
          </w:p>
        </w:tc>
        <w:tc>
          <w:tcPr>
            <w:tcW w:w="799" w:type="pct"/>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-2.85</w:t>
            </w:r>
          </w:p>
        </w:tc>
        <w:tc>
          <w:tcPr>
            <w:tcW w:w="778" w:type="pct"/>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c>
          <w:tcPr>
            <w:tcW w:w="778" w:type="pct"/>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778" w:type="pct"/>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r>
      <w:tr w:rsidR="00F77439" w:rsidRPr="002E7761" w:rsidTr="00896B0D">
        <w:tc>
          <w:tcPr>
            <w:tcW w:w="1060" w:type="pct"/>
          </w:tcPr>
          <w:p w:rsidR="00F77439" w:rsidRPr="0020784A" w:rsidRDefault="00F77439" w:rsidP="00EB7E61">
            <w:pPr>
              <w:widowControl w:val="0"/>
              <w:pBdr>
                <w:top w:val="nil"/>
                <w:left w:val="nil"/>
                <w:bottom w:val="nil"/>
                <w:right w:val="nil"/>
                <w:between w:val="nil"/>
              </w:pBdr>
              <w:rPr>
                <w:rFonts w:ascii="Times New Roman" w:eastAsia="Times New Roman" w:hAnsi="Times New Roman" w:cs="Times New Roman"/>
                <w:sz w:val="24"/>
                <w:szCs w:val="24"/>
              </w:rPr>
            </w:pPr>
            <w:proofErr w:type="spellStart"/>
            <w:r w:rsidRPr="0020784A">
              <w:rPr>
                <w:rFonts w:ascii="Times New Roman" w:eastAsia="Times New Roman" w:hAnsi="Times New Roman" w:cs="Times New Roman"/>
                <w:sz w:val="24"/>
                <w:szCs w:val="24"/>
              </w:rPr>
              <w:t>Apalutamide</w:t>
            </w:r>
            <w:proofErr w:type="spellEnd"/>
          </w:p>
        </w:tc>
        <w:tc>
          <w:tcPr>
            <w:tcW w:w="808" w:type="pct"/>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92.39</w:t>
            </w:r>
          </w:p>
        </w:tc>
        <w:tc>
          <w:tcPr>
            <w:tcW w:w="799" w:type="pct"/>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-3.16</w:t>
            </w:r>
          </w:p>
        </w:tc>
        <w:tc>
          <w:tcPr>
            <w:tcW w:w="778" w:type="pct"/>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c>
          <w:tcPr>
            <w:tcW w:w="778" w:type="pct"/>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778" w:type="pct"/>
          </w:tcPr>
          <w:p w:rsidR="00F77439" w:rsidRPr="002E7761" w:rsidRDefault="00F77439" w:rsidP="00EB7E61">
            <w:pPr>
              <w:widowControl w:val="0"/>
              <w:pBdr>
                <w:top w:val="nil"/>
                <w:left w:val="nil"/>
                <w:bottom w:val="nil"/>
                <w:right w:val="nil"/>
                <w:between w:val="nil"/>
              </w:pBdr>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r>
    </w:tbl>
    <w:p w:rsidR="00F77439" w:rsidRPr="002E7761" w:rsidRDefault="00F77439" w:rsidP="00F77439">
      <w:pPr>
        <w:spacing w:after="0"/>
        <w:rPr>
          <w:rFonts w:ascii="Times New Roman" w:eastAsia="Times New Roman" w:hAnsi="Times New Roman" w:cs="Times New Roman"/>
          <w:sz w:val="24"/>
          <w:szCs w:val="24"/>
        </w:rPr>
      </w:pPr>
    </w:p>
    <w:p w:rsidR="00F77439" w:rsidRPr="002E7761" w:rsidRDefault="00F77439" w:rsidP="00F77439">
      <w:pPr>
        <w:spacing w:after="0"/>
        <w:jc w:val="both"/>
        <w:rPr>
          <w:rFonts w:ascii="Times New Roman" w:eastAsia="Times New Roman" w:hAnsi="Times New Roman" w:cs="Times New Roman"/>
          <w:sz w:val="24"/>
          <w:szCs w:val="24"/>
        </w:rPr>
      </w:pPr>
    </w:p>
    <w:p w:rsidR="00F77439" w:rsidRPr="00C126ED" w:rsidRDefault="00BA6281" w:rsidP="00F77439">
      <w:pPr>
        <w:spacing w:after="0"/>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Table 8</w:t>
      </w:r>
      <w:r w:rsidR="00F77439" w:rsidRPr="002E7761">
        <w:rPr>
          <w:rFonts w:ascii="Times New Roman" w:eastAsia="Times New Roman" w:hAnsi="Times New Roman" w:cs="Times New Roman"/>
          <w:sz w:val="24"/>
          <w:szCs w:val="24"/>
        </w:rPr>
        <w:t xml:space="preserve">. </w:t>
      </w:r>
      <w:r w:rsidR="00C126ED">
        <w:rPr>
          <w:rFonts w:ascii="Times New Roman" w:eastAsia="Times New Roman" w:hAnsi="Times New Roman" w:cs="Times New Roman"/>
          <w:sz w:val="24"/>
          <w:szCs w:val="24"/>
          <w:lang w:val="en-US"/>
        </w:rPr>
        <w:t>E</w:t>
      </w:r>
      <w:r w:rsidR="00C126ED" w:rsidRPr="00C126ED">
        <w:rPr>
          <w:rFonts w:ascii="Times New Roman" w:eastAsia="Times New Roman" w:hAnsi="Times New Roman" w:cs="Times New Roman"/>
          <w:sz w:val="24"/>
          <w:szCs w:val="24"/>
          <w:lang w:val="en-US"/>
        </w:rPr>
        <w:t>stimated molecula</w:t>
      </w:r>
      <w:r w:rsidR="00C126ED">
        <w:rPr>
          <w:rFonts w:ascii="Times New Roman" w:eastAsia="Times New Roman" w:hAnsi="Times New Roman" w:cs="Times New Roman"/>
          <w:sz w:val="24"/>
          <w:szCs w:val="24"/>
          <w:lang w:val="en-US"/>
        </w:rPr>
        <w:t xml:space="preserve">r metabolic profile </w:t>
      </w:r>
      <w:r w:rsidR="00C126ED" w:rsidRPr="00C126ED">
        <w:rPr>
          <w:rFonts w:ascii="Times New Roman" w:eastAsia="Times New Roman" w:hAnsi="Times New Roman" w:cs="Times New Roman"/>
          <w:sz w:val="24"/>
          <w:szCs w:val="24"/>
          <w:lang w:val="en-US"/>
        </w:rPr>
        <w:t xml:space="preserve">of isolated chemicals from </w:t>
      </w:r>
      <w:proofErr w:type="spellStart"/>
      <w:r w:rsidR="00C126ED" w:rsidRPr="00C126ED">
        <w:rPr>
          <w:rFonts w:ascii="Times New Roman" w:eastAsia="Times New Roman" w:hAnsi="Times New Roman" w:cs="Times New Roman"/>
          <w:i/>
          <w:sz w:val="24"/>
          <w:szCs w:val="24"/>
          <w:lang w:val="en-US"/>
        </w:rPr>
        <w:t>Caesalpinia</w:t>
      </w:r>
      <w:proofErr w:type="spellEnd"/>
      <w:r w:rsidR="00C126ED" w:rsidRPr="00C126ED">
        <w:rPr>
          <w:rFonts w:ascii="Times New Roman" w:eastAsia="Times New Roman" w:hAnsi="Times New Roman" w:cs="Times New Roman"/>
          <w:i/>
          <w:sz w:val="24"/>
          <w:szCs w:val="24"/>
          <w:lang w:val="en-US"/>
        </w:rPr>
        <w:t xml:space="preserve"> </w:t>
      </w:r>
      <w:proofErr w:type="spellStart"/>
      <w:r w:rsidR="00C126ED" w:rsidRPr="00C126ED">
        <w:rPr>
          <w:rFonts w:ascii="Times New Roman" w:eastAsia="Times New Roman" w:hAnsi="Times New Roman" w:cs="Times New Roman"/>
          <w:i/>
          <w:sz w:val="24"/>
          <w:szCs w:val="24"/>
          <w:lang w:val="en-US"/>
        </w:rPr>
        <w:t>bonduc</w:t>
      </w:r>
      <w:proofErr w:type="spellEnd"/>
      <w:r w:rsidR="00C126ED" w:rsidRPr="00C126ED">
        <w:rPr>
          <w:rFonts w:ascii="Times New Roman" w:eastAsia="Times New Roman" w:hAnsi="Times New Roman" w:cs="Times New Roman"/>
          <w:sz w:val="24"/>
          <w:szCs w:val="24"/>
          <w:lang w:val="en-US"/>
        </w:rPr>
        <w:t xml:space="preserve"> in comparison to the reference</w:t>
      </w:r>
    </w:p>
    <w:p w:rsidR="00F77439" w:rsidRPr="002E7761" w:rsidRDefault="00F77439" w:rsidP="00F77439">
      <w:pPr>
        <w:spacing w:after="0"/>
        <w:rPr>
          <w:rFonts w:ascii="Times New Roman" w:eastAsia="Times New Roman" w:hAnsi="Times New Roman" w:cs="Times New Roman"/>
          <w:sz w:val="24"/>
          <w:szCs w:val="24"/>
        </w:rPr>
      </w:pPr>
    </w:p>
    <w:tbl>
      <w:tblPr>
        <w:tblStyle w:val="ListTable21"/>
        <w:tblW w:w="9360" w:type="dxa"/>
        <w:tblBorders>
          <w:top w:val="single" w:sz="12" w:space="0" w:color="auto"/>
          <w:bottom w:val="single" w:sz="12" w:space="0" w:color="auto"/>
          <w:insideH w:val="none" w:sz="0" w:space="0" w:color="auto"/>
        </w:tblBorders>
        <w:tblLayout w:type="fixed"/>
        <w:tblLook w:val="0600" w:firstRow="0" w:lastRow="0" w:firstColumn="0" w:lastColumn="0" w:noHBand="1" w:noVBand="1"/>
      </w:tblPr>
      <w:tblGrid>
        <w:gridCol w:w="1170"/>
        <w:gridCol w:w="1170"/>
        <w:gridCol w:w="1170"/>
        <w:gridCol w:w="1170"/>
        <w:gridCol w:w="1170"/>
        <w:gridCol w:w="1170"/>
        <w:gridCol w:w="1170"/>
        <w:gridCol w:w="1170"/>
      </w:tblGrid>
      <w:tr w:rsidR="00F77439" w:rsidRPr="002E7761" w:rsidTr="00896B0D">
        <w:tc>
          <w:tcPr>
            <w:tcW w:w="1170" w:type="dxa"/>
            <w:tcBorders>
              <w:top w:val="single" w:sz="12" w:space="0" w:color="auto"/>
              <w:bottom w:val="single" w:sz="12" w:space="0" w:color="auto"/>
            </w:tcBorders>
          </w:tcPr>
          <w:p w:rsidR="00F77439" w:rsidRPr="002E7761" w:rsidRDefault="00F77439" w:rsidP="00EB7E61">
            <w:pPr>
              <w:widowControl w:val="0"/>
              <w:rPr>
                <w:rFonts w:ascii="Times New Roman" w:eastAsia="Times New Roman" w:hAnsi="Times New Roman" w:cs="Times New Roman"/>
                <w:b/>
                <w:sz w:val="24"/>
                <w:szCs w:val="24"/>
              </w:rPr>
            </w:pPr>
            <w:r w:rsidRPr="002E7761">
              <w:rPr>
                <w:rFonts w:ascii="Times New Roman" w:eastAsia="Times New Roman" w:hAnsi="Times New Roman" w:cs="Times New Roman"/>
                <w:b/>
                <w:sz w:val="24"/>
                <w:szCs w:val="24"/>
              </w:rPr>
              <w:t>Compounds</w:t>
            </w:r>
          </w:p>
        </w:tc>
        <w:tc>
          <w:tcPr>
            <w:tcW w:w="1170" w:type="dxa"/>
            <w:tcBorders>
              <w:top w:val="single" w:sz="12" w:space="0" w:color="auto"/>
              <w:bottom w:val="single" w:sz="12" w:space="0" w:color="auto"/>
            </w:tcBorders>
          </w:tcPr>
          <w:p w:rsidR="00F77439" w:rsidRPr="002E7761" w:rsidRDefault="00F77439" w:rsidP="00EB7E61">
            <w:pPr>
              <w:widowControl w:val="0"/>
              <w:rPr>
                <w:rFonts w:ascii="Times New Roman" w:eastAsia="Times New Roman" w:hAnsi="Times New Roman" w:cs="Times New Roman"/>
                <w:b/>
                <w:sz w:val="24"/>
                <w:szCs w:val="24"/>
              </w:rPr>
            </w:pPr>
            <w:r w:rsidRPr="002E7761">
              <w:rPr>
                <w:rFonts w:ascii="Times New Roman" w:eastAsia="Arial" w:hAnsi="Times New Roman" w:cs="Times New Roman"/>
                <w:b/>
                <w:sz w:val="24"/>
                <w:szCs w:val="24"/>
                <w:shd w:val="clear" w:color="auto" w:fill="F5F5F5"/>
              </w:rPr>
              <w:t>CYP2D6 substrate</w:t>
            </w:r>
          </w:p>
        </w:tc>
        <w:tc>
          <w:tcPr>
            <w:tcW w:w="1170" w:type="dxa"/>
            <w:tcBorders>
              <w:top w:val="single" w:sz="12" w:space="0" w:color="auto"/>
              <w:bottom w:val="single" w:sz="12" w:space="0" w:color="auto"/>
            </w:tcBorders>
          </w:tcPr>
          <w:p w:rsidR="00F77439" w:rsidRPr="002E7761" w:rsidRDefault="00F77439" w:rsidP="00EB7E61">
            <w:pPr>
              <w:widowControl w:val="0"/>
              <w:rPr>
                <w:rFonts w:ascii="Times New Roman" w:eastAsia="Times New Roman" w:hAnsi="Times New Roman" w:cs="Times New Roman"/>
                <w:b/>
                <w:sz w:val="24"/>
                <w:szCs w:val="24"/>
              </w:rPr>
            </w:pPr>
            <w:r w:rsidRPr="002E7761">
              <w:rPr>
                <w:rFonts w:ascii="Times New Roman" w:eastAsia="Arial" w:hAnsi="Times New Roman" w:cs="Times New Roman"/>
                <w:b/>
                <w:sz w:val="24"/>
                <w:szCs w:val="24"/>
                <w:shd w:val="clear" w:color="auto" w:fill="F5F5F5"/>
              </w:rPr>
              <w:t>CYP3A4 substrate</w:t>
            </w:r>
          </w:p>
        </w:tc>
        <w:tc>
          <w:tcPr>
            <w:tcW w:w="1170" w:type="dxa"/>
            <w:tcBorders>
              <w:top w:val="single" w:sz="12" w:space="0" w:color="auto"/>
              <w:bottom w:val="single" w:sz="12" w:space="0" w:color="auto"/>
            </w:tcBorders>
          </w:tcPr>
          <w:p w:rsidR="00F77439" w:rsidRPr="002E7761" w:rsidRDefault="00F77439" w:rsidP="00EB7E61">
            <w:pPr>
              <w:widowControl w:val="0"/>
              <w:rPr>
                <w:rFonts w:ascii="Times New Roman" w:eastAsia="Times New Roman" w:hAnsi="Times New Roman" w:cs="Times New Roman"/>
                <w:b/>
                <w:sz w:val="24"/>
                <w:szCs w:val="24"/>
              </w:rPr>
            </w:pPr>
            <w:r w:rsidRPr="002E7761">
              <w:rPr>
                <w:rFonts w:ascii="Times New Roman" w:eastAsia="Arial" w:hAnsi="Times New Roman" w:cs="Times New Roman"/>
                <w:b/>
                <w:sz w:val="24"/>
                <w:szCs w:val="24"/>
                <w:shd w:val="clear" w:color="auto" w:fill="F5F5F5"/>
              </w:rPr>
              <w:t>CYP1A2 inhibitor</w:t>
            </w:r>
          </w:p>
        </w:tc>
        <w:tc>
          <w:tcPr>
            <w:tcW w:w="1170" w:type="dxa"/>
            <w:tcBorders>
              <w:top w:val="single" w:sz="12" w:space="0" w:color="auto"/>
              <w:bottom w:val="single" w:sz="12" w:space="0" w:color="auto"/>
            </w:tcBorders>
          </w:tcPr>
          <w:p w:rsidR="00F77439" w:rsidRPr="002E7761" w:rsidRDefault="00F77439" w:rsidP="00EB7E61">
            <w:pPr>
              <w:widowControl w:val="0"/>
              <w:rPr>
                <w:rFonts w:ascii="Times New Roman" w:eastAsia="Times New Roman" w:hAnsi="Times New Roman" w:cs="Times New Roman"/>
                <w:b/>
                <w:sz w:val="24"/>
                <w:szCs w:val="24"/>
              </w:rPr>
            </w:pPr>
            <w:r w:rsidRPr="002E7761">
              <w:rPr>
                <w:rFonts w:ascii="Times New Roman" w:eastAsia="Arial" w:hAnsi="Times New Roman" w:cs="Times New Roman"/>
                <w:b/>
                <w:sz w:val="24"/>
                <w:szCs w:val="24"/>
                <w:shd w:val="clear" w:color="auto" w:fill="F5F5F5"/>
              </w:rPr>
              <w:t>CYP2C19 inhibitor</w:t>
            </w:r>
          </w:p>
        </w:tc>
        <w:tc>
          <w:tcPr>
            <w:tcW w:w="1170" w:type="dxa"/>
            <w:tcBorders>
              <w:top w:val="single" w:sz="12" w:space="0" w:color="auto"/>
              <w:bottom w:val="single" w:sz="12" w:space="0" w:color="auto"/>
            </w:tcBorders>
          </w:tcPr>
          <w:p w:rsidR="00F77439" w:rsidRPr="002E7761" w:rsidRDefault="00F77439" w:rsidP="00EB7E61">
            <w:pPr>
              <w:widowControl w:val="0"/>
              <w:rPr>
                <w:rFonts w:ascii="Times New Roman" w:eastAsia="Times New Roman" w:hAnsi="Times New Roman" w:cs="Times New Roman"/>
                <w:b/>
                <w:sz w:val="24"/>
                <w:szCs w:val="24"/>
              </w:rPr>
            </w:pPr>
            <w:r w:rsidRPr="002E7761">
              <w:rPr>
                <w:rFonts w:ascii="Times New Roman" w:eastAsia="Arial" w:hAnsi="Times New Roman" w:cs="Times New Roman"/>
                <w:b/>
                <w:sz w:val="24"/>
                <w:szCs w:val="24"/>
                <w:shd w:val="clear" w:color="auto" w:fill="F5F5F5"/>
              </w:rPr>
              <w:t>CYP2C9 inhibitor</w:t>
            </w:r>
          </w:p>
        </w:tc>
        <w:tc>
          <w:tcPr>
            <w:tcW w:w="1170" w:type="dxa"/>
            <w:tcBorders>
              <w:top w:val="single" w:sz="12" w:space="0" w:color="auto"/>
              <w:bottom w:val="single" w:sz="12" w:space="0" w:color="auto"/>
            </w:tcBorders>
          </w:tcPr>
          <w:p w:rsidR="00F77439" w:rsidRPr="002E7761" w:rsidRDefault="00F77439" w:rsidP="00EB7E61">
            <w:pPr>
              <w:widowControl w:val="0"/>
              <w:rPr>
                <w:rFonts w:ascii="Times New Roman" w:eastAsia="Times New Roman" w:hAnsi="Times New Roman" w:cs="Times New Roman"/>
                <w:b/>
                <w:sz w:val="24"/>
                <w:szCs w:val="24"/>
              </w:rPr>
            </w:pPr>
            <w:r w:rsidRPr="002E7761">
              <w:rPr>
                <w:rFonts w:ascii="Times New Roman" w:eastAsia="Arial" w:hAnsi="Times New Roman" w:cs="Times New Roman"/>
                <w:b/>
                <w:sz w:val="24"/>
                <w:szCs w:val="24"/>
                <w:shd w:val="clear" w:color="auto" w:fill="F5F5F5"/>
              </w:rPr>
              <w:t>CYP2D6 inhibitor</w:t>
            </w:r>
          </w:p>
        </w:tc>
        <w:tc>
          <w:tcPr>
            <w:tcW w:w="1170" w:type="dxa"/>
            <w:tcBorders>
              <w:top w:val="single" w:sz="12" w:space="0" w:color="auto"/>
              <w:bottom w:val="single" w:sz="12" w:space="0" w:color="auto"/>
            </w:tcBorders>
          </w:tcPr>
          <w:p w:rsidR="00F77439" w:rsidRPr="002E7761" w:rsidRDefault="00F77439" w:rsidP="00EB7E61">
            <w:pPr>
              <w:widowControl w:val="0"/>
              <w:rPr>
                <w:rFonts w:ascii="Times New Roman" w:eastAsia="Times New Roman" w:hAnsi="Times New Roman" w:cs="Times New Roman"/>
                <w:b/>
                <w:sz w:val="24"/>
                <w:szCs w:val="24"/>
              </w:rPr>
            </w:pPr>
            <w:r w:rsidRPr="002E7761">
              <w:rPr>
                <w:rFonts w:ascii="Times New Roman" w:eastAsia="Arial" w:hAnsi="Times New Roman" w:cs="Times New Roman"/>
                <w:b/>
                <w:sz w:val="24"/>
                <w:szCs w:val="24"/>
                <w:shd w:val="clear" w:color="auto" w:fill="F5F5F5"/>
              </w:rPr>
              <w:t>CYP3A4 inhibitor</w:t>
            </w:r>
          </w:p>
        </w:tc>
      </w:tr>
      <w:tr w:rsidR="00F77439" w:rsidRPr="002E7761" w:rsidTr="00896B0D">
        <w:tc>
          <w:tcPr>
            <w:tcW w:w="1170" w:type="dxa"/>
            <w:tcBorders>
              <w:top w:val="single" w:sz="12" w:space="0" w:color="auto"/>
            </w:tcBorders>
          </w:tcPr>
          <w:p w:rsidR="00F77439" w:rsidRPr="0020784A" w:rsidRDefault="00896B0D" w:rsidP="00EB7E61">
            <w:pPr>
              <w:jc w:val="both"/>
              <w:rPr>
                <w:rFonts w:ascii="Times New Roman" w:hAnsi="Times New Roman" w:cs="Times New Roman"/>
                <w:sz w:val="24"/>
                <w:szCs w:val="24"/>
              </w:rPr>
            </w:pPr>
            <w:r w:rsidRPr="0020784A">
              <w:rPr>
                <w:rFonts w:ascii="Times New Roman" w:hAnsi="Times New Roman" w:cs="Times New Roman"/>
                <w:sz w:val="24"/>
                <w:szCs w:val="24"/>
              </w:rPr>
              <w:t>COMP1</w:t>
            </w:r>
          </w:p>
        </w:tc>
        <w:tc>
          <w:tcPr>
            <w:tcW w:w="1170" w:type="dxa"/>
            <w:tcBorders>
              <w:top w:val="single" w:sz="12" w:space="0" w:color="auto"/>
            </w:tcBorders>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c>
          <w:tcPr>
            <w:tcW w:w="1170" w:type="dxa"/>
            <w:tcBorders>
              <w:top w:val="single" w:sz="12" w:space="0" w:color="auto"/>
            </w:tcBorders>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170" w:type="dxa"/>
            <w:tcBorders>
              <w:top w:val="single" w:sz="12" w:space="0" w:color="auto"/>
            </w:tcBorders>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170" w:type="dxa"/>
            <w:tcBorders>
              <w:top w:val="single" w:sz="12" w:space="0" w:color="auto"/>
            </w:tcBorders>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170" w:type="dxa"/>
            <w:tcBorders>
              <w:top w:val="single" w:sz="12" w:space="0" w:color="auto"/>
            </w:tcBorders>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170" w:type="dxa"/>
            <w:tcBorders>
              <w:top w:val="single" w:sz="12" w:space="0" w:color="auto"/>
            </w:tcBorders>
          </w:tcPr>
          <w:p w:rsidR="00F77439" w:rsidRPr="002E7761" w:rsidRDefault="004B07BF"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w:t>
            </w:r>
            <w:r w:rsidR="00F77439" w:rsidRPr="002E7761">
              <w:rPr>
                <w:rFonts w:ascii="Times New Roman" w:eastAsia="Times New Roman" w:hAnsi="Times New Roman" w:cs="Times New Roman"/>
                <w:sz w:val="24"/>
                <w:szCs w:val="24"/>
              </w:rPr>
              <w:t>o</w:t>
            </w:r>
          </w:p>
        </w:tc>
        <w:tc>
          <w:tcPr>
            <w:tcW w:w="1170" w:type="dxa"/>
            <w:tcBorders>
              <w:top w:val="single" w:sz="12" w:space="0" w:color="auto"/>
            </w:tcBorders>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r>
      <w:tr w:rsidR="00F77439" w:rsidRPr="002E7761" w:rsidTr="00896B0D">
        <w:tc>
          <w:tcPr>
            <w:tcW w:w="1170" w:type="dxa"/>
          </w:tcPr>
          <w:p w:rsidR="00F77439" w:rsidRPr="0020784A" w:rsidRDefault="00896B0D" w:rsidP="00EB7E61">
            <w:pPr>
              <w:jc w:val="both"/>
              <w:rPr>
                <w:rFonts w:ascii="Times New Roman" w:hAnsi="Times New Roman" w:cs="Times New Roman"/>
                <w:sz w:val="24"/>
                <w:szCs w:val="24"/>
              </w:rPr>
            </w:pPr>
            <w:r w:rsidRPr="0020784A">
              <w:rPr>
                <w:rFonts w:ascii="Times New Roman" w:hAnsi="Times New Roman" w:cs="Times New Roman"/>
                <w:sz w:val="24"/>
                <w:szCs w:val="24"/>
              </w:rPr>
              <w:t>COMP2</w:t>
            </w:r>
          </w:p>
        </w:tc>
        <w:tc>
          <w:tcPr>
            <w:tcW w:w="117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c>
          <w:tcPr>
            <w:tcW w:w="117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17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17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17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170" w:type="dxa"/>
          </w:tcPr>
          <w:p w:rsidR="00F77439" w:rsidRPr="002E7761" w:rsidRDefault="004B07BF"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w:t>
            </w:r>
            <w:r w:rsidR="00F77439" w:rsidRPr="002E7761">
              <w:rPr>
                <w:rFonts w:ascii="Times New Roman" w:eastAsia="Times New Roman" w:hAnsi="Times New Roman" w:cs="Times New Roman"/>
                <w:sz w:val="24"/>
                <w:szCs w:val="24"/>
              </w:rPr>
              <w:t>o</w:t>
            </w:r>
          </w:p>
        </w:tc>
        <w:tc>
          <w:tcPr>
            <w:tcW w:w="117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r>
      <w:tr w:rsidR="00F77439" w:rsidRPr="002E7761" w:rsidTr="00896B0D">
        <w:tc>
          <w:tcPr>
            <w:tcW w:w="1170" w:type="dxa"/>
          </w:tcPr>
          <w:p w:rsidR="00F77439" w:rsidRPr="0020784A" w:rsidRDefault="00896B0D" w:rsidP="00EB7E61">
            <w:pPr>
              <w:jc w:val="both"/>
              <w:rPr>
                <w:rFonts w:ascii="Times New Roman" w:hAnsi="Times New Roman" w:cs="Times New Roman"/>
                <w:sz w:val="24"/>
                <w:szCs w:val="24"/>
              </w:rPr>
            </w:pPr>
            <w:r w:rsidRPr="0020784A">
              <w:rPr>
                <w:rFonts w:ascii="Times New Roman" w:hAnsi="Times New Roman" w:cs="Times New Roman"/>
                <w:sz w:val="24"/>
                <w:szCs w:val="24"/>
              </w:rPr>
              <w:t>COMP3</w:t>
            </w:r>
          </w:p>
        </w:tc>
        <w:tc>
          <w:tcPr>
            <w:tcW w:w="117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c>
          <w:tcPr>
            <w:tcW w:w="117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c>
          <w:tcPr>
            <w:tcW w:w="117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17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c>
          <w:tcPr>
            <w:tcW w:w="117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170" w:type="dxa"/>
          </w:tcPr>
          <w:p w:rsidR="00F77439" w:rsidRPr="002E7761" w:rsidRDefault="004B07BF"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w:t>
            </w:r>
            <w:r w:rsidR="00F77439" w:rsidRPr="002E7761">
              <w:rPr>
                <w:rFonts w:ascii="Times New Roman" w:eastAsia="Times New Roman" w:hAnsi="Times New Roman" w:cs="Times New Roman"/>
                <w:sz w:val="24"/>
                <w:szCs w:val="24"/>
              </w:rPr>
              <w:t>o</w:t>
            </w:r>
          </w:p>
        </w:tc>
        <w:tc>
          <w:tcPr>
            <w:tcW w:w="117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r>
      <w:tr w:rsidR="00F77439" w:rsidRPr="002E7761" w:rsidTr="00896B0D">
        <w:tc>
          <w:tcPr>
            <w:tcW w:w="1170" w:type="dxa"/>
          </w:tcPr>
          <w:p w:rsidR="00F77439" w:rsidRPr="0020784A" w:rsidRDefault="00896B0D" w:rsidP="00EB7E61">
            <w:pPr>
              <w:jc w:val="both"/>
              <w:rPr>
                <w:rFonts w:ascii="Times New Roman" w:hAnsi="Times New Roman" w:cs="Times New Roman"/>
                <w:sz w:val="24"/>
                <w:szCs w:val="24"/>
              </w:rPr>
            </w:pPr>
            <w:r w:rsidRPr="0020784A">
              <w:rPr>
                <w:rFonts w:ascii="Times New Roman" w:hAnsi="Times New Roman" w:cs="Times New Roman"/>
                <w:sz w:val="24"/>
                <w:szCs w:val="24"/>
              </w:rPr>
              <w:t>COMP4</w:t>
            </w:r>
          </w:p>
        </w:tc>
        <w:tc>
          <w:tcPr>
            <w:tcW w:w="117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c>
          <w:tcPr>
            <w:tcW w:w="117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c>
          <w:tcPr>
            <w:tcW w:w="117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17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c>
          <w:tcPr>
            <w:tcW w:w="117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c>
          <w:tcPr>
            <w:tcW w:w="1170" w:type="dxa"/>
          </w:tcPr>
          <w:p w:rsidR="00F77439" w:rsidRPr="002E7761" w:rsidRDefault="004B07BF"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w:t>
            </w:r>
            <w:r w:rsidR="00F77439" w:rsidRPr="002E7761">
              <w:rPr>
                <w:rFonts w:ascii="Times New Roman" w:eastAsia="Times New Roman" w:hAnsi="Times New Roman" w:cs="Times New Roman"/>
                <w:sz w:val="24"/>
                <w:szCs w:val="24"/>
              </w:rPr>
              <w:t>o</w:t>
            </w:r>
          </w:p>
        </w:tc>
        <w:tc>
          <w:tcPr>
            <w:tcW w:w="117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r>
      <w:tr w:rsidR="00F77439" w:rsidRPr="002E7761" w:rsidTr="00896B0D">
        <w:tc>
          <w:tcPr>
            <w:tcW w:w="1170" w:type="dxa"/>
          </w:tcPr>
          <w:p w:rsidR="00F77439" w:rsidRPr="0020784A" w:rsidRDefault="00F77439" w:rsidP="00EB7E61">
            <w:pPr>
              <w:widowControl w:val="0"/>
              <w:rPr>
                <w:rFonts w:ascii="Times New Roman" w:eastAsia="Times New Roman" w:hAnsi="Times New Roman" w:cs="Times New Roman"/>
                <w:sz w:val="24"/>
                <w:szCs w:val="24"/>
              </w:rPr>
            </w:pPr>
            <w:proofErr w:type="spellStart"/>
            <w:r w:rsidRPr="0020784A">
              <w:rPr>
                <w:rFonts w:ascii="Times New Roman" w:eastAsia="Times New Roman" w:hAnsi="Times New Roman" w:cs="Times New Roman"/>
                <w:sz w:val="24"/>
                <w:szCs w:val="24"/>
              </w:rPr>
              <w:t>Enzalutamide</w:t>
            </w:r>
            <w:proofErr w:type="spellEnd"/>
          </w:p>
        </w:tc>
        <w:tc>
          <w:tcPr>
            <w:tcW w:w="117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c>
          <w:tcPr>
            <w:tcW w:w="117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17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c>
          <w:tcPr>
            <w:tcW w:w="117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17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170" w:type="dxa"/>
          </w:tcPr>
          <w:p w:rsidR="00F77439" w:rsidRPr="002E7761" w:rsidRDefault="004B07BF"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w:t>
            </w:r>
            <w:r w:rsidR="00F77439" w:rsidRPr="002E7761">
              <w:rPr>
                <w:rFonts w:ascii="Times New Roman" w:eastAsia="Times New Roman" w:hAnsi="Times New Roman" w:cs="Times New Roman"/>
                <w:sz w:val="24"/>
                <w:szCs w:val="24"/>
              </w:rPr>
              <w:t>o</w:t>
            </w:r>
          </w:p>
        </w:tc>
        <w:tc>
          <w:tcPr>
            <w:tcW w:w="117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r>
      <w:tr w:rsidR="00F77439" w:rsidRPr="002E7761" w:rsidTr="00896B0D">
        <w:tc>
          <w:tcPr>
            <w:tcW w:w="1170" w:type="dxa"/>
          </w:tcPr>
          <w:p w:rsidR="00F77439" w:rsidRPr="0020784A" w:rsidRDefault="00F77439" w:rsidP="00EB7E61">
            <w:pPr>
              <w:widowControl w:val="0"/>
              <w:rPr>
                <w:rFonts w:ascii="Times New Roman" w:eastAsia="Times New Roman" w:hAnsi="Times New Roman" w:cs="Times New Roman"/>
                <w:sz w:val="24"/>
                <w:szCs w:val="24"/>
              </w:rPr>
            </w:pPr>
            <w:proofErr w:type="spellStart"/>
            <w:r w:rsidRPr="0020784A">
              <w:rPr>
                <w:rFonts w:ascii="Times New Roman" w:eastAsia="Times New Roman" w:hAnsi="Times New Roman" w:cs="Times New Roman"/>
                <w:sz w:val="24"/>
                <w:szCs w:val="24"/>
              </w:rPr>
              <w:t>Apalutamide</w:t>
            </w:r>
            <w:proofErr w:type="spellEnd"/>
          </w:p>
        </w:tc>
        <w:tc>
          <w:tcPr>
            <w:tcW w:w="117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c>
          <w:tcPr>
            <w:tcW w:w="117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17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c>
          <w:tcPr>
            <w:tcW w:w="117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17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170" w:type="dxa"/>
          </w:tcPr>
          <w:p w:rsidR="00F77439" w:rsidRPr="002E7761" w:rsidRDefault="004B07BF"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w:t>
            </w:r>
            <w:r w:rsidR="00F77439" w:rsidRPr="002E7761">
              <w:rPr>
                <w:rFonts w:ascii="Times New Roman" w:eastAsia="Times New Roman" w:hAnsi="Times New Roman" w:cs="Times New Roman"/>
                <w:sz w:val="24"/>
                <w:szCs w:val="24"/>
              </w:rPr>
              <w:t>o</w:t>
            </w:r>
          </w:p>
        </w:tc>
        <w:tc>
          <w:tcPr>
            <w:tcW w:w="117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r>
    </w:tbl>
    <w:p w:rsidR="00F77439" w:rsidRPr="002E7761" w:rsidRDefault="00F77439" w:rsidP="00F77439">
      <w:pPr>
        <w:spacing w:after="0"/>
        <w:jc w:val="both"/>
        <w:rPr>
          <w:rFonts w:ascii="Times New Roman" w:eastAsia="Times New Roman" w:hAnsi="Times New Roman" w:cs="Times New Roman"/>
          <w:sz w:val="24"/>
          <w:szCs w:val="24"/>
        </w:rPr>
      </w:pPr>
    </w:p>
    <w:p w:rsidR="00F77439" w:rsidRPr="002E7761" w:rsidRDefault="00F77439" w:rsidP="00F77439">
      <w:pPr>
        <w:spacing w:after="0"/>
        <w:jc w:val="both"/>
        <w:rPr>
          <w:rFonts w:ascii="Times New Roman" w:eastAsia="Times New Roman" w:hAnsi="Times New Roman" w:cs="Times New Roman"/>
          <w:sz w:val="24"/>
          <w:szCs w:val="24"/>
        </w:rPr>
      </w:pPr>
    </w:p>
    <w:p w:rsidR="00F77439" w:rsidRDefault="00F77439" w:rsidP="00F77439">
      <w:pPr>
        <w:spacing w:after="0"/>
        <w:jc w:val="both"/>
        <w:rPr>
          <w:rFonts w:ascii="Times New Roman" w:eastAsia="Times New Roman" w:hAnsi="Times New Roman" w:cs="Times New Roman"/>
          <w:sz w:val="24"/>
          <w:szCs w:val="24"/>
        </w:rPr>
      </w:pPr>
    </w:p>
    <w:p w:rsidR="00F77439" w:rsidRPr="00820222" w:rsidRDefault="00BA6281" w:rsidP="00F77439">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Table 9</w:t>
      </w:r>
      <w:r w:rsidR="00F77439" w:rsidRPr="002E7761">
        <w:rPr>
          <w:rFonts w:ascii="Times New Roman" w:eastAsia="Times New Roman" w:hAnsi="Times New Roman" w:cs="Times New Roman"/>
          <w:sz w:val="24"/>
          <w:szCs w:val="24"/>
        </w:rPr>
        <w:t>. Predicted molecular toxicity profile of isolated compounds</w:t>
      </w:r>
      <w:r w:rsidR="00F77439" w:rsidRPr="002E7761">
        <w:rPr>
          <w:rFonts w:ascii="Times New Roman" w:hAnsi="Times New Roman" w:cs="Times New Roman"/>
          <w:sz w:val="24"/>
          <w:szCs w:val="24"/>
        </w:rPr>
        <w:t xml:space="preserve"> </w:t>
      </w:r>
      <w:r w:rsidR="00F77439" w:rsidRPr="002E7761">
        <w:rPr>
          <w:rFonts w:ascii="Times New Roman" w:eastAsia="Times New Roman" w:hAnsi="Times New Roman" w:cs="Times New Roman"/>
          <w:sz w:val="24"/>
          <w:szCs w:val="24"/>
        </w:rPr>
        <w:t xml:space="preserve">of selected pure compounds from </w:t>
      </w:r>
      <w:proofErr w:type="spellStart"/>
      <w:r w:rsidR="00F77439" w:rsidRPr="002E7761">
        <w:rPr>
          <w:rFonts w:ascii="Times New Roman" w:eastAsia="Times New Roman" w:hAnsi="Times New Roman" w:cs="Times New Roman"/>
          <w:i/>
          <w:sz w:val="24"/>
          <w:szCs w:val="24"/>
        </w:rPr>
        <w:t>Caesalpinia</w:t>
      </w:r>
      <w:proofErr w:type="spellEnd"/>
      <w:r w:rsidR="00F77439" w:rsidRPr="002E7761">
        <w:rPr>
          <w:rFonts w:ascii="Times New Roman" w:eastAsia="Times New Roman" w:hAnsi="Times New Roman" w:cs="Times New Roman"/>
          <w:i/>
          <w:sz w:val="24"/>
          <w:szCs w:val="24"/>
        </w:rPr>
        <w:t xml:space="preserve"> </w:t>
      </w:r>
      <w:proofErr w:type="spellStart"/>
      <w:r w:rsidR="00F77439" w:rsidRPr="002E7761">
        <w:rPr>
          <w:rFonts w:ascii="Times New Roman" w:eastAsia="Times New Roman" w:hAnsi="Times New Roman" w:cs="Times New Roman"/>
          <w:i/>
          <w:sz w:val="24"/>
          <w:szCs w:val="24"/>
        </w:rPr>
        <w:t>bonduc</w:t>
      </w:r>
      <w:proofErr w:type="spellEnd"/>
      <w:r w:rsidR="00820222">
        <w:rPr>
          <w:rFonts w:ascii="Times New Roman" w:eastAsia="Times New Roman" w:hAnsi="Times New Roman" w:cs="Times New Roman"/>
          <w:i/>
          <w:sz w:val="24"/>
          <w:szCs w:val="24"/>
        </w:rPr>
        <w:t xml:space="preserve"> </w:t>
      </w:r>
      <w:r w:rsidR="00820222">
        <w:rPr>
          <w:rFonts w:ascii="Times New Roman" w:eastAsia="Times New Roman" w:hAnsi="Times New Roman" w:cs="Times New Roman"/>
          <w:sz w:val="24"/>
          <w:szCs w:val="24"/>
        </w:rPr>
        <w:t>and the standards</w:t>
      </w:r>
    </w:p>
    <w:tbl>
      <w:tblPr>
        <w:tblStyle w:val="ListTable21"/>
        <w:tblpPr w:leftFromText="180" w:rightFromText="180" w:vertAnchor="text" w:tblpY="303"/>
        <w:tblW w:w="9360" w:type="dxa"/>
        <w:tblBorders>
          <w:top w:val="single" w:sz="12" w:space="0" w:color="auto"/>
          <w:bottom w:val="single" w:sz="12" w:space="0" w:color="auto"/>
          <w:insideH w:val="none" w:sz="0" w:space="0" w:color="auto"/>
        </w:tblBorders>
        <w:tblLayout w:type="fixed"/>
        <w:tblLook w:val="0600" w:firstRow="0" w:lastRow="0" w:firstColumn="0" w:lastColumn="0" w:noHBand="1" w:noVBand="1"/>
      </w:tblPr>
      <w:tblGrid>
        <w:gridCol w:w="1170"/>
        <w:gridCol w:w="1170"/>
        <w:gridCol w:w="1170"/>
        <w:gridCol w:w="1170"/>
        <w:gridCol w:w="1170"/>
        <w:gridCol w:w="1170"/>
        <w:gridCol w:w="1170"/>
        <w:gridCol w:w="1170"/>
      </w:tblGrid>
      <w:tr w:rsidR="00F77439" w:rsidRPr="002E7761" w:rsidTr="001666F2">
        <w:tc>
          <w:tcPr>
            <w:tcW w:w="1170" w:type="dxa"/>
            <w:tcBorders>
              <w:top w:val="single" w:sz="12" w:space="0" w:color="auto"/>
              <w:bottom w:val="single" w:sz="12" w:space="0" w:color="auto"/>
            </w:tcBorders>
          </w:tcPr>
          <w:p w:rsidR="00F77439" w:rsidRPr="002E7761" w:rsidRDefault="00F77439" w:rsidP="00EB7E61">
            <w:pPr>
              <w:widowControl w:val="0"/>
              <w:rPr>
                <w:rFonts w:ascii="Times New Roman" w:eastAsia="Times New Roman" w:hAnsi="Times New Roman" w:cs="Times New Roman"/>
                <w:b/>
                <w:sz w:val="24"/>
                <w:szCs w:val="24"/>
              </w:rPr>
            </w:pPr>
            <w:r w:rsidRPr="002E7761">
              <w:rPr>
                <w:rFonts w:ascii="Times New Roman" w:eastAsia="Times New Roman" w:hAnsi="Times New Roman" w:cs="Times New Roman"/>
                <w:b/>
                <w:sz w:val="24"/>
                <w:szCs w:val="24"/>
              </w:rPr>
              <w:t>Compounds</w:t>
            </w:r>
          </w:p>
        </w:tc>
        <w:tc>
          <w:tcPr>
            <w:tcW w:w="1170" w:type="dxa"/>
            <w:tcBorders>
              <w:top w:val="single" w:sz="12" w:space="0" w:color="auto"/>
              <w:bottom w:val="single" w:sz="12" w:space="0" w:color="auto"/>
            </w:tcBorders>
          </w:tcPr>
          <w:p w:rsidR="00F77439" w:rsidRPr="002E7761" w:rsidRDefault="00F77439" w:rsidP="00EB7E61">
            <w:pPr>
              <w:widowControl w:val="0"/>
              <w:rPr>
                <w:rFonts w:ascii="Times New Roman" w:eastAsia="Times New Roman" w:hAnsi="Times New Roman" w:cs="Times New Roman"/>
                <w:b/>
                <w:sz w:val="24"/>
                <w:szCs w:val="24"/>
              </w:rPr>
            </w:pPr>
            <w:r w:rsidRPr="002E7761">
              <w:rPr>
                <w:rFonts w:ascii="Times New Roman" w:eastAsia="Arial" w:hAnsi="Times New Roman" w:cs="Times New Roman"/>
                <w:b/>
                <w:sz w:val="24"/>
                <w:szCs w:val="24"/>
                <w:shd w:val="clear" w:color="auto" w:fill="F5F5F5"/>
              </w:rPr>
              <w:t>AMES toxicity</w:t>
            </w:r>
          </w:p>
        </w:tc>
        <w:tc>
          <w:tcPr>
            <w:tcW w:w="1170" w:type="dxa"/>
            <w:tcBorders>
              <w:top w:val="single" w:sz="12" w:space="0" w:color="auto"/>
              <w:bottom w:val="single" w:sz="12" w:space="0" w:color="auto"/>
            </w:tcBorders>
          </w:tcPr>
          <w:p w:rsidR="00F77439" w:rsidRPr="002E7761" w:rsidRDefault="00F77439" w:rsidP="00EB7E61">
            <w:pPr>
              <w:widowControl w:val="0"/>
              <w:rPr>
                <w:rFonts w:ascii="Times New Roman" w:eastAsia="Times New Roman" w:hAnsi="Times New Roman" w:cs="Times New Roman"/>
                <w:b/>
                <w:sz w:val="24"/>
                <w:szCs w:val="24"/>
              </w:rPr>
            </w:pPr>
            <w:r w:rsidRPr="002E7761">
              <w:rPr>
                <w:rFonts w:ascii="Times New Roman" w:eastAsia="Arial" w:hAnsi="Times New Roman" w:cs="Times New Roman"/>
                <w:b/>
                <w:sz w:val="24"/>
                <w:szCs w:val="24"/>
                <w:shd w:val="clear" w:color="auto" w:fill="F5F5F5"/>
              </w:rPr>
              <w:t xml:space="preserve">Max. tolerated dose (human) (log </w:t>
            </w:r>
            <w:proofErr w:type="spellStart"/>
            <w:r w:rsidRPr="002E7761">
              <w:rPr>
                <w:rFonts w:ascii="Times New Roman" w:eastAsia="Arial" w:hAnsi="Times New Roman" w:cs="Times New Roman"/>
                <w:b/>
                <w:sz w:val="24"/>
                <w:szCs w:val="24"/>
                <w:shd w:val="clear" w:color="auto" w:fill="F5F5F5"/>
              </w:rPr>
              <w:t>mol</w:t>
            </w:r>
            <w:proofErr w:type="spellEnd"/>
            <w:r w:rsidRPr="002E7761">
              <w:rPr>
                <w:rFonts w:ascii="Times New Roman" w:eastAsia="Arial" w:hAnsi="Times New Roman" w:cs="Times New Roman"/>
                <w:b/>
                <w:sz w:val="24"/>
                <w:szCs w:val="24"/>
                <w:shd w:val="clear" w:color="auto" w:fill="F5F5F5"/>
              </w:rPr>
              <w:t>/kg)</w:t>
            </w:r>
          </w:p>
        </w:tc>
        <w:tc>
          <w:tcPr>
            <w:tcW w:w="1170" w:type="dxa"/>
            <w:tcBorders>
              <w:top w:val="single" w:sz="12" w:space="0" w:color="auto"/>
              <w:bottom w:val="single" w:sz="12" w:space="0" w:color="auto"/>
            </w:tcBorders>
          </w:tcPr>
          <w:p w:rsidR="00F77439" w:rsidRPr="002E7761" w:rsidRDefault="00F77439" w:rsidP="00EB7E61">
            <w:pPr>
              <w:widowControl w:val="0"/>
              <w:rPr>
                <w:rFonts w:ascii="Times New Roman" w:eastAsia="Times New Roman" w:hAnsi="Times New Roman" w:cs="Times New Roman"/>
                <w:b/>
                <w:sz w:val="24"/>
                <w:szCs w:val="24"/>
              </w:rPr>
            </w:pPr>
            <w:proofErr w:type="spellStart"/>
            <w:r w:rsidRPr="002E7761">
              <w:rPr>
                <w:rFonts w:ascii="Times New Roman" w:eastAsia="Arial" w:hAnsi="Times New Roman" w:cs="Times New Roman"/>
                <w:b/>
                <w:sz w:val="24"/>
                <w:szCs w:val="24"/>
                <w:shd w:val="clear" w:color="auto" w:fill="F5F5F5"/>
              </w:rPr>
              <w:t>hERG</w:t>
            </w:r>
            <w:proofErr w:type="spellEnd"/>
            <w:r w:rsidRPr="002E7761">
              <w:rPr>
                <w:rFonts w:ascii="Times New Roman" w:eastAsia="Arial" w:hAnsi="Times New Roman" w:cs="Times New Roman"/>
                <w:b/>
                <w:sz w:val="24"/>
                <w:szCs w:val="24"/>
                <w:shd w:val="clear" w:color="auto" w:fill="F5F5F5"/>
              </w:rPr>
              <w:t xml:space="preserve"> I inhibitor</w:t>
            </w:r>
          </w:p>
        </w:tc>
        <w:tc>
          <w:tcPr>
            <w:tcW w:w="1170" w:type="dxa"/>
            <w:tcBorders>
              <w:top w:val="single" w:sz="12" w:space="0" w:color="auto"/>
              <w:bottom w:val="single" w:sz="12" w:space="0" w:color="auto"/>
            </w:tcBorders>
          </w:tcPr>
          <w:p w:rsidR="00F77439" w:rsidRPr="002E7761" w:rsidRDefault="00F77439" w:rsidP="00EB7E61">
            <w:pPr>
              <w:widowControl w:val="0"/>
              <w:rPr>
                <w:rFonts w:ascii="Times New Roman" w:eastAsia="Times New Roman" w:hAnsi="Times New Roman" w:cs="Times New Roman"/>
                <w:b/>
                <w:sz w:val="24"/>
                <w:szCs w:val="24"/>
              </w:rPr>
            </w:pPr>
            <w:proofErr w:type="spellStart"/>
            <w:r w:rsidRPr="002E7761">
              <w:rPr>
                <w:rFonts w:ascii="Times New Roman" w:eastAsia="Arial" w:hAnsi="Times New Roman" w:cs="Times New Roman"/>
                <w:b/>
                <w:sz w:val="24"/>
                <w:szCs w:val="24"/>
                <w:shd w:val="clear" w:color="auto" w:fill="F5F5F5"/>
              </w:rPr>
              <w:t>hERG</w:t>
            </w:r>
            <w:proofErr w:type="spellEnd"/>
            <w:r w:rsidRPr="002E7761">
              <w:rPr>
                <w:rFonts w:ascii="Times New Roman" w:eastAsia="Arial" w:hAnsi="Times New Roman" w:cs="Times New Roman"/>
                <w:b/>
                <w:sz w:val="24"/>
                <w:szCs w:val="24"/>
                <w:shd w:val="clear" w:color="auto" w:fill="F5F5F5"/>
              </w:rPr>
              <w:t xml:space="preserve"> II inhibitor</w:t>
            </w:r>
          </w:p>
        </w:tc>
        <w:tc>
          <w:tcPr>
            <w:tcW w:w="1170" w:type="dxa"/>
            <w:tcBorders>
              <w:top w:val="single" w:sz="12" w:space="0" w:color="auto"/>
              <w:bottom w:val="single" w:sz="12" w:space="0" w:color="auto"/>
            </w:tcBorders>
          </w:tcPr>
          <w:p w:rsidR="00F77439" w:rsidRPr="002E7761" w:rsidRDefault="00F77439" w:rsidP="00EB7E61">
            <w:pPr>
              <w:widowControl w:val="0"/>
              <w:rPr>
                <w:rFonts w:ascii="Times New Roman" w:eastAsia="Times New Roman" w:hAnsi="Times New Roman" w:cs="Times New Roman"/>
                <w:b/>
                <w:sz w:val="24"/>
                <w:szCs w:val="24"/>
              </w:rPr>
            </w:pPr>
            <w:r w:rsidRPr="002E7761">
              <w:rPr>
                <w:rFonts w:ascii="Times New Roman" w:eastAsia="Arial" w:hAnsi="Times New Roman" w:cs="Times New Roman"/>
                <w:b/>
                <w:sz w:val="24"/>
                <w:szCs w:val="24"/>
                <w:shd w:val="clear" w:color="auto" w:fill="F5F5F5"/>
              </w:rPr>
              <w:t>Oral Rat Acute Toxicity (LD50) (</w:t>
            </w:r>
            <w:proofErr w:type="spellStart"/>
            <w:r w:rsidRPr="002E7761">
              <w:rPr>
                <w:rFonts w:ascii="Times New Roman" w:eastAsia="Arial" w:hAnsi="Times New Roman" w:cs="Times New Roman"/>
                <w:b/>
                <w:sz w:val="24"/>
                <w:szCs w:val="24"/>
                <w:shd w:val="clear" w:color="auto" w:fill="F5F5F5"/>
              </w:rPr>
              <w:t>mol</w:t>
            </w:r>
            <w:proofErr w:type="spellEnd"/>
            <w:r w:rsidRPr="002E7761">
              <w:rPr>
                <w:rFonts w:ascii="Times New Roman" w:eastAsia="Arial" w:hAnsi="Times New Roman" w:cs="Times New Roman"/>
                <w:b/>
                <w:sz w:val="24"/>
                <w:szCs w:val="24"/>
                <w:shd w:val="clear" w:color="auto" w:fill="F5F5F5"/>
              </w:rPr>
              <w:t>/kg)</w:t>
            </w:r>
          </w:p>
        </w:tc>
        <w:tc>
          <w:tcPr>
            <w:tcW w:w="1170" w:type="dxa"/>
            <w:tcBorders>
              <w:top w:val="single" w:sz="12" w:space="0" w:color="auto"/>
              <w:bottom w:val="single" w:sz="12" w:space="0" w:color="auto"/>
            </w:tcBorders>
          </w:tcPr>
          <w:p w:rsidR="00F77439" w:rsidRPr="002E7761" w:rsidRDefault="00F77439" w:rsidP="00EB7E61">
            <w:pPr>
              <w:widowControl w:val="0"/>
              <w:rPr>
                <w:rFonts w:ascii="Times New Roman" w:eastAsia="Times New Roman" w:hAnsi="Times New Roman" w:cs="Times New Roman"/>
                <w:b/>
                <w:sz w:val="24"/>
                <w:szCs w:val="24"/>
              </w:rPr>
            </w:pPr>
            <w:r w:rsidRPr="002E7761">
              <w:rPr>
                <w:rFonts w:ascii="Times New Roman" w:eastAsia="Arial" w:hAnsi="Times New Roman" w:cs="Times New Roman"/>
                <w:b/>
                <w:sz w:val="24"/>
                <w:szCs w:val="24"/>
                <w:shd w:val="clear" w:color="auto" w:fill="F5F5F5"/>
              </w:rPr>
              <w:t>Hepatotoxicity</w:t>
            </w:r>
          </w:p>
        </w:tc>
        <w:tc>
          <w:tcPr>
            <w:tcW w:w="1170" w:type="dxa"/>
            <w:tcBorders>
              <w:top w:val="single" w:sz="12" w:space="0" w:color="auto"/>
              <w:bottom w:val="single" w:sz="12" w:space="0" w:color="auto"/>
            </w:tcBorders>
          </w:tcPr>
          <w:p w:rsidR="00F77439" w:rsidRPr="002E7761" w:rsidRDefault="00F77439" w:rsidP="00EB7E61">
            <w:pPr>
              <w:widowControl w:val="0"/>
              <w:rPr>
                <w:rFonts w:ascii="Times New Roman" w:eastAsia="Times New Roman" w:hAnsi="Times New Roman" w:cs="Times New Roman"/>
                <w:b/>
                <w:sz w:val="24"/>
                <w:szCs w:val="24"/>
              </w:rPr>
            </w:pPr>
            <w:r w:rsidRPr="002E7761">
              <w:rPr>
                <w:rFonts w:ascii="Times New Roman" w:eastAsia="Arial" w:hAnsi="Times New Roman" w:cs="Times New Roman"/>
                <w:b/>
                <w:sz w:val="24"/>
                <w:szCs w:val="24"/>
                <w:shd w:val="clear" w:color="auto" w:fill="F5F5F5"/>
              </w:rPr>
              <w:t xml:space="preserve">Skin </w:t>
            </w:r>
            <w:proofErr w:type="spellStart"/>
            <w:r w:rsidRPr="002E7761">
              <w:rPr>
                <w:rFonts w:ascii="Times New Roman" w:eastAsia="Arial" w:hAnsi="Times New Roman" w:cs="Times New Roman"/>
                <w:b/>
                <w:sz w:val="24"/>
                <w:szCs w:val="24"/>
                <w:shd w:val="clear" w:color="auto" w:fill="F5F5F5"/>
              </w:rPr>
              <w:t>Sensitisation</w:t>
            </w:r>
            <w:proofErr w:type="spellEnd"/>
          </w:p>
        </w:tc>
      </w:tr>
      <w:tr w:rsidR="00896B0D" w:rsidRPr="002E7761" w:rsidTr="001666F2">
        <w:tc>
          <w:tcPr>
            <w:tcW w:w="1170" w:type="dxa"/>
            <w:tcBorders>
              <w:top w:val="single" w:sz="12" w:space="0" w:color="auto"/>
            </w:tcBorders>
          </w:tcPr>
          <w:p w:rsidR="00896B0D" w:rsidRPr="0020784A" w:rsidRDefault="00896B0D" w:rsidP="00896B0D">
            <w:pPr>
              <w:jc w:val="both"/>
              <w:rPr>
                <w:rFonts w:ascii="Times New Roman" w:hAnsi="Times New Roman" w:cs="Times New Roman"/>
                <w:sz w:val="24"/>
                <w:szCs w:val="24"/>
              </w:rPr>
            </w:pPr>
            <w:r w:rsidRPr="0020784A">
              <w:rPr>
                <w:rFonts w:ascii="Times New Roman" w:hAnsi="Times New Roman" w:cs="Times New Roman"/>
                <w:sz w:val="24"/>
                <w:szCs w:val="24"/>
              </w:rPr>
              <w:lastRenderedPageBreak/>
              <w:t>COMP1</w:t>
            </w:r>
          </w:p>
        </w:tc>
        <w:tc>
          <w:tcPr>
            <w:tcW w:w="1170" w:type="dxa"/>
            <w:tcBorders>
              <w:top w:val="single" w:sz="12" w:space="0" w:color="auto"/>
            </w:tcBorders>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170" w:type="dxa"/>
            <w:tcBorders>
              <w:top w:val="single" w:sz="12" w:space="0" w:color="auto"/>
            </w:tcBorders>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-0.36</w:t>
            </w:r>
          </w:p>
        </w:tc>
        <w:tc>
          <w:tcPr>
            <w:tcW w:w="1170" w:type="dxa"/>
            <w:tcBorders>
              <w:top w:val="single" w:sz="12" w:space="0" w:color="auto"/>
            </w:tcBorders>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c>
          <w:tcPr>
            <w:tcW w:w="1170" w:type="dxa"/>
            <w:tcBorders>
              <w:top w:val="single" w:sz="12" w:space="0" w:color="auto"/>
            </w:tcBorders>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c>
          <w:tcPr>
            <w:tcW w:w="1170" w:type="dxa"/>
            <w:tcBorders>
              <w:top w:val="single" w:sz="12" w:space="0" w:color="auto"/>
            </w:tcBorders>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2.21</w:t>
            </w:r>
          </w:p>
        </w:tc>
        <w:tc>
          <w:tcPr>
            <w:tcW w:w="1170" w:type="dxa"/>
            <w:tcBorders>
              <w:top w:val="single" w:sz="12" w:space="0" w:color="auto"/>
            </w:tcBorders>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c>
          <w:tcPr>
            <w:tcW w:w="1170" w:type="dxa"/>
            <w:tcBorders>
              <w:top w:val="single" w:sz="12" w:space="0" w:color="auto"/>
            </w:tcBorders>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r>
      <w:tr w:rsidR="00896B0D" w:rsidRPr="002E7761" w:rsidTr="00896B0D">
        <w:tc>
          <w:tcPr>
            <w:tcW w:w="1170" w:type="dxa"/>
          </w:tcPr>
          <w:p w:rsidR="00896B0D" w:rsidRPr="0020784A" w:rsidRDefault="00896B0D" w:rsidP="00896B0D">
            <w:pPr>
              <w:jc w:val="both"/>
              <w:rPr>
                <w:rFonts w:ascii="Times New Roman" w:hAnsi="Times New Roman" w:cs="Times New Roman"/>
                <w:sz w:val="24"/>
                <w:szCs w:val="24"/>
              </w:rPr>
            </w:pPr>
            <w:r w:rsidRPr="0020784A">
              <w:rPr>
                <w:rFonts w:ascii="Times New Roman" w:hAnsi="Times New Roman" w:cs="Times New Roman"/>
                <w:sz w:val="24"/>
                <w:szCs w:val="24"/>
              </w:rPr>
              <w:t>COMP2</w:t>
            </w:r>
          </w:p>
        </w:tc>
        <w:tc>
          <w:tcPr>
            <w:tcW w:w="1170" w:type="dxa"/>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170" w:type="dxa"/>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-0.29</w:t>
            </w:r>
          </w:p>
        </w:tc>
        <w:tc>
          <w:tcPr>
            <w:tcW w:w="1170" w:type="dxa"/>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c>
          <w:tcPr>
            <w:tcW w:w="1170" w:type="dxa"/>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c>
          <w:tcPr>
            <w:tcW w:w="1170" w:type="dxa"/>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2.23</w:t>
            </w:r>
          </w:p>
        </w:tc>
        <w:tc>
          <w:tcPr>
            <w:tcW w:w="1170" w:type="dxa"/>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c>
          <w:tcPr>
            <w:tcW w:w="1170" w:type="dxa"/>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r>
      <w:tr w:rsidR="00896B0D" w:rsidRPr="002E7761" w:rsidTr="00896B0D">
        <w:tc>
          <w:tcPr>
            <w:tcW w:w="1170" w:type="dxa"/>
          </w:tcPr>
          <w:p w:rsidR="00896B0D" w:rsidRPr="0020784A" w:rsidRDefault="00896B0D" w:rsidP="00896B0D">
            <w:pPr>
              <w:jc w:val="both"/>
              <w:rPr>
                <w:rFonts w:ascii="Times New Roman" w:hAnsi="Times New Roman" w:cs="Times New Roman"/>
                <w:sz w:val="24"/>
                <w:szCs w:val="24"/>
              </w:rPr>
            </w:pPr>
            <w:r w:rsidRPr="0020784A">
              <w:rPr>
                <w:rFonts w:ascii="Times New Roman" w:hAnsi="Times New Roman" w:cs="Times New Roman"/>
                <w:sz w:val="24"/>
                <w:szCs w:val="24"/>
              </w:rPr>
              <w:t>COMP3</w:t>
            </w:r>
          </w:p>
        </w:tc>
        <w:tc>
          <w:tcPr>
            <w:tcW w:w="1170" w:type="dxa"/>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c>
          <w:tcPr>
            <w:tcW w:w="1170" w:type="dxa"/>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0.49</w:t>
            </w:r>
          </w:p>
        </w:tc>
        <w:tc>
          <w:tcPr>
            <w:tcW w:w="1170" w:type="dxa"/>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c>
          <w:tcPr>
            <w:tcW w:w="1170" w:type="dxa"/>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c>
          <w:tcPr>
            <w:tcW w:w="1170" w:type="dxa"/>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2.46</w:t>
            </w:r>
          </w:p>
        </w:tc>
        <w:tc>
          <w:tcPr>
            <w:tcW w:w="1170" w:type="dxa"/>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c>
          <w:tcPr>
            <w:tcW w:w="1170" w:type="dxa"/>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r>
      <w:tr w:rsidR="00896B0D" w:rsidRPr="002E7761" w:rsidTr="00896B0D">
        <w:tc>
          <w:tcPr>
            <w:tcW w:w="1170" w:type="dxa"/>
          </w:tcPr>
          <w:p w:rsidR="00896B0D" w:rsidRPr="0020784A" w:rsidRDefault="00896B0D" w:rsidP="00896B0D">
            <w:pPr>
              <w:jc w:val="both"/>
              <w:rPr>
                <w:rFonts w:ascii="Times New Roman" w:hAnsi="Times New Roman" w:cs="Times New Roman"/>
                <w:sz w:val="24"/>
                <w:szCs w:val="24"/>
              </w:rPr>
            </w:pPr>
            <w:r w:rsidRPr="0020784A">
              <w:rPr>
                <w:rFonts w:ascii="Times New Roman" w:hAnsi="Times New Roman" w:cs="Times New Roman"/>
                <w:sz w:val="24"/>
                <w:szCs w:val="24"/>
              </w:rPr>
              <w:t>COMP4</w:t>
            </w:r>
          </w:p>
        </w:tc>
        <w:tc>
          <w:tcPr>
            <w:tcW w:w="1170" w:type="dxa"/>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c>
          <w:tcPr>
            <w:tcW w:w="1170" w:type="dxa"/>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0.52</w:t>
            </w:r>
          </w:p>
        </w:tc>
        <w:tc>
          <w:tcPr>
            <w:tcW w:w="1170" w:type="dxa"/>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c>
          <w:tcPr>
            <w:tcW w:w="1170" w:type="dxa"/>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c>
          <w:tcPr>
            <w:tcW w:w="1170" w:type="dxa"/>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2.53</w:t>
            </w:r>
          </w:p>
        </w:tc>
        <w:tc>
          <w:tcPr>
            <w:tcW w:w="1170" w:type="dxa"/>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c>
          <w:tcPr>
            <w:tcW w:w="1170" w:type="dxa"/>
          </w:tcPr>
          <w:p w:rsidR="00896B0D" w:rsidRPr="002E7761" w:rsidRDefault="00896B0D" w:rsidP="00896B0D">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r>
      <w:tr w:rsidR="00F77439" w:rsidRPr="002E7761" w:rsidTr="00896B0D">
        <w:tc>
          <w:tcPr>
            <w:tcW w:w="1170" w:type="dxa"/>
          </w:tcPr>
          <w:p w:rsidR="00F77439" w:rsidRPr="0020784A" w:rsidRDefault="00F77439" w:rsidP="00EB7E61">
            <w:pPr>
              <w:widowControl w:val="0"/>
              <w:rPr>
                <w:rFonts w:ascii="Times New Roman" w:eastAsia="Times New Roman" w:hAnsi="Times New Roman" w:cs="Times New Roman"/>
                <w:sz w:val="24"/>
                <w:szCs w:val="24"/>
              </w:rPr>
            </w:pPr>
            <w:proofErr w:type="spellStart"/>
            <w:r w:rsidRPr="0020784A">
              <w:rPr>
                <w:rFonts w:ascii="Times New Roman" w:eastAsia="Times New Roman" w:hAnsi="Times New Roman" w:cs="Times New Roman"/>
                <w:sz w:val="24"/>
                <w:szCs w:val="24"/>
              </w:rPr>
              <w:t>Enzalutamide</w:t>
            </w:r>
            <w:proofErr w:type="spellEnd"/>
          </w:p>
        </w:tc>
        <w:tc>
          <w:tcPr>
            <w:tcW w:w="117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c>
          <w:tcPr>
            <w:tcW w:w="117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-0.13</w:t>
            </w:r>
          </w:p>
        </w:tc>
        <w:tc>
          <w:tcPr>
            <w:tcW w:w="117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c>
          <w:tcPr>
            <w:tcW w:w="117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c>
          <w:tcPr>
            <w:tcW w:w="117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2.64</w:t>
            </w:r>
          </w:p>
        </w:tc>
        <w:tc>
          <w:tcPr>
            <w:tcW w:w="117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17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r>
      <w:tr w:rsidR="00F77439" w:rsidRPr="002E7761" w:rsidTr="00896B0D">
        <w:tc>
          <w:tcPr>
            <w:tcW w:w="1170" w:type="dxa"/>
          </w:tcPr>
          <w:p w:rsidR="00F77439" w:rsidRPr="0020784A" w:rsidRDefault="00F77439" w:rsidP="00EB7E61">
            <w:pPr>
              <w:widowControl w:val="0"/>
              <w:rPr>
                <w:rFonts w:ascii="Times New Roman" w:eastAsia="Times New Roman" w:hAnsi="Times New Roman" w:cs="Times New Roman"/>
                <w:sz w:val="24"/>
                <w:szCs w:val="24"/>
              </w:rPr>
            </w:pPr>
            <w:proofErr w:type="spellStart"/>
            <w:r w:rsidRPr="0020784A">
              <w:rPr>
                <w:rFonts w:ascii="Times New Roman" w:eastAsia="Times New Roman" w:hAnsi="Times New Roman" w:cs="Times New Roman"/>
                <w:sz w:val="24"/>
                <w:szCs w:val="24"/>
              </w:rPr>
              <w:t>Apalutamide</w:t>
            </w:r>
            <w:proofErr w:type="spellEnd"/>
          </w:p>
        </w:tc>
        <w:tc>
          <w:tcPr>
            <w:tcW w:w="117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c>
          <w:tcPr>
            <w:tcW w:w="117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-0.78</w:t>
            </w:r>
          </w:p>
        </w:tc>
        <w:tc>
          <w:tcPr>
            <w:tcW w:w="117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c>
          <w:tcPr>
            <w:tcW w:w="117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c>
          <w:tcPr>
            <w:tcW w:w="117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3.07</w:t>
            </w:r>
          </w:p>
        </w:tc>
        <w:tc>
          <w:tcPr>
            <w:tcW w:w="117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Yes</w:t>
            </w:r>
          </w:p>
        </w:tc>
        <w:tc>
          <w:tcPr>
            <w:tcW w:w="1170" w:type="dxa"/>
          </w:tcPr>
          <w:p w:rsidR="00F77439" w:rsidRPr="002E7761" w:rsidRDefault="00F77439" w:rsidP="00EB7E61">
            <w:pPr>
              <w:widowControl w:val="0"/>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No</w:t>
            </w:r>
          </w:p>
        </w:tc>
      </w:tr>
    </w:tbl>
    <w:p w:rsidR="00DC7975" w:rsidRDefault="00DC7975" w:rsidP="006D3376">
      <w:pPr>
        <w:spacing w:line="276" w:lineRule="auto"/>
        <w:rPr>
          <w:rFonts w:ascii="Times New Roman" w:hAnsi="Times New Roman" w:cs="Times New Roman"/>
          <w:bCs/>
          <w:sz w:val="24"/>
          <w:szCs w:val="24"/>
          <w:lang w:val="en-US"/>
        </w:rPr>
      </w:pPr>
    </w:p>
    <w:p w:rsidR="00122917" w:rsidRDefault="00122917" w:rsidP="006D3376">
      <w:pPr>
        <w:spacing w:line="276" w:lineRule="auto"/>
        <w:jc w:val="center"/>
        <w:rPr>
          <w:rFonts w:ascii="Times New Roman" w:hAnsi="Times New Roman" w:cs="Times New Roman"/>
          <w:b/>
          <w:sz w:val="24"/>
          <w:szCs w:val="24"/>
        </w:rPr>
      </w:pPr>
    </w:p>
    <w:p w:rsidR="00122917" w:rsidRDefault="00122917" w:rsidP="006D3376">
      <w:pPr>
        <w:spacing w:line="276" w:lineRule="auto"/>
        <w:jc w:val="center"/>
        <w:rPr>
          <w:rFonts w:ascii="Times New Roman" w:hAnsi="Times New Roman" w:cs="Times New Roman"/>
          <w:b/>
          <w:sz w:val="24"/>
          <w:szCs w:val="24"/>
        </w:rPr>
      </w:pPr>
    </w:p>
    <w:p w:rsidR="00122917" w:rsidRDefault="00122917" w:rsidP="006D3376">
      <w:pPr>
        <w:spacing w:line="276" w:lineRule="auto"/>
        <w:jc w:val="center"/>
        <w:rPr>
          <w:rFonts w:ascii="Times New Roman" w:hAnsi="Times New Roman" w:cs="Times New Roman"/>
          <w:b/>
          <w:sz w:val="24"/>
          <w:szCs w:val="24"/>
        </w:rPr>
      </w:pPr>
    </w:p>
    <w:p w:rsidR="00122917" w:rsidRDefault="00122917" w:rsidP="006D3376">
      <w:pPr>
        <w:spacing w:line="276" w:lineRule="auto"/>
        <w:jc w:val="center"/>
        <w:rPr>
          <w:rFonts w:ascii="Times New Roman" w:hAnsi="Times New Roman" w:cs="Times New Roman"/>
          <w:b/>
          <w:sz w:val="24"/>
          <w:szCs w:val="24"/>
        </w:rPr>
      </w:pPr>
    </w:p>
    <w:p w:rsidR="00122917" w:rsidRDefault="00122917" w:rsidP="006D3376">
      <w:pPr>
        <w:spacing w:line="276" w:lineRule="auto"/>
        <w:jc w:val="center"/>
        <w:rPr>
          <w:rFonts w:ascii="Times New Roman" w:hAnsi="Times New Roman" w:cs="Times New Roman"/>
          <w:b/>
          <w:sz w:val="24"/>
          <w:szCs w:val="24"/>
        </w:rPr>
      </w:pPr>
    </w:p>
    <w:p w:rsidR="001666F2" w:rsidRDefault="001666F2" w:rsidP="00E13667">
      <w:pPr>
        <w:spacing w:line="276" w:lineRule="auto"/>
        <w:rPr>
          <w:rFonts w:ascii="Times New Roman" w:hAnsi="Times New Roman" w:cs="Times New Roman"/>
          <w:b/>
          <w:sz w:val="24"/>
          <w:szCs w:val="24"/>
        </w:rPr>
      </w:pPr>
    </w:p>
    <w:p w:rsidR="001666F2" w:rsidRDefault="001666F2" w:rsidP="006D3376">
      <w:pPr>
        <w:spacing w:line="276" w:lineRule="auto"/>
        <w:jc w:val="center"/>
        <w:rPr>
          <w:rFonts w:ascii="Times New Roman" w:hAnsi="Times New Roman" w:cs="Times New Roman"/>
          <w:b/>
          <w:sz w:val="24"/>
          <w:szCs w:val="24"/>
        </w:rPr>
      </w:pPr>
    </w:p>
    <w:p w:rsidR="001F0818" w:rsidRDefault="001F0818" w:rsidP="006D3376">
      <w:pPr>
        <w:spacing w:line="276" w:lineRule="auto"/>
        <w:jc w:val="center"/>
        <w:rPr>
          <w:rFonts w:ascii="Times New Roman" w:hAnsi="Times New Roman" w:cs="Times New Roman"/>
          <w:b/>
          <w:sz w:val="24"/>
          <w:szCs w:val="24"/>
        </w:rPr>
      </w:pPr>
      <w:r>
        <w:rPr>
          <w:rFonts w:ascii="Times New Roman" w:hAnsi="Times New Roman" w:cs="Times New Roman"/>
          <w:b/>
          <w:sz w:val="24"/>
          <w:szCs w:val="24"/>
        </w:rPr>
        <w:t>CHAPTER FIVE</w:t>
      </w:r>
    </w:p>
    <w:p w:rsidR="00F77439" w:rsidRPr="002E7761" w:rsidRDefault="00F77439" w:rsidP="006D3376">
      <w:pPr>
        <w:spacing w:line="276" w:lineRule="auto"/>
        <w:jc w:val="center"/>
        <w:rPr>
          <w:rFonts w:ascii="Times New Roman" w:hAnsi="Times New Roman" w:cs="Times New Roman"/>
          <w:b/>
          <w:sz w:val="24"/>
          <w:szCs w:val="24"/>
        </w:rPr>
      </w:pPr>
      <w:r w:rsidRPr="002E7761">
        <w:rPr>
          <w:rFonts w:ascii="Times New Roman" w:hAnsi="Times New Roman" w:cs="Times New Roman"/>
          <w:b/>
          <w:sz w:val="24"/>
          <w:szCs w:val="24"/>
        </w:rPr>
        <w:t>DISCUSSION</w:t>
      </w:r>
    </w:p>
    <w:p w:rsidR="00E13667" w:rsidRDefault="00D84CF6" w:rsidP="006D3376">
      <w:pPr>
        <w:spacing w:line="360" w:lineRule="auto"/>
        <w:rPr>
          <w:rFonts w:ascii="Times New Roman" w:hAnsi="Times New Roman" w:cs="Times New Roman"/>
          <w:b/>
          <w:sz w:val="24"/>
          <w:szCs w:val="24"/>
        </w:rPr>
      </w:pPr>
      <w:r>
        <w:rPr>
          <w:rFonts w:ascii="Times New Roman" w:hAnsi="Times New Roman" w:cs="Times New Roman"/>
          <w:b/>
          <w:sz w:val="24"/>
          <w:szCs w:val="24"/>
        </w:rPr>
        <w:t>5.1</w:t>
      </w:r>
      <w:r w:rsidR="001E4EC6" w:rsidRPr="001E4EC6">
        <w:t xml:space="preserve"> </w:t>
      </w:r>
      <w:r w:rsidR="001E4EC6" w:rsidRPr="001E4EC6">
        <w:rPr>
          <w:rFonts w:ascii="Times New Roman" w:hAnsi="Times New Roman" w:cs="Times New Roman"/>
          <w:b/>
          <w:sz w:val="24"/>
          <w:szCs w:val="24"/>
        </w:rPr>
        <w:t>Association</w:t>
      </w:r>
      <w:r w:rsidR="001E4EC6">
        <w:rPr>
          <w:rFonts w:ascii="Times New Roman" w:hAnsi="Times New Roman" w:cs="Times New Roman"/>
          <w:b/>
          <w:sz w:val="24"/>
          <w:szCs w:val="24"/>
        </w:rPr>
        <w:t xml:space="preserve"> </w:t>
      </w:r>
      <w:r w:rsidR="001E4EC6" w:rsidRPr="001E4EC6">
        <w:rPr>
          <w:rFonts w:ascii="Times New Roman" w:hAnsi="Times New Roman" w:cs="Times New Roman"/>
          <w:b/>
          <w:sz w:val="24"/>
          <w:szCs w:val="24"/>
        </w:rPr>
        <w:t>of</w:t>
      </w:r>
      <w:r w:rsidR="001E4EC6">
        <w:rPr>
          <w:rFonts w:ascii="Times New Roman" w:hAnsi="Times New Roman" w:cs="Times New Roman"/>
          <w:b/>
          <w:sz w:val="24"/>
          <w:szCs w:val="24"/>
        </w:rPr>
        <w:t xml:space="preserve"> </w:t>
      </w:r>
      <w:r w:rsidR="001E4EC6" w:rsidRPr="001E4EC6">
        <w:rPr>
          <w:rFonts w:ascii="Times New Roman" w:hAnsi="Times New Roman" w:cs="Times New Roman"/>
          <w:b/>
          <w:sz w:val="24"/>
          <w:szCs w:val="24"/>
        </w:rPr>
        <w:t>SPOP</w:t>
      </w:r>
      <w:r w:rsidR="001E4EC6">
        <w:rPr>
          <w:rFonts w:ascii="Times New Roman" w:hAnsi="Times New Roman" w:cs="Times New Roman"/>
          <w:b/>
          <w:sz w:val="24"/>
          <w:szCs w:val="24"/>
        </w:rPr>
        <w:t xml:space="preserve"> </w:t>
      </w:r>
      <w:r w:rsidR="001E4EC6" w:rsidRPr="001E4EC6">
        <w:rPr>
          <w:rFonts w:ascii="Times New Roman" w:hAnsi="Times New Roman" w:cs="Times New Roman"/>
          <w:b/>
          <w:sz w:val="24"/>
          <w:szCs w:val="24"/>
        </w:rPr>
        <w:t>Mutation</w:t>
      </w:r>
      <w:r w:rsidR="001E4EC6">
        <w:rPr>
          <w:rFonts w:ascii="Times New Roman" w:hAnsi="Times New Roman" w:cs="Times New Roman"/>
          <w:b/>
          <w:sz w:val="24"/>
          <w:szCs w:val="24"/>
        </w:rPr>
        <w:t xml:space="preserve"> </w:t>
      </w:r>
      <w:r w:rsidR="001E4EC6" w:rsidRPr="001E4EC6">
        <w:rPr>
          <w:rFonts w:ascii="Times New Roman" w:hAnsi="Times New Roman" w:cs="Times New Roman"/>
          <w:b/>
          <w:sz w:val="24"/>
          <w:szCs w:val="24"/>
        </w:rPr>
        <w:t>with</w:t>
      </w:r>
      <w:r w:rsidR="001E4EC6">
        <w:rPr>
          <w:rFonts w:ascii="Times New Roman" w:hAnsi="Times New Roman" w:cs="Times New Roman"/>
          <w:b/>
          <w:sz w:val="24"/>
          <w:szCs w:val="24"/>
        </w:rPr>
        <w:t xml:space="preserve"> </w:t>
      </w:r>
      <w:proofErr w:type="spellStart"/>
      <w:r w:rsidR="001E4EC6" w:rsidRPr="001E4EC6">
        <w:rPr>
          <w:rFonts w:ascii="Times New Roman" w:hAnsi="Times New Roman" w:cs="Times New Roman"/>
          <w:b/>
          <w:sz w:val="24"/>
          <w:szCs w:val="24"/>
        </w:rPr>
        <w:t>Clinicopathologic</w:t>
      </w:r>
      <w:proofErr w:type="spellEnd"/>
      <w:r w:rsidR="001E4EC6" w:rsidRPr="001E4EC6">
        <w:rPr>
          <w:rFonts w:ascii="Times New Roman" w:hAnsi="Times New Roman" w:cs="Times New Roman"/>
          <w:b/>
          <w:sz w:val="24"/>
          <w:szCs w:val="24"/>
        </w:rPr>
        <w:t xml:space="preserve"> Characteristics</w:t>
      </w:r>
    </w:p>
    <w:p w:rsidR="001E4EC6" w:rsidRDefault="001E4EC6" w:rsidP="006D3376">
      <w:pPr>
        <w:spacing w:line="360" w:lineRule="auto"/>
        <w:rPr>
          <w:rFonts w:ascii="Times New Roman" w:hAnsi="Times New Roman" w:cs="Times New Roman"/>
          <w:b/>
          <w:sz w:val="24"/>
          <w:szCs w:val="24"/>
        </w:rPr>
      </w:pPr>
    </w:p>
    <w:p w:rsidR="00F77439" w:rsidRPr="002E7761" w:rsidRDefault="001E4EC6" w:rsidP="006D3376">
      <w:pPr>
        <w:spacing w:line="360" w:lineRule="auto"/>
        <w:rPr>
          <w:rFonts w:ascii="Times New Roman" w:hAnsi="Times New Roman" w:cs="Times New Roman"/>
          <w:b/>
          <w:sz w:val="24"/>
          <w:szCs w:val="24"/>
        </w:rPr>
      </w:pPr>
      <w:r>
        <w:rPr>
          <w:rFonts w:ascii="Times New Roman" w:hAnsi="Times New Roman" w:cs="Times New Roman"/>
          <w:b/>
          <w:sz w:val="24"/>
          <w:szCs w:val="24"/>
        </w:rPr>
        <w:t>5.2</w:t>
      </w:r>
      <w:r w:rsidR="00F77439" w:rsidRPr="002E7761">
        <w:rPr>
          <w:rFonts w:ascii="Times New Roman" w:hAnsi="Times New Roman" w:cs="Times New Roman"/>
          <w:b/>
          <w:sz w:val="24"/>
          <w:szCs w:val="24"/>
        </w:rPr>
        <w:t xml:space="preserve"> </w:t>
      </w:r>
      <w:r w:rsidR="00DC7975">
        <w:rPr>
          <w:rFonts w:ascii="Times New Roman" w:hAnsi="Times New Roman" w:cs="Times New Roman"/>
          <w:b/>
          <w:sz w:val="24"/>
          <w:szCs w:val="24"/>
        </w:rPr>
        <w:t xml:space="preserve">Human </w:t>
      </w:r>
      <w:r w:rsidR="00F77439" w:rsidRPr="002E7761">
        <w:rPr>
          <w:rFonts w:ascii="Times New Roman" w:hAnsi="Times New Roman" w:cs="Times New Roman"/>
          <w:b/>
          <w:sz w:val="24"/>
          <w:szCs w:val="24"/>
        </w:rPr>
        <w:t>SPOP, A</w:t>
      </w:r>
      <w:r w:rsidR="00820222">
        <w:rPr>
          <w:rFonts w:ascii="Times New Roman" w:hAnsi="Times New Roman" w:cs="Times New Roman"/>
          <w:b/>
          <w:sz w:val="24"/>
          <w:szCs w:val="24"/>
        </w:rPr>
        <w:t>R, SRC-3 Protein Levels</w:t>
      </w:r>
    </w:p>
    <w:p w:rsidR="00535927" w:rsidRDefault="00203BCA" w:rsidP="00203BCA">
      <w:pPr>
        <w:spacing w:line="360" w:lineRule="auto"/>
        <w:jc w:val="both"/>
        <w:rPr>
          <w:rFonts w:ascii="Times New Roman" w:hAnsi="Times New Roman" w:cs="Times New Roman"/>
          <w:sz w:val="24"/>
          <w:szCs w:val="24"/>
        </w:rPr>
      </w:pPr>
      <w:r w:rsidRPr="003909D6">
        <w:rPr>
          <w:rFonts w:ascii="Times New Roman" w:hAnsi="Times New Roman" w:cs="Times New Roman"/>
          <w:sz w:val="24"/>
          <w:szCs w:val="24"/>
        </w:rPr>
        <w:t>The ELISA results for the SPOP</w:t>
      </w:r>
      <w:r w:rsidR="00084344">
        <w:rPr>
          <w:rFonts w:ascii="Times New Roman" w:hAnsi="Times New Roman" w:cs="Times New Roman"/>
          <w:sz w:val="24"/>
          <w:szCs w:val="24"/>
        </w:rPr>
        <w:t>, AR, and SRC-3</w:t>
      </w:r>
      <w:r w:rsidRPr="003909D6">
        <w:rPr>
          <w:rFonts w:ascii="Times New Roman" w:hAnsi="Times New Roman" w:cs="Times New Roman"/>
          <w:sz w:val="24"/>
          <w:szCs w:val="24"/>
        </w:rPr>
        <w:t xml:space="preserve"> protein in plasma samples from human prostate cancer patients provide insight into the protein concentration levels and their potential implications. ELISA is a powerful technique used to detect and measure specific proteins and antibodies in biological samples, and it is frequently used in clinical and research settings to diagnose diseases and monitor biomarker levels </w:t>
      </w:r>
      <w:r w:rsidRPr="003909D6">
        <w:rPr>
          <w:rFonts w:ascii="Times New Roman" w:hAnsi="Times New Roman" w:cs="Times New Roman"/>
          <w:sz w:val="24"/>
          <w:szCs w:val="24"/>
        </w:rPr>
        <w:fldChar w:fldCharType="begin"/>
      </w:r>
      <w:r w:rsidRPr="003909D6">
        <w:rPr>
          <w:rFonts w:ascii="Times New Roman" w:hAnsi="Times New Roman" w:cs="Times New Roman"/>
          <w:sz w:val="24"/>
          <w:szCs w:val="24"/>
        </w:rPr>
        <w:instrText xml:space="preserve"> ADDIN ZOTERO_ITEM CSL_CITATION {"citationID":"QeM4yh3h","properties":{"formattedCitation":"(Kinman, 2012; Clevaland, 2023)","plainCitation":"(Kinman, 2012; Clevaland, 2023)","noteIndex":0},"citationItems":[{"id":1206,"uris":["http://zotero.org/users/11300200/items/VQ7TKEPG"],"itemData":{"id":1206,"type":"webpage","abstract":"ELISA is a test that detects and measures antibodies in your blood. It's used to determine if you have antibodies related to certain infectious conditions.","container-title":"Healthline","language":"en","title":"ELISA: Purpose, Procedure, and Results","title-short":"ELISA","URL":"https://www.healthline.com/health/elisa","author":[{"family":"Kinman","given":"Tricia"}],"accessed":{"date-parts":[["2024",6,28]]},"issued":{"date-parts":[["2012",7,19]]}}},{"id":1208,"uris":["http://zotero.org/users/11300200/items/J3WPGB8F"],"itemData":{"id":1208,"type":"webpage","abstract":"Learn the science behind several laboratory tests that help determine a variety of conditions by using this important technique.","container-title":"Cleveland Clinic","language":"en","title":"ELISA Technique","URL":"https://my.clevelandclinic.org/health/articles/24990-elisa","author":[{"family":"Clevaland","given":"Clinic"}],"accessed":{"date-parts":[["2024",6,28]]},"issued":{"date-parts":[["2023"]]}},"label":"page"}],"schema":"https://github.com/citation-style-language/schema/raw/master/csl-citation.json"} </w:instrText>
      </w:r>
      <w:r w:rsidRPr="003909D6">
        <w:rPr>
          <w:rFonts w:ascii="Times New Roman" w:hAnsi="Times New Roman" w:cs="Times New Roman"/>
          <w:sz w:val="24"/>
          <w:szCs w:val="24"/>
        </w:rPr>
        <w:fldChar w:fldCharType="separate"/>
      </w:r>
      <w:r w:rsidR="00A316B3" w:rsidRPr="00A316B3">
        <w:rPr>
          <w:rFonts w:ascii="Times New Roman" w:hAnsi="Times New Roman" w:cs="Times New Roman"/>
          <w:sz w:val="24"/>
        </w:rPr>
        <w:t>(Kinman, 2012; Clevaland, 2023)</w:t>
      </w:r>
      <w:r w:rsidRPr="003909D6">
        <w:rPr>
          <w:rFonts w:ascii="Times New Roman" w:hAnsi="Times New Roman" w:cs="Times New Roman"/>
          <w:sz w:val="24"/>
          <w:szCs w:val="24"/>
        </w:rPr>
        <w:fldChar w:fldCharType="end"/>
      </w:r>
      <w:r w:rsidRPr="003909D6">
        <w:rPr>
          <w:rFonts w:ascii="Times New Roman" w:hAnsi="Times New Roman" w:cs="Times New Roman"/>
          <w:sz w:val="24"/>
          <w:szCs w:val="24"/>
        </w:rPr>
        <w:t>. The</w:t>
      </w:r>
      <w:r w:rsidR="00084344">
        <w:rPr>
          <w:rFonts w:ascii="Times New Roman" w:hAnsi="Times New Roman" w:cs="Times New Roman"/>
          <w:sz w:val="24"/>
          <w:szCs w:val="24"/>
        </w:rPr>
        <w:t xml:space="preserve"> mean SPOP protein levels</w:t>
      </w:r>
      <w:r w:rsidRPr="003909D6">
        <w:rPr>
          <w:rFonts w:ascii="Times New Roman" w:hAnsi="Times New Roman" w:cs="Times New Roman"/>
          <w:sz w:val="24"/>
          <w:szCs w:val="24"/>
        </w:rPr>
        <w:t xml:space="preserve"> </w:t>
      </w:r>
      <w:r w:rsidR="00254F8B">
        <w:rPr>
          <w:rFonts w:ascii="Times New Roman" w:hAnsi="Times New Roman" w:cs="Times New Roman"/>
          <w:sz w:val="24"/>
          <w:szCs w:val="24"/>
        </w:rPr>
        <w:t>were</w:t>
      </w:r>
      <w:r w:rsidRPr="003909D6">
        <w:rPr>
          <w:rFonts w:ascii="Times New Roman" w:hAnsi="Times New Roman" w:cs="Times New Roman"/>
          <w:sz w:val="24"/>
          <w:szCs w:val="24"/>
        </w:rPr>
        <w:t xml:space="preserve"> 153.5 </w:t>
      </w:r>
      <w:proofErr w:type="spellStart"/>
      <w:r w:rsidRPr="003909D6">
        <w:rPr>
          <w:rFonts w:ascii="Times New Roman" w:hAnsi="Times New Roman" w:cs="Times New Roman"/>
          <w:sz w:val="24"/>
          <w:szCs w:val="24"/>
        </w:rPr>
        <w:t>ng</w:t>
      </w:r>
      <w:proofErr w:type="spellEnd"/>
      <w:r w:rsidRPr="003909D6">
        <w:rPr>
          <w:rFonts w:ascii="Times New Roman" w:hAnsi="Times New Roman" w:cs="Times New Roman"/>
          <w:sz w:val="24"/>
          <w:szCs w:val="24"/>
        </w:rPr>
        <w:t xml:space="preserve">/ml in the plasma samples from prostate cancer patients, compared to 161.4 </w:t>
      </w:r>
      <w:proofErr w:type="spellStart"/>
      <w:r w:rsidRPr="003909D6">
        <w:rPr>
          <w:rFonts w:ascii="Times New Roman" w:hAnsi="Times New Roman" w:cs="Times New Roman"/>
          <w:sz w:val="24"/>
          <w:szCs w:val="24"/>
        </w:rPr>
        <w:t>ng</w:t>
      </w:r>
      <w:proofErr w:type="spellEnd"/>
      <w:r w:rsidRPr="003909D6">
        <w:rPr>
          <w:rFonts w:ascii="Times New Roman" w:hAnsi="Times New Roman" w:cs="Times New Roman"/>
          <w:sz w:val="24"/>
          <w:szCs w:val="24"/>
        </w:rPr>
        <w:t>/ml in non-cancerous control</w:t>
      </w:r>
      <w:r w:rsidR="00084344">
        <w:rPr>
          <w:rFonts w:ascii="Times New Roman" w:hAnsi="Times New Roman" w:cs="Times New Roman"/>
          <w:sz w:val="24"/>
          <w:szCs w:val="24"/>
        </w:rPr>
        <w:t xml:space="preserve"> samples. The mean level</w:t>
      </w:r>
      <w:r w:rsidRPr="003909D6">
        <w:rPr>
          <w:rFonts w:ascii="Times New Roman" w:hAnsi="Times New Roman" w:cs="Times New Roman"/>
          <w:sz w:val="24"/>
          <w:szCs w:val="24"/>
        </w:rPr>
        <w:t xml:space="preserve">s of AR and SRC-3 proteins were also measured. The mean AR concentration was 67.42 </w:t>
      </w:r>
      <w:proofErr w:type="spellStart"/>
      <w:r w:rsidRPr="003909D6">
        <w:rPr>
          <w:rFonts w:ascii="Times New Roman" w:hAnsi="Times New Roman" w:cs="Times New Roman"/>
          <w:sz w:val="24"/>
          <w:szCs w:val="24"/>
        </w:rPr>
        <w:t>ng</w:t>
      </w:r>
      <w:proofErr w:type="spellEnd"/>
      <w:r w:rsidRPr="003909D6">
        <w:rPr>
          <w:rFonts w:ascii="Times New Roman" w:hAnsi="Times New Roman" w:cs="Times New Roman"/>
          <w:sz w:val="24"/>
          <w:szCs w:val="24"/>
        </w:rPr>
        <w:t xml:space="preserve">/ml in cancer samples and 66.58 </w:t>
      </w:r>
      <w:proofErr w:type="spellStart"/>
      <w:r w:rsidRPr="003909D6">
        <w:rPr>
          <w:rFonts w:ascii="Times New Roman" w:hAnsi="Times New Roman" w:cs="Times New Roman"/>
          <w:sz w:val="24"/>
          <w:szCs w:val="24"/>
        </w:rPr>
        <w:t>ng</w:t>
      </w:r>
      <w:proofErr w:type="spellEnd"/>
      <w:r w:rsidRPr="003909D6">
        <w:rPr>
          <w:rFonts w:ascii="Times New Roman" w:hAnsi="Times New Roman" w:cs="Times New Roman"/>
          <w:sz w:val="24"/>
          <w:szCs w:val="24"/>
        </w:rPr>
        <w:t xml:space="preserve">/ml in non-cancer samples. Similarly, the mean SRC-3 concentration was 56.35 </w:t>
      </w:r>
      <w:proofErr w:type="spellStart"/>
      <w:r w:rsidRPr="003909D6">
        <w:rPr>
          <w:rFonts w:ascii="Times New Roman" w:hAnsi="Times New Roman" w:cs="Times New Roman"/>
          <w:sz w:val="24"/>
          <w:szCs w:val="24"/>
        </w:rPr>
        <w:t>ng</w:t>
      </w:r>
      <w:proofErr w:type="spellEnd"/>
      <w:r w:rsidRPr="003909D6">
        <w:rPr>
          <w:rFonts w:ascii="Times New Roman" w:hAnsi="Times New Roman" w:cs="Times New Roman"/>
          <w:sz w:val="24"/>
          <w:szCs w:val="24"/>
        </w:rPr>
        <w:t xml:space="preserve">/ml in cancer samples and 60.88 </w:t>
      </w:r>
      <w:proofErr w:type="spellStart"/>
      <w:r w:rsidRPr="003909D6">
        <w:rPr>
          <w:rFonts w:ascii="Times New Roman" w:hAnsi="Times New Roman" w:cs="Times New Roman"/>
          <w:sz w:val="24"/>
          <w:szCs w:val="24"/>
        </w:rPr>
        <w:t>ng</w:t>
      </w:r>
      <w:proofErr w:type="spellEnd"/>
      <w:r w:rsidRPr="003909D6">
        <w:rPr>
          <w:rFonts w:ascii="Times New Roman" w:hAnsi="Times New Roman" w:cs="Times New Roman"/>
          <w:sz w:val="24"/>
          <w:szCs w:val="24"/>
        </w:rPr>
        <w:t>/ml in non-cancer samples. This slight difference b</w:t>
      </w:r>
      <w:r w:rsidR="00084344">
        <w:rPr>
          <w:rFonts w:ascii="Times New Roman" w:hAnsi="Times New Roman" w:cs="Times New Roman"/>
          <w:sz w:val="24"/>
          <w:szCs w:val="24"/>
        </w:rPr>
        <w:t>etween the protein level</w:t>
      </w:r>
      <w:r w:rsidRPr="003909D6">
        <w:rPr>
          <w:rFonts w:ascii="Times New Roman" w:hAnsi="Times New Roman" w:cs="Times New Roman"/>
          <w:sz w:val="24"/>
          <w:szCs w:val="24"/>
        </w:rPr>
        <w:t>s suggests that there might not be a significant alteration in their levels between the two groups. This observation is crucial as it indicates that their concentration alone may not serve as a reliable biomarker for distin</w:t>
      </w:r>
      <w:r w:rsidR="00C126ED">
        <w:rPr>
          <w:rFonts w:ascii="Times New Roman" w:hAnsi="Times New Roman" w:cs="Times New Roman"/>
          <w:sz w:val="24"/>
          <w:szCs w:val="24"/>
        </w:rPr>
        <w:t xml:space="preserve">guishing between </w:t>
      </w:r>
      <w:proofErr w:type="spellStart"/>
      <w:r w:rsidR="00C126ED">
        <w:rPr>
          <w:rFonts w:ascii="Times New Roman" w:hAnsi="Times New Roman" w:cs="Times New Roman"/>
          <w:sz w:val="24"/>
          <w:szCs w:val="24"/>
        </w:rPr>
        <w:t>PCa</w:t>
      </w:r>
      <w:proofErr w:type="spellEnd"/>
      <w:r w:rsidRPr="003909D6">
        <w:rPr>
          <w:rFonts w:ascii="Times New Roman" w:hAnsi="Times New Roman" w:cs="Times New Roman"/>
          <w:sz w:val="24"/>
          <w:szCs w:val="24"/>
        </w:rPr>
        <w:t xml:space="preserve"> patients and healthy individuals.</w:t>
      </w:r>
      <w:r w:rsidR="0016724A">
        <w:rPr>
          <w:rFonts w:ascii="Times New Roman" w:hAnsi="Times New Roman" w:cs="Times New Roman"/>
          <w:sz w:val="24"/>
          <w:szCs w:val="24"/>
        </w:rPr>
        <w:t xml:space="preserve"> </w:t>
      </w:r>
      <w:r w:rsidRPr="003909D6">
        <w:rPr>
          <w:rFonts w:ascii="Times New Roman" w:hAnsi="Times New Roman" w:cs="Times New Roman"/>
          <w:sz w:val="24"/>
          <w:szCs w:val="24"/>
        </w:rPr>
        <w:t>The results show that there are no statistically significant diffe</w:t>
      </w:r>
      <w:r w:rsidR="00084344">
        <w:rPr>
          <w:rFonts w:ascii="Times New Roman" w:hAnsi="Times New Roman" w:cs="Times New Roman"/>
          <w:sz w:val="24"/>
          <w:szCs w:val="24"/>
        </w:rPr>
        <w:t>rences in the mean level</w:t>
      </w:r>
      <w:r w:rsidRPr="003909D6">
        <w:rPr>
          <w:rFonts w:ascii="Times New Roman" w:hAnsi="Times New Roman" w:cs="Times New Roman"/>
          <w:sz w:val="24"/>
          <w:szCs w:val="24"/>
        </w:rPr>
        <w:t xml:space="preserve">s of SPOP, AR, and SRC-3 proteins between prostate cancer patients and non-cancer </w:t>
      </w:r>
      <w:r w:rsidRPr="003909D6">
        <w:rPr>
          <w:rFonts w:ascii="Times New Roman" w:hAnsi="Times New Roman" w:cs="Times New Roman"/>
          <w:sz w:val="24"/>
          <w:szCs w:val="24"/>
        </w:rPr>
        <w:lastRenderedPageBreak/>
        <w:t xml:space="preserve">controls. The overlapping distributions of these protein levels between the disease and control groups suggest that the overall concentrations are quite similar. </w:t>
      </w:r>
    </w:p>
    <w:p w:rsidR="00DB0C4E" w:rsidRPr="003909D6" w:rsidRDefault="00203BCA" w:rsidP="00DB0C4E">
      <w:pPr>
        <w:spacing w:line="360" w:lineRule="auto"/>
        <w:jc w:val="both"/>
        <w:rPr>
          <w:rFonts w:ascii="Times New Roman" w:hAnsi="Times New Roman" w:cs="Times New Roman"/>
          <w:sz w:val="24"/>
          <w:szCs w:val="24"/>
        </w:rPr>
      </w:pPr>
      <w:r w:rsidRPr="003909D6">
        <w:rPr>
          <w:rFonts w:ascii="Times New Roman" w:hAnsi="Times New Roman" w:cs="Times New Roman"/>
          <w:sz w:val="24"/>
          <w:szCs w:val="24"/>
        </w:rPr>
        <w:t>The slight difference in the higher mean value of AR protein concentration in prostate cancer compared to non-cancer samples does not appear to be clinically meaningful, as the overall distributions are highly overlapping, and the difference is not statistically significant.</w:t>
      </w:r>
      <w:r w:rsidR="00254F8B">
        <w:rPr>
          <w:rFonts w:ascii="Times New Roman" w:hAnsi="Times New Roman" w:cs="Times New Roman"/>
          <w:sz w:val="24"/>
          <w:szCs w:val="24"/>
        </w:rPr>
        <w:t xml:space="preserve"> SPOP-mutant prostate cancer has been</w:t>
      </w:r>
      <w:r w:rsidR="00254F8B" w:rsidRPr="00254F8B">
        <w:rPr>
          <w:rFonts w:ascii="Times New Roman" w:hAnsi="Times New Roman" w:cs="Times New Roman"/>
          <w:sz w:val="24"/>
          <w:szCs w:val="24"/>
        </w:rPr>
        <w:t xml:space="preserve"> associated with increased expression of androgen receptor-regulated genes and better overall survival outcomes following treatment with hormonal therapies</w:t>
      </w:r>
      <w:r w:rsidR="00254F8B">
        <w:rPr>
          <w:rFonts w:ascii="Times New Roman" w:hAnsi="Times New Roman" w:cs="Times New Roman"/>
          <w:sz w:val="24"/>
          <w:szCs w:val="24"/>
        </w:rPr>
        <w:t xml:space="preserve"> </w:t>
      </w:r>
      <w:r w:rsidR="00254F8B">
        <w:rPr>
          <w:rFonts w:ascii="Times New Roman" w:hAnsi="Times New Roman" w:cs="Times New Roman"/>
          <w:sz w:val="24"/>
          <w:szCs w:val="24"/>
        </w:rPr>
        <w:fldChar w:fldCharType="begin"/>
      </w:r>
      <w:r w:rsidR="00254F8B">
        <w:rPr>
          <w:rFonts w:ascii="Times New Roman" w:hAnsi="Times New Roman" w:cs="Times New Roman"/>
          <w:sz w:val="24"/>
          <w:szCs w:val="24"/>
        </w:rPr>
        <w:instrText xml:space="preserve"> ADDIN ZOTERO_ITEM CSL_CITATION {"citationID":"hKcP1IUv","properties":{"formattedCitation":"(Cavalcante et al., 2023)","plainCitation":"(Cavalcante et al., 2023)","noteIndex":0},"citationItems":[{"id":571,"uris":["http://zotero.org/users/11300200/items/N5TKFWIH"],"itemData":{"id":571,"type":"article-journal","abstract":"SPOP mutations drive opposing molecular and immune landscapes in prostate and endometrial cancers, suggesting tailored therapies\n          , \n            \n              PURPOSE\n              Recurrent gene mutations in speckle-type POZ protein ( SPOP), the substrate-binding component of E3 ubiquitin ligase, are associated with tumor progression in prostate and endometrial cancers. Here, we characterized SPOP mutations in these cancers and explored their association with molecular and immune signatures and patient outcomes.\n            \n            \n              METHODS\n              There were 7,398 prostate cancer and 19,188 endometrial cancer samples analyzed for clinical and molecular profiles at Caris Life Sciences. Overall survival (OS) was analyzed using Kaplan-Meier survival curves. Statistical significance was determined using chi-square and Mann-Whitney U tests, with P values adjusted for multiple comparisons.\n            \n            \n              RESULTS\n              SPOP mutations were identified in 9.2% of prostate and 4.3% of endometrial cancers. Mutations clustered in the SPOP meprin and TRAF-C homology domain, with no significant overlap between cancer types. SPOP mutation was associated with differential comutation profiles and opposing tumor immune microenvironment signatures for each cancer, with greater immune infiltration in SPOP-mutated endometrial cancer. SPOP-mutated prostate and endometrial cancers displayed altered epigenetic gene expression, including opposite regulation of BRD2 transcripts. In SPOP-mutant prostate cancer, higher expression of androgen receptor–regulated transcripts and improved OS after treatment with hormonal agents were observed. In endometrial cancer, hormone receptor expression was significantly lower in SPOP-mutated tumors and differences in OS were highly dependent on the particular hotspot mutation and histologic subtype.\n            \n            \n              CONCLUSION\n              These data indicate that SPOP mutations drive opposing molecular and immune landscapes in prostate and endometrial cancers—suggesting a loss-of-function mechanism in prostate cancer and gain-of-function mechanism in endometrial cancer—and provide a rationale for tailored therapeutic approaches.","container-title":"JCO Precision Oncology","DOI":"10.1200/PO.23.00088","ISSN":"2473-4284","issue":"7","journalAbbreviation":"JCO Precision Oncology","language":"en","page":"e2300088","source":"DOI.org (Crossref)","title":"Opposing Roles of &lt;i&gt;SPOP&lt;/i&gt; Mutations in Human Prostate and Endometrial Cancers","author":[{"family":"Cavalcante","given":"Ludimila"},{"family":"Deshmukh","given":"Sachin Kumar"},{"family":"Ribeiro","given":"Jennifer R."},{"family":"Carneiro","given":"Benedito A."},{"family":"Dizon","given":"Don S."},{"family":"Angara","given":"Kartik"},{"family":"Mattox","given":"Tyler"},{"family":"Wu","given":"Sharon"},{"family":"Xiu","given":"Joanne"},{"family":"Walker","given":"Phillip"},{"family":"Oberley","given":"Matthew"},{"family":"Nabhan","given":"Chadi"},{"family":"Huang","given":"Haojie"},{"family":"Antonarakis","given":"Emmanuel S."}],"issued":{"date-parts":[["2023",9]]}}}],"schema":"https://github.com/citation-style-language/schema/raw/master/csl-citation.json"} </w:instrText>
      </w:r>
      <w:r w:rsidR="00254F8B">
        <w:rPr>
          <w:rFonts w:ascii="Times New Roman" w:hAnsi="Times New Roman" w:cs="Times New Roman"/>
          <w:sz w:val="24"/>
          <w:szCs w:val="24"/>
        </w:rPr>
        <w:fldChar w:fldCharType="separate"/>
      </w:r>
      <w:r w:rsidR="00A316B3" w:rsidRPr="00A316B3">
        <w:rPr>
          <w:rFonts w:ascii="Times New Roman" w:hAnsi="Times New Roman" w:cs="Times New Roman"/>
          <w:sz w:val="24"/>
        </w:rPr>
        <w:t>(Cavalcante et al., 2023)</w:t>
      </w:r>
      <w:r w:rsidR="00254F8B">
        <w:rPr>
          <w:rFonts w:ascii="Times New Roman" w:hAnsi="Times New Roman" w:cs="Times New Roman"/>
          <w:sz w:val="24"/>
          <w:szCs w:val="24"/>
        </w:rPr>
        <w:fldChar w:fldCharType="end"/>
      </w:r>
      <w:r w:rsidR="00254F8B">
        <w:rPr>
          <w:rFonts w:ascii="Times New Roman" w:hAnsi="Times New Roman" w:cs="Times New Roman"/>
          <w:sz w:val="24"/>
          <w:szCs w:val="24"/>
        </w:rPr>
        <w:t>, this could also be seen where the concentration in cases was higher than control.</w:t>
      </w:r>
    </w:p>
    <w:p w:rsidR="00DB0C4E" w:rsidRPr="00427179" w:rsidRDefault="00203BCA" w:rsidP="00DB0C4E">
      <w:pPr>
        <w:spacing w:line="360" w:lineRule="auto"/>
        <w:jc w:val="both"/>
        <w:rPr>
          <w:rFonts w:ascii="Times New Roman" w:hAnsi="Times New Roman" w:cs="Times New Roman"/>
          <w:sz w:val="24"/>
          <w:szCs w:val="24"/>
        </w:rPr>
      </w:pPr>
      <w:r w:rsidRPr="003909D6">
        <w:rPr>
          <w:rFonts w:ascii="Times New Roman" w:hAnsi="Times New Roman" w:cs="Times New Roman"/>
          <w:sz w:val="24"/>
          <w:szCs w:val="24"/>
        </w:rPr>
        <w:t xml:space="preserve">The estimation plots of Welch's t-test for each protein comparing disease and control samples further highlighted that there are no significant differences in the concentrations of SPOP, AR, and SRC-3 proteins between the two groups. </w:t>
      </w:r>
      <w:r w:rsidR="00DB0C4E">
        <w:rPr>
          <w:rFonts w:ascii="Times New Roman" w:hAnsi="Times New Roman" w:cs="Times New Roman"/>
          <w:sz w:val="24"/>
          <w:szCs w:val="24"/>
        </w:rPr>
        <w:t>I</w:t>
      </w:r>
      <w:r w:rsidR="00DB0C4E" w:rsidRPr="001E51FB">
        <w:rPr>
          <w:rFonts w:ascii="Times New Roman" w:hAnsi="Times New Roman" w:cs="Times New Roman"/>
          <w:sz w:val="24"/>
          <w:szCs w:val="24"/>
        </w:rPr>
        <w:t>nsights from the correlation analysis between SPOP, AR, and SR</w:t>
      </w:r>
      <w:r w:rsidR="00DB0C4E">
        <w:rPr>
          <w:rFonts w:ascii="Times New Roman" w:hAnsi="Times New Roman" w:cs="Times New Roman"/>
          <w:sz w:val="24"/>
          <w:szCs w:val="24"/>
        </w:rPr>
        <w:t>C-3 levels</w:t>
      </w:r>
      <w:r w:rsidR="00DB0C4E" w:rsidRPr="001E51FB">
        <w:rPr>
          <w:rFonts w:ascii="Times New Roman" w:hAnsi="Times New Roman" w:cs="Times New Roman"/>
          <w:sz w:val="24"/>
          <w:szCs w:val="24"/>
        </w:rPr>
        <w:t xml:space="preserve"> (Figures 1</w:t>
      </w:r>
      <w:r w:rsidR="00DB0C4E">
        <w:rPr>
          <w:rFonts w:ascii="Times New Roman" w:hAnsi="Times New Roman" w:cs="Times New Roman"/>
          <w:sz w:val="24"/>
          <w:szCs w:val="24"/>
        </w:rPr>
        <w:t>3) showed that between AR levels and SRC-3 was an exceptionally high correlation of 0.9</w:t>
      </w:r>
      <w:r w:rsidR="00DB0C4E" w:rsidRPr="00427179">
        <w:rPr>
          <w:rFonts w:ascii="Times New Roman" w:hAnsi="Times New Roman" w:cs="Times New Roman"/>
          <w:sz w:val="24"/>
          <w:szCs w:val="24"/>
        </w:rPr>
        <w:t>, indicating a very strong, positive, and statistically significant (p &lt; 0.0001).</w:t>
      </w:r>
      <w:r w:rsidR="00DB0C4E">
        <w:rPr>
          <w:rFonts w:ascii="Times New Roman" w:hAnsi="Times New Roman" w:cs="Times New Roman"/>
          <w:sz w:val="24"/>
          <w:szCs w:val="24"/>
        </w:rPr>
        <w:t xml:space="preserve"> </w:t>
      </w:r>
      <w:r w:rsidR="00DB0C4E" w:rsidRPr="00427179">
        <w:rPr>
          <w:rFonts w:ascii="Times New Roman" w:hAnsi="Times New Roman" w:cs="Times New Roman"/>
          <w:sz w:val="24"/>
          <w:szCs w:val="24"/>
        </w:rPr>
        <w:t>This extremely robu</w:t>
      </w:r>
      <w:r w:rsidR="00DB0C4E">
        <w:rPr>
          <w:rFonts w:ascii="Times New Roman" w:hAnsi="Times New Roman" w:cs="Times New Roman"/>
          <w:sz w:val="24"/>
          <w:szCs w:val="24"/>
        </w:rPr>
        <w:t>st correlation implies that AR</w:t>
      </w:r>
      <w:r w:rsidR="00DB0C4E" w:rsidRPr="00427179">
        <w:rPr>
          <w:rFonts w:ascii="Times New Roman" w:hAnsi="Times New Roman" w:cs="Times New Roman"/>
          <w:sz w:val="24"/>
          <w:szCs w:val="24"/>
        </w:rPr>
        <w:t xml:space="preserve"> levels are distributed similarl</w:t>
      </w:r>
      <w:r w:rsidR="00DB0C4E">
        <w:rPr>
          <w:rFonts w:ascii="Times New Roman" w:hAnsi="Times New Roman" w:cs="Times New Roman"/>
          <w:sz w:val="24"/>
          <w:szCs w:val="24"/>
        </w:rPr>
        <w:t xml:space="preserve">y to SRC-3 levels. </w:t>
      </w:r>
      <w:r w:rsidR="00DB0C4E" w:rsidRPr="00DB0C4E">
        <w:rPr>
          <w:rFonts w:ascii="Times New Roman" w:hAnsi="Times New Roman" w:cs="Times New Roman"/>
          <w:sz w:val="24"/>
          <w:szCs w:val="24"/>
        </w:rPr>
        <w:t>This could imply that these proteins may work synergistically in the context of prostate cancer progression and response to treatment.</w:t>
      </w:r>
      <w:r w:rsidR="00DB0C4E">
        <w:rPr>
          <w:rFonts w:ascii="Times New Roman" w:hAnsi="Times New Roman" w:cs="Times New Roman"/>
          <w:sz w:val="24"/>
          <w:szCs w:val="24"/>
        </w:rPr>
        <w:t xml:space="preserve"> T</w:t>
      </w:r>
      <w:r w:rsidR="00DB0C4E" w:rsidRPr="00427179">
        <w:rPr>
          <w:rFonts w:ascii="Times New Roman" w:hAnsi="Times New Roman" w:cs="Times New Roman"/>
          <w:sz w:val="24"/>
          <w:szCs w:val="24"/>
        </w:rPr>
        <w:t>he correlation between</w:t>
      </w:r>
      <w:r w:rsidR="00DB0C4E">
        <w:rPr>
          <w:rFonts w:ascii="Times New Roman" w:hAnsi="Times New Roman" w:cs="Times New Roman"/>
          <w:sz w:val="24"/>
          <w:szCs w:val="24"/>
        </w:rPr>
        <w:t xml:space="preserve"> SPOP and AR levels</w:t>
      </w:r>
      <w:r w:rsidR="00DB0C4E" w:rsidRPr="00427179">
        <w:rPr>
          <w:rFonts w:ascii="Times New Roman" w:hAnsi="Times New Roman" w:cs="Times New Roman"/>
          <w:sz w:val="24"/>
          <w:szCs w:val="24"/>
        </w:rPr>
        <w:t xml:space="preserve"> while still statistically significant (p &lt; 0.0001),</w:t>
      </w:r>
      <w:r w:rsidR="00DB0C4E">
        <w:rPr>
          <w:rFonts w:ascii="Times New Roman" w:hAnsi="Times New Roman" w:cs="Times New Roman"/>
          <w:sz w:val="24"/>
          <w:szCs w:val="24"/>
        </w:rPr>
        <w:t xml:space="preserve"> was moderately high (r = 0.7). Also, the correlation between SPOP and SRC-3 was </w:t>
      </w:r>
      <w:r w:rsidR="00DB0C4E" w:rsidRPr="00427179">
        <w:rPr>
          <w:rFonts w:ascii="Times New Roman" w:hAnsi="Times New Roman" w:cs="Times New Roman"/>
          <w:sz w:val="24"/>
          <w:szCs w:val="24"/>
        </w:rPr>
        <w:t>still statistically significant (p &lt; 0.0001),</w:t>
      </w:r>
      <w:r w:rsidR="00DB0C4E">
        <w:rPr>
          <w:rFonts w:ascii="Times New Roman" w:hAnsi="Times New Roman" w:cs="Times New Roman"/>
          <w:sz w:val="24"/>
          <w:szCs w:val="24"/>
        </w:rPr>
        <w:t xml:space="preserve"> was more moderate (r = 0.6)</w:t>
      </w:r>
      <w:r w:rsidR="00DB0C4E" w:rsidRPr="00427179">
        <w:rPr>
          <w:rFonts w:ascii="Times New Roman" w:hAnsi="Times New Roman" w:cs="Times New Roman"/>
          <w:sz w:val="24"/>
          <w:szCs w:val="24"/>
        </w:rPr>
        <w:t>.</w:t>
      </w:r>
      <w:r w:rsidR="00DB0C4E">
        <w:rPr>
          <w:rFonts w:ascii="Times New Roman" w:hAnsi="Times New Roman" w:cs="Times New Roman"/>
          <w:sz w:val="24"/>
          <w:szCs w:val="24"/>
        </w:rPr>
        <w:t xml:space="preserve"> The results indicate positive </w:t>
      </w:r>
      <w:r w:rsidR="00DB0C4E" w:rsidRPr="00427179">
        <w:rPr>
          <w:rFonts w:ascii="Times New Roman" w:hAnsi="Times New Roman" w:cs="Times New Roman"/>
          <w:sz w:val="24"/>
          <w:szCs w:val="24"/>
        </w:rPr>
        <w:t>relationsh</w:t>
      </w:r>
      <w:r w:rsidR="00DB0C4E">
        <w:rPr>
          <w:rFonts w:ascii="Times New Roman" w:hAnsi="Times New Roman" w:cs="Times New Roman"/>
          <w:sz w:val="24"/>
          <w:szCs w:val="24"/>
        </w:rPr>
        <w:t>ip between three protein levels</w:t>
      </w:r>
      <w:r w:rsidR="00DB0C4E" w:rsidRPr="00427179">
        <w:rPr>
          <w:rFonts w:ascii="Times New Roman" w:hAnsi="Times New Roman" w:cs="Times New Roman"/>
          <w:sz w:val="24"/>
          <w:szCs w:val="24"/>
        </w:rPr>
        <w:t>.</w:t>
      </w:r>
      <w:r w:rsidR="00DB0C4E">
        <w:rPr>
          <w:rFonts w:ascii="Times New Roman" w:hAnsi="Times New Roman" w:cs="Times New Roman"/>
          <w:sz w:val="24"/>
          <w:szCs w:val="24"/>
        </w:rPr>
        <w:t xml:space="preserve"> All </w:t>
      </w:r>
      <w:r w:rsidR="00DB0C4E" w:rsidRPr="00DB0C4E">
        <w:rPr>
          <w:rFonts w:ascii="Times New Roman" w:hAnsi="Times New Roman" w:cs="Times New Roman"/>
          <w:sz w:val="24"/>
          <w:szCs w:val="24"/>
        </w:rPr>
        <w:t>the correlations are statistically significant, providing evidence that the interplay between SPOP, AR, and SRC-3 is meaningful in the context of prostate cancer.</w:t>
      </w:r>
    </w:p>
    <w:p w:rsidR="00F77439" w:rsidRPr="00C4054F" w:rsidRDefault="0016724A" w:rsidP="00203BCA">
      <w:pPr>
        <w:spacing w:line="360" w:lineRule="auto"/>
        <w:jc w:val="both"/>
        <w:rPr>
          <w:rFonts w:ascii="Times New Roman" w:hAnsi="Times New Roman" w:cs="Times New Roman"/>
          <w:sz w:val="24"/>
          <w:szCs w:val="24"/>
        </w:rPr>
      </w:pPr>
      <w:r w:rsidRPr="00254F8B">
        <w:rPr>
          <w:rFonts w:ascii="Times New Roman" w:hAnsi="Times New Roman" w:cs="Times New Roman"/>
          <w:sz w:val="24"/>
          <w:szCs w:val="24"/>
        </w:rPr>
        <w:t>The study had a small sample size, and the researchers were limited in their ability to gather detailed information on the clinica</w:t>
      </w:r>
      <w:r>
        <w:rPr>
          <w:rFonts w:ascii="Times New Roman" w:hAnsi="Times New Roman" w:cs="Times New Roman"/>
          <w:sz w:val="24"/>
          <w:szCs w:val="24"/>
        </w:rPr>
        <w:t>l parameters of the patients. Additionally, there were no</w:t>
      </w:r>
      <w:r w:rsidRPr="00254F8B">
        <w:rPr>
          <w:rFonts w:ascii="Times New Roman" w:hAnsi="Times New Roman" w:cs="Times New Roman"/>
          <w:sz w:val="24"/>
          <w:szCs w:val="24"/>
        </w:rPr>
        <w:t xml:space="preserve"> data on </w:t>
      </w:r>
      <w:proofErr w:type="spellStart"/>
      <w:r w:rsidRPr="00254F8B">
        <w:rPr>
          <w:rFonts w:ascii="Times New Roman" w:hAnsi="Times New Roman" w:cs="Times New Roman"/>
          <w:sz w:val="24"/>
          <w:szCs w:val="24"/>
        </w:rPr>
        <w:t>tumor</w:t>
      </w:r>
      <w:proofErr w:type="spellEnd"/>
      <w:r w:rsidRPr="00254F8B">
        <w:rPr>
          <w:rFonts w:ascii="Times New Roman" w:hAnsi="Times New Roman" w:cs="Times New Roman"/>
          <w:sz w:val="24"/>
          <w:szCs w:val="24"/>
        </w:rPr>
        <w:t xml:space="preserve"> stage/grade and patient demographics </w:t>
      </w:r>
      <w:r>
        <w:rPr>
          <w:rFonts w:ascii="Times New Roman" w:hAnsi="Times New Roman" w:cs="Times New Roman"/>
          <w:sz w:val="24"/>
          <w:szCs w:val="24"/>
        </w:rPr>
        <w:t xml:space="preserve">which </w:t>
      </w:r>
      <w:r w:rsidRPr="00254F8B">
        <w:rPr>
          <w:rFonts w:ascii="Times New Roman" w:hAnsi="Times New Roman" w:cs="Times New Roman"/>
          <w:sz w:val="24"/>
          <w:szCs w:val="24"/>
        </w:rPr>
        <w:t>prevented the researchers from determining the relationship between these protein levels and progno</w:t>
      </w:r>
      <w:r>
        <w:rPr>
          <w:rFonts w:ascii="Times New Roman" w:hAnsi="Times New Roman" w:cs="Times New Roman"/>
          <w:sz w:val="24"/>
          <w:szCs w:val="24"/>
        </w:rPr>
        <w:t>stic variables and outcomes</w:t>
      </w:r>
    </w:p>
    <w:p w:rsidR="00F77439" w:rsidRPr="002E7761" w:rsidRDefault="00D84CF6" w:rsidP="006D3376">
      <w:pPr>
        <w:spacing w:line="360" w:lineRule="auto"/>
        <w:rPr>
          <w:rFonts w:ascii="Times New Roman" w:hAnsi="Times New Roman" w:cs="Times New Roman"/>
          <w:b/>
          <w:sz w:val="24"/>
          <w:szCs w:val="24"/>
        </w:rPr>
      </w:pPr>
      <w:r>
        <w:rPr>
          <w:rFonts w:ascii="Times New Roman" w:hAnsi="Times New Roman" w:cs="Times New Roman"/>
          <w:b/>
          <w:sz w:val="24"/>
          <w:szCs w:val="24"/>
        </w:rPr>
        <w:t>5.2</w:t>
      </w:r>
      <w:r w:rsidR="00F77439" w:rsidRPr="002E7761">
        <w:rPr>
          <w:rFonts w:ascii="Times New Roman" w:hAnsi="Times New Roman" w:cs="Times New Roman"/>
          <w:b/>
          <w:sz w:val="24"/>
          <w:szCs w:val="24"/>
        </w:rPr>
        <w:t xml:space="preserve"> Computational Analysis</w:t>
      </w:r>
      <w:r w:rsidR="00ED7FF3">
        <w:rPr>
          <w:rFonts w:ascii="Times New Roman" w:hAnsi="Times New Roman" w:cs="Times New Roman"/>
          <w:b/>
          <w:sz w:val="24"/>
          <w:szCs w:val="24"/>
        </w:rPr>
        <w:t xml:space="preserve"> for Therapeutic </w:t>
      </w:r>
      <w:proofErr w:type="spellStart"/>
      <w:r w:rsidR="00ED7FF3">
        <w:rPr>
          <w:rFonts w:ascii="Times New Roman" w:hAnsi="Times New Roman" w:cs="Times New Roman"/>
          <w:b/>
          <w:sz w:val="24"/>
          <w:szCs w:val="24"/>
        </w:rPr>
        <w:t>Targetting</w:t>
      </w:r>
      <w:proofErr w:type="spellEnd"/>
    </w:p>
    <w:p w:rsidR="0082093D" w:rsidRDefault="00F77439" w:rsidP="006D3376">
      <w:pPr>
        <w:spacing w:line="360" w:lineRule="auto"/>
        <w:jc w:val="both"/>
        <w:rPr>
          <w:rFonts w:ascii="Times New Roman" w:hAnsi="Times New Roman" w:cs="Times New Roman"/>
          <w:sz w:val="24"/>
          <w:szCs w:val="24"/>
        </w:rPr>
      </w:pPr>
      <w:r w:rsidRPr="002E7761">
        <w:rPr>
          <w:rFonts w:ascii="Times New Roman" w:hAnsi="Times New Roman" w:cs="Times New Roman"/>
          <w:sz w:val="24"/>
          <w:szCs w:val="24"/>
        </w:rPr>
        <w:t xml:space="preserve">The already identified potential bioactive compounds from </w:t>
      </w:r>
      <w:proofErr w:type="spellStart"/>
      <w:r w:rsidRPr="002E7761">
        <w:rPr>
          <w:rFonts w:ascii="Times New Roman" w:hAnsi="Times New Roman" w:cs="Times New Roman"/>
          <w:i/>
          <w:sz w:val="24"/>
          <w:szCs w:val="24"/>
        </w:rPr>
        <w:t>Caesalpinia</w:t>
      </w:r>
      <w:proofErr w:type="spellEnd"/>
      <w:r w:rsidRPr="002E7761">
        <w:rPr>
          <w:rFonts w:ascii="Times New Roman" w:hAnsi="Times New Roman" w:cs="Times New Roman"/>
          <w:i/>
          <w:sz w:val="24"/>
          <w:szCs w:val="24"/>
        </w:rPr>
        <w:t xml:space="preserve"> </w:t>
      </w:r>
      <w:proofErr w:type="spellStart"/>
      <w:r w:rsidRPr="002E7761">
        <w:rPr>
          <w:rFonts w:ascii="Times New Roman" w:hAnsi="Times New Roman" w:cs="Times New Roman"/>
          <w:i/>
          <w:sz w:val="24"/>
          <w:szCs w:val="24"/>
        </w:rPr>
        <w:t>bonduc</w:t>
      </w:r>
      <w:proofErr w:type="spellEnd"/>
      <w:r w:rsidRPr="002E7761">
        <w:rPr>
          <w:rFonts w:ascii="Times New Roman" w:hAnsi="Times New Roman" w:cs="Times New Roman"/>
          <w:sz w:val="24"/>
          <w:szCs w:val="24"/>
        </w:rPr>
        <w:t xml:space="preserve"> leaves was utilized by </w:t>
      </w:r>
      <w:r w:rsidRPr="002E7761">
        <w:rPr>
          <w:rFonts w:ascii="Times New Roman" w:hAnsi="Times New Roman" w:cs="Times New Roman"/>
          <w:i/>
          <w:sz w:val="24"/>
          <w:szCs w:val="24"/>
        </w:rPr>
        <w:t xml:space="preserve">in </w:t>
      </w:r>
      <w:proofErr w:type="spellStart"/>
      <w:r w:rsidRPr="002E7761">
        <w:rPr>
          <w:rFonts w:ascii="Times New Roman" w:hAnsi="Times New Roman" w:cs="Times New Roman"/>
          <w:i/>
          <w:sz w:val="24"/>
          <w:szCs w:val="24"/>
        </w:rPr>
        <w:t>silico</w:t>
      </w:r>
      <w:proofErr w:type="spellEnd"/>
      <w:r w:rsidRPr="002E7761">
        <w:rPr>
          <w:rFonts w:ascii="Times New Roman" w:hAnsi="Times New Roman" w:cs="Times New Roman"/>
          <w:sz w:val="24"/>
          <w:szCs w:val="24"/>
        </w:rPr>
        <w:t xml:space="preserve"> methods to screen and identify compounds with inhibitory and cytotoxic potential against mutated SPOP and AR-V7, which are associated with aggressive and </w:t>
      </w:r>
      <w:r w:rsidRPr="002E7761">
        <w:rPr>
          <w:rFonts w:ascii="Times New Roman" w:hAnsi="Times New Roman" w:cs="Times New Roman"/>
          <w:sz w:val="24"/>
          <w:szCs w:val="24"/>
        </w:rPr>
        <w:lastRenderedPageBreak/>
        <w:t xml:space="preserve">treatment-resistant prostate cancer </w:t>
      </w:r>
      <w:r w:rsidRPr="002E7761">
        <w:rPr>
          <w:rFonts w:ascii="Times New Roman" w:hAnsi="Times New Roman" w:cs="Times New Roman"/>
          <w:sz w:val="24"/>
          <w:szCs w:val="24"/>
        </w:rPr>
        <w:fldChar w:fldCharType="begin"/>
      </w:r>
      <w:r w:rsidRPr="002E7761">
        <w:rPr>
          <w:rFonts w:ascii="Times New Roman" w:hAnsi="Times New Roman" w:cs="Times New Roman"/>
          <w:sz w:val="24"/>
          <w:szCs w:val="24"/>
        </w:rPr>
        <w:instrText xml:space="preserve"> ADDIN ZOTERO_ITEM CSL_CITATION {"citationID":"dqQyYva2","properties":{"formattedCitation":"(He et al., 2022)","plainCitation":"(He et al., 2022)","noteIndex":0},"citationItems":[{"id":64,"uris":["http://zotero.org/users/11300200/items/73Q4D4WU"],"itemData":{"id":64,"type":"article-journal","abstract":"Abstract\n            \n              Prostate cancer (PCa) affects millions of men globally. Due to advances in understanding genomic landscapes and biological functions, the treatment of PCa continues to improve. Recently, various new classes of agents, which include next-generation androgen receptor (AR) signaling inhibitors (abiraterone, enzalutamide, apalutamide, and darolutamide), bone-targeting agents (radium-223 chloride, zoledronic acid), and poly(ADP-ribose) polymerase (PARP) inhibitors (olaparib, rucaparib, and talazoparib) have been developed to treat PCa. Agents targeting other signaling pathways, including cyclin-dependent kinase (CDK)4/6, Ak strain transforming (AKT), wingless-type protein (WNT), and epigenetic marks, have successively entered clinical trials. Furthermore, prostate-specific membrane antigen (PSMA) targeting agents such as\n              177\n              Lu-PSMA-617 are promising theranostics that could improve both diagnostic accuracy and therapeutic efficacy. Advanced clinical studies with immune checkpoint inhibitors (ICIs) have shown limited benefits in PCa, whereas subgroups of PCa with mismatch repair (MMR) or CDK12 inactivation may benefit from ICIs treatment. In this review, we summarized the targeted agents of PCa in clinical trials and their underlying mechanisms, and further discussed their limitations and future directions.","container-title":"Signal Transduction and Targeted Therapy","DOI":"10.1038/s41392-022-01042-7","ISSN":"2059-3635","issue":"1","journalAbbreviation":"Sig Transduct Target Ther","language":"en","page":"198","source":"DOI.org (Crossref)","title":"Targeting signaling pathways in prostate cancer: mechanisms and clinical trials","title-short":"Targeting signaling pathways in prostate cancer","volume":"7","author":[{"family":"He","given":"Yundong"},{"family":"Xu","given":"Weidong"},{"family":"Xiao","given":"Yu-Tian"},{"family":"Huang","given":"Haojie"},{"family":"Gu","given":"Di"},{"family":"Ren","given":"Shancheng"}],"issued":{"date-parts":[["2022",6,24]]}}}],"schema":"https://github.com/citation-style-language/schema/raw/master/csl-citation.json"} </w:instrText>
      </w:r>
      <w:r w:rsidRPr="002E7761">
        <w:rPr>
          <w:rFonts w:ascii="Times New Roman" w:hAnsi="Times New Roman" w:cs="Times New Roman"/>
          <w:sz w:val="24"/>
          <w:szCs w:val="24"/>
        </w:rPr>
        <w:fldChar w:fldCharType="separate"/>
      </w:r>
      <w:r w:rsidR="00A316B3" w:rsidRPr="00A316B3">
        <w:rPr>
          <w:rFonts w:ascii="Times New Roman" w:hAnsi="Times New Roman" w:cs="Times New Roman"/>
          <w:sz w:val="24"/>
        </w:rPr>
        <w:t>(He et al., 2022)</w:t>
      </w:r>
      <w:r w:rsidRPr="002E7761">
        <w:rPr>
          <w:rFonts w:ascii="Times New Roman" w:hAnsi="Times New Roman" w:cs="Times New Roman"/>
          <w:sz w:val="24"/>
          <w:szCs w:val="24"/>
        </w:rPr>
        <w:fldChar w:fldCharType="end"/>
      </w:r>
      <w:r w:rsidRPr="002E7761">
        <w:rPr>
          <w:rFonts w:ascii="Times New Roman" w:hAnsi="Times New Roman" w:cs="Times New Roman"/>
          <w:sz w:val="24"/>
          <w:szCs w:val="24"/>
        </w:rPr>
        <w:t xml:space="preserve">. </w:t>
      </w:r>
      <w:r w:rsidR="00DB7A45" w:rsidRPr="00DB7A45">
        <w:rPr>
          <w:rFonts w:ascii="Times New Roman" w:hAnsi="Times New Roman" w:cs="Times New Roman"/>
          <w:sz w:val="24"/>
          <w:szCs w:val="24"/>
        </w:rPr>
        <w:t xml:space="preserve">The computational analyses revealed promising insights into the potential therapeutic targeting of the AR </w:t>
      </w:r>
      <w:proofErr w:type="spellStart"/>
      <w:r w:rsidR="00DB7A45" w:rsidRPr="00DB7A45">
        <w:rPr>
          <w:rFonts w:ascii="Times New Roman" w:hAnsi="Times New Roman" w:cs="Times New Roman"/>
          <w:sz w:val="24"/>
          <w:szCs w:val="24"/>
        </w:rPr>
        <w:t>signaling</w:t>
      </w:r>
      <w:proofErr w:type="spellEnd"/>
      <w:r w:rsidR="00DB7A45" w:rsidRPr="00DB7A45">
        <w:rPr>
          <w:rFonts w:ascii="Times New Roman" w:hAnsi="Times New Roman" w:cs="Times New Roman"/>
          <w:sz w:val="24"/>
          <w:szCs w:val="24"/>
        </w:rPr>
        <w:t xml:space="preserve"> pathway in prostate cancer. The investigation of the physicochemical properties and drug-likeness of the isolated compounds from </w:t>
      </w:r>
      <w:proofErr w:type="spellStart"/>
      <w:r w:rsidR="00DB7A45" w:rsidRPr="00D84CF6">
        <w:rPr>
          <w:rFonts w:ascii="Times New Roman" w:hAnsi="Times New Roman" w:cs="Times New Roman"/>
          <w:i/>
          <w:sz w:val="24"/>
          <w:szCs w:val="24"/>
        </w:rPr>
        <w:t>Caesalpinia</w:t>
      </w:r>
      <w:proofErr w:type="spellEnd"/>
      <w:r w:rsidR="00DB7A45" w:rsidRPr="00D84CF6">
        <w:rPr>
          <w:rFonts w:ascii="Times New Roman" w:hAnsi="Times New Roman" w:cs="Times New Roman"/>
          <w:i/>
          <w:sz w:val="24"/>
          <w:szCs w:val="24"/>
        </w:rPr>
        <w:t xml:space="preserve"> </w:t>
      </w:r>
      <w:proofErr w:type="spellStart"/>
      <w:r w:rsidR="00DB7A45" w:rsidRPr="00D84CF6">
        <w:rPr>
          <w:rFonts w:ascii="Times New Roman" w:hAnsi="Times New Roman" w:cs="Times New Roman"/>
          <w:i/>
          <w:sz w:val="24"/>
          <w:szCs w:val="24"/>
        </w:rPr>
        <w:t>bonduc</w:t>
      </w:r>
      <w:proofErr w:type="spellEnd"/>
      <w:r w:rsidR="00D84CF6">
        <w:rPr>
          <w:rFonts w:ascii="Times New Roman" w:hAnsi="Times New Roman" w:cs="Times New Roman"/>
          <w:sz w:val="24"/>
          <w:szCs w:val="24"/>
        </w:rPr>
        <w:t xml:space="preserve"> leaves, namely COMP1, 2, 3, and 4</w:t>
      </w:r>
      <w:r w:rsidR="00DB7A45" w:rsidRPr="00DB7A45">
        <w:rPr>
          <w:rFonts w:ascii="Times New Roman" w:hAnsi="Times New Roman" w:cs="Times New Roman"/>
          <w:sz w:val="24"/>
          <w:szCs w:val="24"/>
        </w:rPr>
        <w:t xml:space="preserve">, provided valuable comparative data with the standard prostate cancer drugs </w:t>
      </w:r>
      <w:proofErr w:type="spellStart"/>
      <w:r w:rsidR="00DB7A45" w:rsidRPr="00DB7A45">
        <w:rPr>
          <w:rFonts w:ascii="Times New Roman" w:hAnsi="Times New Roman" w:cs="Times New Roman"/>
          <w:sz w:val="24"/>
          <w:szCs w:val="24"/>
        </w:rPr>
        <w:t>Enzalutamide</w:t>
      </w:r>
      <w:proofErr w:type="spellEnd"/>
      <w:r w:rsidR="00DB7A45" w:rsidRPr="00DB7A45">
        <w:rPr>
          <w:rFonts w:ascii="Times New Roman" w:hAnsi="Times New Roman" w:cs="Times New Roman"/>
          <w:sz w:val="24"/>
          <w:szCs w:val="24"/>
        </w:rPr>
        <w:t xml:space="preserve"> and </w:t>
      </w:r>
      <w:proofErr w:type="spellStart"/>
      <w:r w:rsidR="00DB7A45" w:rsidRPr="00DB7A45">
        <w:rPr>
          <w:rFonts w:ascii="Times New Roman" w:hAnsi="Times New Roman" w:cs="Times New Roman"/>
          <w:sz w:val="24"/>
          <w:szCs w:val="24"/>
        </w:rPr>
        <w:t>Apalutamide</w:t>
      </w:r>
      <w:proofErr w:type="spellEnd"/>
      <w:r w:rsidR="00DB7A45" w:rsidRPr="00DB7A45">
        <w:rPr>
          <w:rFonts w:ascii="Times New Roman" w:hAnsi="Times New Roman" w:cs="Times New Roman"/>
          <w:sz w:val="24"/>
          <w:szCs w:val="24"/>
        </w:rPr>
        <w:t>.</w:t>
      </w:r>
      <w:r w:rsidR="00DB7A45">
        <w:rPr>
          <w:rFonts w:ascii="Times New Roman" w:hAnsi="Times New Roman" w:cs="Times New Roman"/>
          <w:sz w:val="24"/>
          <w:szCs w:val="24"/>
        </w:rPr>
        <w:t xml:space="preserve"> </w:t>
      </w:r>
      <w:proofErr w:type="spellStart"/>
      <w:r w:rsidR="00DB7A45" w:rsidRPr="00DB7A45">
        <w:rPr>
          <w:rFonts w:ascii="Times New Roman" w:hAnsi="Times New Roman" w:cs="Times New Roman"/>
          <w:sz w:val="24"/>
          <w:szCs w:val="24"/>
        </w:rPr>
        <w:t>Enzalutamide</w:t>
      </w:r>
      <w:proofErr w:type="spellEnd"/>
      <w:r w:rsidR="00DB7A45" w:rsidRPr="00DB7A45">
        <w:rPr>
          <w:rFonts w:ascii="Times New Roman" w:hAnsi="Times New Roman" w:cs="Times New Roman"/>
          <w:sz w:val="24"/>
          <w:szCs w:val="24"/>
        </w:rPr>
        <w:t xml:space="preserve">, an FDA-approved second-generation androgen receptor antagonist, works by preventing the nuclear translocation of the stimulated AR, thereby inhibiting its localization to androgen response elements (AREs) and inducing apoptosis in CRPC cells. However, patients may develop resistance to </w:t>
      </w:r>
      <w:proofErr w:type="spellStart"/>
      <w:r w:rsidR="00DB7A45" w:rsidRPr="00DB7A45">
        <w:rPr>
          <w:rFonts w:ascii="Times New Roman" w:hAnsi="Times New Roman" w:cs="Times New Roman"/>
          <w:sz w:val="24"/>
          <w:szCs w:val="24"/>
        </w:rPr>
        <w:t>Enzalutamide</w:t>
      </w:r>
      <w:proofErr w:type="spellEnd"/>
      <w:r w:rsidR="00DB7A45" w:rsidRPr="00DB7A45">
        <w:rPr>
          <w:rFonts w:ascii="Times New Roman" w:hAnsi="Times New Roman" w:cs="Times New Roman"/>
          <w:sz w:val="24"/>
          <w:szCs w:val="24"/>
        </w:rPr>
        <w:t xml:space="preserve"> through various mechanisms, such as changes in AR quantity or structure, over-activation of the glucocorticoid receptor (GR), and activation of alternative </w:t>
      </w:r>
      <w:proofErr w:type="spellStart"/>
      <w:r w:rsidR="00DB7A45" w:rsidRPr="00DB7A45">
        <w:rPr>
          <w:rFonts w:ascii="Times New Roman" w:hAnsi="Times New Roman" w:cs="Times New Roman"/>
          <w:sz w:val="24"/>
          <w:szCs w:val="24"/>
        </w:rPr>
        <w:t>signaling</w:t>
      </w:r>
      <w:proofErr w:type="spellEnd"/>
      <w:r w:rsidR="00DB7A45" w:rsidRPr="00DB7A45">
        <w:rPr>
          <w:rFonts w:ascii="Times New Roman" w:hAnsi="Times New Roman" w:cs="Times New Roman"/>
          <w:sz w:val="24"/>
          <w:szCs w:val="24"/>
        </w:rPr>
        <w:t xml:space="preserve"> pathways. </w:t>
      </w:r>
      <w:proofErr w:type="spellStart"/>
      <w:r w:rsidR="00DB7A45" w:rsidRPr="00DB7A45">
        <w:rPr>
          <w:rFonts w:ascii="Times New Roman" w:hAnsi="Times New Roman" w:cs="Times New Roman"/>
          <w:sz w:val="24"/>
          <w:szCs w:val="24"/>
        </w:rPr>
        <w:t>Apalutamide</w:t>
      </w:r>
      <w:proofErr w:type="spellEnd"/>
      <w:r w:rsidR="00DB7A45" w:rsidRPr="00DB7A45">
        <w:rPr>
          <w:rFonts w:ascii="Times New Roman" w:hAnsi="Times New Roman" w:cs="Times New Roman"/>
          <w:sz w:val="24"/>
          <w:szCs w:val="24"/>
        </w:rPr>
        <w:t xml:space="preserve">, another novel AR inhibitor, also targets the AR </w:t>
      </w:r>
      <w:proofErr w:type="spellStart"/>
      <w:r w:rsidR="00DB7A45" w:rsidRPr="00DB7A45">
        <w:rPr>
          <w:rFonts w:ascii="Times New Roman" w:hAnsi="Times New Roman" w:cs="Times New Roman"/>
          <w:sz w:val="24"/>
          <w:szCs w:val="24"/>
        </w:rPr>
        <w:t>signaling</w:t>
      </w:r>
      <w:proofErr w:type="spellEnd"/>
      <w:r w:rsidR="00DB7A45" w:rsidRPr="00DB7A45">
        <w:rPr>
          <w:rFonts w:ascii="Times New Roman" w:hAnsi="Times New Roman" w:cs="Times New Roman"/>
          <w:sz w:val="24"/>
          <w:szCs w:val="24"/>
        </w:rPr>
        <w:t xml:space="preserve"> axis but with improved central nervous system (CNS) safety compared to </w:t>
      </w:r>
      <w:proofErr w:type="spellStart"/>
      <w:r w:rsidR="00DB7A45" w:rsidRPr="00DB7A45">
        <w:rPr>
          <w:rFonts w:ascii="Times New Roman" w:hAnsi="Times New Roman" w:cs="Times New Roman"/>
          <w:sz w:val="24"/>
          <w:szCs w:val="24"/>
        </w:rPr>
        <w:t>Enzalutamide</w:t>
      </w:r>
      <w:proofErr w:type="spellEnd"/>
      <w:r w:rsidR="00DB7A45" w:rsidRPr="00DB7A45">
        <w:rPr>
          <w:rFonts w:ascii="Times New Roman" w:hAnsi="Times New Roman" w:cs="Times New Roman"/>
          <w:sz w:val="24"/>
          <w:szCs w:val="24"/>
        </w:rPr>
        <w:t xml:space="preserve">. Resistance to </w:t>
      </w:r>
      <w:proofErr w:type="spellStart"/>
      <w:r w:rsidR="00DB7A45" w:rsidRPr="00DB7A45">
        <w:rPr>
          <w:rFonts w:ascii="Times New Roman" w:hAnsi="Times New Roman" w:cs="Times New Roman"/>
          <w:sz w:val="24"/>
          <w:szCs w:val="24"/>
        </w:rPr>
        <w:t>Apalutamide</w:t>
      </w:r>
      <w:proofErr w:type="spellEnd"/>
      <w:r w:rsidR="00DB7A45" w:rsidRPr="00DB7A45">
        <w:rPr>
          <w:rFonts w:ascii="Times New Roman" w:hAnsi="Times New Roman" w:cs="Times New Roman"/>
          <w:sz w:val="24"/>
          <w:szCs w:val="24"/>
        </w:rPr>
        <w:t xml:space="preserve"> has been linked to AR mutations, splicing variants, and PI3K pathway activation.</w:t>
      </w:r>
    </w:p>
    <w:p w:rsidR="00F77439" w:rsidRPr="002E7761" w:rsidRDefault="00F77439" w:rsidP="006D3376">
      <w:pPr>
        <w:spacing w:line="360" w:lineRule="auto"/>
        <w:jc w:val="both"/>
        <w:rPr>
          <w:rFonts w:ascii="Times New Roman" w:hAnsi="Times New Roman" w:cs="Times New Roman"/>
          <w:sz w:val="24"/>
          <w:szCs w:val="24"/>
        </w:rPr>
      </w:pPr>
      <w:r w:rsidRPr="002E7761">
        <w:rPr>
          <w:rFonts w:ascii="Times New Roman" w:hAnsi="Times New Roman" w:cs="Times New Roman"/>
          <w:sz w:val="24"/>
          <w:szCs w:val="24"/>
        </w:rPr>
        <w:t>The physicochemical properties of the isolat</w:t>
      </w:r>
      <w:r w:rsidR="00D84CF6">
        <w:rPr>
          <w:rFonts w:ascii="Times New Roman" w:hAnsi="Times New Roman" w:cs="Times New Roman"/>
          <w:sz w:val="24"/>
          <w:szCs w:val="24"/>
        </w:rPr>
        <w:t>ed compounds</w:t>
      </w:r>
      <w:r w:rsidRPr="002E7761">
        <w:rPr>
          <w:rFonts w:ascii="Times New Roman" w:hAnsi="Times New Roman" w:cs="Times New Roman"/>
          <w:sz w:val="24"/>
          <w:szCs w:val="24"/>
        </w:rPr>
        <w:t xml:space="preserve"> with known prostate cancer standard drugs</w:t>
      </w:r>
      <w:r w:rsidR="00244140">
        <w:rPr>
          <w:rFonts w:ascii="Times New Roman" w:hAnsi="Times New Roman" w:cs="Times New Roman"/>
          <w:sz w:val="24"/>
          <w:szCs w:val="24"/>
        </w:rPr>
        <w:t xml:space="preserve">, </w:t>
      </w:r>
      <w:proofErr w:type="spellStart"/>
      <w:r w:rsidR="00244140">
        <w:rPr>
          <w:rFonts w:ascii="Times New Roman" w:hAnsi="Times New Roman" w:cs="Times New Roman"/>
          <w:sz w:val="24"/>
          <w:szCs w:val="24"/>
        </w:rPr>
        <w:t>Enzalutamide</w:t>
      </w:r>
      <w:proofErr w:type="spellEnd"/>
      <w:r w:rsidR="00244140">
        <w:rPr>
          <w:rFonts w:ascii="Times New Roman" w:hAnsi="Times New Roman" w:cs="Times New Roman"/>
          <w:sz w:val="24"/>
          <w:szCs w:val="24"/>
        </w:rPr>
        <w:t xml:space="preserve"> and </w:t>
      </w:r>
      <w:proofErr w:type="spellStart"/>
      <w:r w:rsidR="00244140">
        <w:rPr>
          <w:rFonts w:ascii="Times New Roman" w:hAnsi="Times New Roman" w:cs="Times New Roman"/>
          <w:sz w:val="24"/>
          <w:szCs w:val="24"/>
        </w:rPr>
        <w:t>Apalutamide</w:t>
      </w:r>
      <w:proofErr w:type="spellEnd"/>
      <w:r w:rsidR="00244140">
        <w:rPr>
          <w:rFonts w:ascii="Times New Roman" w:hAnsi="Times New Roman" w:cs="Times New Roman"/>
          <w:sz w:val="24"/>
          <w:szCs w:val="24"/>
        </w:rPr>
        <w:t>, reveal</w:t>
      </w:r>
      <w:r w:rsidRPr="002E7761">
        <w:rPr>
          <w:rFonts w:ascii="Times New Roman" w:hAnsi="Times New Roman" w:cs="Times New Roman"/>
          <w:sz w:val="24"/>
          <w:szCs w:val="24"/>
        </w:rPr>
        <w:t xml:space="preserve"> distinct trends. The isolated compounds generally exhibit lower molecular weights, lower </w:t>
      </w:r>
      <w:proofErr w:type="spellStart"/>
      <w:r w:rsidRPr="002E7761">
        <w:rPr>
          <w:rFonts w:ascii="Times New Roman" w:hAnsi="Times New Roman" w:cs="Times New Roman"/>
          <w:sz w:val="24"/>
          <w:szCs w:val="24"/>
        </w:rPr>
        <w:t>lipophilicity</w:t>
      </w:r>
      <w:proofErr w:type="spellEnd"/>
      <w:r w:rsidRPr="002E7761">
        <w:rPr>
          <w:rFonts w:ascii="Times New Roman" w:hAnsi="Times New Roman" w:cs="Times New Roman"/>
          <w:sz w:val="24"/>
          <w:szCs w:val="24"/>
        </w:rPr>
        <w:t xml:space="preserve"> (</w:t>
      </w:r>
      <w:proofErr w:type="spellStart"/>
      <w:r w:rsidRPr="002E7761">
        <w:rPr>
          <w:rFonts w:ascii="Times New Roman" w:hAnsi="Times New Roman" w:cs="Times New Roman"/>
          <w:sz w:val="24"/>
          <w:szCs w:val="24"/>
        </w:rPr>
        <w:t>LogP</w:t>
      </w:r>
      <w:proofErr w:type="spellEnd"/>
      <w:r w:rsidRPr="002E7761">
        <w:rPr>
          <w:rFonts w:ascii="Times New Roman" w:hAnsi="Times New Roman" w:cs="Times New Roman"/>
          <w:sz w:val="24"/>
          <w:szCs w:val="24"/>
        </w:rPr>
        <w:t xml:space="preserve">) values, and better water solubility compared to the reference drugs. This higher weight and </w:t>
      </w:r>
      <w:proofErr w:type="spellStart"/>
      <w:r w:rsidRPr="002E7761">
        <w:rPr>
          <w:rFonts w:ascii="Times New Roman" w:hAnsi="Times New Roman" w:cs="Times New Roman"/>
          <w:sz w:val="24"/>
          <w:szCs w:val="24"/>
        </w:rPr>
        <w:t>lipophilicity</w:t>
      </w:r>
      <w:proofErr w:type="spellEnd"/>
      <w:r w:rsidRPr="002E7761">
        <w:rPr>
          <w:rFonts w:ascii="Times New Roman" w:hAnsi="Times New Roman" w:cs="Times New Roman"/>
          <w:sz w:val="24"/>
          <w:szCs w:val="24"/>
        </w:rPr>
        <w:t xml:space="preserve"> are due to the presence of fluorine (halogen) elements in the reference drugs </w:t>
      </w:r>
      <w:r w:rsidRPr="002E7761">
        <w:rPr>
          <w:rFonts w:ascii="Times New Roman" w:hAnsi="Times New Roman" w:cs="Times New Roman"/>
          <w:sz w:val="24"/>
          <w:szCs w:val="24"/>
        </w:rPr>
        <w:fldChar w:fldCharType="begin"/>
      </w:r>
      <w:r w:rsidRPr="002E7761">
        <w:rPr>
          <w:rFonts w:ascii="Times New Roman" w:hAnsi="Times New Roman" w:cs="Times New Roman"/>
          <w:sz w:val="24"/>
          <w:szCs w:val="24"/>
        </w:rPr>
        <w:instrText xml:space="preserve"> ADDIN ZOTERO_ITEM CSL_CITATION {"citationID":"cc1nZM6Q","properties":{"formattedCitation":"(Benedetto Tiz et al., 2022)","plainCitation":"(Benedetto Tiz et al., 2022)","noteIndex":0},"citationItems":[{"id":655,"uris":["http://zotero.org/users/11300200/items/GQBEHPPC"],"itemData":{"id":655,"type":"article-journal","abstract":"This review describes the recent Food and Drug Administration (FDA)-approved drugs (in the year 2021) containing at least one halogen atom (covalently bound). The structures proposed throughout this work are grouped according to their therapeutical use. Their synthesis is presented as well. The number of halogenated molecules that are reaching the market is regularly preserved, and 14 of the 50 molecules approved by the FDA in the last year contain halogens. This underlines the emergent role of halogens and, in particular, of fluorine and chlorine in the preparation of drugs for the treatment of several diseases such as viral infections, several types of cancer, cardiovascular disease, multiple sclerosis, migraine and inflammatory diseases such as vasculitis.","container-title":"Molecules","DOI":"10.3390/molecules27051643","ISSN":"1420-3049","issue":"5","journalAbbreviation":"Molecules","language":"en","page":"1643","source":"DOI.org (Crossref)","title":"New Halogen-Containing Drugs Approved by FDA in 2021: An Overview on Their Syntheses and Pharmaceutical Use","title-short":"New Halogen-Containing Drugs Approved by FDA in 2021","volume":"27","author":[{"family":"Benedetto Tiz","given":"Davide"},{"family":"Bagnoli","given":"Luana"},{"family":"Rosati","given":"Ornelio"},{"family":"Marini","given":"Francesca"},{"family":"Sancineto","given":"Luca"},{"family":"Santi","given":"Claudio"}],"issued":{"date-parts":[["2022",3,2]]}}}],"schema":"https://github.com/citation-style-language/schema/raw/master/csl-citation.json"} </w:instrText>
      </w:r>
      <w:r w:rsidRPr="002E7761">
        <w:rPr>
          <w:rFonts w:ascii="Times New Roman" w:hAnsi="Times New Roman" w:cs="Times New Roman"/>
          <w:sz w:val="24"/>
          <w:szCs w:val="24"/>
        </w:rPr>
        <w:fldChar w:fldCharType="separate"/>
      </w:r>
      <w:r w:rsidR="00A316B3" w:rsidRPr="00A316B3">
        <w:rPr>
          <w:rFonts w:ascii="Times New Roman" w:hAnsi="Times New Roman" w:cs="Times New Roman"/>
          <w:sz w:val="24"/>
        </w:rPr>
        <w:t>(Benedetto Tiz et al., 2022)</w:t>
      </w:r>
      <w:r w:rsidRPr="002E7761">
        <w:rPr>
          <w:rFonts w:ascii="Times New Roman" w:hAnsi="Times New Roman" w:cs="Times New Roman"/>
          <w:sz w:val="24"/>
          <w:szCs w:val="24"/>
        </w:rPr>
        <w:fldChar w:fldCharType="end"/>
      </w:r>
      <w:r w:rsidRPr="002E7761">
        <w:rPr>
          <w:rFonts w:ascii="Times New Roman" w:hAnsi="Times New Roman" w:cs="Times New Roman"/>
          <w:sz w:val="24"/>
          <w:szCs w:val="24"/>
        </w:rPr>
        <w:t xml:space="preserve">. Moreover, they demonstrate higher numbers of hydrogen bond donors and acceptors, as well as larger polar surface areas, indicating potential differences in their molecular interactions. These findings provide valuable insights into the unique physicochemical profiles of the isolated compounds, which can influence their drug likeness and suitability for therapeutic applications. The results indicate that all the compounds, including </w:t>
      </w:r>
      <w:r w:rsidR="00D84CF6">
        <w:rPr>
          <w:rFonts w:ascii="Times New Roman" w:hAnsi="Times New Roman" w:cs="Times New Roman"/>
          <w:sz w:val="24"/>
          <w:szCs w:val="24"/>
        </w:rPr>
        <w:t>COMP1, 2, 3, 4</w:t>
      </w:r>
      <w:r w:rsidRPr="002E7761">
        <w:rPr>
          <w:rFonts w:ascii="Times New Roman" w:hAnsi="Times New Roman" w:cs="Times New Roman"/>
          <w:sz w:val="24"/>
          <w:szCs w:val="24"/>
        </w:rPr>
        <w:t xml:space="preserve">, </w:t>
      </w:r>
      <w:proofErr w:type="spellStart"/>
      <w:r w:rsidRPr="002E7761">
        <w:rPr>
          <w:rFonts w:ascii="Times New Roman" w:hAnsi="Times New Roman" w:cs="Times New Roman"/>
          <w:sz w:val="24"/>
          <w:szCs w:val="24"/>
        </w:rPr>
        <w:t>Enzalutamide</w:t>
      </w:r>
      <w:proofErr w:type="spellEnd"/>
      <w:r w:rsidRPr="002E7761">
        <w:rPr>
          <w:rFonts w:ascii="Times New Roman" w:hAnsi="Times New Roman" w:cs="Times New Roman"/>
          <w:sz w:val="24"/>
          <w:szCs w:val="24"/>
        </w:rPr>
        <w:t xml:space="preserve">, and </w:t>
      </w:r>
      <w:proofErr w:type="spellStart"/>
      <w:r w:rsidRPr="002E7761">
        <w:rPr>
          <w:rFonts w:ascii="Times New Roman" w:hAnsi="Times New Roman" w:cs="Times New Roman"/>
          <w:sz w:val="24"/>
          <w:szCs w:val="24"/>
        </w:rPr>
        <w:t>Apalutamide</w:t>
      </w:r>
      <w:proofErr w:type="spellEnd"/>
      <w:r w:rsidRPr="002E7761">
        <w:rPr>
          <w:rFonts w:ascii="Times New Roman" w:hAnsi="Times New Roman" w:cs="Times New Roman"/>
          <w:sz w:val="24"/>
          <w:szCs w:val="24"/>
        </w:rPr>
        <w:t xml:space="preserve">, adhere to the known drug-likeness guidelines such as Lipinski, </w:t>
      </w:r>
      <w:proofErr w:type="spellStart"/>
      <w:r w:rsidRPr="002E7761">
        <w:rPr>
          <w:rFonts w:ascii="Times New Roman" w:hAnsi="Times New Roman" w:cs="Times New Roman"/>
          <w:sz w:val="24"/>
          <w:szCs w:val="24"/>
        </w:rPr>
        <w:t>Veber</w:t>
      </w:r>
      <w:proofErr w:type="spellEnd"/>
      <w:r w:rsidRPr="002E7761">
        <w:rPr>
          <w:rFonts w:ascii="Times New Roman" w:hAnsi="Times New Roman" w:cs="Times New Roman"/>
          <w:sz w:val="24"/>
          <w:szCs w:val="24"/>
        </w:rPr>
        <w:t xml:space="preserve">, </w:t>
      </w:r>
      <w:proofErr w:type="spellStart"/>
      <w:r w:rsidRPr="002E7761">
        <w:rPr>
          <w:rFonts w:ascii="Times New Roman" w:hAnsi="Times New Roman" w:cs="Times New Roman"/>
          <w:sz w:val="24"/>
          <w:szCs w:val="24"/>
        </w:rPr>
        <w:t>Ghose</w:t>
      </w:r>
      <w:proofErr w:type="spellEnd"/>
      <w:r w:rsidRPr="002E7761">
        <w:rPr>
          <w:rFonts w:ascii="Times New Roman" w:hAnsi="Times New Roman" w:cs="Times New Roman"/>
          <w:sz w:val="24"/>
          <w:szCs w:val="24"/>
        </w:rPr>
        <w:t xml:space="preserve">, Egan, and </w:t>
      </w:r>
      <w:proofErr w:type="spellStart"/>
      <w:r w:rsidRPr="002E7761">
        <w:rPr>
          <w:rFonts w:ascii="Times New Roman" w:hAnsi="Times New Roman" w:cs="Times New Roman"/>
          <w:sz w:val="24"/>
          <w:szCs w:val="24"/>
        </w:rPr>
        <w:t>Muegge</w:t>
      </w:r>
      <w:proofErr w:type="spellEnd"/>
      <w:r w:rsidRPr="002E7761">
        <w:rPr>
          <w:rFonts w:ascii="Times New Roman" w:hAnsi="Times New Roman" w:cs="Times New Roman"/>
          <w:sz w:val="24"/>
          <w:szCs w:val="24"/>
        </w:rPr>
        <w:t xml:space="preserve"> rules. This suggests that all the compounds possess physicochemical properties aligning with established drug-likeness criteria, indicating their potential for use in therapy. The consistent adherence across the compounds underscores their promise as potential drug candidates.</w:t>
      </w:r>
    </w:p>
    <w:p w:rsidR="00F77439" w:rsidRPr="00C126ED" w:rsidRDefault="00F77439" w:rsidP="006D3376">
      <w:pPr>
        <w:spacing w:line="360" w:lineRule="auto"/>
        <w:jc w:val="both"/>
        <w:rPr>
          <w:rFonts w:ascii="Times New Roman" w:hAnsi="Times New Roman" w:cs="Times New Roman"/>
          <w:sz w:val="24"/>
          <w:szCs w:val="24"/>
          <w:lang w:val="en-US"/>
        </w:rPr>
      </w:pPr>
      <w:r w:rsidRPr="002E7761">
        <w:rPr>
          <w:rFonts w:ascii="Times New Roman" w:hAnsi="Times New Roman" w:cs="Times New Roman"/>
          <w:sz w:val="24"/>
          <w:szCs w:val="24"/>
        </w:rPr>
        <w:t>The molecular docking analysis of the pure compo</w:t>
      </w:r>
      <w:r w:rsidR="00C126ED">
        <w:rPr>
          <w:rFonts w:ascii="Times New Roman" w:hAnsi="Times New Roman" w:cs="Times New Roman"/>
          <w:sz w:val="24"/>
          <w:szCs w:val="24"/>
        </w:rPr>
        <w:t>unds reveals insights into the</w:t>
      </w:r>
      <w:r w:rsidRPr="002E7761">
        <w:rPr>
          <w:rFonts w:ascii="Times New Roman" w:hAnsi="Times New Roman" w:cs="Times New Roman"/>
          <w:sz w:val="24"/>
          <w:szCs w:val="24"/>
        </w:rPr>
        <w:t xml:space="preserve"> </w:t>
      </w:r>
      <w:r w:rsidR="00C126ED" w:rsidRPr="00C126ED">
        <w:rPr>
          <w:rFonts w:ascii="Times New Roman" w:hAnsi="Times New Roman" w:cs="Times New Roman"/>
          <w:sz w:val="24"/>
          <w:szCs w:val="24"/>
          <w:lang w:val="en-US"/>
        </w:rPr>
        <w:t>interaction residues in the binding site and the predicted binding free energy</w:t>
      </w:r>
      <w:r w:rsidR="00C126ED">
        <w:rPr>
          <w:rFonts w:ascii="Times New Roman" w:hAnsi="Times New Roman" w:cs="Times New Roman"/>
          <w:sz w:val="24"/>
          <w:szCs w:val="24"/>
        </w:rPr>
        <w:t xml:space="preserve"> against</w:t>
      </w:r>
      <w:r w:rsidR="00D84CF6">
        <w:rPr>
          <w:rFonts w:ascii="Times New Roman" w:hAnsi="Times New Roman" w:cs="Times New Roman"/>
          <w:sz w:val="24"/>
          <w:szCs w:val="24"/>
        </w:rPr>
        <w:t xml:space="preserve"> mutant SPOP. COMP3</w:t>
      </w:r>
      <w:r w:rsidRPr="002E7761">
        <w:rPr>
          <w:rFonts w:ascii="Times New Roman" w:hAnsi="Times New Roman" w:cs="Times New Roman"/>
          <w:sz w:val="24"/>
          <w:szCs w:val="24"/>
        </w:rPr>
        <w:t xml:space="preserve"> demonstrates the highest binding affinity with a calculated value of </w:t>
      </w:r>
      <w:r w:rsidR="00D84CF6">
        <w:rPr>
          <w:rFonts w:ascii="Times New Roman" w:hAnsi="Times New Roman" w:cs="Times New Roman"/>
          <w:sz w:val="24"/>
          <w:szCs w:val="24"/>
        </w:rPr>
        <w:t>-7.1 kcal/</w:t>
      </w:r>
      <w:proofErr w:type="spellStart"/>
      <w:r w:rsidR="00D84CF6">
        <w:rPr>
          <w:rFonts w:ascii="Times New Roman" w:hAnsi="Times New Roman" w:cs="Times New Roman"/>
          <w:sz w:val="24"/>
          <w:szCs w:val="24"/>
        </w:rPr>
        <w:t>mol</w:t>
      </w:r>
      <w:proofErr w:type="spellEnd"/>
      <w:r w:rsidR="00D84CF6">
        <w:rPr>
          <w:rFonts w:ascii="Times New Roman" w:hAnsi="Times New Roman" w:cs="Times New Roman"/>
          <w:sz w:val="24"/>
          <w:szCs w:val="24"/>
        </w:rPr>
        <w:t>, followed by COMP2</w:t>
      </w:r>
      <w:r w:rsidRPr="002E7761">
        <w:rPr>
          <w:rFonts w:ascii="Times New Roman" w:hAnsi="Times New Roman" w:cs="Times New Roman"/>
          <w:sz w:val="24"/>
          <w:szCs w:val="24"/>
        </w:rPr>
        <w:t xml:space="preserve"> (-6.9 kcal/</w:t>
      </w:r>
      <w:proofErr w:type="spellStart"/>
      <w:r w:rsidRPr="002E7761">
        <w:rPr>
          <w:rFonts w:ascii="Times New Roman" w:hAnsi="Times New Roman" w:cs="Times New Roman"/>
          <w:sz w:val="24"/>
          <w:szCs w:val="24"/>
        </w:rPr>
        <w:t>mol</w:t>
      </w:r>
      <w:proofErr w:type="spellEnd"/>
      <w:r w:rsidRPr="002E7761">
        <w:rPr>
          <w:rFonts w:ascii="Times New Roman" w:hAnsi="Times New Roman" w:cs="Times New Roman"/>
          <w:sz w:val="24"/>
          <w:szCs w:val="24"/>
        </w:rPr>
        <w:t xml:space="preserve">), </w:t>
      </w:r>
      <w:proofErr w:type="spellStart"/>
      <w:r w:rsidRPr="002E7761">
        <w:rPr>
          <w:rFonts w:ascii="Times New Roman" w:hAnsi="Times New Roman" w:cs="Times New Roman"/>
          <w:sz w:val="24"/>
          <w:szCs w:val="24"/>
        </w:rPr>
        <w:t>Enzalutamide</w:t>
      </w:r>
      <w:proofErr w:type="spellEnd"/>
      <w:r w:rsidRPr="002E7761">
        <w:rPr>
          <w:rFonts w:ascii="Times New Roman" w:hAnsi="Times New Roman" w:cs="Times New Roman"/>
          <w:sz w:val="24"/>
          <w:szCs w:val="24"/>
        </w:rPr>
        <w:t xml:space="preserve"> (-6.8 kcal/</w:t>
      </w:r>
      <w:proofErr w:type="spellStart"/>
      <w:r w:rsidRPr="002E7761">
        <w:rPr>
          <w:rFonts w:ascii="Times New Roman" w:hAnsi="Times New Roman" w:cs="Times New Roman"/>
          <w:sz w:val="24"/>
          <w:szCs w:val="24"/>
        </w:rPr>
        <w:t>mol</w:t>
      </w:r>
      <w:proofErr w:type="spellEnd"/>
      <w:r w:rsidRPr="002E7761">
        <w:rPr>
          <w:rFonts w:ascii="Times New Roman" w:hAnsi="Times New Roman" w:cs="Times New Roman"/>
          <w:sz w:val="24"/>
          <w:szCs w:val="24"/>
        </w:rPr>
        <w:t>), TCB16 (-6.8 kcal/</w:t>
      </w:r>
      <w:proofErr w:type="spellStart"/>
      <w:r w:rsidRPr="002E7761">
        <w:rPr>
          <w:rFonts w:ascii="Times New Roman" w:hAnsi="Times New Roman" w:cs="Times New Roman"/>
          <w:sz w:val="24"/>
          <w:szCs w:val="24"/>
        </w:rPr>
        <w:t>mol</w:t>
      </w:r>
      <w:proofErr w:type="spellEnd"/>
      <w:r w:rsidR="00D84CF6">
        <w:rPr>
          <w:rFonts w:ascii="Times New Roman" w:hAnsi="Times New Roman" w:cs="Times New Roman"/>
          <w:sz w:val="24"/>
          <w:szCs w:val="24"/>
        </w:rPr>
        <w:t xml:space="preserve">), </w:t>
      </w:r>
      <w:r w:rsidR="00D84CF6">
        <w:rPr>
          <w:rFonts w:ascii="Times New Roman" w:hAnsi="Times New Roman" w:cs="Times New Roman"/>
          <w:sz w:val="24"/>
          <w:szCs w:val="24"/>
        </w:rPr>
        <w:lastRenderedPageBreak/>
        <w:t>and COMP1</w:t>
      </w:r>
      <w:r w:rsidRPr="002E7761">
        <w:rPr>
          <w:rFonts w:ascii="Times New Roman" w:hAnsi="Times New Roman" w:cs="Times New Roman"/>
          <w:sz w:val="24"/>
          <w:szCs w:val="24"/>
        </w:rPr>
        <w:t xml:space="preserve"> (-5.9 kcal/</w:t>
      </w:r>
      <w:proofErr w:type="spellStart"/>
      <w:r w:rsidRPr="002E7761">
        <w:rPr>
          <w:rFonts w:ascii="Times New Roman" w:hAnsi="Times New Roman" w:cs="Times New Roman"/>
          <w:sz w:val="24"/>
          <w:szCs w:val="24"/>
        </w:rPr>
        <w:t>mol</w:t>
      </w:r>
      <w:proofErr w:type="spellEnd"/>
      <w:r w:rsidRPr="002E7761">
        <w:rPr>
          <w:rFonts w:ascii="Times New Roman" w:hAnsi="Times New Roman" w:cs="Times New Roman"/>
          <w:sz w:val="24"/>
          <w:szCs w:val="24"/>
        </w:rPr>
        <w:t xml:space="preserve">). Interacting residues and types of interactions vary across the compounds, indicating diverse binding </w:t>
      </w:r>
      <w:r w:rsidR="00D84CF6">
        <w:rPr>
          <w:rFonts w:ascii="Times New Roman" w:hAnsi="Times New Roman" w:cs="Times New Roman"/>
          <w:sz w:val="24"/>
          <w:szCs w:val="24"/>
        </w:rPr>
        <w:t>mechanisms. Comparatively, COMP4</w:t>
      </w:r>
      <w:r w:rsidRPr="002E7761">
        <w:rPr>
          <w:rFonts w:ascii="Times New Roman" w:hAnsi="Times New Roman" w:cs="Times New Roman"/>
          <w:sz w:val="24"/>
          <w:szCs w:val="24"/>
        </w:rPr>
        <w:t xml:space="preserve"> exhibits the strongest binding affinity, with a notable involvement of conventional hydrogen bonds and additional interactions such as Pi-</w:t>
      </w:r>
      <w:proofErr w:type="spellStart"/>
      <w:r w:rsidRPr="002E7761">
        <w:rPr>
          <w:rFonts w:ascii="Times New Roman" w:hAnsi="Times New Roman" w:cs="Times New Roman"/>
          <w:sz w:val="24"/>
          <w:szCs w:val="24"/>
        </w:rPr>
        <w:t>Cation</w:t>
      </w:r>
      <w:proofErr w:type="spellEnd"/>
      <w:r w:rsidRPr="002E7761">
        <w:rPr>
          <w:rFonts w:ascii="Times New Roman" w:hAnsi="Times New Roman" w:cs="Times New Roman"/>
          <w:sz w:val="24"/>
          <w:szCs w:val="24"/>
        </w:rPr>
        <w:t xml:space="preserve"> </w:t>
      </w:r>
      <w:r w:rsidR="00D84CF6">
        <w:rPr>
          <w:rFonts w:ascii="Times New Roman" w:hAnsi="Times New Roman" w:cs="Times New Roman"/>
          <w:sz w:val="24"/>
          <w:szCs w:val="24"/>
        </w:rPr>
        <w:t>and Pi-Alkyl interactions. COMP2</w:t>
      </w:r>
      <w:r w:rsidRPr="002E7761">
        <w:rPr>
          <w:rFonts w:ascii="Times New Roman" w:hAnsi="Times New Roman" w:cs="Times New Roman"/>
          <w:sz w:val="24"/>
          <w:szCs w:val="24"/>
        </w:rPr>
        <w:t xml:space="preserve"> also demonstrates significant conventional hydrogen bonding and Pi-Alkyl interactions, contributing to its </w:t>
      </w:r>
      <w:proofErr w:type="spellStart"/>
      <w:r w:rsidRPr="002E7761">
        <w:rPr>
          <w:rFonts w:ascii="Times New Roman" w:hAnsi="Times New Roman" w:cs="Times New Roman"/>
          <w:sz w:val="24"/>
          <w:szCs w:val="24"/>
        </w:rPr>
        <w:t>favorable</w:t>
      </w:r>
      <w:proofErr w:type="spellEnd"/>
      <w:r w:rsidRPr="002E7761">
        <w:rPr>
          <w:rFonts w:ascii="Times New Roman" w:hAnsi="Times New Roman" w:cs="Times New Roman"/>
          <w:sz w:val="24"/>
          <w:szCs w:val="24"/>
        </w:rPr>
        <w:t xml:space="preserve"> binding affinity. </w:t>
      </w:r>
      <w:proofErr w:type="spellStart"/>
      <w:r w:rsidRPr="002E7761">
        <w:rPr>
          <w:rFonts w:ascii="Times New Roman" w:hAnsi="Times New Roman" w:cs="Times New Roman"/>
          <w:sz w:val="24"/>
          <w:szCs w:val="24"/>
        </w:rPr>
        <w:t>Enzalutamide</w:t>
      </w:r>
      <w:proofErr w:type="spellEnd"/>
      <w:r w:rsidRPr="002E7761">
        <w:rPr>
          <w:rFonts w:ascii="Times New Roman" w:hAnsi="Times New Roman" w:cs="Times New Roman"/>
          <w:sz w:val="24"/>
          <w:szCs w:val="24"/>
        </w:rPr>
        <w:t>, while sharing a simila</w:t>
      </w:r>
      <w:r w:rsidR="00D84CF6">
        <w:rPr>
          <w:rFonts w:ascii="Times New Roman" w:hAnsi="Times New Roman" w:cs="Times New Roman"/>
          <w:sz w:val="24"/>
          <w:szCs w:val="24"/>
        </w:rPr>
        <w:t>r binding affinity with COMP4</w:t>
      </w:r>
      <w:r w:rsidRPr="002E7761">
        <w:rPr>
          <w:rFonts w:ascii="Times New Roman" w:hAnsi="Times New Roman" w:cs="Times New Roman"/>
          <w:sz w:val="24"/>
          <w:szCs w:val="24"/>
        </w:rPr>
        <w:t>, displays a distinct interaction profile involving conventional hydrogen bonds, carbon hydrogen bonds, halogen interactions, and Pi-Anion interactions.</w:t>
      </w:r>
      <w:r w:rsidR="00D84CF6">
        <w:rPr>
          <w:rFonts w:ascii="Times New Roman" w:hAnsi="Times New Roman" w:cs="Times New Roman"/>
          <w:sz w:val="24"/>
          <w:szCs w:val="24"/>
        </w:rPr>
        <w:t xml:space="preserve"> </w:t>
      </w:r>
      <w:r w:rsidRPr="002E7761">
        <w:rPr>
          <w:rFonts w:ascii="Times New Roman" w:hAnsi="Times New Roman" w:cs="Times New Roman"/>
          <w:sz w:val="24"/>
          <w:szCs w:val="24"/>
        </w:rPr>
        <w:t>T</w:t>
      </w:r>
      <w:r w:rsidR="00D84CF6">
        <w:rPr>
          <w:rFonts w:ascii="Times New Roman" w:hAnsi="Times New Roman" w:cs="Times New Roman"/>
          <w:sz w:val="24"/>
          <w:szCs w:val="24"/>
        </w:rPr>
        <w:t>hese findings suggest that COMP2 and 3</w:t>
      </w:r>
      <w:r w:rsidRPr="002E7761">
        <w:rPr>
          <w:rFonts w:ascii="Times New Roman" w:hAnsi="Times New Roman" w:cs="Times New Roman"/>
          <w:sz w:val="24"/>
          <w:szCs w:val="24"/>
        </w:rPr>
        <w:t xml:space="preserve"> exhibit promising binding affinities and interaction profiles compared to the standard drugs </w:t>
      </w:r>
      <w:proofErr w:type="spellStart"/>
      <w:r w:rsidRPr="002E7761">
        <w:rPr>
          <w:rFonts w:ascii="Times New Roman" w:hAnsi="Times New Roman" w:cs="Times New Roman"/>
          <w:sz w:val="24"/>
          <w:szCs w:val="24"/>
        </w:rPr>
        <w:t>Enzalutamide</w:t>
      </w:r>
      <w:proofErr w:type="spellEnd"/>
      <w:r w:rsidRPr="002E7761">
        <w:rPr>
          <w:rFonts w:ascii="Times New Roman" w:hAnsi="Times New Roman" w:cs="Times New Roman"/>
          <w:sz w:val="24"/>
          <w:szCs w:val="24"/>
        </w:rPr>
        <w:t xml:space="preserve"> and </w:t>
      </w:r>
      <w:proofErr w:type="spellStart"/>
      <w:r w:rsidRPr="002E7761">
        <w:rPr>
          <w:rFonts w:ascii="Times New Roman" w:hAnsi="Times New Roman" w:cs="Times New Roman"/>
          <w:sz w:val="24"/>
          <w:szCs w:val="24"/>
        </w:rPr>
        <w:t>Apalutamide</w:t>
      </w:r>
      <w:proofErr w:type="spellEnd"/>
      <w:r w:rsidRPr="002E7761">
        <w:rPr>
          <w:rFonts w:ascii="Times New Roman" w:hAnsi="Times New Roman" w:cs="Times New Roman"/>
          <w:sz w:val="24"/>
          <w:szCs w:val="24"/>
        </w:rPr>
        <w:t>, indicating their potential as candidates for further evaluation i</w:t>
      </w:r>
      <w:r w:rsidR="00244140">
        <w:rPr>
          <w:rFonts w:ascii="Times New Roman" w:hAnsi="Times New Roman" w:cs="Times New Roman"/>
          <w:sz w:val="24"/>
          <w:szCs w:val="24"/>
        </w:rPr>
        <w:t>n targeting mutant SPOP. Table 6</w:t>
      </w:r>
      <w:r w:rsidRPr="002E7761">
        <w:rPr>
          <w:rFonts w:ascii="Times New Roman" w:hAnsi="Times New Roman" w:cs="Times New Roman"/>
          <w:sz w:val="24"/>
          <w:szCs w:val="24"/>
        </w:rPr>
        <w:t xml:space="preserve"> showcases </w:t>
      </w:r>
      <w:r w:rsidR="00C126ED">
        <w:rPr>
          <w:rFonts w:ascii="Times New Roman" w:hAnsi="Times New Roman" w:cs="Times New Roman"/>
          <w:sz w:val="24"/>
          <w:szCs w:val="24"/>
        </w:rPr>
        <w:t>t</w:t>
      </w:r>
      <w:r w:rsidR="00C126ED" w:rsidRPr="00C126ED">
        <w:rPr>
          <w:rFonts w:ascii="Times New Roman" w:hAnsi="Times New Roman" w:cs="Times New Roman"/>
          <w:sz w:val="24"/>
          <w:szCs w:val="24"/>
        </w:rPr>
        <w:t>he calculated free energy of binding and the interacting residues inside the binding site of</w:t>
      </w:r>
      <w:r w:rsidR="00D84CF6">
        <w:rPr>
          <w:rFonts w:ascii="Times New Roman" w:hAnsi="Times New Roman" w:cs="Times New Roman"/>
          <w:sz w:val="24"/>
          <w:szCs w:val="24"/>
        </w:rPr>
        <w:t xml:space="preserve"> mutant AR-V7. COMP2</w:t>
      </w:r>
      <w:r w:rsidRPr="002E7761">
        <w:rPr>
          <w:rFonts w:ascii="Times New Roman" w:hAnsi="Times New Roman" w:cs="Times New Roman"/>
          <w:sz w:val="24"/>
          <w:szCs w:val="24"/>
        </w:rPr>
        <w:t xml:space="preserve"> demonstrates the highest binding affinity with a calculated value of </w:t>
      </w:r>
      <w:r w:rsidR="00D84CF6">
        <w:rPr>
          <w:rFonts w:ascii="Times New Roman" w:hAnsi="Times New Roman" w:cs="Times New Roman"/>
          <w:sz w:val="24"/>
          <w:szCs w:val="24"/>
        </w:rPr>
        <w:t>-7.6 kcal/</w:t>
      </w:r>
      <w:proofErr w:type="spellStart"/>
      <w:r w:rsidR="00D84CF6">
        <w:rPr>
          <w:rFonts w:ascii="Times New Roman" w:hAnsi="Times New Roman" w:cs="Times New Roman"/>
          <w:sz w:val="24"/>
          <w:szCs w:val="24"/>
        </w:rPr>
        <w:t>mol</w:t>
      </w:r>
      <w:proofErr w:type="spellEnd"/>
      <w:r w:rsidR="00D84CF6">
        <w:rPr>
          <w:rFonts w:ascii="Times New Roman" w:hAnsi="Times New Roman" w:cs="Times New Roman"/>
          <w:sz w:val="24"/>
          <w:szCs w:val="24"/>
        </w:rPr>
        <w:t>, followed by COMP3 (-7.2 kcal/</w:t>
      </w:r>
      <w:proofErr w:type="spellStart"/>
      <w:r w:rsidR="00D84CF6">
        <w:rPr>
          <w:rFonts w:ascii="Times New Roman" w:hAnsi="Times New Roman" w:cs="Times New Roman"/>
          <w:sz w:val="24"/>
          <w:szCs w:val="24"/>
        </w:rPr>
        <w:t>mol</w:t>
      </w:r>
      <w:proofErr w:type="spellEnd"/>
      <w:r w:rsidR="00D84CF6">
        <w:rPr>
          <w:rFonts w:ascii="Times New Roman" w:hAnsi="Times New Roman" w:cs="Times New Roman"/>
          <w:sz w:val="24"/>
          <w:szCs w:val="24"/>
        </w:rPr>
        <w:t>), COMP4</w:t>
      </w:r>
      <w:r w:rsidRPr="002E7761">
        <w:rPr>
          <w:rFonts w:ascii="Times New Roman" w:hAnsi="Times New Roman" w:cs="Times New Roman"/>
          <w:sz w:val="24"/>
          <w:szCs w:val="24"/>
        </w:rPr>
        <w:t xml:space="preserve"> (-7.1 kcal/</w:t>
      </w:r>
      <w:proofErr w:type="spellStart"/>
      <w:r w:rsidRPr="002E7761">
        <w:rPr>
          <w:rFonts w:ascii="Times New Roman" w:hAnsi="Times New Roman" w:cs="Times New Roman"/>
          <w:sz w:val="24"/>
          <w:szCs w:val="24"/>
        </w:rPr>
        <w:t>mol</w:t>
      </w:r>
      <w:proofErr w:type="spellEnd"/>
      <w:r w:rsidRPr="002E7761">
        <w:rPr>
          <w:rFonts w:ascii="Times New Roman" w:hAnsi="Times New Roman" w:cs="Times New Roman"/>
          <w:sz w:val="24"/>
          <w:szCs w:val="24"/>
        </w:rPr>
        <w:t xml:space="preserve">), </w:t>
      </w:r>
      <w:proofErr w:type="spellStart"/>
      <w:r w:rsidRPr="002E7761">
        <w:rPr>
          <w:rFonts w:ascii="Times New Roman" w:hAnsi="Times New Roman" w:cs="Times New Roman"/>
          <w:sz w:val="24"/>
          <w:szCs w:val="24"/>
        </w:rPr>
        <w:t>Apalutamide</w:t>
      </w:r>
      <w:proofErr w:type="spellEnd"/>
      <w:r w:rsidRPr="002E7761">
        <w:rPr>
          <w:rFonts w:ascii="Times New Roman" w:hAnsi="Times New Roman" w:cs="Times New Roman"/>
          <w:sz w:val="24"/>
          <w:szCs w:val="24"/>
        </w:rPr>
        <w:t xml:space="preserve"> (-7.0 kcal/</w:t>
      </w:r>
      <w:proofErr w:type="spellStart"/>
      <w:r w:rsidRPr="002E7761">
        <w:rPr>
          <w:rFonts w:ascii="Times New Roman" w:hAnsi="Times New Roman" w:cs="Times New Roman"/>
          <w:sz w:val="24"/>
          <w:szCs w:val="24"/>
        </w:rPr>
        <w:t>mol</w:t>
      </w:r>
      <w:proofErr w:type="spellEnd"/>
      <w:r w:rsidRPr="002E7761">
        <w:rPr>
          <w:rFonts w:ascii="Times New Roman" w:hAnsi="Times New Roman" w:cs="Times New Roman"/>
          <w:sz w:val="24"/>
          <w:szCs w:val="24"/>
        </w:rPr>
        <w:t>), and TCB9 (-6.4 kcal/</w:t>
      </w:r>
      <w:proofErr w:type="spellStart"/>
      <w:r w:rsidRPr="002E7761">
        <w:rPr>
          <w:rFonts w:ascii="Times New Roman" w:hAnsi="Times New Roman" w:cs="Times New Roman"/>
          <w:sz w:val="24"/>
          <w:szCs w:val="24"/>
        </w:rPr>
        <w:t>mol</w:t>
      </w:r>
      <w:proofErr w:type="spellEnd"/>
      <w:r w:rsidRPr="002E7761">
        <w:rPr>
          <w:rFonts w:ascii="Times New Roman" w:hAnsi="Times New Roman" w:cs="Times New Roman"/>
          <w:sz w:val="24"/>
          <w:szCs w:val="24"/>
        </w:rPr>
        <w:t>). Interacting residues and types of interactions vary across the compounds, indicating diverse binding mechanisms.</w:t>
      </w:r>
    </w:p>
    <w:p w:rsidR="00F77439" w:rsidRPr="002E7761" w:rsidRDefault="00D84CF6" w:rsidP="006D3376">
      <w:pPr>
        <w:spacing w:line="360" w:lineRule="auto"/>
        <w:jc w:val="both"/>
        <w:rPr>
          <w:rFonts w:ascii="Times New Roman" w:hAnsi="Times New Roman" w:cs="Times New Roman"/>
          <w:sz w:val="24"/>
          <w:szCs w:val="24"/>
        </w:rPr>
      </w:pPr>
      <w:r>
        <w:rPr>
          <w:rFonts w:ascii="Times New Roman" w:hAnsi="Times New Roman" w:cs="Times New Roman"/>
          <w:sz w:val="24"/>
          <w:szCs w:val="24"/>
        </w:rPr>
        <w:t>COMP2</w:t>
      </w:r>
      <w:r w:rsidR="00F77439" w:rsidRPr="002E7761">
        <w:rPr>
          <w:rFonts w:ascii="Times New Roman" w:hAnsi="Times New Roman" w:cs="Times New Roman"/>
          <w:sz w:val="24"/>
          <w:szCs w:val="24"/>
        </w:rPr>
        <w:t xml:space="preserve"> exhibits the strongest binding affinity, with interactions including Amide-Pi Stacked </w:t>
      </w:r>
      <w:r>
        <w:rPr>
          <w:rFonts w:ascii="Times New Roman" w:hAnsi="Times New Roman" w:cs="Times New Roman"/>
          <w:sz w:val="24"/>
          <w:szCs w:val="24"/>
        </w:rPr>
        <w:t>and Pi-Alkyl interactions. COMP3</w:t>
      </w:r>
      <w:r w:rsidR="00F77439" w:rsidRPr="002E7761">
        <w:rPr>
          <w:rFonts w:ascii="Times New Roman" w:hAnsi="Times New Roman" w:cs="Times New Roman"/>
          <w:sz w:val="24"/>
          <w:szCs w:val="24"/>
        </w:rPr>
        <w:t xml:space="preserve"> also demonstrates significant conventional hydrogen bonds and Pi-Alkyl interactions, contributing to its </w:t>
      </w:r>
      <w:proofErr w:type="spellStart"/>
      <w:r w:rsidR="00F77439" w:rsidRPr="002E7761">
        <w:rPr>
          <w:rFonts w:ascii="Times New Roman" w:hAnsi="Times New Roman" w:cs="Times New Roman"/>
          <w:sz w:val="24"/>
          <w:szCs w:val="24"/>
        </w:rPr>
        <w:t>f</w:t>
      </w:r>
      <w:r>
        <w:rPr>
          <w:rFonts w:ascii="Times New Roman" w:hAnsi="Times New Roman" w:cs="Times New Roman"/>
          <w:sz w:val="24"/>
          <w:szCs w:val="24"/>
        </w:rPr>
        <w:t>avorable</w:t>
      </w:r>
      <w:proofErr w:type="spellEnd"/>
      <w:r>
        <w:rPr>
          <w:rFonts w:ascii="Times New Roman" w:hAnsi="Times New Roman" w:cs="Times New Roman"/>
          <w:sz w:val="24"/>
          <w:szCs w:val="24"/>
        </w:rPr>
        <w:t xml:space="preserve"> binding affinity. COMP4</w:t>
      </w:r>
      <w:r w:rsidR="00F77439" w:rsidRPr="002E7761">
        <w:rPr>
          <w:rFonts w:ascii="Times New Roman" w:hAnsi="Times New Roman" w:cs="Times New Roman"/>
          <w:sz w:val="24"/>
          <w:szCs w:val="24"/>
        </w:rPr>
        <w:t xml:space="preserve"> displays involvement in conventional hydrogen bonds, carbon hydrogen bonds, Pi-</w:t>
      </w:r>
      <w:proofErr w:type="spellStart"/>
      <w:r w:rsidR="00F77439" w:rsidRPr="002E7761">
        <w:rPr>
          <w:rFonts w:ascii="Times New Roman" w:hAnsi="Times New Roman" w:cs="Times New Roman"/>
          <w:sz w:val="24"/>
          <w:szCs w:val="24"/>
        </w:rPr>
        <w:t>Cation</w:t>
      </w:r>
      <w:proofErr w:type="spellEnd"/>
      <w:r w:rsidR="00F77439" w:rsidRPr="002E7761">
        <w:rPr>
          <w:rFonts w:ascii="Times New Roman" w:hAnsi="Times New Roman" w:cs="Times New Roman"/>
          <w:sz w:val="24"/>
          <w:szCs w:val="24"/>
        </w:rPr>
        <w:t xml:space="preserve">, and Pi-Alkyl interactions, contributing to its strong binding affinity. </w:t>
      </w:r>
      <w:proofErr w:type="spellStart"/>
      <w:r w:rsidR="00F77439" w:rsidRPr="002E7761">
        <w:rPr>
          <w:rFonts w:ascii="Times New Roman" w:hAnsi="Times New Roman" w:cs="Times New Roman"/>
          <w:sz w:val="24"/>
          <w:szCs w:val="24"/>
        </w:rPr>
        <w:t>Apalutamide</w:t>
      </w:r>
      <w:proofErr w:type="spellEnd"/>
      <w:r w:rsidR="00F77439" w:rsidRPr="002E7761">
        <w:rPr>
          <w:rFonts w:ascii="Times New Roman" w:hAnsi="Times New Roman" w:cs="Times New Roman"/>
          <w:sz w:val="24"/>
          <w:szCs w:val="24"/>
        </w:rPr>
        <w:t xml:space="preserve"> showcases interactions such as carbon hydrogen bonds, halogen interactions, and Pi-Alkyl interactions. These findings suggest that </w:t>
      </w:r>
      <w:r>
        <w:rPr>
          <w:rFonts w:ascii="Times New Roman" w:hAnsi="Times New Roman" w:cs="Times New Roman"/>
          <w:sz w:val="24"/>
          <w:szCs w:val="24"/>
        </w:rPr>
        <w:t>COMP2, 3, and 4</w:t>
      </w:r>
      <w:r w:rsidR="00F77439" w:rsidRPr="002E7761">
        <w:rPr>
          <w:rFonts w:ascii="Times New Roman" w:hAnsi="Times New Roman" w:cs="Times New Roman"/>
          <w:sz w:val="24"/>
          <w:szCs w:val="24"/>
        </w:rPr>
        <w:t xml:space="preserve"> exhibit promising binding affinities and interaction profiles compared to the standard drug </w:t>
      </w:r>
      <w:proofErr w:type="spellStart"/>
      <w:r w:rsidR="00F77439" w:rsidRPr="002E7761">
        <w:rPr>
          <w:rFonts w:ascii="Times New Roman" w:hAnsi="Times New Roman" w:cs="Times New Roman"/>
          <w:sz w:val="24"/>
          <w:szCs w:val="24"/>
        </w:rPr>
        <w:t>Apalutamide</w:t>
      </w:r>
      <w:proofErr w:type="spellEnd"/>
      <w:r w:rsidR="00F77439" w:rsidRPr="002E7761">
        <w:rPr>
          <w:rFonts w:ascii="Times New Roman" w:hAnsi="Times New Roman" w:cs="Times New Roman"/>
          <w:sz w:val="24"/>
          <w:szCs w:val="24"/>
        </w:rPr>
        <w:t>, indicating their potential as candidates for further evaluation in targeting mutant AR-V7.</w:t>
      </w:r>
    </w:p>
    <w:p w:rsidR="00F77439" w:rsidRPr="002E7761" w:rsidRDefault="00F77439" w:rsidP="006D3376">
      <w:pPr>
        <w:spacing w:line="360" w:lineRule="auto"/>
        <w:jc w:val="both"/>
        <w:rPr>
          <w:rFonts w:ascii="Times New Roman" w:hAnsi="Times New Roman" w:cs="Times New Roman"/>
          <w:sz w:val="24"/>
          <w:szCs w:val="24"/>
        </w:rPr>
      </w:pPr>
      <w:r w:rsidRPr="002E7761">
        <w:rPr>
          <w:rFonts w:ascii="Times New Roman" w:hAnsi="Times New Roman" w:cs="Times New Roman"/>
          <w:sz w:val="24"/>
          <w:szCs w:val="24"/>
        </w:rPr>
        <w:t xml:space="preserve">The </w:t>
      </w:r>
      <w:r w:rsidR="00C126ED" w:rsidRPr="00C126ED">
        <w:rPr>
          <w:rFonts w:ascii="Times New Roman" w:hAnsi="Times New Roman" w:cs="Times New Roman"/>
          <w:sz w:val="24"/>
          <w:szCs w:val="24"/>
        </w:rPr>
        <w:t xml:space="preserve">anticipated molecular adsorption profile of the chosen pure </w:t>
      </w:r>
      <w:proofErr w:type="spellStart"/>
      <w:r w:rsidR="00C126ED" w:rsidRPr="00C126ED">
        <w:rPr>
          <w:rFonts w:ascii="Times New Roman" w:hAnsi="Times New Roman" w:cs="Times New Roman"/>
          <w:i/>
          <w:sz w:val="24"/>
          <w:szCs w:val="24"/>
        </w:rPr>
        <w:t>Caesalpinia</w:t>
      </w:r>
      <w:proofErr w:type="spellEnd"/>
      <w:r w:rsidR="00C126ED" w:rsidRPr="00C126ED">
        <w:rPr>
          <w:rFonts w:ascii="Times New Roman" w:hAnsi="Times New Roman" w:cs="Times New Roman"/>
          <w:i/>
          <w:sz w:val="24"/>
          <w:szCs w:val="24"/>
        </w:rPr>
        <w:t xml:space="preserve"> </w:t>
      </w:r>
      <w:proofErr w:type="spellStart"/>
      <w:r w:rsidR="00C126ED" w:rsidRPr="00C126ED">
        <w:rPr>
          <w:rFonts w:ascii="Times New Roman" w:hAnsi="Times New Roman" w:cs="Times New Roman"/>
          <w:i/>
          <w:sz w:val="24"/>
          <w:szCs w:val="24"/>
        </w:rPr>
        <w:t>bonduc</w:t>
      </w:r>
      <w:proofErr w:type="spellEnd"/>
      <w:r w:rsidR="00C126ED" w:rsidRPr="00C126ED">
        <w:rPr>
          <w:rFonts w:ascii="Times New Roman" w:hAnsi="Times New Roman" w:cs="Times New Roman"/>
          <w:sz w:val="24"/>
          <w:szCs w:val="24"/>
        </w:rPr>
        <w:t xml:space="preserve"> compounds</w:t>
      </w:r>
      <w:r w:rsidRPr="002E7761">
        <w:rPr>
          <w:rFonts w:ascii="Times New Roman" w:hAnsi="Times New Roman" w:cs="Times New Roman"/>
          <w:sz w:val="24"/>
          <w:szCs w:val="24"/>
        </w:rPr>
        <w:t xml:space="preserve"> compared to </w:t>
      </w:r>
      <w:proofErr w:type="spellStart"/>
      <w:r w:rsidRPr="002E7761">
        <w:rPr>
          <w:rFonts w:ascii="Times New Roman" w:hAnsi="Times New Roman" w:cs="Times New Roman"/>
          <w:sz w:val="24"/>
          <w:szCs w:val="24"/>
        </w:rPr>
        <w:t>Enzalutamide</w:t>
      </w:r>
      <w:proofErr w:type="spellEnd"/>
      <w:r w:rsidRPr="002E7761">
        <w:rPr>
          <w:rFonts w:ascii="Times New Roman" w:hAnsi="Times New Roman" w:cs="Times New Roman"/>
          <w:sz w:val="24"/>
          <w:szCs w:val="24"/>
        </w:rPr>
        <w:t xml:space="preserve"> and </w:t>
      </w:r>
      <w:proofErr w:type="spellStart"/>
      <w:r w:rsidRPr="002E7761">
        <w:rPr>
          <w:rFonts w:ascii="Times New Roman" w:hAnsi="Times New Roman" w:cs="Times New Roman"/>
          <w:sz w:val="24"/>
          <w:szCs w:val="24"/>
        </w:rPr>
        <w:t>Apalutamide</w:t>
      </w:r>
      <w:proofErr w:type="spellEnd"/>
      <w:r w:rsidRPr="002E7761">
        <w:rPr>
          <w:rFonts w:ascii="Times New Roman" w:hAnsi="Times New Roman" w:cs="Times New Roman"/>
          <w:sz w:val="24"/>
          <w:szCs w:val="24"/>
        </w:rPr>
        <w:t xml:space="preserve"> reveals insights into their intestinal absorption, skin permeability, and interactions with P-glycoprotein. In terms</w:t>
      </w:r>
      <w:r w:rsidR="00D84CF6">
        <w:rPr>
          <w:rFonts w:ascii="Times New Roman" w:hAnsi="Times New Roman" w:cs="Times New Roman"/>
          <w:sz w:val="24"/>
          <w:szCs w:val="24"/>
        </w:rPr>
        <w:t xml:space="preserve"> of intestinal absorption, COMP2</w:t>
      </w:r>
      <w:r w:rsidRPr="002E7761">
        <w:rPr>
          <w:rFonts w:ascii="Times New Roman" w:hAnsi="Times New Roman" w:cs="Times New Roman"/>
          <w:sz w:val="24"/>
          <w:szCs w:val="24"/>
        </w:rPr>
        <w:t xml:space="preserve"> demonstrates the highest percentage absorbed (94.95%), followed by </w:t>
      </w:r>
      <w:proofErr w:type="spellStart"/>
      <w:r w:rsidRPr="002E7761">
        <w:rPr>
          <w:rFonts w:ascii="Times New Roman" w:hAnsi="Times New Roman" w:cs="Times New Roman"/>
          <w:sz w:val="24"/>
          <w:szCs w:val="24"/>
        </w:rPr>
        <w:t>Apalutamide</w:t>
      </w:r>
      <w:proofErr w:type="spellEnd"/>
      <w:r w:rsidR="00D84CF6">
        <w:rPr>
          <w:rFonts w:ascii="Times New Roman" w:hAnsi="Times New Roman" w:cs="Times New Roman"/>
          <w:sz w:val="24"/>
          <w:szCs w:val="24"/>
        </w:rPr>
        <w:t xml:space="preserve"> (92.39%) and COMP1 (91.81%). However, COMP3</w:t>
      </w:r>
      <w:r w:rsidRPr="002E7761">
        <w:rPr>
          <w:rFonts w:ascii="Times New Roman" w:hAnsi="Times New Roman" w:cs="Times New Roman"/>
          <w:sz w:val="24"/>
          <w:szCs w:val="24"/>
        </w:rPr>
        <w:t xml:space="preserve"> and </w:t>
      </w:r>
      <w:proofErr w:type="spellStart"/>
      <w:r w:rsidRPr="002E7761">
        <w:rPr>
          <w:rFonts w:ascii="Times New Roman" w:hAnsi="Times New Roman" w:cs="Times New Roman"/>
          <w:sz w:val="24"/>
          <w:szCs w:val="24"/>
        </w:rPr>
        <w:t>Enzalutamide</w:t>
      </w:r>
      <w:proofErr w:type="spellEnd"/>
      <w:r w:rsidRPr="002E7761">
        <w:rPr>
          <w:rFonts w:ascii="Times New Roman" w:hAnsi="Times New Roman" w:cs="Times New Roman"/>
          <w:sz w:val="24"/>
          <w:szCs w:val="24"/>
        </w:rPr>
        <w:t xml:space="preserve"> also exhibit </w:t>
      </w:r>
      <w:proofErr w:type="spellStart"/>
      <w:r w:rsidRPr="002E7761">
        <w:rPr>
          <w:rFonts w:ascii="Times New Roman" w:hAnsi="Times New Roman" w:cs="Times New Roman"/>
          <w:sz w:val="24"/>
          <w:szCs w:val="24"/>
        </w:rPr>
        <w:t>favorable</w:t>
      </w:r>
      <w:proofErr w:type="spellEnd"/>
      <w:r w:rsidRPr="002E7761">
        <w:rPr>
          <w:rFonts w:ascii="Times New Roman" w:hAnsi="Times New Roman" w:cs="Times New Roman"/>
          <w:sz w:val="24"/>
          <w:szCs w:val="24"/>
        </w:rPr>
        <w:t xml:space="preserve"> intestinal absorption at 81.13% and 90.15%, respectively. Regarding skin permeability, all compounds inc</w:t>
      </w:r>
      <w:r w:rsidR="00D84CF6">
        <w:rPr>
          <w:rFonts w:ascii="Times New Roman" w:hAnsi="Times New Roman" w:cs="Times New Roman"/>
          <w:sz w:val="24"/>
          <w:szCs w:val="24"/>
        </w:rPr>
        <w:t>luding COMP1, 2, 3, and 4</w:t>
      </w:r>
      <w:r w:rsidRPr="002E7761">
        <w:rPr>
          <w:rFonts w:ascii="Times New Roman" w:hAnsi="Times New Roman" w:cs="Times New Roman"/>
          <w:sz w:val="24"/>
          <w:szCs w:val="24"/>
        </w:rPr>
        <w:t xml:space="preserve">, </w:t>
      </w:r>
      <w:proofErr w:type="spellStart"/>
      <w:r w:rsidRPr="002E7761">
        <w:rPr>
          <w:rFonts w:ascii="Times New Roman" w:hAnsi="Times New Roman" w:cs="Times New Roman"/>
          <w:sz w:val="24"/>
          <w:szCs w:val="24"/>
        </w:rPr>
        <w:t>Enzalutamide</w:t>
      </w:r>
      <w:proofErr w:type="spellEnd"/>
      <w:r w:rsidRPr="002E7761">
        <w:rPr>
          <w:rFonts w:ascii="Times New Roman" w:hAnsi="Times New Roman" w:cs="Times New Roman"/>
          <w:sz w:val="24"/>
          <w:szCs w:val="24"/>
        </w:rPr>
        <w:t xml:space="preserve">, and </w:t>
      </w:r>
      <w:proofErr w:type="spellStart"/>
      <w:r w:rsidRPr="002E7761">
        <w:rPr>
          <w:rFonts w:ascii="Times New Roman" w:hAnsi="Times New Roman" w:cs="Times New Roman"/>
          <w:sz w:val="24"/>
          <w:szCs w:val="24"/>
        </w:rPr>
        <w:t>Apalutamide</w:t>
      </w:r>
      <w:proofErr w:type="spellEnd"/>
      <w:r w:rsidRPr="002E7761">
        <w:rPr>
          <w:rFonts w:ascii="Times New Roman" w:hAnsi="Times New Roman" w:cs="Times New Roman"/>
          <w:sz w:val="24"/>
          <w:szCs w:val="24"/>
        </w:rPr>
        <w:t xml:space="preserve"> demonstrate similar log </w:t>
      </w:r>
      <w:proofErr w:type="spellStart"/>
      <w:proofErr w:type="gramStart"/>
      <w:r w:rsidRPr="002E7761">
        <w:rPr>
          <w:rFonts w:ascii="Times New Roman" w:hAnsi="Times New Roman" w:cs="Times New Roman"/>
          <w:sz w:val="24"/>
          <w:szCs w:val="24"/>
        </w:rPr>
        <w:t>Kp</w:t>
      </w:r>
      <w:proofErr w:type="spellEnd"/>
      <w:proofErr w:type="gramEnd"/>
      <w:r w:rsidRPr="002E7761">
        <w:rPr>
          <w:rFonts w:ascii="Times New Roman" w:hAnsi="Times New Roman" w:cs="Times New Roman"/>
          <w:sz w:val="24"/>
          <w:szCs w:val="24"/>
        </w:rPr>
        <w:t xml:space="preserve"> values, indicating comparable potential for skin permeation. In </w:t>
      </w:r>
      <w:r w:rsidRPr="002E7761">
        <w:rPr>
          <w:rFonts w:ascii="Times New Roman" w:hAnsi="Times New Roman" w:cs="Times New Roman"/>
          <w:sz w:val="24"/>
          <w:szCs w:val="24"/>
        </w:rPr>
        <w:lastRenderedPageBreak/>
        <w:t xml:space="preserve">terms of P-glycoprotein interactions, </w:t>
      </w:r>
      <w:r w:rsidR="00D84CF6">
        <w:rPr>
          <w:rFonts w:ascii="Times New Roman" w:hAnsi="Times New Roman" w:cs="Times New Roman"/>
          <w:sz w:val="24"/>
          <w:szCs w:val="24"/>
        </w:rPr>
        <w:t xml:space="preserve">COMP1, 2, 3, and 4 </w:t>
      </w:r>
      <w:r w:rsidRPr="002E7761">
        <w:rPr>
          <w:rFonts w:ascii="Times New Roman" w:hAnsi="Times New Roman" w:cs="Times New Roman"/>
          <w:sz w:val="24"/>
          <w:szCs w:val="24"/>
        </w:rPr>
        <w:t xml:space="preserve">are identified as P-glycoprotein substrates without inhibitory effects on P-glycoprotein I or II. In contrast, </w:t>
      </w:r>
      <w:proofErr w:type="spellStart"/>
      <w:r w:rsidRPr="002E7761">
        <w:rPr>
          <w:rFonts w:ascii="Times New Roman" w:hAnsi="Times New Roman" w:cs="Times New Roman"/>
          <w:sz w:val="24"/>
          <w:szCs w:val="24"/>
        </w:rPr>
        <w:t>Enzalutamide</w:t>
      </w:r>
      <w:proofErr w:type="spellEnd"/>
      <w:r w:rsidRPr="002E7761">
        <w:rPr>
          <w:rFonts w:ascii="Times New Roman" w:hAnsi="Times New Roman" w:cs="Times New Roman"/>
          <w:sz w:val="24"/>
          <w:szCs w:val="24"/>
        </w:rPr>
        <w:t xml:space="preserve"> and </w:t>
      </w:r>
      <w:proofErr w:type="spellStart"/>
      <w:r w:rsidRPr="002E7761">
        <w:rPr>
          <w:rFonts w:ascii="Times New Roman" w:hAnsi="Times New Roman" w:cs="Times New Roman"/>
          <w:sz w:val="24"/>
          <w:szCs w:val="24"/>
        </w:rPr>
        <w:t>Apalutamide</w:t>
      </w:r>
      <w:proofErr w:type="spellEnd"/>
      <w:r w:rsidRPr="002E7761">
        <w:rPr>
          <w:rFonts w:ascii="Times New Roman" w:hAnsi="Times New Roman" w:cs="Times New Roman"/>
          <w:sz w:val="24"/>
          <w:szCs w:val="24"/>
        </w:rPr>
        <w:t xml:space="preserve"> exhibit varying interactions with P-glycoprotein as inhibitors or non-substrates.</w:t>
      </w:r>
    </w:p>
    <w:p w:rsidR="00F77439" w:rsidRPr="002E7761" w:rsidRDefault="00F77439" w:rsidP="006D3376">
      <w:pPr>
        <w:spacing w:line="360" w:lineRule="auto"/>
        <w:jc w:val="both"/>
        <w:rPr>
          <w:rFonts w:ascii="Times New Roman" w:hAnsi="Times New Roman" w:cs="Times New Roman"/>
          <w:sz w:val="24"/>
          <w:szCs w:val="24"/>
        </w:rPr>
      </w:pPr>
      <w:r w:rsidRPr="002E7761">
        <w:rPr>
          <w:rFonts w:ascii="Times New Roman" w:hAnsi="Times New Roman" w:cs="Times New Roman"/>
          <w:sz w:val="24"/>
          <w:szCs w:val="24"/>
        </w:rPr>
        <w:t xml:space="preserve">The predicted molecular metabolism profile of the selected pure compounds compared to the standard cancer drugs </w:t>
      </w:r>
      <w:proofErr w:type="spellStart"/>
      <w:r w:rsidRPr="002E7761">
        <w:rPr>
          <w:rFonts w:ascii="Times New Roman" w:hAnsi="Times New Roman" w:cs="Times New Roman"/>
          <w:sz w:val="24"/>
          <w:szCs w:val="24"/>
        </w:rPr>
        <w:t>Enzalutamide</w:t>
      </w:r>
      <w:proofErr w:type="spellEnd"/>
      <w:r w:rsidRPr="002E7761">
        <w:rPr>
          <w:rFonts w:ascii="Times New Roman" w:hAnsi="Times New Roman" w:cs="Times New Roman"/>
          <w:sz w:val="24"/>
          <w:szCs w:val="24"/>
        </w:rPr>
        <w:t xml:space="preserve"> and </w:t>
      </w:r>
      <w:proofErr w:type="spellStart"/>
      <w:r w:rsidRPr="002E7761">
        <w:rPr>
          <w:rFonts w:ascii="Times New Roman" w:hAnsi="Times New Roman" w:cs="Times New Roman"/>
          <w:sz w:val="24"/>
          <w:szCs w:val="24"/>
        </w:rPr>
        <w:t>Apalutamide</w:t>
      </w:r>
      <w:proofErr w:type="spellEnd"/>
      <w:r w:rsidRPr="002E7761">
        <w:rPr>
          <w:rFonts w:ascii="Times New Roman" w:hAnsi="Times New Roman" w:cs="Times New Roman"/>
          <w:sz w:val="24"/>
          <w:szCs w:val="24"/>
        </w:rPr>
        <w:t xml:space="preserve"> provides insights into their interactions with key cytochrome P450 en</w:t>
      </w:r>
      <w:r w:rsidR="00D84CF6">
        <w:rPr>
          <w:rFonts w:ascii="Times New Roman" w:hAnsi="Times New Roman" w:cs="Times New Roman"/>
          <w:sz w:val="24"/>
          <w:szCs w:val="24"/>
        </w:rPr>
        <w:t>zymes (CYP). Both COMP1 and 2</w:t>
      </w:r>
      <w:r w:rsidRPr="002E7761">
        <w:rPr>
          <w:rFonts w:ascii="Times New Roman" w:hAnsi="Times New Roman" w:cs="Times New Roman"/>
          <w:sz w:val="24"/>
          <w:szCs w:val="24"/>
        </w:rPr>
        <w:t xml:space="preserve"> are identified as substrates for CYP3A4 and inhibitors of CYP1A2, CYP2C19, and CYP3A4. Additiona</w:t>
      </w:r>
      <w:r w:rsidR="00D84CF6">
        <w:rPr>
          <w:rFonts w:ascii="Times New Roman" w:hAnsi="Times New Roman" w:cs="Times New Roman"/>
          <w:sz w:val="24"/>
          <w:szCs w:val="24"/>
        </w:rPr>
        <w:t>lly, COMP1 and 2</w:t>
      </w:r>
      <w:r w:rsidRPr="002E7761">
        <w:rPr>
          <w:rFonts w:ascii="Times New Roman" w:hAnsi="Times New Roman" w:cs="Times New Roman"/>
          <w:sz w:val="24"/>
          <w:szCs w:val="24"/>
        </w:rPr>
        <w:t xml:space="preserve"> are substrates for CYP2C9 and inhibitors of CYP3</w:t>
      </w:r>
      <w:r w:rsidR="00D84CF6">
        <w:rPr>
          <w:rFonts w:ascii="Times New Roman" w:hAnsi="Times New Roman" w:cs="Times New Roman"/>
          <w:sz w:val="24"/>
          <w:szCs w:val="24"/>
        </w:rPr>
        <w:t>A4. In contrast, COMP3 and 4</w:t>
      </w:r>
      <w:r w:rsidRPr="002E7761">
        <w:rPr>
          <w:rFonts w:ascii="Times New Roman" w:hAnsi="Times New Roman" w:cs="Times New Roman"/>
          <w:sz w:val="24"/>
          <w:szCs w:val="24"/>
        </w:rPr>
        <w:t xml:space="preserve"> do not exhibit substrate activity for the tested CYP enzymes. In comparison, both </w:t>
      </w:r>
      <w:proofErr w:type="spellStart"/>
      <w:r w:rsidRPr="002E7761">
        <w:rPr>
          <w:rFonts w:ascii="Times New Roman" w:hAnsi="Times New Roman" w:cs="Times New Roman"/>
          <w:sz w:val="24"/>
          <w:szCs w:val="24"/>
        </w:rPr>
        <w:t>Enzalutamide</w:t>
      </w:r>
      <w:proofErr w:type="spellEnd"/>
      <w:r w:rsidRPr="002E7761">
        <w:rPr>
          <w:rFonts w:ascii="Times New Roman" w:hAnsi="Times New Roman" w:cs="Times New Roman"/>
          <w:sz w:val="24"/>
          <w:szCs w:val="24"/>
        </w:rPr>
        <w:t xml:space="preserve"> and </w:t>
      </w:r>
      <w:proofErr w:type="spellStart"/>
      <w:r w:rsidRPr="002E7761">
        <w:rPr>
          <w:rFonts w:ascii="Times New Roman" w:hAnsi="Times New Roman" w:cs="Times New Roman"/>
          <w:sz w:val="24"/>
          <w:szCs w:val="24"/>
        </w:rPr>
        <w:t>Apalutamide</w:t>
      </w:r>
      <w:proofErr w:type="spellEnd"/>
      <w:r w:rsidRPr="002E7761">
        <w:rPr>
          <w:rFonts w:ascii="Times New Roman" w:hAnsi="Times New Roman" w:cs="Times New Roman"/>
          <w:sz w:val="24"/>
          <w:szCs w:val="24"/>
        </w:rPr>
        <w:t xml:space="preserve"> are substrates for CYP3A4 and inhibitors of CYP1A2, CYP2C19, and C</w:t>
      </w:r>
      <w:r w:rsidR="00D84CF6">
        <w:rPr>
          <w:rFonts w:ascii="Times New Roman" w:hAnsi="Times New Roman" w:cs="Times New Roman"/>
          <w:sz w:val="24"/>
          <w:szCs w:val="24"/>
        </w:rPr>
        <w:t>YP3A4, similar to COMP1 and 2</w:t>
      </w:r>
      <w:r w:rsidRPr="002E7761">
        <w:rPr>
          <w:rFonts w:ascii="Times New Roman" w:hAnsi="Times New Roman" w:cs="Times New Roman"/>
          <w:sz w:val="24"/>
          <w:szCs w:val="24"/>
        </w:rPr>
        <w:t xml:space="preserve">. However, they differ in their interactions with CYP2D6, with </w:t>
      </w:r>
      <w:proofErr w:type="spellStart"/>
      <w:r w:rsidRPr="002E7761">
        <w:rPr>
          <w:rFonts w:ascii="Times New Roman" w:hAnsi="Times New Roman" w:cs="Times New Roman"/>
          <w:sz w:val="24"/>
          <w:szCs w:val="24"/>
        </w:rPr>
        <w:t>Enzalutamide</w:t>
      </w:r>
      <w:proofErr w:type="spellEnd"/>
      <w:r w:rsidRPr="002E7761">
        <w:rPr>
          <w:rFonts w:ascii="Times New Roman" w:hAnsi="Times New Roman" w:cs="Times New Roman"/>
          <w:sz w:val="24"/>
          <w:szCs w:val="24"/>
        </w:rPr>
        <w:t xml:space="preserve"> being a substrate and inhibitor of CYP2D6, while </w:t>
      </w:r>
      <w:proofErr w:type="spellStart"/>
      <w:r w:rsidRPr="002E7761">
        <w:rPr>
          <w:rFonts w:ascii="Times New Roman" w:hAnsi="Times New Roman" w:cs="Times New Roman"/>
          <w:sz w:val="24"/>
          <w:szCs w:val="24"/>
        </w:rPr>
        <w:t>Apalutamide</w:t>
      </w:r>
      <w:proofErr w:type="spellEnd"/>
      <w:r w:rsidRPr="002E7761">
        <w:rPr>
          <w:rFonts w:ascii="Times New Roman" w:hAnsi="Times New Roman" w:cs="Times New Roman"/>
          <w:sz w:val="24"/>
          <w:szCs w:val="24"/>
        </w:rPr>
        <w:t xml:space="preserve"> is not.</w:t>
      </w:r>
    </w:p>
    <w:p w:rsidR="00F77439" w:rsidRPr="00C126ED" w:rsidRDefault="00F77439" w:rsidP="006D3376">
      <w:pPr>
        <w:spacing w:line="360" w:lineRule="auto"/>
        <w:jc w:val="both"/>
        <w:rPr>
          <w:rFonts w:ascii="Times New Roman" w:eastAsia="Times New Roman" w:hAnsi="Times New Roman" w:cs="Times New Roman"/>
          <w:sz w:val="24"/>
          <w:szCs w:val="24"/>
          <w:lang w:val="en-US"/>
        </w:rPr>
      </w:pPr>
      <w:r w:rsidRPr="002E7761">
        <w:rPr>
          <w:rFonts w:ascii="Times New Roman" w:hAnsi="Times New Roman" w:cs="Times New Roman"/>
          <w:sz w:val="24"/>
          <w:szCs w:val="24"/>
        </w:rPr>
        <w:t>The predicted molecular t</w:t>
      </w:r>
      <w:r w:rsidR="00D84CF6">
        <w:rPr>
          <w:rFonts w:ascii="Times New Roman" w:hAnsi="Times New Roman" w:cs="Times New Roman"/>
          <w:sz w:val="24"/>
          <w:szCs w:val="24"/>
        </w:rPr>
        <w:t xml:space="preserve">oxicity profile of the </w:t>
      </w:r>
      <w:r w:rsidRPr="002E7761">
        <w:rPr>
          <w:rFonts w:ascii="Times New Roman" w:hAnsi="Times New Roman" w:cs="Times New Roman"/>
          <w:sz w:val="24"/>
          <w:szCs w:val="24"/>
        </w:rPr>
        <w:t xml:space="preserve">compounds compared to the standard cancer drugs </w:t>
      </w:r>
      <w:proofErr w:type="spellStart"/>
      <w:r w:rsidRPr="002E7761">
        <w:rPr>
          <w:rFonts w:ascii="Times New Roman" w:hAnsi="Times New Roman" w:cs="Times New Roman"/>
          <w:sz w:val="24"/>
          <w:szCs w:val="24"/>
        </w:rPr>
        <w:t>Enzalutamide</w:t>
      </w:r>
      <w:proofErr w:type="spellEnd"/>
      <w:r w:rsidRPr="002E7761">
        <w:rPr>
          <w:rFonts w:ascii="Times New Roman" w:hAnsi="Times New Roman" w:cs="Times New Roman"/>
          <w:sz w:val="24"/>
          <w:szCs w:val="24"/>
        </w:rPr>
        <w:t xml:space="preserve"> and </w:t>
      </w:r>
      <w:proofErr w:type="spellStart"/>
      <w:r w:rsidRPr="002E7761">
        <w:rPr>
          <w:rFonts w:ascii="Times New Roman" w:hAnsi="Times New Roman" w:cs="Times New Roman"/>
          <w:sz w:val="24"/>
          <w:szCs w:val="24"/>
        </w:rPr>
        <w:t>Apalutamide</w:t>
      </w:r>
      <w:proofErr w:type="spellEnd"/>
      <w:r w:rsidRPr="002E7761">
        <w:rPr>
          <w:rFonts w:ascii="Times New Roman" w:hAnsi="Times New Roman" w:cs="Times New Roman"/>
          <w:sz w:val="24"/>
          <w:szCs w:val="24"/>
        </w:rPr>
        <w:t xml:space="preserve"> provides valuable insights into their potential toxicological</w:t>
      </w:r>
      <w:r w:rsidR="00D84CF6">
        <w:rPr>
          <w:rFonts w:ascii="Times New Roman" w:hAnsi="Times New Roman" w:cs="Times New Roman"/>
          <w:sz w:val="24"/>
          <w:szCs w:val="24"/>
        </w:rPr>
        <w:t xml:space="preserve"> properties. Both COMP1 and 2</w:t>
      </w:r>
      <w:r w:rsidRPr="002E7761">
        <w:rPr>
          <w:rFonts w:ascii="Times New Roman" w:hAnsi="Times New Roman" w:cs="Times New Roman"/>
          <w:sz w:val="24"/>
          <w:szCs w:val="24"/>
        </w:rPr>
        <w:t xml:space="preserve"> exhibit AMES toxicity and negative values for the maximum tolerated dose (human), indicating potential toxicity co</w:t>
      </w:r>
      <w:r w:rsidR="00D84CF6">
        <w:rPr>
          <w:rFonts w:ascii="Times New Roman" w:hAnsi="Times New Roman" w:cs="Times New Roman"/>
          <w:sz w:val="24"/>
          <w:szCs w:val="24"/>
        </w:rPr>
        <w:t>ncerns. However, COMP3, and 4</w:t>
      </w:r>
      <w:r w:rsidRPr="002E7761">
        <w:rPr>
          <w:rFonts w:ascii="Times New Roman" w:hAnsi="Times New Roman" w:cs="Times New Roman"/>
          <w:sz w:val="24"/>
          <w:szCs w:val="24"/>
        </w:rPr>
        <w:t xml:space="preserve"> do not show AMES toxicity and have positive values for the maximum tolerated dose, suggesting lower toxicity risks. In terms of </w:t>
      </w:r>
      <w:proofErr w:type="spellStart"/>
      <w:r w:rsidRPr="002E7761">
        <w:rPr>
          <w:rFonts w:ascii="Times New Roman" w:hAnsi="Times New Roman" w:cs="Times New Roman"/>
          <w:sz w:val="24"/>
          <w:szCs w:val="24"/>
        </w:rPr>
        <w:t>hERG</w:t>
      </w:r>
      <w:proofErr w:type="spellEnd"/>
      <w:r w:rsidRPr="002E7761">
        <w:rPr>
          <w:rFonts w:ascii="Times New Roman" w:hAnsi="Times New Roman" w:cs="Times New Roman"/>
          <w:sz w:val="24"/>
          <w:szCs w:val="24"/>
        </w:rPr>
        <w:t xml:space="preserve"> inhibition, all compounds includi</w:t>
      </w:r>
      <w:r w:rsidR="00D84CF6">
        <w:rPr>
          <w:rFonts w:ascii="Times New Roman" w:hAnsi="Times New Roman" w:cs="Times New Roman"/>
          <w:sz w:val="24"/>
          <w:szCs w:val="24"/>
        </w:rPr>
        <w:t>ng COMP1, 2, 3, and 4</w:t>
      </w:r>
      <w:r w:rsidRPr="002E7761">
        <w:rPr>
          <w:rFonts w:ascii="Times New Roman" w:hAnsi="Times New Roman" w:cs="Times New Roman"/>
          <w:sz w:val="24"/>
          <w:szCs w:val="24"/>
        </w:rPr>
        <w:t xml:space="preserve">, as well as </w:t>
      </w:r>
      <w:proofErr w:type="spellStart"/>
      <w:r w:rsidRPr="002E7761">
        <w:rPr>
          <w:rFonts w:ascii="Times New Roman" w:hAnsi="Times New Roman" w:cs="Times New Roman"/>
          <w:sz w:val="24"/>
          <w:szCs w:val="24"/>
        </w:rPr>
        <w:t>Enzalutamide</w:t>
      </w:r>
      <w:proofErr w:type="spellEnd"/>
      <w:r w:rsidRPr="002E7761">
        <w:rPr>
          <w:rFonts w:ascii="Times New Roman" w:hAnsi="Times New Roman" w:cs="Times New Roman"/>
          <w:sz w:val="24"/>
          <w:szCs w:val="24"/>
        </w:rPr>
        <w:t xml:space="preserve"> and </w:t>
      </w:r>
      <w:proofErr w:type="spellStart"/>
      <w:r w:rsidRPr="002E7761">
        <w:rPr>
          <w:rFonts w:ascii="Times New Roman" w:hAnsi="Times New Roman" w:cs="Times New Roman"/>
          <w:sz w:val="24"/>
          <w:szCs w:val="24"/>
        </w:rPr>
        <w:t>Apalutamide</w:t>
      </w:r>
      <w:proofErr w:type="spellEnd"/>
      <w:r w:rsidRPr="002E7761">
        <w:rPr>
          <w:rFonts w:ascii="Times New Roman" w:hAnsi="Times New Roman" w:cs="Times New Roman"/>
          <w:sz w:val="24"/>
          <w:szCs w:val="24"/>
        </w:rPr>
        <w:t xml:space="preserve">, are identified as non-inhibitors for both </w:t>
      </w:r>
      <w:proofErr w:type="spellStart"/>
      <w:r w:rsidRPr="002E7761">
        <w:rPr>
          <w:rFonts w:ascii="Times New Roman" w:hAnsi="Times New Roman" w:cs="Times New Roman"/>
          <w:sz w:val="24"/>
          <w:szCs w:val="24"/>
        </w:rPr>
        <w:t>hERG</w:t>
      </w:r>
      <w:proofErr w:type="spellEnd"/>
      <w:r w:rsidRPr="002E7761">
        <w:rPr>
          <w:rFonts w:ascii="Times New Roman" w:hAnsi="Times New Roman" w:cs="Times New Roman"/>
          <w:sz w:val="24"/>
          <w:szCs w:val="24"/>
        </w:rPr>
        <w:t xml:space="preserve"> I and </w:t>
      </w:r>
      <w:proofErr w:type="spellStart"/>
      <w:r w:rsidRPr="002E7761">
        <w:rPr>
          <w:rFonts w:ascii="Times New Roman" w:hAnsi="Times New Roman" w:cs="Times New Roman"/>
          <w:sz w:val="24"/>
          <w:szCs w:val="24"/>
        </w:rPr>
        <w:t>hERG</w:t>
      </w:r>
      <w:proofErr w:type="spellEnd"/>
      <w:r w:rsidRPr="002E7761">
        <w:rPr>
          <w:rFonts w:ascii="Times New Roman" w:hAnsi="Times New Roman" w:cs="Times New Roman"/>
          <w:sz w:val="24"/>
          <w:szCs w:val="24"/>
        </w:rPr>
        <w:t xml:space="preserve"> II. Regarding oral rat acute toxicity (LD50), all compounds demonstrate similar LD50 values in the range of 2.21 to 3.07 </w:t>
      </w:r>
      <w:proofErr w:type="spellStart"/>
      <w:r w:rsidRPr="002E7761">
        <w:rPr>
          <w:rFonts w:ascii="Times New Roman" w:hAnsi="Times New Roman" w:cs="Times New Roman"/>
          <w:sz w:val="24"/>
          <w:szCs w:val="24"/>
        </w:rPr>
        <w:t>mol</w:t>
      </w:r>
      <w:proofErr w:type="spellEnd"/>
      <w:r w:rsidRPr="002E7761">
        <w:rPr>
          <w:rFonts w:ascii="Times New Roman" w:hAnsi="Times New Roman" w:cs="Times New Roman"/>
          <w:sz w:val="24"/>
          <w:szCs w:val="24"/>
        </w:rPr>
        <w:t xml:space="preserve">/kg, indicating comparable acute toxicity profiles. Hepatotoxicity is observed in both </w:t>
      </w:r>
      <w:proofErr w:type="spellStart"/>
      <w:r w:rsidRPr="002E7761">
        <w:rPr>
          <w:rFonts w:ascii="Times New Roman" w:hAnsi="Times New Roman" w:cs="Times New Roman"/>
          <w:sz w:val="24"/>
          <w:szCs w:val="24"/>
        </w:rPr>
        <w:t>Enzalutamide</w:t>
      </w:r>
      <w:proofErr w:type="spellEnd"/>
      <w:r w:rsidRPr="002E7761">
        <w:rPr>
          <w:rFonts w:ascii="Times New Roman" w:hAnsi="Times New Roman" w:cs="Times New Roman"/>
          <w:sz w:val="24"/>
          <w:szCs w:val="24"/>
        </w:rPr>
        <w:t xml:space="preserve"> and </w:t>
      </w:r>
      <w:proofErr w:type="spellStart"/>
      <w:r w:rsidRPr="002E7761">
        <w:rPr>
          <w:rFonts w:ascii="Times New Roman" w:hAnsi="Times New Roman" w:cs="Times New Roman"/>
          <w:sz w:val="24"/>
          <w:szCs w:val="24"/>
        </w:rPr>
        <w:t>Apalutamide</w:t>
      </w:r>
      <w:proofErr w:type="spellEnd"/>
      <w:r w:rsidRPr="002E7761">
        <w:rPr>
          <w:rFonts w:ascii="Times New Roman" w:hAnsi="Times New Roman" w:cs="Times New Roman"/>
          <w:sz w:val="24"/>
          <w:szCs w:val="24"/>
        </w:rPr>
        <w:t xml:space="preserve">, while the compounds from </w:t>
      </w:r>
      <w:proofErr w:type="spellStart"/>
      <w:r w:rsidRPr="00244140">
        <w:rPr>
          <w:rFonts w:ascii="Times New Roman" w:hAnsi="Times New Roman" w:cs="Times New Roman"/>
          <w:i/>
          <w:sz w:val="24"/>
          <w:szCs w:val="24"/>
        </w:rPr>
        <w:t>Caesalpinia</w:t>
      </w:r>
      <w:proofErr w:type="spellEnd"/>
      <w:r w:rsidRPr="00244140">
        <w:rPr>
          <w:rFonts w:ascii="Times New Roman" w:hAnsi="Times New Roman" w:cs="Times New Roman"/>
          <w:i/>
          <w:sz w:val="24"/>
          <w:szCs w:val="24"/>
        </w:rPr>
        <w:t xml:space="preserve"> </w:t>
      </w:r>
      <w:proofErr w:type="spellStart"/>
      <w:r w:rsidRPr="00244140">
        <w:rPr>
          <w:rFonts w:ascii="Times New Roman" w:hAnsi="Times New Roman" w:cs="Times New Roman"/>
          <w:i/>
          <w:sz w:val="24"/>
          <w:szCs w:val="24"/>
        </w:rPr>
        <w:t>bonduc</w:t>
      </w:r>
      <w:proofErr w:type="spellEnd"/>
      <w:r w:rsidRPr="002E7761">
        <w:rPr>
          <w:rFonts w:ascii="Times New Roman" w:hAnsi="Times New Roman" w:cs="Times New Roman"/>
          <w:sz w:val="24"/>
          <w:szCs w:val="24"/>
        </w:rPr>
        <w:t xml:space="preserve"> do not exhibit hepatotoxicity in this analysis.</w:t>
      </w:r>
      <w:r w:rsidR="00244140" w:rsidRPr="00244140">
        <w:rPr>
          <w:rFonts w:ascii="Times New Roman" w:eastAsia="Times New Roman" w:hAnsi="Times New Roman" w:cs="Times New Roman"/>
          <w:sz w:val="24"/>
          <w:szCs w:val="24"/>
        </w:rPr>
        <w:t xml:space="preserve"> </w:t>
      </w:r>
      <w:r w:rsidR="00244140" w:rsidRPr="002E7761">
        <w:rPr>
          <w:rFonts w:ascii="Times New Roman" w:eastAsia="Times New Roman" w:hAnsi="Times New Roman" w:cs="Times New Roman"/>
          <w:sz w:val="24"/>
          <w:szCs w:val="24"/>
        </w:rPr>
        <w:t xml:space="preserve">The cytotoxic activity of the flavonoids was tested on two cancer cell lines, BGC-823 and </w:t>
      </w:r>
      <w:proofErr w:type="spellStart"/>
      <w:r w:rsidR="00244140" w:rsidRPr="002E7761">
        <w:rPr>
          <w:rFonts w:ascii="Times New Roman" w:eastAsia="Times New Roman" w:hAnsi="Times New Roman" w:cs="Times New Roman"/>
          <w:sz w:val="24"/>
          <w:szCs w:val="24"/>
        </w:rPr>
        <w:t>HeLa</w:t>
      </w:r>
      <w:proofErr w:type="spellEnd"/>
      <w:r w:rsidR="00244140" w:rsidRPr="002E7761">
        <w:rPr>
          <w:rFonts w:ascii="Times New Roman" w:eastAsia="Times New Roman" w:hAnsi="Times New Roman" w:cs="Times New Roman"/>
          <w:sz w:val="24"/>
          <w:szCs w:val="24"/>
        </w:rPr>
        <w:t xml:space="preserve">, and moderate cytotoxic activity was observed suggesting a structure-activity relationship </w:t>
      </w:r>
      <w:r w:rsidR="00244140" w:rsidRPr="002E7761">
        <w:rPr>
          <w:rFonts w:ascii="Times New Roman" w:eastAsia="Times New Roman" w:hAnsi="Times New Roman" w:cs="Times New Roman"/>
          <w:sz w:val="24"/>
          <w:szCs w:val="24"/>
        </w:rPr>
        <w:fldChar w:fldCharType="begin"/>
      </w:r>
      <w:r w:rsidR="00244140" w:rsidRPr="002E7761">
        <w:rPr>
          <w:rFonts w:ascii="Times New Roman" w:eastAsia="Times New Roman" w:hAnsi="Times New Roman" w:cs="Times New Roman"/>
          <w:sz w:val="24"/>
          <w:szCs w:val="24"/>
        </w:rPr>
        <w:instrText xml:space="preserve"> ADDIN ZOTERO_ITEM CSL_CITATION {"citationID":"J9FtAjck","properties":{"formattedCitation":"(Ogunlana et al., 2015)","plainCitation":"(Ogunlana et al., 2015)","noteIndex":0},"citationItems":[{"id":666,"uris":["http://zotero.org/users/11300200/items/37G2Q6TE"],"itemData":{"id":666,"type":"article-journal","abstract":"The extraction, fractionation and recognition of flavonoids from the ethanolic extract of young twigs and leaves of C. bonduc were carried out. In addition, cytotoxic study of the flavonoids on two cancer cell lines, BGC-823 and HeLa was carried our using sulphorhodamine B assay. Seven flavonoids, six of which are being reported for the first time in this plant, were isolated. Their structures were identified by MS and NMR spectroscopic methods. Petroleum ether, ethyl acetate and water fractions exhibited moderate cytotoxic activity against HeLa cells. Five compounds showed cytotoxic activity against HeLa cell in comparison with Paclitaxel, while only one compound showed a good degree of cytotoxic activity against BGC-823 cell in comparison to Paclitaxel. The results obtained showed a structure - activity relationship.","container-title":"Pakistan Journal of Pharmaceutical Sciences","ISSN":"1011-601X","issue":"6","journalAbbreviation":"Pak J Pharm Sci","language":"eng","note":"PMID: 26639511","page":"2191-2198","source":"PubMed","title":"Report: Cytotoxic flavonoids from the young twigs and leaves of Caesalpinia bonduc (Linn) Roxb","title-short":"Report","volume":"28","author":[{"family":"Ogunlana","given":"Olubanke Olujoke"},{"family":"He","given":"Wen Jun"},{"family":"Fan","given":"Jun Ting"},{"family":"Zeng","given":"Guang Zhi"},{"family":"Ji","given":"Chang Jiu"},{"family":"Zheng","given":"Yu Quing"},{"family":"Olagunju","given":"Joseph Abayomi"},{"family":"Akindahunsi","given":"Afolabi Akintunde"},{"family":"Tan","given":"Ning Hua"}],"issued":{"date-parts":[["2015",11]]}}}],"schema":"https://github.com/citation-style-language/schema/raw/master/csl-citation.json"} </w:instrText>
      </w:r>
      <w:r w:rsidR="00244140" w:rsidRPr="002E7761">
        <w:rPr>
          <w:rFonts w:ascii="Times New Roman" w:eastAsia="Times New Roman" w:hAnsi="Times New Roman" w:cs="Times New Roman"/>
          <w:sz w:val="24"/>
          <w:szCs w:val="24"/>
        </w:rPr>
        <w:fldChar w:fldCharType="separate"/>
      </w:r>
      <w:r w:rsidR="00A316B3" w:rsidRPr="00A316B3">
        <w:rPr>
          <w:rFonts w:ascii="Times New Roman" w:hAnsi="Times New Roman" w:cs="Times New Roman"/>
          <w:sz w:val="24"/>
        </w:rPr>
        <w:t>(Ogunlana et al., 2015)</w:t>
      </w:r>
      <w:r w:rsidR="00244140" w:rsidRPr="002E7761">
        <w:rPr>
          <w:rFonts w:ascii="Times New Roman" w:eastAsia="Times New Roman" w:hAnsi="Times New Roman" w:cs="Times New Roman"/>
          <w:sz w:val="24"/>
          <w:szCs w:val="24"/>
        </w:rPr>
        <w:fldChar w:fldCharType="end"/>
      </w:r>
      <w:r w:rsidR="00244140" w:rsidRPr="002E7761">
        <w:rPr>
          <w:rFonts w:ascii="Times New Roman" w:eastAsia="Times New Roman" w:hAnsi="Times New Roman" w:cs="Times New Roman"/>
          <w:sz w:val="24"/>
          <w:szCs w:val="24"/>
        </w:rPr>
        <w:t xml:space="preserve">. </w:t>
      </w:r>
      <w:r w:rsidR="00C126ED" w:rsidRPr="00C126ED">
        <w:rPr>
          <w:rFonts w:ascii="Times New Roman" w:eastAsia="Times New Roman" w:hAnsi="Times New Roman" w:cs="Times New Roman"/>
          <w:sz w:val="24"/>
          <w:szCs w:val="24"/>
          <w:lang w:val="en-US"/>
        </w:rPr>
        <w:t xml:space="preserve">The possible anti-cancer flavonoids that were extracted from the young twigs and leaves of </w:t>
      </w:r>
      <w:proofErr w:type="spellStart"/>
      <w:r w:rsidR="00C126ED" w:rsidRPr="00C126ED">
        <w:rPr>
          <w:rFonts w:ascii="Times New Roman" w:eastAsia="Times New Roman" w:hAnsi="Times New Roman" w:cs="Times New Roman"/>
          <w:i/>
          <w:sz w:val="24"/>
          <w:szCs w:val="24"/>
          <w:lang w:val="en-US"/>
        </w:rPr>
        <w:t>Caesalpinia</w:t>
      </w:r>
      <w:proofErr w:type="spellEnd"/>
      <w:r w:rsidR="00C126ED" w:rsidRPr="00C126ED">
        <w:rPr>
          <w:rFonts w:ascii="Times New Roman" w:eastAsia="Times New Roman" w:hAnsi="Times New Roman" w:cs="Times New Roman"/>
          <w:i/>
          <w:sz w:val="24"/>
          <w:szCs w:val="24"/>
          <w:lang w:val="en-US"/>
        </w:rPr>
        <w:t xml:space="preserve"> </w:t>
      </w:r>
      <w:proofErr w:type="spellStart"/>
      <w:r w:rsidR="00C126ED" w:rsidRPr="00C126ED">
        <w:rPr>
          <w:rFonts w:ascii="Times New Roman" w:eastAsia="Times New Roman" w:hAnsi="Times New Roman" w:cs="Times New Roman"/>
          <w:i/>
          <w:sz w:val="24"/>
          <w:szCs w:val="24"/>
          <w:lang w:val="en-US"/>
        </w:rPr>
        <w:t>bonduc</w:t>
      </w:r>
      <w:proofErr w:type="spellEnd"/>
      <w:r w:rsidR="00244140" w:rsidRPr="002E7761">
        <w:rPr>
          <w:rFonts w:ascii="Times New Roman" w:eastAsia="Times New Roman" w:hAnsi="Times New Roman" w:cs="Times New Roman"/>
          <w:sz w:val="24"/>
          <w:szCs w:val="24"/>
        </w:rPr>
        <w:t xml:space="preserve"> was evaluated by </w:t>
      </w:r>
      <w:proofErr w:type="spellStart"/>
      <w:r w:rsidR="00244140" w:rsidRPr="002E7761">
        <w:rPr>
          <w:rFonts w:ascii="Times New Roman" w:eastAsia="Times New Roman" w:hAnsi="Times New Roman" w:cs="Times New Roman"/>
          <w:sz w:val="24"/>
          <w:szCs w:val="24"/>
        </w:rPr>
        <w:t>Iheagwam</w:t>
      </w:r>
      <w:proofErr w:type="spellEnd"/>
      <w:r w:rsidR="00244140" w:rsidRPr="002E7761">
        <w:rPr>
          <w:rFonts w:ascii="Times New Roman" w:eastAsia="Times New Roman" w:hAnsi="Times New Roman" w:cs="Times New Roman"/>
          <w:sz w:val="24"/>
          <w:szCs w:val="24"/>
        </w:rPr>
        <w:t xml:space="preserve"> </w:t>
      </w:r>
      <w:r w:rsidR="00244140" w:rsidRPr="002E7761">
        <w:rPr>
          <w:rFonts w:ascii="Times New Roman" w:eastAsia="Times New Roman" w:hAnsi="Times New Roman" w:cs="Times New Roman"/>
          <w:i/>
          <w:sz w:val="24"/>
          <w:szCs w:val="24"/>
        </w:rPr>
        <w:t>et al.</w:t>
      </w:r>
      <w:r w:rsidR="00244140" w:rsidRPr="002E7761">
        <w:rPr>
          <w:rFonts w:ascii="Times New Roman" w:eastAsia="Times New Roman" w:hAnsi="Times New Roman" w:cs="Times New Roman"/>
          <w:sz w:val="24"/>
          <w:szCs w:val="24"/>
        </w:rPr>
        <w:t xml:space="preserve"> 2019, using molecular docking and in </w:t>
      </w:r>
      <w:proofErr w:type="spellStart"/>
      <w:r w:rsidR="00244140" w:rsidRPr="002E7761">
        <w:rPr>
          <w:rFonts w:ascii="Times New Roman" w:eastAsia="Times New Roman" w:hAnsi="Times New Roman" w:cs="Times New Roman"/>
          <w:sz w:val="24"/>
          <w:szCs w:val="24"/>
        </w:rPr>
        <w:t>silico</w:t>
      </w:r>
      <w:proofErr w:type="spellEnd"/>
      <w:r w:rsidR="00244140" w:rsidRPr="002E7761">
        <w:rPr>
          <w:rFonts w:ascii="Times New Roman" w:eastAsia="Times New Roman" w:hAnsi="Times New Roman" w:cs="Times New Roman"/>
          <w:sz w:val="24"/>
          <w:szCs w:val="24"/>
        </w:rPr>
        <w:t xml:space="preserve"> analysis to identify the interaction between these flavonoids and cancer therapeutic target proteins such as tyrosine kinase (TK), vascular endothelial growth factor (VEGF), and matrix </w:t>
      </w:r>
      <w:proofErr w:type="spellStart"/>
      <w:r w:rsidR="00244140" w:rsidRPr="002E7761">
        <w:rPr>
          <w:rFonts w:ascii="Times New Roman" w:eastAsia="Times New Roman" w:hAnsi="Times New Roman" w:cs="Times New Roman"/>
          <w:sz w:val="24"/>
          <w:szCs w:val="24"/>
        </w:rPr>
        <w:t>metalloproteinases</w:t>
      </w:r>
      <w:proofErr w:type="spellEnd"/>
      <w:r w:rsidR="00244140" w:rsidRPr="002E7761">
        <w:rPr>
          <w:rFonts w:ascii="Times New Roman" w:eastAsia="Times New Roman" w:hAnsi="Times New Roman" w:cs="Times New Roman"/>
          <w:sz w:val="24"/>
          <w:szCs w:val="24"/>
        </w:rPr>
        <w:t xml:space="preserve"> (MMP) </w:t>
      </w:r>
      <w:r w:rsidR="00244140" w:rsidRPr="002E7761">
        <w:rPr>
          <w:rFonts w:ascii="Times New Roman" w:eastAsia="Times New Roman" w:hAnsi="Times New Roman" w:cs="Times New Roman"/>
          <w:sz w:val="24"/>
          <w:szCs w:val="24"/>
        </w:rPr>
        <w:fldChar w:fldCharType="begin"/>
      </w:r>
      <w:r w:rsidR="00244140" w:rsidRPr="002E7761">
        <w:rPr>
          <w:rFonts w:ascii="Times New Roman" w:eastAsia="Times New Roman" w:hAnsi="Times New Roman" w:cs="Times New Roman"/>
          <w:sz w:val="24"/>
          <w:szCs w:val="24"/>
        </w:rPr>
        <w:instrText xml:space="preserve"> ADDIN ZOTERO_ITEM CSL_CITATION {"citationID":"0KKeq6vG","properties":{"formattedCitation":"(Iheagwam et al., 2019)","plainCitation":"(Iheagwam et al., 2019)","noteIndex":0},"citationItems":[{"id":510,"uris":["http://zotero.org/users/11300200/items/Z7DYCJUW"],"itemData":{"id":510,"type":"article-journal","abstract":"Tyrosine kinase (TK), vascular endothelial growth factor (VEGF), and matrix metalloproteinases (MMP) are important cancer therapeutic target proteins. Based on reported anti-cancer and cytotoxic activities of Caesalpinia bonduc, this study isolated phytochemicals from young twigs and leaves of C bonduc and identified the interaction between them and cancer target proteins (TK, VEGF, and MMP) in silico. AutoDock Vina, iGEMDOCK, and analysis of pharmacokinetic and pharmacodynamic properties of the isolated bioactives as therapeutic molecules were performed. Seven phytochemicals (7-hydroxy-4′-methoxy-3,11-dehydrohomoisoflavanone, 4,4′-dihydroxy-2’-methoxy-chalcone, 7,4′-dihydroxy-3,11-dehydrohomoisoflavanone, luteolin, quercetin-3-methyl, kaempferol-3-O-β-d-xylopyranoside and kaempferol-3-O-α-l-rhamnopyranosyl-(1 → 2)-β-D-xylopyranoside) were isolated. Molecular docking analysis showed that the phytochemicals displayed strong interactions with the proteins compared with their respective drug inhibitors. Pharmacokinetic and pharmacodynamic properties of the compounds were promising suggesting that they can be developed as putative lead compounds for developing new anti-cancer drugs.","container-title":"Bioinformatics and Biology Insights","DOI":"10.1177/1177932218821371","ISSN":"1177-9322, 1177-9322","journalAbbreviation":"Bioinform Biol Insights","language":"en","page":"117793221882137","source":"DOI.org (Crossref)","title":"Potential Anti-Cancer Flavonoids Isolated From &lt;i&gt;Caesalpinia bonduc&lt;/i&gt; Young Twigs and Leaves: Molecular Docking and In Silico Studies","title-short":"Potential Anti-Cancer Flavonoids Isolated From &lt;i&gt;Caesalpinia bonduc&lt;/i&gt; Young Twigs and Leaves","volume":"13","author":[{"family":"Iheagwam","given":"Franklyn Nonso"},{"family":"Ogunlana","given":"Olubanke Olujoke"},{"family":"Ogunlana","given":"Oluseyi Ebenezer"},{"family":"Isewon","given":"Itunuoluwa"},{"family":"Oyelade","given":"Jelili"}],"issued":{"date-parts":[["2019",1]]}}}],"schema":"https://github.com/citation-style-language/schema/raw/master/csl-citation.json"} </w:instrText>
      </w:r>
      <w:r w:rsidR="00244140" w:rsidRPr="002E7761">
        <w:rPr>
          <w:rFonts w:ascii="Times New Roman" w:eastAsia="Times New Roman" w:hAnsi="Times New Roman" w:cs="Times New Roman"/>
          <w:sz w:val="24"/>
          <w:szCs w:val="24"/>
        </w:rPr>
        <w:fldChar w:fldCharType="separate"/>
      </w:r>
      <w:r w:rsidR="00A316B3" w:rsidRPr="00A316B3">
        <w:rPr>
          <w:rFonts w:ascii="Times New Roman" w:hAnsi="Times New Roman" w:cs="Times New Roman"/>
          <w:sz w:val="24"/>
        </w:rPr>
        <w:t>(Iheagwam et al., 2019)</w:t>
      </w:r>
      <w:r w:rsidR="00244140" w:rsidRPr="002E7761">
        <w:rPr>
          <w:rFonts w:ascii="Times New Roman" w:eastAsia="Times New Roman" w:hAnsi="Times New Roman" w:cs="Times New Roman"/>
          <w:sz w:val="24"/>
          <w:szCs w:val="24"/>
        </w:rPr>
        <w:fldChar w:fldCharType="end"/>
      </w:r>
      <w:r w:rsidR="00244140" w:rsidRPr="002E7761">
        <w:rPr>
          <w:rFonts w:ascii="Times New Roman" w:eastAsia="Times New Roman" w:hAnsi="Times New Roman" w:cs="Times New Roman"/>
          <w:sz w:val="24"/>
          <w:szCs w:val="24"/>
        </w:rPr>
        <w:t>. The results showed that the isolated phytochemicals had good binding affinity with the target proteins and exhibited drug-like properties. The study provides valuable insights into the potential use of these flavonoids as therapeutic molecules for cancer treatment.</w:t>
      </w:r>
    </w:p>
    <w:p w:rsidR="00F77439" w:rsidRPr="002E7761" w:rsidRDefault="00F77439" w:rsidP="006D3376">
      <w:pPr>
        <w:spacing w:after="0" w:line="360" w:lineRule="auto"/>
        <w:jc w:val="both"/>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lastRenderedPageBreak/>
        <w:t xml:space="preserve">These findings align with previous research that has demonstrated the pharmacological properties of </w:t>
      </w:r>
      <w:proofErr w:type="spellStart"/>
      <w:r w:rsidRPr="002E7761">
        <w:rPr>
          <w:rFonts w:ascii="Times New Roman" w:eastAsia="Times New Roman" w:hAnsi="Times New Roman" w:cs="Times New Roman"/>
          <w:i/>
          <w:sz w:val="24"/>
          <w:szCs w:val="24"/>
        </w:rPr>
        <w:t>Caesalpinia</w:t>
      </w:r>
      <w:proofErr w:type="spellEnd"/>
      <w:r w:rsidRPr="002E7761">
        <w:rPr>
          <w:rFonts w:ascii="Times New Roman" w:eastAsia="Times New Roman" w:hAnsi="Times New Roman" w:cs="Times New Roman"/>
          <w:i/>
          <w:sz w:val="24"/>
          <w:szCs w:val="24"/>
        </w:rPr>
        <w:t xml:space="preserve"> </w:t>
      </w:r>
      <w:proofErr w:type="spellStart"/>
      <w:r w:rsidRPr="002E7761">
        <w:rPr>
          <w:rFonts w:ascii="Times New Roman" w:eastAsia="Times New Roman" w:hAnsi="Times New Roman" w:cs="Times New Roman"/>
          <w:i/>
          <w:sz w:val="24"/>
          <w:szCs w:val="24"/>
        </w:rPr>
        <w:t>bonduc</w:t>
      </w:r>
      <w:proofErr w:type="spellEnd"/>
      <w:r w:rsidRPr="002E7761">
        <w:rPr>
          <w:rFonts w:ascii="Times New Roman" w:eastAsia="Times New Roman" w:hAnsi="Times New Roman" w:cs="Times New Roman"/>
          <w:sz w:val="24"/>
          <w:szCs w:val="24"/>
        </w:rPr>
        <w:t xml:space="preserve"> in various medicinal applications, including </w:t>
      </w:r>
      <w:r w:rsidR="00C126ED" w:rsidRPr="002E7761">
        <w:rPr>
          <w:rFonts w:ascii="Times New Roman" w:eastAsia="Times New Roman" w:hAnsi="Times New Roman" w:cs="Times New Roman"/>
          <w:sz w:val="24"/>
          <w:szCs w:val="24"/>
        </w:rPr>
        <w:t>anti-diab</w:t>
      </w:r>
      <w:r w:rsidR="00C126ED">
        <w:rPr>
          <w:rFonts w:ascii="Times New Roman" w:eastAsia="Times New Roman" w:hAnsi="Times New Roman" w:cs="Times New Roman"/>
          <w:sz w:val="24"/>
          <w:szCs w:val="24"/>
        </w:rPr>
        <w:t>etic, and anti-cancer and anti-inflammatory activities</w:t>
      </w:r>
      <w:r w:rsidRPr="002E7761">
        <w:rPr>
          <w:rFonts w:ascii="Times New Roman" w:eastAsia="Times New Roman" w:hAnsi="Times New Roman" w:cs="Times New Roman"/>
          <w:sz w:val="24"/>
          <w:szCs w:val="24"/>
        </w:rPr>
        <w:t xml:space="preserve"> </w:t>
      </w:r>
      <w:r w:rsidR="0016724A">
        <w:rPr>
          <w:rFonts w:ascii="Times New Roman" w:eastAsia="Times New Roman" w:hAnsi="Times New Roman" w:cs="Times New Roman"/>
          <w:sz w:val="24"/>
          <w:szCs w:val="24"/>
        </w:rPr>
        <w:fldChar w:fldCharType="begin"/>
      </w:r>
      <w:r w:rsidR="0016724A">
        <w:rPr>
          <w:rFonts w:ascii="Times New Roman" w:eastAsia="Times New Roman" w:hAnsi="Times New Roman" w:cs="Times New Roman"/>
          <w:sz w:val="24"/>
          <w:szCs w:val="24"/>
        </w:rPr>
        <w:instrText xml:space="preserve"> ADDIN ZOTERO_ITEM CSL_CITATION {"citationID":"FpW8R3H6","properties":{"formattedCitation":"(Iheagwam et al., 2019)","plainCitation":"(Iheagwam et al., 2019)","noteIndex":0},"citationItems":[{"id":510,"uris":["http://zotero.org/users/11300200/items/Z7DYCJUW"],"itemData":{"id":510,"type":"article-journal","abstract":"Tyrosine kinase (TK), vascular endothelial growth factor (VEGF), and matrix metalloproteinases (MMP) are important cancer therapeutic target proteins. Based on reported anti-cancer and cytotoxic activities of Caesalpinia bonduc, this study isolated phytochemicals from young twigs and leaves of C bonduc and identified the interaction between them and cancer target proteins (TK, VEGF, and MMP) in silico. AutoDock Vina, iGEMDOCK, and analysis of pharmacokinetic and pharmacodynamic properties of the isolated bioactives as therapeutic molecules were performed. Seven phytochemicals (7-hydroxy-4′-methoxy-3,11-dehydrohomoisoflavanone, 4,4′-dihydroxy-2’-methoxy-chalcone, 7,4′-dihydroxy-3,11-dehydrohomoisoflavanone, luteolin, quercetin-3-methyl, kaempferol-3-O-β-d-xylopyranoside and kaempferol-3-O-α-l-rhamnopyranosyl-(1 → 2)-β-D-xylopyranoside) were isolated. Molecular docking analysis showed that the phytochemicals displayed strong interactions with the proteins compared with their respective drug inhibitors. Pharmacokinetic and pharmacodynamic properties of the compounds were promising suggesting that they can be developed as putative lead compounds for developing new anti-cancer drugs.","container-title":"Bioinformatics and Biology Insights","DOI":"10.1177/1177932218821371","ISSN":"1177-9322, 1177-9322","journalAbbreviation":"Bioinform Biol Insights","language":"en","page":"117793221882137","source":"DOI.org (Crossref)","title":"Potential Anti-Cancer Flavonoids Isolated From &lt;i&gt;Caesalpinia bonduc&lt;/i&gt; Young Twigs and Leaves: Molecular Docking and In Silico Studies","title-short":"Potential Anti-Cancer Flavonoids Isolated From &lt;i&gt;Caesalpinia bonduc&lt;/i&gt; Young Twigs and Leaves","volume":"13","author":[{"family":"Iheagwam","given":"Franklyn Nonso"},{"family":"Ogunlana","given":"Olubanke Olujoke"},{"family":"Ogunlana","given":"Oluseyi Ebenezer"},{"family":"Isewon","given":"Itunuoluwa"},{"family":"Oyelade","given":"Jelili"}],"issued":{"date-parts":[["2019",1]]}}}],"schema":"https://github.com/citation-style-language/schema/raw/master/csl-citation.json"} </w:instrText>
      </w:r>
      <w:r w:rsidR="0016724A">
        <w:rPr>
          <w:rFonts w:ascii="Times New Roman" w:eastAsia="Times New Roman" w:hAnsi="Times New Roman" w:cs="Times New Roman"/>
          <w:sz w:val="24"/>
          <w:szCs w:val="24"/>
        </w:rPr>
        <w:fldChar w:fldCharType="separate"/>
      </w:r>
      <w:r w:rsidR="00A316B3" w:rsidRPr="00A316B3">
        <w:rPr>
          <w:rFonts w:ascii="Times New Roman" w:hAnsi="Times New Roman" w:cs="Times New Roman"/>
          <w:sz w:val="24"/>
        </w:rPr>
        <w:t>(Iheagwam et al., 2019)</w:t>
      </w:r>
      <w:r w:rsidR="0016724A">
        <w:rPr>
          <w:rFonts w:ascii="Times New Roman" w:eastAsia="Times New Roman" w:hAnsi="Times New Roman" w:cs="Times New Roman"/>
          <w:sz w:val="24"/>
          <w:szCs w:val="24"/>
        </w:rPr>
        <w:fldChar w:fldCharType="end"/>
      </w:r>
      <w:r w:rsidRPr="002E7761">
        <w:rPr>
          <w:rFonts w:ascii="Times New Roman" w:eastAsia="Times New Roman" w:hAnsi="Times New Roman" w:cs="Times New Roman"/>
          <w:sz w:val="24"/>
          <w:szCs w:val="24"/>
        </w:rPr>
        <w:t xml:space="preserve">. Our findings suggest that these compounds could potentially be developed as targeted therapeutics for prostate cancer patients with Mutated SPOP and ARV7. A study by </w:t>
      </w:r>
      <w:proofErr w:type="spellStart"/>
      <w:r w:rsidRPr="002E7761">
        <w:rPr>
          <w:rFonts w:ascii="Times New Roman" w:eastAsia="Times New Roman" w:hAnsi="Times New Roman" w:cs="Times New Roman"/>
          <w:sz w:val="24"/>
          <w:szCs w:val="24"/>
        </w:rPr>
        <w:t>Ogunlana</w:t>
      </w:r>
      <w:proofErr w:type="spellEnd"/>
      <w:r w:rsidRPr="002E7761">
        <w:rPr>
          <w:rFonts w:ascii="Times New Roman" w:eastAsia="Times New Roman" w:hAnsi="Times New Roman" w:cs="Times New Roman"/>
          <w:sz w:val="24"/>
          <w:szCs w:val="24"/>
        </w:rPr>
        <w:t xml:space="preserve"> </w:t>
      </w:r>
      <w:r w:rsidRPr="002E7761">
        <w:rPr>
          <w:rFonts w:ascii="Times New Roman" w:eastAsia="Times New Roman" w:hAnsi="Times New Roman" w:cs="Times New Roman"/>
          <w:i/>
          <w:sz w:val="24"/>
          <w:szCs w:val="24"/>
        </w:rPr>
        <w:t>et al.</w:t>
      </w:r>
      <w:r w:rsidRPr="002E7761">
        <w:rPr>
          <w:rFonts w:ascii="Times New Roman" w:eastAsia="Times New Roman" w:hAnsi="Times New Roman" w:cs="Times New Roman"/>
          <w:sz w:val="24"/>
          <w:szCs w:val="24"/>
        </w:rPr>
        <w:t xml:space="preserve"> (2013) evaluated the acute and sub-acute toxicological effects of the </w:t>
      </w:r>
      <w:proofErr w:type="spellStart"/>
      <w:r w:rsidRPr="002E7761">
        <w:rPr>
          <w:rFonts w:ascii="Times New Roman" w:eastAsia="Times New Roman" w:hAnsi="Times New Roman" w:cs="Times New Roman"/>
          <w:sz w:val="24"/>
          <w:szCs w:val="24"/>
        </w:rPr>
        <w:t>ethanolic</w:t>
      </w:r>
      <w:proofErr w:type="spellEnd"/>
      <w:r w:rsidRPr="002E7761">
        <w:rPr>
          <w:rFonts w:ascii="Times New Roman" w:eastAsia="Times New Roman" w:hAnsi="Times New Roman" w:cs="Times New Roman"/>
          <w:sz w:val="24"/>
          <w:szCs w:val="24"/>
        </w:rPr>
        <w:t xml:space="preserve"> extract of </w:t>
      </w:r>
      <w:proofErr w:type="spellStart"/>
      <w:r w:rsidRPr="00535927">
        <w:rPr>
          <w:rFonts w:ascii="Times New Roman" w:eastAsia="Times New Roman" w:hAnsi="Times New Roman" w:cs="Times New Roman"/>
          <w:i/>
          <w:sz w:val="24"/>
          <w:szCs w:val="24"/>
        </w:rPr>
        <w:t>Caesalpinia</w:t>
      </w:r>
      <w:proofErr w:type="spellEnd"/>
      <w:r w:rsidRPr="00535927">
        <w:rPr>
          <w:rFonts w:ascii="Times New Roman" w:eastAsia="Times New Roman" w:hAnsi="Times New Roman" w:cs="Times New Roman"/>
          <w:i/>
          <w:sz w:val="24"/>
          <w:szCs w:val="24"/>
        </w:rPr>
        <w:t xml:space="preserve"> </w:t>
      </w:r>
      <w:proofErr w:type="spellStart"/>
      <w:r w:rsidRPr="00535927">
        <w:rPr>
          <w:rFonts w:ascii="Times New Roman" w:eastAsia="Times New Roman" w:hAnsi="Times New Roman" w:cs="Times New Roman"/>
          <w:i/>
          <w:sz w:val="24"/>
          <w:szCs w:val="24"/>
        </w:rPr>
        <w:t>bonduc</w:t>
      </w:r>
      <w:proofErr w:type="spellEnd"/>
      <w:r w:rsidRPr="002E7761">
        <w:rPr>
          <w:rFonts w:ascii="Times New Roman" w:eastAsia="Times New Roman" w:hAnsi="Times New Roman" w:cs="Times New Roman"/>
          <w:sz w:val="24"/>
          <w:szCs w:val="24"/>
        </w:rPr>
        <w:t xml:space="preserve"> leaves and young twigs on albino rats </w:t>
      </w:r>
      <w:r w:rsidRPr="002E7761">
        <w:rPr>
          <w:rFonts w:ascii="Times New Roman" w:eastAsia="Times New Roman" w:hAnsi="Times New Roman" w:cs="Times New Roman"/>
          <w:sz w:val="24"/>
          <w:szCs w:val="24"/>
        </w:rPr>
        <w:fldChar w:fldCharType="begin"/>
      </w:r>
      <w:r w:rsidRPr="002E7761">
        <w:rPr>
          <w:rFonts w:ascii="Times New Roman" w:eastAsia="Times New Roman" w:hAnsi="Times New Roman" w:cs="Times New Roman"/>
          <w:sz w:val="24"/>
          <w:szCs w:val="24"/>
        </w:rPr>
        <w:instrText xml:space="preserve"> ADDIN ZOTERO_ITEM CSL_CITATION {"citationID":"NTutxHjy","properties":{"formattedCitation":"(Ogunlana et al., 2013)","plainCitation":"(Ogunlana et al., 2013)","noteIndex":0},"citationItems":[{"id":667,"uris":["http://zotero.org/users/11300200/items/QEHPKC8M"],"itemData":{"id":667,"type":"article-journal","container-title":"African Journal of Traditional, Complementary and Alternative Medicines","DOI":"10.4314/ajtcam.v10i6.20","ISSN":"0189-6016","issue":"6","journalAbbreviation":"Afr. J. Trad. Compl. Alt. Med.","page":"504","source":"DOI.org (Crossref)","title":"Evaluation of the toxicological profile of the leaves and young twigs of &lt;i&gt;Caesalpinia bonduc&lt;/i&gt; (linn) roxb","volume":"10","author":[{"family":"Ogunlana","given":"Oo"},{"family":"Ogunlana","given":"Oe"},{"family":"Adeneye","given":"Aa"},{"family":"Udo-Chijioke","given":"Oac"},{"family":"Dare-Olipede","given":"Ti"},{"family":"Olagunju","given":"Ja"},{"family":"Akindahunsi","given":"Aa"}],"issued":{"date-parts":[["2013",10,14]]}}}],"schema":"https://github.com/citation-style-language/schema/raw/master/csl-citation.json"} </w:instrText>
      </w:r>
      <w:r w:rsidRPr="002E7761">
        <w:rPr>
          <w:rFonts w:ascii="Times New Roman" w:eastAsia="Times New Roman" w:hAnsi="Times New Roman" w:cs="Times New Roman"/>
          <w:sz w:val="24"/>
          <w:szCs w:val="24"/>
        </w:rPr>
        <w:fldChar w:fldCharType="separate"/>
      </w:r>
      <w:r w:rsidR="00A316B3" w:rsidRPr="00A316B3">
        <w:rPr>
          <w:rFonts w:ascii="Times New Roman" w:hAnsi="Times New Roman" w:cs="Times New Roman"/>
          <w:sz w:val="24"/>
        </w:rPr>
        <w:t>(Ogunlana et al., 2013)</w:t>
      </w:r>
      <w:r w:rsidRPr="002E7761">
        <w:rPr>
          <w:rFonts w:ascii="Times New Roman" w:eastAsia="Times New Roman" w:hAnsi="Times New Roman" w:cs="Times New Roman"/>
          <w:sz w:val="24"/>
          <w:szCs w:val="24"/>
        </w:rPr>
        <w:fldChar w:fldCharType="end"/>
      </w:r>
      <w:r w:rsidRPr="002E7761">
        <w:rPr>
          <w:rFonts w:ascii="Times New Roman" w:eastAsia="Times New Roman" w:hAnsi="Times New Roman" w:cs="Times New Roman"/>
          <w:sz w:val="24"/>
          <w:szCs w:val="24"/>
        </w:rPr>
        <w:t xml:space="preserve">. In the acute study, no mortality was observed, but there were significant alterations in biomarkers and liver damage. In the sub-acute study, changes in biomarkers were observed at higher extract doses, but no significant difference was found in the recovery groups. The study concludes that the extract could be toxic to certain organs in both </w:t>
      </w:r>
      <w:r w:rsidR="00244140">
        <w:rPr>
          <w:rFonts w:ascii="Times New Roman" w:eastAsia="Times New Roman" w:hAnsi="Times New Roman" w:cs="Times New Roman"/>
          <w:sz w:val="24"/>
          <w:szCs w:val="24"/>
        </w:rPr>
        <w:t>acute and sub-acute treatments.</w:t>
      </w:r>
    </w:p>
    <w:p w:rsidR="00F77439" w:rsidRPr="002E7761" w:rsidRDefault="00F77439" w:rsidP="006D3376">
      <w:pPr>
        <w:spacing w:after="0" w:line="360" w:lineRule="auto"/>
        <w:jc w:val="both"/>
        <w:rPr>
          <w:rFonts w:ascii="Times New Roman" w:eastAsia="Times New Roman" w:hAnsi="Times New Roman" w:cs="Times New Roman"/>
          <w:sz w:val="24"/>
          <w:szCs w:val="24"/>
        </w:rPr>
      </w:pPr>
      <w:r w:rsidRPr="002E7761">
        <w:rPr>
          <w:rFonts w:ascii="Times New Roman" w:eastAsia="Times New Roman" w:hAnsi="Times New Roman" w:cs="Times New Roman"/>
          <w:sz w:val="24"/>
          <w:szCs w:val="24"/>
        </w:rPr>
        <w:t xml:space="preserve">A study by </w:t>
      </w:r>
      <w:proofErr w:type="spellStart"/>
      <w:r w:rsidRPr="002E7761">
        <w:rPr>
          <w:rFonts w:ascii="Times New Roman" w:eastAsia="Times New Roman" w:hAnsi="Times New Roman" w:cs="Times New Roman"/>
          <w:sz w:val="24"/>
          <w:szCs w:val="24"/>
        </w:rPr>
        <w:t>Rotimi</w:t>
      </w:r>
      <w:proofErr w:type="spellEnd"/>
      <w:r w:rsidRPr="002E7761">
        <w:rPr>
          <w:rFonts w:ascii="Times New Roman" w:eastAsia="Times New Roman" w:hAnsi="Times New Roman" w:cs="Times New Roman"/>
          <w:sz w:val="24"/>
          <w:szCs w:val="24"/>
        </w:rPr>
        <w:t xml:space="preserve"> </w:t>
      </w:r>
      <w:r w:rsidRPr="002E7761">
        <w:rPr>
          <w:rFonts w:ascii="Times New Roman" w:eastAsia="Times New Roman" w:hAnsi="Times New Roman" w:cs="Times New Roman"/>
          <w:i/>
          <w:sz w:val="24"/>
          <w:szCs w:val="24"/>
        </w:rPr>
        <w:t>et al.</w:t>
      </w:r>
      <w:r w:rsidRPr="002E7761">
        <w:rPr>
          <w:rFonts w:ascii="Times New Roman" w:eastAsia="Times New Roman" w:hAnsi="Times New Roman" w:cs="Times New Roman"/>
          <w:sz w:val="24"/>
          <w:szCs w:val="24"/>
        </w:rPr>
        <w:t xml:space="preserve"> 2015, </w:t>
      </w:r>
      <w:r w:rsidR="00C126ED" w:rsidRPr="00C126ED">
        <w:rPr>
          <w:rFonts w:ascii="Times New Roman" w:eastAsia="Times New Roman" w:hAnsi="Times New Roman" w:cs="Times New Roman"/>
          <w:sz w:val="24"/>
          <w:szCs w:val="24"/>
        </w:rPr>
        <w:t xml:space="preserve">examined the effect of </w:t>
      </w:r>
      <w:proofErr w:type="spellStart"/>
      <w:r w:rsidR="00C126ED" w:rsidRPr="00C126ED">
        <w:rPr>
          <w:rFonts w:ascii="Times New Roman" w:eastAsia="Times New Roman" w:hAnsi="Times New Roman" w:cs="Times New Roman"/>
          <w:sz w:val="24"/>
          <w:szCs w:val="24"/>
        </w:rPr>
        <w:t>quercetin</w:t>
      </w:r>
      <w:proofErr w:type="spellEnd"/>
      <w:r w:rsidR="00C126ED" w:rsidRPr="00C126ED">
        <w:rPr>
          <w:rFonts w:ascii="Times New Roman" w:eastAsia="Times New Roman" w:hAnsi="Times New Roman" w:cs="Times New Roman"/>
          <w:sz w:val="24"/>
          <w:szCs w:val="24"/>
        </w:rPr>
        <w:t xml:space="preserve"> on oxidative stress in a model of acute pancreatit</w:t>
      </w:r>
      <w:r w:rsidR="00C126ED">
        <w:rPr>
          <w:rFonts w:ascii="Times New Roman" w:eastAsia="Times New Roman" w:hAnsi="Times New Roman" w:cs="Times New Roman"/>
          <w:sz w:val="24"/>
          <w:szCs w:val="24"/>
        </w:rPr>
        <w:t>is caused by L-arginine in rats. It was</w:t>
      </w:r>
      <w:r w:rsidRPr="002E7761">
        <w:rPr>
          <w:rFonts w:ascii="Times New Roman" w:eastAsia="Times New Roman" w:hAnsi="Times New Roman" w:cs="Times New Roman"/>
          <w:sz w:val="24"/>
          <w:szCs w:val="24"/>
        </w:rPr>
        <w:t xml:space="preserve"> found that </w:t>
      </w:r>
      <w:proofErr w:type="spellStart"/>
      <w:r w:rsidRPr="002E7761">
        <w:rPr>
          <w:rFonts w:ascii="Times New Roman" w:eastAsia="Times New Roman" w:hAnsi="Times New Roman" w:cs="Times New Roman"/>
          <w:sz w:val="24"/>
          <w:szCs w:val="24"/>
        </w:rPr>
        <w:t>quercetin</w:t>
      </w:r>
      <w:proofErr w:type="spellEnd"/>
      <w:r w:rsidRPr="002E7761">
        <w:rPr>
          <w:rFonts w:ascii="Times New Roman" w:eastAsia="Times New Roman" w:hAnsi="Times New Roman" w:cs="Times New Roman"/>
          <w:sz w:val="24"/>
          <w:szCs w:val="24"/>
        </w:rPr>
        <w:t xml:space="preserve"> reversed the increase in plasma lipase and α-amylase activities caused by L-arginine, restored antioxidant enzyme activities and glutathione levels, and prevented L-arginine-induced alterations in enzyme activities in rat organs </w:t>
      </w:r>
      <w:r w:rsidRPr="002E7761">
        <w:rPr>
          <w:rFonts w:ascii="Times New Roman" w:eastAsia="Times New Roman" w:hAnsi="Times New Roman" w:cs="Times New Roman"/>
          <w:sz w:val="24"/>
          <w:szCs w:val="24"/>
        </w:rPr>
        <w:fldChar w:fldCharType="begin"/>
      </w:r>
      <w:r w:rsidRPr="002E7761">
        <w:rPr>
          <w:rFonts w:ascii="Times New Roman" w:eastAsia="Times New Roman" w:hAnsi="Times New Roman" w:cs="Times New Roman"/>
          <w:sz w:val="24"/>
          <w:szCs w:val="24"/>
        </w:rPr>
        <w:instrText xml:space="preserve"> ADDIN ZOTERO_ITEM CSL_CITATION {"citationID":"D8G4XnNz","properties":{"formattedCitation":"(Rotimi et al., 2015)","plainCitation":"(Rotimi et al., 2015)","noteIndex":0},"citationItems":[{"id":664,"uris":["http://zotero.org/users/11300200/items/C8E4VFEG"],"itemData":{"id":664,"type":"article-journal","container-title":"The FASEB Journal","DOI":"10.1096/fasebj.29.1_supplement.856.4","ISSN":"0892-6638, 1530-6860","issue":"S1","journalAbbreviation":"FASEB j.","language":"en","source":"DOI.org (Crossref)","title":"Effects of Quercetin on L‐Arginine‐Induced Acute Pancreatitis in Rats","URL":"https://onlinelibrary.wiley.com/doi/10.1096/fasebj.29.1_supplement.856.4","volume":"29","author":[{"family":"Rotimi","given":"Solomon"},{"family":"Rotimi","given":"Oluwakemi"},{"family":"Iyanda‐Joel","given":"Wisdom"},{"family":"Adelani","given":"Isaacson"},{"family":"Oguamanam","given":"Nnenna"},{"family":"Ohamobi","given":"Onyinye"}],"accessed":{"date-parts":[["2023",12,18]]},"issued":{"date-parts":[["2015",4]]}}}],"schema":"https://github.com/citation-style-language/schema/raw/master/csl-citation.json"} </w:instrText>
      </w:r>
      <w:r w:rsidRPr="002E7761">
        <w:rPr>
          <w:rFonts w:ascii="Times New Roman" w:eastAsia="Times New Roman" w:hAnsi="Times New Roman" w:cs="Times New Roman"/>
          <w:sz w:val="24"/>
          <w:szCs w:val="24"/>
        </w:rPr>
        <w:fldChar w:fldCharType="separate"/>
      </w:r>
      <w:r w:rsidR="00A316B3" w:rsidRPr="00A316B3">
        <w:rPr>
          <w:rFonts w:ascii="Times New Roman" w:hAnsi="Times New Roman" w:cs="Times New Roman"/>
          <w:sz w:val="24"/>
        </w:rPr>
        <w:t>(Rotimi et al., 2015)</w:t>
      </w:r>
      <w:r w:rsidRPr="002E7761">
        <w:rPr>
          <w:rFonts w:ascii="Times New Roman" w:eastAsia="Times New Roman" w:hAnsi="Times New Roman" w:cs="Times New Roman"/>
          <w:sz w:val="24"/>
          <w:szCs w:val="24"/>
        </w:rPr>
        <w:fldChar w:fldCharType="end"/>
      </w:r>
      <w:r w:rsidRPr="002E7761">
        <w:rPr>
          <w:rFonts w:ascii="Times New Roman" w:eastAsia="Times New Roman" w:hAnsi="Times New Roman" w:cs="Times New Roman"/>
          <w:sz w:val="24"/>
          <w:szCs w:val="24"/>
        </w:rPr>
        <w:t xml:space="preserve">. This suggests that </w:t>
      </w:r>
      <w:proofErr w:type="spellStart"/>
      <w:r w:rsidRPr="002E7761">
        <w:rPr>
          <w:rFonts w:ascii="Times New Roman" w:eastAsia="Times New Roman" w:hAnsi="Times New Roman" w:cs="Times New Roman"/>
          <w:sz w:val="24"/>
          <w:szCs w:val="24"/>
        </w:rPr>
        <w:t>quercetin</w:t>
      </w:r>
      <w:proofErr w:type="spellEnd"/>
      <w:r w:rsidRPr="002E7761">
        <w:rPr>
          <w:rFonts w:ascii="Times New Roman" w:eastAsia="Times New Roman" w:hAnsi="Times New Roman" w:cs="Times New Roman"/>
          <w:sz w:val="24"/>
          <w:szCs w:val="24"/>
        </w:rPr>
        <w:t xml:space="preserve"> has a protective effect against oxidative damage in pancreati</w:t>
      </w:r>
      <w:r w:rsidR="00244140">
        <w:rPr>
          <w:rFonts w:ascii="Times New Roman" w:eastAsia="Times New Roman" w:hAnsi="Times New Roman" w:cs="Times New Roman"/>
          <w:sz w:val="24"/>
          <w:szCs w:val="24"/>
        </w:rPr>
        <w:t xml:space="preserve">tis. </w:t>
      </w:r>
      <w:r w:rsidRPr="002E7761">
        <w:rPr>
          <w:rFonts w:ascii="Times New Roman" w:eastAsia="Times New Roman" w:hAnsi="Times New Roman" w:cs="Times New Roman"/>
          <w:sz w:val="24"/>
          <w:szCs w:val="24"/>
        </w:rPr>
        <w:t xml:space="preserve">The present study highlights the significance of </w:t>
      </w:r>
      <w:proofErr w:type="spellStart"/>
      <w:r w:rsidRPr="00244140">
        <w:rPr>
          <w:rFonts w:ascii="Times New Roman" w:eastAsia="Times New Roman" w:hAnsi="Times New Roman" w:cs="Times New Roman"/>
          <w:i/>
          <w:sz w:val="24"/>
          <w:szCs w:val="24"/>
        </w:rPr>
        <w:t>Caesalpinia</w:t>
      </w:r>
      <w:proofErr w:type="spellEnd"/>
      <w:r w:rsidRPr="00244140">
        <w:rPr>
          <w:rFonts w:ascii="Times New Roman" w:eastAsia="Times New Roman" w:hAnsi="Times New Roman" w:cs="Times New Roman"/>
          <w:i/>
          <w:sz w:val="24"/>
          <w:szCs w:val="24"/>
        </w:rPr>
        <w:t xml:space="preserve"> </w:t>
      </w:r>
      <w:proofErr w:type="spellStart"/>
      <w:r w:rsidRPr="00244140">
        <w:rPr>
          <w:rFonts w:ascii="Times New Roman" w:eastAsia="Times New Roman" w:hAnsi="Times New Roman" w:cs="Times New Roman"/>
          <w:i/>
          <w:sz w:val="24"/>
          <w:szCs w:val="24"/>
        </w:rPr>
        <w:t>bonduc</w:t>
      </w:r>
      <w:proofErr w:type="spellEnd"/>
      <w:r w:rsidRPr="002E7761">
        <w:rPr>
          <w:rFonts w:ascii="Times New Roman" w:eastAsia="Times New Roman" w:hAnsi="Times New Roman" w:cs="Times New Roman"/>
          <w:sz w:val="24"/>
          <w:szCs w:val="24"/>
        </w:rPr>
        <w:t xml:space="preserve"> as a valuable source of bioactive compounds for developing novel prostate cancer drugs. The </w:t>
      </w:r>
      <w:r w:rsidRPr="00244140">
        <w:rPr>
          <w:rFonts w:ascii="Times New Roman" w:eastAsia="Times New Roman" w:hAnsi="Times New Roman" w:cs="Times New Roman"/>
          <w:i/>
          <w:sz w:val="24"/>
          <w:szCs w:val="24"/>
        </w:rPr>
        <w:t xml:space="preserve">in </w:t>
      </w:r>
      <w:proofErr w:type="spellStart"/>
      <w:r w:rsidRPr="00244140">
        <w:rPr>
          <w:rFonts w:ascii="Times New Roman" w:eastAsia="Times New Roman" w:hAnsi="Times New Roman" w:cs="Times New Roman"/>
          <w:i/>
          <w:sz w:val="24"/>
          <w:szCs w:val="24"/>
        </w:rPr>
        <w:t>silico</w:t>
      </w:r>
      <w:proofErr w:type="spellEnd"/>
      <w:r w:rsidRPr="002E7761">
        <w:rPr>
          <w:rFonts w:ascii="Times New Roman" w:eastAsia="Times New Roman" w:hAnsi="Times New Roman" w:cs="Times New Roman"/>
          <w:sz w:val="24"/>
          <w:szCs w:val="24"/>
        </w:rPr>
        <w:t xml:space="preserve"> findings presented here provide a foundation for further experimental validation and optimization of these compounds, potentially leading to the development of effective therapies targeting Mutated SPOP and ARV7 in prostate cancer patients.</w:t>
      </w:r>
    </w:p>
    <w:p w:rsidR="00535927" w:rsidRDefault="00244140" w:rsidP="006D3376">
      <w:pPr>
        <w:spacing w:line="360" w:lineRule="auto"/>
        <w:jc w:val="both"/>
        <w:rPr>
          <w:rFonts w:ascii="Times New Roman" w:eastAsia="Times New Roman" w:hAnsi="Times New Roman" w:cs="Times New Roman"/>
          <w:sz w:val="24"/>
          <w:szCs w:val="24"/>
        </w:rPr>
      </w:pPr>
      <w:r>
        <w:rPr>
          <w:rFonts w:ascii="Times New Roman" w:hAnsi="Times New Roman" w:cs="Times New Roman"/>
          <w:sz w:val="24"/>
          <w:szCs w:val="24"/>
        </w:rPr>
        <w:t>T</w:t>
      </w:r>
      <w:r w:rsidR="00F77439" w:rsidRPr="002E7761">
        <w:rPr>
          <w:rFonts w:ascii="Times New Roman" w:hAnsi="Times New Roman" w:cs="Times New Roman"/>
          <w:sz w:val="24"/>
          <w:szCs w:val="24"/>
        </w:rPr>
        <w:t xml:space="preserve">he selected pure compounds from </w:t>
      </w:r>
      <w:proofErr w:type="spellStart"/>
      <w:r w:rsidR="00F77439" w:rsidRPr="002E7761">
        <w:rPr>
          <w:rFonts w:ascii="Times New Roman" w:hAnsi="Times New Roman" w:cs="Times New Roman"/>
          <w:i/>
          <w:sz w:val="24"/>
          <w:szCs w:val="24"/>
        </w:rPr>
        <w:t>Caesalpinia</w:t>
      </w:r>
      <w:proofErr w:type="spellEnd"/>
      <w:r w:rsidR="00F77439" w:rsidRPr="002E7761">
        <w:rPr>
          <w:rFonts w:ascii="Times New Roman" w:hAnsi="Times New Roman" w:cs="Times New Roman"/>
          <w:i/>
          <w:sz w:val="24"/>
          <w:szCs w:val="24"/>
        </w:rPr>
        <w:t xml:space="preserve"> </w:t>
      </w:r>
      <w:proofErr w:type="spellStart"/>
      <w:r w:rsidR="00F77439" w:rsidRPr="002E7761">
        <w:rPr>
          <w:rFonts w:ascii="Times New Roman" w:hAnsi="Times New Roman" w:cs="Times New Roman"/>
          <w:i/>
          <w:sz w:val="24"/>
          <w:szCs w:val="24"/>
        </w:rPr>
        <w:t>bonduc</w:t>
      </w:r>
      <w:proofErr w:type="spellEnd"/>
      <w:r w:rsidR="00F77439" w:rsidRPr="002E7761">
        <w:rPr>
          <w:rFonts w:ascii="Times New Roman" w:hAnsi="Times New Roman" w:cs="Times New Roman"/>
          <w:sz w:val="24"/>
          <w:szCs w:val="24"/>
        </w:rPr>
        <w:t xml:space="preserve"> demonstrate </w:t>
      </w:r>
      <w:proofErr w:type="spellStart"/>
      <w:r w:rsidR="00F77439" w:rsidRPr="002E7761">
        <w:rPr>
          <w:rFonts w:ascii="Times New Roman" w:hAnsi="Times New Roman" w:cs="Times New Roman"/>
          <w:sz w:val="24"/>
          <w:szCs w:val="24"/>
        </w:rPr>
        <w:t>favorable</w:t>
      </w:r>
      <w:proofErr w:type="spellEnd"/>
      <w:r w:rsidR="00F77439" w:rsidRPr="002E7761">
        <w:rPr>
          <w:rFonts w:ascii="Times New Roman" w:hAnsi="Times New Roman" w:cs="Times New Roman"/>
          <w:sz w:val="24"/>
          <w:szCs w:val="24"/>
        </w:rPr>
        <w:t xml:space="preserve"> intestinal absorption and skin permeability comparable to or even better than the standard drugs </w:t>
      </w:r>
      <w:proofErr w:type="spellStart"/>
      <w:r w:rsidR="00F77439" w:rsidRPr="002E7761">
        <w:rPr>
          <w:rFonts w:ascii="Times New Roman" w:hAnsi="Times New Roman" w:cs="Times New Roman"/>
          <w:sz w:val="24"/>
          <w:szCs w:val="24"/>
        </w:rPr>
        <w:t>Enzalutamide</w:t>
      </w:r>
      <w:proofErr w:type="spellEnd"/>
      <w:r w:rsidR="00F77439" w:rsidRPr="002E7761">
        <w:rPr>
          <w:rFonts w:ascii="Times New Roman" w:hAnsi="Times New Roman" w:cs="Times New Roman"/>
          <w:sz w:val="24"/>
          <w:szCs w:val="24"/>
        </w:rPr>
        <w:t xml:space="preserve"> and </w:t>
      </w:r>
      <w:proofErr w:type="spellStart"/>
      <w:r w:rsidR="00F77439" w:rsidRPr="002E7761">
        <w:rPr>
          <w:rFonts w:ascii="Times New Roman" w:hAnsi="Times New Roman" w:cs="Times New Roman"/>
          <w:sz w:val="24"/>
          <w:szCs w:val="24"/>
        </w:rPr>
        <w:t>Apalutamide</w:t>
      </w:r>
      <w:proofErr w:type="spellEnd"/>
      <w:r w:rsidR="00F77439" w:rsidRPr="002E7761">
        <w:rPr>
          <w:rFonts w:ascii="Times New Roman" w:hAnsi="Times New Roman" w:cs="Times New Roman"/>
          <w:sz w:val="24"/>
          <w:szCs w:val="24"/>
        </w:rPr>
        <w:t xml:space="preserve">. Additionally, their interactions with P-glycoprotein suggest potential differences in their efflux transporter interactions compared to the standard drugs. They exhibit diverse interactions with key CYP </w:t>
      </w:r>
      <w:r w:rsidR="00D84CF6">
        <w:rPr>
          <w:rFonts w:ascii="Times New Roman" w:hAnsi="Times New Roman" w:cs="Times New Roman"/>
          <w:sz w:val="24"/>
          <w:szCs w:val="24"/>
        </w:rPr>
        <w:t>enzymes, with COMP1 and 2</w:t>
      </w:r>
      <w:r w:rsidR="00F77439" w:rsidRPr="002E7761">
        <w:rPr>
          <w:rFonts w:ascii="Times New Roman" w:hAnsi="Times New Roman" w:cs="Times New Roman"/>
          <w:sz w:val="24"/>
          <w:szCs w:val="24"/>
        </w:rPr>
        <w:t xml:space="preserve"> sharing similarities with the standard drugs </w:t>
      </w:r>
      <w:proofErr w:type="spellStart"/>
      <w:r w:rsidR="00F77439" w:rsidRPr="002E7761">
        <w:rPr>
          <w:rFonts w:ascii="Times New Roman" w:hAnsi="Times New Roman" w:cs="Times New Roman"/>
          <w:sz w:val="24"/>
          <w:szCs w:val="24"/>
        </w:rPr>
        <w:t>Enzalutamide</w:t>
      </w:r>
      <w:proofErr w:type="spellEnd"/>
      <w:r w:rsidR="00F77439" w:rsidRPr="002E7761">
        <w:rPr>
          <w:rFonts w:ascii="Times New Roman" w:hAnsi="Times New Roman" w:cs="Times New Roman"/>
          <w:sz w:val="24"/>
          <w:szCs w:val="24"/>
        </w:rPr>
        <w:t xml:space="preserve"> and </w:t>
      </w:r>
      <w:proofErr w:type="spellStart"/>
      <w:r w:rsidR="00F77439" w:rsidRPr="002E7761">
        <w:rPr>
          <w:rFonts w:ascii="Times New Roman" w:hAnsi="Times New Roman" w:cs="Times New Roman"/>
          <w:sz w:val="24"/>
          <w:szCs w:val="24"/>
        </w:rPr>
        <w:t>Apalutamide</w:t>
      </w:r>
      <w:proofErr w:type="spellEnd"/>
      <w:r w:rsidR="00F77439" w:rsidRPr="002E7761">
        <w:rPr>
          <w:rFonts w:ascii="Times New Roman" w:hAnsi="Times New Roman" w:cs="Times New Roman"/>
          <w:sz w:val="24"/>
          <w:szCs w:val="24"/>
        </w:rPr>
        <w:t>. These findings provide valuable insights into the potential metabolic interactions of the compounds and their comparability to established cancer drugs. Also, they demonstrated varied toxicit</w:t>
      </w:r>
      <w:r w:rsidR="00D84CF6">
        <w:rPr>
          <w:rFonts w:ascii="Times New Roman" w:hAnsi="Times New Roman" w:cs="Times New Roman"/>
          <w:sz w:val="24"/>
          <w:szCs w:val="24"/>
        </w:rPr>
        <w:t>y profiles, with COMP3 and 4</w:t>
      </w:r>
      <w:r w:rsidR="00F77439" w:rsidRPr="002E7761">
        <w:rPr>
          <w:rFonts w:ascii="Times New Roman" w:hAnsi="Times New Roman" w:cs="Times New Roman"/>
          <w:sz w:val="24"/>
          <w:szCs w:val="24"/>
        </w:rPr>
        <w:t xml:space="preserve"> showing lower toxicity con</w:t>
      </w:r>
      <w:r w:rsidR="00D84CF6">
        <w:rPr>
          <w:rFonts w:ascii="Times New Roman" w:hAnsi="Times New Roman" w:cs="Times New Roman"/>
          <w:sz w:val="24"/>
          <w:szCs w:val="24"/>
        </w:rPr>
        <w:t>cerns compared to COMP1 and 2</w:t>
      </w:r>
      <w:r w:rsidR="00F77439" w:rsidRPr="002E7761">
        <w:rPr>
          <w:rFonts w:ascii="Times New Roman" w:hAnsi="Times New Roman" w:cs="Times New Roman"/>
          <w:sz w:val="24"/>
          <w:szCs w:val="24"/>
        </w:rPr>
        <w:t xml:space="preserve">. Additionally, the absence of hepatotoxicity in the compounds from </w:t>
      </w:r>
      <w:proofErr w:type="spellStart"/>
      <w:r w:rsidR="00F77439" w:rsidRPr="002E7761">
        <w:rPr>
          <w:rFonts w:ascii="Times New Roman" w:hAnsi="Times New Roman" w:cs="Times New Roman"/>
          <w:i/>
          <w:sz w:val="24"/>
          <w:szCs w:val="24"/>
        </w:rPr>
        <w:t>Caesalpinia</w:t>
      </w:r>
      <w:proofErr w:type="spellEnd"/>
      <w:r w:rsidR="00F77439" w:rsidRPr="002E7761">
        <w:rPr>
          <w:rFonts w:ascii="Times New Roman" w:hAnsi="Times New Roman" w:cs="Times New Roman"/>
          <w:i/>
          <w:sz w:val="24"/>
          <w:szCs w:val="24"/>
        </w:rPr>
        <w:t xml:space="preserve"> </w:t>
      </w:r>
      <w:proofErr w:type="spellStart"/>
      <w:r w:rsidR="00F77439" w:rsidRPr="002E7761">
        <w:rPr>
          <w:rFonts w:ascii="Times New Roman" w:hAnsi="Times New Roman" w:cs="Times New Roman"/>
          <w:i/>
          <w:sz w:val="24"/>
          <w:szCs w:val="24"/>
        </w:rPr>
        <w:t>bonduc</w:t>
      </w:r>
      <w:proofErr w:type="spellEnd"/>
      <w:r w:rsidR="00F77439" w:rsidRPr="002E7761">
        <w:rPr>
          <w:rFonts w:ascii="Times New Roman" w:hAnsi="Times New Roman" w:cs="Times New Roman"/>
          <w:sz w:val="24"/>
          <w:szCs w:val="24"/>
        </w:rPr>
        <w:t xml:space="preserve"> distinguishes them from the standard drugs </w:t>
      </w:r>
      <w:proofErr w:type="spellStart"/>
      <w:r w:rsidR="00F77439" w:rsidRPr="002E7761">
        <w:rPr>
          <w:rFonts w:ascii="Times New Roman" w:hAnsi="Times New Roman" w:cs="Times New Roman"/>
          <w:sz w:val="24"/>
          <w:szCs w:val="24"/>
        </w:rPr>
        <w:t>Enzalutamide</w:t>
      </w:r>
      <w:proofErr w:type="spellEnd"/>
      <w:r w:rsidR="00F77439" w:rsidRPr="002E7761">
        <w:rPr>
          <w:rFonts w:ascii="Times New Roman" w:hAnsi="Times New Roman" w:cs="Times New Roman"/>
          <w:sz w:val="24"/>
          <w:szCs w:val="24"/>
        </w:rPr>
        <w:t xml:space="preserve"> and </w:t>
      </w:r>
      <w:proofErr w:type="spellStart"/>
      <w:r w:rsidR="00F77439" w:rsidRPr="002E7761">
        <w:rPr>
          <w:rFonts w:ascii="Times New Roman" w:hAnsi="Times New Roman" w:cs="Times New Roman"/>
          <w:sz w:val="24"/>
          <w:szCs w:val="24"/>
        </w:rPr>
        <w:t>Apalutamide</w:t>
      </w:r>
      <w:proofErr w:type="spellEnd"/>
      <w:r w:rsidR="00F77439" w:rsidRPr="002E7761">
        <w:rPr>
          <w:rFonts w:ascii="Times New Roman" w:eastAsia="Times New Roman" w:hAnsi="Times New Roman" w:cs="Times New Roman"/>
          <w:sz w:val="24"/>
          <w:szCs w:val="24"/>
        </w:rPr>
        <w:t>.</w:t>
      </w:r>
      <w:r w:rsidR="00535927">
        <w:rPr>
          <w:rFonts w:ascii="Times New Roman" w:eastAsia="Times New Roman" w:hAnsi="Times New Roman" w:cs="Times New Roman"/>
          <w:sz w:val="24"/>
          <w:szCs w:val="24"/>
        </w:rPr>
        <w:t xml:space="preserve"> </w:t>
      </w:r>
    </w:p>
    <w:p w:rsidR="00535927" w:rsidRDefault="00535927" w:rsidP="006D3376">
      <w:pPr>
        <w:spacing w:line="360" w:lineRule="auto"/>
        <w:jc w:val="both"/>
        <w:rPr>
          <w:rFonts w:ascii="Times New Roman" w:eastAsia="Times New Roman" w:hAnsi="Times New Roman" w:cs="Times New Roman"/>
          <w:sz w:val="24"/>
          <w:szCs w:val="24"/>
        </w:rPr>
      </w:pPr>
    </w:p>
    <w:p w:rsidR="00535927" w:rsidRPr="002E7761" w:rsidRDefault="00535927" w:rsidP="006D3376">
      <w:pPr>
        <w:spacing w:line="360" w:lineRule="auto"/>
        <w:jc w:val="both"/>
        <w:rPr>
          <w:rFonts w:ascii="Times New Roman" w:hAnsi="Times New Roman" w:cs="Times New Roman"/>
          <w:sz w:val="24"/>
          <w:szCs w:val="24"/>
        </w:rPr>
      </w:pPr>
    </w:p>
    <w:p w:rsidR="00F77439" w:rsidRPr="002E7761" w:rsidRDefault="00F77439" w:rsidP="006D3376">
      <w:pPr>
        <w:spacing w:line="360" w:lineRule="auto"/>
        <w:rPr>
          <w:rFonts w:ascii="Times New Roman" w:hAnsi="Times New Roman" w:cs="Times New Roman"/>
          <w:sz w:val="24"/>
          <w:szCs w:val="24"/>
        </w:rPr>
      </w:pPr>
    </w:p>
    <w:p w:rsidR="00F77439" w:rsidRDefault="00F77439" w:rsidP="006D3376">
      <w:pPr>
        <w:spacing w:line="360" w:lineRule="auto"/>
        <w:rPr>
          <w:rFonts w:ascii="Times New Roman" w:hAnsi="Times New Roman" w:cs="Times New Roman"/>
          <w:b/>
          <w:sz w:val="24"/>
          <w:szCs w:val="24"/>
        </w:rPr>
      </w:pPr>
    </w:p>
    <w:p w:rsidR="001F0818" w:rsidRDefault="001F0818" w:rsidP="006D3376">
      <w:pPr>
        <w:spacing w:line="360" w:lineRule="auto"/>
        <w:rPr>
          <w:rFonts w:ascii="Times New Roman" w:hAnsi="Times New Roman" w:cs="Times New Roman"/>
          <w:b/>
          <w:sz w:val="24"/>
          <w:szCs w:val="24"/>
        </w:rPr>
      </w:pPr>
    </w:p>
    <w:p w:rsidR="001F0818" w:rsidRDefault="001F0818" w:rsidP="006D3376">
      <w:pPr>
        <w:spacing w:line="360" w:lineRule="auto"/>
        <w:rPr>
          <w:rFonts w:ascii="Times New Roman" w:hAnsi="Times New Roman" w:cs="Times New Roman"/>
          <w:b/>
          <w:sz w:val="24"/>
          <w:szCs w:val="24"/>
        </w:rPr>
      </w:pPr>
    </w:p>
    <w:p w:rsidR="00DB7A45" w:rsidRDefault="00DB7A45" w:rsidP="006D3376">
      <w:pPr>
        <w:spacing w:line="360" w:lineRule="auto"/>
        <w:rPr>
          <w:rFonts w:ascii="Times New Roman" w:hAnsi="Times New Roman" w:cs="Times New Roman"/>
          <w:b/>
          <w:sz w:val="24"/>
          <w:szCs w:val="24"/>
        </w:rPr>
      </w:pPr>
    </w:p>
    <w:p w:rsidR="00203BCA" w:rsidRPr="002E7761" w:rsidRDefault="00203BCA" w:rsidP="006D3376">
      <w:pPr>
        <w:spacing w:line="360" w:lineRule="auto"/>
        <w:rPr>
          <w:rFonts w:ascii="Times New Roman" w:hAnsi="Times New Roman" w:cs="Times New Roman"/>
          <w:b/>
          <w:sz w:val="24"/>
          <w:szCs w:val="24"/>
        </w:rPr>
      </w:pPr>
    </w:p>
    <w:p w:rsidR="001F0818" w:rsidRDefault="001F0818" w:rsidP="006D3376">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CHAPTER SIX</w:t>
      </w:r>
      <w:r w:rsidR="00F77439" w:rsidRPr="002E7761">
        <w:rPr>
          <w:rFonts w:ascii="Times New Roman" w:hAnsi="Times New Roman" w:cs="Times New Roman"/>
          <w:b/>
          <w:sz w:val="24"/>
          <w:szCs w:val="24"/>
        </w:rPr>
        <w:t xml:space="preserve"> </w:t>
      </w:r>
    </w:p>
    <w:p w:rsidR="00F77439" w:rsidRPr="002E7761" w:rsidRDefault="00F77439" w:rsidP="006D3376">
      <w:pPr>
        <w:spacing w:line="360" w:lineRule="auto"/>
        <w:jc w:val="center"/>
        <w:rPr>
          <w:rFonts w:ascii="Times New Roman" w:hAnsi="Times New Roman" w:cs="Times New Roman"/>
          <w:b/>
          <w:sz w:val="24"/>
          <w:szCs w:val="24"/>
        </w:rPr>
      </w:pPr>
      <w:r w:rsidRPr="002E7761">
        <w:rPr>
          <w:rFonts w:ascii="Times New Roman" w:hAnsi="Times New Roman" w:cs="Times New Roman"/>
          <w:b/>
          <w:sz w:val="24"/>
          <w:szCs w:val="24"/>
        </w:rPr>
        <w:t>CONCLUSION AND RECOMMENDATIONS</w:t>
      </w:r>
    </w:p>
    <w:p w:rsidR="00F77439" w:rsidRPr="002E7761" w:rsidRDefault="00F77439" w:rsidP="006D3376">
      <w:pPr>
        <w:spacing w:line="360" w:lineRule="auto"/>
        <w:rPr>
          <w:rFonts w:ascii="Times New Roman" w:hAnsi="Times New Roman" w:cs="Times New Roman"/>
          <w:b/>
          <w:sz w:val="24"/>
          <w:szCs w:val="24"/>
        </w:rPr>
      </w:pPr>
      <w:r w:rsidRPr="002E7761">
        <w:rPr>
          <w:rFonts w:ascii="Times New Roman" w:hAnsi="Times New Roman" w:cs="Times New Roman"/>
          <w:b/>
          <w:sz w:val="24"/>
          <w:szCs w:val="24"/>
        </w:rPr>
        <w:t>6.1 Summary</w:t>
      </w:r>
    </w:p>
    <w:p w:rsidR="00F77439" w:rsidRPr="00C126ED" w:rsidRDefault="00535927" w:rsidP="00372627">
      <w:pPr>
        <w:spacing w:line="360" w:lineRule="auto"/>
        <w:jc w:val="both"/>
        <w:rPr>
          <w:rFonts w:ascii="Times New Roman" w:hAnsi="Times New Roman" w:cs="Times New Roman"/>
          <w:sz w:val="24"/>
          <w:szCs w:val="24"/>
          <w:lang w:val="en-US"/>
        </w:rPr>
      </w:pPr>
      <w:r>
        <w:rPr>
          <w:rFonts w:ascii="Times New Roman" w:hAnsi="Times New Roman" w:cs="Times New Roman"/>
          <w:bCs/>
          <w:sz w:val="24"/>
          <w:szCs w:val="24"/>
        </w:rPr>
        <w:t xml:space="preserve"> </w:t>
      </w:r>
      <w:r w:rsidR="00C126ED" w:rsidRPr="00C126ED">
        <w:rPr>
          <w:rFonts w:ascii="Times New Roman" w:hAnsi="Times New Roman" w:cs="Times New Roman"/>
          <w:sz w:val="24"/>
          <w:szCs w:val="24"/>
          <w:lang w:val="en-US"/>
        </w:rPr>
        <w:t>One of the main causes of cancer-related mortality among men gl</w:t>
      </w:r>
      <w:r w:rsidR="00C126ED">
        <w:rPr>
          <w:rFonts w:ascii="Times New Roman" w:hAnsi="Times New Roman" w:cs="Times New Roman"/>
          <w:sz w:val="24"/>
          <w:szCs w:val="24"/>
          <w:lang w:val="en-US"/>
        </w:rPr>
        <w:t>obally is prostate cancer (</w:t>
      </w:r>
      <w:proofErr w:type="spellStart"/>
      <w:r w:rsidR="00C126ED">
        <w:rPr>
          <w:rFonts w:ascii="Times New Roman" w:hAnsi="Times New Roman" w:cs="Times New Roman"/>
          <w:sz w:val="24"/>
          <w:szCs w:val="24"/>
          <w:lang w:val="en-US"/>
        </w:rPr>
        <w:t>PCa</w:t>
      </w:r>
      <w:proofErr w:type="spellEnd"/>
      <w:r w:rsidR="00C126ED">
        <w:rPr>
          <w:rFonts w:ascii="Times New Roman" w:hAnsi="Times New Roman" w:cs="Times New Roman"/>
          <w:sz w:val="24"/>
          <w:szCs w:val="24"/>
          <w:lang w:val="en-US"/>
        </w:rPr>
        <w:t>)</w:t>
      </w:r>
      <w:r w:rsidRPr="0073113E">
        <w:rPr>
          <w:rFonts w:ascii="Times New Roman" w:hAnsi="Times New Roman" w:cs="Times New Roman"/>
          <w:sz w:val="24"/>
          <w:szCs w:val="24"/>
        </w:rPr>
        <w:t>, as a result of its poor diagnosis and prognosis, hence, novel diagnosis biomarkers and therapeutic targets are crucial for its management</w:t>
      </w:r>
      <w:r>
        <w:rPr>
          <w:rFonts w:ascii="Times New Roman" w:hAnsi="Times New Roman" w:cs="Times New Roman"/>
          <w:sz w:val="24"/>
          <w:szCs w:val="24"/>
        </w:rPr>
        <w:t xml:space="preserve"> </w:t>
      </w:r>
      <w:r w:rsidRPr="002E7761">
        <w:rPr>
          <w:rFonts w:ascii="Times New Roman" w:hAnsi="Times New Roman" w:cs="Times New Roman"/>
          <w:sz w:val="24"/>
          <w:szCs w:val="24"/>
          <w:lang w:val="en-US"/>
        </w:rPr>
        <w:fldChar w:fldCharType="begin"/>
      </w:r>
      <w:r w:rsidR="00F12E86">
        <w:rPr>
          <w:rFonts w:ascii="Times New Roman" w:hAnsi="Times New Roman" w:cs="Times New Roman"/>
          <w:sz w:val="24"/>
          <w:szCs w:val="24"/>
          <w:lang w:val="en-US"/>
        </w:rPr>
        <w:instrText xml:space="preserve"> ADDIN ZOTERO_ITEM CSL_CITATION {"citationID":"ZZzXTx4I","properties":{"formattedCitation":"(Ellinger et al., 2022)","plainCitation":"(Ellinger et al., 2022)","noteIndex":0},"citationItems":[{"id":239,"uris":["http://zotero.org/users/local/7J0d6nia/items/KZAZBMWY","http://zotero.org/users/11300200/items/KZAZBMWY"],"itemData":{"id":239,"type":"article-journal","abstract":"Abstract\n            According to GLOBOCAN, about 1.41 million new prostate cancer (PCa) cases were registered in the year 2020 globally. The corresponding socio-economic burden is enormous. Anti-cancer mRNA-based therapy is a promising approach, the principle of which is currently applied for anti-COVID-19 vaccination, undergoing a detailed investigation in populations considering its short- and long-term effectiveness and potential side effects. Pragmatically considered, it will take years or even decades to make mRNA therapy working for any type of cancers, and if possible, for individual malignancy sub-types which are many specifically for the PCa. Actually, the costs of treating PCa are increasing more rapidly than those of any other cancer. The trend has to be reversed now, not in a couple of years. In general, two main components are making currently applied reactive (management of clinically manifested disease) PCa treatment particularly expensive. On one hand, it is rapidly increasing incidence of the disease and metastatic PCa as its subtype. To this end, rapidly increasing PCa incidence rates in young and middle-aged male sub-populations should be taken into account as a long-term contributor to the metastatic disease potentially developed later on in life. On the other hand, patient stratification to differentiate between non-metastatic PCa (no need for an extensive and costly treatment) and particularly aggressive cancer subtypes requiring personalised treatment algorithms is challenging. Considering current statistics, it becomes obvious that reactive medicine got at its limit in PCa management. Multi-professional expertise is unavoidable to create and implement anti-PCa programmes in the population. In our strategic paper, we exemplify challenging PCa management by providing detailed expert recommendations for primary (health risk assessment), secondary (prediction and prevention of metastatic disease in PCa) and tertiary (making palliative care to the management of chronic disease) care in the framework of predictive, preventive and personalised medicine.","container-title":"EPMA Journal","DOI":"10.1007/s13167-022-00276-3","ISSN":"1878-5077, 1878-5085","issue":"1","journalAbbreviation":"EPMA Journal","language":"en","page":"1-7","source":"DOI.org (Crossref)","title":"Prostate cancer treatment costs increase more rapidly than for any other cancer—how to reverse the trend?","volume":"13","author":[{"family":"Ellinger","given":"J."},{"family":"Alajati","given":"A."},{"family":"Kubatka","given":"P."},{"family":"Giordano","given":"F. A."},{"family":"Ritter","given":"M."},{"family":"Costigliola","given":"V."},{"family":"Golubnitschaja","given":"O."}],"issued":{"date-parts":[["2022",3]]}}}],"schema":"https://github.com/citation-style-language/schema/raw/master/csl-citation.json"} </w:instrText>
      </w:r>
      <w:r w:rsidRPr="002E7761">
        <w:rPr>
          <w:rFonts w:ascii="Times New Roman" w:hAnsi="Times New Roman" w:cs="Times New Roman"/>
          <w:sz w:val="24"/>
          <w:szCs w:val="24"/>
          <w:lang w:val="en-US"/>
        </w:rPr>
        <w:fldChar w:fldCharType="separate"/>
      </w:r>
      <w:r w:rsidRPr="002E7761">
        <w:rPr>
          <w:rFonts w:ascii="Times New Roman" w:hAnsi="Times New Roman" w:cs="Times New Roman"/>
          <w:sz w:val="24"/>
          <w:szCs w:val="24"/>
          <w:lang w:val="en-US"/>
        </w:rPr>
        <w:t>(Ellinger et al., 2022)</w:t>
      </w:r>
      <w:r w:rsidRPr="002E7761">
        <w:rPr>
          <w:rFonts w:ascii="Times New Roman" w:hAnsi="Times New Roman" w:cs="Times New Roman"/>
          <w:sz w:val="24"/>
          <w:szCs w:val="24"/>
          <w:lang w:val="en-US"/>
        </w:rPr>
        <w:fldChar w:fldCharType="end"/>
      </w:r>
      <w:r w:rsidRPr="00AE3C1B">
        <w:rPr>
          <w:rFonts w:ascii="Times New Roman" w:hAnsi="Times New Roman" w:cs="Times New Roman"/>
          <w:sz w:val="24"/>
          <w:szCs w:val="24"/>
        </w:rPr>
        <w:t>.</w:t>
      </w:r>
      <w:r>
        <w:rPr>
          <w:rFonts w:ascii="Times New Roman" w:hAnsi="Times New Roman" w:cs="Times New Roman"/>
          <w:sz w:val="24"/>
          <w:szCs w:val="24"/>
        </w:rPr>
        <w:t xml:space="preserve"> </w:t>
      </w:r>
      <w:r w:rsidRPr="002E7761">
        <w:rPr>
          <w:rFonts w:ascii="Times New Roman" w:hAnsi="Times New Roman" w:cs="Times New Roman"/>
          <w:sz w:val="24"/>
          <w:szCs w:val="24"/>
          <w:lang w:val="en-US"/>
        </w:rPr>
        <w:t xml:space="preserve">More than 1.4 million new cases of prostate cancer were found globally in 2020 </w:t>
      </w:r>
      <w:r w:rsidRPr="002E7761">
        <w:rPr>
          <w:rFonts w:ascii="Times New Roman" w:hAnsi="Times New Roman" w:cs="Times New Roman"/>
          <w:sz w:val="24"/>
          <w:szCs w:val="24"/>
          <w:lang w:val="en-US"/>
        </w:rPr>
        <w:fldChar w:fldCharType="begin"/>
      </w:r>
      <w:r w:rsidR="00F12E86">
        <w:rPr>
          <w:rFonts w:ascii="Times New Roman" w:hAnsi="Times New Roman" w:cs="Times New Roman"/>
          <w:sz w:val="24"/>
          <w:szCs w:val="24"/>
          <w:lang w:val="en-US"/>
        </w:rPr>
        <w:instrText xml:space="preserve"> ADDIN ZOTERO_ITEM CSL_CITATION {"citationID":"vZnGi0k0","properties":{"formattedCitation":"(Wang et al., 2022)","plainCitation":"(Wang et al., 2022)","noteIndex":0},"citationItems":[{"id":299,"uris":["http://zotero.org/users/local/7J0d6nia/items/X6ADMKCK","http://zotero.org/users/11300200/items/X6ADMKCK"],"itemData":{"id":299,"type":"article-journal","abstract":"Aims\n              To evaluate current status of prostate cancer incidence and mortality worldwide, and compare the global trends of incidence and mortality in the past two decades and in the most recent period.\n            \n            \n              Methods\n              Data on the incidence and mortality of prostate cancer for 174 countries in 2020 were obtained from the GLOBOCAN 2020 database, and associations with the human development index (HDI) were evaluated. Data for trend analyses in 89 countries from 2000 to 2019 were retrieved from the Global Burden of Disease 2019 platform. Age standardized incidence rate (ASIR) and mortality rate (ASMR) were calculated by using the Segi's population. The average annual percent changes (AAPC) of ASIRs and ASMRs were evaluated by joinpoint regression analysis.\n            \n            \n              Results\n              \n                A total of 1 414 259 new cases of prostate cancer and 375 304 related deaths were reported in 2020 globally. HDI was positively correlated with ASIRs (\n                P\n                &amp;lt; 0.001) and negatively correlated with ASMRs (\n                P\n                &amp;lt; 0.001). In the past two decades, ASIRs have been increasing in 65 countries, stable in 15 countries and decreasing in 9 countries, and ASMRs have been increasing in 19 countries, stable in 25 countries and decreasing in 45 countries, respectively. In the most recent period, 44 countries have increasing ASIRs, and 32 countries have decreasing ASMRs, respectively. For instance, in the United States of America, the AAPC of ASIRs significantly decreased by 0.62% and ASMRs significantly decreased by 1.22% from 2000 to 2019, while the AAPC from 2015 to 2019 significantly increased by 0.49% for ASIRs and significantly increased by 0.48% for ASMRs.\n              \n            \n            \n              Conclusion\n              The magnitude of increasing incidence and decreasing mortality of prostate cancer is attenuated in the recent period. Further study is needed to analyze the absolute effect of risk factors, PSA screening and treatment.","container-title":"Frontiers in Public Health","DOI":"10.3389/fpubh.2022.811044","ISSN":"2296-2565","journalAbbreviation":"Front. Public Health","page":"811044","source":"DOI.org (Crossref)","title":"Prostate Cancer Incidence and Mortality: Global Status and Temporal Trends in 89 Countries From 2000 to 2019","title-short":"Prostate Cancer Incidence and Mortality","volume":"10","author":[{"family":"Wang","given":"Le"},{"family":"Lu","given":"Bin"},{"family":"He","given":"Mengjie"},{"family":"Wang","given":"Youqing"},{"family":"Wang","given":"Zongping"},{"family":"Du","given":"Lingbin"}],"issued":{"date-parts":[["2022",2,16]]}}}],"schema":"https://github.com/citation-style-language/schema/raw/master/csl-citation.json"} </w:instrText>
      </w:r>
      <w:r w:rsidRPr="002E7761">
        <w:rPr>
          <w:rFonts w:ascii="Times New Roman" w:hAnsi="Times New Roman" w:cs="Times New Roman"/>
          <w:sz w:val="24"/>
          <w:szCs w:val="24"/>
          <w:lang w:val="en-US"/>
        </w:rPr>
        <w:fldChar w:fldCharType="separate"/>
      </w:r>
      <w:r w:rsidRPr="002E7761">
        <w:rPr>
          <w:rFonts w:ascii="Times New Roman" w:hAnsi="Times New Roman" w:cs="Times New Roman"/>
          <w:sz w:val="24"/>
          <w:szCs w:val="24"/>
          <w:lang w:val="en-US"/>
        </w:rPr>
        <w:t>(Wang et al., 2022)</w:t>
      </w:r>
      <w:r w:rsidRPr="002E7761">
        <w:rPr>
          <w:rFonts w:ascii="Times New Roman" w:hAnsi="Times New Roman" w:cs="Times New Roman"/>
          <w:sz w:val="24"/>
          <w:szCs w:val="24"/>
          <w:lang w:val="en-US"/>
        </w:rPr>
        <w:fldChar w:fldCharType="end"/>
      </w:r>
      <w:r>
        <w:rPr>
          <w:rFonts w:ascii="Times New Roman" w:hAnsi="Times New Roman" w:cs="Times New Roman"/>
          <w:sz w:val="24"/>
          <w:szCs w:val="24"/>
        </w:rPr>
        <w:t>.</w:t>
      </w:r>
      <w:r w:rsidRPr="009C2608">
        <w:rPr>
          <w:rFonts w:ascii="Times New Roman" w:hAnsi="Times New Roman" w:cs="Times New Roman"/>
          <w:sz w:val="24"/>
          <w:szCs w:val="24"/>
        </w:rPr>
        <w:t xml:space="preserve"> Compounds from </w:t>
      </w:r>
      <w:proofErr w:type="spellStart"/>
      <w:r w:rsidRPr="0073113E">
        <w:rPr>
          <w:rFonts w:ascii="Times New Roman" w:hAnsi="Times New Roman" w:cs="Times New Roman"/>
          <w:i/>
          <w:iCs/>
          <w:sz w:val="24"/>
          <w:szCs w:val="24"/>
        </w:rPr>
        <w:t>Caesalpinia</w:t>
      </w:r>
      <w:proofErr w:type="spellEnd"/>
      <w:r w:rsidRPr="009C2608">
        <w:rPr>
          <w:rFonts w:ascii="Times New Roman" w:hAnsi="Times New Roman" w:cs="Times New Roman"/>
          <w:i/>
          <w:iCs/>
          <w:sz w:val="24"/>
          <w:szCs w:val="24"/>
        </w:rPr>
        <w:t xml:space="preserve"> </w:t>
      </w:r>
      <w:proofErr w:type="spellStart"/>
      <w:r w:rsidRPr="009C2608">
        <w:rPr>
          <w:rFonts w:ascii="Times New Roman" w:hAnsi="Times New Roman" w:cs="Times New Roman"/>
          <w:i/>
          <w:iCs/>
          <w:sz w:val="24"/>
          <w:szCs w:val="24"/>
        </w:rPr>
        <w:t>bonduc</w:t>
      </w:r>
      <w:proofErr w:type="spellEnd"/>
      <w:r w:rsidRPr="0073113E">
        <w:rPr>
          <w:rFonts w:ascii="Times New Roman" w:hAnsi="Times New Roman" w:cs="Times New Roman"/>
          <w:i/>
          <w:iCs/>
          <w:sz w:val="24"/>
          <w:szCs w:val="24"/>
        </w:rPr>
        <w:t xml:space="preserve"> </w:t>
      </w:r>
      <w:r w:rsidRPr="009C2608">
        <w:rPr>
          <w:rFonts w:ascii="Times New Roman" w:hAnsi="Times New Roman" w:cs="Times New Roman"/>
          <w:sz w:val="24"/>
          <w:szCs w:val="24"/>
        </w:rPr>
        <w:t>has been reported to possess anticancer activity</w:t>
      </w:r>
      <w:r>
        <w:rPr>
          <w:rFonts w:ascii="Times New Roman" w:hAnsi="Times New Roman" w:cs="Times New Roman"/>
          <w:sz w:val="24"/>
          <w:szCs w:val="24"/>
        </w:rPr>
        <w:t xml:space="preserve"> </w:t>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ADDIN ZOTERO_ITEM CSL_CITATION {"citationID":"8Sa00q1R","properties":{"formattedCitation":"(Ogunlana, 2012; Chakrabarti et al., 2003; Gupta et al., 2003)","plainCitation":"(Ogunlana, 2012; Chakrabarti et al., 2003; Gupta et al., 2003)","noteIndex":0},"citationItems":[{"id":673,"uris":["http://zotero.org/users/11300200/items/SY94WX7W"],"itemData":{"id":673,"type":"thesis","event-place":"Ota, Nigeria","language":"en","publisher":"Covenanat University","publisher-place":"Ota, Nigeria","source":"Zotero","title":"PHYTOCHEMICAL, BIOLOGICAL AND TOXICOLOGICAL STUDIES OF THE EXTRACTS OF YOUNG TWIGS AND LEAVES OF GRAY NICKER NUT","URL":"http://eprints.covenantuniversity.edu.ng/1156/1/CUGP070176-Olubanke%20Olujoke%20Ogunlana.pdf","author":[{"family":"Ogunlana","given":"Olubanke Olujoke"}],"issued":{"date-parts":[["2012"]]}}},{"id":672,"uris":["http://zotero.org/users/11300200/items/TFLANFKP"],"itemData":{"id":672,"type":"article-journal","container-title":"Journal of Ethnopharmacology","DOI":"10.1016/S0378-8741(02)00262-3","ISSN":"03788741","issue":"1","journalAbbreviation":"Journal of Ethnopharmacology","language":"en","page":"41-46","source":"DOI.org (Crossref)","title":"Advanced studies on the hypoglycemic effect of Caesalpinia bonducella F. in type 1 and 2 diabetes in Long Evans rats","volume":"84","author":[{"family":"Chakrabarti","given":"Shrabana"},{"family":"Biswas","given":"Tuhin Kanti"},{"family":"Rokeya","given":"Begum"},{"family":"Ali","given":"Liaquat"},{"family":"Mosihuzzaman","given":"M"},{"family":"Nahar","given":"Nilufer"},{"family":"Khan","given":"A.K.Azad"},{"family":"Mukherjee","given":"Biswapati"}],"issued":{"date-parts":[["2003",1]]}}},{"id":671,"uris":["http://zotero.org/users/11300200/items/QA8FSZUR"],"itemData":{"id":671,"type":"article-journal","abstract":"The methanol extract of Caesalpinia bonducella leaves were investigated for anti-inflammatory, analgesic and antipyretic activity at the doses of 50, 100 and 200 mg/kg, body weight. The experimental paradigms used were carrageenan, dextran, histamine induced pedal edema and cotton pellet induced granuloma for anti-inflammatory activity, while hot plate and acetic acid induced writhing methods were used to assess analgesic activity. Yeast-induced hyperpyrexia was used to evaluate the antipyretic activity. In acute phase inflammation, a maximum inhibition 50.6% (p &lt; 0.05), 51.1% (p &lt; 0.05) and 52.3% (p &lt; 0.05) was noted at the dose of 200 mg/kg after 3 h of treatment with methanol extract of Caesalpinia bonducella (MECB) in carrageenan, dextran and histamine induced pedal edema respectively. In the chronic model (cotton pellet induced granuloma) the MECB (200 mg/kg) and standard drug (Indomethacin 10 mg/kg) showed decreased formation of granuloma tissue by 51.8% (p &lt; 0.05) and 56.6% (p &lt; 0.05) respectively. The extract also produced significant (p &lt; 0.01) analgesic activity in both paradigms. In addition, MECB potentiated the morphine and aspirin induced analgesia. A significant (p &lt; 0.01) reduction in hyperpyrexia in rat was also produced by the extract. This study exhibits that the methanol extracts of leaves of C. bonducella possess anti-inflammatory, analgesic and antipyretic activities.","container-title":"Iranian Journal of Pharmacology and Therapeutics","source":"Semantic Scholar","title":"STUDIES ON ANTI-INFLAMMATORY, ANALGESIC AND ANTIPYRETIC PROPERTIES OF METHANOL EXTRACT OF CAESALPINIA BONDUCELLA LEAVES IN EXPERIMENTAL ANIMAL MODELS","URL":"https://www.semanticscholar.org/paper/STUDIES-ON-ANTI-INFLAMMATORY%2C-ANALGESIC-AND-OF-OF-Gupta-Mazumder/0723505d82ecd008e8b9ea5d07c22d7e74180d00","author":[{"family":"Gupta","given":"Malaya"},{"family":"Mazumder","given":"Kanti"},{"family":"Kumar","given":"Ramanathan Sambath"},{"family":"Kumar","given":"T. S."}],"accessed":{"date-parts":[["2023",12,17]]},"issued":{"date-parts":[["2003",12,30]]}}}],"schema":"https://github.com/citation-style-language/schema/raw/master/csl-citation.json"} </w:instrText>
      </w:r>
      <w:r>
        <w:rPr>
          <w:rFonts w:ascii="Times New Roman" w:eastAsia="Times New Roman" w:hAnsi="Times New Roman" w:cs="Times New Roman"/>
          <w:sz w:val="24"/>
          <w:szCs w:val="24"/>
        </w:rPr>
        <w:fldChar w:fldCharType="separate"/>
      </w:r>
      <w:r w:rsidRPr="0074346D">
        <w:rPr>
          <w:rFonts w:ascii="Times New Roman" w:hAnsi="Times New Roman" w:cs="Times New Roman"/>
          <w:sz w:val="24"/>
        </w:rPr>
        <w:t>(Ogunlana, 2012; Chakrabarti et al., 2003; Gupta et al., 2003)</w:t>
      </w:r>
      <w:r>
        <w:rPr>
          <w:rFonts w:ascii="Times New Roman" w:eastAsia="Times New Roman" w:hAnsi="Times New Roman" w:cs="Times New Roman"/>
          <w:sz w:val="24"/>
          <w:szCs w:val="24"/>
        </w:rPr>
        <w:fldChar w:fldCharType="end"/>
      </w:r>
      <w:r w:rsidRPr="009C2608">
        <w:rPr>
          <w:rFonts w:ascii="Times New Roman" w:hAnsi="Times New Roman" w:cs="Times New Roman"/>
          <w:sz w:val="24"/>
          <w:szCs w:val="24"/>
        </w:rPr>
        <w:t xml:space="preserve">. </w:t>
      </w:r>
      <w:r>
        <w:rPr>
          <w:rFonts w:ascii="Times New Roman" w:hAnsi="Times New Roman" w:cs="Times New Roman"/>
          <w:sz w:val="24"/>
          <w:szCs w:val="24"/>
        </w:rPr>
        <w:t xml:space="preserve">This study aimed to </w:t>
      </w:r>
      <w:r w:rsidRPr="002E7761">
        <w:rPr>
          <w:rFonts w:ascii="Times New Roman" w:hAnsi="Times New Roman" w:cs="Times New Roman"/>
          <w:sz w:val="24"/>
          <w:szCs w:val="24"/>
        </w:rPr>
        <w:t>inve</w:t>
      </w:r>
      <w:r>
        <w:rPr>
          <w:rFonts w:ascii="Times New Roman" w:hAnsi="Times New Roman" w:cs="Times New Roman"/>
          <w:sz w:val="24"/>
          <w:szCs w:val="24"/>
        </w:rPr>
        <w:t xml:space="preserve">stigate </w:t>
      </w:r>
      <w:r w:rsidRPr="007F656F">
        <w:rPr>
          <w:rFonts w:ascii="Times New Roman" w:eastAsia="Times New Roman" w:hAnsi="Times New Roman" w:cs="Times New Roman"/>
          <w:sz w:val="24"/>
          <w:szCs w:val="24"/>
          <w:lang w:val="en-US"/>
        </w:rPr>
        <w:t>Speckle Type POZ Protein (SPOP)</w:t>
      </w:r>
      <w:r w:rsidRPr="002E7761">
        <w:rPr>
          <w:rFonts w:ascii="Times New Roman" w:hAnsi="Times New Roman" w:cs="Times New Roman"/>
          <w:sz w:val="24"/>
          <w:szCs w:val="24"/>
        </w:rPr>
        <w:t xml:space="preserve"> mutations</w:t>
      </w:r>
      <w:r w:rsidRPr="00AE3C1B">
        <w:rPr>
          <w:rFonts w:ascii="Times New Roman" w:hAnsi="Times New Roman" w:cs="Times New Roman"/>
          <w:sz w:val="24"/>
          <w:szCs w:val="24"/>
        </w:rPr>
        <w:t xml:space="preserve"> </w:t>
      </w:r>
      <w:r>
        <w:rPr>
          <w:rFonts w:ascii="Times New Roman" w:hAnsi="Times New Roman" w:cs="Times New Roman"/>
          <w:sz w:val="24"/>
          <w:szCs w:val="24"/>
        </w:rPr>
        <w:t xml:space="preserve">and </w:t>
      </w:r>
      <w:r w:rsidRPr="00AE3C1B">
        <w:rPr>
          <w:rFonts w:ascii="Times New Roman" w:hAnsi="Times New Roman" w:cs="Times New Roman"/>
          <w:sz w:val="24"/>
          <w:szCs w:val="24"/>
        </w:rPr>
        <w:t xml:space="preserve">quantify the levels of </w:t>
      </w:r>
      <w:r>
        <w:rPr>
          <w:rFonts w:ascii="Times New Roman" w:eastAsia="Times New Roman" w:hAnsi="Times New Roman" w:cs="Times New Roman"/>
          <w:sz w:val="24"/>
          <w:szCs w:val="24"/>
          <w:lang w:val="en-US"/>
        </w:rPr>
        <w:t>SPOP</w:t>
      </w:r>
      <w:r w:rsidRPr="007F656F">
        <w:rPr>
          <w:rFonts w:ascii="Times New Roman" w:eastAsia="Times New Roman" w:hAnsi="Times New Roman" w:cs="Times New Roman"/>
          <w:sz w:val="24"/>
          <w:szCs w:val="24"/>
          <w:lang w:val="en-US"/>
        </w:rPr>
        <w:t xml:space="preserve">, Androgen Receptor (AR), and Steroid Receptor </w:t>
      </w:r>
      <w:proofErr w:type="spellStart"/>
      <w:r w:rsidRPr="007F656F">
        <w:rPr>
          <w:rFonts w:ascii="Times New Roman" w:eastAsia="Times New Roman" w:hAnsi="Times New Roman" w:cs="Times New Roman"/>
          <w:sz w:val="24"/>
          <w:szCs w:val="24"/>
          <w:lang w:val="en-US"/>
        </w:rPr>
        <w:t>Coactivator</w:t>
      </w:r>
      <w:proofErr w:type="spellEnd"/>
      <w:r w:rsidRPr="007F656F">
        <w:rPr>
          <w:rFonts w:ascii="Times New Roman" w:eastAsia="Times New Roman" w:hAnsi="Times New Roman" w:cs="Times New Roman"/>
          <w:sz w:val="24"/>
          <w:szCs w:val="24"/>
          <w:lang w:val="en-US"/>
        </w:rPr>
        <w:t xml:space="preserve"> 3 (SRC</w:t>
      </w:r>
      <w:r>
        <w:rPr>
          <w:rFonts w:ascii="Times New Roman" w:eastAsia="Times New Roman" w:hAnsi="Times New Roman" w:cs="Times New Roman"/>
          <w:sz w:val="24"/>
          <w:szCs w:val="24"/>
          <w:lang w:val="en-US"/>
        </w:rPr>
        <w:t>-3)</w:t>
      </w:r>
      <w:r w:rsidRPr="00AE3C1B">
        <w:rPr>
          <w:rFonts w:ascii="Times New Roman" w:hAnsi="Times New Roman" w:cs="Times New Roman"/>
          <w:sz w:val="24"/>
          <w:szCs w:val="24"/>
        </w:rPr>
        <w:t xml:space="preserve"> proteins in </w:t>
      </w:r>
      <w:proofErr w:type="spellStart"/>
      <w:r w:rsidRPr="00AE3C1B">
        <w:rPr>
          <w:rFonts w:ascii="Times New Roman" w:hAnsi="Times New Roman" w:cs="Times New Roman"/>
          <w:sz w:val="24"/>
          <w:szCs w:val="24"/>
        </w:rPr>
        <w:t>PCa</w:t>
      </w:r>
      <w:proofErr w:type="spellEnd"/>
      <w:r w:rsidRPr="00AE3C1B">
        <w:rPr>
          <w:rFonts w:ascii="Times New Roman" w:hAnsi="Times New Roman" w:cs="Times New Roman"/>
          <w:sz w:val="24"/>
          <w:szCs w:val="24"/>
        </w:rPr>
        <w:t xml:space="preserve"> patients and non-cancer controls and to screen for potential inhibitors targeting mutated SPOP and </w:t>
      </w:r>
      <w:r>
        <w:rPr>
          <w:rFonts w:ascii="Times New Roman" w:hAnsi="Times New Roman" w:cs="Times New Roman"/>
          <w:sz w:val="24"/>
          <w:szCs w:val="24"/>
        </w:rPr>
        <w:t>Androgen Receptor Variant 7 (</w:t>
      </w:r>
      <w:r w:rsidRPr="00AE3C1B">
        <w:rPr>
          <w:rFonts w:ascii="Times New Roman" w:hAnsi="Times New Roman" w:cs="Times New Roman"/>
          <w:sz w:val="24"/>
          <w:szCs w:val="24"/>
        </w:rPr>
        <w:t>AR-V7</w:t>
      </w:r>
      <w:r>
        <w:rPr>
          <w:rFonts w:ascii="Times New Roman" w:hAnsi="Times New Roman" w:cs="Times New Roman"/>
          <w:sz w:val="24"/>
          <w:szCs w:val="24"/>
        </w:rPr>
        <w:t>)</w:t>
      </w:r>
      <w:r w:rsidR="00ED7FF3">
        <w:rPr>
          <w:rFonts w:ascii="Times New Roman" w:hAnsi="Times New Roman" w:cs="Times New Roman"/>
          <w:sz w:val="24"/>
          <w:szCs w:val="24"/>
        </w:rPr>
        <w:t xml:space="preserve"> computationally.</w:t>
      </w:r>
      <w:r w:rsidR="00ED7FF3">
        <w:rPr>
          <w:rFonts w:ascii="Times New Roman" w:hAnsi="Times New Roman" w:cs="Times New Roman"/>
          <w:bCs/>
          <w:sz w:val="24"/>
          <w:szCs w:val="24"/>
        </w:rPr>
        <w:t xml:space="preserve"> </w:t>
      </w:r>
      <w:r w:rsidR="0067578B" w:rsidRPr="0067578B">
        <w:rPr>
          <w:rFonts w:ascii="Times New Roman" w:hAnsi="Times New Roman" w:cs="Times New Roman"/>
          <w:bCs/>
          <w:sz w:val="24"/>
          <w:szCs w:val="24"/>
        </w:rPr>
        <w:t xml:space="preserve">The methodology involves </w:t>
      </w:r>
      <w:r>
        <w:rPr>
          <w:rFonts w:ascii="Times New Roman" w:hAnsi="Times New Roman" w:cs="Times New Roman"/>
          <w:sz w:val="24"/>
          <w:szCs w:val="24"/>
        </w:rPr>
        <w:t xml:space="preserve">case-control study </w:t>
      </w:r>
      <w:r w:rsidRPr="009C2608">
        <w:rPr>
          <w:rFonts w:ascii="Times New Roman" w:hAnsi="Times New Roman" w:cs="Times New Roman"/>
          <w:sz w:val="24"/>
          <w:szCs w:val="24"/>
        </w:rPr>
        <w:t xml:space="preserve">conducted with 40 histologically diagnosed </w:t>
      </w:r>
      <w:proofErr w:type="spellStart"/>
      <w:r w:rsidRPr="009C2608">
        <w:rPr>
          <w:rFonts w:ascii="Times New Roman" w:hAnsi="Times New Roman" w:cs="Times New Roman"/>
          <w:sz w:val="24"/>
          <w:szCs w:val="24"/>
        </w:rPr>
        <w:t>PCa</w:t>
      </w:r>
      <w:proofErr w:type="spellEnd"/>
      <w:r w:rsidRPr="009C2608">
        <w:rPr>
          <w:rFonts w:ascii="Times New Roman" w:hAnsi="Times New Roman" w:cs="Times New Roman"/>
          <w:sz w:val="24"/>
          <w:szCs w:val="24"/>
        </w:rPr>
        <w:t xml:space="preserve"> patients and 40 healthy controls. </w:t>
      </w:r>
      <w:r w:rsidRPr="00AE3C1B">
        <w:rPr>
          <w:rFonts w:ascii="Times New Roman" w:hAnsi="Times New Roman" w:cs="Times New Roman"/>
          <w:sz w:val="24"/>
          <w:szCs w:val="24"/>
        </w:rPr>
        <w:t xml:space="preserve">Plasma SPOP, AR, and SRC-3 levels were quantified using </w:t>
      </w:r>
      <w:r w:rsidRPr="0073113E">
        <w:rPr>
          <w:rFonts w:ascii="Times New Roman" w:hAnsi="Times New Roman" w:cs="Times New Roman"/>
          <w:bCs/>
          <w:sz w:val="24"/>
          <w:szCs w:val="24"/>
          <w:lang w:val="en-US"/>
        </w:rPr>
        <w:t xml:space="preserve">Enzyme-linked </w:t>
      </w:r>
      <w:proofErr w:type="spellStart"/>
      <w:r w:rsidRPr="0073113E">
        <w:rPr>
          <w:rFonts w:ascii="Times New Roman" w:hAnsi="Times New Roman" w:cs="Times New Roman"/>
          <w:bCs/>
          <w:sz w:val="24"/>
          <w:szCs w:val="24"/>
          <w:lang w:val="en-US"/>
        </w:rPr>
        <w:t>immunosorbent</w:t>
      </w:r>
      <w:proofErr w:type="spellEnd"/>
      <w:r w:rsidRPr="0073113E">
        <w:rPr>
          <w:rFonts w:ascii="Times New Roman" w:hAnsi="Times New Roman" w:cs="Times New Roman"/>
          <w:bCs/>
          <w:sz w:val="24"/>
          <w:szCs w:val="24"/>
          <w:lang w:val="en-US"/>
        </w:rPr>
        <w:t xml:space="preserve"> assay (ELISA)</w:t>
      </w:r>
      <w:r w:rsidRPr="00AD1BF7">
        <w:rPr>
          <w:rFonts w:ascii="Times New Roman" w:hAnsi="Times New Roman" w:cs="Times New Roman"/>
          <w:sz w:val="24"/>
          <w:szCs w:val="24"/>
        </w:rPr>
        <w:t>, while the</w:t>
      </w:r>
      <w:r>
        <w:rPr>
          <w:rFonts w:ascii="Times New Roman" w:hAnsi="Times New Roman" w:cs="Times New Roman"/>
          <w:sz w:val="24"/>
          <w:szCs w:val="24"/>
        </w:rPr>
        <w:t xml:space="preserve"> SPOP gene</w:t>
      </w:r>
      <w:r w:rsidRPr="00AD1BF7">
        <w:rPr>
          <w:rFonts w:ascii="Times New Roman" w:hAnsi="Times New Roman" w:cs="Times New Roman"/>
          <w:sz w:val="24"/>
          <w:szCs w:val="24"/>
        </w:rPr>
        <w:t xml:space="preserve"> mutation will be de</w:t>
      </w:r>
      <w:r>
        <w:rPr>
          <w:rFonts w:ascii="Times New Roman" w:hAnsi="Times New Roman" w:cs="Times New Roman"/>
          <w:sz w:val="24"/>
          <w:szCs w:val="24"/>
        </w:rPr>
        <w:t>tected using Sanger sequencing</w:t>
      </w:r>
      <w:r w:rsidRPr="009C2608">
        <w:rPr>
          <w:rFonts w:ascii="Times New Roman" w:hAnsi="Times New Roman" w:cs="Times New Roman"/>
          <w:sz w:val="24"/>
          <w:szCs w:val="24"/>
        </w:rPr>
        <w:t xml:space="preserve">. Computational analyses were performed to predict the physicochemical properties, drug-likeness, and binding affinities of selected compounds from </w:t>
      </w:r>
      <w:r w:rsidRPr="009C2608">
        <w:rPr>
          <w:rFonts w:ascii="Times New Roman" w:hAnsi="Times New Roman" w:cs="Times New Roman"/>
          <w:i/>
          <w:sz w:val="24"/>
          <w:szCs w:val="24"/>
        </w:rPr>
        <w:t xml:space="preserve">C. </w:t>
      </w:r>
      <w:proofErr w:type="spellStart"/>
      <w:r w:rsidRPr="009C2608">
        <w:rPr>
          <w:rFonts w:ascii="Times New Roman" w:hAnsi="Times New Roman" w:cs="Times New Roman"/>
          <w:i/>
          <w:sz w:val="24"/>
          <w:szCs w:val="24"/>
        </w:rPr>
        <w:t>bonduc</w:t>
      </w:r>
      <w:proofErr w:type="spellEnd"/>
      <w:r>
        <w:rPr>
          <w:rFonts w:ascii="Times New Roman" w:hAnsi="Times New Roman" w:cs="Times New Roman"/>
          <w:sz w:val="24"/>
          <w:szCs w:val="24"/>
        </w:rPr>
        <w:t xml:space="preserve"> against mutated SPOP and AR-V7</w:t>
      </w:r>
      <w:r w:rsidR="0067578B" w:rsidRPr="0067578B">
        <w:rPr>
          <w:rFonts w:ascii="Times New Roman" w:hAnsi="Times New Roman" w:cs="Times New Roman"/>
          <w:bCs/>
          <w:sz w:val="24"/>
          <w:szCs w:val="24"/>
        </w:rPr>
        <w:t xml:space="preserve">. </w:t>
      </w:r>
      <w:r w:rsidR="00372627" w:rsidRPr="00AE3C1B">
        <w:rPr>
          <w:rFonts w:ascii="Times New Roman" w:hAnsi="Times New Roman" w:cs="Times New Roman"/>
          <w:bCs/>
          <w:sz w:val="24"/>
          <w:szCs w:val="24"/>
        </w:rPr>
        <w:t>The mean concentrations of SPOP, AR, and SRC-3 proteins</w:t>
      </w:r>
      <w:r w:rsidR="00372627" w:rsidRPr="00AE3C1B">
        <w:rPr>
          <w:rFonts w:ascii="Times New Roman" w:hAnsi="Times New Roman" w:cs="Times New Roman"/>
          <w:sz w:val="24"/>
          <w:szCs w:val="24"/>
        </w:rPr>
        <w:t xml:space="preserve"> did not differ significantly between prostate cancer patients and healthy controls. </w:t>
      </w:r>
      <w:r w:rsidR="00ED7FF3">
        <w:rPr>
          <w:rFonts w:ascii="Times New Roman" w:hAnsi="Times New Roman" w:cs="Times New Roman"/>
          <w:sz w:val="24"/>
          <w:szCs w:val="24"/>
        </w:rPr>
        <w:t>However, t</w:t>
      </w:r>
      <w:r w:rsidR="0067426D">
        <w:rPr>
          <w:rFonts w:ascii="Times New Roman" w:hAnsi="Times New Roman" w:cs="Times New Roman"/>
          <w:sz w:val="24"/>
          <w:szCs w:val="24"/>
        </w:rPr>
        <w:t xml:space="preserve">he </w:t>
      </w:r>
      <w:proofErr w:type="spellStart"/>
      <w:proofErr w:type="gramStart"/>
      <w:r w:rsidR="0067426D">
        <w:rPr>
          <w:rFonts w:ascii="Times New Roman" w:hAnsi="Times New Roman" w:cs="Times New Roman"/>
          <w:sz w:val="24"/>
          <w:szCs w:val="24"/>
        </w:rPr>
        <w:t>pearson</w:t>
      </w:r>
      <w:proofErr w:type="spellEnd"/>
      <w:proofErr w:type="gramEnd"/>
      <w:r w:rsidR="0067426D">
        <w:rPr>
          <w:rFonts w:ascii="Times New Roman" w:hAnsi="Times New Roman" w:cs="Times New Roman"/>
          <w:sz w:val="24"/>
          <w:szCs w:val="24"/>
        </w:rPr>
        <w:t xml:space="preserve"> correlation</w:t>
      </w:r>
      <w:r w:rsidR="0067426D" w:rsidRPr="0067426D">
        <w:rPr>
          <w:rFonts w:ascii="Times New Roman" w:hAnsi="Times New Roman" w:cs="Times New Roman"/>
          <w:sz w:val="24"/>
          <w:szCs w:val="24"/>
        </w:rPr>
        <w:t xml:space="preserve"> results suggest a meaningful interplay between SPOP, AR, and SRC-3 in t</w:t>
      </w:r>
      <w:r w:rsidR="0067426D">
        <w:rPr>
          <w:rFonts w:ascii="Times New Roman" w:hAnsi="Times New Roman" w:cs="Times New Roman"/>
          <w:sz w:val="24"/>
          <w:szCs w:val="24"/>
        </w:rPr>
        <w:t xml:space="preserve">he context of prostate cancer. </w:t>
      </w:r>
      <w:r w:rsidR="00372627" w:rsidRPr="00AE3C1B">
        <w:rPr>
          <w:rFonts w:ascii="Times New Roman" w:hAnsi="Times New Roman" w:cs="Times New Roman"/>
          <w:bCs/>
          <w:sz w:val="24"/>
          <w:szCs w:val="24"/>
        </w:rPr>
        <w:t xml:space="preserve">The </w:t>
      </w:r>
      <w:r w:rsidR="00372627" w:rsidRPr="00AE3C1B">
        <w:rPr>
          <w:rFonts w:ascii="Times New Roman" w:hAnsi="Times New Roman" w:cs="Times New Roman"/>
          <w:bCs/>
          <w:sz w:val="24"/>
          <w:szCs w:val="24"/>
        </w:rPr>
        <w:lastRenderedPageBreak/>
        <w:t xml:space="preserve">computational analyses identified four compounds from </w:t>
      </w:r>
      <w:proofErr w:type="spellStart"/>
      <w:r w:rsidR="00372627" w:rsidRPr="00AE3C1B">
        <w:rPr>
          <w:rFonts w:ascii="Times New Roman" w:hAnsi="Times New Roman" w:cs="Times New Roman"/>
          <w:bCs/>
          <w:i/>
          <w:sz w:val="24"/>
          <w:szCs w:val="24"/>
        </w:rPr>
        <w:t>Caesalpinia</w:t>
      </w:r>
      <w:proofErr w:type="spellEnd"/>
      <w:r w:rsidR="00372627" w:rsidRPr="00AE3C1B">
        <w:rPr>
          <w:rFonts w:ascii="Times New Roman" w:hAnsi="Times New Roman" w:cs="Times New Roman"/>
          <w:bCs/>
          <w:i/>
          <w:sz w:val="24"/>
          <w:szCs w:val="24"/>
        </w:rPr>
        <w:t xml:space="preserve"> </w:t>
      </w:r>
      <w:proofErr w:type="spellStart"/>
      <w:r w:rsidR="00372627" w:rsidRPr="00AE3C1B">
        <w:rPr>
          <w:rFonts w:ascii="Times New Roman" w:hAnsi="Times New Roman" w:cs="Times New Roman"/>
          <w:bCs/>
          <w:i/>
          <w:sz w:val="24"/>
          <w:szCs w:val="24"/>
        </w:rPr>
        <w:t>bonduc</w:t>
      </w:r>
      <w:proofErr w:type="spellEnd"/>
      <w:r w:rsidR="00372627" w:rsidRPr="00AE3C1B">
        <w:rPr>
          <w:rFonts w:ascii="Times New Roman" w:hAnsi="Times New Roman" w:cs="Times New Roman"/>
          <w:sz w:val="24"/>
          <w:szCs w:val="24"/>
        </w:rPr>
        <w:t xml:space="preserve"> with </w:t>
      </w:r>
      <w:proofErr w:type="spellStart"/>
      <w:r w:rsidR="00372627" w:rsidRPr="00AE3C1B">
        <w:rPr>
          <w:rFonts w:ascii="Times New Roman" w:hAnsi="Times New Roman" w:cs="Times New Roman"/>
          <w:sz w:val="24"/>
          <w:szCs w:val="24"/>
        </w:rPr>
        <w:t>favorable</w:t>
      </w:r>
      <w:proofErr w:type="spellEnd"/>
      <w:r w:rsidR="00372627" w:rsidRPr="00AE3C1B">
        <w:rPr>
          <w:rFonts w:ascii="Times New Roman" w:hAnsi="Times New Roman" w:cs="Times New Roman"/>
          <w:sz w:val="24"/>
          <w:szCs w:val="24"/>
        </w:rPr>
        <w:t xml:space="preserve"> physicochemical properties, drug-likeness, and potential binding affinities to mutated SPOP and AR-V7.</w:t>
      </w:r>
      <w:r w:rsidR="002D4C34">
        <w:rPr>
          <w:rFonts w:ascii="Times New Roman" w:hAnsi="Times New Roman" w:cs="Times New Roman"/>
          <w:sz w:val="24"/>
          <w:szCs w:val="24"/>
        </w:rPr>
        <w:t xml:space="preserve"> </w:t>
      </w:r>
      <w:r w:rsidR="002D4C34" w:rsidRPr="002D4C34">
        <w:rPr>
          <w:rFonts w:ascii="Times New Roman" w:hAnsi="Times New Roman" w:cs="Times New Roman"/>
          <w:sz w:val="24"/>
          <w:szCs w:val="24"/>
        </w:rPr>
        <w:t xml:space="preserve">The standard drugs </w:t>
      </w:r>
      <w:proofErr w:type="spellStart"/>
      <w:r w:rsidR="002D4C34" w:rsidRPr="002D4C34">
        <w:rPr>
          <w:rFonts w:ascii="Times New Roman" w:hAnsi="Times New Roman" w:cs="Times New Roman"/>
          <w:sz w:val="24"/>
          <w:szCs w:val="24"/>
        </w:rPr>
        <w:t>Enzalutamide</w:t>
      </w:r>
      <w:proofErr w:type="spellEnd"/>
      <w:r w:rsidR="002D4C34" w:rsidRPr="002D4C34">
        <w:rPr>
          <w:rFonts w:ascii="Times New Roman" w:hAnsi="Times New Roman" w:cs="Times New Roman"/>
          <w:sz w:val="24"/>
          <w:szCs w:val="24"/>
        </w:rPr>
        <w:t xml:space="preserve"> and </w:t>
      </w:r>
      <w:proofErr w:type="spellStart"/>
      <w:r w:rsidR="002D4C34" w:rsidRPr="002D4C34">
        <w:rPr>
          <w:rFonts w:ascii="Times New Roman" w:hAnsi="Times New Roman" w:cs="Times New Roman"/>
          <w:sz w:val="24"/>
          <w:szCs w:val="24"/>
        </w:rPr>
        <w:t>Apalutamide</w:t>
      </w:r>
      <w:proofErr w:type="spellEnd"/>
      <w:r w:rsidR="002D4C34" w:rsidRPr="002D4C34">
        <w:rPr>
          <w:rFonts w:ascii="Times New Roman" w:hAnsi="Times New Roman" w:cs="Times New Roman"/>
          <w:sz w:val="24"/>
          <w:szCs w:val="24"/>
        </w:rPr>
        <w:t xml:space="preserve"> are both used in the treatment of prostate cancer, particularly in cases where the disease has progressed despite initial hormone therapy. </w:t>
      </w:r>
      <w:proofErr w:type="spellStart"/>
      <w:r w:rsidR="002D4C34" w:rsidRPr="002D4C34">
        <w:rPr>
          <w:rFonts w:ascii="Times New Roman" w:hAnsi="Times New Roman" w:cs="Times New Roman"/>
          <w:sz w:val="24"/>
          <w:szCs w:val="24"/>
        </w:rPr>
        <w:t>Enzalutamide</w:t>
      </w:r>
      <w:proofErr w:type="spellEnd"/>
      <w:r w:rsidR="002D4C34" w:rsidRPr="002D4C34">
        <w:rPr>
          <w:rFonts w:ascii="Times New Roman" w:hAnsi="Times New Roman" w:cs="Times New Roman"/>
          <w:sz w:val="24"/>
          <w:szCs w:val="24"/>
        </w:rPr>
        <w:t xml:space="preserve"> is a </w:t>
      </w:r>
      <w:proofErr w:type="spellStart"/>
      <w:r w:rsidR="002D4C34" w:rsidRPr="002D4C34">
        <w:rPr>
          <w:rFonts w:ascii="Times New Roman" w:hAnsi="Times New Roman" w:cs="Times New Roman"/>
          <w:sz w:val="24"/>
          <w:szCs w:val="24"/>
        </w:rPr>
        <w:t>nonsteroidal</w:t>
      </w:r>
      <w:proofErr w:type="spellEnd"/>
      <w:r w:rsidR="002D4C34" w:rsidRPr="002D4C34">
        <w:rPr>
          <w:rFonts w:ascii="Times New Roman" w:hAnsi="Times New Roman" w:cs="Times New Roman"/>
          <w:sz w:val="24"/>
          <w:szCs w:val="24"/>
        </w:rPr>
        <w:t xml:space="preserve"> </w:t>
      </w:r>
      <w:proofErr w:type="spellStart"/>
      <w:r w:rsidR="002D4C34" w:rsidRPr="002D4C34">
        <w:rPr>
          <w:rFonts w:ascii="Times New Roman" w:hAnsi="Times New Roman" w:cs="Times New Roman"/>
          <w:sz w:val="24"/>
          <w:szCs w:val="24"/>
        </w:rPr>
        <w:t>antiandrogen</w:t>
      </w:r>
      <w:proofErr w:type="spellEnd"/>
      <w:r w:rsidR="002D4C34" w:rsidRPr="002D4C34">
        <w:rPr>
          <w:rFonts w:ascii="Times New Roman" w:hAnsi="Times New Roman" w:cs="Times New Roman"/>
          <w:sz w:val="24"/>
          <w:szCs w:val="24"/>
        </w:rPr>
        <w:t xml:space="preserve"> that inhibits the androgen receptor (AR) and is approved for the treatment of metastatic castration-re</w:t>
      </w:r>
      <w:r w:rsidR="0067426D">
        <w:rPr>
          <w:rFonts w:ascii="Times New Roman" w:hAnsi="Times New Roman" w:cs="Times New Roman"/>
          <w:sz w:val="24"/>
          <w:szCs w:val="24"/>
        </w:rPr>
        <w:t>sistant prostate cancer (</w:t>
      </w:r>
      <w:proofErr w:type="spellStart"/>
      <w:r w:rsidR="0067426D">
        <w:rPr>
          <w:rFonts w:ascii="Times New Roman" w:hAnsi="Times New Roman" w:cs="Times New Roman"/>
          <w:sz w:val="24"/>
          <w:szCs w:val="24"/>
        </w:rPr>
        <w:t>mCRPC</w:t>
      </w:r>
      <w:proofErr w:type="spellEnd"/>
      <w:r w:rsidR="0067426D">
        <w:rPr>
          <w:rFonts w:ascii="Times New Roman" w:hAnsi="Times New Roman" w:cs="Times New Roman"/>
          <w:sz w:val="24"/>
          <w:szCs w:val="24"/>
        </w:rPr>
        <w:t>)</w:t>
      </w:r>
      <w:r w:rsidR="002D4C34" w:rsidRPr="002D4C34">
        <w:rPr>
          <w:rFonts w:ascii="Times New Roman" w:hAnsi="Times New Roman" w:cs="Times New Roman"/>
          <w:sz w:val="24"/>
          <w:szCs w:val="24"/>
        </w:rPr>
        <w:t>. </w:t>
      </w:r>
      <w:proofErr w:type="spellStart"/>
      <w:r w:rsidR="002D4C34" w:rsidRPr="002D4C34">
        <w:rPr>
          <w:rFonts w:ascii="Times New Roman" w:hAnsi="Times New Roman" w:cs="Times New Roman"/>
          <w:sz w:val="24"/>
          <w:szCs w:val="24"/>
        </w:rPr>
        <w:t>Apalutamide</w:t>
      </w:r>
      <w:proofErr w:type="spellEnd"/>
      <w:r w:rsidR="002D4C34" w:rsidRPr="002D4C34">
        <w:rPr>
          <w:rFonts w:ascii="Times New Roman" w:hAnsi="Times New Roman" w:cs="Times New Roman"/>
          <w:sz w:val="24"/>
          <w:szCs w:val="24"/>
        </w:rPr>
        <w:t>, on the other hand, is a second-generation androgen receptor inhibitor that is also appr</w:t>
      </w:r>
      <w:r w:rsidR="00933FD3">
        <w:rPr>
          <w:rFonts w:ascii="Times New Roman" w:hAnsi="Times New Roman" w:cs="Times New Roman"/>
          <w:sz w:val="24"/>
          <w:szCs w:val="24"/>
        </w:rPr>
        <w:t xml:space="preserve">oved for the treatment of </w:t>
      </w:r>
      <w:proofErr w:type="spellStart"/>
      <w:r w:rsidR="00933FD3">
        <w:rPr>
          <w:rFonts w:ascii="Times New Roman" w:hAnsi="Times New Roman" w:cs="Times New Roman"/>
          <w:sz w:val="24"/>
          <w:szCs w:val="24"/>
        </w:rPr>
        <w:t>mCRPC</w:t>
      </w:r>
      <w:proofErr w:type="spellEnd"/>
      <w:r w:rsidR="002D4C34" w:rsidRPr="002D4C34">
        <w:rPr>
          <w:rFonts w:ascii="Times New Roman" w:hAnsi="Times New Roman" w:cs="Times New Roman"/>
          <w:sz w:val="24"/>
          <w:szCs w:val="24"/>
        </w:rPr>
        <w:t>.</w:t>
      </w:r>
      <w:r w:rsidR="002D4C34">
        <w:rPr>
          <w:rFonts w:ascii="Times New Roman" w:hAnsi="Times New Roman" w:cs="Times New Roman"/>
          <w:sz w:val="24"/>
          <w:szCs w:val="24"/>
        </w:rPr>
        <w:t xml:space="preserve"> </w:t>
      </w:r>
      <w:r w:rsidR="002D4C34" w:rsidRPr="002D4C34">
        <w:rPr>
          <w:rFonts w:ascii="Times New Roman" w:hAnsi="Times New Roman" w:cs="Times New Roman"/>
          <w:sz w:val="24"/>
          <w:szCs w:val="24"/>
        </w:rPr>
        <w:t xml:space="preserve">In this study, the performance of the novel compounds isolated from </w:t>
      </w:r>
      <w:proofErr w:type="spellStart"/>
      <w:r w:rsidR="002D4C34" w:rsidRPr="002D4C34">
        <w:rPr>
          <w:rFonts w:ascii="Times New Roman" w:hAnsi="Times New Roman" w:cs="Times New Roman"/>
          <w:i/>
          <w:sz w:val="24"/>
          <w:szCs w:val="24"/>
        </w:rPr>
        <w:t>Caesalpinia</w:t>
      </w:r>
      <w:proofErr w:type="spellEnd"/>
      <w:r w:rsidR="002D4C34" w:rsidRPr="002D4C34">
        <w:rPr>
          <w:rFonts w:ascii="Times New Roman" w:hAnsi="Times New Roman" w:cs="Times New Roman"/>
          <w:i/>
          <w:sz w:val="24"/>
          <w:szCs w:val="24"/>
        </w:rPr>
        <w:t xml:space="preserve"> </w:t>
      </w:r>
      <w:proofErr w:type="spellStart"/>
      <w:r w:rsidR="002D4C34" w:rsidRPr="002D4C34">
        <w:rPr>
          <w:rFonts w:ascii="Times New Roman" w:hAnsi="Times New Roman" w:cs="Times New Roman"/>
          <w:i/>
          <w:sz w:val="24"/>
          <w:szCs w:val="24"/>
        </w:rPr>
        <w:t>bonduc</w:t>
      </w:r>
      <w:proofErr w:type="spellEnd"/>
      <w:r w:rsidR="002D4C34" w:rsidRPr="002D4C34">
        <w:rPr>
          <w:rFonts w:ascii="Times New Roman" w:hAnsi="Times New Roman" w:cs="Times New Roman"/>
          <w:sz w:val="24"/>
          <w:szCs w:val="24"/>
        </w:rPr>
        <w:t xml:space="preserve">, was compared to that of </w:t>
      </w:r>
      <w:proofErr w:type="spellStart"/>
      <w:r w:rsidR="002D4C34" w:rsidRPr="002D4C34">
        <w:rPr>
          <w:rFonts w:ascii="Times New Roman" w:hAnsi="Times New Roman" w:cs="Times New Roman"/>
          <w:sz w:val="24"/>
          <w:szCs w:val="24"/>
        </w:rPr>
        <w:t>Enzalutamide</w:t>
      </w:r>
      <w:proofErr w:type="spellEnd"/>
      <w:r w:rsidR="002D4C34" w:rsidRPr="002D4C34">
        <w:rPr>
          <w:rFonts w:ascii="Times New Roman" w:hAnsi="Times New Roman" w:cs="Times New Roman"/>
          <w:sz w:val="24"/>
          <w:szCs w:val="24"/>
        </w:rPr>
        <w:t xml:space="preserve"> and </w:t>
      </w:r>
      <w:proofErr w:type="spellStart"/>
      <w:r w:rsidR="002D4C34" w:rsidRPr="002D4C34">
        <w:rPr>
          <w:rFonts w:ascii="Times New Roman" w:hAnsi="Times New Roman" w:cs="Times New Roman"/>
          <w:sz w:val="24"/>
          <w:szCs w:val="24"/>
        </w:rPr>
        <w:t>Apalutamide</w:t>
      </w:r>
      <w:proofErr w:type="spellEnd"/>
      <w:r w:rsidR="002D4C34" w:rsidRPr="002D4C34">
        <w:rPr>
          <w:rFonts w:ascii="Times New Roman" w:hAnsi="Times New Roman" w:cs="Times New Roman"/>
          <w:sz w:val="24"/>
          <w:szCs w:val="24"/>
        </w:rPr>
        <w:t xml:space="preserve">. </w:t>
      </w:r>
      <w:r w:rsidR="0067426D">
        <w:rPr>
          <w:rFonts w:ascii="Times New Roman" w:hAnsi="Times New Roman" w:cs="Times New Roman"/>
          <w:sz w:val="24"/>
          <w:szCs w:val="24"/>
        </w:rPr>
        <w:t>COMP3</w:t>
      </w:r>
      <w:r w:rsidR="002D4C34" w:rsidRPr="002D4C34">
        <w:rPr>
          <w:rFonts w:ascii="Times New Roman" w:hAnsi="Times New Roman" w:cs="Times New Roman"/>
          <w:sz w:val="24"/>
          <w:szCs w:val="24"/>
        </w:rPr>
        <w:t xml:space="preserve"> demonstrated the highest binding affinity to mutated SPOP with a calculated val</w:t>
      </w:r>
      <w:r w:rsidR="0067426D">
        <w:rPr>
          <w:rFonts w:ascii="Times New Roman" w:hAnsi="Times New Roman" w:cs="Times New Roman"/>
          <w:sz w:val="24"/>
          <w:szCs w:val="24"/>
        </w:rPr>
        <w:t>ue of -7.1 kcal/</w:t>
      </w:r>
      <w:proofErr w:type="spellStart"/>
      <w:r w:rsidR="0067426D">
        <w:rPr>
          <w:rFonts w:ascii="Times New Roman" w:hAnsi="Times New Roman" w:cs="Times New Roman"/>
          <w:sz w:val="24"/>
          <w:szCs w:val="24"/>
        </w:rPr>
        <w:t>mol</w:t>
      </w:r>
      <w:proofErr w:type="spellEnd"/>
      <w:r w:rsidR="0067426D">
        <w:rPr>
          <w:rFonts w:ascii="Times New Roman" w:hAnsi="Times New Roman" w:cs="Times New Roman"/>
          <w:sz w:val="24"/>
          <w:szCs w:val="24"/>
        </w:rPr>
        <w:t>, while COMP2</w:t>
      </w:r>
      <w:r w:rsidR="002D4C34" w:rsidRPr="002D4C34">
        <w:rPr>
          <w:rFonts w:ascii="Times New Roman" w:hAnsi="Times New Roman" w:cs="Times New Roman"/>
          <w:sz w:val="24"/>
          <w:szCs w:val="24"/>
        </w:rPr>
        <w:t xml:space="preserve"> showed the highest binding affinity to AR-V7 with a calculated value of -7.6 kcal/mol</w:t>
      </w:r>
      <w:r w:rsidR="002D4C34">
        <w:rPr>
          <w:rFonts w:ascii="Times New Roman" w:hAnsi="Times New Roman" w:cs="Times New Roman"/>
          <w:sz w:val="24"/>
          <w:szCs w:val="24"/>
        </w:rPr>
        <w:t xml:space="preserve">. </w:t>
      </w:r>
      <w:r w:rsidR="002D4C34" w:rsidRPr="002D4C34">
        <w:rPr>
          <w:rFonts w:ascii="Times New Roman" w:hAnsi="Times New Roman" w:cs="Times New Roman"/>
          <w:sz w:val="24"/>
          <w:szCs w:val="24"/>
        </w:rPr>
        <w:t>The findin</w:t>
      </w:r>
      <w:r w:rsidR="0067426D">
        <w:rPr>
          <w:rFonts w:ascii="Times New Roman" w:hAnsi="Times New Roman" w:cs="Times New Roman"/>
          <w:sz w:val="24"/>
          <w:szCs w:val="24"/>
        </w:rPr>
        <w:t>gs suggest that COMP2 and 3</w:t>
      </w:r>
      <w:r w:rsidR="002D4C34" w:rsidRPr="002D4C34">
        <w:rPr>
          <w:rFonts w:ascii="Times New Roman" w:hAnsi="Times New Roman" w:cs="Times New Roman"/>
          <w:sz w:val="24"/>
          <w:szCs w:val="24"/>
        </w:rPr>
        <w:t xml:space="preserve"> have the potential to be developed as targeted therapeutics for prostate cancer patients with mutated SPOP and AR-V7.</w:t>
      </w:r>
      <w:r w:rsidR="002D4C34">
        <w:rPr>
          <w:rFonts w:ascii="Times New Roman" w:hAnsi="Times New Roman" w:cs="Times New Roman"/>
          <w:sz w:val="24"/>
          <w:szCs w:val="24"/>
        </w:rPr>
        <w:t xml:space="preserve"> </w:t>
      </w:r>
      <w:r w:rsidR="002D4C34" w:rsidRPr="002D4C34">
        <w:rPr>
          <w:rFonts w:ascii="Times New Roman" w:hAnsi="Times New Roman" w:cs="Times New Roman"/>
          <w:sz w:val="24"/>
          <w:szCs w:val="24"/>
        </w:rPr>
        <w:t xml:space="preserve">The stronger binding affinities and diverse interaction profiles of these compounds compared to </w:t>
      </w:r>
      <w:proofErr w:type="spellStart"/>
      <w:r w:rsidR="002D4C34" w:rsidRPr="002D4C34">
        <w:rPr>
          <w:rFonts w:ascii="Times New Roman" w:hAnsi="Times New Roman" w:cs="Times New Roman"/>
          <w:sz w:val="24"/>
          <w:szCs w:val="24"/>
        </w:rPr>
        <w:t>Enzalutamide</w:t>
      </w:r>
      <w:proofErr w:type="spellEnd"/>
      <w:r w:rsidR="002D4C34" w:rsidRPr="002D4C34">
        <w:rPr>
          <w:rFonts w:ascii="Times New Roman" w:hAnsi="Times New Roman" w:cs="Times New Roman"/>
          <w:sz w:val="24"/>
          <w:szCs w:val="24"/>
        </w:rPr>
        <w:t xml:space="preserve"> and </w:t>
      </w:r>
      <w:proofErr w:type="spellStart"/>
      <w:r w:rsidR="002D4C34" w:rsidRPr="002D4C34">
        <w:rPr>
          <w:rFonts w:ascii="Times New Roman" w:hAnsi="Times New Roman" w:cs="Times New Roman"/>
          <w:sz w:val="24"/>
          <w:szCs w:val="24"/>
        </w:rPr>
        <w:t>Apalutamide</w:t>
      </w:r>
      <w:proofErr w:type="spellEnd"/>
      <w:r w:rsidR="002D4C34" w:rsidRPr="002D4C34">
        <w:rPr>
          <w:rFonts w:ascii="Times New Roman" w:hAnsi="Times New Roman" w:cs="Times New Roman"/>
          <w:sz w:val="24"/>
          <w:szCs w:val="24"/>
        </w:rPr>
        <w:t xml:space="preserve"> indicate that they may be more effective in targeting these </w:t>
      </w:r>
      <w:proofErr w:type="spellStart"/>
      <w:r w:rsidR="002D4C34" w:rsidRPr="002D4C34">
        <w:rPr>
          <w:rFonts w:ascii="Times New Roman" w:hAnsi="Times New Roman" w:cs="Times New Roman"/>
          <w:sz w:val="24"/>
          <w:szCs w:val="24"/>
        </w:rPr>
        <w:t>undruggable</w:t>
      </w:r>
      <w:proofErr w:type="spellEnd"/>
      <w:r w:rsidR="002D4C34" w:rsidRPr="002D4C34">
        <w:rPr>
          <w:rFonts w:ascii="Times New Roman" w:hAnsi="Times New Roman" w:cs="Times New Roman"/>
          <w:sz w:val="24"/>
          <w:szCs w:val="24"/>
        </w:rPr>
        <w:t xml:space="preserve"> proteins.</w:t>
      </w:r>
    </w:p>
    <w:p w:rsidR="00F77439" w:rsidRPr="002E7761" w:rsidRDefault="00F77439" w:rsidP="006D3376">
      <w:pPr>
        <w:spacing w:line="360" w:lineRule="auto"/>
        <w:rPr>
          <w:rFonts w:ascii="Times New Roman" w:hAnsi="Times New Roman" w:cs="Times New Roman"/>
          <w:b/>
          <w:sz w:val="24"/>
          <w:szCs w:val="24"/>
        </w:rPr>
      </w:pPr>
      <w:r w:rsidRPr="002E7761">
        <w:rPr>
          <w:rFonts w:ascii="Times New Roman" w:hAnsi="Times New Roman" w:cs="Times New Roman"/>
          <w:b/>
          <w:sz w:val="24"/>
          <w:szCs w:val="24"/>
        </w:rPr>
        <w:t>6.2 Conclusion</w:t>
      </w:r>
    </w:p>
    <w:p w:rsidR="00F77439" w:rsidRPr="002E7761" w:rsidRDefault="00372627" w:rsidP="00B938B7">
      <w:pPr>
        <w:spacing w:line="360" w:lineRule="auto"/>
        <w:jc w:val="both"/>
        <w:rPr>
          <w:rFonts w:ascii="Times New Roman" w:hAnsi="Times New Roman" w:cs="Times New Roman"/>
          <w:sz w:val="24"/>
          <w:szCs w:val="24"/>
        </w:rPr>
      </w:pPr>
      <w:r w:rsidRPr="00AE3C1B">
        <w:rPr>
          <w:rFonts w:ascii="Times New Roman" w:hAnsi="Times New Roman" w:cs="Times New Roman"/>
          <w:sz w:val="24"/>
          <w:szCs w:val="24"/>
        </w:rPr>
        <w:t>In conclusion, while there are no significant differen</w:t>
      </w:r>
      <w:r w:rsidR="00AE496F">
        <w:rPr>
          <w:rFonts w:ascii="Times New Roman" w:hAnsi="Times New Roman" w:cs="Times New Roman"/>
          <w:sz w:val="24"/>
          <w:szCs w:val="24"/>
        </w:rPr>
        <w:t>ces in the overall level</w:t>
      </w:r>
      <w:r w:rsidRPr="00AE3C1B">
        <w:rPr>
          <w:rFonts w:ascii="Times New Roman" w:hAnsi="Times New Roman" w:cs="Times New Roman"/>
          <w:sz w:val="24"/>
          <w:szCs w:val="24"/>
        </w:rPr>
        <w:t xml:space="preserve">s of SPOP, AR, and SRC-3 proteins between prostate cancer patients and healthy controls, </w:t>
      </w:r>
      <w:r w:rsidR="008B2782" w:rsidRPr="00AE3C1B">
        <w:rPr>
          <w:rFonts w:ascii="Times New Roman" w:hAnsi="Times New Roman" w:cs="Times New Roman"/>
          <w:sz w:val="24"/>
          <w:szCs w:val="24"/>
        </w:rPr>
        <w:t>the</w:t>
      </w:r>
      <w:r w:rsidR="008B2782">
        <w:rPr>
          <w:rFonts w:ascii="Times New Roman" w:hAnsi="Times New Roman" w:cs="Times New Roman"/>
          <w:sz w:val="24"/>
          <w:szCs w:val="24"/>
        </w:rPr>
        <w:t xml:space="preserve"> </w:t>
      </w:r>
      <w:r w:rsidR="008B2782">
        <w:rPr>
          <w:rFonts w:ascii="Segoe UI" w:hAnsi="Segoe UI" w:cs="Segoe UI"/>
        </w:rPr>
        <w:t>Pearson correlation analysis s</w:t>
      </w:r>
      <w:r w:rsidR="008B2782" w:rsidRPr="008B2782">
        <w:rPr>
          <w:rFonts w:ascii="Times New Roman" w:hAnsi="Times New Roman" w:cs="Times New Roman"/>
          <w:sz w:val="24"/>
          <w:szCs w:val="24"/>
        </w:rPr>
        <w:t>uggest a meaningful interplay between SPOP, AR, and SRC-3 in the context of prostate cancer</w:t>
      </w:r>
      <w:r w:rsidR="008B2782">
        <w:rPr>
          <w:rFonts w:ascii="Times New Roman" w:hAnsi="Times New Roman" w:cs="Times New Roman"/>
          <w:sz w:val="24"/>
          <w:szCs w:val="24"/>
        </w:rPr>
        <w:t>. The positive, strong and significant relationship between</w:t>
      </w:r>
      <w:r>
        <w:rPr>
          <w:rFonts w:ascii="Times New Roman" w:hAnsi="Times New Roman" w:cs="Times New Roman"/>
          <w:sz w:val="24"/>
          <w:szCs w:val="24"/>
        </w:rPr>
        <w:t xml:space="preserve"> AR</w:t>
      </w:r>
      <w:r w:rsidR="006C465B">
        <w:rPr>
          <w:rFonts w:ascii="Times New Roman" w:hAnsi="Times New Roman" w:cs="Times New Roman"/>
          <w:sz w:val="24"/>
          <w:szCs w:val="24"/>
        </w:rPr>
        <w:t xml:space="preserve"> and SRC-3 levels </w:t>
      </w:r>
      <w:r w:rsidRPr="00AE3C1B">
        <w:rPr>
          <w:rFonts w:ascii="Times New Roman" w:hAnsi="Times New Roman" w:cs="Times New Roman"/>
          <w:sz w:val="24"/>
          <w:szCs w:val="24"/>
        </w:rPr>
        <w:t xml:space="preserve">suggest that the interplay and balance of these proteins may be crucial in understanding the underlying biology and potential therapeutic targets in prostate cancer. The computational analyses highlight the potential therapeutic properties of specific compounds from </w:t>
      </w:r>
      <w:proofErr w:type="spellStart"/>
      <w:r w:rsidRPr="00AE3C1B">
        <w:rPr>
          <w:rFonts w:ascii="Times New Roman" w:hAnsi="Times New Roman" w:cs="Times New Roman"/>
          <w:i/>
          <w:sz w:val="24"/>
          <w:szCs w:val="24"/>
        </w:rPr>
        <w:t>Caesalpinia</w:t>
      </w:r>
      <w:proofErr w:type="spellEnd"/>
      <w:r w:rsidRPr="00AE3C1B">
        <w:rPr>
          <w:rFonts w:ascii="Times New Roman" w:hAnsi="Times New Roman" w:cs="Times New Roman"/>
          <w:i/>
          <w:sz w:val="24"/>
          <w:szCs w:val="24"/>
        </w:rPr>
        <w:t xml:space="preserve"> </w:t>
      </w:r>
      <w:proofErr w:type="spellStart"/>
      <w:r w:rsidRPr="00AE3C1B">
        <w:rPr>
          <w:rFonts w:ascii="Times New Roman" w:hAnsi="Times New Roman" w:cs="Times New Roman"/>
          <w:i/>
          <w:sz w:val="24"/>
          <w:szCs w:val="24"/>
        </w:rPr>
        <w:t>bonduc</w:t>
      </w:r>
      <w:proofErr w:type="spellEnd"/>
      <w:r w:rsidRPr="00AE3C1B">
        <w:rPr>
          <w:rFonts w:ascii="Times New Roman" w:hAnsi="Times New Roman" w:cs="Times New Roman"/>
          <w:sz w:val="24"/>
          <w:szCs w:val="24"/>
        </w:rPr>
        <w:t xml:space="preserve">, which warrant </w:t>
      </w:r>
      <w:r w:rsidRPr="002E7761">
        <w:rPr>
          <w:rFonts w:ascii="Times New Roman" w:hAnsi="Times New Roman" w:cs="Times New Roman"/>
          <w:sz w:val="24"/>
          <w:szCs w:val="24"/>
          <w:lang w:val="en-US"/>
        </w:rPr>
        <w:t xml:space="preserve">further experimental validation and optimization of these compounds, potentially leading to the development of effective therapies targeting Mutated SPOP and AR-V7 in prostate cancer patients. The compounds exhibit potential for targeting AR activity, which is crucial for the proliferation and survival of prostate cancer cells. This suggests a potential role in addressing anti-androgen resistance in prostate cancer. </w:t>
      </w:r>
      <w:r>
        <w:rPr>
          <w:rFonts w:ascii="Times New Roman" w:hAnsi="Times New Roman" w:cs="Times New Roman"/>
          <w:sz w:val="24"/>
          <w:szCs w:val="24"/>
          <w:lang w:val="en-US"/>
        </w:rPr>
        <w:t>Also</w:t>
      </w:r>
      <w:r w:rsidRPr="002E7761">
        <w:rPr>
          <w:rFonts w:ascii="Times New Roman" w:hAnsi="Times New Roman" w:cs="Times New Roman"/>
          <w:sz w:val="24"/>
          <w:szCs w:val="24"/>
          <w:lang w:val="en-US"/>
        </w:rPr>
        <w:t xml:space="preserve">, this study highlights the significance of natural products in drug discovery and development and underscores the need for further research in this </w:t>
      </w:r>
      <w:r>
        <w:rPr>
          <w:rFonts w:ascii="Times New Roman" w:hAnsi="Times New Roman" w:cs="Times New Roman"/>
          <w:sz w:val="24"/>
          <w:szCs w:val="24"/>
          <w:lang w:val="en-US"/>
        </w:rPr>
        <w:t>area</w:t>
      </w:r>
      <w:r w:rsidR="00F77439" w:rsidRPr="002E7761">
        <w:rPr>
          <w:rFonts w:ascii="Times New Roman" w:hAnsi="Times New Roman" w:cs="Times New Roman"/>
          <w:sz w:val="24"/>
          <w:szCs w:val="24"/>
          <w:lang w:val="en-US"/>
        </w:rPr>
        <w:t>.</w:t>
      </w:r>
    </w:p>
    <w:p w:rsidR="00F77439" w:rsidRPr="002E7761" w:rsidRDefault="00F77439" w:rsidP="00B938B7">
      <w:pPr>
        <w:spacing w:line="360" w:lineRule="auto"/>
        <w:jc w:val="both"/>
        <w:rPr>
          <w:rFonts w:ascii="Times New Roman" w:hAnsi="Times New Roman" w:cs="Times New Roman"/>
          <w:b/>
          <w:sz w:val="24"/>
          <w:szCs w:val="24"/>
        </w:rPr>
      </w:pPr>
      <w:r w:rsidRPr="002E7761">
        <w:rPr>
          <w:rFonts w:ascii="Times New Roman" w:hAnsi="Times New Roman" w:cs="Times New Roman"/>
          <w:b/>
          <w:sz w:val="24"/>
          <w:szCs w:val="24"/>
        </w:rPr>
        <w:t>6.3 Contributions to Knowledge</w:t>
      </w:r>
    </w:p>
    <w:p w:rsidR="00F77439" w:rsidRPr="002E7761" w:rsidRDefault="00372627" w:rsidP="00B938B7">
      <w:pPr>
        <w:spacing w:line="360" w:lineRule="auto"/>
        <w:jc w:val="both"/>
        <w:rPr>
          <w:rFonts w:ascii="Times New Roman" w:hAnsi="Times New Roman" w:cs="Times New Roman"/>
          <w:sz w:val="24"/>
          <w:szCs w:val="24"/>
        </w:rPr>
      </w:pPr>
      <w:r w:rsidRPr="00AE3C1B">
        <w:rPr>
          <w:rFonts w:ascii="Times New Roman" w:hAnsi="Times New Roman" w:cs="Times New Roman"/>
          <w:sz w:val="24"/>
          <w:szCs w:val="24"/>
        </w:rPr>
        <w:lastRenderedPageBreak/>
        <w:t xml:space="preserve">This study contributes to the existing knowledge in the following ways: </w:t>
      </w:r>
      <w:r w:rsidRPr="00AE3C1B">
        <w:rPr>
          <w:rFonts w:ascii="Times New Roman" w:hAnsi="Times New Roman" w:cs="Times New Roman"/>
          <w:bCs/>
          <w:sz w:val="24"/>
          <w:szCs w:val="24"/>
        </w:rPr>
        <w:t xml:space="preserve">It highlights the importance of </w:t>
      </w:r>
      <w:proofErr w:type="spellStart"/>
      <w:r w:rsidRPr="00AE3C1B">
        <w:rPr>
          <w:rFonts w:ascii="Times New Roman" w:hAnsi="Times New Roman" w:cs="Times New Roman"/>
          <w:bCs/>
          <w:sz w:val="24"/>
          <w:szCs w:val="24"/>
        </w:rPr>
        <w:t>analyzing</w:t>
      </w:r>
      <w:proofErr w:type="spellEnd"/>
      <w:r w:rsidRPr="00AE3C1B">
        <w:rPr>
          <w:rFonts w:ascii="Times New Roman" w:hAnsi="Times New Roman" w:cs="Times New Roman"/>
          <w:bCs/>
          <w:sz w:val="24"/>
          <w:szCs w:val="24"/>
        </w:rPr>
        <w:t xml:space="preserve"> protein concentration differences</w:t>
      </w:r>
      <w:r w:rsidRPr="00AE3C1B">
        <w:rPr>
          <w:rFonts w:ascii="Times New Roman" w:hAnsi="Times New Roman" w:cs="Times New Roman"/>
          <w:sz w:val="24"/>
          <w:szCs w:val="24"/>
        </w:rPr>
        <w:t> within prostate cancer patient gro</w:t>
      </w:r>
      <w:r w:rsidR="006C465B">
        <w:rPr>
          <w:rFonts w:ascii="Times New Roman" w:hAnsi="Times New Roman" w:cs="Times New Roman"/>
          <w:sz w:val="24"/>
          <w:szCs w:val="24"/>
        </w:rPr>
        <w:t xml:space="preserve">ups </w:t>
      </w:r>
      <w:r w:rsidRPr="00AE3C1B">
        <w:rPr>
          <w:rFonts w:ascii="Times New Roman" w:hAnsi="Times New Roman" w:cs="Times New Roman"/>
          <w:sz w:val="24"/>
          <w:szCs w:val="24"/>
        </w:rPr>
        <w:t>and non-cancer samples. This approach provides more insights into the underlying biology of the disease.</w:t>
      </w:r>
      <w:r w:rsidR="00812F76" w:rsidRPr="00812F76">
        <w:t xml:space="preserve"> </w:t>
      </w:r>
      <w:r w:rsidR="00812F76" w:rsidRPr="00812F76">
        <w:rPr>
          <w:rFonts w:ascii="Times New Roman" w:hAnsi="Times New Roman" w:cs="Times New Roman"/>
          <w:sz w:val="24"/>
          <w:szCs w:val="24"/>
        </w:rPr>
        <w:t>Our study’s more important findings seem to be to targeting of the "</w:t>
      </w:r>
      <w:proofErr w:type="spellStart"/>
      <w:r w:rsidR="00812F76" w:rsidRPr="00812F76">
        <w:rPr>
          <w:rFonts w:ascii="Times New Roman" w:hAnsi="Times New Roman" w:cs="Times New Roman"/>
          <w:sz w:val="24"/>
          <w:szCs w:val="24"/>
        </w:rPr>
        <w:t>undruggable</w:t>
      </w:r>
      <w:proofErr w:type="spellEnd"/>
      <w:r w:rsidR="00812F76" w:rsidRPr="00812F76">
        <w:rPr>
          <w:rFonts w:ascii="Times New Roman" w:hAnsi="Times New Roman" w:cs="Times New Roman"/>
          <w:sz w:val="24"/>
          <w:szCs w:val="24"/>
        </w:rPr>
        <w:t xml:space="preserve">" AR-V7 and mutant SPOP, which drive prostate cancer into the CRPC. The compounds </w:t>
      </w:r>
      <w:proofErr w:type="spellStart"/>
      <w:r w:rsidR="00C126ED" w:rsidRPr="00812F76">
        <w:rPr>
          <w:rFonts w:ascii="Times New Roman" w:hAnsi="Times New Roman" w:cs="Times New Roman"/>
          <w:sz w:val="24"/>
          <w:szCs w:val="24"/>
        </w:rPr>
        <w:t>Luteolin</w:t>
      </w:r>
      <w:proofErr w:type="spellEnd"/>
      <w:r w:rsidR="00C126ED" w:rsidRPr="00812F76">
        <w:rPr>
          <w:rFonts w:ascii="Times New Roman" w:hAnsi="Times New Roman" w:cs="Times New Roman"/>
          <w:sz w:val="24"/>
          <w:szCs w:val="24"/>
        </w:rPr>
        <w:t xml:space="preserve">, quercetin-3-methyl ether </w:t>
      </w:r>
      <w:r w:rsidR="00C126ED">
        <w:rPr>
          <w:rFonts w:ascii="Times New Roman" w:hAnsi="Times New Roman" w:cs="Times New Roman"/>
          <w:sz w:val="24"/>
          <w:szCs w:val="24"/>
        </w:rPr>
        <w:t xml:space="preserve">and </w:t>
      </w:r>
      <w:r w:rsidR="00812F76" w:rsidRPr="00812F76">
        <w:rPr>
          <w:rFonts w:ascii="Times New Roman" w:hAnsi="Times New Roman" w:cs="Times New Roman"/>
          <w:sz w:val="24"/>
          <w:szCs w:val="24"/>
        </w:rPr>
        <w:t>7</w:t>
      </w:r>
      <w:proofErr w:type="gramStart"/>
      <w:r w:rsidR="00812F76" w:rsidRPr="00812F76">
        <w:rPr>
          <w:rFonts w:ascii="Times New Roman" w:hAnsi="Times New Roman" w:cs="Times New Roman"/>
          <w:sz w:val="24"/>
          <w:szCs w:val="24"/>
        </w:rPr>
        <w:t>,4'</w:t>
      </w:r>
      <w:proofErr w:type="gramEnd"/>
      <w:r w:rsidR="00812F76" w:rsidRPr="00812F76">
        <w:rPr>
          <w:rFonts w:ascii="Times New Roman" w:hAnsi="Times New Roman" w:cs="Times New Roman"/>
          <w:sz w:val="24"/>
          <w:szCs w:val="24"/>
        </w:rPr>
        <w:t>-dihydrox</w:t>
      </w:r>
      <w:r w:rsidR="00C126ED">
        <w:rPr>
          <w:rFonts w:ascii="Times New Roman" w:hAnsi="Times New Roman" w:cs="Times New Roman"/>
          <w:sz w:val="24"/>
          <w:szCs w:val="24"/>
        </w:rPr>
        <w:t xml:space="preserve">y-3,11-dehydrohomoisoflavanone </w:t>
      </w:r>
      <w:r w:rsidR="00812F76" w:rsidRPr="00812F76">
        <w:rPr>
          <w:rFonts w:ascii="Times New Roman" w:hAnsi="Times New Roman" w:cs="Times New Roman"/>
          <w:sz w:val="24"/>
          <w:szCs w:val="24"/>
        </w:rPr>
        <w:t xml:space="preserve">exhibit promising binding affinities and interaction profiles compared to the standard drugs </w:t>
      </w:r>
      <w:proofErr w:type="spellStart"/>
      <w:r w:rsidR="00812F76" w:rsidRPr="00812F76">
        <w:rPr>
          <w:rFonts w:ascii="Times New Roman" w:hAnsi="Times New Roman" w:cs="Times New Roman"/>
          <w:sz w:val="24"/>
          <w:szCs w:val="24"/>
        </w:rPr>
        <w:t>Enzalutamide</w:t>
      </w:r>
      <w:proofErr w:type="spellEnd"/>
      <w:r w:rsidR="00812F76" w:rsidRPr="00812F76">
        <w:rPr>
          <w:rFonts w:ascii="Times New Roman" w:hAnsi="Times New Roman" w:cs="Times New Roman"/>
          <w:sz w:val="24"/>
          <w:szCs w:val="24"/>
        </w:rPr>
        <w:t xml:space="preserve"> and </w:t>
      </w:r>
      <w:proofErr w:type="spellStart"/>
      <w:r w:rsidR="00812F76" w:rsidRPr="00812F76">
        <w:rPr>
          <w:rFonts w:ascii="Times New Roman" w:hAnsi="Times New Roman" w:cs="Times New Roman"/>
          <w:sz w:val="24"/>
          <w:szCs w:val="24"/>
        </w:rPr>
        <w:t>Apalutamide</w:t>
      </w:r>
      <w:proofErr w:type="spellEnd"/>
      <w:r w:rsidR="00812F76" w:rsidRPr="00812F76">
        <w:rPr>
          <w:rFonts w:ascii="Times New Roman" w:hAnsi="Times New Roman" w:cs="Times New Roman"/>
          <w:sz w:val="24"/>
          <w:szCs w:val="24"/>
        </w:rPr>
        <w:t>, indicating their potential as candidates for further evaluation as novel prostate cancer therapies</w:t>
      </w:r>
      <w:r w:rsidR="00812F76">
        <w:rPr>
          <w:rFonts w:ascii="Times New Roman" w:hAnsi="Times New Roman" w:cs="Times New Roman"/>
          <w:sz w:val="24"/>
          <w:szCs w:val="24"/>
        </w:rPr>
        <w:t>.</w:t>
      </w:r>
      <w:r w:rsidRPr="00AE3C1B">
        <w:rPr>
          <w:rFonts w:ascii="Times New Roman" w:hAnsi="Times New Roman" w:cs="Times New Roman"/>
          <w:sz w:val="24"/>
          <w:szCs w:val="24"/>
        </w:rPr>
        <w:t xml:space="preserve"> These findings pave the way for further investigation into the developm</w:t>
      </w:r>
      <w:r>
        <w:rPr>
          <w:rFonts w:ascii="Times New Roman" w:hAnsi="Times New Roman" w:cs="Times New Roman"/>
          <w:sz w:val="24"/>
          <w:szCs w:val="24"/>
        </w:rPr>
        <w:t>ent of novel therapeutic agents</w:t>
      </w:r>
      <w:r w:rsidR="00AF66BA" w:rsidRPr="003909D6">
        <w:rPr>
          <w:rFonts w:ascii="Times New Roman" w:hAnsi="Times New Roman" w:cs="Times New Roman"/>
          <w:sz w:val="24"/>
          <w:szCs w:val="24"/>
        </w:rPr>
        <w:t>.</w:t>
      </w:r>
    </w:p>
    <w:p w:rsidR="00F77439" w:rsidRDefault="00F77439" w:rsidP="00B938B7">
      <w:pPr>
        <w:spacing w:line="360" w:lineRule="auto"/>
        <w:jc w:val="both"/>
        <w:rPr>
          <w:rFonts w:ascii="Times New Roman" w:hAnsi="Times New Roman" w:cs="Times New Roman"/>
          <w:b/>
          <w:sz w:val="24"/>
          <w:szCs w:val="24"/>
        </w:rPr>
      </w:pPr>
      <w:r w:rsidRPr="002E7761">
        <w:rPr>
          <w:rFonts w:ascii="Times New Roman" w:hAnsi="Times New Roman" w:cs="Times New Roman"/>
          <w:b/>
          <w:sz w:val="24"/>
          <w:szCs w:val="24"/>
        </w:rPr>
        <w:t>6.4 Recommendations</w:t>
      </w:r>
    </w:p>
    <w:p w:rsidR="00372627" w:rsidRPr="00AE3C1B" w:rsidRDefault="00372627" w:rsidP="00372627">
      <w:pPr>
        <w:spacing w:line="360" w:lineRule="auto"/>
        <w:jc w:val="both"/>
        <w:rPr>
          <w:rFonts w:ascii="Times New Roman" w:hAnsi="Times New Roman" w:cs="Times New Roman"/>
          <w:sz w:val="24"/>
          <w:szCs w:val="24"/>
        </w:rPr>
      </w:pPr>
      <w:r w:rsidRPr="00AE3C1B">
        <w:rPr>
          <w:rFonts w:ascii="Times New Roman" w:hAnsi="Times New Roman" w:cs="Times New Roman"/>
          <w:sz w:val="24"/>
          <w:szCs w:val="24"/>
        </w:rPr>
        <w:t>Based on the findings of this study, the following recommendations are made:</w:t>
      </w:r>
    </w:p>
    <w:p w:rsidR="00372627" w:rsidRPr="00AE3C1B" w:rsidRDefault="00372627" w:rsidP="00372627">
      <w:pPr>
        <w:numPr>
          <w:ilvl w:val="0"/>
          <w:numId w:val="24"/>
        </w:numPr>
        <w:spacing w:line="360" w:lineRule="auto"/>
        <w:jc w:val="both"/>
        <w:rPr>
          <w:rFonts w:ascii="Times New Roman" w:hAnsi="Times New Roman" w:cs="Times New Roman"/>
          <w:sz w:val="24"/>
          <w:szCs w:val="24"/>
        </w:rPr>
      </w:pPr>
      <w:r w:rsidRPr="00AE3C1B">
        <w:rPr>
          <w:rFonts w:ascii="Times New Roman" w:hAnsi="Times New Roman" w:cs="Times New Roman"/>
          <w:bCs/>
          <w:sz w:val="24"/>
          <w:szCs w:val="24"/>
        </w:rPr>
        <w:t>Further research is needed to elucidate the functional significance</w:t>
      </w:r>
      <w:r w:rsidR="006C465B">
        <w:rPr>
          <w:rFonts w:ascii="Times New Roman" w:hAnsi="Times New Roman" w:cs="Times New Roman"/>
          <w:sz w:val="24"/>
          <w:szCs w:val="24"/>
        </w:rPr>
        <w:t> of the strong positives correlations of</w:t>
      </w:r>
      <w:r w:rsidRPr="00AE3C1B">
        <w:rPr>
          <w:rFonts w:ascii="Times New Roman" w:hAnsi="Times New Roman" w:cs="Times New Roman"/>
          <w:sz w:val="24"/>
          <w:szCs w:val="24"/>
        </w:rPr>
        <w:t xml:space="preserve"> SPOP, AR, </w:t>
      </w:r>
      <w:r w:rsidR="006C465B">
        <w:rPr>
          <w:rFonts w:ascii="Times New Roman" w:hAnsi="Times New Roman" w:cs="Times New Roman"/>
          <w:sz w:val="24"/>
          <w:szCs w:val="24"/>
        </w:rPr>
        <w:t>and SRC-3 protein levels</w:t>
      </w:r>
      <w:r w:rsidRPr="00AE3C1B">
        <w:rPr>
          <w:rFonts w:ascii="Times New Roman" w:hAnsi="Times New Roman" w:cs="Times New Roman"/>
          <w:sz w:val="24"/>
          <w:szCs w:val="24"/>
        </w:rPr>
        <w:t>. This may involve in-vitro and in-vivo studies to understand</w:t>
      </w:r>
      <w:r w:rsidR="006C465B">
        <w:rPr>
          <w:rFonts w:ascii="Times New Roman" w:hAnsi="Times New Roman" w:cs="Times New Roman"/>
          <w:sz w:val="24"/>
          <w:szCs w:val="24"/>
        </w:rPr>
        <w:t xml:space="preserve"> the impact of these </w:t>
      </w:r>
      <w:proofErr w:type="spellStart"/>
      <w:r w:rsidR="006C465B">
        <w:rPr>
          <w:rFonts w:ascii="Times New Roman" w:hAnsi="Times New Roman" w:cs="Times New Roman"/>
          <w:sz w:val="24"/>
          <w:szCs w:val="24"/>
        </w:rPr>
        <w:t>reltionships</w:t>
      </w:r>
      <w:proofErr w:type="spellEnd"/>
      <w:r w:rsidRPr="00AE3C1B">
        <w:rPr>
          <w:rFonts w:ascii="Times New Roman" w:hAnsi="Times New Roman" w:cs="Times New Roman"/>
          <w:sz w:val="24"/>
          <w:szCs w:val="24"/>
        </w:rPr>
        <w:t xml:space="preserve"> on </w:t>
      </w:r>
      <w:proofErr w:type="spellStart"/>
      <w:r w:rsidRPr="00AE3C1B">
        <w:rPr>
          <w:rFonts w:ascii="Times New Roman" w:hAnsi="Times New Roman" w:cs="Times New Roman"/>
          <w:sz w:val="24"/>
          <w:szCs w:val="24"/>
        </w:rPr>
        <w:t>tumor</w:t>
      </w:r>
      <w:proofErr w:type="spellEnd"/>
      <w:r w:rsidRPr="00AE3C1B">
        <w:rPr>
          <w:rFonts w:ascii="Times New Roman" w:hAnsi="Times New Roman" w:cs="Times New Roman"/>
          <w:sz w:val="24"/>
          <w:szCs w:val="24"/>
        </w:rPr>
        <w:t xml:space="preserve"> progression and treatment response.</w:t>
      </w:r>
    </w:p>
    <w:p w:rsidR="00372627" w:rsidRPr="00AE3C1B" w:rsidRDefault="00372627" w:rsidP="00372627">
      <w:pPr>
        <w:numPr>
          <w:ilvl w:val="0"/>
          <w:numId w:val="24"/>
        </w:numPr>
        <w:spacing w:line="360" w:lineRule="auto"/>
        <w:jc w:val="both"/>
        <w:rPr>
          <w:rFonts w:ascii="Times New Roman" w:hAnsi="Times New Roman" w:cs="Times New Roman"/>
          <w:sz w:val="24"/>
          <w:szCs w:val="24"/>
        </w:rPr>
      </w:pPr>
      <w:r w:rsidRPr="00AE3C1B">
        <w:rPr>
          <w:rFonts w:ascii="Times New Roman" w:hAnsi="Times New Roman" w:cs="Times New Roman"/>
          <w:bCs/>
          <w:sz w:val="24"/>
          <w:szCs w:val="24"/>
        </w:rPr>
        <w:t xml:space="preserve">Larger cohort </w:t>
      </w:r>
      <w:r>
        <w:rPr>
          <w:rFonts w:ascii="Times New Roman" w:hAnsi="Times New Roman" w:cs="Times New Roman"/>
          <w:bCs/>
          <w:sz w:val="24"/>
          <w:szCs w:val="24"/>
        </w:rPr>
        <w:t xml:space="preserve">proteomic profiling </w:t>
      </w:r>
      <w:r w:rsidRPr="00AE3C1B">
        <w:rPr>
          <w:rFonts w:ascii="Times New Roman" w:hAnsi="Times New Roman" w:cs="Times New Roman"/>
          <w:bCs/>
          <w:sz w:val="24"/>
          <w:szCs w:val="24"/>
        </w:rPr>
        <w:t>studies should be conducted</w:t>
      </w:r>
      <w:r w:rsidRPr="00AE3C1B">
        <w:rPr>
          <w:rFonts w:ascii="Times New Roman" w:hAnsi="Times New Roman" w:cs="Times New Roman"/>
          <w:sz w:val="24"/>
          <w:szCs w:val="24"/>
        </w:rPr>
        <w:t> to validate this study's findings and establish the clinical relevance of protein profiling in prostate cancer management</w:t>
      </w:r>
      <w:r w:rsidR="006C465B">
        <w:rPr>
          <w:rFonts w:ascii="Times New Roman" w:hAnsi="Times New Roman" w:cs="Times New Roman"/>
          <w:sz w:val="24"/>
          <w:szCs w:val="24"/>
        </w:rPr>
        <w:t xml:space="preserve"> in this population</w:t>
      </w:r>
      <w:r w:rsidRPr="00AE3C1B">
        <w:rPr>
          <w:rFonts w:ascii="Times New Roman" w:hAnsi="Times New Roman" w:cs="Times New Roman"/>
          <w:sz w:val="24"/>
          <w:szCs w:val="24"/>
        </w:rPr>
        <w:t>.</w:t>
      </w:r>
    </w:p>
    <w:p w:rsidR="00372627" w:rsidRPr="00AE3C1B" w:rsidRDefault="00372627" w:rsidP="00372627">
      <w:pPr>
        <w:numPr>
          <w:ilvl w:val="0"/>
          <w:numId w:val="24"/>
        </w:numPr>
        <w:spacing w:line="360" w:lineRule="auto"/>
        <w:jc w:val="both"/>
        <w:rPr>
          <w:rFonts w:ascii="Times New Roman" w:hAnsi="Times New Roman" w:cs="Times New Roman"/>
          <w:sz w:val="24"/>
          <w:szCs w:val="24"/>
        </w:rPr>
      </w:pPr>
      <w:r w:rsidRPr="00AE3C1B">
        <w:rPr>
          <w:rFonts w:ascii="Times New Roman" w:hAnsi="Times New Roman" w:cs="Times New Roman"/>
          <w:bCs/>
          <w:sz w:val="24"/>
          <w:szCs w:val="24"/>
        </w:rPr>
        <w:t>Preclinical studies should be carried out</w:t>
      </w:r>
      <w:r w:rsidRPr="00AE3C1B">
        <w:rPr>
          <w:rFonts w:ascii="Times New Roman" w:hAnsi="Times New Roman" w:cs="Times New Roman"/>
          <w:sz w:val="24"/>
          <w:szCs w:val="24"/>
        </w:rPr>
        <w:t xml:space="preserve"> to evaluate the therapeutic potential of compounds like </w:t>
      </w:r>
      <w:proofErr w:type="spellStart"/>
      <w:r w:rsidRPr="00AE3C1B">
        <w:rPr>
          <w:rFonts w:ascii="Times New Roman" w:hAnsi="Times New Roman" w:cs="Times New Roman"/>
          <w:sz w:val="24"/>
          <w:szCs w:val="24"/>
        </w:rPr>
        <w:t>Luteolin</w:t>
      </w:r>
      <w:proofErr w:type="spellEnd"/>
      <w:r w:rsidRPr="00AE3C1B">
        <w:rPr>
          <w:rFonts w:ascii="Times New Roman" w:hAnsi="Times New Roman" w:cs="Times New Roman"/>
          <w:sz w:val="24"/>
          <w:szCs w:val="24"/>
        </w:rPr>
        <w:t xml:space="preserve"> and 7</w:t>
      </w:r>
      <w:proofErr w:type="gramStart"/>
      <w:r w:rsidRPr="00AE3C1B">
        <w:rPr>
          <w:rFonts w:ascii="Times New Roman" w:hAnsi="Times New Roman" w:cs="Times New Roman"/>
          <w:sz w:val="24"/>
          <w:szCs w:val="24"/>
        </w:rPr>
        <w:t>,4'</w:t>
      </w:r>
      <w:proofErr w:type="gramEnd"/>
      <w:r w:rsidRPr="00AE3C1B">
        <w:rPr>
          <w:rFonts w:ascii="Times New Roman" w:hAnsi="Times New Roman" w:cs="Times New Roman"/>
          <w:sz w:val="24"/>
          <w:szCs w:val="24"/>
        </w:rPr>
        <w:t>-dihydroxy-3,11-dehydrohomoisoflavanone, which showed promising results in the computational analyses. These studies should assess these compounds' efficacy, safety, and pharmacokinetic properties.</w:t>
      </w:r>
    </w:p>
    <w:p w:rsidR="00372627" w:rsidRPr="00AE3C1B" w:rsidRDefault="00372627" w:rsidP="00372627">
      <w:pPr>
        <w:numPr>
          <w:ilvl w:val="0"/>
          <w:numId w:val="24"/>
        </w:numPr>
        <w:spacing w:line="360" w:lineRule="auto"/>
        <w:jc w:val="both"/>
        <w:rPr>
          <w:rFonts w:ascii="Times New Roman" w:hAnsi="Times New Roman" w:cs="Times New Roman"/>
          <w:sz w:val="24"/>
          <w:szCs w:val="24"/>
        </w:rPr>
      </w:pPr>
      <w:r w:rsidRPr="00AE3C1B">
        <w:rPr>
          <w:rFonts w:ascii="Times New Roman" w:hAnsi="Times New Roman" w:cs="Times New Roman"/>
          <w:bCs/>
          <w:sz w:val="24"/>
          <w:szCs w:val="24"/>
        </w:rPr>
        <w:t>If the preclinical studies are successful</w:t>
      </w:r>
      <w:r w:rsidRPr="00AE3C1B">
        <w:rPr>
          <w:rFonts w:ascii="Times New Roman" w:hAnsi="Times New Roman" w:cs="Times New Roman"/>
          <w:sz w:val="24"/>
          <w:szCs w:val="24"/>
        </w:rPr>
        <w:t>, clinical trials should be designed to evaluate the efficacy of these compo</w:t>
      </w:r>
      <w:r w:rsidR="00987628">
        <w:rPr>
          <w:rFonts w:ascii="Times New Roman" w:hAnsi="Times New Roman" w:cs="Times New Roman"/>
          <w:sz w:val="24"/>
          <w:szCs w:val="24"/>
        </w:rPr>
        <w:t xml:space="preserve">unds in </w:t>
      </w:r>
      <w:proofErr w:type="spellStart"/>
      <w:r w:rsidR="00987628">
        <w:rPr>
          <w:rFonts w:ascii="Times New Roman" w:hAnsi="Times New Roman" w:cs="Times New Roman"/>
          <w:sz w:val="24"/>
          <w:szCs w:val="24"/>
        </w:rPr>
        <w:t>PCa</w:t>
      </w:r>
      <w:proofErr w:type="spellEnd"/>
      <w:r w:rsidR="00987628">
        <w:rPr>
          <w:rFonts w:ascii="Times New Roman" w:hAnsi="Times New Roman" w:cs="Times New Roman"/>
          <w:sz w:val="24"/>
          <w:szCs w:val="24"/>
        </w:rPr>
        <w:t xml:space="preserve"> patients</w:t>
      </w:r>
      <w:r w:rsidRPr="00AE3C1B">
        <w:rPr>
          <w:rFonts w:ascii="Times New Roman" w:hAnsi="Times New Roman" w:cs="Times New Roman"/>
          <w:sz w:val="24"/>
          <w:szCs w:val="24"/>
        </w:rPr>
        <w:t>, particularly those with SPOP mutations or AR-V7 expression.</w:t>
      </w:r>
    </w:p>
    <w:p w:rsidR="00DC25D3" w:rsidRDefault="00372627" w:rsidP="00B938B7">
      <w:pPr>
        <w:numPr>
          <w:ilvl w:val="0"/>
          <w:numId w:val="24"/>
        </w:numPr>
        <w:spacing w:line="360" w:lineRule="auto"/>
        <w:jc w:val="both"/>
        <w:rPr>
          <w:rFonts w:ascii="Times New Roman" w:hAnsi="Times New Roman" w:cs="Times New Roman"/>
          <w:sz w:val="24"/>
          <w:szCs w:val="24"/>
        </w:rPr>
      </w:pPr>
      <w:r w:rsidRPr="00AE3C1B">
        <w:rPr>
          <w:rFonts w:ascii="Times New Roman" w:hAnsi="Times New Roman" w:cs="Times New Roman"/>
          <w:bCs/>
          <w:sz w:val="24"/>
          <w:szCs w:val="24"/>
        </w:rPr>
        <w:t>The development of personalized treatment approaches</w:t>
      </w:r>
      <w:r w:rsidRPr="00AE3C1B">
        <w:rPr>
          <w:rFonts w:ascii="Times New Roman" w:hAnsi="Times New Roman" w:cs="Times New Roman"/>
          <w:sz w:val="24"/>
          <w:szCs w:val="24"/>
        </w:rPr>
        <w:t> based on individual protein profiles should be explored, as this may lead to more effective and targeted therapi</w:t>
      </w:r>
      <w:r>
        <w:rPr>
          <w:rFonts w:ascii="Times New Roman" w:hAnsi="Times New Roman" w:cs="Times New Roman"/>
          <w:sz w:val="24"/>
          <w:szCs w:val="24"/>
        </w:rPr>
        <w:t>es for prostate cancer patients</w:t>
      </w:r>
      <w:r w:rsidR="00AF66BA" w:rsidRPr="00372627">
        <w:rPr>
          <w:rFonts w:ascii="Times New Roman" w:hAnsi="Times New Roman" w:cs="Times New Roman"/>
          <w:sz w:val="24"/>
          <w:szCs w:val="24"/>
        </w:rPr>
        <w:t>.</w:t>
      </w:r>
    </w:p>
    <w:p w:rsidR="00B161DB" w:rsidRDefault="00B161DB" w:rsidP="00B161DB">
      <w:pPr>
        <w:spacing w:line="360" w:lineRule="auto"/>
        <w:jc w:val="both"/>
        <w:rPr>
          <w:rFonts w:ascii="Times New Roman" w:hAnsi="Times New Roman" w:cs="Times New Roman"/>
          <w:sz w:val="24"/>
          <w:szCs w:val="24"/>
        </w:rPr>
      </w:pPr>
    </w:p>
    <w:p w:rsidR="00B161DB" w:rsidRDefault="00B161DB" w:rsidP="00B161DB">
      <w:pPr>
        <w:spacing w:line="360" w:lineRule="auto"/>
        <w:jc w:val="both"/>
        <w:rPr>
          <w:rFonts w:ascii="Times New Roman" w:hAnsi="Times New Roman" w:cs="Times New Roman"/>
          <w:sz w:val="24"/>
          <w:szCs w:val="24"/>
        </w:rPr>
      </w:pPr>
    </w:p>
    <w:p w:rsidR="00B161DB" w:rsidRDefault="00B161DB" w:rsidP="00B161DB">
      <w:pPr>
        <w:spacing w:line="360" w:lineRule="auto"/>
        <w:jc w:val="both"/>
        <w:rPr>
          <w:rFonts w:ascii="Times New Roman" w:hAnsi="Times New Roman" w:cs="Times New Roman"/>
          <w:sz w:val="24"/>
          <w:szCs w:val="24"/>
        </w:rPr>
      </w:pPr>
    </w:p>
    <w:p w:rsidR="00B161DB" w:rsidRDefault="00B161DB" w:rsidP="00B161DB">
      <w:pPr>
        <w:spacing w:line="360" w:lineRule="auto"/>
        <w:jc w:val="both"/>
        <w:rPr>
          <w:rFonts w:ascii="Times New Roman" w:hAnsi="Times New Roman" w:cs="Times New Roman"/>
          <w:sz w:val="24"/>
          <w:szCs w:val="24"/>
        </w:rPr>
      </w:pPr>
    </w:p>
    <w:p w:rsidR="00B161DB" w:rsidRDefault="00B161DB" w:rsidP="00B161DB">
      <w:pPr>
        <w:spacing w:line="360" w:lineRule="auto"/>
        <w:jc w:val="both"/>
        <w:rPr>
          <w:rFonts w:ascii="Times New Roman" w:hAnsi="Times New Roman" w:cs="Times New Roman"/>
          <w:sz w:val="24"/>
          <w:szCs w:val="24"/>
        </w:rPr>
      </w:pPr>
    </w:p>
    <w:p w:rsidR="00987628" w:rsidRDefault="00987628" w:rsidP="00B161DB">
      <w:pPr>
        <w:spacing w:line="360" w:lineRule="auto"/>
        <w:jc w:val="both"/>
        <w:rPr>
          <w:rFonts w:ascii="Times New Roman" w:hAnsi="Times New Roman" w:cs="Times New Roman"/>
          <w:sz w:val="24"/>
          <w:szCs w:val="24"/>
        </w:rPr>
      </w:pPr>
    </w:p>
    <w:p w:rsidR="00987628" w:rsidRDefault="00987628" w:rsidP="00B161DB">
      <w:pPr>
        <w:spacing w:line="360" w:lineRule="auto"/>
        <w:jc w:val="both"/>
        <w:rPr>
          <w:rFonts w:ascii="Times New Roman" w:hAnsi="Times New Roman" w:cs="Times New Roman"/>
          <w:sz w:val="24"/>
          <w:szCs w:val="24"/>
        </w:rPr>
      </w:pPr>
    </w:p>
    <w:p w:rsidR="00B161DB" w:rsidRDefault="00B161DB" w:rsidP="00B161DB">
      <w:pPr>
        <w:spacing w:line="360" w:lineRule="auto"/>
        <w:jc w:val="both"/>
        <w:rPr>
          <w:rFonts w:ascii="Times New Roman" w:hAnsi="Times New Roman" w:cs="Times New Roman"/>
          <w:sz w:val="24"/>
          <w:szCs w:val="24"/>
        </w:rPr>
      </w:pPr>
    </w:p>
    <w:p w:rsidR="00F16C29" w:rsidRPr="00244140" w:rsidRDefault="00F16C29" w:rsidP="00B161DB">
      <w:pPr>
        <w:spacing w:line="360" w:lineRule="auto"/>
        <w:jc w:val="both"/>
        <w:rPr>
          <w:rFonts w:ascii="Times New Roman" w:hAnsi="Times New Roman" w:cs="Times New Roman"/>
          <w:sz w:val="24"/>
          <w:szCs w:val="24"/>
        </w:rPr>
      </w:pPr>
    </w:p>
    <w:p w:rsidR="00F77439" w:rsidRPr="002E7761" w:rsidRDefault="00F77439" w:rsidP="00AF66BA">
      <w:pPr>
        <w:spacing w:line="276" w:lineRule="auto"/>
        <w:jc w:val="center"/>
        <w:rPr>
          <w:rFonts w:ascii="Times New Roman" w:hAnsi="Times New Roman" w:cs="Times New Roman"/>
          <w:b/>
          <w:sz w:val="24"/>
          <w:szCs w:val="24"/>
        </w:rPr>
      </w:pPr>
      <w:r w:rsidRPr="002E7761">
        <w:rPr>
          <w:rFonts w:ascii="Times New Roman" w:hAnsi="Times New Roman" w:cs="Times New Roman"/>
          <w:b/>
          <w:sz w:val="24"/>
          <w:szCs w:val="24"/>
        </w:rPr>
        <w:t>REFERENCES</w:t>
      </w:r>
    </w:p>
    <w:p w:rsidR="00F12E86" w:rsidRPr="00F04B2E" w:rsidRDefault="00F77439"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fldChar w:fldCharType="begin"/>
      </w:r>
      <w:r w:rsidR="00A316B3" w:rsidRPr="00F04B2E">
        <w:rPr>
          <w:rFonts w:ascii="Times New Roman" w:hAnsi="Times New Roman" w:cs="Times New Roman"/>
          <w:sz w:val="24"/>
          <w:szCs w:val="24"/>
        </w:rPr>
        <w:instrText xml:space="preserve"> ADDIN ZOTERO_BIBL {"uncited":[],"omitted":[],"custom":[]} CSL_BIBLIOGRAPHY </w:instrText>
      </w:r>
      <w:r w:rsidRPr="00F04B2E">
        <w:rPr>
          <w:rFonts w:ascii="Times New Roman" w:hAnsi="Times New Roman" w:cs="Times New Roman"/>
          <w:sz w:val="24"/>
          <w:szCs w:val="24"/>
        </w:rPr>
        <w:fldChar w:fldCharType="separate"/>
      </w:r>
      <w:r w:rsidR="00F12E86" w:rsidRPr="00F04B2E">
        <w:rPr>
          <w:rFonts w:ascii="Times New Roman" w:hAnsi="Times New Roman" w:cs="Times New Roman"/>
          <w:sz w:val="24"/>
          <w:szCs w:val="24"/>
        </w:rPr>
        <w:t xml:space="preserve">Aaron, L., Franco, O.E. &amp; Hayward, S.W. (2016) Review of Prostate Anatomy and Embryology and the Etiology of Benign Prostatic Hyperplasia. </w:t>
      </w:r>
      <w:r w:rsidR="00F12E86" w:rsidRPr="00F04B2E">
        <w:rPr>
          <w:rFonts w:ascii="Times New Roman" w:hAnsi="Times New Roman" w:cs="Times New Roman"/>
          <w:i/>
          <w:iCs/>
          <w:sz w:val="24"/>
          <w:szCs w:val="24"/>
        </w:rPr>
        <w:t>Urologic Clinics of North America</w:t>
      </w:r>
      <w:r w:rsidR="00F12E86" w:rsidRPr="00F04B2E">
        <w:rPr>
          <w:rFonts w:ascii="Times New Roman" w:hAnsi="Times New Roman" w:cs="Times New Roman"/>
          <w:sz w:val="24"/>
          <w:szCs w:val="24"/>
        </w:rPr>
        <w:t>. 43 (3), 279–288. doi:10.1016/j.ucl.2016.04.012.</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Abeshouse, A., Ahn, J., Akbani, R., Ally, A., Amin, S., et al. (2015) The Molecular Taxonomy of Primary Prostate Cancer. </w:t>
      </w:r>
      <w:r w:rsidRPr="00F04B2E">
        <w:rPr>
          <w:rFonts w:ascii="Times New Roman" w:hAnsi="Times New Roman" w:cs="Times New Roman"/>
          <w:i/>
          <w:iCs/>
          <w:sz w:val="24"/>
          <w:szCs w:val="24"/>
        </w:rPr>
        <w:t>Cell</w:t>
      </w:r>
      <w:r w:rsidRPr="00F04B2E">
        <w:rPr>
          <w:rFonts w:ascii="Times New Roman" w:hAnsi="Times New Roman" w:cs="Times New Roman"/>
          <w:sz w:val="24"/>
          <w:szCs w:val="24"/>
        </w:rPr>
        <w:t>. 163 (4), 1011–1025. doi:10.1016/j.cell.2015.10.025.</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Abumsimir, B., Mrabti, M., Laraqui, A., Saif, I., Lamsisi, M., Ennaji, Y., Ameur, A., Koraishi, S.I. &amp; Ennaji, M.M. (2021) </w:t>
      </w:r>
      <w:r w:rsidRPr="00F04B2E">
        <w:rPr>
          <w:rFonts w:ascii="Times New Roman" w:hAnsi="Times New Roman" w:cs="Times New Roman"/>
          <w:i/>
          <w:iCs/>
          <w:sz w:val="24"/>
          <w:szCs w:val="24"/>
        </w:rPr>
        <w:t xml:space="preserve">Common genetic alterations of </w:t>
      </w:r>
      <w:r w:rsidRPr="00F04B2E">
        <w:rPr>
          <w:rFonts w:ascii="Times New Roman" w:hAnsi="Times New Roman" w:cs="Times New Roman"/>
          <w:sz w:val="24"/>
          <w:szCs w:val="24"/>
        </w:rPr>
        <w:t>SPOP-MATH</w:t>
      </w:r>
      <w:r w:rsidRPr="00F04B2E">
        <w:rPr>
          <w:rFonts w:ascii="Times New Roman" w:hAnsi="Times New Roman" w:cs="Times New Roman"/>
          <w:i/>
          <w:iCs/>
          <w:sz w:val="24"/>
          <w:szCs w:val="24"/>
        </w:rPr>
        <w:t xml:space="preserve"> domain in prostate cancer tissues and association with pathological tumor characteristics </w:t>
      </w:r>
      <w:r w:rsidRPr="00F04B2E">
        <w:rPr>
          <w:rFonts w:ascii="Times New Roman" w:hAnsi="Times New Roman" w:cs="Times New Roman"/>
          <w:i/>
          <w:iCs/>
          <w:sz w:val="24"/>
          <w:szCs w:val="24"/>
          <w:vertAlign w:val="superscript"/>
        </w:rPr>
        <w:t>*</w:t>
      </w:r>
      <w:r w:rsidRPr="00F04B2E">
        <w:rPr>
          <w:rFonts w:ascii="Times New Roman" w:hAnsi="Times New Roman" w:cs="Times New Roman"/>
          <w:sz w:val="24"/>
          <w:szCs w:val="24"/>
        </w:rPr>
        <w:t>. doi:10.1101/2021.09.09.21263201.</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Alemany, M. (2022) The Roles of Androgens in Humans: Biology, Metabolic Regulation and Health. </w:t>
      </w:r>
      <w:r w:rsidRPr="00F04B2E">
        <w:rPr>
          <w:rFonts w:ascii="Times New Roman" w:hAnsi="Times New Roman" w:cs="Times New Roman"/>
          <w:i/>
          <w:iCs/>
          <w:sz w:val="24"/>
          <w:szCs w:val="24"/>
        </w:rPr>
        <w:t>International Journal of Molecular Sciences</w:t>
      </w:r>
      <w:r w:rsidRPr="00F04B2E">
        <w:rPr>
          <w:rFonts w:ascii="Times New Roman" w:hAnsi="Times New Roman" w:cs="Times New Roman"/>
          <w:sz w:val="24"/>
          <w:szCs w:val="24"/>
        </w:rPr>
        <w:t>. 23 (19), 11952. doi:10.3390/ijms231911952.</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Badal, S., Aiken, W., Morrison, B., Valentine, H., Bryan, S., Gachii, A. &amp; Ragin, C. (2020) Disparities in prostate cancer incidence and mortality rates: Solvable or not? </w:t>
      </w:r>
      <w:r w:rsidRPr="00F04B2E">
        <w:rPr>
          <w:rFonts w:ascii="Times New Roman" w:hAnsi="Times New Roman" w:cs="Times New Roman"/>
          <w:i/>
          <w:iCs/>
          <w:sz w:val="24"/>
          <w:szCs w:val="24"/>
        </w:rPr>
        <w:t>The Prostate</w:t>
      </w:r>
      <w:r w:rsidRPr="00F04B2E">
        <w:rPr>
          <w:rFonts w:ascii="Times New Roman" w:hAnsi="Times New Roman" w:cs="Times New Roman"/>
          <w:sz w:val="24"/>
          <w:szCs w:val="24"/>
        </w:rPr>
        <w:t>. 80 (1), 3–16. doi:10.1002/pros.23923.</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Ban, F., Leblanc, E., Cavga, A.D., Huang, C.-C.F., Flory, M.R., Zhang, F., Chang, M.E.K., Morin, H., Lallous, N., Singh, K., Gleave, M.E., Mohammed, H., Rennie, P.S., Lack, N.A. &amp; Cherkasov, A. (2021) Development of an Androgen Receptor Inhibitor Targeting the N-Terminal Domain of Androgen Receptor for Treatment of Castration Resistant Prostate Cancer. </w:t>
      </w:r>
      <w:r w:rsidRPr="00F04B2E">
        <w:rPr>
          <w:rFonts w:ascii="Times New Roman" w:hAnsi="Times New Roman" w:cs="Times New Roman"/>
          <w:i/>
          <w:iCs/>
          <w:sz w:val="24"/>
          <w:szCs w:val="24"/>
        </w:rPr>
        <w:t>Cancers</w:t>
      </w:r>
      <w:r w:rsidRPr="00F04B2E">
        <w:rPr>
          <w:rFonts w:ascii="Times New Roman" w:hAnsi="Times New Roman" w:cs="Times New Roman"/>
          <w:sz w:val="24"/>
          <w:szCs w:val="24"/>
        </w:rPr>
        <w:t>. 13 (14), 3488. doi:10.3390/cancers13143488.</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Benedetto Tiz, D., Bagnoli, L., Rosati, O., Marini, F., Sancineto, L. &amp; Santi, C. (2022) New Halogen-Containing Drugs Approved by FDA in 2021: An Overview on Their Syntheses and Pharmaceutical Use. </w:t>
      </w:r>
      <w:r w:rsidRPr="00F04B2E">
        <w:rPr>
          <w:rFonts w:ascii="Times New Roman" w:hAnsi="Times New Roman" w:cs="Times New Roman"/>
          <w:i/>
          <w:iCs/>
          <w:sz w:val="24"/>
          <w:szCs w:val="24"/>
        </w:rPr>
        <w:t>Molecules</w:t>
      </w:r>
      <w:r w:rsidRPr="00F04B2E">
        <w:rPr>
          <w:rFonts w:ascii="Times New Roman" w:hAnsi="Times New Roman" w:cs="Times New Roman"/>
          <w:sz w:val="24"/>
          <w:szCs w:val="24"/>
        </w:rPr>
        <w:t>. 27 (5), 1643. doi:10.3390/molecules27051643.</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Bertolo, R., Garisto, J., Bove, P., Mottrie, A. &amp; Rocco, B. (2021) Perioperative Outcomes Between Single-Port and “Multi-Port” Robotic Assisted Radical Prostatectomy: Where do we stand? </w:t>
      </w:r>
      <w:r w:rsidRPr="00F04B2E">
        <w:rPr>
          <w:rFonts w:ascii="Times New Roman" w:hAnsi="Times New Roman" w:cs="Times New Roman"/>
          <w:i/>
          <w:iCs/>
          <w:sz w:val="24"/>
          <w:szCs w:val="24"/>
        </w:rPr>
        <w:t>Urology</w:t>
      </w:r>
      <w:r w:rsidRPr="00F04B2E">
        <w:rPr>
          <w:rFonts w:ascii="Times New Roman" w:hAnsi="Times New Roman" w:cs="Times New Roman"/>
          <w:sz w:val="24"/>
          <w:szCs w:val="24"/>
        </w:rPr>
        <w:t>. 155, 138–143. doi:10.1016/j.urology.2021.06.005.</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lastRenderedPageBreak/>
        <w:t xml:space="preserve">Blattner, M., Liu, D., Robinson, B.D., Huang, D., Poliakov, A., Gao, D., Nataraj, S., Deonarine, L.D., Augello, M.A., Sailer, V., Ponnala, L., Ittmann, M., Chinnaiyan, A.M., Sboner, A., Chen, Y., Rubin, M.A. &amp; Barbieri, C.E. (2017) SPOP Mutation Drives Prostate Tumorigenesis In Vivo through Coordinate Regulation of PI3K/mTOR and AR Signaling. </w:t>
      </w:r>
      <w:r w:rsidRPr="00F04B2E">
        <w:rPr>
          <w:rFonts w:ascii="Times New Roman" w:hAnsi="Times New Roman" w:cs="Times New Roman"/>
          <w:i/>
          <w:iCs/>
          <w:sz w:val="24"/>
          <w:szCs w:val="24"/>
        </w:rPr>
        <w:t>Cancer Cell</w:t>
      </w:r>
      <w:r w:rsidRPr="00F04B2E">
        <w:rPr>
          <w:rFonts w:ascii="Times New Roman" w:hAnsi="Times New Roman" w:cs="Times New Roman"/>
          <w:sz w:val="24"/>
          <w:szCs w:val="24"/>
        </w:rPr>
        <w:t>. 31 (3), 436–451. doi:10.1016/j.ccell.2017.02.004.</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Bosland, M.C., Nettey, O.S., Phillips, A.A., Anunobi, C.C., Akinloye, O., Ekanem, I.A., Bassey, I.E., Mehta, V., Macias, V., Kwast, T.H. &amp; Murphy, A.B. (2021) Prevalence of prostate cancer at autopsy in Nigeria—A preliminary report. </w:t>
      </w:r>
      <w:r w:rsidRPr="00F04B2E">
        <w:rPr>
          <w:rFonts w:ascii="Times New Roman" w:hAnsi="Times New Roman" w:cs="Times New Roman"/>
          <w:i/>
          <w:iCs/>
          <w:sz w:val="24"/>
          <w:szCs w:val="24"/>
        </w:rPr>
        <w:t>The Prostate</w:t>
      </w:r>
      <w:r w:rsidRPr="00F04B2E">
        <w:rPr>
          <w:rFonts w:ascii="Times New Roman" w:hAnsi="Times New Roman" w:cs="Times New Roman"/>
          <w:sz w:val="24"/>
          <w:szCs w:val="24"/>
        </w:rPr>
        <w:t>. 81 (9), 553–559. doi:10.1002/pros.24133.</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Bryant, C.M., Henderson, R.H., Nichols, R.C., Mendenhall, W.M., Hoppe, B.S., et al. (2021) Consensus Statement on Proton Therapy for Prostate Cancer. </w:t>
      </w:r>
      <w:r w:rsidRPr="00F04B2E">
        <w:rPr>
          <w:rFonts w:ascii="Times New Roman" w:hAnsi="Times New Roman" w:cs="Times New Roman"/>
          <w:i/>
          <w:iCs/>
          <w:sz w:val="24"/>
          <w:szCs w:val="24"/>
        </w:rPr>
        <w:t>International Journal of Particle Therapy</w:t>
      </w:r>
      <w:r w:rsidRPr="00F04B2E">
        <w:rPr>
          <w:rFonts w:ascii="Times New Roman" w:hAnsi="Times New Roman" w:cs="Times New Roman"/>
          <w:sz w:val="24"/>
          <w:szCs w:val="24"/>
        </w:rPr>
        <w:t>. 8 (2), 1–16. doi:10.14338/IJPT-20-00031.1.</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Buckles, E., Qian, C., Tadros, A., Majumdar, S., Cvitanovic, J., Zabaleta, J., Estrada, J., Wilson, J. &amp; Liu, W. (2014) Identification of speckle-type POZ protein somatic mutations in African American prostate cancer. </w:t>
      </w:r>
      <w:r w:rsidRPr="00F04B2E">
        <w:rPr>
          <w:rFonts w:ascii="Times New Roman" w:hAnsi="Times New Roman" w:cs="Times New Roman"/>
          <w:i/>
          <w:iCs/>
          <w:sz w:val="24"/>
          <w:szCs w:val="24"/>
        </w:rPr>
        <w:t>Asian Journal of Andrology</w:t>
      </w:r>
      <w:r w:rsidRPr="00F04B2E">
        <w:rPr>
          <w:rFonts w:ascii="Times New Roman" w:hAnsi="Times New Roman" w:cs="Times New Roman"/>
          <w:sz w:val="24"/>
          <w:szCs w:val="24"/>
        </w:rPr>
        <w:t>. 16 (6), 829. doi:10.4103/1008-682X.132470.</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Budipitojo, T., Mahesty, S.R.N., Padeta, I. &amp; Khasanah, L.M. (2020) </w:t>
      </w:r>
      <w:r w:rsidRPr="00F04B2E">
        <w:rPr>
          <w:rFonts w:ascii="Times New Roman" w:hAnsi="Times New Roman" w:cs="Times New Roman"/>
          <w:i/>
          <w:iCs/>
          <w:sz w:val="24"/>
          <w:szCs w:val="24"/>
        </w:rPr>
        <w:t>Reproductive Glands of the Sunda Porcupine (Hystrix Javanica)</w:t>
      </w:r>
      <w:r w:rsidRPr="00F04B2E">
        <w:rPr>
          <w:rFonts w:ascii="Times New Roman" w:hAnsi="Times New Roman" w:cs="Times New Roman"/>
          <w:sz w:val="24"/>
          <w:szCs w:val="24"/>
        </w:rPr>
        <w:t>.</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Carpenter, V., Saleh, T., Min Lee, S., Murray, G., Reed, J., Souers, A., Faber, A.C., Harada, H. &amp; Gewirtz, D.A. (2021) Androgen-deprivation induced senescence in prostate cancer cells is permissive for the development of castration-resistance but susceptible to senolytic therapy. </w:t>
      </w:r>
      <w:r w:rsidRPr="00F04B2E">
        <w:rPr>
          <w:rFonts w:ascii="Times New Roman" w:hAnsi="Times New Roman" w:cs="Times New Roman"/>
          <w:i/>
          <w:iCs/>
          <w:sz w:val="24"/>
          <w:szCs w:val="24"/>
        </w:rPr>
        <w:t>Biochemical Pharmacology</w:t>
      </w:r>
      <w:r w:rsidRPr="00F04B2E">
        <w:rPr>
          <w:rFonts w:ascii="Times New Roman" w:hAnsi="Times New Roman" w:cs="Times New Roman"/>
          <w:sz w:val="24"/>
          <w:szCs w:val="24"/>
        </w:rPr>
        <w:t>. 193, 114765. doi:10.1016/j.bcp.2021.114765.</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Cavalcante, L., Deshmukh, S.K., Ribeiro, J.R., Carneiro, B.A., Dizon, D.S., Angara, K., Mattox, T., Wu, S., Xiu, J., Walker, P., Oberley, M., Nabhan, C., Huang, H. &amp; Antonarakis, E.S. (2023) Opposing Roles of </w:t>
      </w:r>
      <w:r w:rsidRPr="00F04B2E">
        <w:rPr>
          <w:rFonts w:ascii="Times New Roman" w:hAnsi="Times New Roman" w:cs="Times New Roman"/>
          <w:i/>
          <w:iCs/>
          <w:sz w:val="24"/>
          <w:szCs w:val="24"/>
        </w:rPr>
        <w:t>SPOP</w:t>
      </w:r>
      <w:r w:rsidRPr="00F04B2E">
        <w:rPr>
          <w:rFonts w:ascii="Times New Roman" w:hAnsi="Times New Roman" w:cs="Times New Roman"/>
          <w:sz w:val="24"/>
          <w:szCs w:val="24"/>
        </w:rPr>
        <w:t xml:space="preserve"> Mutations in Human Prostate and Endometrial Cancers. </w:t>
      </w:r>
      <w:r w:rsidRPr="00F04B2E">
        <w:rPr>
          <w:rFonts w:ascii="Times New Roman" w:hAnsi="Times New Roman" w:cs="Times New Roman"/>
          <w:i/>
          <w:iCs/>
          <w:sz w:val="24"/>
          <w:szCs w:val="24"/>
        </w:rPr>
        <w:t>JCO Precision Oncology</w:t>
      </w:r>
      <w:r w:rsidRPr="00F04B2E">
        <w:rPr>
          <w:rFonts w:ascii="Times New Roman" w:hAnsi="Times New Roman" w:cs="Times New Roman"/>
          <w:sz w:val="24"/>
          <w:szCs w:val="24"/>
        </w:rPr>
        <w:t>. (7), e2300088. doi:10.1200/PO.23.00088.</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CDC (2023) </w:t>
      </w:r>
      <w:r w:rsidRPr="00F04B2E">
        <w:rPr>
          <w:rFonts w:ascii="Times New Roman" w:hAnsi="Times New Roman" w:cs="Times New Roman"/>
          <w:i/>
          <w:iCs/>
          <w:sz w:val="24"/>
          <w:szCs w:val="24"/>
        </w:rPr>
        <w:t>What Is Prostate Cancer? | CDC</w:t>
      </w:r>
      <w:r w:rsidRPr="00F04B2E">
        <w:rPr>
          <w:rFonts w:ascii="Times New Roman" w:hAnsi="Times New Roman" w:cs="Times New Roman"/>
          <w:sz w:val="24"/>
          <w:szCs w:val="24"/>
        </w:rPr>
        <w:t>. 2023. Prostate Cancer. https://www.cdc.gov/cancer/prostate/basic_info/what-is-prostate-cancer.htm [Accessed: 13 February 2023].</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Chakrabarti, S., Biswas, T.K., Rokeya, B., Ali, L., Mosihuzzaman, M., Nahar, N., Khan, A.K.A. &amp; Mukherjee, B. (2003) Advanced studies on the hypoglycemic effect of Caesalpinia bonducella F. in type 1 and 2 diabetes in Long Evans rats. </w:t>
      </w:r>
      <w:r w:rsidRPr="00F04B2E">
        <w:rPr>
          <w:rFonts w:ascii="Times New Roman" w:hAnsi="Times New Roman" w:cs="Times New Roman"/>
          <w:i/>
          <w:iCs/>
          <w:sz w:val="24"/>
          <w:szCs w:val="24"/>
        </w:rPr>
        <w:t>Journal of Ethnopharmacology</w:t>
      </w:r>
      <w:r w:rsidRPr="00F04B2E">
        <w:rPr>
          <w:rFonts w:ascii="Times New Roman" w:hAnsi="Times New Roman" w:cs="Times New Roman"/>
          <w:sz w:val="24"/>
          <w:szCs w:val="24"/>
        </w:rPr>
        <w:t>. 84 (1), 41–46. doi:10.1016/S0378-8741(02)00262-3.</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Chandrasekar, T., Yang, J.C., Gao, A.C. &amp; Evans, C.P. (2015) Targeting molecular resistance in castration-resistant prostate cancer. </w:t>
      </w:r>
      <w:r w:rsidRPr="00F04B2E">
        <w:rPr>
          <w:rFonts w:ascii="Times New Roman" w:hAnsi="Times New Roman" w:cs="Times New Roman"/>
          <w:i/>
          <w:iCs/>
          <w:sz w:val="24"/>
          <w:szCs w:val="24"/>
        </w:rPr>
        <w:t>BMC Medicine</w:t>
      </w:r>
      <w:r w:rsidRPr="00F04B2E">
        <w:rPr>
          <w:rFonts w:ascii="Times New Roman" w:hAnsi="Times New Roman" w:cs="Times New Roman"/>
          <w:sz w:val="24"/>
          <w:szCs w:val="24"/>
        </w:rPr>
        <w:t>. 13 (1), 206. doi:10.1186/s12916-015-0457-6.</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Clark, A. &amp; Burleson, M. (2020) SPOP and cancer: a systematic review. </w:t>
      </w:r>
      <w:r w:rsidRPr="00F04B2E">
        <w:rPr>
          <w:rFonts w:ascii="Times New Roman" w:hAnsi="Times New Roman" w:cs="Times New Roman"/>
          <w:i/>
          <w:iCs/>
          <w:sz w:val="24"/>
          <w:szCs w:val="24"/>
        </w:rPr>
        <w:t>American Journal of Cancer Research</w:t>
      </w:r>
      <w:r w:rsidRPr="00F04B2E">
        <w:rPr>
          <w:rFonts w:ascii="Times New Roman" w:hAnsi="Times New Roman" w:cs="Times New Roman"/>
          <w:sz w:val="24"/>
          <w:szCs w:val="24"/>
        </w:rPr>
        <w:t>. 10 (3), 704–726.</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Clevaland, C. (2023) </w:t>
      </w:r>
      <w:r w:rsidRPr="00F04B2E">
        <w:rPr>
          <w:rFonts w:ascii="Times New Roman" w:hAnsi="Times New Roman" w:cs="Times New Roman"/>
          <w:i/>
          <w:iCs/>
          <w:sz w:val="24"/>
          <w:szCs w:val="24"/>
        </w:rPr>
        <w:t>ELISA Technique</w:t>
      </w:r>
      <w:r w:rsidRPr="00F04B2E">
        <w:rPr>
          <w:rFonts w:ascii="Times New Roman" w:hAnsi="Times New Roman" w:cs="Times New Roman"/>
          <w:sz w:val="24"/>
          <w:szCs w:val="24"/>
        </w:rPr>
        <w:t>. 2023. Cleveland Clinic. https://my.clevelandclinic.org/health/articles/24990-elisa [Accessed: 28 June 2024].</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lastRenderedPageBreak/>
        <w:t xml:space="preserve">Conteduca, V., Gurioli, G., Brighi, N., Lolli, C., Schepisi, G., Casadei, C., Burgio, S.L., Gargiulo, S., Ravaglia, G. &amp; Rossi, L. (2019) Plasma androgen receptor in prostate cancer. </w:t>
      </w:r>
      <w:r w:rsidRPr="00F04B2E">
        <w:rPr>
          <w:rFonts w:ascii="Times New Roman" w:hAnsi="Times New Roman" w:cs="Times New Roman"/>
          <w:i/>
          <w:iCs/>
          <w:sz w:val="24"/>
          <w:szCs w:val="24"/>
        </w:rPr>
        <w:t>Cancers</w:t>
      </w:r>
      <w:r w:rsidRPr="00F04B2E">
        <w:rPr>
          <w:rFonts w:ascii="Times New Roman" w:hAnsi="Times New Roman" w:cs="Times New Roman"/>
          <w:sz w:val="24"/>
          <w:szCs w:val="24"/>
        </w:rPr>
        <w:t>. 11 (11), 1719.</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Culp, M.B., Soerjomataram, I., Efstathiou, J.A., Bray, F. &amp; Jemal, A. (2020) Recent Global Patterns in Prostate Cancer Incidence and Mortality Rates. </w:t>
      </w:r>
      <w:r w:rsidRPr="00F04B2E">
        <w:rPr>
          <w:rFonts w:ascii="Times New Roman" w:hAnsi="Times New Roman" w:cs="Times New Roman"/>
          <w:i/>
          <w:iCs/>
          <w:sz w:val="24"/>
          <w:szCs w:val="24"/>
        </w:rPr>
        <w:t>European Urology</w:t>
      </w:r>
      <w:r w:rsidRPr="00F04B2E">
        <w:rPr>
          <w:rFonts w:ascii="Times New Roman" w:hAnsi="Times New Roman" w:cs="Times New Roman"/>
          <w:sz w:val="24"/>
          <w:szCs w:val="24"/>
        </w:rPr>
        <w:t>. 77 (1), 38–52. doi:10.1016/j.eururo.2019.08.005.</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Dasgupta, S., Putluri, N., Long, W., Zhang, B., Wang, J., Kaushik, A.K., Arnold, J.M., Bhowmik, S.K., Stashi, E., Brennan, C.A., Rajapakshe, K., Coarfa, C., Mitsiades, N., Ittmann, M.M., Chinnaiyan, A.M., Sreekumar, A. &amp; O’Malley, B.W. (2015) Coactivator SRC-2–dependent metabolic reprogramming mediates prostate cancer survival and metastasis. </w:t>
      </w:r>
      <w:r w:rsidRPr="00F04B2E">
        <w:rPr>
          <w:rFonts w:ascii="Times New Roman" w:hAnsi="Times New Roman" w:cs="Times New Roman"/>
          <w:i/>
          <w:iCs/>
          <w:sz w:val="24"/>
          <w:szCs w:val="24"/>
        </w:rPr>
        <w:t>Journal of Clinical Investigation</w:t>
      </w:r>
      <w:r w:rsidRPr="00F04B2E">
        <w:rPr>
          <w:rFonts w:ascii="Times New Roman" w:hAnsi="Times New Roman" w:cs="Times New Roman"/>
          <w:sz w:val="24"/>
          <w:szCs w:val="24"/>
        </w:rPr>
        <w:t>. 125 (3), 1174–1188. doi:10.1172/JCI76029.</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Davis, I.D. (2022) Triplet therapy for prostate cancer. </w:t>
      </w:r>
      <w:r w:rsidRPr="00F04B2E">
        <w:rPr>
          <w:rFonts w:ascii="Times New Roman" w:hAnsi="Times New Roman" w:cs="Times New Roman"/>
          <w:i/>
          <w:iCs/>
          <w:sz w:val="24"/>
          <w:szCs w:val="24"/>
        </w:rPr>
        <w:t>The Lancet</w:t>
      </w:r>
      <w:r w:rsidRPr="00F04B2E">
        <w:rPr>
          <w:rFonts w:ascii="Times New Roman" w:hAnsi="Times New Roman" w:cs="Times New Roman"/>
          <w:sz w:val="24"/>
          <w:szCs w:val="24"/>
        </w:rPr>
        <w:t>. 399 (10336), 1670–1671. doi:10.1016/S0140-6736(22)00427-5.</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Dronca, R., Rao, R., Maniaci, M., Odedina, F., Kaninjing, E., Ashing, K., Rotimi, S., Salinas, M., Rashad, S., Merriweather, A., McCall, J., Erefah, E. &amp; Yahaya, A. (2023) Abstract B046: Feasibility of patient-centered home care (PCHC) to reduce disparities in Black men (BM) with advanced prostate cancer (CaP): An iCCaRE Consortium for prostate cancer in Black men project. </w:t>
      </w:r>
      <w:r w:rsidRPr="00F04B2E">
        <w:rPr>
          <w:rFonts w:ascii="Times New Roman" w:hAnsi="Times New Roman" w:cs="Times New Roman"/>
          <w:i/>
          <w:iCs/>
          <w:sz w:val="24"/>
          <w:szCs w:val="24"/>
        </w:rPr>
        <w:t>Cancer Epidemiology, Biomarkers &amp; Prevention</w:t>
      </w:r>
      <w:r w:rsidRPr="00F04B2E">
        <w:rPr>
          <w:rFonts w:ascii="Times New Roman" w:hAnsi="Times New Roman" w:cs="Times New Roman"/>
          <w:sz w:val="24"/>
          <w:szCs w:val="24"/>
        </w:rPr>
        <w:t>. 32 (1_Supplement), B046–B046. doi:10.1158/1538-7755.DISP22-B046.</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El Kharraz, S., Dubois, V., Royen, M.E., Houtsmuller, A.B., Pavlova, E., et al. (2021) The androgen receptor depends on ligand‐binding domain dimerization for transcriptional activation. </w:t>
      </w:r>
      <w:r w:rsidRPr="00F04B2E">
        <w:rPr>
          <w:rFonts w:ascii="Times New Roman" w:hAnsi="Times New Roman" w:cs="Times New Roman"/>
          <w:i/>
          <w:iCs/>
          <w:sz w:val="24"/>
          <w:szCs w:val="24"/>
        </w:rPr>
        <w:t>EMBO reports</w:t>
      </w:r>
      <w:r w:rsidRPr="00F04B2E">
        <w:rPr>
          <w:rFonts w:ascii="Times New Roman" w:hAnsi="Times New Roman" w:cs="Times New Roman"/>
          <w:sz w:val="24"/>
          <w:szCs w:val="24"/>
        </w:rPr>
        <w:t>. 22 (12). doi:10.15252/embr.202152764.</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Ellinger, J., Alajati, A., Kubatka, P., Giordano, F.A., Ritter, M., Costigliola, V. &amp; Golubnitschaja, O. (2022) Prostate cancer treatment costs increase more rapidly than for any other cancer—how to reverse the trend? </w:t>
      </w:r>
      <w:r w:rsidRPr="00F04B2E">
        <w:rPr>
          <w:rFonts w:ascii="Times New Roman" w:hAnsi="Times New Roman" w:cs="Times New Roman"/>
          <w:i/>
          <w:iCs/>
          <w:sz w:val="24"/>
          <w:szCs w:val="24"/>
        </w:rPr>
        <w:t>EPMA Journal</w:t>
      </w:r>
      <w:r w:rsidRPr="00F04B2E">
        <w:rPr>
          <w:rFonts w:ascii="Times New Roman" w:hAnsi="Times New Roman" w:cs="Times New Roman"/>
          <w:sz w:val="24"/>
          <w:szCs w:val="24"/>
        </w:rPr>
        <w:t>. 13 (1), 1–7. doi:10.1007/s13167-022-00276-3.</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Eryilmaz, I.E., Vuruskan, B.A., Kaygisiz, O., Cecener, G., Egeli, U. &amp; Vuruskan, H. (2024) The Mutational and Transcriptional Landscapes of Speckle-Type POZ Protein (SPOP) and Androgen Receptor (AR) in a Single-Center pT3 Prostatectomy Cohort. </w:t>
      </w:r>
      <w:r w:rsidRPr="00F04B2E">
        <w:rPr>
          <w:rFonts w:ascii="Times New Roman" w:hAnsi="Times New Roman" w:cs="Times New Roman"/>
          <w:i/>
          <w:iCs/>
          <w:sz w:val="24"/>
          <w:szCs w:val="24"/>
        </w:rPr>
        <w:t>Journal of Environmental Pathology, Toxicology and Oncology</w:t>
      </w:r>
      <w:r w:rsidRPr="00F04B2E">
        <w:rPr>
          <w:rFonts w:ascii="Times New Roman" w:hAnsi="Times New Roman" w:cs="Times New Roman"/>
          <w:sz w:val="24"/>
          <w:szCs w:val="24"/>
        </w:rPr>
        <w:t>. 43 (1), 15–29. doi:10.1615/JEnvironPatholToxicolOncol.2023048095.</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Feng, Q. &amp; He, B. (2019) Androgen receptor signaling in the development of castration-resistant prostate cancer. </w:t>
      </w:r>
      <w:r w:rsidRPr="00F04B2E">
        <w:rPr>
          <w:rFonts w:ascii="Times New Roman" w:hAnsi="Times New Roman" w:cs="Times New Roman"/>
          <w:i/>
          <w:iCs/>
          <w:sz w:val="24"/>
          <w:szCs w:val="24"/>
        </w:rPr>
        <w:t>Frontiers in oncology</w:t>
      </w:r>
      <w:r w:rsidRPr="00F04B2E">
        <w:rPr>
          <w:rFonts w:ascii="Times New Roman" w:hAnsi="Times New Roman" w:cs="Times New Roman"/>
          <w:sz w:val="24"/>
          <w:szCs w:val="24"/>
        </w:rPr>
        <w:t>. 9, 858.</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Fernandez-Perez, M.P., Perez-Navarro, E., Alonso-Gordoa, T., Conteduca, V., Font, A., et al. (2023) A correlative biomarker study and integrative prognostic model in chemotherapy-naïve metastatic castration-resistant prostate cancer treated with enzalutamide. </w:t>
      </w:r>
      <w:r w:rsidRPr="00F04B2E">
        <w:rPr>
          <w:rFonts w:ascii="Times New Roman" w:hAnsi="Times New Roman" w:cs="Times New Roman"/>
          <w:i/>
          <w:iCs/>
          <w:sz w:val="24"/>
          <w:szCs w:val="24"/>
        </w:rPr>
        <w:t>The Prostate</w:t>
      </w:r>
      <w:r w:rsidRPr="00F04B2E">
        <w:rPr>
          <w:rFonts w:ascii="Times New Roman" w:hAnsi="Times New Roman" w:cs="Times New Roman"/>
          <w:sz w:val="24"/>
          <w:szCs w:val="24"/>
        </w:rPr>
        <w:t>. 83 (4), 376–384. doi:10.1002/pros.24469.</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Fujita, K. &amp; Nonomura, N. (2019) Role of Androgen Receptor in Prostate Cancer: A Review. </w:t>
      </w:r>
      <w:r w:rsidRPr="00F04B2E">
        <w:rPr>
          <w:rFonts w:ascii="Times New Roman" w:hAnsi="Times New Roman" w:cs="Times New Roman"/>
          <w:i/>
          <w:iCs/>
          <w:sz w:val="24"/>
          <w:szCs w:val="24"/>
        </w:rPr>
        <w:t>The World Journal of Men’s Health</w:t>
      </w:r>
      <w:r w:rsidRPr="00F04B2E">
        <w:rPr>
          <w:rFonts w:ascii="Times New Roman" w:hAnsi="Times New Roman" w:cs="Times New Roman"/>
          <w:sz w:val="24"/>
          <w:szCs w:val="24"/>
        </w:rPr>
        <w:t>. 37 (3), 288. doi:10.5534/wjmh.180040.</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lastRenderedPageBreak/>
        <w:t xml:space="preserve">Gbore, D.J., Zakari, S. &amp; Yusuf, L. (2023) In silico studies of bioactive compounds from Alpinia officinarum as inhibitors of Zika virus protease. </w:t>
      </w:r>
      <w:r w:rsidRPr="00F04B2E">
        <w:rPr>
          <w:rFonts w:ascii="Times New Roman" w:hAnsi="Times New Roman" w:cs="Times New Roman"/>
          <w:i/>
          <w:iCs/>
          <w:sz w:val="24"/>
          <w:szCs w:val="24"/>
        </w:rPr>
        <w:t>Informatics in Medicine Unlocked</w:t>
      </w:r>
      <w:r w:rsidRPr="00F04B2E">
        <w:rPr>
          <w:rFonts w:ascii="Times New Roman" w:hAnsi="Times New Roman" w:cs="Times New Roman"/>
          <w:sz w:val="24"/>
          <w:szCs w:val="24"/>
        </w:rPr>
        <w:t>. 38, 101214. doi:10.1016/j.imu.2023.101214.</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Geng, C., He, B., Xu, L., Barbieri, C.E., Eedunuri, V.K., Chew, S.A., Zimmermann, M., Bond, R., Shou, J., Li, C., Blattner, M., Lonard, D.M., Demichelis, F., Coarfa, C., Rubin, M.A., Zhou, P., O’Malley, B.W. &amp; Mitsiades, N. (2013) Prostate cancer-associated mutations in speckle-type POZ protein (SPOP) regulate steroid receptor coactivator 3 protein turnover. </w:t>
      </w:r>
      <w:r w:rsidRPr="00F04B2E">
        <w:rPr>
          <w:rFonts w:ascii="Times New Roman" w:hAnsi="Times New Roman" w:cs="Times New Roman"/>
          <w:i/>
          <w:iCs/>
          <w:sz w:val="24"/>
          <w:szCs w:val="24"/>
        </w:rPr>
        <w:t>Proceedings of the National Academy of Sciences</w:t>
      </w:r>
      <w:r w:rsidRPr="00F04B2E">
        <w:rPr>
          <w:rFonts w:ascii="Times New Roman" w:hAnsi="Times New Roman" w:cs="Times New Roman"/>
          <w:sz w:val="24"/>
          <w:szCs w:val="24"/>
        </w:rPr>
        <w:t>. 110 (17), 6997–7002. doi:10.1073/pnas.1304502110.</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Gnanapragasam, V.J., Leung, H.Y., Pulimood, A.S., Neal, D.E. &amp; Robson, C.N. (2001) Expression of RAC 3, a steroid hormone receptor co-activator in prostate cancer. </w:t>
      </w:r>
      <w:r w:rsidRPr="00F04B2E">
        <w:rPr>
          <w:rFonts w:ascii="Times New Roman" w:hAnsi="Times New Roman" w:cs="Times New Roman"/>
          <w:i/>
          <w:iCs/>
          <w:sz w:val="24"/>
          <w:szCs w:val="24"/>
        </w:rPr>
        <w:t>British Journal of Cancer</w:t>
      </w:r>
      <w:r w:rsidRPr="00F04B2E">
        <w:rPr>
          <w:rFonts w:ascii="Times New Roman" w:hAnsi="Times New Roman" w:cs="Times New Roman"/>
          <w:sz w:val="24"/>
          <w:szCs w:val="24"/>
        </w:rPr>
        <w:t>. 85 (12), 1928–1936. doi:10.1054/bjoc.2001.2179.</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Grasso, C.S., Wu, Y.-M., Robinson, D.R., Cao, X., Dhanasekaran, S.M., et al. (2012) The mutational landscape of lethal castration-resistant prostate cancer. </w:t>
      </w:r>
      <w:r w:rsidRPr="00F04B2E">
        <w:rPr>
          <w:rFonts w:ascii="Times New Roman" w:hAnsi="Times New Roman" w:cs="Times New Roman"/>
          <w:i/>
          <w:iCs/>
          <w:sz w:val="24"/>
          <w:szCs w:val="24"/>
        </w:rPr>
        <w:t>Nature</w:t>
      </w:r>
      <w:r w:rsidRPr="00F04B2E">
        <w:rPr>
          <w:rFonts w:ascii="Times New Roman" w:hAnsi="Times New Roman" w:cs="Times New Roman"/>
          <w:sz w:val="24"/>
          <w:szCs w:val="24"/>
        </w:rPr>
        <w:t>. 487 (7406), 239–243. doi:10.1038/nature11125.</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Grbesa, I., Augello, M.A., Liu, D., McNally, D.R., Gaffney, C.D., Huang, D., Lin, K., Goueli, R., Robinson, B.D., Khani, F., Deonarine, L.D., Blattner, M., Elemento, O., Davicioni, E., Sboner, A. &amp; Barbieri, C.E. (2021) SPOP</w:t>
      </w:r>
      <w:r w:rsidRPr="00F04B2E">
        <w:rPr>
          <w:rFonts w:ascii="Times New Roman" w:hAnsi="Times New Roman" w:cs="Times New Roman"/>
          <w:i/>
          <w:iCs/>
          <w:sz w:val="24"/>
          <w:szCs w:val="24"/>
        </w:rPr>
        <w:t xml:space="preserve"> mutation confers sensitivity to AR-targeted therapy in prostate cancer by reshaping the androgen-driven chromatin landscape</w:t>
      </w:r>
      <w:r w:rsidRPr="00F04B2E">
        <w:rPr>
          <w:rFonts w:ascii="Times New Roman" w:hAnsi="Times New Roman" w:cs="Times New Roman"/>
          <w:sz w:val="24"/>
          <w:szCs w:val="24"/>
        </w:rPr>
        <w:t>. doi:10.1101/2021.04.20.440154.</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Gupta, M., Mazumder, K., Kumar, R.S. &amp; Kumar, T.S. (2003) STUDIES ON ANTI-INFLAMMATORY, ANALGESIC AND ANTIPYRETIC PROPERTIES OF METHANOL EXTRACT OF CAESALPINIA BONDUCELLA LEAVES IN EXPERIMENTAL ANIMAL MODELS. </w:t>
      </w:r>
      <w:r w:rsidRPr="00F04B2E">
        <w:rPr>
          <w:rFonts w:ascii="Times New Roman" w:hAnsi="Times New Roman" w:cs="Times New Roman"/>
          <w:i/>
          <w:iCs/>
          <w:sz w:val="24"/>
          <w:szCs w:val="24"/>
        </w:rPr>
        <w:t>Iranian Journal of Pharmacology and Therapeutics</w:t>
      </w:r>
      <w:r w:rsidRPr="00F04B2E">
        <w:rPr>
          <w:rFonts w:ascii="Times New Roman" w:hAnsi="Times New Roman" w:cs="Times New Roman"/>
          <w:sz w:val="24"/>
          <w:szCs w:val="24"/>
        </w:rPr>
        <w:t>. https://www.semanticscholar.org/paper/STUDIES-ON-ANTI-INFLAMMATORY%2C-ANALGESIC-AND-OF-OF-Gupta-Mazumder/0723505d82ecd008e8b9ea5d07c22d7e74180d00.</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Gurung, P., Yetiskul, E. &amp; Jialal, I. (2021) Physiology, male reproductive system. In: </w:t>
      </w:r>
      <w:r w:rsidRPr="00F04B2E">
        <w:rPr>
          <w:rFonts w:ascii="Times New Roman" w:hAnsi="Times New Roman" w:cs="Times New Roman"/>
          <w:i/>
          <w:iCs/>
          <w:sz w:val="24"/>
          <w:szCs w:val="24"/>
        </w:rPr>
        <w:t>StatPearls [Internet]</w:t>
      </w:r>
      <w:r w:rsidRPr="00F04B2E">
        <w:rPr>
          <w:rFonts w:ascii="Times New Roman" w:hAnsi="Times New Roman" w:cs="Times New Roman"/>
          <w:sz w:val="24"/>
          <w:szCs w:val="24"/>
        </w:rPr>
        <w:t>. StatPearls Publishing. p.</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Handelsman, D.J. (2000) Androgen Physiology, Pharmacology, Use and Misuse. In: K.R. Feingold, B. Anawalt, M.R. Blackman, A. Boyce, G. Chrousos, et al. (eds.). </w:t>
      </w:r>
      <w:r w:rsidRPr="00F04B2E">
        <w:rPr>
          <w:rFonts w:ascii="Times New Roman" w:hAnsi="Times New Roman" w:cs="Times New Roman"/>
          <w:i/>
          <w:iCs/>
          <w:sz w:val="24"/>
          <w:szCs w:val="24"/>
        </w:rPr>
        <w:t>Endotext</w:t>
      </w:r>
      <w:r w:rsidRPr="00F04B2E">
        <w:rPr>
          <w:rFonts w:ascii="Times New Roman" w:hAnsi="Times New Roman" w:cs="Times New Roman"/>
          <w:sz w:val="24"/>
          <w:szCs w:val="24"/>
        </w:rPr>
        <w:t>. South Dartmouth (MA), MDText.com, Inc. p. http://www.ncbi.nlm.nih.gov/books/NBK279000/.</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He, Y., Chen, J., Peng, X., Xia, Y. &amp; Su, Y. (2021) Clinicopathological and prognostic significance of speckle-type POZ protein in cancers: a systematic review and meta-analysis. </w:t>
      </w:r>
      <w:r w:rsidRPr="00F04B2E">
        <w:rPr>
          <w:rFonts w:ascii="Times New Roman" w:hAnsi="Times New Roman" w:cs="Times New Roman"/>
          <w:i/>
          <w:iCs/>
          <w:sz w:val="24"/>
          <w:szCs w:val="24"/>
        </w:rPr>
        <w:t>Cancer Cell International</w:t>
      </w:r>
      <w:r w:rsidRPr="00F04B2E">
        <w:rPr>
          <w:rFonts w:ascii="Times New Roman" w:hAnsi="Times New Roman" w:cs="Times New Roman"/>
          <w:sz w:val="24"/>
          <w:szCs w:val="24"/>
        </w:rPr>
        <w:t>. 21 (1), 626. doi:10.1186/s12935-021-02329-5.</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He, Y., Hooker, E., Yu, E.-J., Wu, H., Cunha, G.R. &amp; Sun, Z. (2018) An Indispensable Role of Androgen Receptor in Wnt Responsive Cells During Prostate Development, Maturation, and Regeneration. </w:t>
      </w:r>
      <w:r w:rsidRPr="00F04B2E">
        <w:rPr>
          <w:rFonts w:ascii="Times New Roman" w:hAnsi="Times New Roman" w:cs="Times New Roman"/>
          <w:i/>
          <w:iCs/>
          <w:sz w:val="24"/>
          <w:szCs w:val="24"/>
        </w:rPr>
        <w:t>Stem Cells (Dayton, Ohio)</w:t>
      </w:r>
      <w:r w:rsidRPr="00F04B2E">
        <w:rPr>
          <w:rFonts w:ascii="Times New Roman" w:hAnsi="Times New Roman" w:cs="Times New Roman"/>
          <w:sz w:val="24"/>
          <w:szCs w:val="24"/>
        </w:rPr>
        <w:t>. 36 (6), 891–902. doi:10.1002/stem.2806.</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He, Y., Xu, W., Xiao, Y.-T., Huang, H., Gu, D. &amp; Ren, S. (2022) Targeting signaling pathways in prostate cancer: mechanisms and clinical trials. </w:t>
      </w:r>
      <w:r w:rsidRPr="00F04B2E">
        <w:rPr>
          <w:rFonts w:ascii="Times New Roman" w:hAnsi="Times New Roman" w:cs="Times New Roman"/>
          <w:i/>
          <w:iCs/>
          <w:sz w:val="24"/>
          <w:szCs w:val="24"/>
        </w:rPr>
        <w:t>Signal Transduction and Targeted Therapy</w:t>
      </w:r>
      <w:r w:rsidRPr="00F04B2E">
        <w:rPr>
          <w:rFonts w:ascii="Times New Roman" w:hAnsi="Times New Roman" w:cs="Times New Roman"/>
          <w:sz w:val="24"/>
          <w:szCs w:val="24"/>
        </w:rPr>
        <w:t>. 7 (1), 198. doi:10.1038/s41392-022-01042-7.</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lastRenderedPageBreak/>
        <w:t xml:space="preserve">Huang (2023) </w:t>
      </w:r>
      <w:r w:rsidRPr="00F04B2E">
        <w:rPr>
          <w:rFonts w:ascii="Times New Roman" w:hAnsi="Times New Roman" w:cs="Times New Roman"/>
          <w:i/>
          <w:iCs/>
          <w:sz w:val="24"/>
          <w:szCs w:val="24"/>
        </w:rPr>
        <w:t>Cancer Epigenetics and Functional Genomics Laboratory - SPOP in Prostate Cancer</w:t>
      </w:r>
      <w:r w:rsidRPr="00F04B2E">
        <w:rPr>
          <w:rFonts w:ascii="Times New Roman" w:hAnsi="Times New Roman" w:cs="Times New Roman"/>
          <w:sz w:val="24"/>
          <w:szCs w:val="24"/>
        </w:rPr>
        <w:t>. 2023. Mayo Clinic. https://www.mayo.edu/research/labs/cancer-epigenetics-functional-genomics/projects/spop-prostate-cancer [Accessed: 28 August 2023].</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Iheagwam, F.N., Ogunlana, O.O., Ogunlana, O.E., Isewon, I. &amp; Oyelade, J. (2019) Potential Anti-Cancer Flavonoids Isolated From </w:t>
      </w:r>
      <w:r w:rsidRPr="00F04B2E">
        <w:rPr>
          <w:rFonts w:ascii="Times New Roman" w:hAnsi="Times New Roman" w:cs="Times New Roman"/>
          <w:i/>
          <w:iCs/>
          <w:sz w:val="24"/>
          <w:szCs w:val="24"/>
        </w:rPr>
        <w:t>Caesalpinia bonduc</w:t>
      </w:r>
      <w:r w:rsidRPr="00F04B2E">
        <w:rPr>
          <w:rFonts w:ascii="Times New Roman" w:hAnsi="Times New Roman" w:cs="Times New Roman"/>
          <w:sz w:val="24"/>
          <w:szCs w:val="24"/>
        </w:rPr>
        <w:t xml:space="preserve"> Young Twigs and Leaves: Molecular Docking and In Silico Studies. </w:t>
      </w:r>
      <w:r w:rsidRPr="00F04B2E">
        <w:rPr>
          <w:rFonts w:ascii="Times New Roman" w:hAnsi="Times New Roman" w:cs="Times New Roman"/>
          <w:i/>
          <w:iCs/>
          <w:sz w:val="24"/>
          <w:szCs w:val="24"/>
        </w:rPr>
        <w:t>Bioinformatics and Biology Insights</w:t>
      </w:r>
      <w:r w:rsidRPr="00F04B2E">
        <w:rPr>
          <w:rFonts w:ascii="Times New Roman" w:hAnsi="Times New Roman" w:cs="Times New Roman"/>
          <w:sz w:val="24"/>
          <w:szCs w:val="24"/>
        </w:rPr>
        <w:t>. 13, 117793221882137. doi:10.1177/1177932218821371.</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Jamroze, A., Chatta, G. &amp; Tang, D.G. (2021) Androgen receptor (AR) heterogeneity in prostate cancer and therapy resistance. </w:t>
      </w:r>
      <w:r w:rsidRPr="00F04B2E">
        <w:rPr>
          <w:rFonts w:ascii="Times New Roman" w:hAnsi="Times New Roman" w:cs="Times New Roman"/>
          <w:i/>
          <w:iCs/>
          <w:sz w:val="24"/>
          <w:szCs w:val="24"/>
        </w:rPr>
        <w:t>Cancer Letters</w:t>
      </w:r>
      <w:r w:rsidRPr="00F04B2E">
        <w:rPr>
          <w:rFonts w:ascii="Times New Roman" w:hAnsi="Times New Roman" w:cs="Times New Roman"/>
          <w:sz w:val="24"/>
          <w:szCs w:val="24"/>
        </w:rPr>
        <w:t>. 518, 1–9. doi:10.1016/j.canlet.2021.06.006.</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Kinman, T. (2012) </w:t>
      </w:r>
      <w:r w:rsidRPr="00F04B2E">
        <w:rPr>
          <w:rFonts w:ascii="Times New Roman" w:hAnsi="Times New Roman" w:cs="Times New Roman"/>
          <w:i/>
          <w:iCs/>
          <w:sz w:val="24"/>
          <w:szCs w:val="24"/>
        </w:rPr>
        <w:t>ELISA: Purpose, Procedure, and Results</w:t>
      </w:r>
      <w:r w:rsidRPr="00F04B2E">
        <w:rPr>
          <w:rFonts w:ascii="Times New Roman" w:hAnsi="Times New Roman" w:cs="Times New Roman"/>
          <w:sz w:val="24"/>
          <w:szCs w:val="24"/>
        </w:rPr>
        <w:t>. 19 July 2012. Healthline. https://www.healthline.com/health/elisa [Accessed: 28 June 2024].</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Lawrence, M.S., Stojanov, P., Mermel, C.H., Robinson, J.T., Garraway, L.A., Golub, T.R., Meyerson, M., Gabriel, S.B., Lander, E.S. &amp; Getz, G. (2014) Discovery and saturation analysis of cancer genes across 21 tumour types. </w:t>
      </w:r>
      <w:r w:rsidRPr="00F04B2E">
        <w:rPr>
          <w:rFonts w:ascii="Times New Roman" w:hAnsi="Times New Roman" w:cs="Times New Roman"/>
          <w:i/>
          <w:iCs/>
          <w:sz w:val="24"/>
          <w:szCs w:val="24"/>
        </w:rPr>
        <w:t>Nature</w:t>
      </w:r>
      <w:r w:rsidRPr="00F04B2E">
        <w:rPr>
          <w:rFonts w:ascii="Times New Roman" w:hAnsi="Times New Roman" w:cs="Times New Roman"/>
          <w:sz w:val="24"/>
          <w:szCs w:val="24"/>
        </w:rPr>
        <w:t>. 505 (7484), 495–501. doi:10.1038/nature12912.</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Li, L., Deng, C.-X. &amp; Chen, Q. (2021) SRC-3, a steroid receptor coactivator: implication in cancer. </w:t>
      </w:r>
      <w:r w:rsidRPr="00F04B2E">
        <w:rPr>
          <w:rFonts w:ascii="Times New Roman" w:hAnsi="Times New Roman" w:cs="Times New Roman"/>
          <w:i/>
          <w:iCs/>
          <w:sz w:val="24"/>
          <w:szCs w:val="24"/>
        </w:rPr>
        <w:t>International journal of molecular sciences</w:t>
      </w:r>
      <w:r w:rsidRPr="00F04B2E">
        <w:rPr>
          <w:rFonts w:ascii="Times New Roman" w:hAnsi="Times New Roman" w:cs="Times New Roman"/>
          <w:sz w:val="24"/>
          <w:szCs w:val="24"/>
        </w:rPr>
        <w:t>. 22 (9), 4760.</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Li, S., De Camargo Correia, G.S., Wang, J., Manochakian, R., Zhao, Y. &amp; Lou, Y. (2023) Emerging Targeted Therapies in Advanced Non-Small-Cell Lung Cancer. </w:t>
      </w:r>
      <w:r w:rsidRPr="00F04B2E">
        <w:rPr>
          <w:rFonts w:ascii="Times New Roman" w:hAnsi="Times New Roman" w:cs="Times New Roman"/>
          <w:i/>
          <w:iCs/>
          <w:sz w:val="24"/>
          <w:szCs w:val="24"/>
        </w:rPr>
        <w:t>Cancers</w:t>
      </w:r>
      <w:r w:rsidRPr="00F04B2E">
        <w:rPr>
          <w:rFonts w:ascii="Times New Roman" w:hAnsi="Times New Roman" w:cs="Times New Roman"/>
          <w:sz w:val="24"/>
          <w:szCs w:val="24"/>
        </w:rPr>
        <w:t>. 15 (11), 2899. doi:10.3390/cancers15112899.</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Lianidou, E.S., Strati, A. &amp; Markou, A. (2014) Circulating tumor cells as promising novel biomarkers in solid cancers. </w:t>
      </w:r>
      <w:r w:rsidRPr="00F04B2E">
        <w:rPr>
          <w:rFonts w:ascii="Times New Roman" w:hAnsi="Times New Roman" w:cs="Times New Roman"/>
          <w:i/>
          <w:iCs/>
          <w:sz w:val="24"/>
          <w:szCs w:val="24"/>
        </w:rPr>
        <w:t>Critical Reviews in Clinical Laboratory Sciences</w:t>
      </w:r>
      <w:r w:rsidRPr="00F04B2E">
        <w:rPr>
          <w:rFonts w:ascii="Times New Roman" w:hAnsi="Times New Roman" w:cs="Times New Roman"/>
          <w:sz w:val="24"/>
          <w:szCs w:val="24"/>
        </w:rPr>
        <w:t>. 51 (3), 160–171. doi:10.3109/10408363.2014.896316.</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Lopez-Gonzalez, L., Sanchez Cendra, A., Sanchez Cendra, C., Roberts Cervantes, E.D., Espinosa, J.C., Pekarek, T., Fraile-Martinez, O., García-Montero, C., Rodriguez-Slocker, A.M., Jiménez-Álvarez, L., Guijarro, L.G., Aguado-Henche, S., Monserrat, J., Alvarez-Mon, M., Pekarek, L., Ortega, M.A. &amp; Diaz-Pedrero, R. (2024) Exploring Biomarkers in Breast Cancer: Hallmarks of Diagnosis, Treatment, and Follow-Up in Clinical Practice. </w:t>
      </w:r>
      <w:r w:rsidRPr="00F04B2E">
        <w:rPr>
          <w:rFonts w:ascii="Times New Roman" w:hAnsi="Times New Roman" w:cs="Times New Roman"/>
          <w:i/>
          <w:iCs/>
          <w:sz w:val="24"/>
          <w:szCs w:val="24"/>
        </w:rPr>
        <w:t>Medicina</w:t>
      </w:r>
      <w:r w:rsidRPr="00F04B2E">
        <w:rPr>
          <w:rFonts w:ascii="Times New Roman" w:hAnsi="Times New Roman" w:cs="Times New Roman"/>
          <w:sz w:val="24"/>
          <w:szCs w:val="24"/>
        </w:rPr>
        <w:t>. 60 (1), 168. doi:10.3390/medicina60010168.</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Manzar, N., Ganguly, P., Khan, U.K. &amp; Ateeq, B. (2023) Transcription networks rewire gene repertoire to coordinate cellular reprograming in prostate cancer. </w:t>
      </w:r>
      <w:r w:rsidRPr="00F04B2E">
        <w:rPr>
          <w:rFonts w:ascii="Times New Roman" w:hAnsi="Times New Roman" w:cs="Times New Roman"/>
          <w:i/>
          <w:iCs/>
          <w:sz w:val="24"/>
          <w:szCs w:val="24"/>
        </w:rPr>
        <w:t>Seminars in Cancer Biology</w:t>
      </w:r>
      <w:r w:rsidRPr="00F04B2E">
        <w:rPr>
          <w:rFonts w:ascii="Times New Roman" w:hAnsi="Times New Roman" w:cs="Times New Roman"/>
          <w:sz w:val="24"/>
          <w:szCs w:val="24"/>
        </w:rPr>
        <w:t>. 89, 76–91. doi:10.1016/j.semcancer.2023.01.004.</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Marima, R., Hull, R., Mathabe, K., Setlai, B., Batra, J., Sartor, O., Mehrotra, R. &amp; Dlamini, Z. (2021) Prostate cancer racial, socioeconomic, geographic disparities: targeting the genomic landscape and splicing events in search for diagnostic, prognostic and therapeutic targets. </w:t>
      </w:r>
      <w:r w:rsidRPr="00F04B2E">
        <w:rPr>
          <w:rFonts w:ascii="Times New Roman" w:hAnsi="Times New Roman" w:cs="Times New Roman"/>
          <w:i/>
          <w:iCs/>
          <w:sz w:val="24"/>
          <w:szCs w:val="24"/>
        </w:rPr>
        <w:t>American Journal of Cancer Research</w:t>
      </w:r>
      <w:r w:rsidRPr="00F04B2E">
        <w:rPr>
          <w:rFonts w:ascii="Times New Roman" w:hAnsi="Times New Roman" w:cs="Times New Roman"/>
          <w:sz w:val="24"/>
          <w:szCs w:val="24"/>
        </w:rPr>
        <w:t>. 11 (4), 1012–1030.</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Marrugo-Ramírez, J., Mir, M. &amp; Samitier, J. (2018) Blood-Based Cancer Biomarkers in Liquid Biopsy: A Promising Non-Invasive Alternative to Tissue Biopsy. </w:t>
      </w:r>
      <w:r w:rsidRPr="00F04B2E">
        <w:rPr>
          <w:rFonts w:ascii="Times New Roman" w:hAnsi="Times New Roman" w:cs="Times New Roman"/>
          <w:i/>
          <w:iCs/>
          <w:sz w:val="24"/>
          <w:szCs w:val="24"/>
        </w:rPr>
        <w:t>International Journal of Molecular Sciences</w:t>
      </w:r>
      <w:r w:rsidRPr="00F04B2E">
        <w:rPr>
          <w:rFonts w:ascii="Times New Roman" w:hAnsi="Times New Roman" w:cs="Times New Roman"/>
          <w:sz w:val="24"/>
          <w:szCs w:val="24"/>
        </w:rPr>
        <w:t>. 19 (10), 2877. doi:10.3390/ijms19102877.</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lastRenderedPageBreak/>
        <w:t xml:space="preserve">Messner, E.A., Steele, T.M., Tsamouri, M.M., Hejazi, N., Gao, A.C., Mudryj, M. &amp; Ghosh, P.M. (2020) The Androgen Receptor in Prostate Cancer: Effect of Structure, Ligands and Spliced Variants on Therapy. </w:t>
      </w:r>
      <w:r w:rsidRPr="00F04B2E">
        <w:rPr>
          <w:rFonts w:ascii="Times New Roman" w:hAnsi="Times New Roman" w:cs="Times New Roman"/>
          <w:i/>
          <w:iCs/>
          <w:sz w:val="24"/>
          <w:szCs w:val="24"/>
        </w:rPr>
        <w:t>Biomedicines</w:t>
      </w:r>
      <w:r w:rsidRPr="00F04B2E">
        <w:rPr>
          <w:rFonts w:ascii="Times New Roman" w:hAnsi="Times New Roman" w:cs="Times New Roman"/>
          <w:sz w:val="24"/>
          <w:szCs w:val="24"/>
        </w:rPr>
        <w:t>. 8 (10), 422. doi:10.3390/biomedicines8100422.</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Miyamoto, D.T., Lee, R.J., Stott, S.L., Ting, D.T., Wittner, B.S., Ulman, M., Smas, M.E., Lord, J.B., Brannigan, B.W., Trautwein, J., Bander, N.H., Wu, C.-L., Sequist, L.V., Smith, M.R., Ramaswamy, S., Toner, M., Maheswaran, S. &amp; Haber, D.A. (2012) Androgen Receptor Signaling in Circulating Tumor Cells as a Marker of Hormonally Responsive Prostate Cancer. </w:t>
      </w:r>
      <w:r w:rsidRPr="00F04B2E">
        <w:rPr>
          <w:rFonts w:ascii="Times New Roman" w:hAnsi="Times New Roman" w:cs="Times New Roman"/>
          <w:i/>
          <w:iCs/>
          <w:sz w:val="24"/>
          <w:szCs w:val="24"/>
        </w:rPr>
        <w:t>Cancer Discovery</w:t>
      </w:r>
      <w:r w:rsidRPr="00F04B2E">
        <w:rPr>
          <w:rFonts w:ascii="Times New Roman" w:hAnsi="Times New Roman" w:cs="Times New Roman"/>
          <w:sz w:val="24"/>
          <w:szCs w:val="24"/>
        </w:rPr>
        <w:t>. 2 (11), 995–1003. doi:10.1158/2159-8290.CD-12-0222.</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Mohler, J.L., Antonarakis, E.S., Armstrong, A.J., D’Amico, A.V., Davis, B.J., et al. (2019) Prostate Cancer, Version 2.2019, NCCN Clinical Practice Guidelines in Oncology. </w:t>
      </w:r>
      <w:r w:rsidRPr="00F04B2E">
        <w:rPr>
          <w:rFonts w:ascii="Times New Roman" w:hAnsi="Times New Roman" w:cs="Times New Roman"/>
          <w:i/>
          <w:iCs/>
          <w:sz w:val="24"/>
          <w:szCs w:val="24"/>
        </w:rPr>
        <w:t>Journal of the National Comprehensive Cancer Network</w:t>
      </w:r>
      <w:r w:rsidRPr="00F04B2E">
        <w:rPr>
          <w:rFonts w:ascii="Times New Roman" w:hAnsi="Times New Roman" w:cs="Times New Roman"/>
          <w:sz w:val="24"/>
          <w:szCs w:val="24"/>
        </w:rPr>
        <w:t>. 17 (5), 479–505. doi:10.6004/jnccn.2019.0023.</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Molina, P.E. (2013) Chapter 8. Male Reproductive System. In: </w:t>
      </w:r>
      <w:r w:rsidRPr="00F04B2E">
        <w:rPr>
          <w:rFonts w:ascii="Times New Roman" w:hAnsi="Times New Roman" w:cs="Times New Roman"/>
          <w:i/>
          <w:iCs/>
          <w:sz w:val="24"/>
          <w:szCs w:val="24"/>
        </w:rPr>
        <w:t>Endocrine Physiology</w:t>
      </w:r>
      <w:r w:rsidRPr="00F04B2E">
        <w:rPr>
          <w:rFonts w:ascii="Times New Roman" w:hAnsi="Times New Roman" w:cs="Times New Roman"/>
          <w:sz w:val="24"/>
          <w:szCs w:val="24"/>
        </w:rPr>
        <w:t>. 4th edition. New York, NY, The McGraw-Hill Companies. p. accessmedicine.mhmedical.com/content.aspx?aid=57307916.</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Nakazawa, M., Fang, M., H. Marshall, C., Lotan, T.L., Isaacsson Velho, P. &amp; Antonarakis, E.S. (2022) Clinical and genomic features of </w:t>
      </w:r>
      <w:r w:rsidRPr="00F04B2E">
        <w:rPr>
          <w:rFonts w:ascii="Times New Roman" w:hAnsi="Times New Roman" w:cs="Times New Roman"/>
          <w:i/>
          <w:iCs/>
          <w:sz w:val="24"/>
          <w:szCs w:val="24"/>
        </w:rPr>
        <w:t>SPOP</w:t>
      </w:r>
      <w:r w:rsidRPr="00F04B2E">
        <w:rPr>
          <w:rFonts w:ascii="Times New Roman" w:hAnsi="Times New Roman" w:cs="Times New Roman"/>
          <w:sz w:val="24"/>
          <w:szCs w:val="24"/>
        </w:rPr>
        <w:t xml:space="preserve"> ‐mutant prostate cancer. </w:t>
      </w:r>
      <w:r w:rsidRPr="00F04B2E">
        <w:rPr>
          <w:rFonts w:ascii="Times New Roman" w:hAnsi="Times New Roman" w:cs="Times New Roman"/>
          <w:i/>
          <w:iCs/>
          <w:sz w:val="24"/>
          <w:szCs w:val="24"/>
        </w:rPr>
        <w:t>The Prostate</w:t>
      </w:r>
      <w:r w:rsidRPr="00F04B2E">
        <w:rPr>
          <w:rFonts w:ascii="Times New Roman" w:hAnsi="Times New Roman" w:cs="Times New Roman"/>
          <w:sz w:val="24"/>
          <w:szCs w:val="24"/>
        </w:rPr>
        <w:t>. 82 (2), 260–268. doi:10.1002/pros.24269.</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Nakazawa, M., Fang, M., Issacsson Velho, P. &amp; Antonarakis, E.S. (2021) </w:t>
      </w:r>
      <w:r w:rsidRPr="00F04B2E">
        <w:rPr>
          <w:rFonts w:ascii="Times New Roman" w:hAnsi="Times New Roman" w:cs="Times New Roman"/>
          <w:i/>
          <w:iCs/>
          <w:sz w:val="24"/>
          <w:szCs w:val="24"/>
        </w:rPr>
        <w:t>SPOP</w:t>
      </w:r>
      <w:r w:rsidRPr="00F04B2E">
        <w:rPr>
          <w:rFonts w:ascii="Times New Roman" w:hAnsi="Times New Roman" w:cs="Times New Roman"/>
          <w:sz w:val="24"/>
          <w:szCs w:val="24"/>
        </w:rPr>
        <w:t xml:space="preserve"> mutations in prostate cancer: Clinical and genomic features. </w:t>
      </w:r>
      <w:r w:rsidRPr="00F04B2E">
        <w:rPr>
          <w:rFonts w:ascii="Times New Roman" w:hAnsi="Times New Roman" w:cs="Times New Roman"/>
          <w:i/>
          <w:iCs/>
          <w:sz w:val="24"/>
          <w:szCs w:val="24"/>
        </w:rPr>
        <w:t>Journal of Clinical Oncology</w:t>
      </w:r>
      <w:r w:rsidRPr="00F04B2E">
        <w:rPr>
          <w:rFonts w:ascii="Times New Roman" w:hAnsi="Times New Roman" w:cs="Times New Roman"/>
          <w:sz w:val="24"/>
          <w:szCs w:val="24"/>
        </w:rPr>
        <w:t>. 39 (6_suppl), 151–151. doi:10.1200/JCO.2021.39.6_suppl.151.</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Nevedomskaya, E., Baumgart, S.J. &amp; Haendler, B. (2018) Recent Advances in Prostate Cancer Treatment and Drug Discovery. </w:t>
      </w:r>
      <w:r w:rsidRPr="00F04B2E">
        <w:rPr>
          <w:rFonts w:ascii="Times New Roman" w:hAnsi="Times New Roman" w:cs="Times New Roman"/>
          <w:i/>
          <w:iCs/>
          <w:sz w:val="24"/>
          <w:szCs w:val="24"/>
        </w:rPr>
        <w:t>International Journal of Molecular Sciences</w:t>
      </w:r>
      <w:r w:rsidRPr="00F04B2E">
        <w:rPr>
          <w:rFonts w:ascii="Times New Roman" w:hAnsi="Times New Roman" w:cs="Times New Roman"/>
          <w:sz w:val="24"/>
          <w:szCs w:val="24"/>
        </w:rPr>
        <w:t>. 19 (5), 1359. doi:10.3390/ijms19051359.</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Ogunlana, O., Ogunlana, O., Adeneye, A., Udo-Chijioke, O., Dare-Olipede, T., Olagunju, J. &amp; Akindahunsi, A. (2013) Evaluation of the toxicological profile of the leaves and young twigs of </w:t>
      </w:r>
      <w:r w:rsidRPr="00F04B2E">
        <w:rPr>
          <w:rFonts w:ascii="Times New Roman" w:hAnsi="Times New Roman" w:cs="Times New Roman"/>
          <w:i/>
          <w:iCs/>
          <w:sz w:val="24"/>
          <w:szCs w:val="24"/>
        </w:rPr>
        <w:t>Caesalpinia bonduc</w:t>
      </w:r>
      <w:r w:rsidRPr="00F04B2E">
        <w:rPr>
          <w:rFonts w:ascii="Times New Roman" w:hAnsi="Times New Roman" w:cs="Times New Roman"/>
          <w:sz w:val="24"/>
          <w:szCs w:val="24"/>
        </w:rPr>
        <w:t xml:space="preserve"> (linn) roxb. </w:t>
      </w:r>
      <w:r w:rsidRPr="00F04B2E">
        <w:rPr>
          <w:rFonts w:ascii="Times New Roman" w:hAnsi="Times New Roman" w:cs="Times New Roman"/>
          <w:i/>
          <w:iCs/>
          <w:sz w:val="24"/>
          <w:szCs w:val="24"/>
        </w:rPr>
        <w:t>African Journal of Traditional, Complementary and Alternative Medicines</w:t>
      </w:r>
      <w:r w:rsidRPr="00F04B2E">
        <w:rPr>
          <w:rFonts w:ascii="Times New Roman" w:hAnsi="Times New Roman" w:cs="Times New Roman"/>
          <w:sz w:val="24"/>
          <w:szCs w:val="24"/>
        </w:rPr>
        <w:t>. 10 (6), 504. doi:10.4314/ajtcam.v10i6.20.</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Ogunlana, O.O. (2012) </w:t>
      </w:r>
      <w:r w:rsidRPr="00F04B2E">
        <w:rPr>
          <w:rFonts w:ascii="Times New Roman" w:hAnsi="Times New Roman" w:cs="Times New Roman"/>
          <w:i/>
          <w:iCs/>
          <w:sz w:val="24"/>
          <w:szCs w:val="24"/>
        </w:rPr>
        <w:t>PHYTOCHEMICAL, BIOLOGICAL AND TOXICOLOGICAL STUDIES OF THE EXTRACTS OF YOUNG TWIGS AND LEAVES OF GRAY NICKER NUT</w:t>
      </w:r>
      <w:r w:rsidRPr="00F04B2E">
        <w:rPr>
          <w:rFonts w:ascii="Times New Roman" w:hAnsi="Times New Roman" w:cs="Times New Roman"/>
          <w:sz w:val="24"/>
          <w:szCs w:val="24"/>
        </w:rPr>
        <w:t>. Ota, Nigeria, Covenanat University. http://eprints.covenantuniversity.edu.ng/1156/1/CUGP070176-Olubanke%20Olujoke%20Ogunlana.pdf.</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Ogunlana, O.O., He, W.J., Fan, J.T., Zeng, G.Z., Ji, C.J., Zheng, Y.Q., Olagunju, J.A., Akindahunsi, A.A. &amp; Tan, N.H. (2015) Report: Cytotoxic flavonoids from the young twigs and leaves of Caesalpinia bonduc (Linn) Roxb. </w:t>
      </w:r>
      <w:r w:rsidRPr="00F04B2E">
        <w:rPr>
          <w:rFonts w:ascii="Times New Roman" w:hAnsi="Times New Roman" w:cs="Times New Roman"/>
          <w:i/>
          <w:iCs/>
          <w:sz w:val="24"/>
          <w:szCs w:val="24"/>
        </w:rPr>
        <w:t>Pakistan Journal of Pharmaceutical Sciences</w:t>
      </w:r>
      <w:r w:rsidRPr="00F04B2E">
        <w:rPr>
          <w:rFonts w:ascii="Times New Roman" w:hAnsi="Times New Roman" w:cs="Times New Roman"/>
          <w:sz w:val="24"/>
          <w:szCs w:val="24"/>
        </w:rPr>
        <w:t>. 28 (6), 2191–2198.</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Oladoyinbo, C.A., Akinbule, O.O., Bolajoko, O.O., Aheto, J.M., Faruk, M., Bassey, I.E., Odedina, F., Ogunlana, O.O., Ogunsanya, M., Suleiman, A.M., Obialor, S. &amp; Gali, R. (2020) Risk Factors for Prostate Cancer in West African Men: The Prostate Cancer Transatlantic Consortium (CaPTC) Cohort Study. </w:t>
      </w:r>
      <w:r w:rsidRPr="00F04B2E">
        <w:rPr>
          <w:rFonts w:ascii="Times New Roman" w:hAnsi="Times New Roman" w:cs="Times New Roman"/>
          <w:i/>
          <w:iCs/>
          <w:sz w:val="24"/>
          <w:szCs w:val="24"/>
        </w:rPr>
        <w:t>Cancer Health Disparities</w:t>
      </w:r>
      <w:r w:rsidRPr="00F04B2E">
        <w:rPr>
          <w:rFonts w:ascii="Times New Roman" w:hAnsi="Times New Roman" w:cs="Times New Roman"/>
          <w:sz w:val="24"/>
          <w:szCs w:val="24"/>
        </w:rPr>
        <w:t>. 4. https://www.companyofscientists.com.</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lastRenderedPageBreak/>
        <w:t xml:space="preserve">Osadchuk, L.V. &amp; Osadchuk, A.V. (2022) Role of CAG and GGC Polymorphism of the Androgen Receptor Gene in Male Fertility. </w:t>
      </w:r>
      <w:r w:rsidRPr="00F04B2E">
        <w:rPr>
          <w:rFonts w:ascii="Times New Roman" w:hAnsi="Times New Roman" w:cs="Times New Roman"/>
          <w:i/>
          <w:iCs/>
          <w:sz w:val="24"/>
          <w:szCs w:val="24"/>
        </w:rPr>
        <w:t>Russian Journal of Genetics</w:t>
      </w:r>
      <w:r w:rsidRPr="00F04B2E">
        <w:rPr>
          <w:rFonts w:ascii="Times New Roman" w:hAnsi="Times New Roman" w:cs="Times New Roman"/>
          <w:sz w:val="24"/>
          <w:szCs w:val="24"/>
        </w:rPr>
        <w:t>. 58 (3), 247–264. doi:10.1134/S1022795422020119.</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PCF/SU2C International Prostate Cancer Dream Team, Armenia, J., Wankowicz, S.A.M., Liu, D., Gao, J., et al. (2018) The long tail of oncogenic drivers in prostate cancer. </w:t>
      </w:r>
      <w:r w:rsidRPr="00F04B2E">
        <w:rPr>
          <w:rFonts w:ascii="Times New Roman" w:hAnsi="Times New Roman" w:cs="Times New Roman"/>
          <w:i/>
          <w:iCs/>
          <w:sz w:val="24"/>
          <w:szCs w:val="24"/>
        </w:rPr>
        <w:t>Nature Genetics</w:t>
      </w:r>
      <w:r w:rsidRPr="00F04B2E">
        <w:rPr>
          <w:rFonts w:ascii="Times New Roman" w:hAnsi="Times New Roman" w:cs="Times New Roman"/>
          <w:sz w:val="24"/>
          <w:szCs w:val="24"/>
        </w:rPr>
        <w:t>. 50 (5), 645–651. doi:10.1038/s41588-018-0078-z.</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Peyman, T. (2010) </w:t>
      </w:r>
      <w:r w:rsidRPr="00F04B2E">
        <w:rPr>
          <w:rFonts w:ascii="Times New Roman" w:hAnsi="Times New Roman" w:cs="Times New Roman"/>
          <w:i/>
          <w:iCs/>
          <w:sz w:val="24"/>
          <w:szCs w:val="24"/>
        </w:rPr>
        <w:t>(PDF) Androgen Receptor Modulation by non-Androgenic Factors and the Basal Transcription Factor TAF1</w:t>
      </w:r>
      <w:r w:rsidRPr="00F04B2E">
        <w:rPr>
          <w:rFonts w:ascii="Times New Roman" w:hAnsi="Times New Roman" w:cs="Times New Roman"/>
          <w:sz w:val="24"/>
          <w:szCs w:val="24"/>
        </w:rPr>
        <w:t>. 2010. https://www.researchgate.net/publication/260403239_Androgen_Receptor_Modulation_by_non-Androgenic_Factors_and_the_Basal_Transcription_Factor_TAF1 [Accessed: 13 February 2023].</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Pungsrinont, T., Kallenbach, J. &amp; Baniahmad, A. (2021) Role of PI3K-AKT-mTOR Pathway as a Pro-Survival Signaling and Resistance-Mediating Mechanism to Therapy of Prostate Cancer. </w:t>
      </w:r>
      <w:r w:rsidRPr="00F04B2E">
        <w:rPr>
          <w:rFonts w:ascii="Times New Roman" w:hAnsi="Times New Roman" w:cs="Times New Roman"/>
          <w:i/>
          <w:iCs/>
          <w:sz w:val="24"/>
          <w:szCs w:val="24"/>
        </w:rPr>
        <w:t>International Journal of Molecular Sciences</w:t>
      </w:r>
      <w:r w:rsidRPr="00F04B2E">
        <w:rPr>
          <w:rFonts w:ascii="Times New Roman" w:hAnsi="Times New Roman" w:cs="Times New Roman"/>
          <w:sz w:val="24"/>
          <w:szCs w:val="24"/>
        </w:rPr>
        <w:t>. 22 (20), 11088. doi:10.3390/ijms222011088.</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Qin, L., Chung, Y.-M., Berk, M., Naelitz, B., Zhu, Z., Klein, E., Chakraborty, A.A. &amp; Sharifi, N. (2022) Hypoxia-reoxygenation couples 3βHSD1 enzyme and cofactor upregulation to facilitate androgen biosynthesis and hormone therapy resistance in prostate cancer. </w:t>
      </w:r>
      <w:r w:rsidRPr="00F04B2E">
        <w:rPr>
          <w:rFonts w:ascii="Times New Roman" w:hAnsi="Times New Roman" w:cs="Times New Roman"/>
          <w:i/>
          <w:iCs/>
          <w:sz w:val="24"/>
          <w:szCs w:val="24"/>
        </w:rPr>
        <w:t>Cancer research</w:t>
      </w:r>
      <w:r w:rsidRPr="00F04B2E">
        <w:rPr>
          <w:rFonts w:ascii="Times New Roman" w:hAnsi="Times New Roman" w:cs="Times New Roman"/>
          <w:sz w:val="24"/>
          <w:szCs w:val="24"/>
        </w:rPr>
        <w:t>. 82 (13), 2417–2430.</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Quigley, D.A., Dang, H.X., Zhao, S.G., Lloyd, P., Aggarwal, R., et al. (2018) Genomic Hallmarks and Structural Variation in Metastatic Prostate Cancer. </w:t>
      </w:r>
      <w:r w:rsidRPr="00F04B2E">
        <w:rPr>
          <w:rFonts w:ascii="Times New Roman" w:hAnsi="Times New Roman" w:cs="Times New Roman"/>
          <w:i/>
          <w:iCs/>
          <w:sz w:val="24"/>
          <w:szCs w:val="24"/>
        </w:rPr>
        <w:t>Cell</w:t>
      </w:r>
      <w:r w:rsidRPr="00F04B2E">
        <w:rPr>
          <w:rFonts w:ascii="Times New Roman" w:hAnsi="Times New Roman" w:cs="Times New Roman"/>
          <w:sz w:val="24"/>
          <w:szCs w:val="24"/>
        </w:rPr>
        <w:t>. 174 (3), 758-769.e9. doi:10.1016/j.cell.2018.06.039.</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Ratajczak, W., Lubkowski, M. &amp; Lubkowska, A. (2022) Heat Shock Proteins in Benign Prostatic Hyperplasia and Prostate Cancer. </w:t>
      </w:r>
      <w:r w:rsidRPr="00F04B2E">
        <w:rPr>
          <w:rFonts w:ascii="Times New Roman" w:hAnsi="Times New Roman" w:cs="Times New Roman"/>
          <w:i/>
          <w:iCs/>
          <w:sz w:val="24"/>
          <w:szCs w:val="24"/>
        </w:rPr>
        <w:t>International Journal of Molecular Sciences</w:t>
      </w:r>
      <w:r w:rsidRPr="00F04B2E">
        <w:rPr>
          <w:rFonts w:ascii="Times New Roman" w:hAnsi="Times New Roman" w:cs="Times New Roman"/>
          <w:sz w:val="24"/>
          <w:szCs w:val="24"/>
        </w:rPr>
        <w:t>. 23 (2), 897. doi:10.3390/ijms23020897.</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Rider, L. &amp; Cramer, S.D. (2015) SPOP the mutation. </w:t>
      </w:r>
      <w:r w:rsidRPr="00F04B2E">
        <w:rPr>
          <w:rFonts w:ascii="Times New Roman" w:hAnsi="Times New Roman" w:cs="Times New Roman"/>
          <w:i/>
          <w:iCs/>
          <w:sz w:val="24"/>
          <w:szCs w:val="24"/>
        </w:rPr>
        <w:t>eLife</w:t>
      </w:r>
      <w:r w:rsidRPr="00F04B2E">
        <w:rPr>
          <w:rFonts w:ascii="Times New Roman" w:hAnsi="Times New Roman" w:cs="Times New Roman"/>
          <w:sz w:val="24"/>
          <w:szCs w:val="24"/>
        </w:rPr>
        <w:t>. 4, e11760. doi:10.7554/eLife.11760.</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Robinson, D., Van Allen, E.M., Wu, Y.-M., Schultz, N., Lonigro, R.J., et al. (2015) Integrative Clinical Genomics of Advanced Prostate Cancer. </w:t>
      </w:r>
      <w:r w:rsidRPr="00F04B2E">
        <w:rPr>
          <w:rFonts w:ascii="Times New Roman" w:hAnsi="Times New Roman" w:cs="Times New Roman"/>
          <w:i/>
          <w:iCs/>
          <w:sz w:val="24"/>
          <w:szCs w:val="24"/>
        </w:rPr>
        <w:t>Cell</w:t>
      </w:r>
      <w:r w:rsidRPr="00F04B2E">
        <w:rPr>
          <w:rFonts w:ascii="Times New Roman" w:hAnsi="Times New Roman" w:cs="Times New Roman"/>
          <w:sz w:val="24"/>
          <w:szCs w:val="24"/>
        </w:rPr>
        <w:t>. 161 (5), 1215–1228. doi:10.1016/j.cell.2015.05.001.</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Rosellini, M., Santoni, M., Mollica, V., Rizzo, A., Cimadamore, A., Scarpelli, M., Storti, N., Battelli, N., Montironi, R. &amp; Massari, F. (2021) Treating Prostate Cancer by Antibody-Drug Conjugates. </w:t>
      </w:r>
      <w:r w:rsidRPr="00F04B2E">
        <w:rPr>
          <w:rFonts w:ascii="Times New Roman" w:hAnsi="Times New Roman" w:cs="Times New Roman"/>
          <w:i/>
          <w:iCs/>
          <w:sz w:val="24"/>
          <w:szCs w:val="24"/>
        </w:rPr>
        <w:t>International Journal of Molecular Sciences</w:t>
      </w:r>
      <w:r w:rsidRPr="00F04B2E">
        <w:rPr>
          <w:rFonts w:ascii="Times New Roman" w:hAnsi="Times New Roman" w:cs="Times New Roman"/>
          <w:sz w:val="24"/>
          <w:szCs w:val="24"/>
        </w:rPr>
        <w:t>. 22 (4), 1551. doi:10.3390/ijms22041551.</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Rotimi, S., Rotimi, O., Iyanda‐Joel, W., Adelani, I., Oguamanam, N. &amp; Ohamobi, O. (2015) Effects of Quercetin on L‐Arginine‐Induced Acute Pancreatitis in Rats. </w:t>
      </w:r>
      <w:r w:rsidRPr="00F04B2E">
        <w:rPr>
          <w:rFonts w:ascii="Times New Roman" w:hAnsi="Times New Roman" w:cs="Times New Roman"/>
          <w:i/>
          <w:iCs/>
          <w:sz w:val="24"/>
          <w:szCs w:val="24"/>
        </w:rPr>
        <w:t>The FASEB Journal</w:t>
      </w:r>
      <w:r w:rsidRPr="00F04B2E">
        <w:rPr>
          <w:rFonts w:ascii="Times New Roman" w:hAnsi="Times New Roman" w:cs="Times New Roman"/>
          <w:sz w:val="24"/>
          <w:szCs w:val="24"/>
        </w:rPr>
        <w:t>. 29 (S1). doi:10.1096/fasebj.29.1_supplement.856.4.</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Severson, T., Qiu, X., Alshalalfa, M., Sjöström, M., Quigley, D., Bergman, A., Long, H., Feng, F., Freedman, M.L., Zwart, W. &amp; Pomerantz, M.M. (2022) Androgen receptor reprogramming demarcates prognostic, context-dependent gene sets in primary and metastatic prostate cancer. </w:t>
      </w:r>
      <w:r w:rsidRPr="00F04B2E">
        <w:rPr>
          <w:rFonts w:ascii="Times New Roman" w:hAnsi="Times New Roman" w:cs="Times New Roman"/>
          <w:i/>
          <w:iCs/>
          <w:sz w:val="24"/>
          <w:szCs w:val="24"/>
        </w:rPr>
        <w:t>Clinical Epigenetics</w:t>
      </w:r>
      <w:r w:rsidRPr="00F04B2E">
        <w:rPr>
          <w:rFonts w:ascii="Times New Roman" w:hAnsi="Times New Roman" w:cs="Times New Roman"/>
          <w:sz w:val="24"/>
          <w:szCs w:val="24"/>
        </w:rPr>
        <w:t>. 14 (1), 60. doi:10.1186/s13148-022-01278-8.</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lastRenderedPageBreak/>
        <w:t xml:space="preserve">Shi, Q., Zhu, Y., Ma, J., Chang, K., Ding, D., et al. (2019) Prostate Cancer-associated SPOP mutations enhance cancer cell survival and docetaxel resistance by upregulating Caprin1-dependent stress granule assembly. </w:t>
      </w:r>
      <w:r w:rsidRPr="00F04B2E">
        <w:rPr>
          <w:rFonts w:ascii="Times New Roman" w:hAnsi="Times New Roman" w:cs="Times New Roman"/>
          <w:i/>
          <w:iCs/>
          <w:sz w:val="24"/>
          <w:szCs w:val="24"/>
        </w:rPr>
        <w:t>Molecular Cancer</w:t>
      </w:r>
      <w:r w:rsidRPr="00F04B2E">
        <w:rPr>
          <w:rFonts w:ascii="Times New Roman" w:hAnsi="Times New Roman" w:cs="Times New Roman"/>
          <w:sz w:val="24"/>
          <w:szCs w:val="24"/>
        </w:rPr>
        <w:t>. 18 (1), 170. doi:10.1186/s12943-019-1096-x.</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Shi, X., Wang, Y., Zhang, L., Zhao, W., Dai, X., Yang, Y.-G. &amp; Zhang, X. (2022) Targeting bromodomain and extra-terminal proteins to inhibit neuroblastoma tumorigenesis through regulating MYCN. </w:t>
      </w:r>
      <w:r w:rsidRPr="00F04B2E">
        <w:rPr>
          <w:rFonts w:ascii="Times New Roman" w:hAnsi="Times New Roman" w:cs="Times New Roman"/>
          <w:i/>
          <w:iCs/>
          <w:sz w:val="24"/>
          <w:szCs w:val="24"/>
        </w:rPr>
        <w:t>Frontiers in Cell and Developmental Biology</w:t>
      </w:r>
      <w:r w:rsidRPr="00F04B2E">
        <w:rPr>
          <w:rFonts w:ascii="Times New Roman" w:hAnsi="Times New Roman" w:cs="Times New Roman"/>
          <w:sz w:val="24"/>
          <w:szCs w:val="24"/>
        </w:rPr>
        <w:t>. 10, 1021820. doi:10.3389/fcell.2022.1021820.</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Sinobiologoical (2023) </w:t>
      </w:r>
      <w:r w:rsidRPr="00F04B2E">
        <w:rPr>
          <w:rFonts w:ascii="Times New Roman" w:hAnsi="Times New Roman" w:cs="Times New Roman"/>
          <w:i/>
          <w:iCs/>
          <w:sz w:val="24"/>
          <w:szCs w:val="24"/>
        </w:rPr>
        <w:t>Cancer Biomarker Discovery | Sino Biological</w:t>
      </w:r>
      <w:r w:rsidRPr="00F04B2E">
        <w:rPr>
          <w:rFonts w:ascii="Times New Roman" w:hAnsi="Times New Roman" w:cs="Times New Roman"/>
          <w:sz w:val="24"/>
          <w:szCs w:val="24"/>
        </w:rPr>
        <w:t>. 2023. https://www.sinobiological.com/resource/cancer-biomarker/discovery [Accessed: 4 June 2023].</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Stover, E.H., Oh, C., Keskula, P., Choudhury, A.D., Tseng, Y., et al. (2022) Implementation of a prostate cancer‐specific targeted sequencing panel for credentialing of patient‐derived cell lines and genomic characterization of patient samples. </w:t>
      </w:r>
      <w:r w:rsidRPr="00F04B2E">
        <w:rPr>
          <w:rFonts w:ascii="Times New Roman" w:hAnsi="Times New Roman" w:cs="Times New Roman"/>
          <w:i/>
          <w:iCs/>
          <w:sz w:val="24"/>
          <w:szCs w:val="24"/>
        </w:rPr>
        <w:t>The Prostate</w:t>
      </w:r>
      <w:r w:rsidRPr="00F04B2E">
        <w:rPr>
          <w:rFonts w:ascii="Times New Roman" w:hAnsi="Times New Roman" w:cs="Times New Roman"/>
          <w:sz w:val="24"/>
          <w:szCs w:val="24"/>
        </w:rPr>
        <w:t>. 82 (5), 584–597. doi:10.1002/pros.24305.</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Student, S., Hejmo, T., Poterała-Hejmo, A., Leśniak, A. &amp; Bułdak, R. (2020) Anti-androgen hormonal therapy for cancer and other diseases. </w:t>
      </w:r>
      <w:r w:rsidRPr="00F04B2E">
        <w:rPr>
          <w:rFonts w:ascii="Times New Roman" w:hAnsi="Times New Roman" w:cs="Times New Roman"/>
          <w:i/>
          <w:iCs/>
          <w:sz w:val="24"/>
          <w:szCs w:val="24"/>
        </w:rPr>
        <w:t>European Journal of Pharmacology</w:t>
      </w:r>
      <w:r w:rsidRPr="00F04B2E">
        <w:rPr>
          <w:rFonts w:ascii="Times New Roman" w:hAnsi="Times New Roman" w:cs="Times New Roman"/>
          <w:sz w:val="24"/>
          <w:szCs w:val="24"/>
        </w:rPr>
        <w:t>. 866, 172783. doi:10.1016/j.ejphar.2019.172783.</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Sung, H., Ferlay, J., Siegel, R.L., Laversanne, M., Soerjomataram, I., Jemal, A. &amp; Bray, F. (2021) Global Cancer Statistics 2020: GLOBOCAN Estimates of Incidence and Mortality Worldwide for 36 Cancers in 185 Countries. </w:t>
      </w:r>
      <w:r w:rsidRPr="00F04B2E">
        <w:rPr>
          <w:rFonts w:ascii="Times New Roman" w:hAnsi="Times New Roman" w:cs="Times New Roman"/>
          <w:i/>
          <w:iCs/>
          <w:sz w:val="24"/>
          <w:szCs w:val="24"/>
        </w:rPr>
        <w:t>CA: a cancer journal for clinicians</w:t>
      </w:r>
      <w:r w:rsidRPr="00F04B2E">
        <w:rPr>
          <w:rFonts w:ascii="Times New Roman" w:hAnsi="Times New Roman" w:cs="Times New Roman"/>
          <w:sz w:val="24"/>
          <w:szCs w:val="24"/>
        </w:rPr>
        <w:t>. 71 (3), 209–249. doi:10.3322/caac.21660.</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Svintsitskaya, N., Hryn, V. &amp; Katsenko, A. (2021) </w:t>
      </w:r>
      <w:r w:rsidRPr="00F04B2E">
        <w:rPr>
          <w:rFonts w:ascii="Times New Roman" w:hAnsi="Times New Roman" w:cs="Times New Roman"/>
          <w:i/>
          <w:iCs/>
          <w:sz w:val="24"/>
          <w:szCs w:val="24"/>
        </w:rPr>
        <w:t>Anatomy of the Urinary and Reproductive Systems. Structural Features in Childhood. Abnormalities</w:t>
      </w:r>
      <w:r w:rsidRPr="00F04B2E">
        <w:rPr>
          <w:rFonts w:ascii="Times New Roman" w:hAnsi="Times New Roman" w:cs="Times New Roman"/>
          <w:sz w:val="24"/>
          <w:szCs w:val="24"/>
        </w:rPr>
        <w:t>.</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Szwarc, M.M., Kommagani, R., Lessey, B.A. &amp; Lydon, J.P. (2014) The p160/Steroid Receptor Coactivator Family: Potent Arbiters of Uterine Physiology and Dysfunction1. </w:t>
      </w:r>
      <w:r w:rsidRPr="00F04B2E">
        <w:rPr>
          <w:rFonts w:ascii="Times New Roman" w:hAnsi="Times New Roman" w:cs="Times New Roman"/>
          <w:i/>
          <w:iCs/>
          <w:sz w:val="24"/>
          <w:szCs w:val="24"/>
        </w:rPr>
        <w:t>Biology of Reproduction</w:t>
      </w:r>
      <w:r w:rsidRPr="00F04B2E">
        <w:rPr>
          <w:rFonts w:ascii="Times New Roman" w:hAnsi="Times New Roman" w:cs="Times New Roman"/>
          <w:sz w:val="24"/>
          <w:szCs w:val="24"/>
        </w:rPr>
        <w:t>. 91 (5). doi:10.1095/biolreprod.114.125021.</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Takayama, K. (2018) The Biological Role of Androgen Receptor in Prostate Cancer Progression. In: M. Estrada (ed.). </w:t>
      </w:r>
      <w:r w:rsidRPr="00F04B2E">
        <w:rPr>
          <w:rFonts w:ascii="Times New Roman" w:hAnsi="Times New Roman" w:cs="Times New Roman"/>
          <w:i/>
          <w:iCs/>
          <w:sz w:val="24"/>
          <w:szCs w:val="24"/>
        </w:rPr>
        <w:t>Advances in Testosterone Action</w:t>
      </w:r>
      <w:r w:rsidRPr="00F04B2E">
        <w:rPr>
          <w:rFonts w:ascii="Times New Roman" w:hAnsi="Times New Roman" w:cs="Times New Roman"/>
          <w:sz w:val="24"/>
          <w:szCs w:val="24"/>
        </w:rPr>
        <w:t>. IntechOpen. p. doi:10.5772/intechopen.76360.</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Thomas, C., Lamoureux, F., Crafter, C., Davies, B.R., Beraldi, E., Fazli, L., Kim, S., Thaper, D., Gleave, M.E. &amp; Zoubeidi, A. (2013) Synergistic Targeting of PI3K/AKT Pathway and Androgen Receptor Axis Significantly Delays Castration-Resistant Prostate Cancer Progression </w:t>
      </w:r>
      <w:r w:rsidRPr="00F04B2E">
        <w:rPr>
          <w:rFonts w:ascii="Times New Roman" w:hAnsi="Times New Roman" w:cs="Times New Roman"/>
          <w:i/>
          <w:iCs/>
          <w:sz w:val="24"/>
          <w:szCs w:val="24"/>
        </w:rPr>
        <w:t>In Vivo</w:t>
      </w:r>
      <w:r w:rsidRPr="00F04B2E">
        <w:rPr>
          <w:rFonts w:ascii="Times New Roman" w:hAnsi="Times New Roman" w:cs="Times New Roman"/>
          <w:sz w:val="24"/>
          <w:szCs w:val="24"/>
        </w:rPr>
        <w:t xml:space="preserve">. </w:t>
      </w:r>
      <w:r w:rsidRPr="00F04B2E">
        <w:rPr>
          <w:rFonts w:ascii="Times New Roman" w:hAnsi="Times New Roman" w:cs="Times New Roman"/>
          <w:i/>
          <w:iCs/>
          <w:sz w:val="24"/>
          <w:szCs w:val="24"/>
        </w:rPr>
        <w:t>Molecular Cancer Therapeutics</w:t>
      </w:r>
      <w:r w:rsidRPr="00F04B2E">
        <w:rPr>
          <w:rFonts w:ascii="Times New Roman" w:hAnsi="Times New Roman" w:cs="Times New Roman"/>
          <w:sz w:val="24"/>
          <w:szCs w:val="24"/>
        </w:rPr>
        <w:t>. 12 (11), 2342–2355. doi:10.1158/1535-7163.MCT-13-0032.</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Tien, J.C.-Y., Liu, Z., Liao, L., Wang, F., Xu, Y., Wu, Y.-L., Zhou, N., Ittmann, M. &amp; Xu, J. (2013) The Steroid Receptor Coactivator-3 Is Required for the Development of Castration-Resistant Prostate Cancer. </w:t>
      </w:r>
      <w:r w:rsidRPr="00F04B2E">
        <w:rPr>
          <w:rFonts w:ascii="Times New Roman" w:hAnsi="Times New Roman" w:cs="Times New Roman"/>
          <w:i/>
          <w:iCs/>
          <w:sz w:val="24"/>
          <w:szCs w:val="24"/>
        </w:rPr>
        <w:t>Cancer Research</w:t>
      </w:r>
      <w:r w:rsidRPr="00F04B2E">
        <w:rPr>
          <w:rFonts w:ascii="Times New Roman" w:hAnsi="Times New Roman" w:cs="Times New Roman"/>
          <w:sz w:val="24"/>
          <w:szCs w:val="24"/>
        </w:rPr>
        <w:t>. 73 (13), 3997–4008. doi:10.1158/0008-5472.CAN-12-3929.</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Toren, P., Kim, S., Cordonnier, T., Crafter, C., Davies, B.R., Fazli, L., Gleave, M.E. &amp; Zoubeidi, A. (2015) Combination AZD5363 with Enzalutamide Significantly Delays </w:t>
      </w:r>
      <w:r w:rsidRPr="00F04B2E">
        <w:rPr>
          <w:rFonts w:ascii="Times New Roman" w:hAnsi="Times New Roman" w:cs="Times New Roman"/>
          <w:sz w:val="24"/>
          <w:szCs w:val="24"/>
        </w:rPr>
        <w:lastRenderedPageBreak/>
        <w:t xml:space="preserve">Enzalutamide-resistant Prostate Cancer in Preclinical Models. </w:t>
      </w:r>
      <w:r w:rsidRPr="00F04B2E">
        <w:rPr>
          <w:rFonts w:ascii="Times New Roman" w:hAnsi="Times New Roman" w:cs="Times New Roman"/>
          <w:i/>
          <w:iCs/>
          <w:sz w:val="24"/>
          <w:szCs w:val="24"/>
        </w:rPr>
        <w:t>European Urology</w:t>
      </w:r>
      <w:r w:rsidRPr="00F04B2E">
        <w:rPr>
          <w:rFonts w:ascii="Times New Roman" w:hAnsi="Times New Roman" w:cs="Times New Roman"/>
          <w:sz w:val="24"/>
          <w:szCs w:val="24"/>
        </w:rPr>
        <w:t>. 67 (6), 986–990. doi:10.1016/j.eururo.2014.08.006.</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Tortorella, E., Giantulli, S., Sciarra, A. &amp; Silvestri, I. (2023) AR and PI3K/AKT in Prostate Cancer: A Tale of Two Interconnected Pathways. </w:t>
      </w:r>
      <w:r w:rsidRPr="00F04B2E">
        <w:rPr>
          <w:rFonts w:ascii="Times New Roman" w:hAnsi="Times New Roman" w:cs="Times New Roman"/>
          <w:i/>
          <w:iCs/>
          <w:sz w:val="24"/>
          <w:szCs w:val="24"/>
        </w:rPr>
        <w:t>International Journal of Molecular Sciences</w:t>
      </w:r>
      <w:r w:rsidRPr="00F04B2E">
        <w:rPr>
          <w:rFonts w:ascii="Times New Roman" w:hAnsi="Times New Roman" w:cs="Times New Roman"/>
          <w:sz w:val="24"/>
          <w:szCs w:val="24"/>
        </w:rPr>
        <w:t>. 24 (3), 2046. doi:10.3390/ijms24032046.</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Ugwumba, F. &amp; Nnabugwu, I. (2022) Prostate cancer characteristics: A descriptive analysis of clinical features at presentation in the last decade in a black African community. </w:t>
      </w:r>
      <w:r w:rsidRPr="00F04B2E">
        <w:rPr>
          <w:rFonts w:ascii="Times New Roman" w:hAnsi="Times New Roman" w:cs="Times New Roman"/>
          <w:i/>
          <w:iCs/>
          <w:sz w:val="24"/>
          <w:szCs w:val="24"/>
        </w:rPr>
        <w:t>Annals of African Medicine</w:t>
      </w:r>
      <w:r w:rsidRPr="00F04B2E">
        <w:rPr>
          <w:rFonts w:ascii="Times New Roman" w:hAnsi="Times New Roman" w:cs="Times New Roman"/>
          <w:sz w:val="24"/>
          <w:szCs w:val="24"/>
        </w:rPr>
        <w:t>. 21 (2), 153. doi:10.4103/aam.aam_101_20.</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Wang, J., Xiang, Y., Fan, M., Fang, S. &amp; Hua, Q. (2023) The Ubiquitin–Proteasome System in Tumor Metabolism. </w:t>
      </w:r>
      <w:r w:rsidRPr="00F04B2E">
        <w:rPr>
          <w:rFonts w:ascii="Times New Roman" w:hAnsi="Times New Roman" w:cs="Times New Roman"/>
          <w:i/>
          <w:iCs/>
          <w:sz w:val="24"/>
          <w:szCs w:val="24"/>
        </w:rPr>
        <w:t>Cancers</w:t>
      </w:r>
      <w:r w:rsidRPr="00F04B2E">
        <w:rPr>
          <w:rFonts w:ascii="Times New Roman" w:hAnsi="Times New Roman" w:cs="Times New Roman"/>
          <w:sz w:val="24"/>
          <w:szCs w:val="24"/>
        </w:rPr>
        <w:t>. 15 (8), 2385. doi:10.3390/cancers15082385.</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Wang, L., Lu, B., He, M., Wang, Y., Wang, Z. &amp; Du, L. (2022) Prostate Cancer Incidence and Mortality: Global Status and Temporal Trends in 89 Countries From 2000 to 2019. </w:t>
      </w:r>
      <w:r w:rsidRPr="00F04B2E">
        <w:rPr>
          <w:rFonts w:ascii="Times New Roman" w:hAnsi="Times New Roman" w:cs="Times New Roman"/>
          <w:i/>
          <w:iCs/>
          <w:sz w:val="24"/>
          <w:szCs w:val="24"/>
        </w:rPr>
        <w:t>Frontiers in Public Health</w:t>
      </w:r>
      <w:r w:rsidRPr="00F04B2E">
        <w:rPr>
          <w:rFonts w:ascii="Times New Roman" w:hAnsi="Times New Roman" w:cs="Times New Roman"/>
          <w:sz w:val="24"/>
          <w:szCs w:val="24"/>
        </w:rPr>
        <w:t>. 10, 811044. doi:10.3389/fpubh.2022.811044.</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Yan, Y., Ma, J., Wang, D., Lin, D., Pang, X., et al. (2019) The novel BET‐CBP/p300 dual inhibitor NEO2734 is active in SPOP mutant and wild‐type prostate cancer. </w:t>
      </w:r>
      <w:r w:rsidRPr="00F04B2E">
        <w:rPr>
          <w:rFonts w:ascii="Times New Roman" w:hAnsi="Times New Roman" w:cs="Times New Roman"/>
          <w:i/>
          <w:iCs/>
          <w:sz w:val="24"/>
          <w:szCs w:val="24"/>
        </w:rPr>
        <w:t>EMBO Molecular Medicine</w:t>
      </w:r>
      <w:r w:rsidRPr="00F04B2E">
        <w:rPr>
          <w:rFonts w:ascii="Times New Roman" w:hAnsi="Times New Roman" w:cs="Times New Roman"/>
          <w:sz w:val="24"/>
          <w:szCs w:val="24"/>
        </w:rPr>
        <w:t>. 11 (11), e10659. doi:10.15252/emmm.201910659.</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Yang, X. &amp; Zhu, Q. (2022) SPOP in Cancer: Phenomena, Mechanisms and Its Role in Therapeutic Implications. </w:t>
      </w:r>
      <w:r w:rsidRPr="00F04B2E">
        <w:rPr>
          <w:rFonts w:ascii="Times New Roman" w:hAnsi="Times New Roman" w:cs="Times New Roman"/>
          <w:i/>
          <w:iCs/>
          <w:sz w:val="24"/>
          <w:szCs w:val="24"/>
        </w:rPr>
        <w:t>Genes</w:t>
      </w:r>
      <w:r w:rsidRPr="00F04B2E">
        <w:rPr>
          <w:rFonts w:ascii="Times New Roman" w:hAnsi="Times New Roman" w:cs="Times New Roman"/>
          <w:sz w:val="24"/>
          <w:szCs w:val="24"/>
        </w:rPr>
        <w:t>. 13 (11), 2051. doi:10.3390/genes13112051.</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Zakari, S. (2024) Unveiling the latest insights into Androgen Receptors in Prostate Cancer. </w:t>
      </w:r>
      <w:r w:rsidRPr="00F04B2E">
        <w:rPr>
          <w:rFonts w:ascii="Times New Roman" w:hAnsi="Times New Roman" w:cs="Times New Roman"/>
          <w:i/>
          <w:iCs/>
          <w:sz w:val="24"/>
          <w:szCs w:val="24"/>
        </w:rPr>
        <w:t>International Journal of Medical Biochemistry</w:t>
      </w:r>
      <w:r w:rsidRPr="00F04B2E">
        <w:rPr>
          <w:rFonts w:ascii="Times New Roman" w:hAnsi="Times New Roman" w:cs="Times New Roman"/>
          <w:sz w:val="24"/>
          <w:szCs w:val="24"/>
        </w:rPr>
        <w:t>. 101–113. doi:10.14744/ijmb.2024.93585.</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Zakari, S., Cleanclay, W.D., Bella-Omunagbe, M., Zakari, H., Ogbu, C.O., Uti, D.E. &amp; Ogunlana, O.O. (2024) The role of SRC-3 in prostate cancer progression and implications for therapeutic targeting: A systematic review. </w:t>
      </w:r>
      <w:r w:rsidRPr="00F04B2E">
        <w:rPr>
          <w:rFonts w:ascii="Times New Roman" w:hAnsi="Times New Roman" w:cs="Times New Roman"/>
          <w:i/>
          <w:iCs/>
          <w:sz w:val="24"/>
          <w:szCs w:val="24"/>
        </w:rPr>
        <w:t>Journal of Pharmacy &amp; Pharmacognosy Research</w:t>
      </w:r>
      <w:r w:rsidRPr="00F04B2E">
        <w:rPr>
          <w:rFonts w:ascii="Times New Roman" w:hAnsi="Times New Roman" w:cs="Times New Roman"/>
          <w:sz w:val="24"/>
          <w:szCs w:val="24"/>
        </w:rPr>
        <w:t>. 12 (5), 994–1007. doi:10.56499/jppres23.1916_12.5.994.</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Zakari, S., Ekenwaneze, C.C., Amadi, E.C. &amp; Ogunlana, O.O. (2023) </w:t>
      </w:r>
      <w:r w:rsidRPr="00F04B2E">
        <w:rPr>
          <w:rFonts w:ascii="Times New Roman" w:hAnsi="Times New Roman" w:cs="Times New Roman"/>
          <w:i/>
          <w:iCs/>
          <w:sz w:val="24"/>
          <w:szCs w:val="24"/>
        </w:rPr>
        <w:t>Unlocking the Secrets of Androgen Receptors in the Susceptibility, Progression, and Treatment of Prostate Cancer</w:t>
      </w:r>
      <w:r w:rsidRPr="00F04B2E">
        <w:rPr>
          <w:rFonts w:ascii="Times New Roman" w:hAnsi="Times New Roman" w:cs="Times New Roman"/>
          <w:sz w:val="24"/>
          <w:szCs w:val="24"/>
        </w:rPr>
        <w:t>. doi:10.20944/preprints202305.0720.v2.</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Zhang, H., Jin, X. &amp; Huang, H. (2023a) Data from Deregulation of SPOP in Cancer. </w:t>
      </w:r>
      <w:r w:rsidRPr="00F04B2E">
        <w:rPr>
          <w:rFonts w:ascii="Times New Roman" w:hAnsi="Times New Roman" w:cs="Times New Roman"/>
          <w:i/>
          <w:iCs/>
          <w:sz w:val="24"/>
          <w:szCs w:val="24"/>
        </w:rPr>
        <w:t>American Association for Cancer Research</w:t>
      </w:r>
      <w:r w:rsidRPr="00F04B2E">
        <w:rPr>
          <w:rFonts w:ascii="Times New Roman" w:hAnsi="Times New Roman" w:cs="Times New Roman"/>
          <w:sz w:val="24"/>
          <w:szCs w:val="24"/>
        </w:rPr>
        <w:t>. doi:10.1158/0008-5472.c.6514377.</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Zhang, H., Jin, X. &amp; Huang, H. (2023b) Deregulation of SPOP in Cancer. </w:t>
      </w:r>
      <w:r w:rsidRPr="00F04B2E">
        <w:rPr>
          <w:rFonts w:ascii="Times New Roman" w:hAnsi="Times New Roman" w:cs="Times New Roman"/>
          <w:i/>
          <w:iCs/>
          <w:sz w:val="24"/>
          <w:szCs w:val="24"/>
        </w:rPr>
        <w:t>Cancer Research</w:t>
      </w:r>
      <w:r w:rsidRPr="00F04B2E">
        <w:rPr>
          <w:rFonts w:ascii="Times New Roman" w:hAnsi="Times New Roman" w:cs="Times New Roman"/>
          <w:sz w:val="24"/>
          <w:szCs w:val="24"/>
        </w:rPr>
        <w:t>. 83 (4), 489–499. doi:10.1158/0008-5472.CAN-22-2801.</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Zhang, H., Zhou, Y., Xing, Z., Sah, R.K., Hu, J. &amp; Hu, H. (2022) Androgen Metabolism and Response in Prostate Cancer Anti-Androgen Therapy Resistance. </w:t>
      </w:r>
      <w:r w:rsidRPr="00F04B2E">
        <w:rPr>
          <w:rFonts w:ascii="Times New Roman" w:hAnsi="Times New Roman" w:cs="Times New Roman"/>
          <w:i/>
          <w:iCs/>
          <w:sz w:val="24"/>
          <w:szCs w:val="24"/>
        </w:rPr>
        <w:t>International Journal of Molecular Sciences</w:t>
      </w:r>
      <w:r w:rsidRPr="00F04B2E">
        <w:rPr>
          <w:rFonts w:ascii="Times New Roman" w:hAnsi="Times New Roman" w:cs="Times New Roman"/>
          <w:sz w:val="24"/>
          <w:szCs w:val="24"/>
        </w:rPr>
        <w:t>. 23 (21), 13521. doi:10.3390/ijms232113521.</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Zhang, J., Gao, K., Xie, H., Wang, D., Zhang, P., et al. (2021) SPOP mutation induces DNA methylation via stabilizing GLP/G9a. </w:t>
      </w:r>
      <w:r w:rsidRPr="00F04B2E">
        <w:rPr>
          <w:rFonts w:ascii="Times New Roman" w:hAnsi="Times New Roman" w:cs="Times New Roman"/>
          <w:i/>
          <w:iCs/>
          <w:sz w:val="24"/>
          <w:szCs w:val="24"/>
        </w:rPr>
        <w:t>Nature Communications</w:t>
      </w:r>
      <w:r w:rsidRPr="00F04B2E">
        <w:rPr>
          <w:rFonts w:ascii="Times New Roman" w:hAnsi="Times New Roman" w:cs="Times New Roman"/>
          <w:sz w:val="24"/>
          <w:szCs w:val="24"/>
        </w:rPr>
        <w:t>. 12 (1), 5716. doi:10.1038/s41467-021-25951-3.</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lastRenderedPageBreak/>
        <w:t xml:space="preserve">Zhao, J., Sun, G., Zhu, S., Dai, J., Chen, J., et al. (2022) Circulating tumour DNA reveals genetic traits of patients with intraductal carcinoma of the prostate. </w:t>
      </w:r>
      <w:r w:rsidRPr="00F04B2E">
        <w:rPr>
          <w:rFonts w:ascii="Times New Roman" w:hAnsi="Times New Roman" w:cs="Times New Roman"/>
          <w:i/>
          <w:iCs/>
          <w:sz w:val="24"/>
          <w:szCs w:val="24"/>
        </w:rPr>
        <w:t>BJU international</w:t>
      </w:r>
      <w:r w:rsidRPr="00F04B2E">
        <w:rPr>
          <w:rFonts w:ascii="Times New Roman" w:hAnsi="Times New Roman" w:cs="Times New Roman"/>
          <w:sz w:val="24"/>
          <w:szCs w:val="24"/>
        </w:rPr>
        <w:t>. 129 (3), 345–355. doi:10.1111/bju.15530.</w:t>
      </w:r>
    </w:p>
    <w:p w:rsidR="00F12E86" w:rsidRPr="00F04B2E" w:rsidRDefault="00F12E86" w:rsidP="00F04B2E">
      <w:pPr>
        <w:pStyle w:val="Bibliography"/>
        <w:jc w:val="both"/>
        <w:rPr>
          <w:rFonts w:ascii="Times New Roman" w:hAnsi="Times New Roman" w:cs="Times New Roman"/>
          <w:sz w:val="24"/>
          <w:szCs w:val="24"/>
        </w:rPr>
      </w:pPr>
      <w:r w:rsidRPr="00F04B2E">
        <w:rPr>
          <w:rFonts w:ascii="Times New Roman" w:hAnsi="Times New Roman" w:cs="Times New Roman"/>
          <w:sz w:val="24"/>
          <w:szCs w:val="24"/>
        </w:rPr>
        <w:t xml:space="preserve">Zhou, H.-J., Yan, J., Luo, W., Ayala, G., Lin, S.-H., Erdem, H., Ittmann, M., Tsai, S.Y. &amp; Tsai, M.-J. (2005) SRC-3 Is Required for Prostate Cancer Cell Proliferation and Survival. </w:t>
      </w:r>
      <w:r w:rsidRPr="00F04B2E">
        <w:rPr>
          <w:rFonts w:ascii="Times New Roman" w:hAnsi="Times New Roman" w:cs="Times New Roman"/>
          <w:i/>
          <w:iCs/>
          <w:sz w:val="24"/>
          <w:szCs w:val="24"/>
        </w:rPr>
        <w:t>Cancer Research</w:t>
      </w:r>
      <w:r w:rsidRPr="00F04B2E">
        <w:rPr>
          <w:rFonts w:ascii="Times New Roman" w:hAnsi="Times New Roman" w:cs="Times New Roman"/>
          <w:sz w:val="24"/>
          <w:szCs w:val="24"/>
        </w:rPr>
        <w:t>. 65 (17), 7976–7983. doi:10.1158/0008-5472.CAN-04-4076.</w:t>
      </w:r>
    </w:p>
    <w:p w:rsidR="00CF3CF4" w:rsidRPr="00F04B2E" w:rsidRDefault="00F77439" w:rsidP="00F04B2E">
      <w:pPr>
        <w:spacing w:after="0" w:line="360" w:lineRule="auto"/>
        <w:jc w:val="both"/>
        <w:rPr>
          <w:rFonts w:ascii="Times New Roman" w:hAnsi="Times New Roman" w:cs="Times New Roman"/>
          <w:sz w:val="24"/>
          <w:szCs w:val="24"/>
        </w:rPr>
      </w:pPr>
      <w:r w:rsidRPr="00F04B2E">
        <w:rPr>
          <w:rFonts w:ascii="Times New Roman" w:hAnsi="Times New Roman" w:cs="Times New Roman"/>
          <w:sz w:val="24"/>
          <w:szCs w:val="24"/>
        </w:rPr>
        <w:fldChar w:fldCharType="end"/>
      </w:r>
      <w:bookmarkStart w:id="12" w:name="page7"/>
      <w:bookmarkEnd w:id="12"/>
    </w:p>
    <w:sectPr w:rsidR="00CF3CF4" w:rsidRPr="00F04B2E" w:rsidSect="0065633E">
      <w:footerReference w:type="default" r:id="rId5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6BAB" w:rsidRDefault="00DA6BAB" w:rsidP="00A07804">
      <w:pPr>
        <w:spacing w:after="0" w:line="240" w:lineRule="auto"/>
      </w:pPr>
      <w:r>
        <w:separator/>
      </w:r>
    </w:p>
  </w:endnote>
  <w:endnote w:type="continuationSeparator" w:id="0">
    <w:p w:rsidR="00DA6BAB" w:rsidRDefault="00DA6BAB" w:rsidP="00A078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ordia New">
    <w:altName w:val="Arial Unicode MS"/>
    <w:panose1 w:val="020B0304020202020204"/>
    <w:charset w:val="DE"/>
    <w:family w:val="roman"/>
    <w:notTrueType/>
    <w:pitch w:val="variable"/>
    <w:sig w:usb0="01000000" w:usb1="00000000" w:usb2="00000000" w:usb3="00000000" w:csb0="0001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5882766"/>
      <w:docPartObj>
        <w:docPartGallery w:val="Page Numbers (Bottom of Page)"/>
        <w:docPartUnique/>
      </w:docPartObj>
    </w:sdtPr>
    <w:sdtEndPr>
      <w:rPr>
        <w:noProof/>
      </w:rPr>
    </w:sdtEndPr>
    <w:sdtContent>
      <w:p w:rsidR="00303DDB" w:rsidRDefault="00303DDB">
        <w:pPr>
          <w:pStyle w:val="Footer"/>
          <w:jc w:val="center"/>
        </w:pPr>
        <w:r>
          <w:fldChar w:fldCharType="begin"/>
        </w:r>
        <w:r>
          <w:instrText xml:space="preserve"> PAGE   \* MERGEFORMAT </w:instrText>
        </w:r>
        <w:r>
          <w:fldChar w:fldCharType="separate"/>
        </w:r>
        <w:r w:rsidR="003271FE">
          <w:rPr>
            <w:noProof/>
          </w:rPr>
          <w:t>xiii</w:t>
        </w:r>
        <w:r>
          <w:rPr>
            <w:noProof/>
          </w:rPr>
          <w:fldChar w:fldCharType="end"/>
        </w:r>
      </w:p>
    </w:sdtContent>
  </w:sdt>
  <w:p w:rsidR="00303DDB" w:rsidRDefault="00303DD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95898910"/>
      <w:docPartObj>
        <w:docPartGallery w:val="Page Numbers (Bottom of Page)"/>
        <w:docPartUnique/>
      </w:docPartObj>
    </w:sdtPr>
    <w:sdtEndPr>
      <w:rPr>
        <w:noProof/>
      </w:rPr>
    </w:sdtEndPr>
    <w:sdtContent>
      <w:p w:rsidR="00303DDB" w:rsidRDefault="00303DDB">
        <w:pPr>
          <w:pStyle w:val="Footer"/>
          <w:jc w:val="center"/>
        </w:pPr>
        <w:r>
          <w:fldChar w:fldCharType="begin"/>
        </w:r>
        <w:r>
          <w:instrText xml:space="preserve"> PAGE   \* MERGEFORMAT </w:instrText>
        </w:r>
        <w:r>
          <w:fldChar w:fldCharType="separate"/>
        </w:r>
        <w:r w:rsidR="003271FE">
          <w:rPr>
            <w:noProof/>
          </w:rPr>
          <w:t>i</w:t>
        </w:r>
        <w:r>
          <w:rPr>
            <w:noProof/>
          </w:rPr>
          <w:fldChar w:fldCharType="end"/>
        </w:r>
      </w:p>
    </w:sdtContent>
  </w:sdt>
  <w:p w:rsidR="00303DDB" w:rsidRDefault="00303DD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960283"/>
      <w:docPartObj>
        <w:docPartGallery w:val="Page Numbers (Bottom of Page)"/>
        <w:docPartUnique/>
      </w:docPartObj>
    </w:sdtPr>
    <w:sdtEndPr>
      <w:rPr>
        <w:noProof/>
      </w:rPr>
    </w:sdtEndPr>
    <w:sdtContent>
      <w:p w:rsidR="00303DDB" w:rsidRDefault="00303DDB">
        <w:pPr>
          <w:pStyle w:val="Footer"/>
          <w:jc w:val="center"/>
        </w:pPr>
        <w:r>
          <w:fldChar w:fldCharType="begin"/>
        </w:r>
        <w:r>
          <w:instrText xml:space="preserve"> PAGE   \* MERGEFORMAT </w:instrText>
        </w:r>
        <w:r>
          <w:fldChar w:fldCharType="separate"/>
        </w:r>
        <w:r w:rsidR="00B57A24">
          <w:rPr>
            <w:noProof/>
          </w:rPr>
          <w:t>33</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6BAB" w:rsidRDefault="00DA6BAB" w:rsidP="00A07804">
      <w:pPr>
        <w:spacing w:after="0" w:line="240" w:lineRule="auto"/>
      </w:pPr>
      <w:r>
        <w:separator/>
      </w:r>
    </w:p>
  </w:footnote>
  <w:footnote w:type="continuationSeparator" w:id="0">
    <w:p w:rsidR="00DA6BAB" w:rsidRDefault="00DA6BAB" w:rsidP="00A0780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520C5"/>
    <w:multiLevelType w:val="multilevel"/>
    <w:tmpl w:val="AA6C8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7A91B53"/>
    <w:multiLevelType w:val="multilevel"/>
    <w:tmpl w:val="01124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D1C1239"/>
    <w:multiLevelType w:val="multilevel"/>
    <w:tmpl w:val="D6F40C76"/>
    <w:lvl w:ilvl="0">
      <w:start w:val="1"/>
      <w:numFmt w:val="upperRoman"/>
      <w:lvlText w:val="%1."/>
      <w:lvlJc w:val="right"/>
      <w:pPr>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0D4E2272"/>
    <w:multiLevelType w:val="multilevel"/>
    <w:tmpl w:val="2A021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D823E7E"/>
    <w:multiLevelType w:val="multilevel"/>
    <w:tmpl w:val="1EA878D0"/>
    <w:lvl w:ilvl="0">
      <w:start w:val="1"/>
      <w:numFmt w:val="upp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05F04E2"/>
    <w:multiLevelType w:val="multilevel"/>
    <w:tmpl w:val="16621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148118B"/>
    <w:multiLevelType w:val="hybridMultilevel"/>
    <w:tmpl w:val="74CA01F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3F4135A"/>
    <w:multiLevelType w:val="multilevel"/>
    <w:tmpl w:val="4462F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0E27EC8"/>
    <w:multiLevelType w:val="hybridMultilevel"/>
    <w:tmpl w:val="EACE92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17D4A22"/>
    <w:multiLevelType w:val="multilevel"/>
    <w:tmpl w:val="771CF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9FF1CEC"/>
    <w:multiLevelType w:val="multilevel"/>
    <w:tmpl w:val="6EE6DF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1E47F87"/>
    <w:multiLevelType w:val="multilevel"/>
    <w:tmpl w:val="D33E969A"/>
    <w:lvl w:ilvl="0">
      <w:start w:val="1"/>
      <w:numFmt w:val="upperRoman"/>
      <w:lvlText w:val="%1."/>
      <w:lvlJc w:val="right"/>
      <w:pPr>
        <w:ind w:left="720" w:hanging="360"/>
      </w:pPr>
    </w:lvl>
    <w:lvl w:ilvl="1">
      <w:start w:val="2"/>
      <w:numFmt w:val="decimal"/>
      <w:isLgl/>
      <w:lvlText w:val="%1.%2"/>
      <w:lvlJc w:val="left"/>
      <w:pPr>
        <w:ind w:left="900" w:hanging="54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nsid w:val="45A2266B"/>
    <w:multiLevelType w:val="multilevel"/>
    <w:tmpl w:val="13864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4BC1694B"/>
    <w:multiLevelType w:val="multilevel"/>
    <w:tmpl w:val="7BC01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EE56BAB"/>
    <w:multiLevelType w:val="hybridMultilevel"/>
    <w:tmpl w:val="7C228F9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2205749"/>
    <w:multiLevelType w:val="hybridMultilevel"/>
    <w:tmpl w:val="A87062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nsid w:val="526C358C"/>
    <w:multiLevelType w:val="multilevel"/>
    <w:tmpl w:val="EF9A89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D501D34"/>
    <w:multiLevelType w:val="hybridMultilevel"/>
    <w:tmpl w:val="147074A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D6A077F"/>
    <w:multiLevelType w:val="multilevel"/>
    <w:tmpl w:val="C51EAB56"/>
    <w:lvl w:ilvl="0">
      <w:start w:val="1"/>
      <w:numFmt w:val="upperRoman"/>
      <w:lvlText w:val="%1."/>
      <w:lvlJc w:val="right"/>
      <w:pPr>
        <w:ind w:left="720" w:hanging="360"/>
      </w:p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69D84DC8"/>
    <w:multiLevelType w:val="multilevel"/>
    <w:tmpl w:val="8E861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0123254"/>
    <w:multiLevelType w:val="multilevel"/>
    <w:tmpl w:val="DB24B0A4"/>
    <w:lvl w:ilvl="0">
      <w:start w:val="1"/>
      <w:numFmt w:val="upp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75955C4"/>
    <w:multiLevelType w:val="hybridMultilevel"/>
    <w:tmpl w:val="0302A9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847197B"/>
    <w:multiLevelType w:val="hybridMultilevel"/>
    <w:tmpl w:val="665E7BEC"/>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nsid w:val="7CAA683A"/>
    <w:multiLevelType w:val="multilevel"/>
    <w:tmpl w:val="890E8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7F054734"/>
    <w:multiLevelType w:val="multilevel"/>
    <w:tmpl w:val="C4907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2"/>
  </w:num>
  <w:num w:numId="3">
    <w:abstractNumId w:val="11"/>
  </w:num>
  <w:num w:numId="4">
    <w:abstractNumId w:val="14"/>
  </w:num>
  <w:num w:numId="5">
    <w:abstractNumId w:val="20"/>
  </w:num>
  <w:num w:numId="6">
    <w:abstractNumId w:val="9"/>
  </w:num>
  <w:num w:numId="7">
    <w:abstractNumId w:val="12"/>
  </w:num>
  <w:num w:numId="8">
    <w:abstractNumId w:val="3"/>
  </w:num>
  <w:num w:numId="9">
    <w:abstractNumId w:val="4"/>
  </w:num>
  <w:num w:numId="10">
    <w:abstractNumId w:val="23"/>
  </w:num>
  <w:num w:numId="11">
    <w:abstractNumId w:val="5"/>
  </w:num>
  <w:num w:numId="12">
    <w:abstractNumId w:val="13"/>
  </w:num>
  <w:num w:numId="13">
    <w:abstractNumId w:val="16"/>
  </w:num>
  <w:num w:numId="14">
    <w:abstractNumId w:val="7"/>
  </w:num>
  <w:num w:numId="15">
    <w:abstractNumId w:val="21"/>
  </w:num>
  <w:num w:numId="16">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8"/>
  </w:num>
  <w:num w:numId="19">
    <w:abstractNumId w:val="1"/>
  </w:num>
  <w:num w:numId="20">
    <w:abstractNumId w:val="0"/>
  </w:num>
  <w:num w:numId="21">
    <w:abstractNumId w:val="8"/>
  </w:num>
  <w:num w:numId="22">
    <w:abstractNumId w:val="19"/>
    <w:lvlOverride w:ilvl="0">
      <w:lvl w:ilvl="0">
        <w:numFmt w:val="bullet"/>
        <w:lvlText w:val=""/>
        <w:lvlJc w:val="left"/>
        <w:pPr>
          <w:tabs>
            <w:tab w:val="num" w:pos="720"/>
          </w:tabs>
          <w:ind w:left="720" w:hanging="360"/>
        </w:pPr>
        <w:rPr>
          <w:rFonts w:ascii="Symbol" w:hAnsi="Symbol" w:hint="default"/>
          <w:sz w:val="20"/>
        </w:rPr>
      </w:lvl>
    </w:lvlOverride>
  </w:num>
  <w:num w:numId="23">
    <w:abstractNumId w:val="24"/>
    <w:lvlOverride w:ilvl="0">
      <w:lvl w:ilvl="0">
        <w:numFmt w:val="bullet"/>
        <w:lvlText w:val=""/>
        <w:lvlJc w:val="left"/>
        <w:pPr>
          <w:tabs>
            <w:tab w:val="num" w:pos="720"/>
          </w:tabs>
          <w:ind w:left="720" w:hanging="360"/>
        </w:pPr>
        <w:rPr>
          <w:rFonts w:ascii="Symbol" w:hAnsi="Symbol" w:hint="default"/>
          <w:sz w:val="20"/>
        </w:rPr>
      </w:lvl>
    </w:lvlOverride>
  </w:num>
  <w:num w:numId="24">
    <w:abstractNumId w:val="17"/>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174"/>
    <w:rsid w:val="000045DB"/>
    <w:rsid w:val="00011733"/>
    <w:rsid w:val="00026F1D"/>
    <w:rsid w:val="00026F70"/>
    <w:rsid w:val="000354BB"/>
    <w:rsid w:val="00036324"/>
    <w:rsid w:val="00041F39"/>
    <w:rsid w:val="0004239B"/>
    <w:rsid w:val="00043351"/>
    <w:rsid w:val="000444B5"/>
    <w:rsid w:val="00045D89"/>
    <w:rsid w:val="000509E3"/>
    <w:rsid w:val="0005586F"/>
    <w:rsid w:val="00070C47"/>
    <w:rsid w:val="0007373E"/>
    <w:rsid w:val="00076CED"/>
    <w:rsid w:val="00083EAC"/>
    <w:rsid w:val="00084344"/>
    <w:rsid w:val="00092081"/>
    <w:rsid w:val="0009268F"/>
    <w:rsid w:val="00094276"/>
    <w:rsid w:val="000A180E"/>
    <w:rsid w:val="000B1F60"/>
    <w:rsid w:val="000B22BC"/>
    <w:rsid w:val="000B471F"/>
    <w:rsid w:val="000B7921"/>
    <w:rsid w:val="000C1B02"/>
    <w:rsid w:val="000C2A4C"/>
    <w:rsid w:val="000D2215"/>
    <w:rsid w:val="000D7061"/>
    <w:rsid w:val="000F083D"/>
    <w:rsid w:val="000F576F"/>
    <w:rsid w:val="001002C9"/>
    <w:rsid w:val="00101C75"/>
    <w:rsid w:val="001032BE"/>
    <w:rsid w:val="00103F16"/>
    <w:rsid w:val="00105F99"/>
    <w:rsid w:val="00106C12"/>
    <w:rsid w:val="00115ED2"/>
    <w:rsid w:val="001164EC"/>
    <w:rsid w:val="0012026F"/>
    <w:rsid w:val="00121EB0"/>
    <w:rsid w:val="00122917"/>
    <w:rsid w:val="00125053"/>
    <w:rsid w:val="00144310"/>
    <w:rsid w:val="00152645"/>
    <w:rsid w:val="0015710B"/>
    <w:rsid w:val="00162827"/>
    <w:rsid w:val="001666F2"/>
    <w:rsid w:val="0016724A"/>
    <w:rsid w:val="00167D83"/>
    <w:rsid w:val="00180F8E"/>
    <w:rsid w:val="00182B61"/>
    <w:rsid w:val="0018582E"/>
    <w:rsid w:val="001916A0"/>
    <w:rsid w:val="00193D6C"/>
    <w:rsid w:val="001A223C"/>
    <w:rsid w:val="001B341C"/>
    <w:rsid w:val="001C3107"/>
    <w:rsid w:val="001C3298"/>
    <w:rsid w:val="001C566F"/>
    <w:rsid w:val="001D6A24"/>
    <w:rsid w:val="001E008A"/>
    <w:rsid w:val="001E4EC6"/>
    <w:rsid w:val="001E51FB"/>
    <w:rsid w:val="001E649A"/>
    <w:rsid w:val="001F0818"/>
    <w:rsid w:val="001F3A64"/>
    <w:rsid w:val="001F618A"/>
    <w:rsid w:val="00203508"/>
    <w:rsid w:val="00203BCA"/>
    <w:rsid w:val="00205A3D"/>
    <w:rsid w:val="0020784A"/>
    <w:rsid w:val="002205EC"/>
    <w:rsid w:val="0022102A"/>
    <w:rsid w:val="00243866"/>
    <w:rsid w:val="00244140"/>
    <w:rsid w:val="00246713"/>
    <w:rsid w:val="00254F8B"/>
    <w:rsid w:val="0025761D"/>
    <w:rsid w:val="00272161"/>
    <w:rsid w:val="00274833"/>
    <w:rsid w:val="00291011"/>
    <w:rsid w:val="002A0882"/>
    <w:rsid w:val="002A0BA3"/>
    <w:rsid w:val="002A1928"/>
    <w:rsid w:val="002A5468"/>
    <w:rsid w:val="002B19F0"/>
    <w:rsid w:val="002B3F99"/>
    <w:rsid w:val="002C09DF"/>
    <w:rsid w:val="002C3845"/>
    <w:rsid w:val="002C43AC"/>
    <w:rsid w:val="002C5E90"/>
    <w:rsid w:val="002D440C"/>
    <w:rsid w:val="002D4C34"/>
    <w:rsid w:val="002E066F"/>
    <w:rsid w:val="002E1107"/>
    <w:rsid w:val="002E7761"/>
    <w:rsid w:val="002F7D1E"/>
    <w:rsid w:val="0030144A"/>
    <w:rsid w:val="00303DDB"/>
    <w:rsid w:val="00316921"/>
    <w:rsid w:val="00325ADD"/>
    <w:rsid w:val="003271FE"/>
    <w:rsid w:val="003350DF"/>
    <w:rsid w:val="00340626"/>
    <w:rsid w:val="003539EF"/>
    <w:rsid w:val="0036448A"/>
    <w:rsid w:val="0036675A"/>
    <w:rsid w:val="00367064"/>
    <w:rsid w:val="0036791A"/>
    <w:rsid w:val="00372627"/>
    <w:rsid w:val="00373D0E"/>
    <w:rsid w:val="003849B1"/>
    <w:rsid w:val="00386CA3"/>
    <w:rsid w:val="00396779"/>
    <w:rsid w:val="00396E7A"/>
    <w:rsid w:val="003A5471"/>
    <w:rsid w:val="003B196D"/>
    <w:rsid w:val="003B4883"/>
    <w:rsid w:val="003B5DC1"/>
    <w:rsid w:val="003C6440"/>
    <w:rsid w:val="003D6514"/>
    <w:rsid w:val="003E395C"/>
    <w:rsid w:val="003F20B5"/>
    <w:rsid w:val="003F741F"/>
    <w:rsid w:val="00405809"/>
    <w:rsid w:val="00411D5F"/>
    <w:rsid w:val="00414C49"/>
    <w:rsid w:val="00415270"/>
    <w:rsid w:val="00427179"/>
    <w:rsid w:val="004366D2"/>
    <w:rsid w:val="00442A74"/>
    <w:rsid w:val="00454DF1"/>
    <w:rsid w:val="0045562E"/>
    <w:rsid w:val="004561ED"/>
    <w:rsid w:val="00456BF9"/>
    <w:rsid w:val="00460F74"/>
    <w:rsid w:val="00463515"/>
    <w:rsid w:val="00464133"/>
    <w:rsid w:val="004674BB"/>
    <w:rsid w:val="00472078"/>
    <w:rsid w:val="0047728C"/>
    <w:rsid w:val="00485400"/>
    <w:rsid w:val="004908A2"/>
    <w:rsid w:val="00494A3C"/>
    <w:rsid w:val="004A7702"/>
    <w:rsid w:val="004B07BF"/>
    <w:rsid w:val="004B1056"/>
    <w:rsid w:val="004C064C"/>
    <w:rsid w:val="004C14E0"/>
    <w:rsid w:val="004E0BF7"/>
    <w:rsid w:val="004E1198"/>
    <w:rsid w:val="004E462B"/>
    <w:rsid w:val="004E4CAB"/>
    <w:rsid w:val="004F20FF"/>
    <w:rsid w:val="004F2D93"/>
    <w:rsid w:val="004F6956"/>
    <w:rsid w:val="004F6C03"/>
    <w:rsid w:val="004F6C8C"/>
    <w:rsid w:val="004F77BF"/>
    <w:rsid w:val="0050683E"/>
    <w:rsid w:val="00517AFC"/>
    <w:rsid w:val="005232E7"/>
    <w:rsid w:val="00526335"/>
    <w:rsid w:val="005301F4"/>
    <w:rsid w:val="00535927"/>
    <w:rsid w:val="00535D71"/>
    <w:rsid w:val="00542EEE"/>
    <w:rsid w:val="00545F8B"/>
    <w:rsid w:val="00547BCF"/>
    <w:rsid w:val="0055045E"/>
    <w:rsid w:val="00561737"/>
    <w:rsid w:val="0056182D"/>
    <w:rsid w:val="0056661A"/>
    <w:rsid w:val="00567245"/>
    <w:rsid w:val="005717B5"/>
    <w:rsid w:val="00574CD6"/>
    <w:rsid w:val="00585CD8"/>
    <w:rsid w:val="00596CAA"/>
    <w:rsid w:val="005A546E"/>
    <w:rsid w:val="005A7B25"/>
    <w:rsid w:val="005B74ED"/>
    <w:rsid w:val="005C1495"/>
    <w:rsid w:val="005C3ADA"/>
    <w:rsid w:val="005C4511"/>
    <w:rsid w:val="005D7CFA"/>
    <w:rsid w:val="005E1F34"/>
    <w:rsid w:val="00613283"/>
    <w:rsid w:val="006178F4"/>
    <w:rsid w:val="006205B3"/>
    <w:rsid w:val="006230C3"/>
    <w:rsid w:val="0062594D"/>
    <w:rsid w:val="0063016B"/>
    <w:rsid w:val="00635FA7"/>
    <w:rsid w:val="00641640"/>
    <w:rsid w:val="00646E65"/>
    <w:rsid w:val="006559DA"/>
    <w:rsid w:val="0065633E"/>
    <w:rsid w:val="00661EC4"/>
    <w:rsid w:val="0066480D"/>
    <w:rsid w:val="00664A45"/>
    <w:rsid w:val="00666F75"/>
    <w:rsid w:val="0067095C"/>
    <w:rsid w:val="006727AC"/>
    <w:rsid w:val="00673202"/>
    <w:rsid w:val="0067426D"/>
    <w:rsid w:val="00674755"/>
    <w:rsid w:val="0067578B"/>
    <w:rsid w:val="00680621"/>
    <w:rsid w:val="006817A6"/>
    <w:rsid w:val="00681D6B"/>
    <w:rsid w:val="00684E4D"/>
    <w:rsid w:val="0068545B"/>
    <w:rsid w:val="0068603B"/>
    <w:rsid w:val="0069083F"/>
    <w:rsid w:val="006951DD"/>
    <w:rsid w:val="00695B9F"/>
    <w:rsid w:val="0069770C"/>
    <w:rsid w:val="006A045C"/>
    <w:rsid w:val="006A65FD"/>
    <w:rsid w:val="006B490B"/>
    <w:rsid w:val="006B7815"/>
    <w:rsid w:val="006C2022"/>
    <w:rsid w:val="006C4570"/>
    <w:rsid w:val="006C465B"/>
    <w:rsid w:val="006C7869"/>
    <w:rsid w:val="006D2663"/>
    <w:rsid w:val="006D3376"/>
    <w:rsid w:val="006E3140"/>
    <w:rsid w:val="006F490A"/>
    <w:rsid w:val="00700E89"/>
    <w:rsid w:val="00705EA2"/>
    <w:rsid w:val="00706FE9"/>
    <w:rsid w:val="0072018A"/>
    <w:rsid w:val="007305E1"/>
    <w:rsid w:val="00736D84"/>
    <w:rsid w:val="007431DE"/>
    <w:rsid w:val="00757E0B"/>
    <w:rsid w:val="00761099"/>
    <w:rsid w:val="007619EB"/>
    <w:rsid w:val="00771985"/>
    <w:rsid w:val="00775C68"/>
    <w:rsid w:val="0078378F"/>
    <w:rsid w:val="00790152"/>
    <w:rsid w:val="00795342"/>
    <w:rsid w:val="007A0FF0"/>
    <w:rsid w:val="007C13C6"/>
    <w:rsid w:val="007C4724"/>
    <w:rsid w:val="007C5CE6"/>
    <w:rsid w:val="007D6368"/>
    <w:rsid w:val="007E607A"/>
    <w:rsid w:val="007F5D2B"/>
    <w:rsid w:val="007F656F"/>
    <w:rsid w:val="00801507"/>
    <w:rsid w:val="00801F1D"/>
    <w:rsid w:val="00802549"/>
    <w:rsid w:val="00812F76"/>
    <w:rsid w:val="00813EF4"/>
    <w:rsid w:val="008143D7"/>
    <w:rsid w:val="00820222"/>
    <w:rsid w:val="0082093D"/>
    <w:rsid w:val="0082265D"/>
    <w:rsid w:val="00822CAA"/>
    <w:rsid w:val="00842F68"/>
    <w:rsid w:val="0084692D"/>
    <w:rsid w:val="008502DB"/>
    <w:rsid w:val="00855A07"/>
    <w:rsid w:val="00856399"/>
    <w:rsid w:val="00862DFA"/>
    <w:rsid w:val="00863F32"/>
    <w:rsid w:val="00876ABF"/>
    <w:rsid w:val="00885CA3"/>
    <w:rsid w:val="00891991"/>
    <w:rsid w:val="0089233F"/>
    <w:rsid w:val="00896743"/>
    <w:rsid w:val="00896B0D"/>
    <w:rsid w:val="008A3F63"/>
    <w:rsid w:val="008B13BA"/>
    <w:rsid w:val="008B1FE6"/>
    <w:rsid w:val="008B2782"/>
    <w:rsid w:val="008D02A9"/>
    <w:rsid w:val="008D0989"/>
    <w:rsid w:val="008D4F98"/>
    <w:rsid w:val="008E0532"/>
    <w:rsid w:val="008F20AD"/>
    <w:rsid w:val="00900C56"/>
    <w:rsid w:val="009051BD"/>
    <w:rsid w:val="009266E0"/>
    <w:rsid w:val="00927599"/>
    <w:rsid w:val="00933FD3"/>
    <w:rsid w:val="00941241"/>
    <w:rsid w:val="00941CA9"/>
    <w:rsid w:val="009504DB"/>
    <w:rsid w:val="009569C3"/>
    <w:rsid w:val="00956C4A"/>
    <w:rsid w:val="00964B0E"/>
    <w:rsid w:val="0096560E"/>
    <w:rsid w:val="00972F77"/>
    <w:rsid w:val="00982C4D"/>
    <w:rsid w:val="00987628"/>
    <w:rsid w:val="00992854"/>
    <w:rsid w:val="009A18D3"/>
    <w:rsid w:val="009A74F3"/>
    <w:rsid w:val="009C22D0"/>
    <w:rsid w:val="009C268D"/>
    <w:rsid w:val="009C2972"/>
    <w:rsid w:val="009D5A93"/>
    <w:rsid w:val="009F3E26"/>
    <w:rsid w:val="009F573C"/>
    <w:rsid w:val="009F7ACC"/>
    <w:rsid w:val="00A0401C"/>
    <w:rsid w:val="00A07804"/>
    <w:rsid w:val="00A12BA2"/>
    <w:rsid w:val="00A176C8"/>
    <w:rsid w:val="00A21FBD"/>
    <w:rsid w:val="00A26897"/>
    <w:rsid w:val="00A27885"/>
    <w:rsid w:val="00A316B3"/>
    <w:rsid w:val="00A31AB9"/>
    <w:rsid w:val="00A35560"/>
    <w:rsid w:val="00A50C8C"/>
    <w:rsid w:val="00A53B7C"/>
    <w:rsid w:val="00A56BED"/>
    <w:rsid w:val="00A60040"/>
    <w:rsid w:val="00A60A43"/>
    <w:rsid w:val="00A61406"/>
    <w:rsid w:val="00A63C51"/>
    <w:rsid w:val="00A66578"/>
    <w:rsid w:val="00A6778D"/>
    <w:rsid w:val="00A7035C"/>
    <w:rsid w:val="00A71698"/>
    <w:rsid w:val="00A72D6C"/>
    <w:rsid w:val="00A806DE"/>
    <w:rsid w:val="00A81F80"/>
    <w:rsid w:val="00A84723"/>
    <w:rsid w:val="00A907ED"/>
    <w:rsid w:val="00A97D92"/>
    <w:rsid w:val="00AA625E"/>
    <w:rsid w:val="00AC43D3"/>
    <w:rsid w:val="00AC4700"/>
    <w:rsid w:val="00AC620C"/>
    <w:rsid w:val="00AC6332"/>
    <w:rsid w:val="00AC79D5"/>
    <w:rsid w:val="00AD11B8"/>
    <w:rsid w:val="00AE1BD0"/>
    <w:rsid w:val="00AE496F"/>
    <w:rsid w:val="00AE5EDE"/>
    <w:rsid w:val="00AF2430"/>
    <w:rsid w:val="00AF3C9B"/>
    <w:rsid w:val="00AF65CD"/>
    <w:rsid w:val="00AF66BA"/>
    <w:rsid w:val="00AF7F36"/>
    <w:rsid w:val="00B01A6A"/>
    <w:rsid w:val="00B02C61"/>
    <w:rsid w:val="00B041D7"/>
    <w:rsid w:val="00B07EA0"/>
    <w:rsid w:val="00B13398"/>
    <w:rsid w:val="00B161DB"/>
    <w:rsid w:val="00B33174"/>
    <w:rsid w:val="00B34BF7"/>
    <w:rsid w:val="00B355C9"/>
    <w:rsid w:val="00B40239"/>
    <w:rsid w:val="00B44858"/>
    <w:rsid w:val="00B54779"/>
    <w:rsid w:val="00B55B86"/>
    <w:rsid w:val="00B57A24"/>
    <w:rsid w:val="00B6173E"/>
    <w:rsid w:val="00B938B7"/>
    <w:rsid w:val="00BA4559"/>
    <w:rsid w:val="00BA5EBD"/>
    <w:rsid w:val="00BA6281"/>
    <w:rsid w:val="00BB137C"/>
    <w:rsid w:val="00BB2D9E"/>
    <w:rsid w:val="00BB3B02"/>
    <w:rsid w:val="00BB7256"/>
    <w:rsid w:val="00BB7E30"/>
    <w:rsid w:val="00BC2185"/>
    <w:rsid w:val="00BC6F78"/>
    <w:rsid w:val="00BD4585"/>
    <w:rsid w:val="00BD5173"/>
    <w:rsid w:val="00BE11DB"/>
    <w:rsid w:val="00BE4BE4"/>
    <w:rsid w:val="00BF21AC"/>
    <w:rsid w:val="00BF2DA4"/>
    <w:rsid w:val="00BF3676"/>
    <w:rsid w:val="00C03A1E"/>
    <w:rsid w:val="00C053CD"/>
    <w:rsid w:val="00C11DC7"/>
    <w:rsid w:val="00C126ED"/>
    <w:rsid w:val="00C15A2F"/>
    <w:rsid w:val="00C15BD8"/>
    <w:rsid w:val="00C176BF"/>
    <w:rsid w:val="00C2285F"/>
    <w:rsid w:val="00C2534D"/>
    <w:rsid w:val="00C3120A"/>
    <w:rsid w:val="00C31C34"/>
    <w:rsid w:val="00C33545"/>
    <w:rsid w:val="00C367E1"/>
    <w:rsid w:val="00C3698C"/>
    <w:rsid w:val="00C4054F"/>
    <w:rsid w:val="00C50632"/>
    <w:rsid w:val="00C50FB2"/>
    <w:rsid w:val="00C53876"/>
    <w:rsid w:val="00C62A55"/>
    <w:rsid w:val="00C80796"/>
    <w:rsid w:val="00C8218B"/>
    <w:rsid w:val="00C83761"/>
    <w:rsid w:val="00C858E4"/>
    <w:rsid w:val="00C93BC9"/>
    <w:rsid w:val="00C965C2"/>
    <w:rsid w:val="00CA37EA"/>
    <w:rsid w:val="00CA541D"/>
    <w:rsid w:val="00CB549B"/>
    <w:rsid w:val="00CE0004"/>
    <w:rsid w:val="00CE0D3F"/>
    <w:rsid w:val="00CE701D"/>
    <w:rsid w:val="00CF0DDC"/>
    <w:rsid w:val="00CF3CF4"/>
    <w:rsid w:val="00CF460F"/>
    <w:rsid w:val="00CF5C5A"/>
    <w:rsid w:val="00D0269F"/>
    <w:rsid w:val="00D10E13"/>
    <w:rsid w:val="00D208E2"/>
    <w:rsid w:val="00D24BDA"/>
    <w:rsid w:val="00D313C0"/>
    <w:rsid w:val="00D31A4B"/>
    <w:rsid w:val="00D37150"/>
    <w:rsid w:val="00D4336C"/>
    <w:rsid w:val="00D52C9A"/>
    <w:rsid w:val="00D65374"/>
    <w:rsid w:val="00D71174"/>
    <w:rsid w:val="00D733DA"/>
    <w:rsid w:val="00D772A9"/>
    <w:rsid w:val="00D803F2"/>
    <w:rsid w:val="00D84CF6"/>
    <w:rsid w:val="00D8512E"/>
    <w:rsid w:val="00D8514B"/>
    <w:rsid w:val="00D93128"/>
    <w:rsid w:val="00D95B77"/>
    <w:rsid w:val="00DA6BAB"/>
    <w:rsid w:val="00DA7716"/>
    <w:rsid w:val="00DB0C4E"/>
    <w:rsid w:val="00DB66D9"/>
    <w:rsid w:val="00DB7A45"/>
    <w:rsid w:val="00DC25D3"/>
    <w:rsid w:val="00DC48E2"/>
    <w:rsid w:val="00DC7975"/>
    <w:rsid w:val="00DC7B19"/>
    <w:rsid w:val="00DE4B72"/>
    <w:rsid w:val="00DF2D3F"/>
    <w:rsid w:val="00E0309F"/>
    <w:rsid w:val="00E111D5"/>
    <w:rsid w:val="00E13667"/>
    <w:rsid w:val="00E22B13"/>
    <w:rsid w:val="00E3359C"/>
    <w:rsid w:val="00E37364"/>
    <w:rsid w:val="00E41586"/>
    <w:rsid w:val="00E46535"/>
    <w:rsid w:val="00E53BA0"/>
    <w:rsid w:val="00E652DD"/>
    <w:rsid w:val="00E65307"/>
    <w:rsid w:val="00E71B74"/>
    <w:rsid w:val="00E74170"/>
    <w:rsid w:val="00E80011"/>
    <w:rsid w:val="00EB19A7"/>
    <w:rsid w:val="00EB7E61"/>
    <w:rsid w:val="00EC0A33"/>
    <w:rsid w:val="00EC1487"/>
    <w:rsid w:val="00EC5356"/>
    <w:rsid w:val="00ED7C8D"/>
    <w:rsid w:val="00ED7FF3"/>
    <w:rsid w:val="00EE1331"/>
    <w:rsid w:val="00EE1351"/>
    <w:rsid w:val="00EE21FB"/>
    <w:rsid w:val="00EE2C71"/>
    <w:rsid w:val="00EE46B8"/>
    <w:rsid w:val="00EF0368"/>
    <w:rsid w:val="00EF5DE0"/>
    <w:rsid w:val="00F006D1"/>
    <w:rsid w:val="00F034F8"/>
    <w:rsid w:val="00F035A8"/>
    <w:rsid w:val="00F04B2E"/>
    <w:rsid w:val="00F0749A"/>
    <w:rsid w:val="00F11293"/>
    <w:rsid w:val="00F11D99"/>
    <w:rsid w:val="00F12E86"/>
    <w:rsid w:val="00F16C29"/>
    <w:rsid w:val="00F26B25"/>
    <w:rsid w:val="00F30ED4"/>
    <w:rsid w:val="00F3656E"/>
    <w:rsid w:val="00F4703A"/>
    <w:rsid w:val="00F52D2A"/>
    <w:rsid w:val="00F57195"/>
    <w:rsid w:val="00F61A49"/>
    <w:rsid w:val="00F63A8E"/>
    <w:rsid w:val="00F70E2D"/>
    <w:rsid w:val="00F7152B"/>
    <w:rsid w:val="00F71A93"/>
    <w:rsid w:val="00F77439"/>
    <w:rsid w:val="00F81F0C"/>
    <w:rsid w:val="00F824FB"/>
    <w:rsid w:val="00F90936"/>
    <w:rsid w:val="00FA47CD"/>
    <w:rsid w:val="00FA4E18"/>
    <w:rsid w:val="00FC0DA9"/>
    <w:rsid w:val="00FC22A0"/>
    <w:rsid w:val="00FC4AF9"/>
    <w:rsid w:val="00FD21DB"/>
    <w:rsid w:val="00FD4F04"/>
    <w:rsid w:val="00FD6DDB"/>
    <w:rsid w:val="00FE1419"/>
    <w:rsid w:val="00FE2D03"/>
    <w:rsid w:val="00FE3D76"/>
    <w:rsid w:val="00FE6953"/>
    <w:rsid w:val="00FF57EA"/>
    <w:rsid w:val="00FF6714"/>
    <w:rsid w:val="00FF67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A4D8E44"/>
  <w15:chartTrackingRefBased/>
  <w15:docId w15:val="{F469C9A3-31F7-4B94-B6F2-87611ED96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4CAB"/>
  </w:style>
  <w:style w:type="paragraph" w:styleId="Heading1">
    <w:name w:val="heading 1"/>
    <w:basedOn w:val="Normal"/>
    <w:next w:val="Normal"/>
    <w:link w:val="Heading1Char"/>
    <w:uiPriority w:val="9"/>
    <w:qFormat/>
    <w:rsid w:val="00941C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775C68"/>
    <w:pPr>
      <w:keepNext/>
      <w:keepLines/>
      <w:spacing w:after="240"/>
      <w:jc w:val="both"/>
      <w:outlineLvl w:val="1"/>
    </w:pPr>
    <w:rPr>
      <w:rFonts w:ascii="Times New Roman" w:eastAsia="Calibri" w:hAnsi="Times New Roman" w:cstheme="majorBidi"/>
      <w:b/>
      <w:bCs/>
      <w:kern w:val="2"/>
      <w:sz w:val="24"/>
      <w:szCs w:val="26"/>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78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7804"/>
  </w:style>
  <w:style w:type="paragraph" w:styleId="Footer">
    <w:name w:val="footer"/>
    <w:basedOn w:val="Normal"/>
    <w:link w:val="FooterChar"/>
    <w:uiPriority w:val="99"/>
    <w:unhideWhenUsed/>
    <w:rsid w:val="00A078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7804"/>
  </w:style>
  <w:style w:type="paragraph" w:styleId="ListParagraph">
    <w:name w:val="List Paragraph"/>
    <w:basedOn w:val="Normal"/>
    <w:uiPriority w:val="34"/>
    <w:qFormat/>
    <w:rsid w:val="004E4CAB"/>
    <w:pPr>
      <w:ind w:left="720"/>
      <w:contextualSpacing/>
    </w:pPr>
  </w:style>
  <w:style w:type="paragraph" w:styleId="NormalWeb">
    <w:name w:val="Normal (Web)"/>
    <w:basedOn w:val="Normal"/>
    <w:uiPriority w:val="99"/>
    <w:unhideWhenUsed/>
    <w:rsid w:val="00F11D99"/>
    <w:rPr>
      <w:rFonts w:ascii="Times New Roman" w:hAnsi="Times New Roman" w:cs="Times New Roman"/>
      <w:sz w:val="24"/>
      <w:szCs w:val="24"/>
    </w:rPr>
  </w:style>
  <w:style w:type="paragraph" w:styleId="Bibliography">
    <w:name w:val="Bibliography"/>
    <w:basedOn w:val="Normal"/>
    <w:next w:val="Normal"/>
    <w:uiPriority w:val="37"/>
    <w:unhideWhenUsed/>
    <w:rsid w:val="00790152"/>
    <w:pPr>
      <w:spacing w:after="240" w:line="240" w:lineRule="auto"/>
    </w:pPr>
  </w:style>
  <w:style w:type="character" w:styleId="Hyperlink">
    <w:name w:val="Hyperlink"/>
    <w:basedOn w:val="DefaultParagraphFont"/>
    <w:uiPriority w:val="99"/>
    <w:unhideWhenUsed/>
    <w:rsid w:val="0069770C"/>
    <w:rPr>
      <w:color w:val="0563C1" w:themeColor="hyperlink"/>
      <w:u w:val="single"/>
    </w:rPr>
  </w:style>
  <w:style w:type="table" w:styleId="TableGrid">
    <w:name w:val="Table Grid"/>
    <w:basedOn w:val="TableNormal"/>
    <w:uiPriority w:val="39"/>
    <w:rsid w:val="0076109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1Light1">
    <w:name w:val="Grid Table 1 Light1"/>
    <w:basedOn w:val="TableNormal"/>
    <w:next w:val="GridTable1Light"/>
    <w:uiPriority w:val="46"/>
    <w:rsid w:val="00FF6714"/>
    <w:pPr>
      <w:spacing w:after="0" w:line="240" w:lineRule="auto"/>
    </w:pPr>
    <w:rPr>
      <w:lang w:val="en-US"/>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GridTable1Light">
    <w:name w:val="Grid Table 1 Light"/>
    <w:basedOn w:val="TableNormal"/>
    <w:uiPriority w:val="46"/>
    <w:rsid w:val="00FF6714"/>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2">
    <w:name w:val="List Table 2"/>
    <w:basedOn w:val="TableNormal"/>
    <w:uiPriority w:val="47"/>
    <w:rsid w:val="0030144A"/>
    <w:pPr>
      <w:spacing w:after="0" w:line="240" w:lineRule="auto"/>
    </w:pPr>
    <w:rPr>
      <w:rFonts w:ascii="Calibri" w:eastAsia="Calibri" w:hAnsi="Calibri" w:cs="Calibri"/>
      <w:lang w:val="en-US"/>
    </w:r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1">
    <w:name w:val="List Table 21"/>
    <w:basedOn w:val="TableNormal"/>
    <w:next w:val="ListTable2"/>
    <w:uiPriority w:val="47"/>
    <w:rsid w:val="0030144A"/>
    <w:pPr>
      <w:spacing w:after="0" w:line="240" w:lineRule="auto"/>
    </w:pPr>
    <w:rPr>
      <w:rFonts w:ascii="Calibri" w:eastAsia="Calibri" w:hAnsi="Calibri" w:cs="Arial"/>
      <w:lang w:val="en-US"/>
    </w:rPr>
    <w:tblPr>
      <w:tblStyleRowBandSize w:val="1"/>
      <w:tblStyleColBandSize w:val="1"/>
      <w:tblInd w:w="0" w:type="dxa"/>
      <w:tblBorders>
        <w:top w:val="single" w:sz="4" w:space="0" w:color="666666"/>
        <w:bottom w:val="single" w:sz="4" w:space="0" w:color="666666"/>
        <w:insideH w:val="single" w:sz="4" w:space="0" w:color="666666"/>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eading2Char">
    <w:name w:val="Heading 2 Char"/>
    <w:basedOn w:val="DefaultParagraphFont"/>
    <w:link w:val="Heading2"/>
    <w:uiPriority w:val="9"/>
    <w:rsid w:val="00775C68"/>
    <w:rPr>
      <w:rFonts w:ascii="Times New Roman" w:eastAsia="Calibri" w:hAnsi="Times New Roman" w:cstheme="majorBidi"/>
      <w:b/>
      <w:bCs/>
      <w:kern w:val="2"/>
      <w:sz w:val="24"/>
      <w:szCs w:val="26"/>
      <w14:ligatures w14:val="standardContextual"/>
    </w:rPr>
  </w:style>
  <w:style w:type="character" w:styleId="CommentReference">
    <w:name w:val="annotation reference"/>
    <w:basedOn w:val="DefaultParagraphFont"/>
    <w:uiPriority w:val="99"/>
    <w:semiHidden/>
    <w:unhideWhenUsed/>
    <w:rsid w:val="0018582E"/>
    <w:rPr>
      <w:sz w:val="16"/>
      <w:szCs w:val="16"/>
    </w:rPr>
  </w:style>
  <w:style w:type="paragraph" w:styleId="CommentText">
    <w:name w:val="annotation text"/>
    <w:basedOn w:val="Normal"/>
    <w:link w:val="CommentTextChar"/>
    <w:uiPriority w:val="99"/>
    <w:semiHidden/>
    <w:unhideWhenUsed/>
    <w:rsid w:val="0018582E"/>
    <w:pPr>
      <w:spacing w:line="240" w:lineRule="auto"/>
    </w:pPr>
    <w:rPr>
      <w:sz w:val="20"/>
      <w:szCs w:val="20"/>
    </w:rPr>
  </w:style>
  <w:style w:type="character" w:customStyle="1" w:styleId="CommentTextChar">
    <w:name w:val="Comment Text Char"/>
    <w:basedOn w:val="DefaultParagraphFont"/>
    <w:link w:val="CommentText"/>
    <w:uiPriority w:val="99"/>
    <w:semiHidden/>
    <w:rsid w:val="0018582E"/>
    <w:rPr>
      <w:sz w:val="20"/>
      <w:szCs w:val="20"/>
    </w:rPr>
  </w:style>
  <w:style w:type="paragraph" w:styleId="CommentSubject">
    <w:name w:val="annotation subject"/>
    <w:basedOn w:val="CommentText"/>
    <w:next w:val="CommentText"/>
    <w:link w:val="CommentSubjectChar"/>
    <w:uiPriority w:val="99"/>
    <w:semiHidden/>
    <w:unhideWhenUsed/>
    <w:rsid w:val="0018582E"/>
    <w:rPr>
      <w:b/>
      <w:bCs/>
    </w:rPr>
  </w:style>
  <w:style w:type="character" w:customStyle="1" w:styleId="CommentSubjectChar">
    <w:name w:val="Comment Subject Char"/>
    <w:basedOn w:val="CommentTextChar"/>
    <w:link w:val="CommentSubject"/>
    <w:uiPriority w:val="99"/>
    <w:semiHidden/>
    <w:rsid w:val="0018582E"/>
    <w:rPr>
      <w:b/>
      <w:bCs/>
      <w:sz w:val="20"/>
      <w:szCs w:val="20"/>
    </w:rPr>
  </w:style>
  <w:style w:type="paragraph" w:styleId="BalloonText">
    <w:name w:val="Balloon Text"/>
    <w:basedOn w:val="Normal"/>
    <w:link w:val="BalloonTextChar"/>
    <w:uiPriority w:val="99"/>
    <w:semiHidden/>
    <w:unhideWhenUsed/>
    <w:rsid w:val="001858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582E"/>
    <w:rPr>
      <w:rFonts w:ascii="Segoe UI" w:hAnsi="Segoe UI" w:cs="Segoe UI"/>
      <w:sz w:val="18"/>
      <w:szCs w:val="18"/>
    </w:rPr>
  </w:style>
  <w:style w:type="paragraph" w:customStyle="1" w:styleId="MDPI31text">
    <w:name w:val="MDPI_3.1_text"/>
    <w:qFormat/>
    <w:rsid w:val="0045562E"/>
    <w:pPr>
      <w:adjustRightInd w:val="0"/>
      <w:snapToGrid w:val="0"/>
      <w:spacing w:after="0" w:line="228" w:lineRule="auto"/>
      <w:ind w:left="2608" w:firstLine="425"/>
      <w:jc w:val="both"/>
    </w:pPr>
    <w:rPr>
      <w:rFonts w:ascii="Palatino Linotype" w:eastAsia="Times New Roman" w:hAnsi="Palatino Linotype" w:cs="Times New Roman"/>
      <w:snapToGrid w:val="0"/>
      <w:color w:val="000000"/>
      <w:sz w:val="20"/>
      <w:lang w:val="en-US" w:eastAsia="de-DE" w:bidi="en-US"/>
    </w:rPr>
  </w:style>
  <w:style w:type="paragraph" w:customStyle="1" w:styleId="MDPI41tablecaption">
    <w:name w:val="MDPI_4.1_table_caption"/>
    <w:qFormat/>
    <w:rsid w:val="0045562E"/>
    <w:pPr>
      <w:adjustRightInd w:val="0"/>
      <w:snapToGrid w:val="0"/>
      <w:spacing w:before="240" w:after="120" w:line="228" w:lineRule="auto"/>
      <w:ind w:left="2608"/>
      <w:jc w:val="both"/>
    </w:pPr>
    <w:rPr>
      <w:rFonts w:ascii="Palatino Linotype" w:eastAsia="Times New Roman" w:hAnsi="Palatino Linotype" w:cs="Cordia New"/>
      <w:color w:val="000000"/>
      <w:sz w:val="18"/>
      <w:lang w:val="en-US" w:eastAsia="de-DE" w:bidi="en-US"/>
    </w:rPr>
  </w:style>
  <w:style w:type="paragraph" w:customStyle="1" w:styleId="MDPI42tablebody">
    <w:name w:val="MDPI_4.2_table_body"/>
    <w:qFormat/>
    <w:rsid w:val="0045562E"/>
    <w:pPr>
      <w:adjustRightInd w:val="0"/>
      <w:snapToGrid w:val="0"/>
      <w:spacing w:after="0" w:line="260" w:lineRule="atLeast"/>
      <w:jc w:val="center"/>
    </w:pPr>
    <w:rPr>
      <w:rFonts w:ascii="Palatino Linotype" w:eastAsia="Times New Roman" w:hAnsi="Palatino Linotype" w:cs="Times New Roman"/>
      <w:snapToGrid w:val="0"/>
      <w:color w:val="000000"/>
      <w:sz w:val="20"/>
      <w:szCs w:val="20"/>
      <w:lang w:val="en-US" w:eastAsia="de-DE" w:bidi="en-US"/>
    </w:rPr>
  </w:style>
  <w:style w:type="paragraph" w:customStyle="1" w:styleId="MDPI43tablefooter">
    <w:name w:val="MDPI_4.3_table_footer"/>
    <w:next w:val="MDPI31text"/>
    <w:qFormat/>
    <w:rsid w:val="0045562E"/>
    <w:pPr>
      <w:adjustRightInd w:val="0"/>
      <w:snapToGrid w:val="0"/>
      <w:spacing w:after="0" w:line="228" w:lineRule="auto"/>
      <w:ind w:left="2608"/>
      <w:jc w:val="both"/>
    </w:pPr>
    <w:rPr>
      <w:rFonts w:ascii="Palatino Linotype" w:eastAsia="Times New Roman" w:hAnsi="Palatino Linotype" w:cs="Cordia New"/>
      <w:color w:val="000000"/>
      <w:sz w:val="18"/>
      <w:lang w:val="en-US" w:eastAsia="de-DE" w:bidi="en-US"/>
    </w:rPr>
  </w:style>
  <w:style w:type="character" w:customStyle="1" w:styleId="Heading1Char">
    <w:name w:val="Heading 1 Char"/>
    <w:basedOn w:val="DefaultParagraphFont"/>
    <w:link w:val="Heading1"/>
    <w:uiPriority w:val="9"/>
    <w:rsid w:val="00941CA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41CA9"/>
    <w:pPr>
      <w:outlineLvl w:val="9"/>
    </w:pPr>
    <w:rPr>
      <w:lang w:val="en-US"/>
    </w:rPr>
  </w:style>
  <w:style w:type="paragraph" w:styleId="TOC2">
    <w:name w:val="toc 2"/>
    <w:basedOn w:val="Normal"/>
    <w:next w:val="Normal"/>
    <w:autoRedefine/>
    <w:uiPriority w:val="39"/>
    <w:unhideWhenUsed/>
    <w:rsid w:val="00941CA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941CA9"/>
    <w:pPr>
      <w:spacing w:after="100"/>
    </w:pPr>
    <w:rPr>
      <w:rFonts w:eastAsiaTheme="minorEastAsia" w:cs="Times New Roman"/>
      <w:lang w:val="en-US"/>
    </w:rPr>
  </w:style>
  <w:style w:type="paragraph" w:styleId="TOC3">
    <w:name w:val="toc 3"/>
    <w:basedOn w:val="Normal"/>
    <w:next w:val="Normal"/>
    <w:autoRedefine/>
    <w:uiPriority w:val="39"/>
    <w:unhideWhenUsed/>
    <w:rsid w:val="00941CA9"/>
    <w:pPr>
      <w:spacing w:after="100"/>
      <w:ind w:left="440"/>
    </w:pPr>
    <w:rPr>
      <w:rFonts w:eastAsiaTheme="minorEastAsia" w:cs="Times New Roman"/>
      <w:lang w:val="en-US"/>
    </w:rPr>
  </w:style>
  <w:style w:type="table" w:styleId="PlainTable2">
    <w:name w:val="Plain Table 2"/>
    <w:basedOn w:val="TableNormal"/>
    <w:uiPriority w:val="42"/>
    <w:rsid w:val="00AA625E"/>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544">
      <w:bodyDiv w:val="1"/>
      <w:marLeft w:val="0"/>
      <w:marRight w:val="0"/>
      <w:marTop w:val="0"/>
      <w:marBottom w:val="0"/>
      <w:divBdr>
        <w:top w:val="none" w:sz="0" w:space="0" w:color="auto"/>
        <w:left w:val="none" w:sz="0" w:space="0" w:color="auto"/>
        <w:bottom w:val="none" w:sz="0" w:space="0" w:color="auto"/>
        <w:right w:val="none" w:sz="0" w:space="0" w:color="auto"/>
      </w:divBdr>
    </w:div>
    <w:div w:id="2054397">
      <w:bodyDiv w:val="1"/>
      <w:marLeft w:val="0"/>
      <w:marRight w:val="0"/>
      <w:marTop w:val="0"/>
      <w:marBottom w:val="0"/>
      <w:divBdr>
        <w:top w:val="none" w:sz="0" w:space="0" w:color="auto"/>
        <w:left w:val="none" w:sz="0" w:space="0" w:color="auto"/>
        <w:bottom w:val="none" w:sz="0" w:space="0" w:color="auto"/>
        <w:right w:val="none" w:sz="0" w:space="0" w:color="auto"/>
      </w:divBdr>
    </w:div>
    <w:div w:id="41446272">
      <w:bodyDiv w:val="1"/>
      <w:marLeft w:val="0"/>
      <w:marRight w:val="0"/>
      <w:marTop w:val="0"/>
      <w:marBottom w:val="0"/>
      <w:divBdr>
        <w:top w:val="none" w:sz="0" w:space="0" w:color="auto"/>
        <w:left w:val="none" w:sz="0" w:space="0" w:color="auto"/>
        <w:bottom w:val="none" w:sz="0" w:space="0" w:color="auto"/>
        <w:right w:val="none" w:sz="0" w:space="0" w:color="auto"/>
      </w:divBdr>
    </w:div>
    <w:div w:id="70008710">
      <w:bodyDiv w:val="1"/>
      <w:marLeft w:val="0"/>
      <w:marRight w:val="0"/>
      <w:marTop w:val="0"/>
      <w:marBottom w:val="0"/>
      <w:divBdr>
        <w:top w:val="none" w:sz="0" w:space="0" w:color="auto"/>
        <w:left w:val="none" w:sz="0" w:space="0" w:color="auto"/>
        <w:bottom w:val="none" w:sz="0" w:space="0" w:color="auto"/>
        <w:right w:val="none" w:sz="0" w:space="0" w:color="auto"/>
      </w:divBdr>
    </w:div>
    <w:div w:id="95637962">
      <w:bodyDiv w:val="1"/>
      <w:marLeft w:val="0"/>
      <w:marRight w:val="0"/>
      <w:marTop w:val="0"/>
      <w:marBottom w:val="0"/>
      <w:divBdr>
        <w:top w:val="none" w:sz="0" w:space="0" w:color="auto"/>
        <w:left w:val="none" w:sz="0" w:space="0" w:color="auto"/>
        <w:bottom w:val="none" w:sz="0" w:space="0" w:color="auto"/>
        <w:right w:val="none" w:sz="0" w:space="0" w:color="auto"/>
      </w:divBdr>
    </w:div>
    <w:div w:id="109858778">
      <w:bodyDiv w:val="1"/>
      <w:marLeft w:val="0"/>
      <w:marRight w:val="0"/>
      <w:marTop w:val="0"/>
      <w:marBottom w:val="0"/>
      <w:divBdr>
        <w:top w:val="none" w:sz="0" w:space="0" w:color="auto"/>
        <w:left w:val="none" w:sz="0" w:space="0" w:color="auto"/>
        <w:bottom w:val="none" w:sz="0" w:space="0" w:color="auto"/>
        <w:right w:val="none" w:sz="0" w:space="0" w:color="auto"/>
      </w:divBdr>
    </w:div>
    <w:div w:id="149953131">
      <w:bodyDiv w:val="1"/>
      <w:marLeft w:val="0"/>
      <w:marRight w:val="0"/>
      <w:marTop w:val="0"/>
      <w:marBottom w:val="0"/>
      <w:divBdr>
        <w:top w:val="none" w:sz="0" w:space="0" w:color="auto"/>
        <w:left w:val="none" w:sz="0" w:space="0" w:color="auto"/>
        <w:bottom w:val="none" w:sz="0" w:space="0" w:color="auto"/>
        <w:right w:val="none" w:sz="0" w:space="0" w:color="auto"/>
      </w:divBdr>
    </w:div>
    <w:div w:id="187527665">
      <w:bodyDiv w:val="1"/>
      <w:marLeft w:val="0"/>
      <w:marRight w:val="0"/>
      <w:marTop w:val="0"/>
      <w:marBottom w:val="0"/>
      <w:divBdr>
        <w:top w:val="none" w:sz="0" w:space="0" w:color="auto"/>
        <w:left w:val="none" w:sz="0" w:space="0" w:color="auto"/>
        <w:bottom w:val="none" w:sz="0" w:space="0" w:color="auto"/>
        <w:right w:val="none" w:sz="0" w:space="0" w:color="auto"/>
      </w:divBdr>
    </w:div>
    <w:div w:id="207496453">
      <w:bodyDiv w:val="1"/>
      <w:marLeft w:val="0"/>
      <w:marRight w:val="0"/>
      <w:marTop w:val="0"/>
      <w:marBottom w:val="0"/>
      <w:divBdr>
        <w:top w:val="none" w:sz="0" w:space="0" w:color="auto"/>
        <w:left w:val="none" w:sz="0" w:space="0" w:color="auto"/>
        <w:bottom w:val="none" w:sz="0" w:space="0" w:color="auto"/>
        <w:right w:val="none" w:sz="0" w:space="0" w:color="auto"/>
      </w:divBdr>
    </w:div>
    <w:div w:id="222374444">
      <w:bodyDiv w:val="1"/>
      <w:marLeft w:val="0"/>
      <w:marRight w:val="0"/>
      <w:marTop w:val="0"/>
      <w:marBottom w:val="0"/>
      <w:divBdr>
        <w:top w:val="none" w:sz="0" w:space="0" w:color="auto"/>
        <w:left w:val="none" w:sz="0" w:space="0" w:color="auto"/>
        <w:bottom w:val="none" w:sz="0" w:space="0" w:color="auto"/>
        <w:right w:val="none" w:sz="0" w:space="0" w:color="auto"/>
      </w:divBdr>
    </w:div>
    <w:div w:id="258371265">
      <w:bodyDiv w:val="1"/>
      <w:marLeft w:val="0"/>
      <w:marRight w:val="0"/>
      <w:marTop w:val="0"/>
      <w:marBottom w:val="0"/>
      <w:divBdr>
        <w:top w:val="none" w:sz="0" w:space="0" w:color="auto"/>
        <w:left w:val="none" w:sz="0" w:space="0" w:color="auto"/>
        <w:bottom w:val="none" w:sz="0" w:space="0" w:color="auto"/>
        <w:right w:val="none" w:sz="0" w:space="0" w:color="auto"/>
      </w:divBdr>
    </w:div>
    <w:div w:id="288360075">
      <w:bodyDiv w:val="1"/>
      <w:marLeft w:val="0"/>
      <w:marRight w:val="0"/>
      <w:marTop w:val="0"/>
      <w:marBottom w:val="0"/>
      <w:divBdr>
        <w:top w:val="none" w:sz="0" w:space="0" w:color="auto"/>
        <w:left w:val="none" w:sz="0" w:space="0" w:color="auto"/>
        <w:bottom w:val="none" w:sz="0" w:space="0" w:color="auto"/>
        <w:right w:val="none" w:sz="0" w:space="0" w:color="auto"/>
      </w:divBdr>
    </w:div>
    <w:div w:id="297494527">
      <w:bodyDiv w:val="1"/>
      <w:marLeft w:val="0"/>
      <w:marRight w:val="0"/>
      <w:marTop w:val="0"/>
      <w:marBottom w:val="0"/>
      <w:divBdr>
        <w:top w:val="none" w:sz="0" w:space="0" w:color="auto"/>
        <w:left w:val="none" w:sz="0" w:space="0" w:color="auto"/>
        <w:bottom w:val="none" w:sz="0" w:space="0" w:color="auto"/>
        <w:right w:val="none" w:sz="0" w:space="0" w:color="auto"/>
      </w:divBdr>
    </w:div>
    <w:div w:id="343291440">
      <w:bodyDiv w:val="1"/>
      <w:marLeft w:val="0"/>
      <w:marRight w:val="0"/>
      <w:marTop w:val="0"/>
      <w:marBottom w:val="0"/>
      <w:divBdr>
        <w:top w:val="none" w:sz="0" w:space="0" w:color="auto"/>
        <w:left w:val="none" w:sz="0" w:space="0" w:color="auto"/>
        <w:bottom w:val="none" w:sz="0" w:space="0" w:color="auto"/>
        <w:right w:val="none" w:sz="0" w:space="0" w:color="auto"/>
      </w:divBdr>
    </w:div>
    <w:div w:id="343631652">
      <w:bodyDiv w:val="1"/>
      <w:marLeft w:val="0"/>
      <w:marRight w:val="0"/>
      <w:marTop w:val="0"/>
      <w:marBottom w:val="0"/>
      <w:divBdr>
        <w:top w:val="none" w:sz="0" w:space="0" w:color="auto"/>
        <w:left w:val="none" w:sz="0" w:space="0" w:color="auto"/>
        <w:bottom w:val="none" w:sz="0" w:space="0" w:color="auto"/>
        <w:right w:val="none" w:sz="0" w:space="0" w:color="auto"/>
      </w:divBdr>
    </w:div>
    <w:div w:id="345446491">
      <w:bodyDiv w:val="1"/>
      <w:marLeft w:val="0"/>
      <w:marRight w:val="0"/>
      <w:marTop w:val="0"/>
      <w:marBottom w:val="0"/>
      <w:divBdr>
        <w:top w:val="none" w:sz="0" w:space="0" w:color="auto"/>
        <w:left w:val="none" w:sz="0" w:space="0" w:color="auto"/>
        <w:bottom w:val="none" w:sz="0" w:space="0" w:color="auto"/>
        <w:right w:val="none" w:sz="0" w:space="0" w:color="auto"/>
      </w:divBdr>
    </w:div>
    <w:div w:id="380059962">
      <w:bodyDiv w:val="1"/>
      <w:marLeft w:val="0"/>
      <w:marRight w:val="0"/>
      <w:marTop w:val="0"/>
      <w:marBottom w:val="0"/>
      <w:divBdr>
        <w:top w:val="none" w:sz="0" w:space="0" w:color="auto"/>
        <w:left w:val="none" w:sz="0" w:space="0" w:color="auto"/>
        <w:bottom w:val="none" w:sz="0" w:space="0" w:color="auto"/>
        <w:right w:val="none" w:sz="0" w:space="0" w:color="auto"/>
      </w:divBdr>
    </w:div>
    <w:div w:id="380637229">
      <w:bodyDiv w:val="1"/>
      <w:marLeft w:val="0"/>
      <w:marRight w:val="0"/>
      <w:marTop w:val="0"/>
      <w:marBottom w:val="0"/>
      <w:divBdr>
        <w:top w:val="none" w:sz="0" w:space="0" w:color="auto"/>
        <w:left w:val="none" w:sz="0" w:space="0" w:color="auto"/>
        <w:bottom w:val="none" w:sz="0" w:space="0" w:color="auto"/>
        <w:right w:val="none" w:sz="0" w:space="0" w:color="auto"/>
      </w:divBdr>
    </w:div>
    <w:div w:id="380907612">
      <w:bodyDiv w:val="1"/>
      <w:marLeft w:val="0"/>
      <w:marRight w:val="0"/>
      <w:marTop w:val="0"/>
      <w:marBottom w:val="0"/>
      <w:divBdr>
        <w:top w:val="none" w:sz="0" w:space="0" w:color="auto"/>
        <w:left w:val="none" w:sz="0" w:space="0" w:color="auto"/>
        <w:bottom w:val="none" w:sz="0" w:space="0" w:color="auto"/>
        <w:right w:val="none" w:sz="0" w:space="0" w:color="auto"/>
      </w:divBdr>
    </w:div>
    <w:div w:id="400951597">
      <w:bodyDiv w:val="1"/>
      <w:marLeft w:val="0"/>
      <w:marRight w:val="0"/>
      <w:marTop w:val="0"/>
      <w:marBottom w:val="0"/>
      <w:divBdr>
        <w:top w:val="none" w:sz="0" w:space="0" w:color="auto"/>
        <w:left w:val="none" w:sz="0" w:space="0" w:color="auto"/>
        <w:bottom w:val="none" w:sz="0" w:space="0" w:color="auto"/>
        <w:right w:val="none" w:sz="0" w:space="0" w:color="auto"/>
      </w:divBdr>
    </w:div>
    <w:div w:id="416751864">
      <w:bodyDiv w:val="1"/>
      <w:marLeft w:val="0"/>
      <w:marRight w:val="0"/>
      <w:marTop w:val="0"/>
      <w:marBottom w:val="0"/>
      <w:divBdr>
        <w:top w:val="none" w:sz="0" w:space="0" w:color="auto"/>
        <w:left w:val="none" w:sz="0" w:space="0" w:color="auto"/>
        <w:bottom w:val="none" w:sz="0" w:space="0" w:color="auto"/>
        <w:right w:val="none" w:sz="0" w:space="0" w:color="auto"/>
      </w:divBdr>
    </w:div>
    <w:div w:id="473529670">
      <w:bodyDiv w:val="1"/>
      <w:marLeft w:val="0"/>
      <w:marRight w:val="0"/>
      <w:marTop w:val="0"/>
      <w:marBottom w:val="0"/>
      <w:divBdr>
        <w:top w:val="none" w:sz="0" w:space="0" w:color="auto"/>
        <w:left w:val="none" w:sz="0" w:space="0" w:color="auto"/>
        <w:bottom w:val="none" w:sz="0" w:space="0" w:color="auto"/>
        <w:right w:val="none" w:sz="0" w:space="0" w:color="auto"/>
      </w:divBdr>
    </w:div>
    <w:div w:id="524946901">
      <w:bodyDiv w:val="1"/>
      <w:marLeft w:val="0"/>
      <w:marRight w:val="0"/>
      <w:marTop w:val="0"/>
      <w:marBottom w:val="0"/>
      <w:divBdr>
        <w:top w:val="none" w:sz="0" w:space="0" w:color="auto"/>
        <w:left w:val="none" w:sz="0" w:space="0" w:color="auto"/>
        <w:bottom w:val="none" w:sz="0" w:space="0" w:color="auto"/>
        <w:right w:val="none" w:sz="0" w:space="0" w:color="auto"/>
      </w:divBdr>
    </w:div>
    <w:div w:id="555702017">
      <w:bodyDiv w:val="1"/>
      <w:marLeft w:val="0"/>
      <w:marRight w:val="0"/>
      <w:marTop w:val="0"/>
      <w:marBottom w:val="0"/>
      <w:divBdr>
        <w:top w:val="none" w:sz="0" w:space="0" w:color="auto"/>
        <w:left w:val="none" w:sz="0" w:space="0" w:color="auto"/>
        <w:bottom w:val="none" w:sz="0" w:space="0" w:color="auto"/>
        <w:right w:val="none" w:sz="0" w:space="0" w:color="auto"/>
      </w:divBdr>
    </w:div>
    <w:div w:id="560554989">
      <w:bodyDiv w:val="1"/>
      <w:marLeft w:val="0"/>
      <w:marRight w:val="0"/>
      <w:marTop w:val="0"/>
      <w:marBottom w:val="0"/>
      <w:divBdr>
        <w:top w:val="none" w:sz="0" w:space="0" w:color="auto"/>
        <w:left w:val="none" w:sz="0" w:space="0" w:color="auto"/>
        <w:bottom w:val="none" w:sz="0" w:space="0" w:color="auto"/>
        <w:right w:val="none" w:sz="0" w:space="0" w:color="auto"/>
      </w:divBdr>
    </w:div>
    <w:div w:id="607205314">
      <w:bodyDiv w:val="1"/>
      <w:marLeft w:val="0"/>
      <w:marRight w:val="0"/>
      <w:marTop w:val="0"/>
      <w:marBottom w:val="0"/>
      <w:divBdr>
        <w:top w:val="none" w:sz="0" w:space="0" w:color="auto"/>
        <w:left w:val="none" w:sz="0" w:space="0" w:color="auto"/>
        <w:bottom w:val="none" w:sz="0" w:space="0" w:color="auto"/>
        <w:right w:val="none" w:sz="0" w:space="0" w:color="auto"/>
      </w:divBdr>
    </w:div>
    <w:div w:id="620305086">
      <w:bodyDiv w:val="1"/>
      <w:marLeft w:val="0"/>
      <w:marRight w:val="0"/>
      <w:marTop w:val="0"/>
      <w:marBottom w:val="0"/>
      <w:divBdr>
        <w:top w:val="none" w:sz="0" w:space="0" w:color="auto"/>
        <w:left w:val="none" w:sz="0" w:space="0" w:color="auto"/>
        <w:bottom w:val="none" w:sz="0" w:space="0" w:color="auto"/>
        <w:right w:val="none" w:sz="0" w:space="0" w:color="auto"/>
      </w:divBdr>
    </w:div>
    <w:div w:id="644314610">
      <w:bodyDiv w:val="1"/>
      <w:marLeft w:val="0"/>
      <w:marRight w:val="0"/>
      <w:marTop w:val="0"/>
      <w:marBottom w:val="0"/>
      <w:divBdr>
        <w:top w:val="none" w:sz="0" w:space="0" w:color="auto"/>
        <w:left w:val="none" w:sz="0" w:space="0" w:color="auto"/>
        <w:bottom w:val="none" w:sz="0" w:space="0" w:color="auto"/>
        <w:right w:val="none" w:sz="0" w:space="0" w:color="auto"/>
      </w:divBdr>
    </w:div>
    <w:div w:id="648022180">
      <w:bodyDiv w:val="1"/>
      <w:marLeft w:val="0"/>
      <w:marRight w:val="0"/>
      <w:marTop w:val="0"/>
      <w:marBottom w:val="0"/>
      <w:divBdr>
        <w:top w:val="none" w:sz="0" w:space="0" w:color="auto"/>
        <w:left w:val="none" w:sz="0" w:space="0" w:color="auto"/>
        <w:bottom w:val="none" w:sz="0" w:space="0" w:color="auto"/>
        <w:right w:val="none" w:sz="0" w:space="0" w:color="auto"/>
      </w:divBdr>
    </w:div>
    <w:div w:id="667245747">
      <w:bodyDiv w:val="1"/>
      <w:marLeft w:val="0"/>
      <w:marRight w:val="0"/>
      <w:marTop w:val="0"/>
      <w:marBottom w:val="0"/>
      <w:divBdr>
        <w:top w:val="none" w:sz="0" w:space="0" w:color="auto"/>
        <w:left w:val="none" w:sz="0" w:space="0" w:color="auto"/>
        <w:bottom w:val="none" w:sz="0" w:space="0" w:color="auto"/>
        <w:right w:val="none" w:sz="0" w:space="0" w:color="auto"/>
      </w:divBdr>
    </w:div>
    <w:div w:id="671181546">
      <w:bodyDiv w:val="1"/>
      <w:marLeft w:val="0"/>
      <w:marRight w:val="0"/>
      <w:marTop w:val="0"/>
      <w:marBottom w:val="0"/>
      <w:divBdr>
        <w:top w:val="none" w:sz="0" w:space="0" w:color="auto"/>
        <w:left w:val="none" w:sz="0" w:space="0" w:color="auto"/>
        <w:bottom w:val="none" w:sz="0" w:space="0" w:color="auto"/>
        <w:right w:val="none" w:sz="0" w:space="0" w:color="auto"/>
      </w:divBdr>
    </w:div>
    <w:div w:id="699166761">
      <w:bodyDiv w:val="1"/>
      <w:marLeft w:val="0"/>
      <w:marRight w:val="0"/>
      <w:marTop w:val="0"/>
      <w:marBottom w:val="0"/>
      <w:divBdr>
        <w:top w:val="none" w:sz="0" w:space="0" w:color="auto"/>
        <w:left w:val="none" w:sz="0" w:space="0" w:color="auto"/>
        <w:bottom w:val="none" w:sz="0" w:space="0" w:color="auto"/>
        <w:right w:val="none" w:sz="0" w:space="0" w:color="auto"/>
      </w:divBdr>
    </w:div>
    <w:div w:id="721292798">
      <w:bodyDiv w:val="1"/>
      <w:marLeft w:val="0"/>
      <w:marRight w:val="0"/>
      <w:marTop w:val="0"/>
      <w:marBottom w:val="0"/>
      <w:divBdr>
        <w:top w:val="none" w:sz="0" w:space="0" w:color="auto"/>
        <w:left w:val="none" w:sz="0" w:space="0" w:color="auto"/>
        <w:bottom w:val="none" w:sz="0" w:space="0" w:color="auto"/>
        <w:right w:val="none" w:sz="0" w:space="0" w:color="auto"/>
      </w:divBdr>
    </w:div>
    <w:div w:id="731999814">
      <w:bodyDiv w:val="1"/>
      <w:marLeft w:val="0"/>
      <w:marRight w:val="0"/>
      <w:marTop w:val="0"/>
      <w:marBottom w:val="0"/>
      <w:divBdr>
        <w:top w:val="none" w:sz="0" w:space="0" w:color="auto"/>
        <w:left w:val="none" w:sz="0" w:space="0" w:color="auto"/>
        <w:bottom w:val="none" w:sz="0" w:space="0" w:color="auto"/>
        <w:right w:val="none" w:sz="0" w:space="0" w:color="auto"/>
      </w:divBdr>
    </w:div>
    <w:div w:id="765807029">
      <w:bodyDiv w:val="1"/>
      <w:marLeft w:val="0"/>
      <w:marRight w:val="0"/>
      <w:marTop w:val="0"/>
      <w:marBottom w:val="0"/>
      <w:divBdr>
        <w:top w:val="none" w:sz="0" w:space="0" w:color="auto"/>
        <w:left w:val="none" w:sz="0" w:space="0" w:color="auto"/>
        <w:bottom w:val="none" w:sz="0" w:space="0" w:color="auto"/>
        <w:right w:val="none" w:sz="0" w:space="0" w:color="auto"/>
      </w:divBdr>
    </w:div>
    <w:div w:id="809439391">
      <w:bodyDiv w:val="1"/>
      <w:marLeft w:val="0"/>
      <w:marRight w:val="0"/>
      <w:marTop w:val="0"/>
      <w:marBottom w:val="0"/>
      <w:divBdr>
        <w:top w:val="none" w:sz="0" w:space="0" w:color="auto"/>
        <w:left w:val="none" w:sz="0" w:space="0" w:color="auto"/>
        <w:bottom w:val="none" w:sz="0" w:space="0" w:color="auto"/>
        <w:right w:val="none" w:sz="0" w:space="0" w:color="auto"/>
      </w:divBdr>
    </w:div>
    <w:div w:id="816265237">
      <w:bodyDiv w:val="1"/>
      <w:marLeft w:val="0"/>
      <w:marRight w:val="0"/>
      <w:marTop w:val="0"/>
      <w:marBottom w:val="0"/>
      <w:divBdr>
        <w:top w:val="none" w:sz="0" w:space="0" w:color="auto"/>
        <w:left w:val="none" w:sz="0" w:space="0" w:color="auto"/>
        <w:bottom w:val="none" w:sz="0" w:space="0" w:color="auto"/>
        <w:right w:val="none" w:sz="0" w:space="0" w:color="auto"/>
      </w:divBdr>
    </w:div>
    <w:div w:id="824706929">
      <w:bodyDiv w:val="1"/>
      <w:marLeft w:val="0"/>
      <w:marRight w:val="0"/>
      <w:marTop w:val="0"/>
      <w:marBottom w:val="0"/>
      <w:divBdr>
        <w:top w:val="none" w:sz="0" w:space="0" w:color="auto"/>
        <w:left w:val="none" w:sz="0" w:space="0" w:color="auto"/>
        <w:bottom w:val="none" w:sz="0" w:space="0" w:color="auto"/>
        <w:right w:val="none" w:sz="0" w:space="0" w:color="auto"/>
      </w:divBdr>
    </w:div>
    <w:div w:id="852954491">
      <w:bodyDiv w:val="1"/>
      <w:marLeft w:val="0"/>
      <w:marRight w:val="0"/>
      <w:marTop w:val="0"/>
      <w:marBottom w:val="0"/>
      <w:divBdr>
        <w:top w:val="none" w:sz="0" w:space="0" w:color="auto"/>
        <w:left w:val="none" w:sz="0" w:space="0" w:color="auto"/>
        <w:bottom w:val="none" w:sz="0" w:space="0" w:color="auto"/>
        <w:right w:val="none" w:sz="0" w:space="0" w:color="auto"/>
      </w:divBdr>
    </w:div>
    <w:div w:id="894123429">
      <w:bodyDiv w:val="1"/>
      <w:marLeft w:val="0"/>
      <w:marRight w:val="0"/>
      <w:marTop w:val="0"/>
      <w:marBottom w:val="0"/>
      <w:divBdr>
        <w:top w:val="none" w:sz="0" w:space="0" w:color="auto"/>
        <w:left w:val="none" w:sz="0" w:space="0" w:color="auto"/>
        <w:bottom w:val="none" w:sz="0" w:space="0" w:color="auto"/>
        <w:right w:val="none" w:sz="0" w:space="0" w:color="auto"/>
      </w:divBdr>
    </w:div>
    <w:div w:id="962153344">
      <w:bodyDiv w:val="1"/>
      <w:marLeft w:val="0"/>
      <w:marRight w:val="0"/>
      <w:marTop w:val="0"/>
      <w:marBottom w:val="0"/>
      <w:divBdr>
        <w:top w:val="none" w:sz="0" w:space="0" w:color="auto"/>
        <w:left w:val="none" w:sz="0" w:space="0" w:color="auto"/>
        <w:bottom w:val="none" w:sz="0" w:space="0" w:color="auto"/>
        <w:right w:val="none" w:sz="0" w:space="0" w:color="auto"/>
      </w:divBdr>
    </w:div>
    <w:div w:id="971784096">
      <w:bodyDiv w:val="1"/>
      <w:marLeft w:val="0"/>
      <w:marRight w:val="0"/>
      <w:marTop w:val="0"/>
      <w:marBottom w:val="0"/>
      <w:divBdr>
        <w:top w:val="none" w:sz="0" w:space="0" w:color="auto"/>
        <w:left w:val="none" w:sz="0" w:space="0" w:color="auto"/>
        <w:bottom w:val="none" w:sz="0" w:space="0" w:color="auto"/>
        <w:right w:val="none" w:sz="0" w:space="0" w:color="auto"/>
      </w:divBdr>
    </w:div>
    <w:div w:id="1007173903">
      <w:bodyDiv w:val="1"/>
      <w:marLeft w:val="0"/>
      <w:marRight w:val="0"/>
      <w:marTop w:val="0"/>
      <w:marBottom w:val="0"/>
      <w:divBdr>
        <w:top w:val="none" w:sz="0" w:space="0" w:color="auto"/>
        <w:left w:val="none" w:sz="0" w:space="0" w:color="auto"/>
        <w:bottom w:val="none" w:sz="0" w:space="0" w:color="auto"/>
        <w:right w:val="none" w:sz="0" w:space="0" w:color="auto"/>
      </w:divBdr>
    </w:div>
    <w:div w:id="1014961368">
      <w:bodyDiv w:val="1"/>
      <w:marLeft w:val="0"/>
      <w:marRight w:val="0"/>
      <w:marTop w:val="0"/>
      <w:marBottom w:val="0"/>
      <w:divBdr>
        <w:top w:val="none" w:sz="0" w:space="0" w:color="auto"/>
        <w:left w:val="none" w:sz="0" w:space="0" w:color="auto"/>
        <w:bottom w:val="none" w:sz="0" w:space="0" w:color="auto"/>
        <w:right w:val="none" w:sz="0" w:space="0" w:color="auto"/>
      </w:divBdr>
    </w:div>
    <w:div w:id="1032998830">
      <w:bodyDiv w:val="1"/>
      <w:marLeft w:val="0"/>
      <w:marRight w:val="0"/>
      <w:marTop w:val="0"/>
      <w:marBottom w:val="0"/>
      <w:divBdr>
        <w:top w:val="none" w:sz="0" w:space="0" w:color="auto"/>
        <w:left w:val="none" w:sz="0" w:space="0" w:color="auto"/>
        <w:bottom w:val="none" w:sz="0" w:space="0" w:color="auto"/>
        <w:right w:val="none" w:sz="0" w:space="0" w:color="auto"/>
      </w:divBdr>
    </w:div>
    <w:div w:id="1038822929">
      <w:bodyDiv w:val="1"/>
      <w:marLeft w:val="0"/>
      <w:marRight w:val="0"/>
      <w:marTop w:val="0"/>
      <w:marBottom w:val="0"/>
      <w:divBdr>
        <w:top w:val="none" w:sz="0" w:space="0" w:color="auto"/>
        <w:left w:val="none" w:sz="0" w:space="0" w:color="auto"/>
        <w:bottom w:val="none" w:sz="0" w:space="0" w:color="auto"/>
        <w:right w:val="none" w:sz="0" w:space="0" w:color="auto"/>
      </w:divBdr>
    </w:div>
    <w:div w:id="1054159460">
      <w:bodyDiv w:val="1"/>
      <w:marLeft w:val="0"/>
      <w:marRight w:val="0"/>
      <w:marTop w:val="0"/>
      <w:marBottom w:val="0"/>
      <w:divBdr>
        <w:top w:val="none" w:sz="0" w:space="0" w:color="auto"/>
        <w:left w:val="none" w:sz="0" w:space="0" w:color="auto"/>
        <w:bottom w:val="none" w:sz="0" w:space="0" w:color="auto"/>
        <w:right w:val="none" w:sz="0" w:space="0" w:color="auto"/>
      </w:divBdr>
    </w:div>
    <w:div w:id="1055278778">
      <w:bodyDiv w:val="1"/>
      <w:marLeft w:val="0"/>
      <w:marRight w:val="0"/>
      <w:marTop w:val="0"/>
      <w:marBottom w:val="0"/>
      <w:divBdr>
        <w:top w:val="none" w:sz="0" w:space="0" w:color="auto"/>
        <w:left w:val="none" w:sz="0" w:space="0" w:color="auto"/>
        <w:bottom w:val="none" w:sz="0" w:space="0" w:color="auto"/>
        <w:right w:val="none" w:sz="0" w:space="0" w:color="auto"/>
      </w:divBdr>
    </w:div>
    <w:div w:id="1069689143">
      <w:bodyDiv w:val="1"/>
      <w:marLeft w:val="0"/>
      <w:marRight w:val="0"/>
      <w:marTop w:val="0"/>
      <w:marBottom w:val="0"/>
      <w:divBdr>
        <w:top w:val="none" w:sz="0" w:space="0" w:color="auto"/>
        <w:left w:val="none" w:sz="0" w:space="0" w:color="auto"/>
        <w:bottom w:val="none" w:sz="0" w:space="0" w:color="auto"/>
        <w:right w:val="none" w:sz="0" w:space="0" w:color="auto"/>
      </w:divBdr>
    </w:div>
    <w:div w:id="1075666376">
      <w:bodyDiv w:val="1"/>
      <w:marLeft w:val="0"/>
      <w:marRight w:val="0"/>
      <w:marTop w:val="0"/>
      <w:marBottom w:val="0"/>
      <w:divBdr>
        <w:top w:val="none" w:sz="0" w:space="0" w:color="auto"/>
        <w:left w:val="none" w:sz="0" w:space="0" w:color="auto"/>
        <w:bottom w:val="none" w:sz="0" w:space="0" w:color="auto"/>
        <w:right w:val="none" w:sz="0" w:space="0" w:color="auto"/>
      </w:divBdr>
    </w:div>
    <w:div w:id="1091656656">
      <w:bodyDiv w:val="1"/>
      <w:marLeft w:val="0"/>
      <w:marRight w:val="0"/>
      <w:marTop w:val="0"/>
      <w:marBottom w:val="0"/>
      <w:divBdr>
        <w:top w:val="none" w:sz="0" w:space="0" w:color="auto"/>
        <w:left w:val="none" w:sz="0" w:space="0" w:color="auto"/>
        <w:bottom w:val="none" w:sz="0" w:space="0" w:color="auto"/>
        <w:right w:val="none" w:sz="0" w:space="0" w:color="auto"/>
      </w:divBdr>
    </w:div>
    <w:div w:id="1133014803">
      <w:bodyDiv w:val="1"/>
      <w:marLeft w:val="0"/>
      <w:marRight w:val="0"/>
      <w:marTop w:val="0"/>
      <w:marBottom w:val="0"/>
      <w:divBdr>
        <w:top w:val="none" w:sz="0" w:space="0" w:color="auto"/>
        <w:left w:val="none" w:sz="0" w:space="0" w:color="auto"/>
        <w:bottom w:val="none" w:sz="0" w:space="0" w:color="auto"/>
        <w:right w:val="none" w:sz="0" w:space="0" w:color="auto"/>
      </w:divBdr>
    </w:div>
    <w:div w:id="1200389163">
      <w:bodyDiv w:val="1"/>
      <w:marLeft w:val="0"/>
      <w:marRight w:val="0"/>
      <w:marTop w:val="0"/>
      <w:marBottom w:val="0"/>
      <w:divBdr>
        <w:top w:val="none" w:sz="0" w:space="0" w:color="auto"/>
        <w:left w:val="none" w:sz="0" w:space="0" w:color="auto"/>
        <w:bottom w:val="none" w:sz="0" w:space="0" w:color="auto"/>
        <w:right w:val="none" w:sz="0" w:space="0" w:color="auto"/>
      </w:divBdr>
    </w:div>
    <w:div w:id="1217274628">
      <w:bodyDiv w:val="1"/>
      <w:marLeft w:val="0"/>
      <w:marRight w:val="0"/>
      <w:marTop w:val="0"/>
      <w:marBottom w:val="0"/>
      <w:divBdr>
        <w:top w:val="none" w:sz="0" w:space="0" w:color="auto"/>
        <w:left w:val="none" w:sz="0" w:space="0" w:color="auto"/>
        <w:bottom w:val="none" w:sz="0" w:space="0" w:color="auto"/>
        <w:right w:val="none" w:sz="0" w:space="0" w:color="auto"/>
      </w:divBdr>
    </w:div>
    <w:div w:id="1240824072">
      <w:bodyDiv w:val="1"/>
      <w:marLeft w:val="0"/>
      <w:marRight w:val="0"/>
      <w:marTop w:val="0"/>
      <w:marBottom w:val="0"/>
      <w:divBdr>
        <w:top w:val="none" w:sz="0" w:space="0" w:color="auto"/>
        <w:left w:val="none" w:sz="0" w:space="0" w:color="auto"/>
        <w:bottom w:val="none" w:sz="0" w:space="0" w:color="auto"/>
        <w:right w:val="none" w:sz="0" w:space="0" w:color="auto"/>
      </w:divBdr>
    </w:div>
    <w:div w:id="1256132753">
      <w:bodyDiv w:val="1"/>
      <w:marLeft w:val="0"/>
      <w:marRight w:val="0"/>
      <w:marTop w:val="0"/>
      <w:marBottom w:val="0"/>
      <w:divBdr>
        <w:top w:val="none" w:sz="0" w:space="0" w:color="auto"/>
        <w:left w:val="none" w:sz="0" w:space="0" w:color="auto"/>
        <w:bottom w:val="none" w:sz="0" w:space="0" w:color="auto"/>
        <w:right w:val="none" w:sz="0" w:space="0" w:color="auto"/>
      </w:divBdr>
      <w:divsChild>
        <w:div w:id="1707876426">
          <w:marLeft w:val="446"/>
          <w:marRight w:val="0"/>
          <w:marTop w:val="0"/>
          <w:marBottom w:val="160"/>
          <w:divBdr>
            <w:top w:val="none" w:sz="0" w:space="0" w:color="auto"/>
            <w:left w:val="none" w:sz="0" w:space="0" w:color="auto"/>
            <w:bottom w:val="none" w:sz="0" w:space="0" w:color="auto"/>
            <w:right w:val="none" w:sz="0" w:space="0" w:color="auto"/>
          </w:divBdr>
        </w:div>
      </w:divsChild>
    </w:div>
    <w:div w:id="1271738422">
      <w:bodyDiv w:val="1"/>
      <w:marLeft w:val="0"/>
      <w:marRight w:val="0"/>
      <w:marTop w:val="0"/>
      <w:marBottom w:val="0"/>
      <w:divBdr>
        <w:top w:val="none" w:sz="0" w:space="0" w:color="auto"/>
        <w:left w:val="none" w:sz="0" w:space="0" w:color="auto"/>
        <w:bottom w:val="none" w:sz="0" w:space="0" w:color="auto"/>
        <w:right w:val="none" w:sz="0" w:space="0" w:color="auto"/>
      </w:divBdr>
    </w:div>
    <w:div w:id="1342588276">
      <w:bodyDiv w:val="1"/>
      <w:marLeft w:val="0"/>
      <w:marRight w:val="0"/>
      <w:marTop w:val="0"/>
      <w:marBottom w:val="0"/>
      <w:divBdr>
        <w:top w:val="none" w:sz="0" w:space="0" w:color="auto"/>
        <w:left w:val="none" w:sz="0" w:space="0" w:color="auto"/>
        <w:bottom w:val="none" w:sz="0" w:space="0" w:color="auto"/>
        <w:right w:val="none" w:sz="0" w:space="0" w:color="auto"/>
      </w:divBdr>
    </w:div>
    <w:div w:id="1389721856">
      <w:bodyDiv w:val="1"/>
      <w:marLeft w:val="0"/>
      <w:marRight w:val="0"/>
      <w:marTop w:val="0"/>
      <w:marBottom w:val="0"/>
      <w:divBdr>
        <w:top w:val="none" w:sz="0" w:space="0" w:color="auto"/>
        <w:left w:val="none" w:sz="0" w:space="0" w:color="auto"/>
        <w:bottom w:val="none" w:sz="0" w:space="0" w:color="auto"/>
        <w:right w:val="none" w:sz="0" w:space="0" w:color="auto"/>
      </w:divBdr>
    </w:div>
    <w:div w:id="1405103005">
      <w:bodyDiv w:val="1"/>
      <w:marLeft w:val="0"/>
      <w:marRight w:val="0"/>
      <w:marTop w:val="0"/>
      <w:marBottom w:val="0"/>
      <w:divBdr>
        <w:top w:val="none" w:sz="0" w:space="0" w:color="auto"/>
        <w:left w:val="none" w:sz="0" w:space="0" w:color="auto"/>
        <w:bottom w:val="none" w:sz="0" w:space="0" w:color="auto"/>
        <w:right w:val="none" w:sz="0" w:space="0" w:color="auto"/>
      </w:divBdr>
    </w:div>
    <w:div w:id="1405688249">
      <w:bodyDiv w:val="1"/>
      <w:marLeft w:val="0"/>
      <w:marRight w:val="0"/>
      <w:marTop w:val="0"/>
      <w:marBottom w:val="0"/>
      <w:divBdr>
        <w:top w:val="none" w:sz="0" w:space="0" w:color="auto"/>
        <w:left w:val="none" w:sz="0" w:space="0" w:color="auto"/>
        <w:bottom w:val="none" w:sz="0" w:space="0" w:color="auto"/>
        <w:right w:val="none" w:sz="0" w:space="0" w:color="auto"/>
      </w:divBdr>
    </w:div>
    <w:div w:id="1430545797">
      <w:bodyDiv w:val="1"/>
      <w:marLeft w:val="0"/>
      <w:marRight w:val="0"/>
      <w:marTop w:val="0"/>
      <w:marBottom w:val="0"/>
      <w:divBdr>
        <w:top w:val="none" w:sz="0" w:space="0" w:color="auto"/>
        <w:left w:val="none" w:sz="0" w:space="0" w:color="auto"/>
        <w:bottom w:val="none" w:sz="0" w:space="0" w:color="auto"/>
        <w:right w:val="none" w:sz="0" w:space="0" w:color="auto"/>
      </w:divBdr>
    </w:div>
    <w:div w:id="1490903567">
      <w:bodyDiv w:val="1"/>
      <w:marLeft w:val="0"/>
      <w:marRight w:val="0"/>
      <w:marTop w:val="0"/>
      <w:marBottom w:val="0"/>
      <w:divBdr>
        <w:top w:val="none" w:sz="0" w:space="0" w:color="auto"/>
        <w:left w:val="none" w:sz="0" w:space="0" w:color="auto"/>
        <w:bottom w:val="none" w:sz="0" w:space="0" w:color="auto"/>
        <w:right w:val="none" w:sz="0" w:space="0" w:color="auto"/>
      </w:divBdr>
    </w:div>
    <w:div w:id="1492868370">
      <w:bodyDiv w:val="1"/>
      <w:marLeft w:val="0"/>
      <w:marRight w:val="0"/>
      <w:marTop w:val="0"/>
      <w:marBottom w:val="0"/>
      <w:divBdr>
        <w:top w:val="none" w:sz="0" w:space="0" w:color="auto"/>
        <w:left w:val="none" w:sz="0" w:space="0" w:color="auto"/>
        <w:bottom w:val="none" w:sz="0" w:space="0" w:color="auto"/>
        <w:right w:val="none" w:sz="0" w:space="0" w:color="auto"/>
      </w:divBdr>
    </w:div>
    <w:div w:id="1512331926">
      <w:bodyDiv w:val="1"/>
      <w:marLeft w:val="0"/>
      <w:marRight w:val="0"/>
      <w:marTop w:val="0"/>
      <w:marBottom w:val="0"/>
      <w:divBdr>
        <w:top w:val="none" w:sz="0" w:space="0" w:color="auto"/>
        <w:left w:val="none" w:sz="0" w:space="0" w:color="auto"/>
        <w:bottom w:val="none" w:sz="0" w:space="0" w:color="auto"/>
        <w:right w:val="none" w:sz="0" w:space="0" w:color="auto"/>
      </w:divBdr>
    </w:div>
    <w:div w:id="1518276848">
      <w:bodyDiv w:val="1"/>
      <w:marLeft w:val="0"/>
      <w:marRight w:val="0"/>
      <w:marTop w:val="0"/>
      <w:marBottom w:val="0"/>
      <w:divBdr>
        <w:top w:val="none" w:sz="0" w:space="0" w:color="auto"/>
        <w:left w:val="none" w:sz="0" w:space="0" w:color="auto"/>
        <w:bottom w:val="none" w:sz="0" w:space="0" w:color="auto"/>
        <w:right w:val="none" w:sz="0" w:space="0" w:color="auto"/>
      </w:divBdr>
    </w:div>
    <w:div w:id="1563832451">
      <w:bodyDiv w:val="1"/>
      <w:marLeft w:val="0"/>
      <w:marRight w:val="0"/>
      <w:marTop w:val="0"/>
      <w:marBottom w:val="0"/>
      <w:divBdr>
        <w:top w:val="none" w:sz="0" w:space="0" w:color="auto"/>
        <w:left w:val="none" w:sz="0" w:space="0" w:color="auto"/>
        <w:bottom w:val="none" w:sz="0" w:space="0" w:color="auto"/>
        <w:right w:val="none" w:sz="0" w:space="0" w:color="auto"/>
      </w:divBdr>
    </w:div>
    <w:div w:id="1571429005">
      <w:bodyDiv w:val="1"/>
      <w:marLeft w:val="0"/>
      <w:marRight w:val="0"/>
      <w:marTop w:val="0"/>
      <w:marBottom w:val="0"/>
      <w:divBdr>
        <w:top w:val="none" w:sz="0" w:space="0" w:color="auto"/>
        <w:left w:val="none" w:sz="0" w:space="0" w:color="auto"/>
        <w:bottom w:val="none" w:sz="0" w:space="0" w:color="auto"/>
        <w:right w:val="none" w:sz="0" w:space="0" w:color="auto"/>
      </w:divBdr>
    </w:div>
    <w:div w:id="1609972830">
      <w:bodyDiv w:val="1"/>
      <w:marLeft w:val="0"/>
      <w:marRight w:val="0"/>
      <w:marTop w:val="0"/>
      <w:marBottom w:val="0"/>
      <w:divBdr>
        <w:top w:val="none" w:sz="0" w:space="0" w:color="auto"/>
        <w:left w:val="none" w:sz="0" w:space="0" w:color="auto"/>
        <w:bottom w:val="none" w:sz="0" w:space="0" w:color="auto"/>
        <w:right w:val="none" w:sz="0" w:space="0" w:color="auto"/>
      </w:divBdr>
    </w:div>
    <w:div w:id="1621760137">
      <w:bodyDiv w:val="1"/>
      <w:marLeft w:val="0"/>
      <w:marRight w:val="0"/>
      <w:marTop w:val="0"/>
      <w:marBottom w:val="0"/>
      <w:divBdr>
        <w:top w:val="none" w:sz="0" w:space="0" w:color="auto"/>
        <w:left w:val="none" w:sz="0" w:space="0" w:color="auto"/>
        <w:bottom w:val="none" w:sz="0" w:space="0" w:color="auto"/>
        <w:right w:val="none" w:sz="0" w:space="0" w:color="auto"/>
      </w:divBdr>
    </w:div>
    <w:div w:id="1630086332">
      <w:bodyDiv w:val="1"/>
      <w:marLeft w:val="0"/>
      <w:marRight w:val="0"/>
      <w:marTop w:val="0"/>
      <w:marBottom w:val="0"/>
      <w:divBdr>
        <w:top w:val="none" w:sz="0" w:space="0" w:color="auto"/>
        <w:left w:val="none" w:sz="0" w:space="0" w:color="auto"/>
        <w:bottom w:val="none" w:sz="0" w:space="0" w:color="auto"/>
        <w:right w:val="none" w:sz="0" w:space="0" w:color="auto"/>
      </w:divBdr>
    </w:div>
    <w:div w:id="1728797906">
      <w:bodyDiv w:val="1"/>
      <w:marLeft w:val="0"/>
      <w:marRight w:val="0"/>
      <w:marTop w:val="0"/>
      <w:marBottom w:val="0"/>
      <w:divBdr>
        <w:top w:val="none" w:sz="0" w:space="0" w:color="auto"/>
        <w:left w:val="none" w:sz="0" w:space="0" w:color="auto"/>
        <w:bottom w:val="none" w:sz="0" w:space="0" w:color="auto"/>
        <w:right w:val="none" w:sz="0" w:space="0" w:color="auto"/>
      </w:divBdr>
    </w:div>
    <w:div w:id="1731951805">
      <w:bodyDiv w:val="1"/>
      <w:marLeft w:val="0"/>
      <w:marRight w:val="0"/>
      <w:marTop w:val="0"/>
      <w:marBottom w:val="0"/>
      <w:divBdr>
        <w:top w:val="none" w:sz="0" w:space="0" w:color="auto"/>
        <w:left w:val="none" w:sz="0" w:space="0" w:color="auto"/>
        <w:bottom w:val="none" w:sz="0" w:space="0" w:color="auto"/>
        <w:right w:val="none" w:sz="0" w:space="0" w:color="auto"/>
      </w:divBdr>
    </w:div>
    <w:div w:id="1791164872">
      <w:bodyDiv w:val="1"/>
      <w:marLeft w:val="0"/>
      <w:marRight w:val="0"/>
      <w:marTop w:val="0"/>
      <w:marBottom w:val="0"/>
      <w:divBdr>
        <w:top w:val="none" w:sz="0" w:space="0" w:color="auto"/>
        <w:left w:val="none" w:sz="0" w:space="0" w:color="auto"/>
        <w:bottom w:val="none" w:sz="0" w:space="0" w:color="auto"/>
        <w:right w:val="none" w:sz="0" w:space="0" w:color="auto"/>
      </w:divBdr>
    </w:div>
    <w:div w:id="1801990324">
      <w:bodyDiv w:val="1"/>
      <w:marLeft w:val="0"/>
      <w:marRight w:val="0"/>
      <w:marTop w:val="0"/>
      <w:marBottom w:val="0"/>
      <w:divBdr>
        <w:top w:val="none" w:sz="0" w:space="0" w:color="auto"/>
        <w:left w:val="none" w:sz="0" w:space="0" w:color="auto"/>
        <w:bottom w:val="none" w:sz="0" w:space="0" w:color="auto"/>
        <w:right w:val="none" w:sz="0" w:space="0" w:color="auto"/>
      </w:divBdr>
    </w:div>
    <w:div w:id="1828352580">
      <w:bodyDiv w:val="1"/>
      <w:marLeft w:val="0"/>
      <w:marRight w:val="0"/>
      <w:marTop w:val="0"/>
      <w:marBottom w:val="0"/>
      <w:divBdr>
        <w:top w:val="none" w:sz="0" w:space="0" w:color="auto"/>
        <w:left w:val="none" w:sz="0" w:space="0" w:color="auto"/>
        <w:bottom w:val="none" w:sz="0" w:space="0" w:color="auto"/>
        <w:right w:val="none" w:sz="0" w:space="0" w:color="auto"/>
      </w:divBdr>
    </w:div>
    <w:div w:id="1835338505">
      <w:bodyDiv w:val="1"/>
      <w:marLeft w:val="0"/>
      <w:marRight w:val="0"/>
      <w:marTop w:val="0"/>
      <w:marBottom w:val="0"/>
      <w:divBdr>
        <w:top w:val="none" w:sz="0" w:space="0" w:color="auto"/>
        <w:left w:val="none" w:sz="0" w:space="0" w:color="auto"/>
        <w:bottom w:val="none" w:sz="0" w:space="0" w:color="auto"/>
        <w:right w:val="none" w:sz="0" w:space="0" w:color="auto"/>
      </w:divBdr>
    </w:div>
    <w:div w:id="1879968357">
      <w:bodyDiv w:val="1"/>
      <w:marLeft w:val="0"/>
      <w:marRight w:val="0"/>
      <w:marTop w:val="0"/>
      <w:marBottom w:val="0"/>
      <w:divBdr>
        <w:top w:val="none" w:sz="0" w:space="0" w:color="auto"/>
        <w:left w:val="none" w:sz="0" w:space="0" w:color="auto"/>
        <w:bottom w:val="none" w:sz="0" w:space="0" w:color="auto"/>
        <w:right w:val="none" w:sz="0" w:space="0" w:color="auto"/>
      </w:divBdr>
    </w:div>
    <w:div w:id="1918704322">
      <w:bodyDiv w:val="1"/>
      <w:marLeft w:val="0"/>
      <w:marRight w:val="0"/>
      <w:marTop w:val="0"/>
      <w:marBottom w:val="0"/>
      <w:divBdr>
        <w:top w:val="none" w:sz="0" w:space="0" w:color="auto"/>
        <w:left w:val="none" w:sz="0" w:space="0" w:color="auto"/>
        <w:bottom w:val="none" w:sz="0" w:space="0" w:color="auto"/>
        <w:right w:val="none" w:sz="0" w:space="0" w:color="auto"/>
      </w:divBdr>
    </w:div>
    <w:div w:id="1963881550">
      <w:bodyDiv w:val="1"/>
      <w:marLeft w:val="0"/>
      <w:marRight w:val="0"/>
      <w:marTop w:val="0"/>
      <w:marBottom w:val="0"/>
      <w:divBdr>
        <w:top w:val="none" w:sz="0" w:space="0" w:color="auto"/>
        <w:left w:val="none" w:sz="0" w:space="0" w:color="auto"/>
        <w:bottom w:val="none" w:sz="0" w:space="0" w:color="auto"/>
        <w:right w:val="none" w:sz="0" w:space="0" w:color="auto"/>
      </w:divBdr>
    </w:div>
    <w:div w:id="1965383104">
      <w:bodyDiv w:val="1"/>
      <w:marLeft w:val="0"/>
      <w:marRight w:val="0"/>
      <w:marTop w:val="0"/>
      <w:marBottom w:val="0"/>
      <w:divBdr>
        <w:top w:val="none" w:sz="0" w:space="0" w:color="auto"/>
        <w:left w:val="none" w:sz="0" w:space="0" w:color="auto"/>
        <w:bottom w:val="none" w:sz="0" w:space="0" w:color="auto"/>
        <w:right w:val="none" w:sz="0" w:space="0" w:color="auto"/>
      </w:divBdr>
    </w:div>
    <w:div w:id="1983853246">
      <w:bodyDiv w:val="1"/>
      <w:marLeft w:val="0"/>
      <w:marRight w:val="0"/>
      <w:marTop w:val="0"/>
      <w:marBottom w:val="0"/>
      <w:divBdr>
        <w:top w:val="none" w:sz="0" w:space="0" w:color="auto"/>
        <w:left w:val="none" w:sz="0" w:space="0" w:color="auto"/>
        <w:bottom w:val="none" w:sz="0" w:space="0" w:color="auto"/>
        <w:right w:val="none" w:sz="0" w:space="0" w:color="auto"/>
      </w:divBdr>
    </w:div>
    <w:div w:id="2016420384">
      <w:bodyDiv w:val="1"/>
      <w:marLeft w:val="0"/>
      <w:marRight w:val="0"/>
      <w:marTop w:val="0"/>
      <w:marBottom w:val="0"/>
      <w:divBdr>
        <w:top w:val="none" w:sz="0" w:space="0" w:color="auto"/>
        <w:left w:val="none" w:sz="0" w:space="0" w:color="auto"/>
        <w:bottom w:val="none" w:sz="0" w:space="0" w:color="auto"/>
        <w:right w:val="none" w:sz="0" w:space="0" w:color="auto"/>
      </w:divBdr>
    </w:div>
    <w:div w:id="2020571902">
      <w:bodyDiv w:val="1"/>
      <w:marLeft w:val="0"/>
      <w:marRight w:val="0"/>
      <w:marTop w:val="0"/>
      <w:marBottom w:val="0"/>
      <w:divBdr>
        <w:top w:val="none" w:sz="0" w:space="0" w:color="auto"/>
        <w:left w:val="none" w:sz="0" w:space="0" w:color="auto"/>
        <w:bottom w:val="none" w:sz="0" w:space="0" w:color="auto"/>
        <w:right w:val="none" w:sz="0" w:space="0" w:color="auto"/>
      </w:divBdr>
    </w:div>
    <w:div w:id="2051569566">
      <w:bodyDiv w:val="1"/>
      <w:marLeft w:val="0"/>
      <w:marRight w:val="0"/>
      <w:marTop w:val="0"/>
      <w:marBottom w:val="0"/>
      <w:divBdr>
        <w:top w:val="none" w:sz="0" w:space="0" w:color="auto"/>
        <w:left w:val="none" w:sz="0" w:space="0" w:color="auto"/>
        <w:bottom w:val="none" w:sz="0" w:space="0" w:color="auto"/>
        <w:right w:val="none" w:sz="0" w:space="0" w:color="auto"/>
      </w:divBdr>
    </w:div>
    <w:div w:id="2066684880">
      <w:bodyDiv w:val="1"/>
      <w:marLeft w:val="0"/>
      <w:marRight w:val="0"/>
      <w:marTop w:val="0"/>
      <w:marBottom w:val="0"/>
      <w:divBdr>
        <w:top w:val="none" w:sz="0" w:space="0" w:color="auto"/>
        <w:left w:val="none" w:sz="0" w:space="0" w:color="auto"/>
        <w:bottom w:val="none" w:sz="0" w:space="0" w:color="auto"/>
        <w:right w:val="none" w:sz="0" w:space="0" w:color="auto"/>
      </w:divBdr>
    </w:div>
    <w:div w:id="2078552650">
      <w:bodyDiv w:val="1"/>
      <w:marLeft w:val="0"/>
      <w:marRight w:val="0"/>
      <w:marTop w:val="0"/>
      <w:marBottom w:val="0"/>
      <w:divBdr>
        <w:top w:val="none" w:sz="0" w:space="0" w:color="auto"/>
        <w:left w:val="none" w:sz="0" w:space="0" w:color="auto"/>
        <w:bottom w:val="none" w:sz="0" w:space="0" w:color="auto"/>
        <w:right w:val="none" w:sz="0" w:space="0" w:color="auto"/>
      </w:divBdr>
    </w:div>
    <w:div w:id="2114788770">
      <w:bodyDiv w:val="1"/>
      <w:marLeft w:val="0"/>
      <w:marRight w:val="0"/>
      <w:marTop w:val="0"/>
      <w:marBottom w:val="0"/>
      <w:divBdr>
        <w:top w:val="none" w:sz="0" w:space="0" w:color="auto"/>
        <w:left w:val="none" w:sz="0" w:space="0" w:color="auto"/>
        <w:bottom w:val="none" w:sz="0" w:space="0" w:color="auto"/>
        <w:right w:val="none" w:sz="0" w:space="0" w:color="auto"/>
      </w:divBdr>
    </w:div>
    <w:div w:id="2120643003">
      <w:bodyDiv w:val="1"/>
      <w:marLeft w:val="0"/>
      <w:marRight w:val="0"/>
      <w:marTop w:val="0"/>
      <w:marBottom w:val="0"/>
      <w:divBdr>
        <w:top w:val="none" w:sz="0" w:space="0" w:color="auto"/>
        <w:left w:val="none" w:sz="0" w:space="0" w:color="auto"/>
        <w:bottom w:val="none" w:sz="0" w:space="0" w:color="auto"/>
        <w:right w:val="none" w:sz="0" w:space="0" w:color="auto"/>
      </w:divBdr>
    </w:div>
    <w:div w:id="214233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jpeg"/><Relationship Id="rId26" Type="http://schemas.openxmlformats.org/officeDocument/2006/relationships/image" Target="media/image16.png"/><Relationship Id="rId39" Type="http://schemas.openxmlformats.org/officeDocument/2006/relationships/image" Target="media/image29.pn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jpe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pn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ubchem.ncbi.nlm.nih.gov/" TargetMode="External"/><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10" Type="http://schemas.openxmlformats.org/officeDocument/2006/relationships/image" Target="media/image1.jpeg"/><Relationship Id="rId19" Type="http://schemas.openxmlformats.org/officeDocument/2006/relationships/image" Target="media/image9.jpe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8" Type="http://schemas.openxmlformats.org/officeDocument/2006/relationships/footer" Target="footer1.xml"/><Relationship Id="rId51"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B56F21-5993-43F0-828F-F8A151DA4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1765</TotalTime>
  <Pages>81</Pages>
  <Words>20874</Words>
  <Characters>125582</Characters>
  <Application>Microsoft Office Word</Application>
  <DocSecurity>0</DocSecurity>
  <Lines>2928</Lines>
  <Paragraphs>1031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Franklyn Iheagwam</dc:creator>
  <cp:keywords/>
  <dc:description/>
  <cp:lastModifiedBy>Comr. S. ZAKARI</cp:lastModifiedBy>
  <cp:revision>32</cp:revision>
  <cp:lastPrinted>2024-08-05T11:59:00Z</cp:lastPrinted>
  <dcterms:created xsi:type="dcterms:W3CDTF">2024-07-22T11:12:00Z</dcterms:created>
  <dcterms:modified xsi:type="dcterms:W3CDTF">2024-09-18T18:53:00Z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id="L5u5rlKu"/&gt;&lt;style id="http://www.zotero.org/styles/harvard-imperial-college-london" hasBibliography="1" bibliographyStyleHasBeenSet="1"/&gt;&lt;prefs&gt;&lt;pref name="fieldType" value="Field"/&gt;&lt;pref name="d</vt:lpwstr>
  </property>
  <property fmtid="{D5CDD505-2E9C-101B-9397-08002B2CF9AE}" pid="3" name="ZOTERO_PREF_2">
    <vt:lpwstr>ontAskDelayCitationUpdates" value="true"/&gt;&lt;/prefs&gt;&lt;/data&gt;</vt:lpwstr>
  </property>
  <property fmtid="{D5CDD505-2E9C-101B-9397-08002B2CF9AE}" pid="4" name="GrammarlyDocumentId">
    <vt:lpwstr>6ed3acd12f206b7f109bbdb20d0f4a11b4274dbc2135807c2ea148d64591a3e0</vt:lpwstr>
  </property>
</Properties>
</file>