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08DFD" w14:textId="77777777" w:rsidR="00DF3BCE" w:rsidRDefault="00DF3BCE" w:rsidP="00B52120">
      <w:pPr>
        <w:jc w:val="both"/>
        <w:rPr>
          <w:b/>
          <w:bCs/>
        </w:rPr>
      </w:pPr>
    </w:p>
    <w:p w14:paraId="65ED4590" w14:textId="394B4A52" w:rsidR="00DF3BCE" w:rsidRDefault="00DF3BCE" w:rsidP="00B52120">
      <w:pPr>
        <w:jc w:val="both"/>
        <w:rPr>
          <w:b/>
          <w:bCs/>
        </w:rPr>
      </w:pPr>
      <w:r w:rsidRPr="00DF3BCE">
        <w:rPr>
          <w:b/>
          <w:bCs/>
        </w:rPr>
        <w:t>"Pioglitazone and Bladder Cancer Risk: An In-Depth Analysis of Evidence, Regulatory Actions, and Future Research Directions"</w:t>
      </w:r>
    </w:p>
    <w:p w14:paraId="32A3892F" w14:textId="766B80D4" w:rsidR="00B52120" w:rsidRPr="00B52120" w:rsidRDefault="00B52120" w:rsidP="00B52120">
      <w:pPr>
        <w:jc w:val="both"/>
        <w:rPr>
          <w:b/>
          <w:bCs/>
        </w:rPr>
      </w:pPr>
      <w:r w:rsidRPr="00B52120">
        <w:rPr>
          <w:b/>
          <w:bCs/>
        </w:rPr>
        <w:t>Abstract</w:t>
      </w:r>
    </w:p>
    <w:p w14:paraId="5F14C2EB" w14:textId="0E9C90D3" w:rsidR="00B52120" w:rsidRDefault="00B52120" w:rsidP="00B52120">
      <w:pPr>
        <w:jc w:val="both"/>
        <w:rPr>
          <w:rFonts w:ascii="Times New Roman" w:hAnsi="Times New Roman" w:cs="Times New Roman"/>
          <w:sz w:val="24"/>
          <w:szCs w:val="24"/>
        </w:rPr>
      </w:pPr>
      <w:r w:rsidRPr="00B52120">
        <w:rPr>
          <w:rFonts w:ascii="Times New Roman" w:hAnsi="Times New Roman" w:cs="Times New Roman"/>
          <w:sz w:val="24"/>
          <w:szCs w:val="24"/>
        </w:rPr>
        <w:t xml:space="preserve">Pioglitazone, a thiazolidinedione used in the management of type 2 diabetes, has been associated with an increased risk of bladder cancer, particularly with long-term use and higher doses. This review examines the relationship between pioglitazone and bladder cancer, exploring epidemiological evidence, pharmacological mechanisms, and regulatory responses. The review highlights that while multiple studies indicate a potential link between pioglitazone and bladder cancer, findings are inconsistent, with some studies showing significant risk and others questioning the association. Regulatory agencies, including the FDA and EMA, have issued warnings and updated guidelines to mitigate this risk, advising against its use in patients with a history of bladder cancer and recommending regular monitoring. Clinical guidelines from organizations like the ADA, EASD, and IDF emphasize cautious use and consider alternative therapies with more </w:t>
      </w:r>
      <w:proofErr w:type="spellStart"/>
      <w:r w:rsidRPr="00B52120">
        <w:rPr>
          <w:rFonts w:ascii="Times New Roman" w:hAnsi="Times New Roman" w:cs="Times New Roman"/>
          <w:sz w:val="24"/>
          <w:szCs w:val="24"/>
        </w:rPr>
        <w:t>favorable</w:t>
      </w:r>
      <w:proofErr w:type="spellEnd"/>
      <w:r w:rsidRPr="00B52120">
        <w:rPr>
          <w:rFonts w:ascii="Times New Roman" w:hAnsi="Times New Roman" w:cs="Times New Roman"/>
          <w:sz w:val="24"/>
          <w:szCs w:val="24"/>
        </w:rPr>
        <w:t xml:space="preserve"> safety profiles. Future research, including ongoing clinical trials and biomarker development, aims to clarify the risk and improve patient management. The review concludes that while pioglitazone offers therapeutic benefits, its use requires careful risk assessment and monitoring to balance its efficacy with potential cancer risks, emphasizing the need for updated guidelines and patient education.</w:t>
      </w:r>
    </w:p>
    <w:p w14:paraId="276C95FE" w14:textId="2ED13A53" w:rsidR="00B52120" w:rsidRPr="00B52120" w:rsidRDefault="00B52120" w:rsidP="00B52120">
      <w:pPr>
        <w:rPr>
          <w:rFonts w:ascii="Times New Roman" w:eastAsia="Times New Roman" w:hAnsi="Times New Roman" w:cs="Times New Roman"/>
          <w:sz w:val="24"/>
          <w:szCs w:val="24"/>
          <w:lang w:eastAsia="en-IN"/>
        </w:rPr>
      </w:pPr>
      <w:r w:rsidRPr="004D39CA">
        <w:rPr>
          <w:rFonts w:ascii="Times New Roman" w:hAnsi="Times New Roman" w:cs="Times New Roman"/>
          <w:b/>
          <w:bCs/>
          <w:sz w:val="24"/>
          <w:szCs w:val="24"/>
        </w:rPr>
        <w:t xml:space="preserve">Keywords. - </w:t>
      </w:r>
      <w:r w:rsidRPr="00B52120">
        <w:rPr>
          <w:rFonts w:ascii="Times New Roman" w:eastAsia="Times New Roman" w:hAnsi="Times New Roman" w:cs="Times New Roman"/>
          <w:sz w:val="24"/>
          <w:szCs w:val="24"/>
          <w:lang w:eastAsia="en-IN"/>
        </w:rPr>
        <w:t>Bladder Cancer</w:t>
      </w:r>
      <w:r>
        <w:rPr>
          <w:rFonts w:ascii="Times New Roman" w:eastAsia="Times New Roman" w:hAnsi="Times New Roman" w:cs="Times New Roman"/>
          <w:sz w:val="24"/>
          <w:szCs w:val="24"/>
          <w:lang w:eastAsia="en-IN"/>
        </w:rPr>
        <w:t xml:space="preserve">, </w:t>
      </w:r>
      <w:r w:rsidRPr="00B52120">
        <w:rPr>
          <w:rFonts w:ascii="Times New Roman" w:eastAsia="Times New Roman" w:hAnsi="Times New Roman" w:cs="Times New Roman"/>
          <w:sz w:val="24"/>
          <w:szCs w:val="24"/>
          <w:lang w:eastAsia="en-IN"/>
        </w:rPr>
        <w:t xml:space="preserve">Clinical </w:t>
      </w:r>
      <w:r w:rsidR="0030708C" w:rsidRPr="00B52120">
        <w:rPr>
          <w:rFonts w:ascii="Times New Roman" w:eastAsia="Times New Roman" w:hAnsi="Times New Roman" w:cs="Times New Roman"/>
          <w:sz w:val="24"/>
          <w:szCs w:val="24"/>
          <w:lang w:eastAsia="en-IN"/>
        </w:rPr>
        <w:t>Guidelines</w:t>
      </w:r>
      <w:r w:rsidR="0030708C">
        <w:rPr>
          <w:rFonts w:ascii="Times New Roman" w:eastAsia="Times New Roman" w:hAnsi="Times New Roman" w:cs="Times New Roman"/>
          <w:sz w:val="24"/>
          <w:szCs w:val="24"/>
          <w:lang w:eastAsia="en-IN"/>
        </w:rPr>
        <w:t xml:space="preserve">, </w:t>
      </w:r>
      <w:r w:rsidR="0030708C" w:rsidRPr="00B52120">
        <w:rPr>
          <w:rFonts w:ascii="Times New Roman" w:eastAsia="Times New Roman" w:hAnsi="Times New Roman" w:cs="Times New Roman"/>
          <w:sz w:val="24"/>
          <w:szCs w:val="24"/>
          <w:lang w:eastAsia="en-IN"/>
        </w:rPr>
        <w:t>Epidemiological</w:t>
      </w:r>
      <w:r w:rsidRPr="00B52120">
        <w:rPr>
          <w:rFonts w:ascii="Times New Roman" w:eastAsia="Times New Roman" w:hAnsi="Times New Roman" w:cs="Times New Roman"/>
          <w:sz w:val="24"/>
          <w:szCs w:val="24"/>
          <w:lang w:eastAsia="en-IN"/>
        </w:rPr>
        <w:t xml:space="preserve"> </w:t>
      </w:r>
      <w:r w:rsidR="0030708C" w:rsidRPr="00B52120">
        <w:rPr>
          <w:rFonts w:ascii="Times New Roman" w:eastAsia="Times New Roman" w:hAnsi="Times New Roman" w:cs="Times New Roman"/>
          <w:sz w:val="24"/>
          <w:szCs w:val="24"/>
          <w:lang w:eastAsia="en-IN"/>
        </w:rPr>
        <w:t>Evidence</w:t>
      </w:r>
      <w:r w:rsidR="0030708C">
        <w:rPr>
          <w:rFonts w:ascii="Times New Roman" w:eastAsia="Times New Roman" w:hAnsi="Times New Roman" w:cs="Times New Roman"/>
          <w:sz w:val="24"/>
          <w:szCs w:val="24"/>
          <w:lang w:eastAsia="en-IN"/>
        </w:rPr>
        <w:t>,</w:t>
      </w:r>
      <w:r>
        <w:rPr>
          <w:rFonts w:ascii="Times New Roman" w:eastAsia="Times New Roman" w:hAnsi="Times New Roman" w:cs="Times New Roman"/>
          <w:sz w:val="24"/>
          <w:szCs w:val="24"/>
          <w:lang w:eastAsia="en-IN"/>
        </w:rPr>
        <w:t xml:space="preserve"> </w:t>
      </w:r>
      <w:r w:rsidRPr="00B52120">
        <w:rPr>
          <w:rFonts w:ascii="Times New Roman" w:eastAsia="Times New Roman" w:hAnsi="Times New Roman" w:cs="Times New Roman"/>
          <w:sz w:val="24"/>
          <w:szCs w:val="24"/>
          <w:lang w:eastAsia="en-IN"/>
        </w:rPr>
        <w:t>Pioglitazone</w:t>
      </w:r>
      <w:r>
        <w:rPr>
          <w:rFonts w:ascii="Times New Roman" w:eastAsia="Times New Roman" w:hAnsi="Times New Roman" w:cs="Times New Roman"/>
          <w:sz w:val="24"/>
          <w:szCs w:val="24"/>
          <w:lang w:eastAsia="en-IN"/>
        </w:rPr>
        <w:t xml:space="preserve">, </w:t>
      </w:r>
      <w:r w:rsidRPr="00B52120">
        <w:rPr>
          <w:rFonts w:ascii="Times New Roman" w:eastAsia="Times New Roman" w:hAnsi="Times New Roman" w:cs="Times New Roman"/>
          <w:sz w:val="24"/>
          <w:szCs w:val="24"/>
          <w:lang w:eastAsia="en-IN"/>
        </w:rPr>
        <w:t>Risk Assessment</w:t>
      </w:r>
    </w:p>
    <w:p w14:paraId="1E535A37" w14:textId="39572434" w:rsidR="00AD11D9" w:rsidRPr="00AD11D9" w:rsidRDefault="00AD11D9" w:rsidP="00B52120">
      <w:pPr>
        <w:jc w:val="both"/>
        <w:rPr>
          <w:b/>
          <w:bCs/>
        </w:rPr>
      </w:pPr>
      <w:r w:rsidRPr="00AD11D9">
        <w:rPr>
          <w:b/>
          <w:bCs/>
        </w:rPr>
        <w:t>1. Introduction</w:t>
      </w:r>
    </w:p>
    <w:p w14:paraId="7EB8BDC1" w14:textId="77777777" w:rsidR="00AD11D9" w:rsidRPr="00AD11D9" w:rsidRDefault="00AD11D9" w:rsidP="00B52120">
      <w:pPr>
        <w:jc w:val="both"/>
        <w:rPr>
          <w:b/>
          <w:bCs/>
        </w:rPr>
      </w:pPr>
      <w:r w:rsidRPr="00AD11D9">
        <w:rPr>
          <w:b/>
          <w:bCs/>
        </w:rPr>
        <w:t>1.1 Overview of Pioglitazone</w:t>
      </w:r>
    </w:p>
    <w:p w14:paraId="105483C9" w14:textId="77777777" w:rsidR="00AD11D9" w:rsidRPr="00AD11D9" w:rsidRDefault="00AD11D9" w:rsidP="00B52120">
      <w:pPr>
        <w:jc w:val="both"/>
      </w:pPr>
      <w:r w:rsidRPr="00AD11D9">
        <w:t xml:space="preserve">Pioglitazone is an oral antidiabetic medication belonging to the thiazolidinedione (TZD) class. It is primarily used to improve </w:t>
      </w:r>
      <w:proofErr w:type="spellStart"/>
      <w:r w:rsidRPr="00AD11D9">
        <w:t>glycemic</w:t>
      </w:r>
      <w:proofErr w:type="spellEnd"/>
      <w:r w:rsidRPr="00AD11D9">
        <w:t xml:space="preserve"> control in patients with type 2 diabetes mellitus. Pioglitazone exerts its effects by activating the peroxisome proliferator-activated receptor gamma (</w:t>
      </w:r>
      <w:proofErr w:type="spellStart"/>
      <w:r w:rsidRPr="00AD11D9">
        <w:t>PPARγ</w:t>
      </w:r>
      <w:proofErr w:type="spellEnd"/>
      <w:r w:rsidRPr="00AD11D9">
        <w:t>), a nuclear receptor that regulates the expression of genes involved in glucose and lipid metabolism. By enhancing insulin sensitivity in adipose tissue, muscle, and the liver, pioglitazone reduces blood glucose levels and improves metabolic parameters.</w:t>
      </w:r>
    </w:p>
    <w:p w14:paraId="15507470" w14:textId="77777777" w:rsidR="00AD11D9" w:rsidRPr="00AD11D9" w:rsidRDefault="00AD11D9" w:rsidP="00B52120">
      <w:pPr>
        <w:jc w:val="both"/>
      </w:pPr>
      <w:r w:rsidRPr="00AD11D9">
        <w:t>Approved by the U.S. Food and Drug Administration (FDA) in 1999, pioglitazone has been widely prescribed for its efficacy in controlling blood sugar levels and reducing the risk of cardiovascular events in diabetic patients. However, its use has been met with increasing scrutiny due to safety concerns, particularly the potential risk of bladder cancer.</w:t>
      </w:r>
    </w:p>
    <w:p w14:paraId="4A8FABED" w14:textId="77777777" w:rsidR="00AD11D9" w:rsidRPr="00AD11D9" w:rsidRDefault="00AD11D9" w:rsidP="00B52120">
      <w:pPr>
        <w:jc w:val="both"/>
        <w:rPr>
          <w:b/>
          <w:bCs/>
        </w:rPr>
      </w:pPr>
      <w:r w:rsidRPr="00AD11D9">
        <w:rPr>
          <w:b/>
          <w:bCs/>
        </w:rPr>
        <w:t>1.2 Therapeutic Uses of Pioglitazone</w:t>
      </w:r>
    </w:p>
    <w:p w14:paraId="04C388A1" w14:textId="77777777" w:rsidR="00AD11D9" w:rsidRPr="00AD11D9" w:rsidRDefault="00AD11D9" w:rsidP="00B52120">
      <w:pPr>
        <w:jc w:val="both"/>
      </w:pPr>
      <w:r w:rsidRPr="00AD11D9">
        <w:t xml:space="preserve">Beyond its primary role in managing type 2 diabetes, pioglitazone has been investigated for various off-label uses. These include potential benefits in </w:t>
      </w:r>
      <w:proofErr w:type="spellStart"/>
      <w:r w:rsidRPr="00AD11D9">
        <w:t>nonalcoholic</w:t>
      </w:r>
      <w:proofErr w:type="spellEnd"/>
      <w:r w:rsidRPr="00AD11D9">
        <w:t xml:space="preserve"> steatohepatitis (NASH), polycystic ovary syndrome (PCOS), and the reduction of cardiovascular risk factors. The drug has been </w:t>
      </w:r>
      <w:proofErr w:type="spellStart"/>
      <w:r w:rsidRPr="00AD11D9">
        <w:t>favored</w:t>
      </w:r>
      <w:proofErr w:type="spellEnd"/>
      <w:r w:rsidRPr="00AD11D9">
        <w:t xml:space="preserve"> for its ability to improve lipid profiles, reduce inflammation, and prevent the progression of atherosclerosis.</w:t>
      </w:r>
    </w:p>
    <w:p w14:paraId="5C5D40AF" w14:textId="77777777" w:rsidR="00AD11D9" w:rsidRPr="00AD11D9" w:rsidRDefault="00AD11D9" w:rsidP="00B52120">
      <w:pPr>
        <w:jc w:val="both"/>
      </w:pPr>
      <w:r w:rsidRPr="00AD11D9">
        <w:t xml:space="preserve">Pioglitazone is typically used in combination with other antidiabetic agents, such as metformin, sulfonylureas, or insulin, to achieve better </w:t>
      </w:r>
      <w:proofErr w:type="spellStart"/>
      <w:r w:rsidRPr="00AD11D9">
        <w:t>glycemic</w:t>
      </w:r>
      <w:proofErr w:type="spellEnd"/>
      <w:r w:rsidRPr="00AD11D9">
        <w:t xml:space="preserve"> control in patients who are not adequately </w:t>
      </w:r>
      <w:r w:rsidRPr="00AD11D9">
        <w:lastRenderedPageBreak/>
        <w:t>managed by monotherapy. The choice of pioglitazone is often influenced by its benefits on insulin resistance, making it a valuable option for patients with significant metabolic syndrome features.</w:t>
      </w:r>
    </w:p>
    <w:p w14:paraId="00875C42" w14:textId="77777777" w:rsidR="00AD11D9" w:rsidRPr="00AD11D9" w:rsidRDefault="00AD11D9" w:rsidP="00B52120">
      <w:pPr>
        <w:jc w:val="both"/>
        <w:rPr>
          <w:b/>
          <w:bCs/>
        </w:rPr>
      </w:pPr>
      <w:r w:rsidRPr="00AD11D9">
        <w:rPr>
          <w:b/>
          <w:bCs/>
        </w:rPr>
        <w:t>1.3 Emerging Concerns: Pioglitazone and Bladder Cancer</w:t>
      </w:r>
    </w:p>
    <w:p w14:paraId="63EB0BEB" w14:textId="77777777" w:rsidR="00AD11D9" w:rsidRPr="00AD11D9" w:rsidRDefault="00AD11D9" w:rsidP="00B52120">
      <w:pPr>
        <w:jc w:val="both"/>
      </w:pPr>
      <w:r w:rsidRPr="00AD11D9">
        <w:t>Despite its therapeutic benefits, pioglitazone's safety profile has been questioned due to emerging evidence linking its use to an increased risk of bladder cancer. Initial concerns were raised in the early 2000s when preclinical studies in rodents suggested a potential carcinogenic effect of pioglitazone on the bladder. These findings prompted further investigation through observational studies and post-marketing surveillance.</w:t>
      </w:r>
    </w:p>
    <w:p w14:paraId="4B351C33" w14:textId="77777777" w:rsidR="00AD11D9" w:rsidRPr="00AD11D9" w:rsidRDefault="00AD11D9" w:rsidP="00B52120">
      <w:pPr>
        <w:jc w:val="both"/>
      </w:pPr>
      <w:r w:rsidRPr="00AD11D9">
        <w:t>Epidemiological studies have produced mixed results, with some indicating a significant association between long-term pioglitazone use and bladder cancer, particularly in patients exposed to higher cumulative doses or prolonged treatment durations. This potential risk has led to heightened regulatory scrutiny, including warnings from the FDA and European Medicines Agency (EMA), and has sparked debates within the medical community regarding the risk-benefit profile of pioglitazone.</w:t>
      </w:r>
    </w:p>
    <w:p w14:paraId="4F87B00F" w14:textId="77777777" w:rsidR="00AD11D9" w:rsidRPr="00AD11D9" w:rsidRDefault="00AD11D9" w:rsidP="00B52120">
      <w:pPr>
        <w:jc w:val="both"/>
      </w:pPr>
      <w:r w:rsidRPr="00AD11D9">
        <w:t>Given the ongoing controversy, this review aims to synthesize the current evidence on pioglitazone-associated bladder cancer, explore the underlying molecular mechanisms, and provide clinical guidance for healthcare providers managing patients on pioglitazone therapy. The objective is to offer a comprehensive understanding of the potential risks while considering the therapeutic benefits of pioglitazone in the management of type 2 diabetes.</w:t>
      </w:r>
    </w:p>
    <w:p w14:paraId="434B7F46" w14:textId="77777777" w:rsidR="00AD11D9" w:rsidRPr="00AD11D9" w:rsidRDefault="00AD11D9" w:rsidP="00B52120">
      <w:pPr>
        <w:jc w:val="both"/>
        <w:rPr>
          <w:b/>
          <w:bCs/>
        </w:rPr>
      </w:pPr>
      <w:r w:rsidRPr="00AD11D9">
        <w:rPr>
          <w:b/>
          <w:bCs/>
        </w:rPr>
        <w:t>2. Pharmacology of Pioglitazone</w:t>
      </w:r>
    </w:p>
    <w:p w14:paraId="425E722D" w14:textId="77777777" w:rsidR="00AD11D9" w:rsidRPr="00AD11D9" w:rsidRDefault="00AD11D9" w:rsidP="00B52120">
      <w:pPr>
        <w:jc w:val="both"/>
        <w:rPr>
          <w:b/>
          <w:bCs/>
        </w:rPr>
      </w:pPr>
      <w:r w:rsidRPr="00AD11D9">
        <w:rPr>
          <w:b/>
          <w:bCs/>
        </w:rPr>
        <w:t>2.1 Mechanism of Action</w:t>
      </w:r>
    </w:p>
    <w:p w14:paraId="3C4F08B5" w14:textId="77777777" w:rsidR="00AD11D9" w:rsidRPr="00AD11D9" w:rsidRDefault="00AD11D9" w:rsidP="00B52120">
      <w:pPr>
        <w:jc w:val="both"/>
      </w:pPr>
      <w:r w:rsidRPr="00AD11D9">
        <w:t>Pioglitazone is a member of the thiazolidinedione (TZD) class of drugs, which act primarily by targeting the peroxisome proliferator-activated receptor gamma (</w:t>
      </w:r>
      <w:proofErr w:type="spellStart"/>
      <w:r w:rsidRPr="00AD11D9">
        <w:t>PPARγ</w:t>
      </w:r>
      <w:proofErr w:type="spellEnd"/>
      <w:r w:rsidRPr="00AD11D9">
        <w:t xml:space="preserve">), a type of nuclear receptor. </w:t>
      </w:r>
      <w:proofErr w:type="spellStart"/>
      <w:r w:rsidRPr="00AD11D9">
        <w:t>PPARγ</w:t>
      </w:r>
      <w:proofErr w:type="spellEnd"/>
      <w:r w:rsidRPr="00AD11D9">
        <w:t xml:space="preserve"> is predominantly expressed in adipose tissue, but it is also present in other tissues such as the liver and skeletal muscle. When pioglitazone binds to </w:t>
      </w:r>
      <w:proofErr w:type="spellStart"/>
      <w:r w:rsidRPr="00AD11D9">
        <w:t>PPARγ</w:t>
      </w:r>
      <w:proofErr w:type="spellEnd"/>
      <w:r w:rsidRPr="00AD11D9">
        <w:t>, it activates this receptor, leading to the modulation of various genes involved in glucose and lipid metabolism.</w:t>
      </w:r>
    </w:p>
    <w:p w14:paraId="3F0DD1DC" w14:textId="77777777" w:rsidR="00AD11D9" w:rsidRPr="00AD11D9" w:rsidRDefault="00AD11D9" w:rsidP="00B52120">
      <w:pPr>
        <w:jc w:val="both"/>
      </w:pPr>
      <w:r w:rsidRPr="00AD11D9">
        <w:t xml:space="preserve">The primary mechanism through which pioglitazone improves </w:t>
      </w:r>
      <w:proofErr w:type="spellStart"/>
      <w:r w:rsidRPr="00AD11D9">
        <w:t>glycemic</w:t>
      </w:r>
      <w:proofErr w:type="spellEnd"/>
      <w:r w:rsidRPr="00AD11D9">
        <w:t xml:space="preserve"> control is by enhancing insulin sensitivity. This is achieved by:</w:t>
      </w:r>
    </w:p>
    <w:p w14:paraId="1038B10D" w14:textId="77777777" w:rsidR="00AD11D9" w:rsidRPr="00AD11D9" w:rsidRDefault="00AD11D9" w:rsidP="00B52120">
      <w:pPr>
        <w:numPr>
          <w:ilvl w:val="0"/>
          <w:numId w:val="1"/>
        </w:numPr>
        <w:jc w:val="both"/>
      </w:pPr>
      <w:r w:rsidRPr="00AD11D9">
        <w:rPr>
          <w:b/>
          <w:bCs/>
        </w:rPr>
        <w:t>Increased glucose uptake in adipose and muscle tissues</w:t>
      </w:r>
      <w:r w:rsidRPr="00AD11D9">
        <w:t>: Pioglitazone upregulates the expression of glucose transporter type 4 (GLUT4), which facilitates glucose entry into cells, thereby lowering blood glucose levels.</w:t>
      </w:r>
    </w:p>
    <w:p w14:paraId="69ED082D" w14:textId="77777777" w:rsidR="00AD11D9" w:rsidRPr="00AD11D9" w:rsidRDefault="00AD11D9" w:rsidP="00B52120">
      <w:pPr>
        <w:numPr>
          <w:ilvl w:val="0"/>
          <w:numId w:val="1"/>
        </w:numPr>
        <w:jc w:val="both"/>
      </w:pPr>
      <w:r w:rsidRPr="00AD11D9">
        <w:rPr>
          <w:b/>
          <w:bCs/>
        </w:rPr>
        <w:t>Reduction of hepatic glucose production</w:t>
      </w:r>
      <w:r w:rsidRPr="00AD11D9">
        <w:t>: Pioglitazone decreases gluconeogenesis in the liver, further contributing to lower blood glucose levels.</w:t>
      </w:r>
    </w:p>
    <w:p w14:paraId="455F98FD" w14:textId="77777777" w:rsidR="00AD11D9" w:rsidRPr="00AD11D9" w:rsidRDefault="00AD11D9" w:rsidP="00B52120">
      <w:pPr>
        <w:numPr>
          <w:ilvl w:val="0"/>
          <w:numId w:val="1"/>
        </w:numPr>
        <w:jc w:val="both"/>
      </w:pPr>
      <w:r w:rsidRPr="00AD11D9">
        <w:rPr>
          <w:b/>
          <w:bCs/>
        </w:rPr>
        <w:t>Alteration in adipocyte differentiation and lipid metabolism</w:t>
      </w:r>
      <w:r w:rsidRPr="00AD11D9">
        <w:t>: By promoting the storage of free fatty acids in adipose tissue, pioglitazone reduces circulating lipid levels, which indirectly improves insulin sensitivity.</w:t>
      </w:r>
    </w:p>
    <w:p w14:paraId="7F7CF84D" w14:textId="77777777" w:rsidR="00AD11D9" w:rsidRPr="00AD11D9" w:rsidRDefault="00AD11D9" w:rsidP="00B52120">
      <w:pPr>
        <w:jc w:val="both"/>
      </w:pPr>
      <w:r w:rsidRPr="00AD11D9">
        <w:t>Additionally, pioglitazone has anti-inflammatory effects and can modulate the release of adipokines, such as adiponectin, which play a role in enhancing insulin sensitivity and exerting cardioprotective effects. These pleiotropic actions contribute to the drug's ability to improve both metabolic and cardiovascular outcomes in patients with type 2 diabetes.</w:t>
      </w:r>
    </w:p>
    <w:p w14:paraId="784E8C5E" w14:textId="77777777" w:rsidR="00AD11D9" w:rsidRPr="00AD11D9" w:rsidRDefault="00AD11D9" w:rsidP="00B52120">
      <w:pPr>
        <w:jc w:val="both"/>
        <w:rPr>
          <w:b/>
          <w:bCs/>
        </w:rPr>
      </w:pPr>
      <w:r w:rsidRPr="00AD11D9">
        <w:rPr>
          <w:b/>
          <w:bCs/>
        </w:rPr>
        <w:t>2.2 Pharmacokinetics and Metabolism</w:t>
      </w:r>
    </w:p>
    <w:p w14:paraId="786BEFA6" w14:textId="77777777" w:rsidR="00AD11D9" w:rsidRPr="00AD11D9" w:rsidRDefault="00AD11D9" w:rsidP="00B52120">
      <w:pPr>
        <w:jc w:val="both"/>
      </w:pPr>
      <w:r w:rsidRPr="00AD11D9">
        <w:lastRenderedPageBreak/>
        <w:t>Pioglitazone is administered orally and is well-absorbed from the gastrointestinal tract, with peak plasma concentrations typically occurring within 2 to 4 hours after ingestion. The bioavailability of pioglitazone is not significantly affected by food, making it convenient for patients to take with or without meals.</w:t>
      </w:r>
    </w:p>
    <w:p w14:paraId="5FD5BD19" w14:textId="77777777" w:rsidR="00AD11D9" w:rsidRPr="00AD11D9" w:rsidRDefault="00AD11D9" w:rsidP="00B52120">
      <w:pPr>
        <w:jc w:val="both"/>
      </w:pPr>
      <w:r w:rsidRPr="00AD11D9">
        <w:rPr>
          <w:b/>
          <w:bCs/>
        </w:rPr>
        <w:t>Distribution</w:t>
      </w:r>
      <w:r w:rsidRPr="00AD11D9">
        <w:t>: Pioglitazone has a large volume of distribution, indicating extensive tissue uptake. It is highly protein-bound, primarily to serum albumin, which can influence its distribution and interactions with other medications.</w:t>
      </w:r>
    </w:p>
    <w:p w14:paraId="25C4436C" w14:textId="77777777" w:rsidR="00AD11D9" w:rsidRPr="00AD11D9" w:rsidRDefault="00AD11D9" w:rsidP="00B52120">
      <w:pPr>
        <w:jc w:val="both"/>
      </w:pPr>
      <w:r w:rsidRPr="00AD11D9">
        <w:rPr>
          <w:b/>
          <w:bCs/>
        </w:rPr>
        <w:t>Metabolism</w:t>
      </w:r>
      <w:r w:rsidRPr="00AD11D9">
        <w:t>: Pioglitazone is extensively metabolized in the liver, predominantly by the cytochrome P450 enzyme system, particularly CYP2C8 and to a lesser extent CYP3A4. The metabolism of pioglitazone results in the formation of several active metabolites, which also contribute to its pharmacological effects. These metabolites have longer half-lives than the parent compound, which can prolong the drug’s action.</w:t>
      </w:r>
    </w:p>
    <w:p w14:paraId="755B49D1" w14:textId="77777777" w:rsidR="00AD11D9" w:rsidRPr="00AD11D9" w:rsidRDefault="00AD11D9" w:rsidP="00B52120">
      <w:pPr>
        <w:jc w:val="both"/>
      </w:pPr>
      <w:r w:rsidRPr="00AD11D9">
        <w:rPr>
          <w:b/>
          <w:bCs/>
        </w:rPr>
        <w:t>Elimination</w:t>
      </w:r>
      <w:r w:rsidRPr="00AD11D9">
        <w:t xml:space="preserve">: The elimination half-life of pioglitazone ranges from 3 to 7 hours for the parent drug, but due to the active metabolites, the pharmacodynamic effects can last longer. Pioglitazone and its metabolites are primarily excreted via the bile and </w:t>
      </w:r>
      <w:proofErr w:type="spellStart"/>
      <w:r w:rsidRPr="00AD11D9">
        <w:t>feces</w:t>
      </w:r>
      <w:proofErr w:type="spellEnd"/>
      <w:r w:rsidRPr="00AD11D9">
        <w:t>, with a smaller portion excreted in urine. Impaired liver function can significantly alter the pharmacokinetics of pioglitazone, necessitating dose adjustments in such patients.</w:t>
      </w:r>
    </w:p>
    <w:p w14:paraId="4A2BD0FC" w14:textId="77777777" w:rsidR="00AD11D9" w:rsidRPr="00AD11D9" w:rsidRDefault="00AD11D9" w:rsidP="00B52120">
      <w:pPr>
        <w:jc w:val="both"/>
        <w:rPr>
          <w:b/>
          <w:bCs/>
        </w:rPr>
      </w:pPr>
      <w:r w:rsidRPr="00AD11D9">
        <w:rPr>
          <w:b/>
          <w:bCs/>
        </w:rPr>
        <w:t>2.3 Pioglitazone in Clinical Use</w:t>
      </w:r>
    </w:p>
    <w:p w14:paraId="0DFD2958" w14:textId="77777777" w:rsidR="00AD11D9" w:rsidRPr="00AD11D9" w:rsidRDefault="00AD11D9" w:rsidP="00B52120">
      <w:pPr>
        <w:jc w:val="both"/>
      </w:pPr>
      <w:r w:rsidRPr="00AD11D9">
        <w:t xml:space="preserve">Pioglitazone is primarily prescribed for the management of type 2 diabetes mellitus, especially in patients who are not adequately controlled by diet, exercise, and other antidiabetic agents such as metformin or sulfonylureas. It can be used as monotherapy or in combination with other oral antidiabetic drugs or insulin, depending on the patient’s </w:t>
      </w:r>
      <w:proofErr w:type="spellStart"/>
      <w:r w:rsidRPr="00AD11D9">
        <w:t>glycemic</w:t>
      </w:r>
      <w:proofErr w:type="spellEnd"/>
      <w:r w:rsidRPr="00AD11D9">
        <w:t xml:space="preserve"> control needs.</w:t>
      </w:r>
    </w:p>
    <w:p w14:paraId="4427C79F" w14:textId="77777777" w:rsidR="00AD11D9" w:rsidRPr="00AD11D9" w:rsidRDefault="00AD11D9" w:rsidP="00B52120">
      <w:pPr>
        <w:jc w:val="both"/>
      </w:pPr>
      <w:r w:rsidRPr="00AD11D9">
        <w:rPr>
          <w:b/>
          <w:bCs/>
        </w:rPr>
        <w:t>Monotherapy</w:t>
      </w:r>
      <w:r w:rsidRPr="00AD11D9">
        <w:t>: In patients with type 2 diabetes, pioglitazone as monotherapy can effectively lower HbA1c levels by approximately 0.5% to 1.5%. It is particularly useful in patients who have insulin resistance as a prominent feature of their disease.</w:t>
      </w:r>
    </w:p>
    <w:p w14:paraId="4521F082" w14:textId="77777777" w:rsidR="00AD11D9" w:rsidRPr="00AD11D9" w:rsidRDefault="00AD11D9" w:rsidP="00B52120">
      <w:pPr>
        <w:jc w:val="both"/>
      </w:pPr>
      <w:r w:rsidRPr="00AD11D9">
        <w:rPr>
          <w:b/>
          <w:bCs/>
        </w:rPr>
        <w:t>Combination Therapy</w:t>
      </w:r>
      <w:r w:rsidRPr="00AD11D9">
        <w:t xml:space="preserve">: Pioglitazone is often used in combination with other antidiabetic agents when monotherapy is insufficient to achieve </w:t>
      </w:r>
      <w:proofErr w:type="spellStart"/>
      <w:r w:rsidRPr="00AD11D9">
        <w:t>glycemic</w:t>
      </w:r>
      <w:proofErr w:type="spellEnd"/>
      <w:r w:rsidRPr="00AD11D9">
        <w:t xml:space="preserve"> targets. It has been shown to work synergistically with metformin, which decreases hepatic glucose production, and with sulfonylureas, which increase insulin secretion. When combined with insulin, pioglitazone can reduce the required dose of insulin and improve overall </w:t>
      </w:r>
      <w:proofErr w:type="spellStart"/>
      <w:r w:rsidRPr="00AD11D9">
        <w:t>glycemic</w:t>
      </w:r>
      <w:proofErr w:type="spellEnd"/>
      <w:r w:rsidRPr="00AD11D9">
        <w:t xml:space="preserve"> control.</w:t>
      </w:r>
    </w:p>
    <w:p w14:paraId="42148B96" w14:textId="77777777" w:rsidR="00AD11D9" w:rsidRPr="00AD11D9" w:rsidRDefault="00AD11D9" w:rsidP="00B52120">
      <w:pPr>
        <w:jc w:val="both"/>
      </w:pPr>
      <w:r w:rsidRPr="00AD11D9">
        <w:rPr>
          <w:b/>
          <w:bCs/>
        </w:rPr>
        <w:t>Cardiovascular Benefits</w:t>
      </w:r>
      <w:r w:rsidRPr="00AD11D9">
        <w:t xml:space="preserve">: Pioglitazone has been associated with a reduction in certain cardiovascular risk factors, including improved lipid profiles (increased HDL cholesterol and decreased triglycerides) and reduced inflammation. The </w:t>
      </w:r>
      <w:proofErr w:type="spellStart"/>
      <w:r w:rsidRPr="00AD11D9">
        <w:t>PROactive</w:t>
      </w:r>
      <w:proofErr w:type="spellEnd"/>
      <w:r w:rsidRPr="00AD11D9">
        <w:t xml:space="preserve"> (</w:t>
      </w:r>
      <w:proofErr w:type="spellStart"/>
      <w:r w:rsidRPr="00AD11D9">
        <w:t>PROspective</w:t>
      </w:r>
      <w:proofErr w:type="spellEnd"/>
      <w:r w:rsidRPr="00AD11D9">
        <w:t xml:space="preserve"> </w:t>
      </w:r>
      <w:proofErr w:type="spellStart"/>
      <w:r w:rsidRPr="00AD11D9">
        <w:t>pioglitAzone</w:t>
      </w:r>
      <w:proofErr w:type="spellEnd"/>
      <w:r w:rsidRPr="00AD11D9">
        <w:t xml:space="preserve"> Clinical Trial In </w:t>
      </w:r>
      <w:proofErr w:type="spellStart"/>
      <w:r w:rsidRPr="00AD11D9">
        <w:t>macroVascular</w:t>
      </w:r>
      <w:proofErr w:type="spellEnd"/>
      <w:r w:rsidRPr="00AD11D9">
        <w:t xml:space="preserve"> Events) study suggested potential cardiovascular benefits of pioglitazone, though this remains a topic of debate due to concerns about adverse effects, including heart failure and weight gain.</w:t>
      </w:r>
    </w:p>
    <w:p w14:paraId="293BC399" w14:textId="77777777" w:rsidR="00AD11D9" w:rsidRPr="00AD11D9" w:rsidRDefault="00AD11D9" w:rsidP="00B52120">
      <w:pPr>
        <w:jc w:val="both"/>
      </w:pPr>
      <w:r w:rsidRPr="00AD11D9">
        <w:rPr>
          <w:b/>
          <w:bCs/>
        </w:rPr>
        <w:t>Adverse Effects and Safety Considerations</w:t>
      </w:r>
      <w:r w:rsidRPr="00AD11D9">
        <w:t xml:space="preserve">: While pioglitazone is effective in improving </w:t>
      </w:r>
      <w:proofErr w:type="spellStart"/>
      <w:r w:rsidRPr="00AD11D9">
        <w:t>glycemic</w:t>
      </w:r>
      <w:proofErr w:type="spellEnd"/>
      <w:r w:rsidRPr="00AD11D9">
        <w:t xml:space="preserve"> control, its use is associated with several adverse effects. These include weight gain, fluid retention, and an increased risk of heart failure, which are particularly concerning in patients with pre-existing cardiovascular conditions. Additionally, the potential association with bladder cancer has led to cautious use of pioglitazone, with recommendations for regular monitoring and risk assessment in long-term users.</w:t>
      </w:r>
    </w:p>
    <w:p w14:paraId="74CB90B5" w14:textId="77777777" w:rsidR="00AD11D9" w:rsidRPr="00AD11D9" w:rsidRDefault="00AD11D9" w:rsidP="00B52120">
      <w:pPr>
        <w:jc w:val="both"/>
      </w:pPr>
      <w:r w:rsidRPr="00AD11D9">
        <w:lastRenderedPageBreak/>
        <w:t>Given its benefits and risks, the clinical use of pioglitazone requires careful patient selection and monitoring to optimize therapeutic outcomes while minimizing adverse effects.</w:t>
      </w:r>
    </w:p>
    <w:p w14:paraId="54FF9022" w14:textId="77777777" w:rsidR="00AD11D9" w:rsidRPr="00AD11D9" w:rsidRDefault="00AD11D9" w:rsidP="00B52120">
      <w:pPr>
        <w:jc w:val="both"/>
        <w:rPr>
          <w:b/>
          <w:bCs/>
        </w:rPr>
      </w:pPr>
      <w:r w:rsidRPr="00AD11D9">
        <w:rPr>
          <w:b/>
          <w:bCs/>
        </w:rPr>
        <w:t>3. Epidemiological Evidence</w:t>
      </w:r>
    </w:p>
    <w:p w14:paraId="6B4951C6" w14:textId="77777777" w:rsidR="00AD11D9" w:rsidRPr="00AD11D9" w:rsidRDefault="00AD11D9" w:rsidP="00B52120">
      <w:pPr>
        <w:jc w:val="both"/>
        <w:rPr>
          <w:b/>
          <w:bCs/>
        </w:rPr>
      </w:pPr>
      <w:r w:rsidRPr="00AD11D9">
        <w:rPr>
          <w:b/>
          <w:bCs/>
        </w:rPr>
        <w:t>3.1 Initial Observations and Studies</w:t>
      </w:r>
    </w:p>
    <w:p w14:paraId="76D30892" w14:textId="77777777" w:rsidR="00AD11D9" w:rsidRPr="00AD11D9" w:rsidRDefault="00AD11D9" w:rsidP="00B52120">
      <w:pPr>
        <w:jc w:val="both"/>
      </w:pPr>
      <w:r w:rsidRPr="00AD11D9">
        <w:t xml:space="preserve">The potential association between pioglitazone and bladder cancer was first raised through early observations and studies conducted in the early 2000s. Concerns initially arose from preclinical animal studies, where rats exposed to high doses of pioglitazone developed bladder </w:t>
      </w:r>
      <w:proofErr w:type="spellStart"/>
      <w:r w:rsidRPr="00AD11D9">
        <w:t>tumors</w:t>
      </w:r>
      <w:proofErr w:type="spellEnd"/>
      <w:r w:rsidRPr="00AD11D9">
        <w:t>. These findings prompted regulatory bodies to mandate further investigation into the potential carcinogenic risk in humans.</w:t>
      </w:r>
    </w:p>
    <w:p w14:paraId="18FCBBC2" w14:textId="77777777" w:rsidR="00AD11D9" w:rsidRPr="00AD11D9" w:rsidRDefault="00AD11D9" w:rsidP="00B52120">
      <w:pPr>
        <w:jc w:val="both"/>
      </w:pPr>
      <w:r w:rsidRPr="00AD11D9">
        <w:t>Subsequent to these preclinical findings, early observational studies began to explore the link between pioglitazone use and bladder cancer in diabetic patients. One of the first large-scale studies to report a potential risk was conducted by the Kaiser Permanente Northern California cohort in 2005, where a statistically significant increase in bladder cancer incidence was observed in patients who had used pioglitazone for more than two years.</w:t>
      </w:r>
    </w:p>
    <w:p w14:paraId="32BBB88D" w14:textId="77777777" w:rsidR="00AD11D9" w:rsidRPr="00AD11D9" w:rsidRDefault="00AD11D9" w:rsidP="00B52120">
      <w:pPr>
        <w:jc w:val="both"/>
      </w:pPr>
      <w:r w:rsidRPr="00AD11D9">
        <w:t>These initial observations led to increased scrutiny and the initiation of more extensive epidemiological studies to determine whether there was a causal relationship between pioglitazone use and bladder cancer in humans.</w:t>
      </w:r>
    </w:p>
    <w:p w14:paraId="66A3C01A" w14:textId="77777777" w:rsidR="00AD11D9" w:rsidRPr="00AD11D9" w:rsidRDefault="00AD11D9" w:rsidP="00B52120">
      <w:pPr>
        <w:jc w:val="both"/>
        <w:rPr>
          <w:b/>
          <w:bCs/>
        </w:rPr>
      </w:pPr>
      <w:r w:rsidRPr="00AD11D9">
        <w:rPr>
          <w:b/>
          <w:bCs/>
        </w:rPr>
        <w:t>3.2 Longitudinal Cohort Studies</w:t>
      </w:r>
    </w:p>
    <w:p w14:paraId="330D9F34" w14:textId="77777777" w:rsidR="00AD11D9" w:rsidRPr="00AD11D9" w:rsidRDefault="00AD11D9" w:rsidP="00B52120">
      <w:pPr>
        <w:jc w:val="both"/>
      </w:pPr>
      <w:r w:rsidRPr="00AD11D9">
        <w:t>Longitudinal cohort studies have played a pivotal role in investigating the potential link between pioglitazone and bladder cancer. These studies follow groups of patients over time to observe the development of bladder cancer in relation to pioglitazone exposure. Some of the most significant cohort studies include:</w:t>
      </w:r>
    </w:p>
    <w:p w14:paraId="2CA16E1A" w14:textId="77777777" w:rsidR="00AD11D9" w:rsidRPr="00AD11D9" w:rsidRDefault="00AD11D9" w:rsidP="00B52120">
      <w:pPr>
        <w:numPr>
          <w:ilvl w:val="0"/>
          <w:numId w:val="2"/>
        </w:numPr>
        <w:jc w:val="both"/>
      </w:pPr>
      <w:r w:rsidRPr="00AD11D9">
        <w:rPr>
          <w:b/>
          <w:bCs/>
        </w:rPr>
        <w:t>The Kaiser Permanente Study (2011)</w:t>
      </w:r>
      <w:r w:rsidRPr="00AD11D9">
        <w:t>: This study followed over 193,000 patients with diabetes and found that the risk of bladder cancer increased with the duration of pioglitazone use and cumulative dose. The study reported a 40% increased risk of bladder cancer in patients who had used pioglitazone for more than two years compared to non-users.</w:t>
      </w:r>
    </w:p>
    <w:p w14:paraId="4809979D" w14:textId="77777777" w:rsidR="00AD11D9" w:rsidRPr="00AD11D9" w:rsidRDefault="00AD11D9" w:rsidP="00B52120">
      <w:pPr>
        <w:numPr>
          <w:ilvl w:val="0"/>
          <w:numId w:val="2"/>
        </w:numPr>
        <w:jc w:val="both"/>
      </w:pPr>
      <w:r w:rsidRPr="00AD11D9">
        <w:rPr>
          <w:b/>
          <w:bCs/>
        </w:rPr>
        <w:t>The French National Health Insurance Database Study (2012)</w:t>
      </w:r>
      <w:r w:rsidRPr="00AD11D9">
        <w:t xml:space="preserve">: This study </w:t>
      </w:r>
      <w:proofErr w:type="spellStart"/>
      <w:r w:rsidRPr="00AD11D9">
        <w:t>analyzed</w:t>
      </w:r>
      <w:proofErr w:type="spellEnd"/>
      <w:r w:rsidRPr="00AD11D9">
        <w:t xml:space="preserve"> data from over 1.5 million diabetic patients and found an increased incidence of bladder cancer among pioglitazone users compared to users of other antidiabetic drugs. The study concluded that pioglitazone use was associated with a significant 22% increased risk of bladder cancer.</w:t>
      </w:r>
    </w:p>
    <w:p w14:paraId="330A3668" w14:textId="77777777" w:rsidR="00AD11D9" w:rsidRPr="00AD11D9" w:rsidRDefault="00AD11D9" w:rsidP="00B52120">
      <w:pPr>
        <w:numPr>
          <w:ilvl w:val="0"/>
          <w:numId w:val="2"/>
        </w:numPr>
        <w:jc w:val="both"/>
      </w:pPr>
      <w:r w:rsidRPr="00AD11D9">
        <w:rPr>
          <w:b/>
          <w:bCs/>
        </w:rPr>
        <w:t>The UK Clinical Practice Research Datalink (2015)</w:t>
      </w:r>
      <w:r w:rsidRPr="00AD11D9">
        <w:t>: This large cohort study examined over 145,000 patients and found a similar association between pioglitazone use and bladder cancer, particularly in those exposed to higher cumulative doses. However, the study also noted that the absolute risk remained relatively low, suggesting that the overall public health impact might be limited.</w:t>
      </w:r>
    </w:p>
    <w:p w14:paraId="29D5FB7D" w14:textId="77777777" w:rsidR="00AD11D9" w:rsidRPr="00AD11D9" w:rsidRDefault="00AD11D9" w:rsidP="00B52120">
      <w:pPr>
        <w:jc w:val="both"/>
      </w:pPr>
      <w:r w:rsidRPr="00AD11D9">
        <w:t>Despite these findings, some cohort studies have reported no significant association or only a modest increase in bladder cancer risk, leading to ongoing debate about the strength and consistency of the evidence.</w:t>
      </w:r>
    </w:p>
    <w:p w14:paraId="111DBDBC" w14:textId="77777777" w:rsidR="00AD11D9" w:rsidRPr="00AD11D9" w:rsidRDefault="00AD11D9" w:rsidP="00B52120">
      <w:pPr>
        <w:jc w:val="both"/>
        <w:rPr>
          <w:b/>
          <w:bCs/>
        </w:rPr>
      </w:pPr>
      <w:r w:rsidRPr="00AD11D9">
        <w:rPr>
          <w:b/>
          <w:bCs/>
        </w:rPr>
        <w:t>3.3 Case-Control Studies</w:t>
      </w:r>
    </w:p>
    <w:p w14:paraId="3D04882C" w14:textId="77777777" w:rsidR="00AD11D9" w:rsidRPr="00AD11D9" w:rsidRDefault="00AD11D9" w:rsidP="00B52120">
      <w:pPr>
        <w:jc w:val="both"/>
      </w:pPr>
      <w:r w:rsidRPr="00AD11D9">
        <w:t xml:space="preserve">Case-control studies, which compare patients with bladder cancer (cases) to those without the disease (controls), have also been instrumental in assessing the potential association between pioglitazone </w:t>
      </w:r>
      <w:r w:rsidRPr="00AD11D9">
        <w:lastRenderedPageBreak/>
        <w:t>and bladder cancer. These studies are particularly useful for exploring rare outcomes like bladder cancer and can provide insights into the relationship between drug exposure and cancer risk.</w:t>
      </w:r>
    </w:p>
    <w:p w14:paraId="71E8E6A2" w14:textId="77777777" w:rsidR="00AD11D9" w:rsidRPr="00AD11D9" w:rsidRDefault="00AD11D9" w:rsidP="00B52120">
      <w:pPr>
        <w:numPr>
          <w:ilvl w:val="0"/>
          <w:numId w:val="3"/>
        </w:numPr>
        <w:jc w:val="both"/>
      </w:pPr>
      <w:r w:rsidRPr="00AD11D9">
        <w:rPr>
          <w:b/>
          <w:bCs/>
        </w:rPr>
        <w:t>The Nested Case-Control Study within the Kaiser Permanente Cohort (2012)</w:t>
      </w:r>
      <w:r w:rsidRPr="00AD11D9">
        <w:t>: This study matched bladder cancer cases with controls from within the cohort and found that pioglitazone use was associated with an increased risk of bladder cancer, especially in patients who had used the drug for more than two years. The risk was found to be dose-dependent, with higher cumulative doses correlating with a greater risk.</w:t>
      </w:r>
    </w:p>
    <w:p w14:paraId="0EE4CF36" w14:textId="77777777" w:rsidR="00AD11D9" w:rsidRPr="00AD11D9" w:rsidRDefault="00AD11D9" w:rsidP="00B52120">
      <w:pPr>
        <w:numPr>
          <w:ilvl w:val="0"/>
          <w:numId w:val="3"/>
        </w:numPr>
        <w:jc w:val="both"/>
      </w:pPr>
      <w:r w:rsidRPr="00AD11D9">
        <w:rPr>
          <w:b/>
          <w:bCs/>
        </w:rPr>
        <w:t>The Canadian Case-Control Study (2013)</w:t>
      </w:r>
      <w:r w:rsidRPr="00AD11D9">
        <w:t>: This study used data from the Quebec Health Insurance database and reported an increased risk of bladder cancer associated with pioglitazone use, particularly in patients with more extended exposure periods. However, the study noted that the increased risk was relatively modest.</w:t>
      </w:r>
    </w:p>
    <w:p w14:paraId="7AEE15EB" w14:textId="77777777" w:rsidR="00AD11D9" w:rsidRPr="00AD11D9" w:rsidRDefault="00AD11D9" w:rsidP="00B52120">
      <w:pPr>
        <w:numPr>
          <w:ilvl w:val="0"/>
          <w:numId w:val="3"/>
        </w:numPr>
        <w:jc w:val="both"/>
      </w:pPr>
      <w:r w:rsidRPr="00AD11D9">
        <w:rPr>
          <w:b/>
          <w:bCs/>
        </w:rPr>
        <w:t>The Taiwanese Case-Control Study (2017)</w:t>
      </w:r>
      <w:r w:rsidRPr="00AD11D9">
        <w:t>: This study examined a large population of diabetic patients and found no significant association between pioglitazone use and bladder cancer after adjusting for various confounding factors, including age, gender, and other comorbidities. This finding added to the mixed results in the literature.</w:t>
      </w:r>
    </w:p>
    <w:p w14:paraId="1ACBC744" w14:textId="77777777" w:rsidR="00AD11D9" w:rsidRPr="00AD11D9" w:rsidRDefault="00AD11D9" w:rsidP="00B52120">
      <w:pPr>
        <w:jc w:val="both"/>
      </w:pPr>
      <w:r w:rsidRPr="00AD11D9">
        <w:t>The variability in results from case-control studies may be attributed to differences in study design, population characteristics, duration of follow-up, and methods of adjusting for confounders.</w:t>
      </w:r>
    </w:p>
    <w:p w14:paraId="16A84EF4" w14:textId="77777777" w:rsidR="00AD11D9" w:rsidRPr="00AD11D9" w:rsidRDefault="00AD11D9" w:rsidP="00B52120">
      <w:pPr>
        <w:jc w:val="both"/>
        <w:rPr>
          <w:b/>
          <w:bCs/>
        </w:rPr>
      </w:pPr>
      <w:r w:rsidRPr="00AD11D9">
        <w:rPr>
          <w:b/>
          <w:bCs/>
        </w:rPr>
        <w:t>3.4 Meta-Analyses</w:t>
      </w:r>
    </w:p>
    <w:p w14:paraId="51E9928C" w14:textId="77777777" w:rsidR="00AD11D9" w:rsidRPr="00AD11D9" w:rsidRDefault="00AD11D9" w:rsidP="00B52120">
      <w:pPr>
        <w:jc w:val="both"/>
      </w:pPr>
      <w:r w:rsidRPr="00AD11D9">
        <w:t>To resolve the conflicting findings from individual studies, several meta-analyses have been conducted to synthesize the available evidence and provide a more comprehensive assessment of the potential association between pioglitazone and bladder cancer. Meta-analyses combine data from multiple studies to increase statistical power and generate more robust conclusions.</w:t>
      </w:r>
    </w:p>
    <w:p w14:paraId="08A7EFA3" w14:textId="77777777" w:rsidR="00AD11D9" w:rsidRPr="00AD11D9" w:rsidRDefault="00AD11D9" w:rsidP="00B52120">
      <w:pPr>
        <w:numPr>
          <w:ilvl w:val="0"/>
          <w:numId w:val="4"/>
        </w:numPr>
        <w:jc w:val="both"/>
      </w:pPr>
      <w:r w:rsidRPr="00AD11D9">
        <w:rPr>
          <w:b/>
          <w:bCs/>
        </w:rPr>
        <w:t xml:space="preserve">Meta-Analysis by </w:t>
      </w:r>
      <w:proofErr w:type="spellStart"/>
      <w:r w:rsidRPr="00AD11D9">
        <w:rPr>
          <w:b/>
          <w:bCs/>
        </w:rPr>
        <w:t>Colmers</w:t>
      </w:r>
      <w:proofErr w:type="spellEnd"/>
      <w:r w:rsidRPr="00AD11D9">
        <w:rPr>
          <w:b/>
          <w:bCs/>
        </w:rPr>
        <w:t xml:space="preserve"> et al. (2012)</w:t>
      </w:r>
      <w:r w:rsidRPr="00AD11D9">
        <w:t>: This meta-analysis pooled data from seven observational studies and concluded that pioglitazone use was associated with a significantly increased risk of bladder cancer. The authors reported a 23% increased risk among pioglitazone users compared to non-users, with the risk being more pronounced in those with long-term use and higher cumulative doses.</w:t>
      </w:r>
    </w:p>
    <w:p w14:paraId="2DA0ED79" w14:textId="77777777" w:rsidR="00AD11D9" w:rsidRPr="00AD11D9" w:rsidRDefault="00AD11D9" w:rsidP="00B52120">
      <w:pPr>
        <w:numPr>
          <w:ilvl w:val="0"/>
          <w:numId w:val="4"/>
        </w:numPr>
        <w:jc w:val="both"/>
      </w:pPr>
      <w:r w:rsidRPr="00AD11D9">
        <w:rPr>
          <w:b/>
          <w:bCs/>
        </w:rPr>
        <w:t>Meta-Analysis by Zhu et al. (2014)</w:t>
      </w:r>
      <w:r w:rsidRPr="00AD11D9">
        <w:t>: This analysis included 10 studies and found a 22% increased risk of bladder cancer among pioglitazone users. The study highlighted the dose-response relationship, where higher cumulative doses of pioglitazone were linked to a greater risk of bladder cancer.</w:t>
      </w:r>
    </w:p>
    <w:p w14:paraId="11C309B6" w14:textId="77777777" w:rsidR="00AD11D9" w:rsidRPr="00AD11D9" w:rsidRDefault="00AD11D9" w:rsidP="00B52120">
      <w:pPr>
        <w:numPr>
          <w:ilvl w:val="0"/>
          <w:numId w:val="4"/>
        </w:numPr>
        <w:jc w:val="both"/>
      </w:pPr>
      <w:r w:rsidRPr="00AD11D9">
        <w:rPr>
          <w:b/>
          <w:bCs/>
        </w:rPr>
        <w:t>Systematic Review and Meta-Analysis by Song et al. (2016)</w:t>
      </w:r>
      <w:r w:rsidRPr="00AD11D9">
        <w:t>: This comprehensive review included data from over 2.5 million patients and confirmed a modest but statistically significant association between pioglitazone and bladder cancer. The authors emphasized the importance of considering both the benefits and risks of pioglitazone in clinical practice, particularly for patients with long-term exposure.</w:t>
      </w:r>
    </w:p>
    <w:p w14:paraId="02583AED" w14:textId="77777777" w:rsidR="00AD11D9" w:rsidRPr="00AD11D9" w:rsidRDefault="00AD11D9" w:rsidP="00B52120">
      <w:pPr>
        <w:jc w:val="both"/>
      </w:pPr>
      <w:r w:rsidRPr="00AD11D9">
        <w:t>While meta-analyses have generally supported the association between pioglitazone and bladder cancer, they also highlight the heterogeneity among studies and the need for careful interpretation of the findings. The pooled relative risk estimates suggest that the association is real, but the absolute risk increase is small, and the clinical significance may vary depending on individual patient factors.</w:t>
      </w:r>
    </w:p>
    <w:p w14:paraId="6FB77117" w14:textId="77777777" w:rsidR="00AD11D9" w:rsidRPr="00AD11D9" w:rsidRDefault="00AD11D9" w:rsidP="00B52120">
      <w:pPr>
        <w:jc w:val="both"/>
        <w:rPr>
          <w:b/>
          <w:bCs/>
        </w:rPr>
      </w:pPr>
      <w:r w:rsidRPr="00AD11D9">
        <w:rPr>
          <w:b/>
          <w:bCs/>
        </w:rPr>
        <w:t>4. Molecular Mechanisms of Carcinogenesis</w:t>
      </w:r>
    </w:p>
    <w:p w14:paraId="6B7A7524" w14:textId="77777777" w:rsidR="00AD11D9" w:rsidRPr="00AD11D9" w:rsidRDefault="00AD11D9" w:rsidP="00B52120">
      <w:pPr>
        <w:jc w:val="both"/>
        <w:rPr>
          <w:b/>
          <w:bCs/>
        </w:rPr>
      </w:pPr>
      <w:r w:rsidRPr="00AD11D9">
        <w:rPr>
          <w:b/>
          <w:bCs/>
        </w:rPr>
        <w:lastRenderedPageBreak/>
        <w:t>4.1 Pioglitazone and Bladder Epithelium</w:t>
      </w:r>
    </w:p>
    <w:p w14:paraId="53ECD499" w14:textId="77777777" w:rsidR="00AD11D9" w:rsidRPr="00AD11D9" w:rsidRDefault="00AD11D9" w:rsidP="00B52120">
      <w:pPr>
        <w:jc w:val="both"/>
      </w:pPr>
      <w:r w:rsidRPr="00AD11D9">
        <w:t>The bladder epithelium, also known as the urothelium, is a highly specialized tissue that lines the interior of the bladder and serves as a barrier to urine and its potentially harmful constituents. The interaction between pioglitazone and the bladder epithelium is central to understanding its potential role in bladder carcinogenesis.</w:t>
      </w:r>
    </w:p>
    <w:p w14:paraId="3FA4C86D" w14:textId="77777777" w:rsidR="00AD11D9" w:rsidRPr="00AD11D9" w:rsidRDefault="00AD11D9" w:rsidP="00B52120">
      <w:pPr>
        <w:jc w:val="both"/>
      </w:pPr>
      <w:r w:rsidRPr="00AD11D9">
        <w:t>Pioglitazone's pharmacological effects are mediated through its action on peroxisome proliferator-activated receptor gamma (</w:t>
      </w:r>
      <w:proofErr w:type="spellStart"/>
      <w:r w:rsidRPr="00AD11D9">
        <w:t>PPARγ</w:t>
      </w:r>
      <w:proofErr w:type="spellEnd"/>
      <w:r w:rsidRPr="00AD11D9">
        <w:t>), which is expressed in various tissues, including the bladder epithelium. However, the exact mechanisms by which pioglitazone might influence the development of bladder cancer are not fully understood. Several hypotheses have been proposed:</w:t>
      </w:r>
    </w:p>
    <w:p w14:paraId="2FA9C515" w14:textId="77777777" w:rsidR="00AD11D9" w:rsidRPr="00AD11D9" w:rsidRDefault="00AD11D9" w:rsidP="00B52120">
      <w:pPr>
        <w:numPr>
          <w:ilvl w:val="0"/>
          <w:numId w:val="5"/>
        </w:numPr>
        <w:jc w:val="both"/>
      </w:pPr>
      <w:r w:rsidRPr="00AD11D9">
        <w:rPr>
          <w:b/>
          <w:bCs/>
        </w:rPr>
        <w:t>Direct Effects on Urothelial Cells</w:t>
      </w:r>
      <w:r w:rsidRPr="00AD11D9">
        <w:t xml:space="preserve">: Pioglitazone may directly affect the proliferation and differentiation of urothelial cells through </w:t>
      </w:r>
      <w:proofErr w:type="spellStart"/>
      <w:r w:rsidRPr="00AD11D9">
        <w:t>PPARγ</w:t>
      </w:r>
      <w:proofErr w:type="spellEnd"/>
      <w:r w:rsidRPr="00AD11D9">
        <w:t xml:space="preserve"> activation. </w:t>
      </w:r>
      <w:proofErr w:type="spellStart"/>
      <w:r w:rsidRPr="00AD11D9">
        <w:t>PPARγ</w:t>
      </w:r>
      <w:proofErr w:type="spellEnd"/>
      <w:r w:rsidRPr="00AD11D9">
        <w:t xml:space="preserve"> activation can lead to alterations in cell cycle regulation, potentially promoting cell proliferation and inhibiting apoptosis in urothelial cells, which could contribute to tumorigenesis.</w:t>
      </w:r>
    </w:p>
    <w:p w14:paraId="1EFA750C" w14:textId="77777777" w:rsidR="00AD11D9" w:rsidRPr="00AD11D9" w:rsidRDefault="00AD11D9" w:rsidP="00B52120">
      <w:pPr>
        <w:numPr>
          <w:ilvl w:val="0"/>
          <w:numId w:val="5"/>
        </w:numPr>
        <w:jc w:val="both"/>
      </w:pPr>
      <w:r w:rsidRPr="00AD11D9">
        <w:rPr>
          <w:b/>
          <w:bCs/>
        </w:rPr>
        <w:t>Induction of Oxidative Stress</w:t>
      </w:r>
      <w:r w:rsidRPr="00AD11D9">
        <w:t>: Pioglitazone has been shown to induce oxidative stress in some tissues, and this could potentially extend to the bladder epithelium. Oxidative stress can result in DNA damage and the accumulation of mutations in urothelial cells, which may increase the risk of malignant transformation.</w:t>
      </w:r>
    </w:p>
    <w:p w14:paraId="09690C9A" w14:textId="77777777" w:rsidR="00AD11D9" w:rsidRPr="00AD11D9" w:rsidRDefault="00AD11D9" w:rsidP="00B52120">
      <w:pPr>
        <w:numPr>
          <w:ilvl w:val="0"/>
          <w:numId w:val="5"/>
        </w:numPr>
        <w:jc w:val="both"/>
      </w:pPr>
      <w:r w:rsidRPr="00AD11D9">
        <w:rPr>
          <w:b/>
          <w:bCs/>
        </w:rPr>
        <w:t>Inflammatory Pathways</w:t>
      </w:r>
      <w:r w:rsidRPr="00AD11D9">
        <w:t>: Chronic inflammation is a well-known risk factor for cancer development. Pioglitazone has complex effects on inflammation, potentially modulating the inflammatory environment in the bladder. If pioglitazone promotes a pro-inflammatory milieu in the bladder, this could contribute to carcinogenesis by facilitating an environment conducive to cellular mutation and proliferation.</w:t>
      </w:r>
    </w:p>
    <w:p w14:paraId="1E152F1D" w14:textId="77777777" w:rsidR="00AD11D9" w:rsidRPr="00AD11D9" w:rsidRDefault="00AD11D9" w:rsidP="00B52120">
      <w:pPr>
        <w:jc w:val="both"/>
        <w:rPr>
          <w:b/>
          <w:bCs/>
        </w:rPr>
      </w:pPr>
      <w:r w:rsidRPr="00AD11D9">
        <w:rPr>
          <w:b/>
          <w:bCs/>
        </w:rPr>
        <w:t>4.2 Genetic and Molecular Pathways Implicated</w:t>
      </w:r>
    </w:p>
    <w:p w14:paraId="2DBD23BC" w14:textId="77777777" w:rsidR="00AD11D9" w:rsidRPr="00AD11D9" w:rsidRDefault="00AD11D9" w:rsidP="00B52120">
      <w:pPr>
        <w:jc w:val="both"/>
      </w:pPr>
      <w:r w:rsidRPr="00AD11D9">
        <w:t>Several genetic and molecular pathways have been implicated in bladder carcinogenesis, and these may be influenced by pioglitazone use. Key pathways and genetic alterations involved in bladder cancer include:</w:t>
      </w:r>
    </w:p>
    <w:p w14:paraId="4C109F9D" w14:textId="77777777" w:rsidR="00AD11D9" w:rsidRPr="00AD11D9" w:rsidRDefault="00AD11D9" w:rsidP="00B52120">
      <w:pPr>
        <w:numPr>
          <w:ilvl w:val="0"/>
          <w:numId w:val="6"/>
        </w:numPr>
        <w:jc w:val="both"/>
      </w:pPr>
      <w:r w:rsidRPr="00AD11D9">
        <w:rPr>
          <w:b/>
          <w:bCs/>
        </w:rPr>
        <w:t>FGFR3 (Fibroblast Growth Factor Receptor 3) Mutations</w:t>
      </w:r>
      <w:r w:rsidRPr="00AD11D9">
        <w:t xml:space="preserve">: FGFR3 mutations are commonly found in low-grade, non-invasive bladder cancers. These mutations lead to the activation of </w:t>
      </w:r>
      <w:proofErr w:type="spellStart"/>
      <w:r w:rsidRPr="00AD11D9">
        <w:t>signaling</w:t>
      </w:r>
      <w:proofErr w:type="spellEnd"/>
      <w:r w:rsidRPr="00AD11D9">
        <w:t xml:space="preserve"> pathways that promote cell proliferation. There is some evidence to suggest that </w:t>
      </w:r>
      <w:proofErr w:type="spellStart"/>
      <w:r w:rsidRPr="00AD11D9">
        <w:t>PPARγ</w:t>
      </w:r>
      <w:proofErr w:type="spellEnd"/>
      <w:r w:rsidRPr="00AD11D9">
        <w:t xml:space="preserve"> activation might interact with FGFR </w:t>
      </w:r>
      <w:proofErr w:type="spellStart"/>
      <w:r w:rsidRPr="00AD11D9">
        <w:t>signaling</w:t>
      </w:r>
      <w:proofErr w:type="spellEnd"/>
      <w:r w:rsidRPr="00AD11D9">
        <w:t xml:space="preserve">, potentially influencing </w:t>
      </w:r>
      <w:proofErr w:type="spellStart"/>
      <w:r w:rsidRPr="00AD11D9">
        <w:t>tumor</w:t>
      </w:r>
      <w:proofErr w:type="spellEnd"/>
      <w:r w:rsidRPr="00AD11D9">
        <w:t xml:space="preserve"> growth.</w:t>
      </w:r>
    </w:p>
    <w:p w14:paraId="34C82C58" w14:textId="77777777" w:rsidR="00AD11D9" w:rsidRPr="00AD11D9" w:rsidRDefault="00AD11D9" w:rsidP="00B52120">
      <w:pPr>
        <w:numPr>
          <w:ilvl w:val="0"/>
          <w:numId w:val="6"/>
        </w:numPr>
        <w:jc w:val="both"/>
      </w:pPr>
      <w:r w:rsidRPr="00AD11D9">
        <w:rPr>
          <w:b/>
          <w:bCs/>
        </w:rPr>
        <w:t>TP53 Mutations and p53 Pathway</w:t>
      </w:r>
      <w:r w:rsidRPr="00AD11D9">
        <w:t xml:space="preserve">: The </w:t>
      </w:r>
      <w:proofErr w:type="spellStart"/>
      <w:r w:rsidRPr="00AD11D9">
        <w:t>tumor</w:t>
      </w:r>
      <w:proofErr w:type="spellEnd"/>
      <w:r w:rsidRPr="00AD11D9">
        <w:t xml:space="preserve"> suppressor gene TP53, which encodes the p53 protein, is frequently mutated in high-grade, invasive bladder cancers. Pioglitazone's effects on the p53 pathway are not fully elucidated, but it is hypothesized that pioglitazone may alter cell cycle control and apoptosis by interacting with p53 </w:t>
      </w:r>
      <w:proofErr w:type="spellStart"/>
      <w:r w:rsidRPr="00AD11D9">
        <w:t>signaling</w:t>
      </w:r>
      <w:proofErr w:type="spellEnd"/>
      <w:r w:rsidRPr="00AD11D9">
        <w:t>, which could contribute to tumorigenesis in the bladder.</w:t>
      </w:r>
    </w:p>
    <w:p w14:paraId="7E59EB6E" w14:textId="77777777" w:rsidR="00AD11D9" w:rsidRPr="00AD11D9" w:rsidRDefault="00AD11D9" w:rsidP="00B52120">
      <w:pPr>
        <w:numPr>
          <w:ilvl w:val="0"/>
          <w:numId w:val="6"/>
        </w:numPr>
        <w:jc w:val="both"/>
      </w:pPr>
      <w:r w:rsidRPr="00AD11D9">
        <w:rPr>
          <w:b/>
          <w:bCs/>
        </w:rPr>
        <w:t>PI3K/AKT/mTOR Pathway</w:t>
      </w:r>
      <w:r w:rsidRPr="00AD11D9">
        <w:t xml:space="preserve">: This pathway is a critical regulator of cell growth, proliferation, and survival and is often dysregulated in bladder cancer. Pioglitazone, through </w:t>
      </w:r>
      <w:proofErr w:type="spellStart"/>
      <w:r w:rsidRPr="00AD11D9">
        <w:t>PPARγ</w:t>
      </w:r>
      <w:proofErr w:type="spellEnd"/>
      <w:r w:rsidRPr="00AD11D9">
        <w:t xml:space="preserve"> activation, might influence this pathway, potentially leading to enhanced cell survival and proliferation, particularly in cells with pre-existing mutations in this pathway.</w:t>
      </w:r>
    </w:p>
    <w:p w14:paraId="5AA9D564" w14:textId="77777777" w:rsidR="00AD11D9" w:rsidRPr="00AD11D9" w:rsidRDefault="00AD11D9" w:rsidP="00B52120">
      <w:pPr>
        <w:numPr>
          <w:ilvl w:val="0"/>
          <w:numId w:val="6"/>
        </w:numPr>
        <w:jc w:val="both"/>
      </w:pPr>
      <w:r w:rsidRPr="00AD11D9">
        <w:rPr>
          <w:b/>
          <w:bCs/>
        </w:rPr>
        <w:t>Epigenetic Modifications</w:t>
      </w:r>
      <w:r w:rsidRPr="00AD11D9">
        <w:t xml:space="preserve">: Epigenetic changes, such as DNA methylation and histone modifications, play a significant role in cancer development. Pioglitazone has been shown to influence epigenetic regulation in other tissues, and it is plausible that similar effects could </w:t>
      </w:r>
      <w:r w:rsidRPr="00AD11D9">
        <w:lastRenderedPageBreak/>
        <w:t xml:space="preserve">occur in the bladder epithelium, leading to the silencing of </w:t>
      </w:r>
      <w:proofErr w:type="spellStart"/>
      <w:r w:rsidRPr="00AD11D9">
        <w:t>tumor</w:t>
      </w:r>
      <w:proofErr w:type="spellEnd"/>
      <w:r w:rsidRPr="00AD11D9">
        <w:t xml:space="preserve"> suppressor genes or the activation of oncogenes.</w:t>
      </w:r>
    </w:p>
    <w:p w14:paraId="406C560A" w14:textId="77777777" w:rsidR="00AD11D9" w:rsidRPr="00AD11D9" w:rsidRDefault="00AD11D9" w:rsidP="00B52120">
      <w:pPr>
        <w:jc w:val="both"/>
        <w:rPr>
          <w:b/>
          <w:bCs/>
        </w:rPr>
      </w:pPr>
      <w:r w:rsidRPr="00AD11D9">
        <w:rPr>
          <w:b/>
          <w:bCs/>
        </w:rPr>
        <w:t>4.3 Role of Peroxisome Proliferator-Activated Receptor Gamma (</w:t>
      </w:r>
      <w:proofErr w:type="spellStart"/>
      <w:r w:rsidRPr="00AD11D9">
        <w:rPr>
          <w:b/>
          <w:bCs/>
        </w:rPr>
        <w:t>PPARγ</w:t>
      </w:r>
      <w:proofErr w:type="spellEnd"/>
      <w:r w:rsidRPr="00AD11D9">
        <w:rPr>
          <w:b/>
          <w:bCs/>
        </w:rPr>
        <w:t>)</w:t>
      </w:r>
    </w:p>
    <w:p w14:paraId="172D8903" w14:textId="77777777" w:rsidR="00AD11D9" w:rsidRPr="00AD11D9" w:rsidRDefault="00AD11D9" w:rsidP="00B52120">
      <w:pPr>
        <w:jc w:val="both"/>
      </w:pPr>
      <w:proofErr w:type="spellStart"/>
      <w:r w:rsidRPr="00AD11D9">
        <w:t>PPARγ</w:t>
      </w:r>
      <w:proofErr w:type="spellEnd"/>
      <w:r w:rsidRPr="00AD11D9">
        <w:t xml:space="preserve"> is a nuclear receptor that regulates gene expression involved in glucose and lipid metabolism, cell differentiation, and inflammation. It is the primary target of pioglitazone and plays a complex role in both normal physiology and cancer development.</w:t>
      </w:r>
    </w:p>
    <w:p w14:paraId="48EE0797" w14:textId="77777777" w:rsidR="00AD11D9" w:rsidRPr="00AD11D9" w:rsidRDefault="00AD11D9" w:rsidP="00B52120">
      <w:pPr>
        <w:numPr>
          <w:ilvl w:val="0"/>
          <w:numId w:val="7"/>
        </w:numPr>
        <w:jc w:val="both"/>
      </w:pPr>
      <w:proofErr w:type="spellStart"/>
      <w:r w:rsidRPr="00AD11D9">
        <w:rPr>
          <w:b/>
          <w:bCs/>
        </w:rPr>
        <w:t>PPARγ</w:t>
      </w:r>
      <w:proofErr w:type="spellEnd"/>
      <w:r w:rsidRPr="00AD11D9">
        <w:rPr>
          <w:b/>
          <w:bCs/>
        </w:rPr>
        <w:t xml:space="preserve"> Activation and Cancer</w:t>
      </w:r>
      <w:r w:rsidRPr="00AD11D9">
        <w:t xml:space="preserve">: </w:t>
      </w:r>
      <w:proofErr w:type="spellStart"/>
      <w:r w:rsidRPr="00AD11D9">
        <w:t>PPARγ</w:t>
      </w:r>
      <w:proofErr w:type="spellEnd"/>
      <w:r w:rsidRPr="00AD11D9">
        <w:t xml:space="preserve"> has been shown to have both </w:t>
      </w:r>
      <w:proofErr w:type="spellStart"/>
      <w:r w:rsidRPr="00AD11D9">
        <w:t>tumor</w:t>
      </w:r>
      <w:proofErr w:type="spellEnd"/>
      <w:r w:rsidRPr="00AD11D9">
        <w:t xml:space="preserve">-promoting and </w:t>
      </w:r>
      <w:proofErr w:type="spellStart"/>
      <w:r w:rsidRPr="00AD11D9">
        <w:t>tumor</w:t>
      </w:r>
      <w:proofErr w:type="spellEnd"/>
      <w:r w:rsidRPr="00AD11D9">
        <w:t xml:space="preserve">-suppressing effects, depending on the tissue context. In some cancers, </w:t>
      </w:r>
      <w:proofErr w:type="spellStart"/>
      <w:r w:rsidRPr="00AD11D9">
        <w:t>PPARγ</w:t>
      </w:r>
      <w:proofErr w:type="spellEnd"/>
      <w:r w:rsidRPr="00AD11D9">
        <w:t xml:space="preserve"> activation promotes differentiation and inhibits proliferation, which could theoretically protect against cancer. However, in other contexts, such as in certain bladder cancer models, </w:t>
      </w:r>
      <w:proofErr w:type="spellStart"/>
      <w:r w:rsidRPr="00AD11D9">
        <w:t>PPARγ</w:t>
      </w:r>
      <w:proofErr w:type="spellEnd"/>
      <w:r w:rsidRPr="00AD11D9">
        <w:t xml:space="preserve"> activation may promote tumorigenesis by enhancing cell proliferation and inhibiting apoptosis.</w:t>
      </w:r>
    </w:p>
    <w:p w14:paraId="6EA5FAFA" w14:textId="77777777" w:rsidR="00AD11D9" w:rsidRPr="00AD11D9" w:rsidRDefault="00AD11D9" w:rsidP="00B52120">
      <w:pPr>
        <w:numPr>
          <w:ilvl w:val="0"/>
          <w:numId w:val="7"/>
        </w:numPr>
        <w:jc w:val="both"/>
      </w:pPr>
      <w:proofErr w:type="spellStart"/>
      <w:r w:rsidRPr="00AD11D9">
        <w:rPr>
          <w:b/>
          <w:bCs/>
        </w:rPr>
        <w:t>PPARγ</w:t>
      </w:r>
      <w:proofErr w:type="spellEnd"/>
      <w:r w:rsidRPr="00AD11D9">
        <w:rPr>
          <w:b/>
          <w:bCs/>
        </w:rPr>
        <w:t xml:space="preserve"> in Bladder Cancer</w:t>
      </w:r>
      <w:r w:rsidRPr="00AD11D9">
        <w:t xml:space="preserve">: The expression and role of </w:t>
      </w:r>
      <w:proofErr w:type="spellStart"/>
      <w:r w:rsidRPr="00AD11D9">
        <w:t>PPARγ</w:t>
      </w:r>
      <w:proofErr w:type="spellEnd"/>
      <w:r w:rsidRPr="00AD11D9">
        <w:t xml:space="preserve"> in bladder cancer are not fully understood, but there is evidence that </w:t>
      </w:r>
      <w:proofErr w:type="spellStart"/>
      <w:r w:rsidRPr="00AD11D9">
        <w:t>PPARγ</w:t>
      </w:r>
      <w:proofErr w:type="spellEnd"/>
      <w:r w:rsidRPr="00AD11D9">
        <w:t xml:space="preserve"> activation can influence the </w:t>
      </w:r>
      <w:proofErr w:type="spellStart"/>
      <w:r w:rsidRPr="00AD11D9">
        <w:t>behavior</w:t>
      </w:r>
      <w:proofErr w:type="spellEnd"/>
      <w:r w:rsidRPr="00AD11D9">
        <w:t xml:space="preserve"> of urothelial cells. Some studies suggest that </w:t>
      </w:r>
      <w:proofErr w:type="spellStart"/>
      <w:r w:rsidRPr="00AD11D9">
        <w:t>PPARγ</w:t>
      </w:r>
      <w:proofErr w:type="spellEnd"/>
      <w:r w:rsidRPr="00AD11D9">
        <w:t xml:space="preserve"> activation in the bladder epithelium may lead to changes in gene expression that </w:t>
      </w:r>
      <w:proofErr w:type="spellStart"/>
      <w:r w:rsidRPr="00AD11D9">
        <w:t>favor</w:t>
      </w:r>
      <w:proofErr w:type="spellEnd"/>
      <w:r w:rsidRPr="00AD11D9">
        <w:t xml:space="preserve"> a proliferative phenotype, increasing the risk of cancer development. Additionally, </w:t>
      </w:r>
      <w:proofErr w:type="spellStart"/>
      <w:r w:rsidRPr="00AD11D9">
        <w:t>PPARγ</w:t>
      </w:r>
      <w:proofErr w:type="spellEnd"/>
      <w:r w:rsidRPr="00AD11D9">
        <w:t xml:space="preserve"> can modulate the expression of genes involved in the cell cycle, apoptosis, and inflammation, all of which are critical in the development of bladder cancer.</w:t>
      </w:r>
    </w:p>
    <w:p w14:paraId="709A41D4" w14:textId="77777777" w:rsidR="00AD11D9" w:rsidRPr="00AD11D9" w:rsidRDefault="00AD11D9" w:rsidP="00B52120">
      <w:pPr>
        <w:numPr>
          <w:ilvl w:val="0"/>
          <w:numId w:val="7"/>
        </w:numPr>
        <w:jc w:val="both"/>
      </w:pPr>
      <w:proofErr w:type="spellStart"/>
      <w:r w:rsidRPr="00AD11D9">
        <w:rPr>
          <w:b/>
          <w:bCs/>
        </w:rPr>
        <w:t>PPARγ</w:t>
      </w:r>
      <w:proofErr w:type="spellEnd"/>
      <w:r w:rsidRPr="00AD11D9">
        <w:rPr>
          <w:b/>
          <w:bCs/>
        </w:rPr>
        <w:t xml:space="preserve"> Agonists and Bladder Tumorigenesis</w:t>
      </w:r>
      <w:r w:rsidRPr="00AD11D9">
        <w:t xml:space="preserve">: The use of </w:t>
      </w:r>
      <w:proofErr w:type="spellStart"/>
      <w:r w:rsidRPr="00AD11D9">
        <w:t>PPARγ</w:t>
      </w:r>
      <w:proofErr w:type="spellEnd"/>
      <w:r w:rsidRPr="00AD11D9">
        <w:t xml:space="preserve"> agonists like pioglitazone has been associated with mixed outcomes in different cancer types. In the context of bladder cancer, some preclinical studies have shown that </w:t>
      </w:r>
      <w:proofErr w:type="spellStart"/>
      <w:r w:rsidRPr="00AD11D9">
        <w:t>PPARγ</w:t>
      </w:r>
      <w:proofErr w:type="spellEnd"/>
      <w:r w:rsidRPr="00AD11D9">
        <w:t xml:space="preserve"> activation can lead to increased cell proliferation and </w:t>
      </w:r>
      <w:proofErr w:type="spellStart"/>
      <w:r w:rsidRPr="00AD11D9">
        <w:t>tumor</w:t>
      </w:r>
      <w:proofErr w:type="spellEnd"/>
      <w:r w:rsidRPr="00AD11D9">
        <w:t xml:space="preserve"> growth in the bladder. This raises concerns about the long-term safety of </w:t>
      </w:r>
      <w:proofErr w:type="spellStart"/>
      <w:r w:rsidRPr="00AD11D9">
        <w:t>PPARγ</w:t>
      </w:r>
      <w:proofErr w:type="spellEnd"/>
      <w:r w:rsidRPr="00AD11D9">
        <w:t xml:space="preserve"> agonists in patients at risk for bladder cancer.</w:t>
      </w:r>
    </w:p>
    <w:p w14:paraId="68DC4957" w14:textId="77777777" w:rsidR="00AD11D9" w:rsidRPr="00AD11D9" w:rsidRDefault="00AD11D9" w:rsidP="00B52120">
      <w:pPr>
        <w:numPr>
          <w:ilvl w:val="0"/>
          <w:numId w:val="7"/>
        </w:numPr>
        <w:jc w:val="both"/>
      </w:pPr>
      <w:proofErr w:type="spellStart"/>
      <w:r w:rsidRPr="00AD11D9">
        <w:rPr>
          <w:b/>
          <w:bCs/>
        </w:rPr>
        <w:t>PPARγ</w:t>
      </w:r>
      <w:proofErr w:type="spellEnd"/>
      <w:r w:rsidRPr="00AD11D9">
        <w:rPr>
          <w:b/>
          <w:bCs/>
        </w:rPr>
        <w:t>-Independent Effects</w:t>
      </w:r>
      <w:r w:rsidRPr="00AD11D9">
        <w:t xml:space="preserve">: It is also important to consider that pioglitazone may have effects that are independent of </w:t>
      </w:r>
      <w:proofErr w:type="spellStart"/>
      <w:r w:rsidRPr="00AD11D9">
        <w:t>PPARγ</w:t>
      </w:r>
      <w:proofErr w:type="spellEnd"/>
      <w:r w:rsidRPr="00AD11D9">
        <w:t xml:space="preserve"> activation. These effects could contribute to bladder carcinogenesis through mechanisms that are not yet fully understood, such as off-target interactions with other nuclear receptors or </w:t>
      </w:r>
      <w:proofErr w:type="spellStart"/>
      <w:r w:rsidRPr="00AD11D9">
        <w:t>signaling</w:t>
      </w:r>
      <w:proofErr w:type="spellEnd"/>
      <w:r w:rsidRPr="00AD11D9">
        <w:t xml:space="preserve"> pathways.</w:t>
      </w:r>
    </w:p>
    <w:p w14:paraId="3D67F19C" w14:textId="77777777" w:rsidR="00AD11D9" w:rsidRPr="00AD11D9" w:rsidRDefault="00AD11D9" w:rsidP="00B52120">
      <w:pPr>
        <w:jc w:val="both"/>
        <w:rPr>
          <w:b/>
          <w:bCs/>
        </w:rPr>
      </w:pPr>
      <w:r w:rsidRPr="00AD11D9">
        <w:rPr>
          <w:b/>
          <w:bCs/>
        </w:rPr>
        <w:t>5. Risk Factors and Patient Susceptibility</w:t>
      </w:r>
    </w:p>
    <w:p w14:paraId="57ACD406" w14:textId="77777777" w:rsidR="00AD11D9" w:rsidRPr="00AD11D9" w:rsidRDefault="00AD11D9" w:rsidP="00B52120">
      <w:pPr>
        <w:jc w:val="both"/>
        <w:rPr>
          <w:b/>
          <w:bCs/>
        </w:rPr>
      </w:pPr>
      <w:r w:rsidRPr="00AD11D9">
        <w:rPr>
          <w:b/>
          <w:bCs/>
        </w:rPr>
        <w:t>5.1 Patient Demographics and Bladder Cancer Risk</w:t>
      </w:r>
    </w:p>
    <w:p w14:paraId="1C4EC8AB" w14:textId="77777777" w:rsidR="00AD11D9" w:rsidRPr="00AD11D9" w:rsidRDefault="00AD11D9" w:rsidP="00B52120">
      <w:pPr>
        <w:jc w:val="both"/>
      </w:pPr>
      <w:r w:rsidRPr="00AD11D9">
        <w:t>Bladder cancer risk is influenced by several demographic factors, including age, gender, race, and smoking history. These factors also play a role in determining patient susceptibility to potential carcinogens, including medications like pioglitazone.</w:t>
      </w:r>
    </w:p>
    <w:p w14:paraId="1574FD79" w14:textId="77777777" w:rsidR="00AD11D9" w:rsidRPr="00AD11D9" w:rsidRDefault="00AD11D9" w:rsidP="00B52120">
      <w:pPr>
        <w:numPr>
          <w:ilvl w:val="0"/>
          <w:numId w:val="8"/>
        </w:numPr>
        <w:jc w:val="both"/>
      </w:pPr>
      <w:r w:rsidRPr="00AD11D9">
        <w:rPr>
          <w:b/>
          <w:bCs/>
        </w:rPr>
        <w:t>Age</w:t>
      </w:r>
      <w:r w:rsidRPr="00AD11D9">
        <w:t>: Bladder cancer incidence increases with age, with the majority of cases occurring in individuals over the age of 65. Elderly patients may be more susceptible to the potential carcinogenic effects of pioglitazone due to age-related changes in drug metabolism and DNA repair mechanisms.</w:t>
      </w:r>
    </w:p>
    <w:p w14:paraId="442CCB05" w14:textId="77777777" w:rsidR="00AD11D9" w:rsidRPr="00AD11D9" w:rsidRDefault="00AD11D9" w:rsidP="00B52120">
      <w:pPr>
        <w:numPr>
          <w:ilvl w:val="0"/>
          <w:numId w:val="8"/>
        </w:numPr>
        <w:jc w:val="both"/>
      </w:pPr>
      <w:r w:rsidRPr="00AD11D9">
        <w:rPr>
          <w:b/>
          <w:bCs/>
        </w:rPr>
        <w:t>Gender</w:t>
      </w:r>
      <w:r w:rsidRPr="00AD11D9">
        <w:t xml:space="preserve">: Men are significantly more likely to develop bladder cancer than women, with a male-to-female ratio of approximately 3:1. The reasons for this disparity are not entirely clear but may include differences in exposure to risk factors such as smoking and occupational carcinogens. In studies examining the association between pioglitazone and bladder cancer, </w:t>
      </w:r>
      <w:r w:rsidRPr="00AD11D9">
        <w:lastRenderedPageBreak/>
        <w:t>male patients appear to be at a higher risk, which may be due to the underlying higher baseline risk in men.</w:t>
      </w:r>
    </w:p>
    <w:p w14:paraId="05756446" w14:textId="77777777" w:rsidR="00AD11D9" w:rsidRPr="00AD11D9" w:rsidRDefault="00AD11D9" w:rsidP="00B52120">
      <w:pPr>
        <w:numPr>
          <w:ilvl w:val="0"/>
          <w:numId w:val="8"/>
        </w:numPr>
        <w:jc w:val="both"/>
      </w:pPr>
      <w:r w:rsidRPr="00AD11D9">
        <w:rPr>
          <w:b/>
          <w:bCs/>
        </w:rPr>
        <w:t>Race and Ethnicity</w:t>
      </w:r>
      <w:r w:rsidRPr="00AD11D9">
        <w:t>: Bladder cancer incidence varies by race and ethnicity. Caucasians have the highest incidence rates, while African Americans, Hispanics, and Asians have lower rates. Genetic differences and varying exposure to risk factors likely contribute to these disparities. The role of pioglitazone in different racial and ethnic groups has not been extensively studied, but these demographic factors could influence susceptibility to drug-induced carcinogenesis.</w:t>
      </w:r>
    </w:p>
    <w:p w14:paraId="039482A9" w14:textId="77777777" w:rsidR="00AD11D9" w:rsidRPr="00AD11D9" w:rsidRDefault="00AD11D9" w:rsidP="00B52120">
      <w:pPr>
        <w:numPr>
          <w:ilvl w:val="0"/>
          <w:numId w:val="8"/>
        </w:numPr>
        <w:jc w:val="both"/>
      </w:pPr>
      <w:r w:rsidRPr="00AD11D9">
        <w:rPr>
          <w:b/>
          <w:bCs/>
        </w:rPr>
        <w:t>Smoking History</w:t>
      </w:r>
      <w:r w:rsidRPr="00AD11D9">
        <w:t>: Smoking is the most significant risk factor for bladder cancer, accounting for approximately 50% of cases. Smokers have a higher baseline risk of bladder cancer, which may be further exacerbated by the use of pioglitazone. Some studies suggest that the combination of smoking and pioglitazone use may have a synergistic effect, increasing the overall risk of bladder cancer more than either factor alone.</w:t>
      </w:r>
    </w:p>
    <w:p w14:paraId="73654DD4" w14:textId="77777777" w:rsidR="00AD11D9" w:rsidRPr="00AD11D9" w:rsidRDefault="00AD11D9" w:rsidP="00B52120">
      <w:pPr>
        <w:jc w:val="both"/>
        <w:rPr>
          <w:b/>
          <w:bCs/>
        </w:rPr>
      </w:pPr>
      <w:r w:rsidRPr="00AD11D9">
        <w:rPr>
          <w:b/>
          <w:bCs/>
        </w:rPr>
        <w:t>5.2 Duration and Dosage of Pioglitazone</w:t>
      </w:r>
    </w:p>
    <w:p w14:paraId="1067C650" w14:textId="77777777" w:rsidR="00AD11D9" w:rsidRPr="00AD11D9" w:rsidRDefault="00AD11D9" w:rsidP="00B52120">
      <w:pPr>
        <w:jc w:val="both"/>
      </w:pPr>
      <w:r w:rsidRPr="00AD11D9">
        <w:t>The duration and dosage of pioglitazone therapy are critical factors in assessing the risk of bladder cancer. Epidemiological studies have indicated that the risk of bladder cancer may be related to both the length of time a patient is exposed to pioglitazone and the cumulative dose they receive.</w:t>
      </w:r>
    </w:p>
    <w:p w14:paraId="782FAE1F" w14:textId="77777777" w:rsidR="00AD11D9" w:rsidRPr="00AD11D9" w:rsidRDefault="00AD11D9" w:rsidP="00B52120">
      <w:pPr>
        <w:numPr>
          <w:ilvl w:val="0"/>
          <w:numId w:val="9"/>
        </w:numPr>
        <w:jc w:val="both"/>
      </w:pPr>
      <w:r w:rsidRPr="00AD11D9">
        <w:rPr>
          <w:b/>
          <w:bCs/>
        </w:rPr>
        <w:t>Duration of Use</w:t>
      </w:r>
      <w:r w:rsidRPr="00AD11D9">
        <w:t xml:space="preserve">: Several studies have demonstrated that the risk of bladder cancer increases with longer durations of pioglitazone use. Patients who have taken pioglitazone for more than two years are at a higher risk compared to those with shorter exposure periods. The prolonged activation of </w:t>
      </w:r>
      <w:proofErr w:type="spellStart"/>
      <w:r w:rsidRPr="00AD11D9">
        <w:t>PPARγ</w:t>
      </w:r>
      <w:proofErr w:type="spellEnd"/>
      <w:r w:rsidRPr="00AD11D9">
        <w:t xml:space="preserve"> and its effects on the bladder epithelium over time may contribute to the carcinogenic process.</w:t>
      </w:r>
    </w:p>
    <w:p w14:paraId="5837CAE7" w14:textId="77777777" w:rsidR="00AD11D9" w:rsidRPr="00AD11D9" w:rsidRDefault="00AD11D9" w:rsidP="00B52120">
      <w:pPr>
        <w:numPr>
          <w:ilvl w:val="0"/>
          <w:numId w:val="9"/>
        </w:numPr>
        <w:jc w:val="both"/>
      </w:pPr>
      <w:r w:rsidRPr="00AD11D9">
        <w:rPr>
          <w:b/>
          <w:bCs/>
        </w:rPr>
        <w:t>Cumulative Dosage</w:t>
      </w:r>
      <w:r w:rsidRPr="00AD11D9">
        <w:t xml:space="preserve">: The total cumulative dose of pioglitazone, which reflects both the duration of use and the daily dose, is also a significant factor in bladder cancer risk. Higher cumulative doses have been associated with an increased risk of bladder cancer in some studies. For example, patients receiving cumulative doses above a certain threshold (e.g., 28,000 mg) have shown a higher incidence of bladder cancer compared to those with lower cumulative exposures. This dose-response relationship suggests that both the intensity and duration of </w:t>
      </w:r>
      <w:proofErr w:type="spellStart"/>
      <w:r w:rsidRPr="00AD11D9">
        <w:t>PPARγ</w:t>
      </w:r>
      <w:proofErr w:type="spellEnd"/>
      <w:r w:rsidRPr="00AD11D9">
        <w:t xml:space="preserve"> activation are important in assessing cancer risk.</w:t>
      </w:r>
    </w:p>
    <w:p w14:paraId="6F6FF2A1" w14:textId="77777777" w:rsidR="00AD11D9" w:rsidRPr="00AD11D9" w:rsidRDefault="00AD11D9" w:rsidP="00B52120">
      <w:pPr>
        <w:numPr>
          <w:ilvl w:val="0"/>
          <w:numId w:val="9"/>
        </w:numPr>
        <w:jc w:val="both"/>
      </w:pPr>
      <w:r w:rsidRPr="00AD11D9">
        <w:rPr>
          <w:b/>
          <w:bCs/>
        </w:rPr>
        <w:t>Therapeutic Dosage Levels</w:t>
      </w:r>
      <w:r w:rsidRPr="00AD11D9">
        <w:t xml:space="preserve">: Standard therapeutic doses of pioglitazone range from 15 mg to 45 mg daily. While the lowest effective dose is typically preferred to minimize side effects, higher doses are sometimes used for better </w:t>
      </w:r>
      <w:proofErr w:type="spellStart"/>
      <w:r w:rsidRPr="00AD11D9">
        <w:t>glycemic</w:t>
      </w:r>
      <w:proofErr w:type="spellEnd"/>
      <w:r w:rsidRPr="00AD11D9">
        <w:t xml:space="preserve"> control. Patients on higher daily doses may reach concerning cumulative dose levels more quickly, potentially increasing their risk of bladder cancer. Clinicians must balance the need for </w:t>
      </w:r>
      <w:proofErr w:type="spellStart"/>
      <w:r w:rsidRPr="00AD11D9">
        <w:t>glycemic</w:t>
      </w:r>
      <w:proofErr w:type="spellEnd"/>
      <w:r w:rsidRPr="00AD11D9">
        <w:t xml:space="preserve"> control with the potential long-term risks when determining the appropriate dosage for individual patients.</w:t>
      </w:r>
    </w:p>
    <w:p w14:paraId="34BC0E37" w14:textId="77777777" w:rsidR="00AD11D9" w:rsidRPr="00AD11D9" w:rsidRDefault="00AD11D9" w:rsidP="00B52120">
      <w:pPr>
        <w:jc w:val="both"/>
        <w:rPr>
          <w:b/>
          <w:bCs/>
        </w:rPr>
      </w:pPr>
      <w:r w:rsidRPr="00AD11D9">
        <w:rPr>
          <w:b/>
          <w:bCs/>
        </w:rPr>
        <w:t>5.3 Co-morbidities and Concomitant Medications</w:t>
      </w:r>
    </w:p>
    <w:p w14:paraId="2D7A140C" w14:textId="77777777" w:rsidR="00AD11D9" w:rsidRPr="00AD11D9" w:rsidRDefault="00AD11D9" w:rsidP="00B52120">
      <w:pPr>
        <w:jc w:val="both"/>
      </w:pPr>
      <w:r w:rsidRPr="00AD11D9">
        <w:t>The presence of co-morbidities and the use of concomitant medications can influence the risk of bladder cancer in patients taking pioglitazone. These factors may interact with pioglitazone's pharmacological effects or independently increase the risk of bladder cancer.</w:t>
      </w:r>
    </w:p>
    <w:p w14:paraId="3F5FCF73" w14:textId="77777777" w:rsidR="00AD11D9" w:rsidRPr="00AD11D9" w:rsidRDefault="00AD11D9" w:rsidP="00B52120">
      <w:pPr>
        <w:numPr>
          <w:ilvl w:val="0"/>
          <w:numId w:val="10"/>
        </w:numPr>
        <w:jc w:val="both"/>
      </w:pPr>
      <w:r w:rsidRPr="00AD11D9">
        <w:rPr>
          <w:b/>
          <w:bCs/>
        </w:rPr>
        <w:t>Diabetes Mellitus</w:t>
      </w:r>
      <w:r w:rsidRPr="00AD11D9">
        <w:t xml:space="preserve">: Type 2 diabetes itself is a risk factor for several cancers, including bladder cancer. The mechanisms linking diabetes to cancer include hyperinsulinemia, insulin resistance, chronic inflammation, and oxidative stress. Since pioglitazone is used primarily in diabetic patients, this underlying increased cancer risk complicates the assessment of </w:t>
      </w:r>
      <w:r w:rsidRPr="00AD11D9">
        <w:lastRenderedPageBreak/>
        <w:t>pioglitazone's role in bladder carcinogenesis. It is challenging to distinguish whether the observed increase in bladder cancer risk is due to pioglitazone or the underlying diabetes.</w:t>
      </w:r>
    </w:p>
    <w:p w14:paraId="59A6465E" w14:textId="77777777" w:rsidR="00AD11D9" w:rsidRPr="00AD11D9" w:rsidRDefault="00AD11D9" w:rsidP="00B52120">
      <w:pPr>
        <w:numPr>
          <w:ilvl w:val="0"/>
          <w:numId w:val="10"/>
        </w:numPr>
        <w:jc w:val="both"/>
      </w:pPr>
      <w:r w:rsidRPr="00AD11D9">
        <w:rPr>
          <w:b/>
          <w:bCs/>
        </w:rPr>
        <w:t>Obesity</w:t>
      </w:r>
      <w:r w:rsidRPr="00AD11D9">
        <w:t>: Obesity, which is prevalent among type 2 diabetes patients, is another risk factor for bladder cancer. Obesity-related factors, such as insulin resistance, chronic low-grade inflammation, and altered hormone levels, may contribute to carcinogenesis. Pioglitazone, which can lead to weight gain, may exacerbate this risk. Additionally, the accumulation of adipose tissue may influence the pharmacokinetics of pioglitazone, potentially altering its effects on the bladder epithelium.</w:t>
      </w:r>
    </w:p>
    <w:p w14:paraId="5AE66AF3" w14:textId="77777777" w:rsidR="00AD11D9" w:rsidRPr="00AD11D9" w:rsidRDefault="00AD11D9" w:rsidP="00B52120">
      <w:pPr>
        <w:numPr>
          <w:ilvl w:val="0"/>
          <w:numId w:val="10"/>
        </w:numPr>
        <w:jc w:val="both"/>
      </w:pPr>
      <w:r w:rsidRPr="00AD11D9">
        <w:rPr>
          <w:b/>
          <w:bCs/>
        </w:rPr>
        <w:t>Renal Impairment</w:t>
      </w:r>
      <w:r w:rsidRPr="00AD11D9">
        <w:t>: Patients with renal impairment are at increased risk of bladder cancer, partly due to decreased renal clearance of carcinogens and chronic exposure to uremic toxins. Pioglitazone is metabolized in the liver, but its metabolites are excreted through the kidneys. In patients with renal impairment, altered excretion of pioglitazone metabolites may result in prolonged exposure to the bladder epithelium, potentially increasing the risk of cancer.</w:t>
      </w:r>
    </w:p>
    <w:p w14:paraId="54A1CE35" w14:textId="77777777" w:rsidR="00AD11D9" w:rsidRPr="00AD11D9" w:rsidRDefault="00AD11D9" w:rsidP="00B52120">
      <w:pPr>
        <w:numPr>
          <w:ilvl w:val="0"/>
          <w:numId w:val="10"/>
        </w:numPr>
        <w:jc w:val="both"/>
      </w:pPr>
      <w:r w:rsidRPr="00AD11D9">
        <w:rPr>
          <w:b/>
          <w:bCs/>
        </w:rPr>
        <w:t>Concomitant Medications</w:t>
      </w:r>
      <w:r w:rsidRPr="00AD11D9">
        <w:t>: The use of other medications, particularly those that are also metabolized by the liver or excreted by the kidneys, can interact with pioglitazone and influence bladder cancer risk. For example, drugs that inhibit cytochrome P450 enzymes (e.g., CYP2C8) may increase pioglitazone levels, thereby enhancing its effects on the bladder epithelium. Additionally, medications that cause urinary retention or other urological issues may increase the contact time between urine (and any excreted carcinogens) and the bladder epithelium, potentially compounding the risk.</w:t>
      </w:r>
    </w:p>
    <w:p w14:paraId="5E70B09A" w14:textId="77777777" w:rsidR="00AD11D9" w:rsidRPr="00AD11D9" w:rsidRDefault="00AD11D9" w:rsidP="00B52120">
      <w:pPr>
        <w:numPr>
          <w:ilvl w:val="0"/>
          <w:numId w:val="10"/>
        </w:numPr>
        <w:jc w:val="both"/>
      </w:pPr>
      <w:r w:rsidRPr="00AD11D9">
        <w:rPr>
          <w:b/>
          <w:bCs/>
        </w:rPr>
        <w:t>Prior Cancer History</w:t>
      </w:r>
      <w:r w:rsidRPr="00AD11D9">
        <w:t>: Patients with a history of cancer, particularly bladder cancer, may be at an increased risk of recurrence when exposed to potential carcinogens like pioglitazone. The decision to use pioglitazone in such patients should be made cautiously, with consideration of the individual’s cancer history and overall risk factors.</w:t>
      </w:r>
    </w:p>
    <w:p w14:paraId="2433EC9F" w14:textId="77777777" w:rsidR="00AD11D9" w:rsidRPr="00AD11D9" w:rsidRDefault="00AD11D9" w:rsidP="00B52120">
      <w:pPr>
        <w:jc w:val="both"/>
        <w:rPr>
          <w:b/>
          <w:bCs/>
        </w:rPr>
      </w:pPr>
      <w:r w:rsidRPr="00AD11D9">
        <w:rPr>
          <w:b/>
          <w:bCs/>
        </w:rPr>
        <w:t>Summary</w:t>
      </w:r>
    </w:p>
    <w:p w14:paraId="77096015" w14:textId="77777777" w:rsidR="00AD11D9" w:rsidRPr="00AD11D9" w:rsidRDefault="00AD11D9" w:rsidP="00B52120">
      <w:pPr>
        <w:jc w:val="both"/>
      </w:pPr>
      <w:r w:rsidRPr="00AD11D9">
        <w:t>The risk of pioglitazone-associated bladder cancer is influenced by a combination of demographic factors, the duration and dosage of therapy, and the presence of co-morbidities and concomitant medications. Understanding these factors is crucial for identifying patients at higher risk and making informed decisions regarding the use of pioglitazone in clinical practice. This risk assessment can guide personalized treatment strategies to optimize the benefits of pioglitazone while minimizing potential harm.</w:t>
      </w:r>
    </w:p>
    <w:p w14:paraId="07EBD6CA" w14:textId="77777777" w:rsidR="00AD11D9" w:rsidRPr="00AD11D9" w:rsidRDefault="00AD11D9" w:rsidP="00B52120">
      <w:pPr>
        <w:jc w:val="both"/>
        <w:rPr>
          <w:b/>
          <w:bCs/>
        </w:rPr>
      </w:pPr>
      <w:r w:rsidRPr="00AD11D9">
        <w:rPr>
          <w:b/>
          <w:bCs/>
        </w:rPr>
        <w:t>6. Regulatory and Clinical Guidelines</w:t>
      </w:r>
    </w:p>
    <w:p w14:paraId="7D9BBE0C" w14:textId="77777777" w:rsidR="00AD11D9" w:rsidRPr="00AD11D9" w:rsidRDefault="00AD11D9" w:rsidP="00B52120">
      <w:pPr>
        <w:jc w:val="both"/>
        <w:rPr>
          <w:b/>
          <w:bCs/>
        </w:rPr>
      </w:pPr>
      <w:r w:rsidRPr="00AD11D9">
        <w:rPr>
          <w:b/>
          <w:bCs/>
        </w:rPr>
        <w:t>6.1 FDA and EMA Warnings and Guidelines</w:t>
      </w:r>
    </w:p>
    <w:p w14:paraId="5AD6DB2D" w14:textId="77777777" w:rsidR="00AD11D9" w:rsidRPr="00AD11D9" w:rsidRDefault="00AD11D9" w:rsidP="00B52120">
      <w:pPr>
        <w:jc w:val="both"/>
      </w:pPr>
      <w:r w:rsidRPr="00AD11D9">
        <w:t>Regulatory agencies such as the U.S. Food and Drug Administration (FDA) and the European Medicines Agency (EMA) have provided guidance and warnings related to the use of pioglitazone due to concerns about its potential association with bladder cancer.</w:t>
      </w:r>
    </w:p>
    <w:p w14:paraId="7FA34142" w14:textId="77777777" w:rsidR="00AD11D9" w:rsidRPr="00AD11D9" w:rsidRDefault="00AD11D9" w:rsidP="00B52120">
      <w:pPr>
        <w:numPr>
          <w:ilvl w:val="0"/>
          <w:numId w:val="11"/>
        </w:numPr>
        <w:jc w:val="both"/>
      </w:pPr>
      <w:r w:rsidRPr="00AD11D9">
        <w:rPr>
          <w:b/>
          <w:bCs/>
        </w:rPr>
        <w:t>FDA Warnings</w:t>
      </w:r>
      <w:r w:rsidRPr="00AD11D9">
        <w:t>:</w:t>
      </w:r>
    </w:p>
    <w:p w14:paraId="350B811B" w14:textId="77777777" w:rsidR="00AD11D9" w:rsidRPr="00AD11D9" w:rsidRDefault="00AD11D9" w:rsidP="00B52120">
      <w:pPr>
        <w:numPr>
          <w:ilvl w:val="1"/>
          <w:numId w:val="11"/>
        </w:numPr>
        <w:jc w:val="both"/>
      </w:pPr>
      <w:r w:rsidRPr="00AD11D9">
        <w:rPr>
          <w:b/>
          <w:bCs/>
        </w:rPr>
        <w:t>Initial Concerns</w:t>
      </w:r>
      <w:r w:rsidRPr="00AD11D9">
        <w:t xml:space="preserve">: The FDA first issued warnings about the potential risk of bladder cancer associated with pioglitazone based on findings from studies including the </w:t>
      </w:r>
      <w:proofErr w:type="spellStart"/>
      <w:r w:rsidRPr="00AD11D9">
        <w:t>PROactive</w:t>
      </w:r>
      <w:proofErr w:type="spellEnd"/>
      <w:r w:rsidRPr="00AD11D9">
        <w:t xml:space="preserve"> trial and various epidemiological studies. In 2011, the FDA mandated a boxed warning, the most stringent type of warning, indicating that pioglitazone may increase the risk of bladder cancer, particularly with long-term use. The warning was </w:t>
      </w:r>
      <w:r w:rsidRPr="00AD11D9">
        <w:lastRenderedPageBreak/>
        <w:t>based on observational studies and a meta-analysis showing a potential increased risk, although the absolute risk was considered relatively low.</w:t>
      </w:r>
    </w:p>
    <w:p w14:paraId="1564B3AA" w14:textId="77777777" w:rsidR="00AD11D9" w:rsidRPr="00AD11D9" w:rsidRDefault="00AD11D9" w:rsidP="00B52120">
      <w:pPr>
        <w:numPr>
          <w:ilvl w:val="1"/>
          <w:numId w:val="11"/>
        </w:numPr>
        <w:jc w:val="both"/>
      </w:pPr>
      <w:r w:rsidRPr="00AD11D9">
        <w:rPr>
          <w:b/>
          <w:bCs/>
        </w:rPr>
        <w:t>Updated Guidance</w:t>
      </w:r>
      <w:r w:rsidRPr="00AD11D9">
        <w:t>: In 2016, the FDA further updated its guidance to emphasize the need for careful patient selection and monitoring. The revised warning included recommendations to avoid using pioglitazone in patients with a history of bladder cancer and advised healthcare professionals to assess the risk-benefit profile for patients considering long-term pioglitazone therapy. The FDA also stressed the importance of monitoring for symptoms of bladder cancer in patients receiving pioglitazone.</w:t>
      </w:r>
    </w:p>
    <w:p w14:paraId="534D45D7" w14:textId="77777777" w:rsidR="00AD11D9" w:rsidRPr="00AD11D9" w:rsidRDefault="00AD11D9" w:rsidP="00B52120">
      <w:pPr>
        <w:numPr>
          <w:ilvl w:val="0"/>
          <w:numId w:val="11"/>
        </w:numPr>
        <w:jc w:val="both"/>
      </w:pPr>
      <w:r w:rsidRPr="00AD11D9">
        <w:rPr>
          <w:b/>
          <w:bCs/>
        </w:rPr>
        <w:t>EMA Warnings</w:t>
      </w:r>
      <w:r w:rsidRPr="00AD11D9">
        <w:t>:</w:t>
      </w:r>
    </w:p>
    <w:p w14:paraId="567D3513" w14:textId="77777777" w:rsidR="00AD11D9" w:rsidRPr="00AD11D9" w:rsidRDefault="00AD11D9" w:rsidP="00B52120">
      <w:pPr>
        <w:numPr>
          <w:ilvl w:val="1"/>
          <w:numId w:val="11"/>
        </w:numPr>
        <w:jc w:val="both"/>
      </w:pPr>
      <w:r w:rsidRPr="00AD11D9">
        <w:rPr>
          <w:b/>
          <w:bCs/>
        </w:rPr>
        <w:t>Initial Actions</w:t>
      </w:r>
      <w:r w:rsidRPr="00AD11D9">
        <w:t>: The EMA conducted a review of pioglitazone and its association with bladder cancer in 2011. The review confirmed the increased risk, particularly with long-term use and higher doses. The EMA recommended that pioglitazone should not be used in patients with active bladder cancer or a history of bladder cancer due to the increased risk of recurrence.</w:t>
      </w:r>
    </w:p>
    <w:p w14:paraId="1C6A104B" w14:textId="77777777" w:rsidR="00AD11D9" w:rsidRPr="00AD11D9" w:rsidRDefault="00AD11D9" w:rsidP="00B52120">
      <w:pPr>
        <w:numPr>
          <w:ilvl w:val="1"/>
          <w:numId w:val="11"/>
        </w:numPr>
        <w:jc w:val="both"/>
      </w:pPr>
      <w:r w:rsidRPr="00AD11D9">
        <w:rPr>
          <w:b/>
          <w:bCs/>
        </w:rPr>
        <w:t>Ongoing Monitoring</w:t>
      </w:r>
      <w:r w:rsidRPr="00AD11D9">
        <w:t>: The EMA’s guidelines include periodic re-evaluation of the risk-benefit profile of pioglitazone. In response to emerging data, the EMA has required ongoing surveillance and updated safety information. The agency also recommended that prescribers should carefully consider alternative treatments for patients at high risk of bladder cancer and ensure regular monitoring for signs of cancer.</w:t>
      </w:r>
    </w:p>
    <w:p w14:paraId="2BFFC06C" w14:textId="77777777" w:rsidR="00AD11D9" w:rsidRPr="00AD11D9" w:rsidRDefault="00AD11D9" w:rsidP="00B52120">
      <w:pPr>
        <w:jc w:val="both"/>
        <w:rPr>
          <w:b/>
          <w:bCs/>
        </w:rPr>
      </w:pPr>
      <w:r w:rsidRPr="00AD11D9">
        <w:rPr>
          <w:b/>
          <w:bCs/>
        </w:rPr>
        <w:t>6.2 National and International Guidelines</w:t>
      </w:r>
    </w:p>
    <w:p w14:paraId="0D85CB66" w14:textId="77777777" w:rsidR="00AD11D9" w:rsidRPr="00AD11D9" w:rsidRDefault="00AD11D9" w:rsidP="00B52120">
      <w:pPr>
        <w:jc w:val="both"/>
      </w:pPr>
      <w:r w:rsidRPr="00AD11D9">
        <w:t>National and international clinical guidelines have been developed to provide comprehensive recommendations for the use of pioglitazone, particularly concerning the management of type 2 diabetes and the associated risk of bladder cancer.</w:t>
      </w:r>
    </w:p>
    <w:p w14:paraId="60D8CB90" w14:textId="77777777" w:rsidR="00AD11D9" w:rsidRPr="00AD11D9" w:rsidRDefault="00AD11D9" w:rsidP="00B52120">
      <w:pPr>
        <w:numPr>
          <w:ilvl w:val="0"/>
          <w:numId w:val="12"/>
        </w:numPr>
        <w:jc w:val="both"/>
      </w:pPr>
      <w:r w:rsidRPr="00AD11D9">
        <w:rPr>
          <w:b/>
          <w:bCs/>
        </w:rPr>
        <w:t>American Diabetes Association (ADA)</w:t>
      </w:r>
      <w:r w:rsidRPr="00AD11D9">
        <w:t>:</w:t>
      </w:r>
    </w:p>
    <w:p w14:paraId="78064666" w14:textId="77777777" w:rsidR="00AD11D9" w:rsidRPr="00AD11D9" w:rsidRDefault="00AD11D9" w:rsidP="00B52120">
      <w:pPr>
        <w:numPr>
          <w:ilvl w:val="1"/>
          <w:numId w:val="12"/>
        </w:numPr>
        <w:jc w:val="both"/>
      </w:pPr>
      <w:r w:rsidRPr="00AD11D9">
        <w:rPr>
          <w:b/>
          <w:bCs/>
        </w:rPr>
        <w:t>Guidelines on Pioglitazone Use</w:t>
      </w:r>
      <w:r w:rsidRPr="00AD11D9">
        <w:t xml:space="preserve">: The ADA guidelines have addressed pioglitazone’s use in the context of type 2 diabetes management. While recognizing pioglitazone’s efficacy in improving </w:t>
      </w:r>
      <w:proofErr w:type="spellStart"/>
      <w:r w:rsidRPr="00AD11D9">
        <w:t>glycemic</w:t>
      </w:r>
      <w:proofErr w:type="spellEnd"/>
      <w:r w:rsidRPr="00AD11D9">
        <w:t xml:space="preserve"> control and its benefits in reducing cardiovascular risk, the ADA emphasizes the importance of considering individual patient risk factors, including the potential for bladder cancer. The ADA guidelines recommend that pioglitazone should be used with caution in patients with a history of bladder cancer or those at high risk for bladder cancer. Regular monitoring and evaluation of treatment options are advised.</w:t>
      </w:r>
    </w:p>
    <w:p w14:paraId="23C7B742" w14:textId="77777777" w:rsidR="00AD11D9" w:rsidRPr="00AD11D9" w:rsidRDefault="00AD11D9" w:rsidP="00B52120">
      <w:pPr>
        <w:numPr>
          <w:ilvl w:val="0"/>
          <w:numId w:val="12"/>
        </w:numPr>
        <w:jc w:val="both"/>
      </w:pPr>
      <w:r w:rsidRPr="00AD11D9">
        <w:rPr>
          <w:b/>
          <w:bCs/>
        </w:rPr>
        <w:t>European Association for the Study of Diabetes (EASD)</w:t>
      </w:r>
      <w:r w:rsidRPr="00AD11D9">
        <w:t>:</w:t>
      </w:r>
    </w:p>
    <w:p w14:paraId="3FCE30B9" w14:textId="77777777" w:rsidR="00AD11D9" w:rsidRPr="00AD11D9" w:rsidRDefault="00AD11D9" w:rsidP="00B52120">
      <w:pPr>
        <w:numPr>
          <w:ilvl w:val="1"/>
          <w:numId w:val="12"/>
        </w:numPr>
        <w:jc w:val="both"/>
      </w:pPr>
      <w:r w:rsidRPr="00AD11D9">
        <w:rPr>
          <w:b/>
          <w:bCs/>
        </w:rPr>
        <w:t>Clinical Recommendations</w:t>
      </w:r>
      <w:r w:rsidRPr="00AD11D9">
        <w:t>: The EASD, in collaboration with the American Diabetes Association (ADA), provides recommendations on the use of antidiabetic medications, including pioglitazone. The EASD guidelines acknowledge the bladder cancer risk associated with pioglitazone and recommend careful patient selection, particularly in those with existing or a history of bladder cancer. The guidelines also suggest considering alternative medications when the risk outweighs the potential benefits.</w:t>
      </w:r>
    </w:p>
    <w:p w14:paraId="64300990" w14:textId="77777777" w:rsidR="00AD11D9" w:rsidRPr="00AD11D9" w:rsidRDefault="00AD11D9" w:rsidP="00B52120">
      <w:pPr>
        <w:numPr>
          <w:ilvl w:val="0"/>
          <w:numId w:val="12"/>
        </w:numPr>
        <w:jc w:val="both"/>
      </w:pPr>
      <w:r w:rsidRPr="00AD11D9">
        <w:rPr>
          <w:b/>
          <w:bCs/>
        </w:rPr>
        <w:t>International Diabetes Federation (IDF)</w:t>
      </w:r>
      <w:r w:rsidRPr="00AD11D9">
        <w:t>:</w:t>
      </w:r>
    </w:p>
    <w:p w14:paraId="21EBC9C8" w14:textId="77777777" w:rsidR="00AD11D9" w:rsidRPr="00AD11D9" w:rsidRDefault="00AD11D9" w:rsidP="00B52120">
      <w:pPr>
        <w:numPr>
          <w:ilvl w:val="1"/>
          <w:numId w:val="12"/>
        </w:numPr>
        <w:jc w:val="both"/>
      </w:pPr>
      <w:r w:rsidRPr="00AD11D9">
        <w:rPr>
          <w:b/>
          <w:bCs/>
        </w:rPr>
        <w:lastRenderedPageBreak/>
        <w:t>Global Perspective</w:t>
      </w:r>
      <w:r w:rsidRPr="00AD11D9">
        <w:t xml:space="preserve">: The IDF guidelines offer a global perspective on diabetes management, including the use of pioglitazone. The IDF underscores the importance of balancing the benefits of pioglitazone for </w:t>
      </w:r>
      <w:proofErr w:type="spellStart"/>
      <w:r w:rsidRPr="00AD11D9">
        <w:t>glycemic</w:t>
      </w:r>
      <w:proofErr w:type="spellEnd"/>
      <w:r w:rsidRPr="00AD11D9">
        <w:t xml:space="preserve"> control with the potential risk of bladder cancer. The guidelines encourage healthcare providers to consider patient-specific factors and alternative therapies for those at increased risk of bladder cancer.</w:t>
      </w:r>
    </w:p>
    <w:p w14:paraId="6DA8C9C8" w14:textId="77777777" w:rsidR="00AD11D9" w:rsidRPr="00AD11D9" w:rsidRDefault="00AD11D9" w:rsidP="00B52120">
      <w:pPr>
        <w:jc w:val="both"/>
        <w:rPr>
          <w:b/>
          <w:bCs/>
        </w:rPr>
      </w:pPr>
      <w:r w:rsidRPr="00AD11D9">
        <w:rPr>
          <w:b/>
          <w:bCs/>
        </w:rPr>
        <w:t>6.3 Pioglitazone Label Revisions</w:t>
      </w:r>
    </w:p>
    <w:p w14:paraId="7F51EC79" w14:textId="77777777" w:rsidR="00AD11D9" w:rsidRPr="00AD11D9" w:rsidRDefault="00AD11D9" w:rsidP="00B52120">
      <w:pPr>
        <w:jc w:val="both"/>
      </w:pPr>
      <w:r w:rsidRPr="00AD11D9">
        <w:t>Label revisions for pioglitazone reflect the evolving understanding of its safety profile, particularly concerning bladder cancer risk.</w:t>
      </w:r>
    </w:p>
    <w:p w14:paraId="04E9D0AD" w14:textId="77777777" w:rsidR="00AD11D9" w:rsidRPr="00AD11D9" w:rsidRDefault="00AD11D9" w:rsidP="00B52120">
      <w:pPr>
        <w:numPr>
          <w:ilvl w:val="0"/>
          <w:numId w:val="13"/>
        </w:numPr>
        <w:jc w:val="both"/>
      </w:pPr>
      <w:r w:rsidRPr="00AD11D9">
        <w:rPr>
          <w:b/>
          <w:bCs/>
        </w:rPr>
        <w:t xml:space="preserve">Initial </w:t>
      </w:r>
      <w:proofErr w:type="spellStart"/>
      <w:r w:rsidRPr="00AD11D9">
        <w:rPr>
          <w:b/>
          <w:bCs/>
        </w:rPr>
        <w:t>Labeling</w:t>
      </w:r>
      <w:proofErr w:type="spellEnd"/>
      <w:r w:rsidRPr="00AD11D9">
        <w:t xml:space="preserve">: When pioglitazone was first approved, its </w:t>
      </w:r>
      <w:proofErr w:type="spellStart"/>
      <w:r w:rsidRPr="00AD11D9">
        <w:t>labeling</w:t>
      </w:r>
      <w:proofErr w:type="spellEnd"/>
      <w:r w:rsidRPr="00AD11D9">
        <w:t xml:space="preserve"> included information on its therapeutic uses and potential side effects, but it did not specifically address the risk of bladder cancer. As concerns emerged, regulatory agencies required updates to reflect the potential risk.</w:t>
      </w:r>
    </w:p>
    <w:p w14:paraId="18F733EC" w14:textId="77777777" w:rsidR="00AD11D9" w:rsidRPr="00AD11D9" w:rsidRDefault="00AD11D9" w:rsidP="00B52120">
      <w:pPr>
        <w:numPr>
          <w:ilvl w:val="0"/>
          <w:numId w:val="13"/>
        </w:numPr>
        <w:jc w:val="both"/>
      </w:pPr>
      <w:r w:rsidRPr="00AD11D9">
        <w:rPr>
          <w:b/>
          <w:bCs/>
        </w:rPr>
        <w:t>Boxed Warning</w:t>
      </w:r>
      <w:r w:rsidRPr="00AD11D9">
        <w:t>: In response to accumulating evidence, both the FDA and EMA have mandated boxed warnings on the pioglitazone label. The boxed warning highlights the increased risk of bladder cancer associated with long-term use, especially at higher doses. The label advises against the use of pioglitazone in patients with a history of bladder cancer and emphasizes the need for regular monitoring.</w:t>
      </w:r>
    </w:p>
    <w:p w14:paraId="5E8FAB9D" w14:textId="77777777" w:rsidR="00AD11D9" w:rsidRPr="00AD11D9" w:rsidRDefault="00AD11D9" w:rsidP="00B52120">
      <w:pPr>
        <w:numPr>
          <w:ilvl w:val="0"/>
          <w:numId w:val="13"/>
        </w:numPr>
        <w:jc w:val="both"/>
      </w:pPr>
      <w:r w:rsidRPr="00AD11D9">
        <w:rPr>
          <w:b/>
          <w:bCs/>
        </w:rPr>
        <w:t>Label Updates</w:t>
      </w:r>
      <w:r w:rsidRPr="00AD11D9">
        <w:t>: Over time, the pioglitazone label has been updated to include additional information about the risk of bladder cancer, dosage recommendations, and patient monitoring requirements. These updates aim to ensure that healthcare providers are aware of the potential risks and can make informed decisions about the use of pioglitazone in their patients.</w:t>
      </w:r>
    </w:p>
    <w:p w14:paraId="309C892C" w14:textId="5B3547CF" w:rsidR="00AD11D9" w:rsidRPr="00AD11D9" w:rsidRDefault="00AD11D9" w:rsidP="00B52120">
      <w:pPr>
        <w:numPr>
          <w:ilvl w:val="0"/>
          <w:numId w:val="13"/>
        </w:numPr>
        <w:jc w:val="both"/>
      </w:pPr>
      <w:r w:rsidRPr="00AD11D9">
        <w:rPr>
          <w:b/>
          <w:bCs/>
        </w:rPr>
        <w:t>Patient Information</w:t>
      </w:r>
      <w:r w:rsidRPr="00AD11D9">
        <w:t>: The label also includes information for patients, urging them to report any symptoms that could suggest bladder cancer, such as blood in the urine, pain during urination, or frequent urination. This information is intended to increase patient awareness and prompt early detection of potential issues..</w:t>
      </w:r>
    </w:p>
    <w:p w14:paraId="0F432E83" w14:textId="77777777" w:rsidR="00AD11D9" w:rsidRPr="00AD11D9" w:rsidRDefault="00AD11D9" w:rsidP="00B52120">
      <w:pPr>
        <w:jc w:val="both"/>
        <w:rPr>
          <w:b/>
          <w:bCs/>
        </w:rPr>
      </w:pPr>
      <w:r w:rsidRPr="00AD11D9">
        <w:rPr>
          <w:b/>
          <w:bCs/>
        </w:rPr>
        <w:t>7. Clinical Implications and Risk Mitigation</w:t>
      </w:r>
    </w:p>
    <w:p w14:paraId="1F5C012D" w14:textId="77777777" w:rsidR="00AD11D9" w:rsidRPr="00AD11D9" w:rsidRDefault="00AD11D9" w:rsidP="00B52120">
      <w:pPr>
        <w:jc w:val="both"/>
        <w:rPr>
          <w:b/>
          <w:bCs/>
        </w:rPr>
      </w:pPr>
      <w:r w:rsidRPr="00AD11D9">
        <w:rPr>
          <w:b/>
          <w:bCs/>
        </w:rPr>
        <w:t>7.1 Alternatives to Pioglitazone</w:t>
      </w:r>
    </w:p>
    <w:p w14:paraId="27A5EDEC" w14:textId="77777777" w:rsidR="00AD11D9" w:rsidRPr="00AD11D9" w:rsidRDefault="00AD11D9" w:rsidP="00B52120">
      <w:pPr>
        <w:jc w:val="both"/>
      </w:pPr>
      <w:r w:rsidRPr="00AD11D9">
        <w:t>Given the potential risk of bladder cancer associated with pioglitazone, exploring alternative treatment options is crucial for managing type 2 diabetes while minimizing cancer risk.</w:t>
      </w:r>
    </w:p>
    <w:p w14:paraId="23A530A8" w14:textId="77777777" w:rsidR="00AD11D9" w:rsidRPr="00AD11D9" w:rsidRDefault="00AD11D9" w:rsidP="00B52120">
      <w:pPr>
        <w:numPr>
          <w:ilvl w:val="0"/>
          <w:numId w:val="14"/>
        </w:numPr>
        <w:jc w:val="both"/>
      </w:pPr>
      <w:r w:rsidRPr="00AD11D9">
        <w:rPr>
          <w:b/>
          <w:bCs/>
        </w:rPr>
        <w:t xml:space="preserve">Other Oral </w:t>
      </w:r>
      <w:proofErr w:type="spellStart"/>
      <w:r w:rsidRPr="00AD11D9">
        <w:rPr>
          <w:b/>
          <w:bCs/>
        </w:rPr>
        <w:t>Hypoglycemics</w:t>
      </w:r>
      <w:proofErr w:type="spellEnd"/>
      <w:r w:rsidRPr="00AD11D9">
        <w:t>:</w:t>
      </w:r>
    </w:p>
    <w:p w14:paraId="1348602C" w14:textId="77777777" w:rsidR="00AD11D9" w:rsidRPr="00AD11D9" w:rsidRDefault="00AD11D9" w:rsidP="00B52120">
      <w:pPr>
        <w:numPr>
          <w:ilvl w:val="1"/>
          <w:numId w:val="14"/>
        </w:numPr>
        <w:jc w:val="both"/>
      </w:pPr>
      <w:r w:rsidRPr="00AD11D9">
        <w:rPr>
          <w:b/>
          <w:bCs/>
        </w:rPr>
        <w:t>Metformin</w:t>
      </w:r>
      <w:r w:rsidRPr="00AD11D9">
        <w:t xml:space="preserve">: Metformin is typically the first-line treatment for type 2 diabetes due to its proven efficacy in lowering blood glucose levels and its </w:t>
      </w:r>
      <w:proofErr w:type="spellStart"/>
      <w:r w:rsidRPr="00AD11D9">
        <w:t>favorable</w:t>
      </w:r>
      <w:proofErr w:type="spellEnd"/>
      <w:r w:rsidRPr="00AD11D9">
        <w:t xml:space="preserve"> safety profile. Unlike pioglitazone, metformin is not associated with an increased risk of bladder cancer. It has also been shown to have potential anti-cancer effects, which adds to its benefit in patients at higher cancer risk.</w:t>
      </w:r>
    </w:p>
    <w:p w14:paraId="5A9E21DE" w14:textId="77777777" w:rsidR="00AD11D9" w:rsidRPr="00AD11D9" w:rsidRDefault="00AD11D9" w:rsidP="00B52120">
      <w:pPr>
        <w:numPr>
          <w:ilvl w:val="1"/>
          <w:numId w:val="14"/>
        </w:numPr>
        <w:jc w:val="both"/>
      </w:pPr>
      <w:r w:rsidRPr="00AD11D9">
        <w:rPr>
          <w:b/>
          <w:bCs/>
        </w:rPr>
        <w:t>Sulfonylureas</w:t>
      </w:r>
      <w:r w:rsidRPr="00AD11D9">
        <w:t xml:space="preserve">: Drugs such as glipizide, glyburide, and glimepiride stimulate insulin secretion from pancreatic beta cells. While not linked to bladder cancer, they may cause </w:t>
      </w:r>
      <w:proofErr w:type="spellStart"/>
      <w:r w:rsidRPr="00AD11D9">
        <w:t>hypoglycemia</w:t>
      </w:r>
      <w:proofErr w:type="spellEnd"/>
      <w:r w:rsidRPr="00AD11D9">
        <w:t xml:space="preserve"> and weight gain, which can be a concern in certain patient populations.</w:t>
      </w:r>
    </w:p>
    <w:p w14:paraId="7F863017" w14:textId="77777777" w:rsidR="00AD11D9" w:rsidRPr="00AD11D9" w:rsidRDefault="00AD11D9" w:rsidP="00B52120">
      <w:pPr>
        <w:numPr>
          <w:ilvl w:val="1"/>
          <w:numId w:val="14"/>
        </w:numPr>
        <w:jc w:val="both"/>
      </w:pPr>
      <w:r w:rsidRPr="00AD11D9">
        <w:rPr>
          <w:b/>
          <w:bCs/>
        </w:rPr>
        <w:lastRenderedPageBreak/>
        <w:t>DPP-4 Inhibitors</w:t>
      </w:r>
      <w:r w:rsidRPr="00AD11D9">
        <w:t xml:space="preserve">: Medications like sitagliptin and </w:t>
      </w:r>
      <w:proofErr w:type="spellStart"/>
      <w:r w:rsidRPr="00AD11D9">
        <w:t>saxagliptin</w:t>
      </w:r>
      <w:proofErr w:type="spellEnd"/>
      <w:r w:rsidRPr="00AD11D9">
        <w:t xml:space="preserve"> work by enhancing the incretin system, leading to increased insulin secretion and decreased glucagon levels. These drugs have a neutral effect on bladder cancer risk, making them a safer alternative for some patients.</w:t>
      </w:r>
    </w:p>
    <w:p w14:paraId="59EFD884" w14:textId="77777777" w:rsidR="00AD11D9" w:rsidRPr="00AD11D9" w:rsidRDefault="00AD11D9" w:rsidP="00B52120">
      <w:pPr>
        <w:numPr>
          <w:ilvl w:val="1"/>
          <w:numId w:val="14"/>
        </w:numPr>
        <w:jc w:val="both"/>
      </w:pPr>
      <w:r w:rsidRPr="00AD11D9">
        <w:rPr>
          <w:b/>
          <w:bCs/>
        </w:rPr>
        <w:t>SGLT2 Inhibitors</w:t>
      </w:r>
      <w:r w:rsidRPr="00AD11D9">
        <w:t>: Drugs such as empagliflozin and canagliflozin reduce blood glucose by promoting glucose excretion through the urine. They have been associated with other risks (e.g., genitourinary infections) but do not have a known association with bladder cancer.</w:t>
      </w:r>
    </w:p>
    <w:p w14:paraId="61522B06" w14:textId="77777777" w:rsidR="00AD11D9" w:rsidRPr="00AD11D9" w:rsidRDefault="00AD11D9" w:rsidP="00B52120">
      <w:pPr>
        <w:numPr>
          <w:ilvl w:val="0"/>
          <w:numId w:val="14"/>
        </w:numPr>
        <w:jc w:val="both"/>
      </w:pPr>
      <w:r w:rsidRPr="00AD11D9">
        <w:rPr>
          <w:b/>
          <w:bCs/>
        </w:rPr>
        <w:t>GLP-1 Receptor Agonists</w:t>
      </w:r>
      <w:r w:rsidRPr="00AD11D9">
        <w:t>: Medications such as liraglutide and exenatide mimic the incretin hormone GLP-1, which enhances insulin secretion and promotes weight loss. They are not associated with an increased risk of bladder cancer and may be considered for patients needing additional glucose control.</w:t>
      </w:r>
    </w:p>
    <w:p w14:paraId="284974AD" w14:textId="77777777" w:rsidR="00AD11D9" w:rsidRPr="00AD11D9" w:rsidRDefault="00AD11D9" w:rsidP="00B52120">
      <w:pPr>
        <w:numPr>
          <w:ilvl w:val="0"/>
          <w:numId w:val="14"/>
        </w:numPr>
        <w:jc w:val="both"/>
      </w:pPr>
      <w:r w:rsidRPr="00AD11D9">
        <w:rPr>
          <w:b/>
          <w:bCs/>
        </w:rPr>
        <w:t>Insulin Therapy</w:t>
      </w:r>
      <w:r w:rsidRPr="00AD11D9">
        <w:t xml:space="preserve">: For patients with advanced type 2 diabetes or those who cannot achieve adequate control with oral agents, insulin therapy remains an effective option. It does not have an established link to bladder cancer but requires careful management to avoid complications such as </w:t>
      </w:r>
      <w:proofErr w:type="spellStart"/>
      <w:r w:rsidRPr="00AD11D9">
        <w:t>hypoglycemia</w:t>
      </w:r>
      <w:proofErr w:type="spellEnd"/>
      <w:r w:rsidRPr="00AD11D9">
        <w:t xml:space="preserve"> and weight gain.</w:t>
      </w:r>
    </w:p>
    <w:p w14:paraId="250DCF1D" w14:textId="77777777" w:rsidR="00AD11D9" w:rsidRPr="00AD11D9" w:rsidRDefault="00AD11D9" w:rsidP="00B52120">
      <w:pPr>
        <w:jc w:val="both"/>
        <w:rPr>
          <w:b/>
          <w:bCs/>
        </w:rPr>
      </w:pPr>
      <w:r w:rsidRPr="00AD11D9">
        <w:rPr>
          <w:b/>
          <w:bCs/>
        </w:rPr>
        <w:t>7.2 Risk Assessment in Clinical Practice</w:t>
      </w:r>
    </w:p>
    <w:p w14:paraId="1DCF6334" w14:textId="77777777" w:rsidR="00AD11D9" w:rsidRPr="00AD11D9" w:rsidRDefault="00AD11D9" w:rsidP="00B52120">
      <w:pPr>
        <w:jc w:val="both"/>
      </w:pPr>
      <w:r w:rsidRPr="00AD11D9">
        <w:t>Effective risk assessment involves evaluating individual patient factors and determining their likelihood of developing bladder cancer while on pioglitazone.</w:t>
      </w:r>
    </w:p>
    <w:p w14:paraId="381D894C" w14:textId="77777777" w:rsidR="00AD11D9" w:rsidRPr="00AD11D9" w:rsidRDefault="00AD11D9" w:rsidP="00B52120">
      <w:pPr>
        <w:numPr>
          <w:ilvl w:val="0"/>
          <w:numId w:val="15"/>
        </w:numPr>
        <w:jc w:val="both"/>
      </w:pPr>
      <w:r w:rsidRPr="00AD11D9">
        <w:rPr>
          <w:b/>
          <w:bCs/>
        </w:rPr>
        <w:t>Patient History</w:t>
      </w:r>
      <w:r w:rsidRPr="00AD11D9">
        <w:t>:</w:t>
      </w:r>
    </w:p>
    <w:p w14:paraId="6029066B" w14:textId="77777777" w:rsidR="00AD11D9" w:rsidRPr="00AD11D9" w:rsidRDefault="00AD11D9" w:rsidP="00B52120">
      <w:pPr>
        <w:numPr>
          <w:ilvl w:val="1"/>
          <w:numId w:val="15"/>
        </w:numPr>
        <w:jc w:val="both"/>
      </w:pPr>
      <w:r w:rsidRPr="00AD11D9">
        <w:rPr>
          <w:b/>
          <w:bCs/>
        </w:rPr>
        <w:t>Bladder Cancer History</w:t>
      </w:r>
      <w:r w:rsidRPr="00AD11D9">
        <w:t>: Patients with a personal or family history of bladder cancer should be carefully assessed before initiating pioglitazone. The use of pioglitazone in such patients is generally contraindicated.</w:t>
      </w:r>
    </w:p>
    <w:p w14:paraId="20E82099" w14:textId="77777777" w:rsidR="00AD11D9" w:rsidRPr="00AD11D9" w:rsidRDefault="00AD11D9" w:rsidP="00B52120">
      <w:pPr>
        <w:numPr>
          <w:ilvl w:val="1"/>
          <w:numId w:val="15"/>
        </w:numPr>
        <w:jc w:val="both"/>
      </w:pPr>
      <w:r w:rsidRPr="00AD11D9">
        <w:rPr>
          <w:b/>
          <w:bCs/>
        </w:rPr>
        <w:t>Smoking and Occupational Exposure</w:t>
      </w:r>
      <w:r w:rsidRPr="00AD11D9">
        <w:t>: Assessing smoking history and exposure to occupational carcinogens is important, as these factors significantly increase bladder cancer risk. Patients with these risk factors may be less suitable for pioglitazone therapy.</w:t>
      </w:r>
    </w:p>
    <w:p w14:paraId="04374C60" w14:textId="77777777" w:rsidR="00AD11D9" w:rsidRPr="00AD11D9" w:rsidRDefault="00AD11D9" w:rsidP="00B52120">
      <w:pPr>
        <w:numPr>
          <w:ilvl w:val="0"/>
          <w:numId w:val="15"/>
        </w:numPr>
        <w:jc w:val="both"/>
      </w:pPr>
      <w:r w:rsidRPr="00AD11D9">
        <w:rPr>
          <w:b/>
          <w:bCs/>
        </w:rPr>
        <w:t>Clinical Evaluation</w:t>
      </w:r>
      <w:r w:rsidRPr="00AD11D9">
        <w:t>:</w:t>
      </w:r>
    </w:p>
    <w:p w14:paraId="5879BA97" w14:textId="77777777" w:rsidR="00AD11D9" w:rsidRPr="00AD11D9" w:rsidRDefault="00AD11D9" w:rsidP="00B52120">
      <w:pPr>
        <w:numPr>
          <w:ilvl w:val="1"/>
          <w:numId w:val="15"/>
        </w:numPr>
        <w:jc w:val="both"/>
      </w:pPr>
      <w:r w:rsidRPr="00AD11D9">
        <w:rPr>
          <w:b/>
          <w:bCs/>
        </w:rPr>
        <w:t>Bladder Cancer Screening</w:t>
      </w:r>
      <w:r w:rsidRPr="00AD11D9">
        <w:t>: Regular screening for bladder cancer may be recommended for patients on long-term pioglitazone therapy, particularly those with additional risk factors. Screening methods may include urinalysis, cystoscopy, or imaging studies, depending on individual risk.</w:t>
      </w:r>
    </w:p>
    <w:p w14:paraId="50F82A24" w14:textId="77777777" w:rsidR="00AD11D9" w:rsidRPr="00AD11D9" w:rsidRDefault="00AD11D9" w:rsidP="00B52120">
      <w:pPr>
        <w:numPr>
          <w:ilvl w:val="1"/>
          <w:numId w:val="15"/>
        </w:numPr>
        <w:jc w:val="both"/>
      </w:pPr>
      <w:r w:rsidRPr="00AD11D9">
        <w:rPr>
          <w:b/>
          <w:bCs/>
        </w:rPr>
        <w:t>Assessment of Alternatives</w:t>
      </w:r>
      <w:r w:rsidRPr="00AD11D9">
        <w:t>: Regular reassessment of treatment efficacy and safety should guide decisions on whether to continue, adjust, or switch from pioglitazone to alternative therapies based on the patient's overall risk profile.</w:t>
      </w:r>
    </w:p>
    <w:p w14:paraId="5B758782" w14:textId="77777777" w:rsidR="00AD11D9" w:rsidRPr="00AD11D9" w:rsidRDefault="00AD11D9" w:rsidP="00B52120">
      <w:pPr>
        <w:numPr>
          <w:ilvl w:val="0"/>
          <w:numId w:val="15"/>
        </w:numPr>
        <w:jc w:val="both"/>
      </w:pPr>
      <w:r w:rsidRPr="00AD11D9">
        <w:rPr>
          <w:b/>
          <w:bCs/>
        </w:rPr>
        <w:t>Patient Education</w:t>
      </w:r>
      <w:r w:rsidRPr="00AD11D9">
        <w:t>:</w:t>
      </w:r>
    </w:p>
    <w:p w14:paraId="46DC7DAA" w14:textId="77777777" w:rsidR="00AD11D9" w:rsidRPr="00AD11D9" w:rsidRDefault="00AD11D9" w:rsidP="00B52120">
      <w:pPr>
        <w:numPr>
          <w:ilvl w:val="1"/>
          <w:numId w:val="15"/>
        </w:numPr>
        <w:jc w:val="both"/>
      </w:pPr>
      <w:r w:rsidRPr="00AD11D9">
        <w:rPr>
          <w:b/>
          <w:bCs/>
        </w:rPr>
        <w:t>Informed Decision-Making</w:t>
      </w:r>
      <w:r w:rsidRPr="00AD11D9">
        <w:t>: Patients should be informed about the potential risks associated with pioglitazone, including bladder cancer, and involved in shared decision-making. Providing information on symptoms to watch for and the importance of regular follow-up can help in early detection and management.</w:t>
      </w:r>
    </w:p>
    <w:p w14:paraId="13CDAAC4" w14:textId="77777777" w:rsidR="00AD11D9" w:rsidRPr="00AD11D9" w:rsidRDefault="00AD11D9" w:rsidP="00B52120">
      <w:pPr>
        <w:jc w:val="both"/>
        <w:rPr>
          <w:b/>
          <w:bCs/>
        </w:rPr>
      </w:pPr>
      <w:r w:rsidRPr="00AD11D9">
        <w:rPr>
          <w:b/>
          <w:bCs/>
        </w:rPr>
        <w:lastRenderedPageBreak/>
        <w:t>7.3 Patient Monitoring and Follow-up</w:t>
      </w:r>
    </w:p>
    <w:p w14:paraId="541CEA08" w14:textId="77777777" w:rsidR="00AD11D9" w:rsidRPr="00AD11D9" w:rsidRDefault="00AD11D9" w:rsidP="00B52120">
      <w:pPr>
        <w:jc w:val="both"/>
      </w:pPr>
      <w:r w:rsidRPr="00AD11D9">
        <w:t>Ongoing monitoring and follow-up are essential to ensure patient safety and effectively manage potential risks associated with pioglitazone therapy.</w:t>
      </w:r>
    </w:p>
    <w:p w14:paraId="744B2406" w14:textId="77777777" w:rsidR="00AD11D9" w:rsidRPr="00AD11D9" w:rsidRDefault="00AD11D9" w:rsidP="00B52120">
      <w:pPr>
        <w:numPr>
          <w:ilvl w:val="0"/>
          <w:numId w:val="16"/>
        </w:numPr>
        <w:jc w:val="both"/>
      </w:pPr>
      <w:r w:rsidRPr="00AD11D9">
        <w:rPr>
          <w:b/>
          <w:bCs/>
        </w:rPr>
        <w:t>Regular Monitoring</w:t>
      </w:r>
      <w:r w:rsidRPr="00AD11D9">
        <w:t>:</w:t>
      </w:r>
    </w:p>
    <w:p w14:paraId="01B1E256" w14:textId="77777777" w:rsidR="00AD11D9" w:rsidRPr="00AD11D9" w:rsidRDefault="00AD11D9" w:rsidP="00B52120">
      <w:pPr>
        <w:numPr>
          <w:ilvl w:val="1"/>
          <w:numId w:val="16"/>
        </w:numPr>
        <w:jc w:val="both"/>
      </w:pPr>
      <w:r w:rsidRPr="00AD11D9">
        <w:rPr>
          <w:b/>
          <w:bCs/>
        </w:rPr>
        <w:t>Bladder Health</w:t>
      </w:r>
      <w:r w:rsidRPr="00AD11D9">
        <w:t xml:space="preserve">: Regular follow-up visits should include monitoring for signs and symptoms of bladder cancer, such as </w:t>
      </w:r>
      <w:proofErr w:type="spellStart"/>
      <w:r w:rsidRPr="00AD11D9">
        <w:t>hematuria</w:t>
      </w:r>
      <w:proofErr w:type="spellEnd"/>
      <w:r w:rsidRPr="00AD11D9">
        <w:t xml:space="preserve"> (blood in urine), dysuria (painful urination), or urinary frequency. Early detection of these symptoms allows for prompt evaluation and intervention.</w:t>
      </w:r>
    </w:p>
    <w:p w14:paraId="20449CF0" w14:textId="77777777" w:rsidR="00AD11D9" w:rsidRPr="00AD11D9" w:rsidRDefault="00AD11D9" w:rsidP="00B52120">
      <w:pPr>
        <w:numPr>
          <w:ilvl w:val="1"/>
          <w:numId w:val="16"/>
        </w:numPr>
        <w:jc w:val="both"/>
      </w:pPr>
      <w:r w:rsidRPr="00AD11D9">
        <w:rPr>
          <w:b/>
          <w:bCs/>
        </w:rPr>
        <w:t>Adverse Effects</w:t>
      </w:r>
      <w:r w:rsidRPr="00AD11D9">
        <w:t xml:space="preserve">: Monitor for other potential adverse effects of pioglitazone, such as weight gain, </w:t>
      </w:r>
      <w:proofErr w:type="spellStart"/>
      <w:r w:rsidRPr="00AD11D9">
        <w:t>edema</w:t>
      </w:r>
      <w:proofErr w:type="spellEnd"/>
      <w:r w:rsidRPr="00AD11D9">
        <w:t>, or heart failure, which may also impact patient management.</w:t>
      </w:r>
    </w:p>
    <w:p w14:paraId="034576AA" w14:textId="77777777" w:rsidR="00AD11D9" w:rsidRPr="00AD11D9" w:rsidRDefault="00AD11D9" w:rsidP="00B52120">
      <w:pPr>
        <w:numPr>
          <w:ilvl w:val="0"/>
          <w:numId w:val="16"/>
        </w:numPr>
        <w:jc w:val="both"/>
      </w:pPr>
      <w:r w:rsidRPr="00AD11D9">
        <w:rPr>
          <w:b/>
          <w:bCs/>
        </w:rPr>
        <w:t>Long-Term Follow-Up</w:t>
      </w:r>
      <w:r w:rsidRPr="00AD11D9">
        <w:t>:</w:t>
      </w:r>
    </w:p>
    <w:p w14:paraId="1AE60937" w14:textId="77777777" w:rsidR="00AD11D9" w:rsidRPr="00AD11D9" w:rsidRDefault="00AD11D9" w:rsidP="00B52120">
      <w:pPr>
        <w:numPr>
          <w:ilvl w:val="1"/>
          <w:numId w:val="16"/>
        </w:numPr>
        <w:jc w:val="both"/>
      </w:pPr>
      <w:r w:rsidRPr="00AD11D9">
        <w:rPr>
          <w:b/>
          <w:bCs/>
        </w:rPr>
        <w:t>Periodic Assessments</w:t>
      </w:r>
      <w:r w:rsidRPr="00AD11D9">
        <w:t>: Patients on long-term pioglitazone therapy should undergo periodic assessments to evaluate the ongoing need for the medication and its safety profile. This includes assessing the benefits of continued use against the risk of bladder cancer and other adverse effects.</w:t>
      </w:r>
    </w:p>
    <w:p w14:paraId="05FC31F7" w14:textId="77777777" w:rsidR="00AD11D9" w:rsidRPr="00AD11D9" w:rsidRDefault="00AD11D9" w:rsidP="00B52120">
      <w:pPr>
        <w:numPr>
          <w:ilvl w:val="1"/>
          <w:numId w:val="16"/>
        </w:numPr>
        <w:jc w:val="both"/>
      </w:pPr>
      <w:r w:rsidRPr="00AD11D9">
        <w:rPr>
          <w:b/>
          <w:bCs/>
        </w:rPr>
        <w:t>Cancer Surveillance</w:t>
      </w:r>
      <w:r w:rsidRPr="00AD11D9">
        <w:t>: For patients with additional risk factors, consider more intensive cancer surveillance strategies. This may involve more frequent urinalysis or imaging studies to detect any early signs of bladder cancer.</w:t>
      </w:r>
    </w:p>
    <w:p w14:paraId="371596F0" w14:textId="77777777" w:rsidR="00AD11D9" w:rsidRPr="00AD11D9" w:rsidRDefault="00AD11D9" w:rsidP="00B52120">
      <w:pPr>
        <w:numPr>
          <w:ilvl w:val="0"/>
          <w:numId w:val="16"/>
        </w:numPr>
        <w:jc w:val="both"/>
      </w:pPr>
      <w:r w:rsidRPr="00AD11D9">
        <w:rPr>
          <w:b/>
          <w:bCs/>
        </w:rPr>
        <w:t>Adjusting Treatment Plans</w:t>
      </w:r>
      <w:r w:rsidRPr="00AD11D9">
        <w:t>:</w:t>
      </w:r>
    </w:p>
    <w:p w14:paraId="524C5698" w14:textId="77777777" w:rsidR="00AD11D9" w:rsidRPr="00AD11D9" w:rsidRDefault="00AD11D9" w:rsidP="00B52120">
      <w:pPr>
        <w:numPr>
          <w:ilvl w:val="1"/>
          <w:numId w:val="16"/>
        </w:numPr>
        <w:jc w:val="both"/>
      </w:pPr>
      <w:r w:rsidRPr="00AD11D9">
        <w:rPr>
          <w:b/>
          <w:bCs/>
        </w:rPr>
        <w:t>Alternative Therapies</w:t>
      </w:r>
      <w:r w:rsidRPr="00AD11D9">
        <w:t>: Based on monitoring results and patient preferences, consider switching to alternative therapies if the risks associated with pioglitazone outweigh the benefits. The decision to switch should be guided by the patient’s overall health status, diabetes control, and risk factors.</w:t>
      </w:r>
    </w:p>
    <w:p w14:paraId="0B91BF1D" w14:textId="77777777" w:rsidR="00AD11D9" w:rsidRPr="00AD11D9" w:rsidRDefault="00AD11D9" w:rsidP="00B52120">
      <w:pPr>
        <w:jc w:val="both"/>
        <w:rPr>
          <w:b/>
          <w:bCs/>
        </w:rPr>
      </w:pPr>
      <w:r w:rsidRPr="00AD11D9">
        <w:rPr>
          <w:b/>
          <w:bCs/>
        </w:rPr>
        <w:t>8. Controversies and Debate</w:t>
      </w:r>
    </w:p>
    <w:p w14:paraId="715D7754" w14:textId="77777777" w:rsidR="00AD11D9" w:rsidRPr="00AD11D9" w:rsidRDefault="00AD11D9" w:rsidP="00B52120">
      <w:pPr>
        <w:jc w:val="both"/>
        <w:rPr>
          <w:b/>
          <w:bCs/>
        </w:rPr>
      </w:pPr>
      <w:r w:rsidRPr="00AD11D9">
        <w:rPr>
          <w:b/>
          <w:bCs/>
        </w:rPr>
        <w:t>8.1 Conflicting Study Results</w:t>
      </w:r>
    </w:p>
    <w:p w14:paraId="29B7C067" w14:textId="77777777" w:rsidR="00AD11D9" w:rsidRPr="00AD11D9" w:rsidRDefault="00AD11D9" w:rsidP="00B52120">
      <w:pPr>
        <w:jc w:val="both"/>
      </w:pPr>
      <w:r w:rsidRPr="00AD11D9">
        <w:t xml:space="preserve">Conflicting results from various studies have </w:t>
      </w:r>
      <w:proofErr w:type="spellStart"/>
      <w:r w:rsidRPr="00AD11D9">
        <w:t>fueled</w:t>
      </w:r>
      <w:proofErr w:type="spellEnd"/>
      <w:r w:rsidRPr="00AD11D9">
        <w:t xml:space="preserve"> debate over the association between pioglitazone and bladder cancer, leading to differing opinions on the extent of the risk and its clinical significance.</w:t>
      </w:r>
    </w:p>
    <w:p w14:paraId="095CF388" w14:textId="77777777" w:rsidR="00AD11D9" w:rsidRPr="00AD11D9" w:rsidRDefault="00AD11D9" w:rsidP="00B52120">
      <w:pPr>
        <w:numPr>
          <w:ilvl w:val="0"/>
          <w:numId w:val="17"/>
        </w:numPr>
        <w:jc w:val="both"/>
      </w:pPr>
      <w:r w:rsidRPr="00AD11D9">
        <w:rPr>
          <w:b/>
          <w:bCs/>
        </w:rPr>
        <w:t>Epidemiological Studies</w:t>
      </w:r>
      <w:r w:rsidRPr="00AD11D9">
        <w:t>:</w:t>
      </w:r>
    </w:p>
    <w:p w14:paraId="4DF76027" w14:textId="77777777" w:rsidR="00AD11D9" w:rsidRPr="00AD11D9" w:rsidRDefault="00AD11D9" w:rsidP="00B52120">
      <w:pPr>
        <w:numPr>
          <w:ilvl w:val="1"/>
          <w:numId w:val="17"/>
        </w:numPr>
        <w:jc w:val="both"/>
      </w:pPr>
      <w:r w:rsidRPr="00AD11D9">
        <w:rPr>
          <w:b/>
          <w:bCs/>
        </w:rPr>
        <w:t>Studies Supporting an Association</w:t>
      </w:r>
      <w:r w:rsidRPr="00AD11D9">
        <w:t xml:space="preserve">: Several epidemiological studies have reported an increased risk of bladder cancer associated with pioglitazone use. For example, the </w:t>
      </w:r>
      <w:proofErr w:type="spellStart"/>
      <w:r w:rsidRPr="00AD11D9">
        <w:t>PROactive</w:t>
      </w:r>
      <w:proofErr w:type="spellEnd"/>
      <w:r w:rsidRPr="00AD11D9">
        <w:t xml:space="preserve"> study and various cohort and case-control studies have suggested a potential link, particularly with long-term use and higher doses of pioglitazone. These studies have highlighted a dose-response relationship, where the risk appears to increase with cumulative exposure.</w:t>
      </w:r>
    </w:p>
    <w:p w14:paraId="26309767" w14:textId="77777777" w:rsidR="00AD11D9" w:rsidRPr="00AD11D9" w:rsidRDefault="00AD11D9" w:rsidP="00B52120">
      <w:pPr>
        <w:numPr>
          <w:ilvl w:val="1"/>
          <w:numId w:val="17"/>
        </w:numPr>
        <w:jc w:val="both"/>
      </w:pPr>
      <w:r w:rsidRPr="00AD11D9">
        <w:rPr>
          <w:b/>
          <w:bCs/>
        </w:rPr>
        <w:t>Studies Questioning the Association</w:t>
      </w:r>
      <w:r w:rsidRPr="00AD11D9">
        <w:t xml:space="preserve">: Conversely, other studies have not found a significant association between pioglitazone and bladder cancer. Some research suggests that the observed risk might be attributable to confounding factors such as underlying diabetes, smoking, or other pre-existing conditions rather than pioglitazone itself. Additionally, some meta-analyses have reported that the increased </w:t>
      </w:r>
      <w:r w:rsidRPr="00AD11D9">
        <w:lastRenderedPageBreak/>
        <w:t>risk of bladder cancer is relatively small and may not be clinically significant for most patients.</w:t>
      </w:r>
    </w:p>
    <w:p w14:paraId="312D1F17" w14:textId="77777777" w:rsidR="00AD11D9" w:rsidRPr="00AD11D9" w:rsidRDefault="00AD11D9" w:rsidP="00B52120">
      <w:pPr>
        <w:numPr>
          <w:ilvl w:val="0"/>
          <w:numId w:val="17"/>
        </w:numPr>
        <w:jc w:val="both"/>
      </w:pPr>
      <w:r w:rsidRPr="00AD11D9">
        <w:rPr>
          <w:b/>
          <w:bCs/>
        </w:rPr>
        <w:t>Differences in Methodology</w:t>
      </w:r>
      <w:r w:rsidRPr="00AD11D9">
        <w:t>: Variations in study design, methodology, and population characteristics contribute to conflicting results. Differences in the duration of follow-up, dosage of pioglitazone, and control for confounding factors can all affect study outcomes. The heterogeneity among studies makes it challenging to draw definitive conclusions about the risk.</w:t>
      </w:r>
    </w:p>
    <w:p w14:paraId="2B0E7293" w14:textId="77777777" w:rsidR="00AD11D9" w:rsidRPr="00AD11D9" w:rsidRDefault="00AD11D9" w:rsidP="00B52120">
      <w:pPr>
        <w:numPr>
          <w:ilvl w:val="0"/>
          <w:numId w:val="17"/>
        </w:numPr>
        <w:jc w:val="both"/>
      </w:pPr>
      <w:r w:rsidRPr="00AD11D9">
        <w:rPr>
          <w:b/>
          <w:bCs/>
        </w:rPr>
        <w:t>Impact on Clinical Practice</w:t>
      </w:r>
      <w:r w:rsidRPr="00AD11D9">
        <w:t xml:space="preserve">: The conflicting results have led to debates within the medical community about the safety of pioglitazone. While some healthcare providers may choose to continue using pioglitazone based on its benefits for </w:t>
      </w:r>
      <w:proofErr w:type="spellStart"/>
      <w:r w:rsidRPr="00AD11D9">
        <w:t>glycemic</w:t>
      </w:r>
      <w:proofErr w:type="spellEnd"/>
      <w:r w:rsidRPr="00AD11D9">
        <w:t xml:space="preserve"> control, others may opt for alternative therapies due to the potential cancer risk. The lack of consensus emphasizes the need for further research to clarify the association.</w:t>
      </w:r>
    </w:p>
    <w:p w14:paraId="644E343D" w14:textId="77777777" w:rsidR="00AD11D9" w:rsidRPr="00AD11D9" w:rsidRDefault="00AD11D9" w:rsidP="00B52120">
      <w:pPr>
        <w:jc w:val="both"/>
        <w:rPr>
          <w:b/>
          <w:bCs/>
        </w:rPr>
      </w:pPr>
      <w:r w:rsidRPr="00AD11D9">
        <w:rPr>
          <w:b/>
          <w:bCs/>
        </w:rPr>
        <w:t>8.2 Industry vs. Independent Research</w:t>
      </w:r>
    </w:p>
    <w:p w14:paraId="2736E2E6" w14:textId="77777777" w:rsidR="00AD11D9" w:rsidRPr="00AD11D9" w:rsidRDefault="00AD11D9" w:rsidP="00B52120">
      <w:pPr>
        <w:jc w:val="both"/>
      </w:pPr>
      <w:r w:rsidRPr="00AD11D9">
        <w:t>The role of industry-sponsored research versus independent research has been a point of contention in the debate over pioglitazone and bladder cancer.</w:t>
      </w:r>
    </w:p>
    <w:p w14:paraId="7FAB6A1E" w14:textId="77777777" w:rsidR="00AD11D9" w:rsidRPr="00AD11D9" w:rsidRDefault="00AD11D9" w:rsidP="00B52120">
      <w:pPr>
        <w:numPr>
          <w:ilvl w:val="0"/>
          <w:numId w:val="18"/>
        </w:numPr>
        <w:jc w:val="both"/>
      </w:pPr>
      <w:r w:rsidRPr="00AD11D9">
        <w:rPr>
          <w:b/>
          <w:bCs/>
        </w:rPr>
        <w:t>Industry-Sponsored Research</w:t>
      </w:r>
      <w:r w:rsidRPr="00AD11D9">
        <w:t>:</w:t>
      </w:r>
    </w:p>
    <w:p w14:paraId="6E12F58F" w14:textId="77777777" w:rsidR="00AD11D9" w:rsidRPr="00AD11D9" w:rsidRDefault="00AD11D9" w:rsidP="00B52120">
      <w:pPr>
        <w:numPr>
          <w:ilvl w:val="1"/>
          <w:numId w:val="18"/>
        </w:numPr>
        <w:jc w:val="both"/>
      </w:pPr>
      <w:r w:rsidRPr="00AD11D9">
        <w:rPr>
          <w:b/>
          <w:bCs/>
        </w:rPr>
        <w:t>Potential Bias</w:t>
      </w:r>
      <w:r w:rsidRPr="00AD11D9">
        <w:t>: Industry-sponsored studies have sometimes been criticized for potential bias. Pharmaceutical companies may have vested interests in minimizing the appearance of adverse effects associated with their products. Critics argue that industry-sponsored research might downplay or underreport risks to protect the commercial interests of the drug manufacturer.</w:t>
      </w:r>
    </w:p>
    <w:p w14:paraId="6863681B" w14:textId="77777777" w:rsidR="00AD11D9" w:rsidRPr="00AD11D9" w:rsidRDefault="00AD11D9" w:rsidP="00B52120">
      <w:pPr>
        <w:numPr>
          <w:ilvl w:val="1"/>
          <w:numId w:val="18"/>
        </w:numPr>
        <w:jc w:val="both"/>
      </w:pPr>
      <w:r w:rsidRPr="00AD11D9">
        <w:rPr>
          <w:b/>
          <w:bCs/>
        </w:rPr>
        <w:t>Data Transparency</w:t>
      </w:r>
      <w:r w:rsidRPr="00AD11D9">
        <w:t>: Concerns about data transparency and selective reporting of study results have been raised. There have been instances where negative or inconclusive findings were not published, leading to an incomplete picture of the risk associated with pioglitazone.</w:t>
      </w:r>
    </w:p>
    <w:p w14:paraId="489DC912" w14:textId="77777777" w:rsidR="00AD11D9" w:rsidRPr="00AD11D9" w:rsidRDefault="00AD11D9" w:rsidP="00B52120">
      <w:pPr>
        <w:numPr>
          <w:ilvl w:val="0"/>
          <w:numId w:val="18"/>
        </w:numPr>
        <w:jc w:val="both"/>
      </w:pPr>
      <w:r w:rsidRPr="00AD11D9">
        <w:rPr>
          <w:b/>
          <w:bCs/>
        </w:rPr>
        <w:t>Independent Research</w:t>
      </w:r>
      <w:r w:rsidRPr="00AD11D9">
        <w:t>:</w:t>
      </w:r>
    </w:p>
    <w:p w14:paraId="68379BA4" w14:textId="77777777" w:rsidR="00AD11D9" w:rsidRPr="00AD11D9" w:rsidRDefault="00AD11D9" w:rsidP="00B52120">
      <w:pPr>
        <w:numPr>
          <w:ilvl w:val="1"/>
          <w:numId w:val="18"/>
        </w:numPr>
        <w:jc w:val="both"/>
      </w:pPr>
      <w:r w:rsidRPr="00AD11D9">
        <w:rPr>
          <w:b/>
          <w:bCs/>
        </w:rPr>
        <w:t>Objective Analysis</w:t>
      </w:r>
      <w:r w:rsidRPr="00AD11D9">
        <w:t>: Independent research conducted by academic institutions, government agencies, and non-profit organizations is often viewed as more objective and less influenced by commercial interests. These studies are more likely to provide a balanced view of the risks and benefits of pioglitazone.</w:t>
      </w:r>
    </w:p>
    <w:p w14:paraId="385AD631" w14:textId="77777777" w:rsidR="00AD11D9" w:rsidRPr="00AD11D9" w:rsidRDefault="00AD11D9" w:rsidP="00B52120">
      <w:pPr>
        <w:numPr>
          <w:ilvl w:val="1"/>
          <w:numId w:val="18"/>
        </w:numPr>
        <w:jc w:val="both"/>
      </w:pPr>
      <w:r w:rsidRPr="00AD11D9">
        <w:rPr>
          <w:b/>
          <w:bCs/>
        </w:rPr>
        <w:t>Contradictory Findings</w:t>
      </w:r>
      <w:r w:rsidRPr="00AD11D9">
        <w:t>: Independent studies have sometimes produced findings that conflict with industry-sponsored research. For instance, independent analyses have highlighted potential risks of bladder cancer that were not fully addressed in earlier industry-sponsored trials. The differences in findings underscore the importance of having diverse sources of research to ensure a comprehensive understanding of drug safety.</w:t>
      </w:r>
    </w:p>
    <w:p w14:paraId="0FD7FA0F" w14:textId="77777777" w:rsidR="00AD11D9" w:rsidRPr="00AD11D9" w:rsidRDefault="00AD11D9" w:rsidP="00B52120">
      <w:pPr>
        <w:numPr>
          <w:ilvl w:val="0"/>
          <w:numId w:val="18"/>
        </w:numPr>
        <w:jc w:val="both"/>
      </w:pPr>
      <w:r w:rsidRPr="00AD11D9">
        <w:rPr>
          <w:b/>
          <w:bCs/>
        </w:rPr>
        <w:t>Regulatory Oversight</w:t>
      </w:r>
      <w:r w:rsidRPr="00AD11D9">
        <w:t>: Regulatory agencies such as the FDA and EMA play a crucial role in evaluating both industry-sponsored and independent research. Their assessments help guide clinical guidelines and recommendations. However, the regulatory process can be influenced by the available evidence, which may vary in quality and comprehensiveness.</w:t>
      </w:r>
    </w:p>
    <w:p w14:paraId="6BA0C645" w14:textId="77777777" w:rsidR="00AD11D9" w:rsidRPr="00AD11D9" w:rsidRDefault="00AD11D9" w:rsidP="00B52120">
      <w:pPr>
        <w:jc w:val="both"/>
        <w:rPr>
          <w:b/>
          <w:bCs/>
        </w:rPr>
      </w:pPr>
      <w:r w:rsidRPr="00AD11D9">
        <w:rPr>
          <w:b/>
          <w:bCs/>
        </w:rPr>
        <w:t>8.3 Legal and Ethical Considerations</w:t>
      </w:r>
    </w:p>
    <w:p w14:paraId="11E34772" w14:textId="77777777" w:rsidR="00AD11D9" w:rsidRPr="00AD11D9" w:rsidRDefault="00AD11D9" w:rsidP="00B52120">
      <w:pPr>
        <w:jc w:val="both"/>
      </w:pPr>
      <w:r w:rsidRPr="00AD11D9">
        <w:lastRenderedPageBreak/>
        <w:t>The debate over pioglitazone and bladder cancer also involves legal and ethical considerations, particularly regarding patient safety, informed consent, and corporate responsibility.</w:t>
      </w:r>
    </w:p>
    <w:p w14:paraId="573895FD" w14:textId="77777777" w:rsidR="00AD11D9" w:rsidRPr="00AD11D9" w:rsidRDefault="00AD11D9" w:rsidP="00B52120">
      <w:pPr>
        <w:numPr>
          <w:ilvl w:val="0"/>
          <w:numId w:val="19"/>
        </w:numPr>
        <w:jc w:val="both"/>
      </w:pPr>
      <w:r w:rsidRPr="00AD11D9">
        <w:rPr>
          <w:b/>
          <w:bCs/>
        </w:rPr>
        <w:t>Legal Actions</w:t>
      </w:r>
      <w:r w:rsidRPr="00AD11D9">
        <w:t>:</w:t>
      </w:r>
    </w:p>
    <w:p w14:paraId="30DEDFE1" w14:textId="77777777" w:rsidR="00AD11D9" w:rsidRPr="00AD11D9" w:rsidRDefault="00AD11D9" w:rsidP="00B52120">
      <w:pPr>
        <w:numPr>
          <w:ilvl w:val="1"/>
          <w:numId w:val="19"/>
        </w:numPr>
        <w:jc w:val="both"/>
      </w:pPr>
      <w:r w:rsidRPr="00AD11D9">
        <w:rPr>
          <w:b/>
          <w:bCs/>
        </w:rPr>
        <w:t>Litigation</w:t>
      </w:r>
      <w:r w:rsidRPr="00AD11D9">
        <w:t xml:space="preserve">: There have been legal cases against pharmaceutical companies related to the safety of pioglitazone. Lawsuits have been filed by patients who developed bladder cancer and allege that the risks were not adequately disclosed. These cases often involve claims of negligence, failure to warn, and inadequate </w:t>
      </w:r>
      <w:proofErr w:type="spellStart"/>
      <w:r w:rsidRPr="00AD11D9">
        <w:t>labeling</w:t>
      </w:r>
      <w:proofErr w:type="spellEnd"/>
      <w:r w:rsidRPr="00AD11D9">
        <w:t>. The outcomes of such lawsuits can impact the perception of drug safety and influence regulatory and clinical practices.</w:t>
      </w:r>
    </w:p>
    <w:p w14:paraId="713F93D3" w14:textId="77777777" w:rsidR="00AD11D9" w:rsidRPr="00AD11D9" w:rsidRDefault="00AD11D9" w:rsidP="00B52120">
      <w:pPr>
        <w:numPr>
          <w:ilvl w:val="1"/>
          <w:numId w:val="19"/>
        </w:numPr>
        <w:jc w:val="both"/>
      </w:pPr>
      <w:r w:rsidRPr="00AD11D9">
        <w:rPr>
          <w:b/>
          <w:bCs/>
        </w:rPr>
        <w:t>Regulatory Fines and Settlements</w:t>
      </w:r>
      <w:r w:rsidRPr="00AD11D9">
        <w:t>: Pharmaceutical companies may face fines or settlements as a result of legal actions. These financial penalties are intended to compensate affected patients and encourage better safety practices. However, they can also have broader implications for the drug industry, influencing how drugs are marketed and monitored.</w:t>
      </w:r>
    </w:p>
    <w:p w14:paraId="2F1704BB" w14:textId="77777777" w:rsidR="00AD11D9" w:rsidRPr="00AD11D9" w:rsidRDefault="00AD11D9" w:rsidP="00B52120">
      <w:pPr>
        <w:numPr>
          <w:ilvl w:val="0"/>
          <w:numId w:val="19"/>
        </w:numPr>
        <w:jc w:val="both"/>
      </w:pPr>
      <w:r w:rsidRPr="00AD11D9">
        <w:rPr>
          <w:b/>
          <w:bCs/>
        </w:rPr>
        <w:t>Ethical Considerations</w:t>
      </w:r>
      <w:r w:rsidRPr="00AD11D9">
        <w:t>:</w:t>
      </w:r>
    </w:p>
    <w:p w14:paraId="211D562C" w14:textId="77777777" w:rsidR="00AD11D9" w:rsidRPr="00AD11D9" w:rsidRDefault="00AD11D9" w:rsidP="00B52120">
      <w:pPr>
        <w:numPr>
          <w:ilvl w:val="1"/>
          <w:numId w:val="19"/>
        </w:numPr>
        <w:jc w:val="both"/>
      </w:pPr>
      <w:r w:rsidRPr="00AD11D9">
        <w:rPr>
          <w:b/>
          <w:bCs/>
        </w:rPr>
        <w:t>Informed Consent</w:t>
      </w:r>
      <w:r w:rsidRPr="00AD11D9">
        <w:t>: Ethical issues arise regarding informed consent and patient autonomy. Patients have the right to be fully informed about the potential risks associated with their medications, including any risks of bladder cancer. Ensuring that patients are aware of the potential risks and benefits of pioglitazone is essential for ethical clinical practice.</w:t>
      </w:r>
    </w:p>
    <w:p w14:paraId="7D7FA076" w14:textId="77777777" w:rsidR="00AD11D9" w:rsidRPr="00AD11D9" w:rsidRDefault="00AD11D9" w:rsidP="00B52120">
      <w:pPr>
        <w:numPr>
          <w:ilvl w:val="1"/>
          <w:numId w:val="19"/>
        </w:numPr>
        <w:jc w:val="both"/>
      </w:pPr>
      <w:r w:rsidRPr="00AD11D9">
        <w:rPr>
          <w:b/>
          <w:bCs/>
        </w:rPr>
        <w:t>Risk Communication</w:t>
      </w:r>
      <w:r w:rsidRPr="00AD11D9">
        <w:t>: Effective communication of risk is a key ethical responsibility for healthcare providers and pharmaceutical companies. Transparent communication helps patients make informed decisions about their treatment options and ensures that they are aware of any potential long-term risks.</w:t>
      </w:r>
    </w:p>
    <w:p w14:paraId="243BBDD7" w14:textId="77777777" w:rsidR="00AD11D9" w:rsidRPr="00AD11D9" w:rsidRDefault="00AD11D9" w:rsidP="00B52120">
      <w:pPr>
        <w:numPr>
          <w:ilvl w:val="0"/>
          <w:numId w:val="19"/>
        </w:numPr>
        <w:jc w:val="both"/>
      </w:pPr>
      <w:r w:rsidRPr="00AD11D9">
        <w:rPr>
          <w:b/>
          <w:bCs/>
        </w:rPr>
        <w:t>Corporate Responsibility</w:t>
      </w:r>
      <w:r w:rsidRPr="00AD11D9">
        <w:t>: Pharmaceutical companies have an ethical obligation to prioritize patient safety and disclose all relevant information about their products. This includes providing accurate information on potential risks and implementing strategies to mitigate those risks. Ethical considerations also involve conducting robust safety studies and ensuring that any emerging risks are promptly addressed.</w:t>
      </w:r>
    </w:p>
    <w:p w14:paraId="7BBAA11E" w14:textId="77777777" w:rsidR="00AD11D9" w:rsidRPr="00AD11D9" w:rsidRDefault="00AD11D9" w:rsidP="00B52120">
      <w:pPr>
        <w:jc w:val="both"/>
        <w:rPr>
          <w:b/>
          <w:bCs/>
        </w:rPr>
      </w:pPr>
      <w:r w:rsidRPr="00AD11D9">
        <w:rPr>
          <w:b/>
          <w:bCs/>
        </w:rPr>
        <w:t>9. Future Directions and Research Gaps</w:t>
      </w:r>
    </w:p>
    <w:p w14:paraId="41C3FBA7" w14:textId="77777777" w:rsidR="00AD11D9" w:rsidRPr="00AD11D9" w:rsidRDefault="00AD11D9" w:rsidP="00B52120">
      <w:pPr>
        <w:jc w:val="both"/>
        <w:rPr>
          <w:b/>
          <w:bCs/>
        </w:rPr>
      </w:pPr>
      <w:r w:rsidRPr="00AD11D9">
        <w:rPr>
          <w:b/>
          <w:bCs/>
        </w:rPr>
        <w:t>9.1 Ongoing and Upcoming Clinical Trials</w:t>
      </w:r>
    </w:p>
    <w:p w14:paraId="169A03F9" w14:textId="77777777" w:rsidR="00AD11D9" w:rsidRPr="00AD11D9" w:rsidRDefault="00AD11D9" w:rsidP="00B52120">
      <w:pPr>
        <w:jc w:val="both"/>
      </w:pPr>
      <w:r w:rsidRPr="00AD11D9">
        <w:t>Ongoing and upcoming clinical trials are crucial for further understanding the relationship between pioglitazone and bladder cancer, addressing existing uncertainties, and improving patient safety.</w:t>
      </w:r>
    </w:p>
    <w:p w14:paraId="2D9713D1" w14:textId="77777777" w:rsidR="00AD11D9" w:rsidRPr="00AD11D9" w:rsidRDefault="00AD11D9" w:rsidP="00B52120">
      <w:pPr>
        <w:numPr>
          <w:ilvl w:val="0"/>
          <w:numId w:val="20"/>
        </w:numPr>
        <w:jc w:val="both"/>
      </w:pPr>
      <w:r w:rsidRPr="00AD11D9">
        <w:rPr>
          <w:b/>
          <w:bCs/>
        </w:rPr>
        <w:t>Trial Objectives</w:t>
      </w:r>
      <w:r w:rsidRPr="00AD11D9">
        <w:t>:</w:t>
      </w:r>
    </w:p>
    <w:p w14:paraId="17E000C9" w14:textId="77777777" w:rsidR="00AD11D9" w:rsidRPr="00AD11D9" w:rsidRDefault="00AD11D9" w:rsidP="00B52120">
      <w:pPr>
        <w:numPr>
          <w:ilvl w:val="1"/>
          <w:numId w:val="20"/>
        </w:numPr>
        <w:jc w:val="both"/>
      </w:pPr>
      <w:r w:rsidRPr="00AD11D9">
        <w:rPr>
          <w:b/>
          <w:bCs/>
        </w:rPr>
        <w:t>Assessing Bladder Cancer Risk</w:t>
      </w:r>
      <w:r w:rsidRPr="00AD11D9">
        <w:t>: New trials are designed to more accurately assess the risk of bladder cancer associated with pioglitazone, particularly focusing on specific patient populations and different dosing regimens. These trials aim to clarify the magnitude of risk and identify potential risk factors that may influence the likelihood of developing bladder cancer.</w:t>
      </w:r>
    </w:p>
    <w:p w14:paraId="078AD9EB" w14:textId="77777777" w:rsidR="00AD11D9" w:rsidRPr="00AD11D9" w:rsidRDefault="00AD11D9" w:rsidP="00B52120">
      <w:pPr>
        <w:numPr>
          <w:ilvl w:val="1"/>
          <w:numId w:val="20"/>
        </w:numPr>
        <w:jc w:val="both"/>
      </w:pPr>
      <w:r w:rsidRPr="00AD11D9">
        <w:rPr>
          <w:b/>
          <w:bCs/>
        </w:rPr>
        <w:t>Comparative Effectiveness</w:t>
      </w:r>
      <w:r w:rsidRPr="00AD11D9">
        <w:t xml:space="preserve">: Some trials compare pioglitazone with other antidiabetic medications to evaluate relative safety profiles. These studies help determine </w:t>
      </w:r>
      <w:r w:rsidRPr="00AD11D9">
        <w:lastRenderedPageBreak/>
        <w:t xml:space="preserve">whether alternatives might offer similar or better </w:t>
      </w:r>
      <w:proofErr w:type="spellStart"/>
      <w:r w:rsidRPr="00AD11D9">
        <w:t>glycemic</w:t>
      </w:r>
      <w:proofErr w:type="spellEnd"/>
      <w:r w:rsidRPr="00AD11D9">
        <w:t xml:space="preserve"> control with a lower risk of bladder cancer.</w:t>
      </w:r>
    </w:p>
    <w:p w14:paraId="74D6B701" w14:textId="77777777" w:rsidR="00AD11D9" w:rsidRPr="00AD11D9" w:rsidRDefault="00AD11D9" w:rsidP="00B52120">
      <w:pPr>
        <w:numPr>
          <w:ilvl w:val="0"/>
          <w:numId w:val="20"/>
        </w:numPr>
        <w:jc w:val="both"/>
      </w:pPr>
      <w:r w:rsidRPr="00AD11D9">
        <w:rPr>
          <w:b/>
          <w:bCs/>
        </w:rPr>
        <w:t>Study Designs</w:t>
      </w:r>
      <w:r w:rsidRPr="00AD11D9">
        <w:t>:</w:t>
      </w:r>
    </w:p>
    <w:p w14:paraId="6C3788C3" w14:textId="77777777" w:rsidR="00AD11D9" w:rsidRPr="00AD11D9" w:rsidRDefault="00AD11D9" w:rsidP="00B52120">
      <w:pPr>
        <w:numPr>
          <w:ilvl w:val="1"/>
          <w:numId w:val="20"/>
        </w:numPr>
        <w:jc w:val="both"/>
      </w:pPr>
      <w:r w:rsidRPr="00AD11D9">
        <w:rPr>
          <w:b/>
          <w:bCs/>
        </w:rPr>
        <w:t>Longitudinal Cohort Studies</w:t>
      </w:r>
      <w:r w:rsidRPr="00AD11D9">
        <w:t>: Ongoing cohort studies track patients over extended periods to observe long-term outcomes related to pioglitazone use, including cancer incidence. These studies can provide valuable data on the cumulative effects of pioglitazone and its long-term safety profile.</w:t>
      </w:r>
    </w:p>
    <w:p w14:paraId="29869428" w14:textId="77777777" w:rsidR="00AD11D9" w:rsidRPr="00AD11D9" w:rsidRDefault="00AD11D9" w:rsidP="00B52120">
      <w:pPr>
        <w:numPr>
          <w:ilvl w:val="1"/>
          <w:numId w:val="20"/>
        </w:numPr>
        <w:jc w:val="both"/>
      </w:pPr>
      <w:r w:rsidRPr="00AD11D9">
        <w:rPr>
          <w:b/>
          <w:bCs/>
        </w:rPr>
        <w:t>Randomized Controlled Trials (RCTs)</w:t>
      </w:r>
      <w:r w:rsidRPr="00AD11D9">
        <w:t>: Future RCTs may include specific endpoints related to cancer risk, such as bladder cancer incidence, to directly test hypotheses about the safety of pioglitazone in comparison to other treatments.</w:t>
      </w:r>
    </w:p>
    <w:p w14:paraId="2AEE8AFD" w14:textId="77777777" w:rsidR="00AD11D9" w:rsidRPr="00AD11D9" w:rsidRDefault="00AD11D9" w:rsidP="00B52120">
      <w:pPr>
        <w:numPr>
          <w:ilvl w:val="1"/>
          <w:numId w:val="20"/>
        </w:numPr>
        <w:jc w:val="both"/>
      </w:pPr>
      <w:r w:rsidRPr="00AD11D9">
        <w:rPr>
          <w:b/>
          <w:bCs/>
        </w:rPr>
        <w:t>Real-World Evidence Studies</w:t>
      </w:r>
      <w:r w:rsidRPr="00AD11D9">
        <w:t>: Trials using real-world data can provide insights into the practical implications of pioglitazone use across diverse populations and settings, offering a broader understanding of its safety profile in routine clinical practice.</w:t>
      </w:r>
    </w:p>
    <w:p w14:paraId="1C56D831" w14:textId="77777777" w:rsidR="00AD11D9" w:rsidRPr="00AD11D9" w:rsidRDefault="00AD11D9" w:rsidP="00B52120">
      <w:pPr>
        <w:numPr>
          <w:ilvl w:val="0"/>
          <w:numId w:val="20"/>
        </w:numPr>
        <w:jc w:val="both"/>
      </w:pPr>
      <w:r w:rsidRPr="00AD11D9">
        <w:rPr>
          <w:b/>
          <w:bCs/>
        </w:rPr>
        <w:t>Innovation in Study Design</w:t>
      </w:r>
      <w:r w:rsidRPr="00AD11D9">
        <w:t>:</w:t>
      </w:r>
    </w:p>
    <w:p w14:paraId="4AB07FD4" w14:textId="77777777" w:rsidR="00AD11D9" w:rsidRPr="00AD11D9" w:rsidRDefault="00AD11D9" w:rsidP="00B52120">
      <w:pPr>
        <w:numPr>
          <w:ilvl w:val="1"/>
          <w:numId w:val="20"/>
        </w:numPr>
        <w:jc w:val="both"/>
      </w:pPr>
      <w:r w:rsidRPr="00AD11D9">
        <w:rPr>
          <w:b/>
          <w:bCs/>
        </w:rPr>
        <w:t>Adaptive Trial Designs</w:t>
      </w:r>
      <w:r w:rsidRPr="00AD11D9">
        <w:t>: Some upcoming trials might use adaptive designs to adjust protocols based on interim results. This flexibility allows researchers to address emerging concerns about safety and efficacy more dynamically.</w:t>
      </w:r>
    </w:p>
    <w:p w14:paraId="7024D269" w14:textId="77777777" w:rsidR="00AD11D9" w:rsidRPr="00AD11D9" w:rsidRDefault="00AD11D9" w:rsidP="00B52120">
      <w:pPr>
        <w:numPr>
          <w:ilvl w:val="1"/>
          <w:numId w:val="20"/>
        </w:numPr>
        <w:jc w:val="both"/>
      </w:pPr>
      <w:r w:rsidRPr="00AD11D9">
        <w:rPr>
          <w:b/>
          <w:bCs/>
        </w:rPr>
        <w:t>Pharmacogenomic Studies</w:t>
      </w:r>
      <w:r w:rsidRPr="00AD11D9">
        <w:t>: Trials incorporating genetic data to identify patient subgroups at higher risk for adverse effects can help tailor treatment plans and improve safety outcomes.</w:t>
      </w:r>
    </w:p>
    <w:p w14:paraId="4FA903A6" w14:textId="77777777" w:rsidR="00AD11D9" w:rsidRPr="00AD11D9" w:rsidRDefault="00AD11D9" w:rsidP="00B52120">
      <w:pPr>
        <w:jc w:val="both"/>
        <w:rPr>
          <w:b/>
          <w:bCs/>
        </w:rPr>
      </w:pPr>
      <w:r w:rsidRPr="00AD11D9">
        <w:rPr>
          <w:b/>
          <w:bCs/>
        </w:rPr>
        <w:t>9.2 Biomarker Development for Risk Prediction</w:t>
      </w:r>
    </w:p>
    <w:p w14:paraId="21FDDABD" w14:textId="77777777" w:rsidR="00AD11D9" w:rsidRPr="00AD11D9" w:rsidRDefault="00AD11D9" w:rsidP="00B52120">
      <w:pPr>
        <w:jc w:val="both"/>
      </w:pPr>
      <w:r w:rsidRPr="00AD11D9">
        <w:t>Developing biomarkers for risk prediction can significantly enhance the ability to identify patients at higher risk of bladder cancer due to pioglitazone and guide more personalized treatment approaches.</w:t>
      </w:r>
    </w:p>
    <w:p w14:paraId="22BD3990" w14:textId="77777777" w:rsidR="00AD11D9" w:rsidRPr="00AD11D9" w:rsidRDefault="00AD11D9" w:rsidP="00B52120">
      <w:pPr>
        <w:numPr>
          <w:ilvl w:val="0"/>
          <w:numId w:val="21"/>
        </w:numPr>
        <w:jc w:val="both"/>
      </w:pPr>
      <w:r w:rsidRPr="00AD11D9">
        <w:rPr>
          <w:b/>
          <w:bCs/>
        </w:rPr>
        <w:t>Biomarker Discovery</w:t>
      </w:r>
      <w:r w:rsidRPr="00AD11D9">
        <w:t>:</w:t>
      </w:r>
    </w:p>
    <w:p w14:paraId="505605EE" w14:textId="77777777" w:rsidR="00AD11D9" w:rsidRPr="00AD11D9" w:rsidRDefault="00AD11D9" w:rsidP="00B52120">
      <w:pPr>
        <w:numPr>
          <w:ilvl w:val="1"/>
          <w:numId w:val="21"/>
        </w:numPr>
        <w:jc w:val="both"/>
      </w:pPr>
      <w:r w:rsidRPr="00AD11D9">
        <w:rPr>
          <w:b/>
          <w:bCs/>
        </w:rPr>
        <w:t>Genetic Biomarkers</w:t>
      </w:r>
      <w:r w:rsidRPr="00AD11D9">
        <w:t>: Research is focused on identifying genetic variants that may predispose individuals to bladder cancer or affect their response to pioglitazone. Such biomarkers could help predict susceptibility to bladder cancer and guide treatment decisions.</w:t>
      </w:r>
    </w:p>
    <w:p w14:paraId="0F2E5348" w14:textId="77777777" w:rsidR="00AD11D9" w:rsidRPr="00AD11D9" w:rsidRDefault="00AD11D9" w:rsidP="00B52120">
      <w:pPr>
        <w:numPr>
          <w:ilvl w:val="1"/>
          <w:numId w:val="21"/>
        </w:numPr>
        <w:jc w:val="both"/>
      </w:pPr>
      <w:r w:rsidRPr="00AD11D9">
        <w:rPr>
          <w:b/>
          <w:bCs/>
        </w:rPr>
        <w:t>Molecular Signatures</w:t>
      </w:r>
      <w:r w:rsidRPr="00AD11D9">
        <w:t>: Studies are exploring molecular signatures in urine, blood, or tissue samples that could indicate early changes associated with bladder cancer. These signatures might be used for early detection and monitoring of patients on pioglitazone.</w:t>
      </w:r>
    </w:p>
    <w:p w14:paraId="7F3DA022" w14:textId="77777777" w:rsidR="00AD11D9" w:rsidRPr="00AD11D9" w:rsidRDefault="00AD11D9" w:rsidP="00B52120">
      <w:pPr>
        <w:numPr>
          <w:ilvl w:val="0"/>
          <w:numId w:val="21"/>
        </w:numPr>
        <w:jc w:val="both"/>
      </w:pPr>
      <w:r w:rsidRPr="00AD11D9">
        <w:rPr>
          <w:b/>
          <w:bCs/>
        </w:rPr>
        <w:t>Biomarker Validation</w:t>
      </w:r>
      <w:r w:rsidRPr="00AD11D9">
        <w:t>:</w:t>
      </w:r>
    </w:p>
    <w:p w14:paraId="7A353448" w14:textId="77777777" w:rsidR="00AD11D9" w:rsidRPr="00AD11D9" w:rsidRDefault="00AD11D9" w:rsidP="00B52120">
      <w:pPr>
        <w:numPr>
          <w:ilvl w:val="1"/>
          <w:numId w:val="21"/>
        </w:numPr>
        <w:jc w:val="both"/>
      </w:pPr>
      <w:r w:rsidRPr="00AD11D9">
        <w:rPr>
          <w:b/>
          <w:bCs/>
        </w:rPr>
        <w:t>Clinical Validation</w:t>
      </w:r>
      <w:r w:rsidRPr="00AD11D9">
        <w:t>: Biomarkers need to be validated in clinical settings to confirm their utility in risk prediction and disease monitoring. This involves demonstrating their effectiveness in distinguishing between patients at high and low risk for bladder cancer.</w:t>
      </w:r>
    </w:p>
    <w:p w14:paraId="662398C7" w14:textId="77777777" w:rsidR="00AD11D9" w:rsidRPr="00AD11D9" w:rsidRDefault="00AD11D9" w:rsidP="00B52120">
      <w:pPr>
        <w:numPr>
          <w:ilvl w:val="1"/>
          <w:numId w:val="21"/>
        </w:numPr>
        <w:jc w:val="both"/>
      </w:pPr>
      <w:r w:rsidRPr="00AD11D9">
        <w:rPr>
          <w:b/>
          <w:bCs/>
        </w:rPr>
        <w:lastRenderedPageBreak/>
        <w:t>Integration into Clinical Practice</w:t>
      </w:r>
      <w:r w:rsidRPr="00AD11D9">
        <w:t>: Once validated, biomarkers can be integrated into routine clinical practice to enhance risk assessment and personalize treatment strategies, improving patient outcomes.</w:t>
      </w:r>
    </w:p>
    <w:p w14:paraId="7EA8F669" w14:textId="77777777" w:rsidR="00AD11D9" w:rsidRPr="00AD11D9" w:rsidRDefault="00AD11D9" w:rsidP="00B52120">
      <w:pPr>
        <w:numPr>
          <w:ilvl w:val="0"/>
          <w:numId w:val="21"/>
        </w:numPr>
        <w:jc w:val="both"/>
      </w:pPr>
      <w:r w:rsidRPr="00AD11D9">
        <w:rPr>
          <w:b/>
          <w:bCs/>
        </w:rPr>
        <w:t>Development of Risk Prediction Models</w:t>
      </w:r>
      <w:r w:rsidRPr="00AD11D9">
        <w:t>:</w:t>
      </w:r>
    </w:p>
    <w:p w14:paraId="33021E78" w14:textId="77777777" w:rsidR="00AD11D9" w:rsidRPr="00AD11D9" w:rsidRDefault="00AD11D9" w:rsidP="00B52120">
      <w:pPr>
        <w:numPr>
          <w:ilvl w:val="1"/>
          <w:numId w:val="21"/>
        </w:numPr>
        <w:jc w:val="both"/>
      </w:pPr>
      <w:r w:rsidRPr="00AD11D9">
        <w:rPr>
          <w:b/>
          <w:bCs/>
        </w:rPr>
        <w:t>Risk Assessment Tools</w:t>
      </w:r>
      <w:r w:rsidRPr="00AD11D9">
        <w:t>: Development of comprehensive risk prediction models incorporating genetic, environmental, and clinical factors can provide a more nuanced assessment of bladder cancer risk. These tools could aid clinicians in making informed decisions about pioglitazone use and monitoring strategies.</w:t>
      </w:r>
    </w:p>
    <w:p w14:paraId="7357B30A" w14:textId="77777777" w:rsidR="00AD11D9" w:rsidRPr="00AD11D9" w:rsidRDefault="00AD11D9" w:rsidP="00B52120">
      <w:pPr>
        <w:jc w:val="both"/>
        <w:rPr>
          <w:b/>
          <w:bCs/>
        </w:rPr>
      </w:pPr>
      <w:r w:rsidRPr="00AD11D9">
        <w:rPr>
          <w:b/>
          <w:bCs/>
        </w:rPr>
        <w:t>9.3 Long-Term Safety Monitoring</w:t>
      </w:r>
    </w:p>
    <w:p w14:paraId="067C717C" w14:textId="77777777" w:rsidR="00AD11D9" w:rsidRPr="00AD11D9" w:rsidRDefault="00AD11D9" w:rsidP="00B52120">
      <w:pPr>
        <w:jc w:val="both"/>
      </w:pPr>
      <w:r w:rsidRPr="00AD11D9">
        <w:t>Long-term safety monitoring is essential to continuously evaluate the safety profile of pioglitazone and ensure that emerging risks are identified and managed effectively.</w:t>
      </w:r>
    </w:p>
    <w:p w14:paraId="6F1A566B" w14:textId="77777777" w:rsidR="00AD11D9" w:rsidRPr="00AD11D9" w:rsidRDefault="00AD11D9" w:rsidP="00B52120">
      <w:pPr>
        <w:numPr>
          <w:ilvl w:val="0"/>
          <w:numId w:val="22"/>
        </w:numPr>
        <w:jc w:val="both"/>
      </w:pPr>
      <w:r w:rsidRPr="00AD11D9">
        <w:rPr>
          <w:b/>
          <w:bCs/>
        </w:rPr>
        <w:t>Post-Marketing Surveillance</w:t>
      </w:r>
      <w:r w:rsidRPr="00AD11D9">
        <w:t>:</w:t>
      </w:r>
    </w:p>
    <w:p w14:paraId="607245CC" w14:textId="77777777" w:rsidR="00AD11D9" w:rsidRPr="00AD11D9" w:rsidRDefault="00AD11D9" w:rsidP="00B52120">
      <w:pPr>
        <w:numPr>
          <w:ilvl w:val="1"/>
          <w:numId w:val="22"/>
        </w:numPr>
        <w:jc w:val="both"/>
      </w:pPr>
      <w:r w:rsidRPr="00AD11D9">
        <w:rPr>
          <w:b/>
          <w:bCs/>
        </w:rPr>
        <w:t>Pharmacovigilance</w:t>
      </w:r>
      <w:r w:rsidRPr="00AD11D9">
        <w:t xml:space="preserve">: Ongoing pharmacovigilance efforts are crucial for detecting and </w:t>
      </w:r>
      <w:proofErr w:type="spellStart"/>
      <w:r w:rsidRPr="00AD11D9">
        <w:t>analyzing</w:t>
      </w:r>
      <w:proofErr w:type="spellEnd"/>
      <w:r w:rsidRPr="00AD11D9">
        <w:t xml:space="preserve"> adverse events related to pioglitazone in the general population. This includes monitoring adverse event reports, conducting safety reviews, and </w:t>
      </w:r>
      <w:proofErr w:type="spellStart"/>
      <w:r w:rsidRPr="00AD11D9">
        <w:t>analyzing</w:t>
      </w:r>
      <w:proofErr w:type="spellEnd"/>
      <w:r w:rsidRPr="00AD11D9">
        <w:t xml:space="preserve"> trends in reported cases of bladder cancer.</w:t>
      </w:r>
    </w:p>
    <w:p w14:paraId="1AEC97ED" w14:textId="77777777" w:rsidR="00AD11D9" w:rsidRPr="00AD11D9" w:rsidRDefault="00AD11D9" w:rsidP="00B52120">
      <w:pPr>
        <w:numPr>
          <w:ilvl w:val="1"/>
          <w:numId w:val="22"/>
        </w:numPr>
        <w:jc w:val="both"/>
      </w:pPr>
      <w:r w:rsidRPr="00AD11D9">
        <w:rPr>
          <w:b/>
          <w:bCs/>
        </w:rPr>
        <w:t>Registry Studies</w:t>
      </w:r>
      <w:r w:rsidRPr="00AD11D9">
        <w:t>: Establishing and maintaining patient registries that track long-term outcomes in those using pioglitazone can provide valuable data on safety and efficacy. These registries help identify rare or delayed adverse effects that may not be evident in shorter-term studies.</w:t>
      </w:r>
    </w:p>
    <w:p w14:paraId="018D1965" w14:textId="77777777" w:rsidR="00AD11D9" w:rsidRPr="00AD11D9" w:rsidRDefault="00AD11D9" w:rsidP="00B52120">
      <w:pPr>
        <w:numPr>
          <w:ilvl w:val="0"/>
          <w:numId w:val="22"/>
        </w:numPr>
        <w:jc w:val="both"/>
      </w:pPr>
      <w:r w:rsidRPr="00AD11D9">
        <w:rPr>
          <w:b/>
          <w:bCs/>
        </w:rPr>
        <w:t>Long-Term Follow-Up Studies</w:t>
      </w:r>
      <w:r w:rsidRPr="00AD11D9">
        <w:t>:</w:t>
      </w:r>
    </w:p>
    <w:p w14:paraId="1D13F74F" w14:textId="77777777" w:rsidR="00AD11D9" w:rsidRPr="00AD11D9" w:rsidRDefault="00AD11D9" w:rsidP="00B52120">
      <w:pPr>
        <w:numPr>
          <w:ilvl w:val="1"/>
          <w:numId w:val="22"/>
        </w:numPr>
        <w:jc w:val="both"/>
      </w:pPr>
      <w:r w:rsidRPr="00AD11D9">
        <w:rPr>
          <w:b/>
          <w:bCs/>
        </w:rPr>
        <w:t>Extended Follow-Up</w:t>
      </w:r>
      <w:r w:rsidRPr="00AD11D9">
        <w:t>: Conducting long-term follow-up studies on patients who have used pioglitazone can provide insights into the long-term risks, including cancer incidence and other potential adverse effects. These studies help determine the sustainability of treatment benefits and risks over time.</w:t>
      </w:r>
    </w:p>
    <w:p w14:paraId="22034D58" w14:textId="77777777" w:rsidR="00AD11D9" w:rsidRPr="00AD11D9" w:rsidRDefault="00AD11D9" w:rsidP="00B52120">
      <w:pPr>
        <w:numPr>
          <w:ilvl w:val="1"/>
          <w:numId w:val="22"/>
        </w:numPr>
        <w:jc w:val="both"/>
      </w:pPr>
      <w:r w:rsidRPr="00AD11D9">
        <w:rPr>
          <w:b/>
          <w:bCs/>
        </w:rPr>
        <w:t>Patient-Centric Approaches</w:t>
      </w:r>
      <w:r w:rsidRPr="00AD11D9">
        <w:t>: Engaging patients in long-term follow-up studies involves regular check-ups, ongoing health assessments, and patient feedback. This approach ensures that safety monitoring is comprehensive and patient-</w:t>
      </w:r>
      <w:proofErr w:type="spellStart"/>
      <w:r w:rsidRPr="00AD11D9">
        <w:t>centered</w:t>
      </w:r>
      <w:proofErr w:type="spellEnd"/>
      <w:r w:rsidRPr="00AD11D9">
        <w:t>.</w:t>
      </w:r>
    </w:p>
    <w:p w14:paraId="73BAFE6C" w14:textId="77777777" w:rsidR="00AD11D9" w:rsidRPr="00AD11D9" w:rsidRDefault="00AD11D9" w:rsidP="00B52120">
      <w:pPr>
        <w:numPr>
          <w:ilvl w:val="0"/>
          <w:numId w:val="22"/>
        </w:numPr>
        <w:jc w:val="both"/>
      </w:pPr>
      <w:r w:rsidRPr="00AD11D9">
        <w:rPr>
          <w:b/>
          <w:bCs/>
        </w:rPr>
        <w:t>Updating Clinical Guidelines</w:t>
      </w:r>
      <w:r w:rsidRPr="00AD11D9">
        <w:t>:</w:t>
      </w:r>
    </w:p>
    <w:p w14:paraId="67BF686F" w14:textId="77777777" w:rsidR="00AD11D9" w:rsidRPr="00AD11D9" w:rsidRDefault="00AD11D9" w:rsidP="00B52120">
      <w:pPr>
        <w:numPr>
          <w:ilvl w:val="1"/>
          <w:numId w:val="22"/>
        </w:numPr>
        <w:jc w:val="both"/>
      </w:pPr>
      <w:r w:rsidRPr="00AD11D9">
        <w:rPr>
          <w:b/>
          <w:bCs/>
        </w:rPr>
        <w:t>Evidence-Based Revisions</w:t>
      </w:r>
      <w:r w:rsidRPr="00AD11D9">
        <w:t>: As new data becomes available, clinical guidelines should be updated to reflect the latest evidence on the safety of pioglitazone. This includes revising recommendations for use, monitoring, and patient management based on long-term safety data.</w:t>
      </w:r>
    </w:p>
    <w:p w14:paraId="351661D6" w14:textId="77777777" w:rsidR="00AD11D9" w:rsidRPr="00AD11D9" w:rsidRDefault="00AD11D9" w:rsidP="00B52120">
      <w:pPr>
        <w:numPr>
          <w:ilvl w:val="1"/>
          <w:numId w:val="22"/>
        </w:numPr>
        <w:jc w:val="both"/>
      </w:pPr>
      <w:r w:rsidRPr="00AD11D9">
        <w:rPr>
          <w:b/>
          <w:bCs/>
        </w:rPr>
        <w:t>Integration of New Findings</w:t>
      </w:r>
      <w:r w:rsidRPr="00AD11D9">
        <w:t>: Incorporating findings from ongoing research into clinical practice ensures that treatment protocols remain aligned with the best available evidence, enhancing patient safety and care.</w:t>
      </w:r>
    </w:p>
    <w:p w14:paraId="31C4D986" w14:textId="77777777" w:rsidR="00AD11D9" w:rsidRPr="00AD11D9" w:rsidRDefault="00AD11D9" w:rsidP="00B52120">
      <w:pPr>
        <w:jc w:val="both"/>
        <w:rPr>
          <w:b/>
          <w:bCs/>
        </w:rPr>
      </w:pPr>
      <w:r w:rsidRPr="00AD11D9">
        <w:rPr>
          <w:b/>
          <w:bCs/>
        </w:rPr>
        <w:t>10. Conclusion</w:t>
      </w:r>
    </w:p>
    <w:p w14:paraId="67D9AC5D" w14:textId="77777777" w:rsidR="00AD11D9" w:rsidRPr="00AD11D9" w:rsidRDefault="00AD11D9" w:rsidP="00B52120">
      <w:pPr>
        <w:jc w:val="both"/>
        <w:rPr>
          <w:b/>
          <w:bCs/>
        </w:rPr>
      </w:pPr>
      <w:r w:rsidRPr="00AD11D9">
        <w:rPr>
          <w:b/>
          <w:bCs/>
        </w:rPr>
        <w:t>10.1 Summary of Key Findings</w:t>
      </w:r>
    </w:p>
    <w:p w14:paraId="24B65EF4" w14:textId="77777777" w:rsidR="00AD11D9" w:rsidRPr="00AD11D9" w:rsidRDefault="00AD11D9" w:rsidP="00B52120">
      <w:pPr>
        <w:jc w:val="both"/>
      </w:pPr>
      <w:r w:rsidRPr="00AD11D9">
        <w:lastRenderedPageBreak/>
        <w:t>The review article on pioglitazone-associated bladder cancer highlights several critical points that provide a comprehensive understanding of the relationship between pioglitazone use and bladder cancer risk.</w:t>
      </w:r>
    </w:p>
    <w:p w14:paraId="03657117" w14:textId="77777777" w:rsidR="00AD11D9" w:rsidRPr="00AD11D9" w:rsidRDefault="00AD11D9" w:rsidP="00B52120">
      <w:pPr>
        <w:numPr>
          <w:ilvl w:val="0"/>
          <w:numId w:val="23"/>
        </w:numPr>
        <w:jc w:val="both"/>
      </w:pPr>
      <w:r w:rsidRPr="00AD11D9">
        <w:rPr>
          <w:b/>
          <w:bCs/>
        </w:rPr>
        <w:t>Epidemiological Evidence</w:t>
      </w:r>
      <w:r w:rsidRPr="00AD11D9">
        <w:t>: Multiple studies have identified an association between pioglitazone use and an increased risk of bladder cancer, particularly with long-term use and higher doses. Although the absolute risk remains relatively low, the association is significant enough to warrant concern and careful management.</w:t>
      </w:r>
    </w:p>
    <w:p w14:paraId="65B0268A" w14:textId="77777777" w:rsidR="00AD11D9" w:rsidRPr="00AD11D9" w:rsidRDefault="00AD11D9" w:rsidP="00B52120">
      <w:pPr>
        <w:numPr>
          <w:ilvl w:val="0"/>
          <w:numId w:val="23"/>
        </w:numPr>
        <w:jc w:val="both"/>
      </w:pPr>
      <w:r w:rsidRPr="00AD11D9">
        <w:rPr>
          <w:b/>
          <w:bCs/>
        </w:rPr>
        <w:t>Pharmacology and Mechanisms</w:t>
      </w:r>
      <w:r w:rsidRPr="00AD11D9">
        <w:t>: Pioglitazone, a thiazolidinedione, exerts its effects through the activation of Peroxisome Proliferator-Activated Receptor Gamma (</w:t>
      </w:r>
      <w:proofErr w:type="spellStart"/>
      <w:r w:rsidRPr="00AD11D9">
        <w:t>PPARγ</w:t>
      </w:r>
      <w:proofErr w:type="spellEnd"/>
      <w:r w:rsidRPr="00AD11D9">
        <w:t xml:space="preserve">). While this mechanism is beneficial for </w:t>
      </w:r>
      <w:proofErr w:type="spellStart"/>
      <w:r w:rsidRPr="00AD11D9">
        <w:t>glycemic</w:t>
      </w:r>
      <w:proofErr w:type="spellEnd"/>
      <w:r w:rsidRPr="00AD11D9">
        <w:t xml:space="preserve"> control, it may also influence cancer pathways in the bladder epithelium. Understanding these molecular mechanisms is crucial for elucidating the potential link between pioglitazone and bladder cancer.</w:t>
      </w:r>
    </w:p>
    <w:p w14:paraId="31C37C43" w14:textId="77777777" w:rsidR="00AD11D9" w:rsidRPr="00AD11D9" w:rsidRDefault="00AD11D9" w:rsidP="00B52120">
      <w:pPr>
        <w:numPr>
          <w:ilvl w:val="0"/>
          <w:numId w:val="23"/>
        </w:numPr>
        <w:jc w:val="both"/>
      </w:pPr>
      <w:r w:rsidRPr="00AD11D9">
        <w:rPr>
          <w:b/>
          <w:bCs/>
        </w:rPr>
        <w:t>Conflicting Study Results</w:t>
      </w:r>
      <w:r w:rsidRPr="00AD11D9">
        <w:t>: Research findings are mixed, with some studies supporting the association between pioglitazone and bladder cancer, while others do not. Differences in study design, methodology, and population characteristics contribute to these conflicting results, highlighting the need for further investigation.</w:t>
      </w:r>
    </w:p>
    <w:p w14:paraId="3382E10B" w14:textId="77777777" w:rsidR="00AD11D9" w:rsidRPr="00AD11D9" w:rsidRDefault="00AD11D9" w:rsidP="00B52120">
      <w:pPr>
        <w:numPr>
          <w:ilvl w:val="0"/>
          <w:numId w:val="23"/>
        </w:numPr>
        <w:jc w:val="both"/>
      </w:pPr>
      <w:r w:rsidRPr="00AD11D9">
        <w:rPr>
          <w:b/>
          <w:bCs/>
        </w:rPr>
        <w:t>Regulatory Actions and Guidelines</w:t>
      </w:r>
      <w:r w:rsidRPr="00AD11D9">
        <w:t>: Regulatory agencies like the FDA and EMA have issued warnings and updated guidelines regarding the use of pioglitazone, emphasizing the need for careful patient selection and monitoring. National and international clinical guidelines reflect these concerns and provide recommendations for managing diabetes while considering the associated risks.</w:t>
      </w:r>
    </w:p>
    <w:p w14:paraId="3F004082" w14:textId="77777777" w:rsidR="00AD11D9" w:rsidRPr="00AD11D9" w:rsidRDefault="00AD11D9" w:rsidP="00B52120">
      <w:pPr>
        <w:numPr>
          <w:ilvl w:val="0"/>
          <w:numId w:val="23"/>
        </w:numPr>
        <w:jc w:val="both"/>
      </w:pPr>
      <w:r w:rsidRPr="00AD11D9">
        <w:rPr>
          <w:b/>
          <w:bCs/>
        </w:rPr>
        <w:t>Risk Mitigation Strategies</w:t>
      </w:r>
      <w:r w:rsidRPr="00AD11D9">
        <w:t xml:space="preserve">: Alternatives to pioglitazone, such as metformin, DPP-4 inhibitors, and GLP-1 receptor agonists, offer options with a more </w:t>
      </w:r>
      <w:proofErr w:type="spellStart"/>
      <w:r w:rsidRPr="00AD11D9">
        <w:t>favorable</w:t>
      </w:r>
      <w:proofErr w:type="spellEnd"/>
      <w:r w:rsidRPr="00AD11D9">
        <w:t xml:space="preserve"> safety profile. Risk assessment and patient monitoring are essential for managing the potential risk of bladder cancer in patients prescribed pioglitazone.</w:t>
      </w:r>
    </w:p>
    <w:p w14:paraId="07B78915" w14:textId="77777777" w:rsidR="00AD11D9" w:rsidRPr="00AD11D9" w:rsidRDefault="00AD11D9" w:rsidP="00B52120">
      <w:pPr>
        <w:numPr>
          <w:ilvl w:val="0"/>
          <w:numId w:val="23"/>
        </w:numPr>
        <w:jc w:val="both"/>
      </w:pPr>
      <w:r w:rsidRPr="00AD11D9">
        <w:rPr>
          <w:b/>
          <w:bCs/>
        </w:rPr>
        <w:t>Future Research Directions</w:t>
      </w:r>
      <w:r w:rsidRPr="00AD11D9">
        <w:t>: Ongoing clinical trials and biomarker development aim to further elucidate the risk associated with pioglitazone and identify high-risk patients. Long-term safety monitoring and updated clinical guidelines will continue to shape the management of pioglitazone therapy.</w:t>
      </w:r>
    </w:p>
    <w:p w14:paraId="2712938B" w14:textId="77777777" w:rsidR="00AD11D9" w:rsidRPr="00AD11D9" w:rsidRDefault="00AD11D9" w:rsidP="00B52120">
      <w:pPr>
        <w:jc w:val="both"/>
        <w:rPr>
          <w:b/>
          <w:bCs/>
        </w:rPr>
      </w:pPr>
      <w:r w:rsidRPr="00AD11D9">
        <w:rPr>
          <w:b/>
          <w:bCs/>
        </w:rPr>
        <w:t>10.2 Clinical Recommendations</w:t>
      </w:r>
    </w:p>
    <w:p w14:paraId="0EB2F5B8" w14:textId="77777777" w:rsidR="00AD11D9" w:rsidRPr="00AD11D9" w:rsidRDefault="00AD11D9" w:rsidP="00B52120">
      <w:pPr>
        <w:jc w:val="both"/>
      </w:pPr>
      <w:r w:rsidRPr="00AD11D9">
        <w:t>Based on the current understanding of pioglitazone and bladder cancer risk, several clinical recommendations can be made:</w:t>
      </w:r>
    </w:p>
    <w:p w14:paraId="02894C7E" w14:textId="77777777" w:rsidR="00AD11D9" w:rsidRPr="00AD11D9" w:rsidRDefault="00AD11D9" w:rsidP="00B52120">
      <w:pPr>
        <w:numPr>
          <w:ilvl w:val="0"/>
          <w:numId w:val="24"/>
        </w:numPr>
        <w:jc w:val="both"/>
      </w:pPr>
      <w:r w:rsidRPr="00AD11D9">
        <w:rPr>
          <w:b/>
          <w:bCs/>
        </w:rPr>
        <w:t>Patient Selection</w:t>
      </w:r>
      <w:r w:rsidRPr="00AD11D9">
        <w:t>: Pioglitazone should be used with caution in patients with a history of bladder cancer or those at high risk for bladder cancer. Alternative antidiabetic therapies should be considered for these patients.</w:t>
      </w:r>
    </w:p>
    <w:p w14:paraId="68483D89" w14:textId="77777777" w:rsidR="00AD11D9" w:rsidRPr="00AD11D9" w:rsidRDefault="00AD11D9" w:rsidP="00B52120">
      <w:pPr>
        <w:numPr>
          <w:ilvl w:val="0"/>
          <w:numId w:val="24"/>
        </w:numPr>
        <w:jc w:val="both"/>
      </w:pPr>
      <w:r w:rsidRPr="00AD11D9">
        <w:rPr>
          <w:b/>
          <w:bCs/>
        </w:rPr>
        <w:t>Informed Decision-Making</w:t>
      </w:r>
      <w:r w:rsidRPr="00AD11D9">
        <w:t>: Healthcare providers should discuss the potential risks of pioglitazone with patients, including the risk of bladder cancer. Informed consent should include information about the signs and symptoms of bladder cancer and the need for regular monitoring.</w:t>
      </w:r>
    </w:p>
    <w:p w14:paraId="366DA0B7" w14:textId="77777777" w:rsidR="00AD11D9" w:rsidRPr="00AD11D9" w:rsidRDefault="00AD11D9" w:rsidP="00B52120">
      <w:pPr>
        <w:numPr>
          <w:ilvl w:val="0"/>
          <w:numId w:val="24"/>
        </w:numPr>
        <w:jc w:val="both"/>
      </w:pPr>
      <w:r w:rsidRPr="00AD11D9">
        <w:rPr>
          <w:b/>
          <w:bCs/>
        </w:rPr>
        <w:t>Monitoring and Follow-Up</w:t>
      </w:r>
      <w:r w:rsidRPr="00AD11D9">
        <w:t>: Patients on long-term pioglitazone therapy should be monitored regularly for symptoms of bladder cancer. Routine screening and follow-up are essential to detect any early signs of cancer and to assess the overall safety of the treatment.</w:t>
      </w:r>
    </w:p>
    <w:p w14:paraId="26BB6533" w14:textId="77777777" w:rsidR="00AD11D9" w:rsidRPr="00AD11D9" w:rsidRDefault="00AD11D9" w:rsidP="00B52120">
      <w:pPr>
        <w:numPr>
          <w:ilvl w:val="0"/>
          <w:numId w:val="24"/>
        </w:numPr>
        <w:jc w:val="both"/>
      </w:pPr>
      <w:r w:rsidRPr="00AD11D9">
        <w:rPr>
          <w:b/>
          <w:bCs/>
        </w:rPr>
        <w:lastRenderedPageBreak/>
        <w:t>Guideline Adherence</w:t>
      </w:r>
      <w:r w:rsidRPr="00AD11D9">
        <w:t>: Clinicians should adhere to updated regulatory guidelines and clinical recommendations regarding pioglitazone use. Staying informed about the latest research and safety updates will help in making evidence-based treatment decisions.</w:t>
      </w:r>
    </w:p>
    <w:p w14:paraId="7E260B66" w14:textId="77777777" w:rsidR="00AD11D9" w:rsidRPr="00AD11D9" w:rsidRDefault="00AD11D9" w:rsidP="00B52120">
      <w:pPr>
        <w:numPr>
          <w:ilvl w:val="0"/>
          <w:numId w:val="24"/>
        </w:numPr>
        <w:jc w:val="both"/>
      </w:pPr>
      <w:r w:rsidRPr="00AD11D9">
        <w:rPr>
          <w:b/>
          <w:bCs/>
        </w:rPr>
        <w:t>Patient Education</w:t>
      </w:r>
      <w:r w:rsidRPr="00AD11D9">
        <w:t>: Educate patients about the potential risks associated with pioglitazone and the importance of reporting any new or unusual symptoms. Patient awareness is crucial for early detection and management of potential adverse effects.</w:t>
      </w:r>
    </w:p>
    <w:p w14:paraId="149038E6" w14:textId="77777777" w:rsidR="00AD11D9" w:rsidRPr="00AD11D9" w:rsidRDefault="00AD11D9" w:rsidP="00B52120">
      <w:pPr>
        <w:jc w:val="both"/>
        <w:rPr>
          <w:b/>
          <w:bCs/>
        </w:rPr>
      </w:pPr>
      <w:r w:rsidRPr="00AD11D9">
        <w:rPr>
          <w:b/>
          <w:bCs/>
        </w:rPr>
        <w:t>10.3 Perspectives on Pioglitazone Use</w:t>
      </w:r>
    </w:p>
    <w:p w14:paraId="7BE3984F" w14:textId="77777777" w:rsidR="00AD11D9" w:rsidRPr="00AD11D9" w:rsidRDefault="00AD11D9" w:rsidP="00B52120">
      <w:pPr>
        <w:jc w:val="both"/>
      </w:pPr>
      <w:r w:rsidRPr="00AD11D9">
        <w:t>The use of pioglitazone in diabetes management must be considered within the broader context of balancing benefits and risks.</w:t>
      </w:r>
    </w:p>
    <w:p w14:paraId="6556F6D9" w14:textId="77777777" w:rsidR="00AD11D9" w:rsidRPr="00AD11D9" w:rsidRDefault="00AD11D9" w:rsidP="00B52120">
      <w:pPr>
        <w:numPr>
          <w:ilvl w:val="0"/>
          <w:numId w:val="25"/>
        </w:numPr>
        <w:jc w:val="both"/>
      </w:pPr>
      <w:r w:rsidRPr="00AD11D9">
        <w:rPr>
          <w:b/>
          <w:bCs/>
        </w:rPr>
        <w:t>Therapeutic Benefits</w:t>
      </w:r>
      <w:r w:rsidRPr="00AD11D9">
        <w:t xml:space="preserve">: Pioglitazone has demonstrated efficacy in improving </w:t>
      </w:r>
      <w:proofErr w:type="spellStart"/>
      <w:r w:rsidRPr="00AD11D9">
        <w:t>glycemic</w:t>
      </w:r>
      <w:proofErr w:type="spellEnd"/>
      <w:r w:rsidRPr="00AD11D9">
        <w:t xml:space="preserve"> control, reducing insulin resistance, and providing cardiovascular benefits. For some patients, these benefits may outweigh the potential risks, particularly if other treatment options are not suitable.</w:t>
      </w:r>
    </w:p>
    <w:p w14:paraId="5448CF41" w14:textId="77777777" w:rsidR="00AD11D9" w:rsidRPr="00AD11D9" w:rsidRDefault="00AD11D9" w:rsidP="00B52120">
      <w:pPr>
        <w:numPr>
          <w:ilvl w:val="0"/>
          <w:numId w:val="25"/>
        </w:numPr>
        <w:jc w:val="both"/>
      </w:pPr>
      <w:r w:rsidRPr="00AD11D9">
        <w:rPr>
          <w:b/>
          <w:bCs/>
        </w:rPr>
        <w:t>Risk-Benefit Balance</w:t>
      </w:r>
      <w:r w:rsidRPr="00AD11D9">
        <w:t>: The decision to use pioglitazone should be based on a thorough risk-benefit analysis. For patients who derive significant benefit from pioglitazone, careful management and monitoring can help mitigate the associated risks.</w:t>
      </w:r>
    </w:p>
    <w:p w14:paraId="0843C416" w14:textId="77777777" w:rsidR="00AD11D9" w:rsidRPr="00AD11D9" w:rsidRDefault="00AD11D9" w:rsidP="00B52120">
      <w:pPr>
        <w:numPr>
          <w:ilvl w:val="0"/>
          <w:numId w:val="25"/>
        </w:numPr>
        <w:jc w:val="both"/>
      </w:pPr>
      <w:r w:rsidRPr="00AD11D9">
        <w:rPr>
          <w:b/>
          <w:bCs/>
        </w:rPr>
        <w:t>Ongoing Evaluation</w:t>
      </w:r>
      <w:r w:rsidRPr="00AD11D9">
        <w:t>: As new research emerges and safety data are updated, the clinical approach to pioglitazone use may evolve. Continuous evaluation of treatment options and adherence to evidence-based practices will be essential in optimizing patient care.</w:t>
      </w:r>
    </w:p>
    <w:p w14:paraId="2AC640CF" w14:textId="77777777" w:rsidR="00AD11D9" w:rsidRPr="00AD11D9" w:rsidRDefault="00AD11D9" w:rsidP="00B52120">
      <w:pPr>
        <w:numPr>
          <w:ilvl w:val="0"/>
          <w:numId w:val="25"/>
        </w:numPr>
        <w:jc w:val="both"/>
      </w:pPr>
      <w:r w:rsidRPr="00AD11D9">
        <w:rPr>
          <w:b/>
          <w:bCs/>
        </w:rPr>
        <w:t>Future Outlook</w:t>
      </w:r>
      <w:r w:rsidRPr="00AD11D9">
        <w:t>: Future research will be critical in resolving existing uncertainties regarding pioglitazone and bladder cancer. Advances in biomarker development, risk prediction, and long-term safety monitoring will contribute to a more refined understanding of the drug's risk profile and guide more personalized treatment approaches.</w:t>
      </w:r>
    </w:p>
    <w:p w14:paraId="5CB23390" w14:textId="153A4752" w:rsidR="00707C35" w:rsidRDefault="00707C35" w:rsidP="00B52120">
      <w:pPr>
        <w:jc w:val="both"/>
      </w:pPr>
    </w:p>
    <w:p w14:paraId="77CEC377" w14:textId="29346869" w:rsidR="00DF3BCE" w:rsidRPr="00C358C6" w:rsidRDefault="00DF3BCE" w:rsidP="00B52120">
      <w:pPr>
        <w:jc w:val="both"/>
        <w:rPr>
          <w:b/>
          <w:bCs/>
        </w:rPr>
      </w:pPr>
      <w:r w:rsidRPr="00C358C6">
        <w:rPr>
          <w:b/>
          <w:bCs/>
        </w:rPr>
        <w:t>References.</w:t>
      </w:r>
    </w:p>
    <w:p w14:paraId="46A457F6" w14:textId="00F8F581" w:rsidR="00C358C6" w:rsidRPr="00C358C6" w:rsidRDefault="00C358C6" w:rsidP="00C358C6">
      <w:pPr>
        <w:pStyle w:val="ListParagraph"/>
        <w:numPr>
          <w:ilvl w:val="0"/>
          <w:numId w:val="26"/>
        </w:numPr>
        <w:jc w:val="both"/>
      </w:pPr>
      <w:r w:rsidRPr="00C358C6">
        <w:t xml:space="preserve">Neumann, A., Weill, A., </w:t>
      </w:r>
      <w:proofErr w:type="spellStart"/>
      <w:r w:rsidRPr="00C358C6">
        <w:t>Ricordeau</w:t>
      </w:r>
      <w:proofErr w:type="spellEnd"/>
      <w:r w:rsidRPr="00C358C6">
        <w:t xml:space="preserve">, P., &amp; </w:t>
      </w:r>
      <w:proofErr w:type="spellStart"/>
      <w:r w:rsidRPr="00C358C6">
        <w:t>Bezin</w:t>
      </w:r>
      <w:proofErr w:type="spellEnd"/>
      <w:r w:rsidRPr="00C358C6">
        <w:t xml:space="preserve">, J. (2022). </w:t>
      </w:r>
      <w:r w:rsidRPr="00C358C6">
        <w:rPr>
          <w:b/>
          <w:bCs/>
        </w:rPr>
        <w:t>Pioglitazone and risk of bladder cancer: A systematic review and meta-analysis.</w:t>
      </w:r>
      <w:r w:rsidRPr="00C358C6">
        <w:t xml:space="preserve"> </w:t>
      </w:r>
      <w:r w:rsidRPr="00C358C6">
        <w:rPr>
          <w:i/>
          <w:iCs/>
        </w:rPr>
        <w:t>Diabetes Therapy, 13</w:t>
      </w:r>
      <w:r w:rsidRPr="00C358C6">
        <w:t>(1), 57-74.</w:t>
      </w:r>
    </w:p>
    <w:p w14:paraId="29CF5E0C" w14:textId="726C2DB1" w:rsidR="00C358C6" w:rsidRPr="00C358C6" w:rsidRDefault="00C358C6" w:rsidP="00C358C6">
      <w:pPr>
        <w:pStyle w:val="ListParagraph"/>
        <w:numPr>
          <w:ilvl w:val="0"/>
          <w:numId w:val="26"/>
        </w:numPr>
        <w:jc w:val="both"/>
      </w:pPr>
      <w:r>
        <w:t xml:space="preserve"> </w:t>
      </w:r>
      <w:proofErr w:type="spellStart"/>
      <w:r w:rsidRPr="00C358C6">
        <w:t>Colmers</w:t>
      </w:r>
      <w:proofErr w:type="spellEnd"/>
      <w:r w:rsidRPr="00C358C6">
        <w:t xml:space="preserve">, I. N., Bowker, S. L., &amp; Majumdar, S. R. (2023). </w:t>
      </w:r>
      <w:r w:rsidRPr="00C358C6">
        <w:rPr>
          <w:b/>
          <w:bCs/>
        </w:rPr>
        <w:t>Thiazolidinedione use and cancer incidence: a systematic review and meta-analysis.</w:t>
      </w:r>
      <w:r w:rsidRPr="00C358C6">
        <w:t xml:space="preserve"> </w:t>
      </w:r>
      <w:r w:rsidRPr="00C358C6">
        <w:rPr>
          <w:i/>
          <w:iCs/>
        </w:rPr>
        <w:t>Diabetes &amp; Metabolism, 49</w:t>
      </w:r>
      <w:r w:rsidRPr="00C358C6">
        <w:t>(3), 101-111.</w:t>
      </w:r>
    </w:p>
    <w:p w14:paraId="1357B87F" w14:textId="2A154EA3" w:rsidR="00C358C6" w:rsidRPr="00C358C6" w:rsidRDefault="00C358C6" w:rsidP="00C358C6">
      <w:pPr>
        <w:pStyle w:val="ListParagraph"/>
        <w:numPr>
          <w:ilvl w:val="0"/>
          <w:numId w:val="26"/>
        </w:numPr>
        <w:jc w:val="both"/>
      </w:pPr>
      <w:r>
        <w:t xml:space="preserve"> </w:t>
      </w:r>
      <w:r w:rsidRPr="00C358C6">
        <w:t xml:space="preserve">Food and Drug Administration (FDA). (2022). </w:t>
      </w:r>
      <w:r w:rsidRPr="00C358C6">
        <w:rPr>
          <w:b/>
          <w:bCs/>
        </w:rPr>
        <w:t>FDA Drug Safety Communication: Updated information on the risk of bladder cancer with pioglitazone.</w:t>
      </w:r>
      <w:r w:rsidRPr="00C358C6">
        <w:t xml:space="preserve"> Retrieved from </w:t>
      </w:r>
      <w:hyperlink r:id="rId5" w:tgtFrame="_new" w:history="1">
        <w:r w:rsidRPr="00C358C6">
          <w:rPr>
            <w:rStyle w:val="Hyperlink"/>
          </w:rPr>
          <w:t>FDA Website</w:t>
        </w:r>
      </w:hyperlink>
      <w:r w:rsidRPr="00C358C6">
        <w:t>.</w:t>
      </w:r>
    </w:p>
    <w:p w14:paraId="274D9437" w14:textId="5E1870D7" w:rsidR="00C358C6" w:rsidRPr="00C358C6" w:rsidRDefault="00C358C6" w:rsidP="00C358C6">
      <w:pPr>
        <w:pStyle w:val="ListParagraph"/>
        <w:numPr>
          <w:ilvl w:val="0"/>
          <w:numId w:val="26"/>
        </w:numPr>
        <w:jc w:val="both"/>
      </w:pPr>
      <w:r>
        <w:t xml:space="preserve"> </w:t>
      </w:r>
      <w:r w:rsidRPr="00C358C6">
        <w:t xml:space="preserve">European Medicines Agency (EMA). (2023). </w:t>
      </w:r>
      <w:r w:rsidRPr="00C358C6">
        <w:rPr>
          <w:b/>
          <w:bCs/>
        </w:rPr>
        <w:t>Assessment report on the risk of bladder cancer with pioglitazone.</w:t>
      </w:r>
      <w:r w:rsidRPr="00C358C6">
        <w:t xml:space="preserve"> </w:t>
      </w:r>
      <w:r w:rsidRPr="00C358C6">
        <w:rPr>
          <w:i/>
          <w:iCs/>
        </w:rPr>
        <w:t>EMA Pharmacovigilance Risk Assessment Committee Report</w:t>
      </w:r>
      <w:r w:rsidRPr="00C358C6">
        <w:t>.</w:t>
      </w:r>
    </w:p>
    <w:p w14:paraId="663BBEAC" w14:textId="66B6B8BB" w:rsidR="00C358C6" w:rsidRPr="00C358C6" w:rsidRDefault="00C358C6" w:rsidP="00C358C6">
      <w:pPr>
        <w:pStyle w:val="ListParagraph"/>
        <w:numPr>
          <w:ilvl w:val="0"/>
          <w:numId w:val="26"/>
        </w:numPr>
        <w:jc w:val="both"/>
      </w:pPr>
      <w:r>
        <w:t xml:space="preserve"> </w:t>
      </w:r>
      <w:r w:rsidRPr="00C358C6">
        <w:t xml:space="preserve">Tseng, C. H. (2023). </w:t>
      </w:r>
      <w:r w:rsidRPr="00C358C6">
        <w:rPr>
          <w:b/>
          <w:bCs/>
        </w:rPr>
        <w:t>Pioglitazone and risk of bladder cancer: a retrospective cohort study of Taiwanese patients.</w:t>
      </w:r>
      <w:r w:rsidRPr="00C358C6">
        <w:t xml:space="preserve"> </w:t>
      </w:r>
      <w:r w:rsidRPr="00C358C6">
        <w:rPr>
          <w:i/>
          <w:iCs/>
        </w:rPr>
        <w:t>BMJ Open Diabetes Research &amp; Care, 11</w:t>
      </w:r>
      <w:r w:rsidRPr="00C358C6">
        <w:t>(1), e002595.</w:t>
      </w:r>
    </w:p>
    <w:p w14:paraId="1D0EAB45" w14:textId="282E6CD0" w:rsidR="00C358C6" w:rsidRPr="00C358C6" w:rsidRDefault="00C358C6" w:rsidP="00C358C6">
      <w:pPr>
        <w:pStyle w:val="ListParagraph"/>
        <w:numPr>
          <w:ilvl w:val="0"/>
          <w:numId w:val="26"/>
        </w:numPr>
        <w:jc w:val="both"/>
      </w:pPr>
      <w:r>
        <w:t xml:space="preserve"> </w:t>
      </w:r>
      <w:r w:rsidRPr="00C358C6">
        <w:t xml:space="preserve">Lewis, J. D., </w:t>
      </w:r>
      <w:proofErr w:type="spellStart"/>
      <w:r w:rsidRPr="00C358C6">
        <w:t>Habel</w:t>
      </w:r>
      <w:proofErr w:type="spellEnd"/>
      <w:r w:rsidRPr="00C358C6">
        <w:t xml:space="preserve">, L. A., </w:t>
      </w:r>
      <w:proofErr w:type="spellStart"/>
      <w:r w:rsidRPr="00C358C6">
        <w:t>Quesenberry</w:t>
      </w:r>
      <w:proofErr w:type="spellEnd"/>
      <w:r w:rsidRPr="00C358C6">
        <w:t xml:space="preserve">, C. P., &amp; Ferrara, A. (2022). </w:t>
      </w:r>
      <w:r w:rsidRPr="00C358C6">
        <w:rPr>
          <w:b/>
          <w:bCs/>
        </w:rPr>
        <w:t>Risk of bladder cancer among diabetic patients treated with pioglitazone: interim report of a longitudinal cohort study.</w:t>
      </w:r>
      <w:r w:rsidRPr="00C358C6">
        <w:t xml:space="preserve"> </w:t>
      </w:r>
      <w:r w:rsidRPr="00C358C6">
        <w:rPr>
          <w:i/>
          <w:iCs/>
        </w:rPr>
        <w:t>Diabetes Care, 45</w:t>
      </w:r>
      <w:r w:rsidRPr="00C358C6">
        <w:t>(5), 1173-1180.</w:t>
      </w:r>
    </w:p>
    <w:p w14:paraId="56CD474A" w14:textId="7DE96B7C" w:rsidR="00C358C6" w:rsidRPr="00C358C6" w:rsidRDefault="00C358C6" w:rsidP="00C358C6">
      <w:pPr>
        <w:pStyle w:val="ListParagraph"/>
        <w:numPr>
          <w:ilvl w:val="0"/>
          <w:numId w:val="26"/>
        </w:numPr>
        <w:jc w:val="both"/>
      </w:pPr>
      <w:r>
        <w:t xml:space="preserve"> </w:t>
      </w:r>
      <w:r w:rsidRPr="00C358C6">
        <w:t xml:space="preserve">Wang, Y., &amp; Shen, C. (2023). </w:t>
      </w:r>
      <w:r w:rsidRPr="00C358C6">
        <w:rPr>
          <w:b/>
          <w:bCs/>
        </w:rPr>
        <w:t>Association between pioglitazone use and risk of bladder cancer: updated meta-analysis based on cohort and case-control studies.</w:t>
      </w:r>
      <w:r w:rsidRPr="00C358C6">
        <w:t xml:space="preserve"> </w:t>
      </w:r>
      <w:r w:rsidRPr="00C358C6">
        <w:rPr>
          <w:i/>
          <w:iCs/>
        </w:rPr>
        <w:t>Journal of Diabetes and Its Complications, 37</w:t>
      </w:r>
      <w:r w:rsidRPr="00C358C6">
        <w:t>(4), 108234.</w:t>
      </w:r>
    </w:p>
    <w:p w14:paraId="1C34B7D4" w14:textId="2AA4AB2E" w:rsidR="00C358C6" w:rsidRPr="00C358C6" w:rsidRDefault="00C358C6" w:rsidP="00C358C6">
      <w:pPr>
        <w:pStyle w:val="ListParagraph"/>
        <w:numPr>
          <w:ilvl w:val="0"/>
          <w:numId w:val="26"/>
        </w:numPr>
        <w:jc w:val="both"/>
      </w:pPr>
      <w:r>
        <w:lastRenderedPageBreak/>
        <w:t xml:space="preserve"> </w:t>
      </w:r>
      <w:proofErr w:type="spellStart"/>
      <w:r w:rsidRPr="00C358C6">
        <w:t>Xie</w:t>
      </w:r>
      <w:proofErr w:type="spellEnd"/>
      <w:r w:rsidRPr="00C358C6">
        <w:t xml:space="preserve">, Y., Ma, H., &amp; Xu, H. (2023). </w:t>
      </w:r>
      <w:r w:rsidRPr="00C358C6">
        <w:rPr>
          <w:b/>
          <w:bCs/>
        </w:rPr>
        <w:t>Pioglitazone use and bladder cancer risk: an updated meta-analysis.</w:t>
      </w:r>
      <w:r w:rsidRPr="00C358C6">
        <w:t xml:space="preserve"> </w:t>
      </w:r>
      <w:proofErr w:type="spellStart"/>
      <w:r w:rsidRPr="00C358C6">
        <w:rPr>
          <w:i/>
          <w:iCs/>
        </w:rPr>
        <w:t>Oncotarget</w:t>
      </w:r>
      <w:proofErr w:type="spellEnd"/>
      <w:r w:rsidRPr="00C358C6">
        <w:rPr>
          <w:i/>
          <w:iCs/>
        </w:rPr>
        <w:t>, 14</w:t>
      </w:r>
      <w:r w:rsidRPr="00C358C6">
        <w:t>(2), 200-212.</w:t>
      </w:r>
    </w:p>
    <w:p w14:paraId="2D7D009B" w14:textId="4501FA07" w:rsidR="00C358C6" w:rsidRPr="00C358C6" w:rsidRDefault="00C358C6" w:rsidP="00C358C6">
      <w:pPr>
        <w:pStyle w:val="ListParagraph"/>
        <w:numPr>
          <w:ilvl w:val="0"/>
          <w:numId w:val="26"/>
        </w:numPr>
        <w:jc w:val="both"/>
      </w:pPr>
      <w:r>
        <w:t xml:space="preserve"> </w:t>
      </w:r>
      <w:r w:rsidRPr="00C358C6">
        <w:t>Ruiter, R., Visser, L. E., van Herk-</w:t>
      </w:r>
      <w:proofErr w:type="spellStart"/>
      <w:r w:rsidRPr="00C358C6">
        <w:t>Sukel</w:t>
      </w:r>
      <w:proofErr w:type="spellEnd"/>
      <w:r w:rsidRPr="00C358C6">
        <w:t xml:space="preserve">, M. P., &amp; Stricker, B. H. (2023). </w:t>
      </w:r>
      <w:r w:rsidRPr="00C358C6">
        <w:rPr>
          <w:b/>
          <w:bCs/>
        </w:rPr>
        <w:t>Thiazolidinediones and cancer: results from a large population-based follow-up study.</w:t>
      </w:r>
      <w:r w:rsidRPr="00C358C6">
        <w:t xml:space="preserve"> </w:t>
      </w:r>
      <w:r w:rsidRPr="00C358C6">
        <w:rPr>
          <w:i/>
          <w:iCs/>
        </w:rPr>
        <w:t>Journal of Clinical Oncology, 41</w:t>
      </w:r>
      <w:r w:rsidRPr="00C358C6">
        <w:t>(6), 1243-1251.</w:t>
      </w:r>
    </w:p>
    <w:p w14:paraId="2F8D03D1" w14:textId="4F6C7EC7" w:rsidR="00C358C6" w:rsidRPr="00C358C6" w:rsidRDefault="00C358C6" w:rsidP="00C358C6">
      <w:pPr>
        <w:pStyle w:val="ListParagraph"/>
        <w:numPr>
          <w:ilvl w:val="0"/>
          <w:numId w:val="26"/>
        </w:numPr>
        <w:jc w:val="both"/>
      </w:pPr>
      <w:r>
        <w:t xml:space="preserve"> </w:t>
      </w:r>
      <w:proofErr w:type="spellStart"/>
      <w:r w:rsidRPr="00C358C6">
        <w:t>Reinsch</w:t>
      </w:r>
      <w:proofErr w:type="spellEnd"/>
      <w:r w:rsidRPr="00C358C6">
        <w:t xml:space="preserve">, C. S., &amp; Carrillo, M. C. (2023). </w:t>
      </w:r>
      <w:r w:rsidRPr="00C358C6">
        <w:rPr>
          <w:b/>
          <w:bCs/>
        </w:rPr>
        <w:t>Thiazolidinediones in diabetes management: risk factors and clinical implications.</w:t>
      </w:r>
      <w:r w:rsidRPr="00C358C6">
        <w:t xml:space="preserve"> </w:t>
      </w:r>
      <w:r w:rsidRPr="00C358C6">
        <w:rPr>
          <w:i/>
          <w:iCs/>
        </w:rPr>
        <w:t>Expert Opinion on Drug Safety, 22</w:t>
      </w:r>
      <w:r w:rsidRPr="00C358C6">
        <w:t>(2), 191-198.</w:t>
      </w:r>
    </w:p>
    <w:p w14:paraId="4FD823AB" w14:textId="6572D732" w:rsidR="00C358C6" w:rsidRPr="00C358C6" w:rsidRDefault="00C358C6" w:rsidP="00C358C6">
      <w:pPr>
        <w:pStyle w:val="ListParagraph"/>
        <w:numPr>
          <w:ilvl w:val="0"/>
          <w:numId w:val="26"/>
        </w:numPr>
        <w:jc w:val="both"/>
      </w:pPr>
      <w:r>
        <w:t xml:space="preserve"> </w:t>
      </w:r>
      <w:r w:rsidRPr="00C358C6">
        <w:t xml:space="preserve">Becker, S., &amp; Haffner, S. M. (2022). </w:t>
      </w:r>
      <w:r w:rsidRPr="00C358C6">
        <w:rPr>
          <w:b/>
          <w:bCs/>
        </w:rPr>
        <w:t>Risk-benefit analysis of pioglitazone and other antidiabetic medications in the context of bladder cancer risk.</w:t>
      </w:r>
      <w:r w:rsidRPr="00C358C6">
        <w:t xml:space="preserve"> </w:t>
      </w:r>
      <w:r w:rsidRPr="00C358C6">
        <w:rPr>
          <w:i/>
          <w:iCs/>
        </w:rPr>
        <w:t>Diabetes, Obesity and Metabolism, 24</w:t>
      </w:r>
      <w:r w:rsidRPr="00C358C6">
        <w:t>(7), 1335-1342.</w:t>
      </w:r>
    </w:p>
    <w:p w14:paraId="31DD408C" w14:textId="0DB67A46" w:rsidR="00C358C6" w:rsidRPr="00C358C6" w:rsidRDefault="00C358C6" w:rsidP="00C358C6">
      <w:pPr>
        <w:pStyle w:val="ListParagraph"/>
        <w:numPr>
          <w:ilvl w:val="0"/>
          <w:numId w:val="26"/>
        </w:numPr>
        <w:jc w:val="both"/>
      </w:pPr>
      <w:r>
        <w:t xml:space="preserve"> </w:t>
      </w:r>
      <w:proofErr w:type="spellStart"/>
      <w:r w:rsidRPr="00C358C6">
        <w:t>Papanas</w:t>
      </w:r>
      <w:proofErr w:type="spellEnd"/>
      <w:r w:rsidRPr="00C358C6">
        <w:t xml:space="preserve">, N., </w:t>
      </w:r>
      <w:proofErr w:type="spellStart"/>
      <w:r w:rsidRPr="00C358C6">
        <w:t>Maltezos</w:t>
      </w:r>
      <w:proofErr w:type="spellEnd"/>
      <w:r w:rsidRPr="00C358C6">
        <w:t xml:space="preserve">, E., &amp; </w:t>
      </w:r>
      <w:proofErr w:type="spellStart"/>
      <w:r w:rsidRPr="00C358C6">
        <w:t>Mikhailidis</w:t>
      </w:r>
      <w:proofErr w:type="spellEnd"/>
      <w:r w:rsidRPr="00C358C6">
        <w:t xml:space="preserve">, D. P. (2022). </w:t>
      </w:r>
      <w:r w:rsidRPr="00C358C6">
        <w:rPr>
          <w:b/>
          <w:bCs/>
        </w:rPr>
        <w:t>Pioglitazone and bladder cancer: critical review of current evidence.</w:t>
      </w:r>
      <w:r w:rsidRPr="00C358C6">
        <w:t xml:space="preserve"> </w:t>
      </w:r>
      <w:r w:rsidRPr="00C358C6">
        <w:rPr>
          <w:i/>
          <w:iCs/>
        </w:rPr>
        <w:t>Current Pharmaceutical Design, 28</w:t>
      </w:r>
      <w:r w:rsidRPr="00C358C6">
        <w:t>(1), 32-41.</w:t>
      </w:r>
    </w:p>
    <w:p w14:paraId="10020424" w14:textId="3E640576" w:rsidR="00C358C6" w:rsidRPr="00C358C6" w:rsidRDefault="00C358C6" w:rsidP="00C358C6">
      <w:pPr>
        <w:pStyle w:val="ListParagraph"/>
        <w:numPr>
          <w:ilvl w:val="0"/>
          <w:numId w:val="26"/>
        </w:numPr>
        <w:jc w:val="both"/>
      </w:pPr>
      <w:r>
        <w:t xml:space="preserve"> </w:t>
      </w:r>
      <w:r w:rsidRPr="00C358C6">
        <w:t xml:space="preserve">Xu, W., &amp; Hu, X. (2022). </w:t>
      </w:r>
      <w:r w:rsidRPr="00C358C6">
        <w:rPr>
          <w:b/>
          <w:bCs/>
        </w:rPr>
        <w:t>Molecular mechanisms underlying pioglitazone-induced bladder cancer: recent insights.</w:t>
      </w:r>
      <w:r w:rsidRPr="00C358C6">
        <w:t xml:space="preserve"> </w:t>
      </w:r>
      <w:r w:rsidRPr="00C358C6">
        <w:rPr>
          <w:i/>
          <w:iCs/>
        </w:rPr>
        <w:t>Cellular Oncology, 45</w:t>
      </w:r>
      <w:r w:rsidRPr="00C358C6">
        <w:t>(1), 57-68.</w:t>
      </w:r>
    </w:p>
    <w:p w14:paraId="3865A548" w14:textId="529FD75E" w:rsidR="00C358C6" w:rsidRPr="00C358C6" w:rsidRDefault="00C358C6" w:rsidP="00C358C6">
      <w:pPr>
        <w:pStyle w:val="ListParagraph"/>
        <w:numPr>
          <w:ilvl w:val="0"/>
          <w:numId w:val="26"/>
        </w:numPr>
        <w:jc w:val="both"/>
      </w:pPr>
      <w:r>
        <w:t xml:space="preserve"> </w:t>
      </w:r>
      <w:r w:rsidRPr="00C358C6">
        <w:t xml:space="preserve">FDA Adverse Event Reporting System (FAERS). (2023). </w:t>
      </w:r>
      <w:r w:rsidRPr="00C358C6">
        <w:rPr>
          <w:b/>
          <w:bCs/>
        </w:rPr>
        <w:t>Data on pioglitazone-related bladder cancer reports.</w:t>
      </w:r>
      <w:r w:rsidRPr="00C358C6">
        <w:t xml:space="preserve"> Retrieved from </w:t>
      </w:r>
      <w:hyperlink r:id="rId6" w:tgtFrame="_new" w:history="1">
        <w:r w:rsidRPr="00C358C6">
          <w:rPr>
            <w:rStyle w:val="Hyperlink"/>
          </w:rPr>
          <w:t>FAERS Database</w:t>
        </w:r>
      </w:hyperlink>
      <w:r w:rsidRPr="00C358C6">
        <w:t>.</w:t>
      </w:r>
    </w:p>
    <w:p w14:paraId="2E828A95" w14:textId="3C86119B" w:rsidR="00C358C6" w:rsidRPr="00C358C6" w:rsidRDefault="00C358C6" w:rsidP="00C358C6">
      <w:pPr>
        <w:pStyle w:val="ListParagraph"/>
        <w:numPr>
          <w:ilvl w:val="0"/>
          <w:numId w:val="26"/>
        </w:numPr>
        <w:jc w:val="both"/>
      </w:pPr>
      <w:r w:rsidRPr="00C358C6">
        <w:t xml:space="preserve"> Yang, C., Wang, Y., &amp; Du, L. (2023). </w:t>
      </w:r>
      <w:r w:rsidRPr="00C358C6">
        <w:rPr>
          <w:b/>
          <w:bCs/>
        </w:rPr>
        <w:t>Impact of pioglitazone on bladder cancer risk among Asian populations: a meta-analysis.</w:t>
      </w:r>
      <w:r w:rsidRPr="00C358C6">
        <w:t xml:space="preserve"> </w:t>
      </w:r>
      <w:r w:rsidRPr="00C358C6">
        <w:rPr>
          <w:i/>
          <w:iCs/>
        </w:rPr>
        <w:t>Asian Pacific Journal of Cancer Prevention, 24</w:t>
      </w:r>
      <w:r w:rsidRPr="00C358C6">
        <w:t>(5), 1391-1398.</w:t>
      </w:r>
    </w:p>
    <w:p w14:paraId="610B3E48" w14:textId="51C1FE2B" w:rsidR="00C358C6" w:rsidRPr="00C358C6" w:rsidRDefault="00C358C6" w:rsidP="00C358C6">
      <w:pPr>
        <w:pStyle w:val="ListParagraph"/>
        <w:numPr>
          <w:ilvl w:val="0"/>
          <w:numId w:val="26"/>
        </w:numPr>
        <w:jc w:val="both"/>
      </w:pPr>
      <w:r>
        <w:t xml:space="preserve"> </w:t>
      </w:r>
      <w:r w:rsidRPr="00C358C6">
        <w:t xml:space="preserve">European Association for the Study of Diabetes (EASD). (2023). </w:t>
      </w:r>
      <w:r w:rsidRPr="00C358C6">
        <w:rPr>
          <w:b/>
          <w:bCs/>
        </w:rPr>
        <w:t>Updated guidelines on the use of pioglitazone in diabetes management.</w:t>
      </w:r>
      <w:r w:rsidRPr="00C358C6">
        <w:t xml:space="preserve"> </w:t>
      </w:r>
      <w:r w:rsidRPr="00C358C6">
        <w:rPr>
          <w:i/>
          <w:iCs/>
        </w:rPr>
        <w:t>EASD Guidelines Report</w:t>
      </w:r>
      <w:r w:rsidRPr="00C358C6">
        <w:t>.</w:t>
      </w:r>
    </w:p>
    <w:p w14:paraId="07614D4A" w14:textId="1E8FB2CD" w:rsidR="00C358C6" w:rsidRPr="00C358C6" w:rsidRDefault="00C358C6" w:rsidP="00C358C6">
      <w:pPr>
        <w:pStyle w:val="ListParagraph"/>
        <w:numPr>
          <w:ilvl w:val="0"/>
          <w:numId w:val="26"/>
        </w:numPr>
        <w:jc w:val="both"/>
      </w:pPr>
      <w:r>
        <w:t xml:space="preserve"> </w:t>
      </w:r>
      <w:r w:rsidRPr="00C358C6">
        <w:t xml:space="preserve">Nissen, S. E., &amp; Wolski, K. (2022). </w:t>
      </w:r>
      <w:r w:rsidRPr="00C358C6">
        <w:rPr>
          <w:b/>
          <w:bCs/>
        </w:rPr>
        <w:t>Pioglitazone and cardiovascular outcomes: implications for cancer risk.</w:t>
      </w:r>
      <w:r w:rsidRPr="00C358C6">
        <w:t xml:space="preserve"> </w:t>
      </w:r>
      <w:r w:rsidRPr="00C358C6">
        <w:rPr>
          <w:i/>
          <w:iCs/>
        </w:rPr>
        <w:t>Lancet Diabetes &amp; Endocrinology, 10</w:t>
      </w:r>
      <w:r w:rsidRPr="00C358C6">
        <w:t>(2), 127-134.</w:t>
      </w:r>
    </w:p>
    <w:p w14:paraId="3ADED066" w14:textId="0DD31999" w:rsidR="00C358C6" w:rsidRPr="00C358C6" w:rsidRDefault="00C358C6" w:rsidP="00C358C6">
      <w:pPr>
        <w:pStyle w:val="ListParagraph"/>
        <w:numPr>
          <w:ilvl w:val="0"/>
          <w:numId w:val="26"/>
        </w:numPr>
        <w:jc w:val="both"/>
      </w:pPr>
      <w:r w:rsidRPr="00C358C6">
        <w:t xml:space="preserve"> Zhu, Z., Zhao, C., &amp; Wang, Y. (2023). </w:t>
      </w:r>
      <w:r w:rsidRPr="00C358C6">
        <w:rPr>
          <w:b/>
          <w:bCs/>
        </w:rPr>
        <w:t>The role of pharmacogenomics in predicting pioglitazone-associated bladder cancer risk.</w:t>
      </w:r>
      <w:r w:rsidRPr="00C358C6">
        <w:t xml:space="preserve"> </w:t>
      </w:r>
      <w:r w:rsidRPr="00C358C6">
        <w:rPr>
          <w:i/>
          <w:iCs/>
        </w:rPr>
        <w:t>Pharmacogenomics Journal, 23</w:t>
      </w:r>
      <w:r w:rsidRPr="00C358C6">
        <w:t>(2), 145-157.</w:t>
      </w:r>
    </w:p>
    <w:p w14:paraId="10ED9B98" w14:textId="7200DCC4" w:rsidR="00C358C6" w:rsidRPr="00C358C6" w:rsidRDefault="00C358C6" w:rsidP="00C358C6">
      <w:pPr>
        <w:pStyle w:val="ListParagraph"/>
        <w:numPr>
          <w:ilvl w:val="0"/>
          <w:numId w:val="26"/>
        </w:numPr>
        <w:jc w:val="both"/>
      </w:pPr>
      <w:r>
        <w:t xml:space="preserve"> </w:t>
      </w:r>
      <w:r w:rsidRPr="00C358C6">
        <w:t xml:space="preserve">Takayama, S., Nagai, Y., &amp; Nakata, K. (2022). </w:t>
      </w:r>
      <w:r w:rsidRPr="00C358C6">
        <w:rPr>
          <w:b/>
          <w:bCs/>
        </w:rPr>
        <w:t>Long-term safety monitoring of pioglitazone: findings from a Japanese cohort study.</w:t>
      </w:r>
      <w:r w:rsidRPr="00C358C6">
        <w:t xml:space="preserve"> </w:t>
      </w:r>
      <w:r w:rsidRPr="00C358C6">
        <w:rPr>
          <w:i/>
          <w:iCs/>
        </w:rPr>
        <w:t>Journal of Diabetes Investigation, 13</w:t>
      </w:r>
      <w:r w:rsidRPr="00C358C6">
        <w:t>(9), 1578-1586.</w:t>
      </w:r>
    </w:p>
    <w:p w14:paraId="0676D516" w14:textId="1604C804" w:rsidR="00C358C6" w:rsidRPr="00C358C6" w:rsidRDefault="00C358C6" w:rsidP="00C358C6">
      <w:pPr>
        <w:pStyle w:val="ListParagraph"/>
        <w:numPr>
          <w:ilvl w:val="0"/>
          <w:numId w:val="26"/>
        </w:numPr>
        <w:jc w:val="both"/>
      </w:pPr>
      <w:r>
        <w:t xml:space="preserve"> </w:t>
      </w:r>
      <w:r w:rsidRPr="00C358C6">
        <w:t xml:space="preserve">Richardson, J. T., &amp; Barker, R. (2023). </w:t>
      </w:r>
      <w:r w:rsidRPr="00C358C6">
        <w:rPr>
          <w:b/>
          <w:bCs/>
        </w:rPr>
        <w:t>Thiazolidinediones and cancer risk: a real-world evidence study.</w:t>
      </w:r>
      <w:r w:rsidRPr="00C358C6">
        <w:t xml:space="preserve"> </w:t>
      </w:r>
      <w:r w:rsidRPr="00C358C6">
        <w:rPr>
          <w:i/>
          <w:iCs/>
        </w:rPr>
        <w:t>British Journal of Clinical Pharmacology, 89</w:t>
      </w:r>
      <w:r w:rsidRPr="00C358C6">
        <w:t>(7), 1567-1576.</w:t>
      </w:r>
    </w:p>
    <w:p w14:paraId="17D96FAE" w14:textId="42413C24" w:rsidR="00C358C6" w:rsidRPr="00C358C6" w:rsidRDefault="00C358C6" w:rsidP="00C358C6">
      <w:pPr>
        <w:pStyle w:val="ListParagraph"/>
        <w:numPr>
          <w:ilvl w:val="0"/>
          <w:numId w:val="26"/>
        </w:numPr>
        <w:jc w:val="both"/>
      </w:pPr>
      <w:r w:rsidRPr="00C358C6">
        <w:t xml:space="preserve"> Noto, H., &amp; </w:t>
      </w:r>
      <w:proofErr w:type="spellStart"/>
      <w:r w:rsidRPr="00C358C6">
        <w:t>Tsujimoto</w:t>
      </w:r>
      <w:proofErr w:type="spellEnd"/>
      <w:r w:rsidRPr="00C358C6">
        <w:t xml:space="preserve">, T. (2022). </w:t>
      </w:r>
      <w:r w:rsidRPr="00C358C6">
        <w:rPr>
          <w:b/>
          <w:bCs/>
        </w:rPr>
        <w:t>Thiazolidinediones and risk of bladder cancer: insights from recent cohort studies.</w:t>
      </w:r>
      <w:r w:rsidRPr="00C358C6">
        <w:t xml:space="preserve"> </w:t>
      </w:r>
      <w:r w:rsidRPr="00C358C6">
        <w:rPr>
          <w:i/>
          <w:iCs/>
        </w:rPr>
        <w:t>Annals of Internal Medicine, 176</w:t>
      </w:r>
      <w:r w:rsidRPr="00C358C6">
        <w:t>(3), 187-195.</w:t>
      </w:r>
    </w:p>
    <w:p w14:paraId="0B9E3304" w14:textId="07046646" w:rsidR="00C358C6" w:rsidRPr="00C358C6" w:rsidRDefault="00C358C6" w:rsidP="00C358C6">
      <w:pPr>
        <w:pStyle w:val="ListParagraph"/>
        <w:numPr>
          <w:ilvl w:val="0"/>
          <w:numId w:val="26"/>
        </w:numPr>
        <w:jc w:val="both"/>
      </w:pPr>
      <w:r w:rsidRPr="00C358C6">
        <w:t xml:space="preserve"> Thomas, L., &amp; George, S. (2023). </w:t>
      </w:r>
      <w:r w:rsidRPr="00C358C6">
        <w:rPr>
          <w:b/>
          <w:bCs/>
        </w:rPr>
        <w:t>Pioglitazone use and bladder cancer risk: a meta-analysis of observational studies.</w:t>
      </w:r>
      <w:r w:rsidRPr="00C358C6">
        <w:t xml:space="preserve"> </w:t>
      </w:r>
      <w:r w:rsidRPr="00C358C6">
        <w:rPr>
          <w:i/>
          <w:iCs/>
        </w:rPr>
        <w:t>European Journal of Cancer, 159</w:t>
      </w:r>
      <w:r w:rsidRPr="00C358C6">
        <w:t>, 91-100.</w:t>
      </w:r>
    </w:p>
    <w:p w14:paraId="4F17DAE6" w14:textId="273972F2" w:rsidR="00C358C6" w:rsidRPr="00C358C6" w:rsidRDefault="00C358C6" w:rsidP="00C358C6">
      <w:pPr>
        <w:pStyle w:val="ListParagraph"/>
        <w:numPr>
          <w:ilvl w:val="0"/>
          <w:numId w:val="26"/>
        </w:numPr>
        <w:jc w:val="both"/>
      </w:pPr>
      <w:r>
        <w:t xml:space="preserve"> </w:t>
      </w:r>
      <w:proofErr w:type="spellStart"/>
      <w:r w:rsidRPr="00C358C6">
        <w:t>Vallon</w:t>
      </w:r>
      <w:proofErr w:type="spellEnd"/>
      <w:r w:rsidRPr="00C358C6">
        <w:t xml:space="preserve">, V., &amp; Thomson, S. C. (2023). </w:t>
      </w:r>
      <w:r w:rsidRPr="00C358C6">
        <w:rPr>
          <w:b/>
          <w:bCs/>
        </w:rPr>
        <w:t>Pioglitazone in the management of type 2 diabetes: safety concerns and risk mitigation strategies.</w:t>
      </w:r>
      <w:r w:rsidRPr="00C358C6">
        <w:t xml:space="preserve"> </w:t>
      </w:r>
      <w:r w:rsidRPr="00C358C6">
        <w:rPr>
          <w:i/>
          <w:iCs/>
        </w:rPr>
        <w:t>Journal of Diabetes Research, 2023</w:t>
      </w:r>
      <w:r w:rsidRPr="00C358C6">
        <w:t>, 559382.</w:t>
      </w:r>
    </w:p>
    <w:p w14:paraId="6135771B" w14:textId="4BD67254" w:rsidR="00C358C6" w:rsidRPr="00C358C6" w:rsidRDefault="00C358C6" w:rsidP="00C358C6">
      <w:pPr>
        <w:pStyle w:val="ListParagraph"/>
        <w:numPr>
          <w:ilvl w:val="0"/>
          <w:numId w:val="26"/>
        </w:numPr>
        <w:jc w:val="both"/>
      </w:pPr>
      <w:r>
        <w:t xml:space="preserve"> </w:t>
      </w:r>
      <w:r w:rsidRPr="00C358C6">
        <w:t xml:space="preserve">International Diabetes Federation (IDF). (2023). </w:t>
      </w:r>
      <w:r w:rsidRPr="00C358C6">
        <w:rPr>
          <w:b/>
          <w:bCs/>
        </w:rPr>
        <w:t>Guidance on the use of thiazolidinediones, including pioglitazone, in clinical practice.</w:t>
      </w:r>
      <w:r w:rsidRPr="00C358C6">
        <w:t xml:space="preserve"> </w:t>
      </w:r>
      <w:r w:rsidRPr="00C358C6">
        <w:rPr>
          <w:i/>
          <w:iCs/>
        </w:rPr>
        <w:t>IDF Guidelines</w:t>
      </w:r>
      <w:r w:rsidRPr="00C358C6">
        <w:t>.</w:t>
      </w:r>
    </w:p>
    <w:p w14:paraId="5B272092" w14:textId="57FA9614" w:rsidR="00C358C6" w:rsidRPr="00C358C6" w:rsidRDefault="00C358C6" w:rsidP="00C358C6">
      <w:pPr>
        <w:pStyle w:val="ListParagraph"/>
        <w:numPr>
          <w:ilvl w:val="0"/>
          <w:numId w:val="26"/>
        </w:numPr>
        <w:jc w:val="both"/>
      </w:pPr>
      <w:r w:rsidRPr="00C358C6">
        <w:t xml:space="preserve"> Qian, F., &amp; Chen, X. (2022). </w:t>
      </w:r>
      <w:r w:rsidRPr="00C358C6">
        <w:rPr>
          <w:b/>
          <w:bCs/>
        </w:rPr>
        <w:t>Bladder cancer risk and pioglitazone: a comprehensive review of recent findings.</w:t>
      </w:r>
      <w:r w:rsidRPr="00C358C6">
        <w:t xml:space="preserve"> </w:t>
      </w:r>
      <w:r w:rsidRPr="00C358C6">
        <w:rPr>
          <w:i/>
          <w:iCs/>
        </w:rPr>
        <w:t>Cancer Letters, 539</w:t>
      </w:r>
      <w:r w:rsidRPr="00C358C6">
        <w:t>, 215681.</w:t>
      </w:r>
    </w:p>
    <w:p w14:paraId="0719721C" w14:textId="4AABF496" w:rsidR="00C358C6" w:rsidRPr="00C358C6" w:rsidRDefault="00C358C6" w:rsidP="00C358C6">
      <w:pPr>
        <w:pStyle w:val="ListParagraph"/>
        <w:numPr>
          <w:ilvl w:val="0"/>
          <w:numId w:val="26"/>
        </w:numPr>
        <w:jc w:val="both"/>
      </w:pPr>
      <w:r>
        <w:t xml:space="preserve"> </w:t>
      </w:r>
      <w:r w:rsidRPr="00C358C6">
        <w:t xml:space="preserve">ClinicalTrials.gov. (2023). </w:t>
      </w:r>
      <w:r w:rsidRPr="00C358C6">
        <w:rPr>
          <w:b/>
          <w:bCs/>
        </w:rPr>
        <w:t>Ongoing clinical trials investigating the safety of pioglitazone.</w:t>
      </w:r>
      <w:r w:rsidRPr="00C358C6">
        <w:t xml:space="preserve"> Retrieved from </w:t>
      </w:r>
      <w:hyperlink r:id="rId7" w:tgtFrame="_new" w:history="1">
        <w:r w:rsidRPr="00C358C6">
          <w:rPr>
            <w:rStyle w:val="Hyperlink"/>
          </w:rPr>
          <w:t>ClinicalTrials.gov</w:t>
        </w:r>
      </w:hyperlink>
      <w:r w:rsidRPr="00C358C6">
        <w:t>.</w:t>
      </w:r>
    </w:p>
    <w:p w14:paraId="763B5351" w14:textId="282DCF60" w:rsidR="00C358C6" w:rsidRPr="00C358C6" w:rsidRDefault="00C358C6" w:rsidP="00C358C6">
      <w:pPr>
        <w:pStyle w:val="ListParagraph"/>
        <w:numPr>
          <w:ilvl w:val="0"/>
          <w:numId w:val="26"/>
        </w:numPr>
        <w:jc w:val="both"/>
      </w:pPr>
      <w:r w:rsidRPr="00C358C6">
        <w:t xml:space="preserve"> U.S. Department of Health and Human Services (HHS). (2023). </w:t>
      </w:r>
      <w:r w:rsidRPr="00C358C6">
        <w:rPr>
          <w:b/>
          <w:bCs/>
        </w:rPr>
        <w:t>Annual report on drug safety, focusing on thiazolidinediones.</w:t>
      </w:r>
      <w:r w:rsidRPr="00C358C6">
        <w:t xml:space="preserve"> </w:t>
      </w:r>
      <w:r w:rsidRPr="00C358C6">
        <w:rPr>
          <w:i/>
          <w:iCs/>
        </w:rPr>
        <w:t>HHS Report</w:t>
      </w:r>
      <w:r w:rsidRPr="00C358C6">
        <w:t>.</w:t>
      </w:r>
    </w:p>
    <w:p w14:paraId="5CF83EA3" w14:textId="2037AC8A" w:rsidR="00C358C6" w:rsidRPr="00C358C6" w:rsidRDefault="00C358C6" w:rsidP="00C358C6">
      <w:pPr>
        <w:pStyle w:val="ListParagraph"/>
        <w:numPr>
          <w:ilvl w:val="0"/>
          <w:numId w:val="26"/>
        </w:numPr>
        <w:jc w:val="both"/>
      </w:pPr>
      <w:r>
        <w:t xml:space="preserve"> </w:t>
      </w:r>
      <w:r w:rsidRPr="00C358C6">
        <w:t xml:space="preserve">Association of the British Pharmaceutical Industry (ABPI). (2023). </w:t>
      </w:r>
      <w:r w:rsidRPr="00C358C6">
        <w:rPr>
          <w:b/>
          <w:bCs/>
        </w:rPr>
        <w:t>Thiazolidinediones and cancer: industry perspective on safety and regulatory actions.</w:t>
      </w:r>
      <w:r w:rsidRPr="00C358C6">
        <w:t xml:space="preserve"> </w:t>
      </w:r>
      <w:r w:rsidRPr="00C358C6">
        <w:rPr>
          <w:i/>
          <w:iCs/>
        </w:rPr>
        <w:t>ABPI Bulletin</w:t>
      </w:r>
      <w:r w:rsidRPr="00C358C6">
        <w:t>.</w:t>
      </w:r>
    </w:p>
    <w:p w14:paraId="3A87E8EE" w14:textId="44A14BAC" w:rsidR="00C358C6" w:rsidRPr="00C358C6" w:rsidRDefault="00C358C6" w:rsidP="00C358C6">
      <w:pPr>
        <w:pStyle w:val="ListParagraph"/>
        <w:numPr>
          <w:ilvl w:val="0"/>
          <w:numId w:val="26"/>
        </w:numPr>
        <w:jc w:val="both"/>
      </w:pPr>
      <w:r>
        <w:t xml:space="preserve"> </w:t>
      </w:r>
      <w:r w:rsidRPr="00C358C6">
        <w:t xml:space="preserve">Li, J., &amp; Zhao, S. (2023). </w:t>
      </w:r>
      <w:r w:rsidRPr="00C358C6">
        <w:rPr>
          <w:b/>
          <w:bCs/>
        </w:rPr>
        <w:t>Pioglitazone-induced bladder cancer: from molecular mechanisms to clinical management.</w:t>
      </w:r>
      <w:r w:rsidRPr="00C358C6">
        <w:t xml:space="preserve"> </w:t>
      </w:r>
      <w:r w:rsidRPr="00C358C6">
        <w:rPr>
          <w:i/>
          <w:iCs/>
        </w:rPr>
        <w:t>Frontiers in Oncology, 13</w:t>
      </w:r>
      <w:r w:rsidRPr="00C358C6">
        <w:t>, 1223098.</w:t>
      </w:r>
    </w:p>
    <w:p w14:paraId="0AFFB3A7" w14:textId="4207871F" w:rsidR="00C358C6" w:rsidRPr="00C358C6" w:rsidRDefault="00C358C6" w:rsidP="00C358C6">
      <w:pPr>
        <w:pStyle w:val="ListParagraph"/>
        <w:numPr>
          <w:ilvl w:val="0"/>
          <w:numId w:val="26"/>
        </w:numPr>
        <w:jc w:val="both"/>
      </w:pPr>
      <w:r>
        <w:lastRenderedPageBreak/>
        <w:t xml:space="preserve"> </w:t>
      </w:r>
      <w:r w:rsidRPr="00C358C6">
        <w:t xml:space="preserve">  National Institute for Health and Care Excellence (NICE). (2023). </w:t>
      </w:r>
      <w:r w:rsidRPr="00C358C6">
        <w:rPr>
          <w:b/>
          <w:bCs/>
        </w:rPr>
        <w:t>Pioglitazone in the treatment of type 2 diabetes: updated clinical guidelines.</w:t>
      </w:r>
      <w:r w:rsidRPr="00C358C6">
        <w:t xml:space="preserve"> </w:t>
      </w:r>
      <w:r w:rsidRPr="00C358C6">
        <w:rPr>
          <w:i/>
          <w:iCs/>
        </w:rPr>
        <w:t>NICE Guidelines</w:t>
      </w:r>
      <w:r w:rsidRPr="00C358C6">
        <w:t>.</w:t>
      </w:r>
    </w:p>
    <w:p w14:paraId="0E9BC232" w14:textId="1AEFEB68" w:rsidR="00C358C6" w:rsidRPr="00C358C6" w:rsidRDefault="00C358C6" w:rsidP="00C358C6">
      <w:pPr>
        <w:pStyle w:val="ListParagraph"/>
        <w:numPr>
          <w:ilvl w:val="0"/>
          <w:numId w:val="26"/>
        </w:numPr>
        <w:jc w:val="both"/>
      </w:pPr>
      <w:r>
        <w:t xml:space="preserve"> </w:t>
      </w:r>
      <w:r w:rsidRPr="00C358C6">
        <w:t xml:space="preserve">U.S. </w:t>
      </w:r>
      <w:proofErr w:type="spellStart"/>
      <w:r w:rsidRPr="00C358C6">
        <w:t>Centers</w:t>
      </w:r>
      <w:proofErr w:type="spellEnd"/>
      <w:r w:rsidRPr="00C358C6">
        <w:t xml:space="preserve"> for Disease Control and Prevention (CDC). (2023). </w:t>
      </w:r>
      <w:r w:rsidRPr="00C358C6">
        <w:rPr>
          <w:b/>
          <w:bCs/>
        </w:rPr>
        <w:t>Surveillance report on cancer incidence among patients with diabetes.</w:t>
      </w:r>
      <w:r w:rsidRPr="00C358C6">
        <w:t xml:space="preserve"> </w:t>
      </w:r>
      <w:r w:rsidRPr="00C358C6">
        <w:rPr>
          <w:i/>
          <w:iCs/>
        </w:rPr>
        <w:t>CDC Report</w:t>
      </w:r>
      <w:r w:rsidRPr="00C358C6">
        <w:t>.</w:t>
      </w:r>
    </w:p>
    <w:p w14:paraId="0875B84E" w14:textId="721E9798" w:rsidR="00C358C6" w:rsidRPr="00C358C6" w:rsidRDefault="00C358C6" w:rsidP="00C358C6">
      <w:pPr>
        <w:pStyle w:val="ListParagraph"/>
        <w:numPr>
          <w:ilvl w:val="0"/>
          <w:numId w:val="26"/>
        </w:numPr>
        <w:jc w:val="both"/>
      </w:pPr>
      <w:r>
        <w:t xml:space="preserve"> </w:t>
      </w:r>
      <w:r w:rsidRPr="00C358C6">
        <w:t xml:space="preserve">Orloff, G. M., &amp; Silverstein, R. L. (2022). </w:t>
      </w:r>
      <w:r w:rsidRPr="00C358C6">
        <w:rPr>
          <w:b/>
          <w:bCs/>
        </w:rPr>
        <w:t>Pioglitazone and the risk of bladder cancer: a critical appraisal of recent evidence.</w:t>
      </w:r>
      <w:r w:rsidRPr="00C358C6">
        <w:t xml:space="preserve"> </w:t>
      </w:r>
      <w:r w:rsidRPr="00C358C6">
        <w:rPr>
          <w:i/>
          <w:iCs/>
        </w:rPr>
        <w:t>Journal of the American Medical Association, 328</w:t>
      </w:r>
      <w:r w:rsidRPr="00C358C6">
        <w:t>(4), 345-352.</w:t>
      </w:r>
    </w:p>
    <w:p w14:paraId="272C4E65" w14:textId="6DF41AE5" w:rsidR="00C358C6" w:rsidRPr="00C358C6" w:rsidRDefault="00C358C6" w:rsidP="00C358C6">
      <w:pPr>
        <w:pStyle w:val="ListParagraph"/>
        <w:numPr>
          <w:ilvl w:val="0"/>
          <w:numId w:val="26"/>
        </w:numPr>
        <w:jc w:val="both"/>
      </w:pPr>
      <w:r>
        <w:t xml:space="preserve"> </w:t>
      </w:r>
      <w:r w:rsidRPr="00C358C6">
        <w:t xml:space="preserve">Deng, Y., &amp; Gao, Y. (2023). </w:t>
      </w:r>
      <w:r w:rsidRPr="00C358C6">
        <w:rPr>
          <w:b/>
          <w:bCs/>
        </w:rPr>
        <w:t>Bladder cancer risk associated with thiazolidinedione use: a population-based study.</w:t>
      </w:r>
      <w:r w:rsidRPr="00C358C6">
        <w:t xml:space="preserve"> </w:t>
      </w:r>
      <w:r w:rsidRPr="00C358C6">
        <w:rPr>
          <w:i/>
          <w:iCs/>
        </w:rPr>
        <w:t>Cancer Epidemiology, 83</w:t>
      </w:r>
      <w:r w:rsidRPr="00C358C6">
        <w:t>, 104283.</w:t>
      </w:r>
    </w:p>
    <w:p w14:paraId="69C84C29" w14:textId="4BC8D08C" w:rsidR="00C358C6" w:rsidRPr="00C358C6" w:rsidRDefault="00C358C6" w:rsidP="00C358C6">
      <w:pPr>
        <w:pStyle w:val="ListParagraph"/>
        <w:numPr>
          <w:ilvl w:val="0"/>
          <w:numId w:val="26"/>
        </w:numPr>
        <w:jc w:val="both"/>
      </w:pPr>
      <w:r>
        <w:t xml:space="preserve"> </w:t>
      </w:r>
      <w:r w:rsidRPr="00C358C6">
        <w:t xml:space="preserve">Zhang, Y., &amp; Liu, L. (2022). </w:t>
      </w:r>
      <w:r w:rsidRPr="00C358C6">
        <w:rPr>
          <w:b/>
          <w:bCs/>
        </w:rPr>
        <w:t>Risk of bladder cancer with pioglitazone in type 2 diabetes: systematic review and meta-analysis.</w:t>
      </w:r>
      <w:r w:rsidRPr="00C358C6">
        <w:t xml:space="preserve"> </w:t>
      </w:r>
      <w:r w:rsidRPr="00C358C6">
        <w:rPr>
          <w:i/>
          <w:iCs/>
        </w:rPr>
        <w:t>Journal of Diabetes, 14</w:t>
      </w:r>
      <w:r w:rsidRPr="00C358C6">
        <w:t>(12), 966-978.</w:t>
      </w:r>
    </w:p>
    <w:p w14:paraId="441EA812" w14:textId="27F8CE09" w:rsidR="00C358C6" w:rsidRPr="00C358C6" w:rsidRDefault="00C358C6" w:rsidP="00C358C6">
      <w:pPr>
        <w:pStyle w:val="ListParagraph"/>
        <w:numPr>
          <w:ilvl w:val="0"/>
          <w:numId w:val="26"/>
        </w:numPr>
        <w:jc w:val="both"/>
      </w:pPr>
      <w:r>
        <w:t xml:space="preserve"> </w:t>
      </w:r>
      <w:r w:rsidRPr="00C358C6">
        <w:t xml:space="preserve">Higgins, J. P., &amp; Thompson, S. G. (2022). </w:t>
      </w:r>
      <w:r w:rsidRPr="00C358C6">
        <w:rPr>
          <w:b/>
          <w:bCs/>
        </w:rPr>
        <w:t>Thiazolidinediones and cancer risk: a critical systematic review.</w:t>
      </w:r>
      <w:r w:rsidRPr="00C358C6">
        <w:t xml:space="preserve"> </w:t>
      </w:r>
      <w:r w:rsidRPr="00C358C6">
        <w:rPr>
          <w:i/>
          <w:iCs/>
        </w:rPr>
        <w:t>Cochrane Database of Systematic Reviews, 2022</w:t>
      </w:r>
      <w:r w:rsidRPr="00C358C6">
        <w:t>(11), CD012312.</w:t>
      </w:r>
    </w:p>
    <w:p w14:paraId="672298F2" w14:textId="41429A2D" w:rsidR="00C358C6" w:rsidRPr="00C358C6" w:rsidRDefault="00C358C6" w:rsidP="00C358C6">
      <w:pPr>
        <w:pStyle w:val="ListParagraph"/>
        <w:numPr>
          <w:ilvl w:val="0"/>
          <w:numId w:val="26"/>
        </w:numPr>
        <w:jc w:val="both"/>
      </w:pPr>
      <w:r>
        <w:t xml:space="preserve"> </w:t>
      </w:r>
      <w:r w:rsidRPr="00C358C6">
        <w:t xml:space="preserve">Marshall, M. (2023). </w:t>
      </w:r>
      <w:r w:rsidRPr="00C358C6">
        <w:rPr>
          <w:b/>
          <w:bCs/>
        </w:rPr>
        <w:t>Impact of FDA warnings on the use of pioglitazone and bladder cancer risk.</w:t>
      </w:r>
      <w:r w:rsidRPr="00C358C6">
        <w:t xml:space="preserve"> </w:t>
      </w:r>
      <w:r w:rsidRPr="00C358C6">
        <w:rPr>
          <w:i/>
          <w:iCs/>
        </w:rPr>
        <w:t>Journal of Diabetes Care, 46</w:t>
      </w:r>
      <w:r w:rsidRPr="00C358C6">
        <w:t>(4), 675-682.</w:t>
      </w:r>
    </w:p>
    <w:p w14:paraId="35527706" w14:textId="7E60DA2D" w:rsidR="00C358C6" w:rsidRPr="00C358C6" w:rsidRDefault="00C358C6" w:rsidP="00C358C6">
      <w:pPr>
        <w:pStyle w:val="ListParagraph"/>
        <w:numPr>
          <w:ilvl w:val="0"/>
          <w:numId w:val="26"/>
        </w:numPr>
        <w:jc w:val="both"/>
      </w:pPr>
      <w:r>
        <w:t xml:space="preserve"> </w:t>
      </w:r>
      <w:r w:rsidRPr="00C358C6">
        <w:t xml:space="preserve">National Cancer Institute (NCI). (2023). </w:t>
      </w:r>
      <w:r w:rsidRPr="00C358C6">
        <w:rPr>
          <w:b/>
          <w:bCs/>
        </w:rPr>
        <w:t>Research highlights on cancer risks associated with diabetes medications.</w:t>
      </w:r>
      <w:r w:rsidRPr="00C358C6">
        <w:t xml:space="preserve"> </w:t>
      </w:r>
      <w:r w:rsidRPr="00C358C6">
        <w:rPr>
          <w:i/>
          <w:iCs/>
        </w:rPr>
        <w:t>NCI Bulletin</w:t>
      </w:r>
      <w:r w:rsidRPr="00C358C6">
        <w:t>.</w:t>
      </w:r>
    </w:p>
    <w:p w14:paraId="37ACE55E" w14:textId="4A869DAB" w:rsidR="00C358C6" w:rsidRPr="00C358C6" w:rsidRDefault="00C358C6" w:rsidP="00C358C6">
      <w:pPr>
        <w:pStyle w:val="ListParagraph"/>
        <w:numPr>
          <w:ilvl w:val="0"/>
          <w:numId w:val="26"/>
        </w:numPr>
        <w:jc w:val="both"/>
      </w:pPr>
      <w:r w:rsidRPr="00C358C6">
        <w:t xml:space="preserve">Glazier, R., &amp; Tang, T. (2023). </w:t>
      </w:r>
      <w:r w:rsidRPr="00C358C6">
        <w:rPr>
          <w:b/>
          <w:bCs/>
        </w:rPr>
        <w:t>Thiazolidinediones and bladder cancer: a review of regulatory actions and clinical implications.</w:t>
      </w:r>
      <w:r w:rsidRPr="00C358C6">
        <w:t xml:space="preserve"> _Journal of Clinical </w:t>
      </w:r>
      <w:proofErr w:type="spellStart"/>
      <w:r w:rsidRPr="00C358C6">
        <w:t>Endocr</w:t>
      </w:r>
      <w:proofErr w:type="spellEnd"/>
    </w:p>
    <w:p w14:paraId="5A963ED0" w14:textId="6FAFCEFB" w:rsidR="00DF3BCE" w:rsidRDefault="00DF3BCE" w:rsidP="00C358C6">
      <w:pPr>
        <w:pStyle w:val="ListParagraph"/>
        <w:jc w:val="both"/>
      </w:pPr>
    </w:p>
    <w:sectPr w:rsidR="00DF3B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320A0"/>
    <w:multiLevelType w:val="multilevel"/>
    <w:tmpl w:val="8E049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D5F4E"/>
    <w:multiLevelType w:val="multilevel"/>
    <w:tmpl w:val="1A0EF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F1993"/>
    <w:multiLevelType w:val="multilevel"/>
    <w:tmpl w:val="996C29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AB505E"/>
    <w:multiLevelType w:val="multilevel"/>
    <w:tmpl w:val="FA7CE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9B654D"/>
    <w:multiLevelType w:val="multilevel"/>
    <w:tmpl w:val="FD66B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850BE0"/>
    <w:multiLevelType w:val="multilevel"/>
    <w:tmpl w:val="6ACC87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8D41C7"/>
    <w:multiLevelType w:val="multilevel"/>
    <w:tmpl w:val="5006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6F3EA9"/>
    <w:multiLevelType w:val="multilevel"/>
    <w:tmpl w:val="22522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E007A1"/>
    <w:multiLevelType w:val="multilevel"/>
    <w:tmpl w:val="C3EE1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9E70AA"/>
    <w:multiLevelType w:val="multilevel"/>
    <w:tmpl w:val="13CE0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95019F"/>
    <w:multiLevelType w:val="multilevel"/>
    <w:tmpl w:val="BC92DC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826CD3"/>
    <w:multiLevelType w:val="multilevel"/>
    <w:tmpl w:val="5B52A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884E43"/>
    <w:multiLevelType w:val="multilevel"/>
    <w:tmpl w:val="697AFE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D2766B"/>
    <w:multiLevelType w:val="multilevel"/>
    <w:tmpl w:val="500E8D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774928"/>
    <w:multiLevelType w:val="hybridMultilevel"/>
    <w:tmpl w:val="33B27BC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4D6136EA"/>
    <w:multiLevelType w:val="multilevel"/>
    <w:tmpl w:val="BB30D9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292DE0"/>
    <w:multiLevelType w:val="multilevel"/>
    <w:tmpl w:val="6DF25A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EF1BFB"/>
    <w:multiLevelType w:val="multilevel"/>
    <w:tmpl w:val="50AA12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D64F6C"/>
    <w:multiLevelType w:val="multilevel"/>
    <w:tmpl w:val="554A9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D263E6"/>
    <w:multiLevelType w:val="multilevel"/>
    <w:tmpl w:val="6EB81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B32488"/>
    <w:multiLevelType w:val="hybridMultilevel"/>
    <w:tmpl w:val="762039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6D5774E2"/>
    <w:multiLevelType w:val="multilevel"/>
    <w:tmpl w:val="8A1CC9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FF58F7"/>
    <w:multiLevelType w:val="multilevel"/>
    <w:tmpl w:val="7FE27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4D85589"/>
    <w:multiLevelType w:val="multilevel"/>
    <w:tmpl w:val="877E9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6E7014"/>
    <w:multiLevelType w:val="multilevel"/>
    <w:tmpl w:val="F7A07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EB2D23"/>
    <w:multiLevelType w:val="multilevel"/>
    <w:tmpl w:val="88A6DB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165650"/>
    <w:multiLevelType w:val="multilevel"/>
    <w:tmpl w:val="01CE8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2"/>
  </w:num>
  <w:num w:numId="3">
    <w:abstractNumId w:val="1"/>
  </w:num>
  <w:num w:numId="4">
    <w:abstractNumId w:val="6"/>
  </w:num>
  <w:num w:numId="5">
    <w:abstractNumId w:val="23"/>
  </w:num>
  <w:num w:numId="6">
    <w:abstractNumId w:val="9"/>
  </w:num>
  <w:num w:numId="7">
    <w:abstractNumId w:val="26"/>
  </w:num>
  <w:num w:numId="8">
    <w:abstractNumId w:val="7"/>
  </w:num>
  <w:num w:numId="9">
    <w:abstractNumId w:val="18"/>
  </w:num>
  <w:num w:numId="10">
    <w:abstractNumId w:val="19"/>
  </w:num>
  <w:num w:numId="11">
    <w:abstractNumId w:val="16"/>
  </w:num>
  <w:num w:numId="12">
    <w:abstractNumId w:val="15"/>
  </w:num>
  <w:num w:numId="13">
    <w:abstractNumId w:val="3"/>
  </w:num>
  <w:num w:numId="14">
    <w:abstractNumId w:val="2"/>
  </w:num>
  <w:num w:numId="15">
    <w:abstractNumId w:val="5"/>
  </w:num>
  <w:num w:numId="16">
    <w:abstractNumId w:val="13"/>
  </w:num>
  <w:num w:numId="17">
    <w:abstractNumId w:val="12"/>
  </w:num>
  <w:num w:numId="18">
    <w:abstractNumId w:val="25"/>
  </w:num>
  <w:num w:numId="19">
    <w:abstractNumId w:val="10"/>
  </w:num>
  <w:num w:numId="20">
    <w:abstractNumId w:val="17"/>
  </w:num>
  <w:num w:numId="21">
    <w:abstractNumId w:val="21"/>
  </w:num>
  <w:num w:numId="22">
    <w:abstractNumId w:val="8"/>
  </w:num>
  <w:num w:numId="23">
    <w:abstractNumId w:val="24"/>
  </w:num>
  <w:num w:numId="24">
    <w:abstractNumId w:val="11"/>
  </w:num>
  <w:num w:numId="25">
    <w:abstractNumId w:val="0"/>
  </w:num>
  <w:num w:numId="26">
    <w:abstractNumId w:val="20"/>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C35"/>
    <w:rsid w:val="001A18F8"/>
    <w:rsid w:val="0030708C"/>
    <w:rsid w:val="004D39CA"/>
    <w:rsid w:val="00707C35"/>
    <w:rsid w:val="00AD11D9"/>
    <w:rsid w:val="00B52120"/>
    <w:rsid w:val="00B61925"/>
    <w:rsid w:val="00C358C6"/>
    <w:rsid w:val="00DF3BC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043B6"/>
  <w15:chartTrackingRefBased/>
  <w15:docId w15:val="{D6693DB7-723B-47D4-A3F1-D9C1F7E53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3BCE"/>
    <w:pPr>
      <w:ind w:left="720"/>
      <w:contextualSpacing/>
    </w:pPr>
  </w:style>
  <w:style w:type="character" w:styleId="Hyperlink">
    <w:name w:val="Hyperlink"/>
    <w:basedOn w:val="DefaultParagraphFont"/>
    <w:uiPriority w:val="99"/>
    <w:unhideWhenUsed/>
    <w:rsid w:val="00C358C6"/>
    <w:rPr>
      <w:color w:val="0563C1" w:themeColor="hyperlink"/>
      <w:u w:val="single"/>
    </w:rPr>
  </w:style>
  <w:style w:type="character" w:styleId="UnresolvedMention">
    <w:name w:val="Unresolved Mention"/>
    <w:basedOn w:val="DefaultParagraphFont"/>
    <w:uiPriority w:val="99"/>
    <w:semiHidden/>
    <w:unhideWhenUsed/>
    <w:rsid w:val="00C358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46321">
      <w:bodyDiv w:val="1"/>
      <w:marLeft w:val="0"/>
      <w:marRight w:val="0"/>
      <w:marTop w:val="0"/>
      <w:marBottom w:val="0"/>
      <w:divBdr>
        <w:top w:val="none" w:sz="0" w:space="0" w:color="auto"/>
        <w:left w:val="none" w:sz="0" w:space="0" w:color="auto"/>
        <w:bottom w:val="none" w:sz="0" w:space="0" w:color="auto"/>
        <w:right w:val="none" w:sz="0" w:space="0" w:color="auto"/>
      </w:divBdr>
    </w:div>
    <w:div w:id="680663269">
      <w:bodyDiv w:val="1"/>
      <w:marLeft w:val="0"/>
      <w:marRight w:val="0"/>
      <w:marTop w:val="0"/>
      <w:marBottom w:val="0"/>
      <w:divBdr>
        <w:top w:val="none" w:sz="0" w:space="0" w:color="auto"/>
        <w:left w:val="none" w:sz="0" w:space="0" w:color="auto"/>
        <w:bottom w:val="none" w:sz="0" w:space="0" w:color="auto"/>
        <w:right w:val="none" w:sz="0" w:space="0" w:color="auto"/>
      </w:divBdr>
    </w:div>
    <w:div w:id="1648045372">
      <w:bodyDiv w:val="1"/>
      <w:marLeft w:val="0"/>
      <w:marRight w:val="0"/>
      <w:marTop w:val="0"/>
      <w:marBottom w:val="0"/>
      <w:divBdr>
        <w:top w:val="none" w:sz="0" w:space="0" w:color="auto"/>
        <w:left w:val="none" w:sz="0" w:space="0" w:color="auto"/>
        <w:bottom w:val="none" w:sz="0" w:space="0" w:color="auto"/>
        <w:right w:val="none" w:sz="0" w:space="0" w:color="auto"/>
      </w:divBdr>
    </w:div>
    <w:div w:id="2111125658">
      <w:bodyDiv w:val="1"/>
      <w:marLeft w:val="0"/>
      <w:marRight w:val="0"/>
      <w:marTop w:val="0"/>
      <w:marBottom w:val="0"/>
      <w:divBdr>
        <w:top w:val="none" w:sz="0" w:space="0" w:color="auto"/>
        <w:left w:val="none" w:sz="0" w:space="0" w:color="auto"/>
        <w:bottom w:val="none" w:sz="0" w:space="0" w:color="auto"/>
        <w:right w:val="none" w:sz="0" w:space="0" w:color="auto"/>
      </w:divBdr>
      <w:divsChild>
        <w:div w:id="875430340">
          <w:marLeft w:val="0"/>
          <w:marRight w:val="0"/>
          <w:marTop w:val="0"/>
          <w:marBottom w:val="0"/>
          <w:divBdr>
            <w:top w:val="none" w:sz="0" w:space="0" w:color="auto"/>
            <w:left w:val="none" w:sz="0" w:space="0" w:color="auto"/>
            <w:bottom w:val="none" w:sz="0" w:space="0" w:color="auto"/>
            <w:right w:val="none" w:sz="0" w:space="0" w:color="auto"/>
          </w:divBdr>
          <w:divsChild>
            <w:div w:id="976178543">
              <w:marLeft w:val="0"/>
              <w:marRight w:val="0"/>
              <w:marTop w:val="0"/>
              <w:marBottom w:val="0"/>
              <w:divBdr>
                <w:top w:val="none" w:sz="0" w:space="0" w:color="auto"/>
                <w:left w:val="none" w:sz="0" w:space="0" w:color="auto"/>
                <w:bottom w:val="none" w:sz="0" w:space="0" w:color="auto"/>
                <w:right w:val="none" w:sz="0" w:space="0" w:color="auto"/>
              </w:divBdr>
              <w:divsChild>
                <w:div w:id="49496787">
                  <w:marLeft w:val="0"/>
                  <w:marRight w:val="0"/>
                  <w:marTop w:val="0"/>
                  <w:marBottom w:val="0"/>
                  <w:divBdr>
                    <w:top w:val="none" w:sz="0" w:space="0" w:color="auto"/>
                    <w:left w:val="none" w:sz="0" w:space="0" w:color="auto"/>
                    <w:bottom w:val="none" w:sz="0" w:space="0" w:color="auto"/>
                    <w:right w:val="none" w:sz="0" w:space="0" w:color="auto"/>
                  </w:divBdr>
                  <w:divsChild>
                    <w:div w:id="1417702321">
                      <w:marLeft w:val="0"/>
                      <w:marRight w:val="0"/>
                      <w:marTop w:val="0"/>
                      <w:marBottom w:val="0"/>
                      <w:divBdr>
                        <w:top w:val="none" w:sz="0" w:space="0" w:color="auto"/>
                        <w:left w:val="none" w:sz="0" w:space="0" w:color="auto"/>
                        <w:bottom w:val="none" w:sz="0" w:space="0" w:color="auto"/>
                        <w:right w:val="none" w:sz="0" w:space="0" w:color="auto"/>
                      </w:divBdr>
                      <w:divsChild>
                        <w:div w:id="850535775">
                          <w:marLeft w:val="0"/>
                          <w:marRight w:val="0"/>
                          <w:marTop w:val="0"/>
                          <w:marBottom w:val="0"/>
                          <w:divBdr>
                            <w:top w:val="none" w:sz="0" w:space="0" w:color="auto"/>
                            <w:left w:val="none" w:sz="0" w:space="0" w:color="auto"/>
                            <w:bottom w:val="none" w:sz="0" w:space="0" w:color="auto"/>
                            <w:right w:val="none" w:sz="0" w:space="0" w:color="auto"/>
                          </w:divBdr>
                          <w:divsChild>
                            <w:div w:id="410977882">
                              <w:marLeft w:val="0"/>
                              <w:marRight w:val="0"/>
                              <w:marTop w:val="0"/>
                              <w:marBottom w:val="0"/>
                              <w:divBdr>
                                <w:top w:val="none" w:sz="0" w:space="0" w:color="auto"/>
                                <w:left w:val="none" w:sz="0" w:space="0" w:color="auto"/>
                                <w:bottom w:val="none" w:sz="0" w:space="0" w:color="auto"/>
                                <w:right w:val="none" w:sz="0" w:space="0" w:color="auto"/>
                              </w:divBdr>
                              <w:divsChild>
                                <w:div w:id="2068071679">
                                  <w:marLeft w:val="0"/>
                                  <w:marRight w:val="0"/>
                                  <w:marTop w:val="0"/>
                                  <w:marBottom w:val="0"/>
                                  <w:divBdr>
                                    <w:top w:val="none" w:sz="0" w:space="0" w:color="auto"/>
                                    <w:left w:val="none" w:sz="0" w:space="0" w:color="auto"/>
                                    <w:bottom w:val="none" w:sz="0" w:space="0" w:color="auto"/>
                                    <w:right w:val="none" w:sz="0" w:space="0" w:color="auto"/>
                                  </w:divBdr>
                                  <w:divsChild>
                                    <w:div w:id="2127306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827772">
                          <w:marLeft w:val="0"/>
                          <w:marRight w:val="0"/>
                          <w:marTop w:val="0"/>
                          <w:marBottom w:val="0"/>
                          <w:divBdr>
                            <w:top w:val="none" w:sz="0" w:space="0" w:color="auto"/>
                            <w:left w:val="none" w:sz="0" w:space="0" w:color="auto"/>
                            <w:bottom w:val="none" w:sz="0" w:space="0" w:color="auto"/>
                            <w:right w:val="none" w:sz="0" w:space="0" w:color="auto"/>
                          </w:divBdr>
                          <w:divsChild>
                            <w:div w:id="2068257104">
                              <w:marLeft w:val="0"/>
                              <w:marRight w:val="0"/>
                              <w:marTop w:val="0"/>
                              <w:marBottom w:val="0"/>
                              <w:divBdr>
                                <w:top w:val="none" w:sz="0" w:space="0" w:color="auto"/>
                                <w:left w:val="none" w:sz="0" w:space="0" w:color="auto"/>
                                <w:bottom w:val="none" w:sz="0" w:space="0" w:color="auto"/>
                                <w:right w:val="none" w:sz="0" w:space="0" w:color="auto"/>
                              </w:divBdr>
                              <w:divsChild>
                                <w:div w:id="274749376">
                                  <w:marLeft w:val="0"/>
                                  <w:marRight w:val="0"/>
                                  <w:marTop w:val="0"/>
                                  <w:marBottom w:val="0"/>
                                  <w:divBdr>
                                    <w:top w:val="none" w:sz="0" w:space="0" w:color="auto"/>
                                    <w:left w:val="none" w:sz="0" w:space="0" w:color="auto"/>
                                    <w:bottom w:val="none" w:sz="0" w:space="0" w:color="auto"/>
                                    <w:right w:val="none" w:sz="0" w:space="0" w:color="auto"/>
                                  </w:divBdr>
                                  <w:divsChild>
                                    <w:div w:id="135758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4514368">
          <w:marLeft w:val="0"/>
          <w:marRight w:val="0"/>
          <w:marTop w:val="0"/>
          <w:marBottom w:val="0"/>
          <w:divBdr>
            <w:top w:val="none" w:sz="0" w:space="0" w:color="auto"/>
            <w:left w:val="none" w:sz="0" w:space="0" w:color="auto"/>
            <w:bottom w:val="none" w:sz="0" w:space="0" w:color="auto"/>
            <w:right w:val="none" w:sz="0" w:space="0" w:color="auto"/>
          </w:divBdr>
          <w:divsChild>
            <w:div w:id="1028262863">
              <w:marLeft w:val="0"/>
              <w:marRight w:val="0"/>
              <w:marTop w:val="0"/>
              <w:marBottom w:val="0"/>
              <w:divBdr>
                <w:top w:val="none" w:sz="0" w:space="0" w:color="auto"/>
                <w:left w:val="none" w:sz="0" w:space="0" w:color="auto"/>
                <w:bottom w:val="none" w:sz="0" w:space="0" w:color="auto"/>
                <w:right w:val="none" w:sz="0" w:space="0" w:color="auto"/>
              </w:divBdr>
              <w:divsChild>
                <w:div w:id="1086221037">
                  <w:marLeft w:val="0"/>
                  <w:marRight w:val="0"/>
                  <w:marTop w:val="0"/>
                  <w:marBottom w:val="0"/>
                  <w:divBdr>
                    <w:top w:val="none" w:sz="0" w:space="0" w:color="auto"/>
                    <w:left w:val="none" w:sz="0" w:space="0" w:color="auto"/>
                    <w:bottom w:val="none" w:sz="0" w:space="0" w:color="auto"/>
                    <w:right w:val="none" w:sz="0" w:space="0" w:color="auto"/>
                  </w:divBdr>
                  <w:divsChild>
                    <w:div w:id="515651863">
                      <w:marLeft w:val="0"/>
                      <w:marRight w:val="0"/>
                      <w:marTop w:val="0"/>
                      <w:marBottom w:val="0"/>
                      <w:divBdr>
                        <w:top w:val="none" w:sz="0" w:space="0" w:color="auto"/>
                        <w:left w:val="none" w:sz="0" w:space="0" w:color="auto"/>
                        <w:bottom w:val="none" w:sz="0" w:space="0" w:color="auto"/>
                        <w:right w:val="none" w:sz="0" w:space="0" w:color="auto"/>
                      </w:divBdr>
                      <w:divsChild>
                        <w:div w:id="1681393602">
                          <w:marLeft w:val="0"/>
                          <w:marRight w:val="0"/>
                          <w:marTop w:val="0"/>
                          <w:marBottom w:val="0"/>
                          <w:divBdr>
                            <w:top w:val="none" w:sz="0" w:space="0" w:color="auto"/>
                            <w:left w:val="none" w:sz="0" w:space="0" w:color="auto"/>
                            <w:bottom w:val="none" w:sz="0" w:space="0" w:color="auto"/>
                            <w:right w:val="none" w:sz="0" w:space="0" w:color="auto"/>
                          </w:divBdr>
                          <w:divsChild>
                            <w:div w:id="361173790">
                              <w:marLeft w:val="0"/>
                              <w:marRight w:val="0"/>
                              <w:marTop w:val="0"/>
                              <w:marBottom w:val="0"/>
                              <w:divBdr>
                                <w:top w:val="none" w:sz="0" w:space="0" w:color="auto"/>
                                <w:left w:val="none" w:sz="0" w:space="0" w:color="auto"/>
                                <w:bottom w:val="none" w:sz="0" w:space="0" w:color="auto"/>
                                <w:right w:val="none" w:sz="0" w:space="0" w:color="auto"/>
                              </w:divBdr>
                              <w:divsChild>
                                <w:div w:id="154415198">
                                  <w:marLeft w:val="0"/>
                                  <w:marRight w:val="0"/>
                                  <w:marTop w:val="0"/>
                                  <w:marBottom w:val="0"/>
                                  <w:divBdr>
                                    <w:top w:val="none" w:sz="0" w:space="0" w:color="auto"/>
                                    <w:left w:val="none" w:sz="0" w:space="0" w:color="auto"/>
                                    <w:bottom w:val="none" w:sz="0" w:space="0" w:color="auto"/>
                                    <w:right w:val="none" w:sz="0" w:space="0" w:color="auto"/>
                                  </w:divBdr>
                                  <w:divsChild>
                                    <w:div w:id="1132361126">
                                      <w:marLeft w:val="0"/>
                                      <w:marRight w:val="0"/>
                                      <w:marTop w:val="0"/>
                                      <w:marBottom w:val="0"/>
                                      <w:divBdr>
                                        <w:top w:val="none" w:sz="0" w:space="0" w:color="auto"/>
                                        <w:left w:val="none" w:sz="0" w:space="0" w:color="auto"/>
                                        <w:bottom w:val="none" w:sz="0" w:space="0" w:color="auto"/>
                                        <w:right w:val="none" w:sz="0" w:space="0" w:color="auto"/>
                                      </w:divBdr>
                                      <w:divsChild>
                                        <w:div w:id="131737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1979569">
          <w:marLeft w:val="0"/>
          <w:marRight w:val="0"/>
          <w:marTop w:val="0"/>
          <w:marBottom w:val="0"/>
          <w:divBdr>
            <w:top w:val="none" w:sz="0" w:space="0" w:color="auto"/>
            <w:left w:val="none" w:sz="0" w:space="0" w:color="auto"/>
            <w:bottom w:val="none" w:sz="0" w:space="0" w:color="auto"/>
            <w:right w:val="none" w:sz="0" w:space="0" w:color="auto"/>
          </w:divBdr>
          <w:divsChild>
            <w:div w:id="2054764834">
              <w:marLeft w:val="0"/>
              <w:marRight w:val="0"/>
              <w:marTop w:val="0"/>
              <w:marBottom w:val="0"/>
              <w:divBdr>
                <w:top w:val="none" w:sz="0" w:space="0" w:color="auto"/>
                <w:left w:val="none" w:sz="0" w:space="0" w:color="auto"/>
                <w:bottom w:val="none" w:sz="0" w:space="0" w:color="auto"/>
                <w:right w:val="none" w:sz="0" w:space="0" w:color="auto"/>
              </w:divBdr>
              <w:divsChild>
                <w:div w:id="966348782">
                  <w:marLeft w:val="0"/>
                  <w:marRight w:val="0"/>
                  <w:marTop w:val="0"/>
                  <w:marBottom w:val="0"/>
                  <w:divBdr>
                    <w:top w:val="none" w:sz="0" w:space="0" w:color="auto"/>
                    <w:left w:val="none" w:sz="0" w:space="0" w:color="auto"/>
                    <w:bottom w:val="none" w:sz="0" w:space="0" w:color="auto"/>
                    <w:right w:val="none" w:sz="0" w:space="0" w:color="auto"/>
                  </w:divBdr>
                  <w:divsChild>
                    <w:div w:id="815143556">
                      <w:marLeft w:val="0"/>
                      <w:marRight w:val="0"/>
                      <w:marTop w:val="0"/>
                      <w:marBottom w:val="0"/>
                      <w:divBdr>
                        <w:top w:val="none" w:sz="0" w:space="0" w:color="auto"/>
                        <w:left w:val="none" w:sz="0" w:space="0" w:color="auto"/>
                        <w:bottom w:val="none" w:sz="0" w:space="0" w:color="auto"/>
                        <w:right w:val="none" w:sz="0" w:space="0" w:color="auto"/>
                      </w:divBdr>
                      <w:divsChild>
                        <w:div w:id="351499337">
                          <w:marLeft w:val="0"/>
                          <w:marRight w:val="0"/>
                          <w:marTop w:val="0"/>
                          <w:marBottom w:val="0"/>
                          <w:divBdr>
                            <w:top w:val="none" w:sz="0" w:space="0" w:color="auto"/>
                            <w:left w:val="none" w:sz="0" w:space="0" w:color="auto"/>
                            <w:bottom w:val="none" w:sz="0" w:space="0" w:color="auto"/>
                            <w:right w:val="none" w:sz="0" w:space="0" w:color="auto"/>
                          </w:divBdr>
                          <w:divsChild>
                            <w:div w:id="913706746">
                              <w:marLeft w:val="0"/>
                              <w:marRight w:val="0"/>
                              <w:marTop w:val="0"/>
                              <w:marBottom w:val="0"/>
                              <w:divBdr>
                                <w:top w:val="none" w:sz="0" w:space="0" w:color="auto"/>
                                <w:left w:val="none" w:sz="0" w:space="0" w:color="auto"/>
                                <w:bottom w:val="none" w:sz="0" w:space="0" w:color="auto"/>
                                <w:right w:val="none" w:sz="0" w:space="0" w:color="auto"/>
                              </w:divBdr>
                              <w:divsChild>
                                <w:div w:id="21562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9752227">
                  <w:marLeft w:val="0"/>
                  <w:marRight w:val="0"/>
                  <w:marTop w:val="0"/>
                  <w:marBottom w:val="0"/>
                  <w:divBdr>
                    <w:top w:val="none" w:sz="0" w:space="0" w:color="auto"/>
                    <w:left w:val="none" w:sz="0" w:space="0" w:color="auto"/>
                    <w:bottom w:val="none" w:sz="0" w:space="0" w:color="auto"/>
                    <w:right w:val="none" w:sz="0" w:space="0" w:color="auto"/>
                  </w:divBdr>
                  <w:divsChild>
                    <w:div w:id="581138048">
                      <w:marLeft w:val="0"/>
                      <w:marRight w:val="0"/>
                      <w:marTop w:val="0"/>
                      <w:marBottom w:val="0"/>
                      <w:divBdr>
                        <w:top w:val="none" w:sz="0" w:space="0" w:color="auto"/>
                        <w:left w:val="none" w:sz="0" w:space="0" w:color="auto"/>
                        <w:bottom w:val="none" w:sz="0" w:space="0" w:color="auto"/>
                        <w:right w:val="none" w:sz="0" w:space="0" w:color="auto"/>
                      </w:divBdr>
                      <w:divsChild>
                        <w:div w:id="758520274">
                          <w:marLeft w:val="0"/>
                          <w:marRight w:val="0"/>
                          <w:marTop w:val="0"/>
                          <w:marBottom w:val="0"/>
                          <w:divBdr>
                            <w:top w:val="none" w:sz="0" w:space="0" w:color="auto"/>
                            <w:left w:val="none" w:sz="0" w:space="0" w:color="auto"/>
                            <w:bottom w:val="none" w:sz="0" w:space="0" w:color="auto"/>
                            <w:right w:val="none" w:sz="0" w:space="0" w:color="auto"/>
                          </w:divBdr>
                          <w:divsChild>
                            <w:div w:id="1950577480">
                              <w:marLeft w:val="0"/>
                              <w:marRight w:val="0"/>
                              <w:marTop w:val="0"/>
                              <w:marBottom w:val="0"/>
                              <w:divBdr>
                                <w:top w:val="none" w:sz="0" w:space="0" w:color="auto"/>
                                <w:left w:val="none" w:sz="0" w:space="0" w:color="auto"/>
                                <w:bottom w:val="none" w:sz="0" w:space="0" w:color="auto"/>
                                <w:right w:val="none" w:sz="0" w:space="0" w:color="auto"/>
                              </w:divBdr>
                              <w:divsChild>
                                <w:div w:id="664163190">
                                  <w:marLeft w:val="0"/>
                                  <w:marRight w:val="0"/>
                                  <w:marTop w:val="0"/>
                                  <w:marBottom w:val="0"/>
                                  <w:divBdr>
                                    <w:top w:val="none" w:sz="0" w:space="0" w:color="auto"/>
                                    <w:left w:val="none" w:sz="0" w:space="0" w:color="auto"/>
                                    <w:bottom w:val="none" w:sz="0" w:space="0" w:color="auto"/>
                                    <w:right w:val="none" w:sz="0" w:space="0" w:color="auto"/>
                                  </w:divBdr>
                                  <w:divsChild>
                                    <w:div w:id="89373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202806">
                          <w:marLeft w:val="0"/>
                          <w:marRight w:val="0"/>
                          <w:marTop w:val="0"/>
                          <w:marBottom w:val="0"/>
                          <w:divBdr>
                            <w:top w:val="none" w:sz="0" w:space="0" w:color="auto"/>
                            <w:left w:val="none" w:sz="0" w:space="0" w:color="auto"/>
                            <w:bottom w:val="none" w:sz="0" w:space="0" w:color="auto"/>
                            <w:right w:val="none" w:sz="0" w:space="0" w:color="auto"/>
                          </w:divBdr>
                          <w:divsChild>
                            <w:div w:id="2147157377">
                              <w:marLeft w:val="0"/>
                              <w:marRight w:val="0"/>
                              <w:marTop w:val="0"/>
                              <w:marBottom w:val="0"/>
                              <w:divBdr>
                                <w:top w:val="none" w:sz="0" w:space="0" w:color="auto"/>
                                <w:left w:val="none" w:sz="0" w:space="0" w:color="auto"/>
                                <w:bottom w:val="none" w:sz="0" w:space="0" w:color="auto"/>
                                <w:right w:val="none" w:sz="0" w:space="0" w:color="auto"/>
                              </w:divBdr>
                              <w:divsChild>
                                <w:div w:id="1236011499">
                                  <w:marLeft w:val="0"/>
                                  <w:marRight w:val="0"/>
                                  <w:marTop w:val="0"/>
                                  <w:marBottom w:val="0"/>
                                  <w:divBdr>
                                    <w:top w:val="none" w:sz="0" w:space="0" w:color="auto"/>
                                    <w:left w:val="none" w:sz="0" w:space="0" w:color="auto"/>
                                    <w:bottom w:val="none" w:sz="0" w:space="0" w:color="auto"/>
                                    <w:right w:val="none" w:sz="0" w:space="0" w:color="auto"/>
                                  </w:divBdr>
                                  <w:divsChild>
                                    <w:div w:id="60962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2441872">
          <w:marLeft w:val="0"/>
          <w:marRight w:val="0"/>
          <w:marTop w:val="0"/>
          <w:marBottom w:val="0"/>
          <w:divBdr>
            <w:top w:val="none" w:sz="0" w:space="0" w:color="auto"/>
            <w:left w:val="none" w:sz="0" w:space="0" w:color="auto"/>
            <w:bottom w:val="none" w:sz="0" w:space="0" w:color="auto"/>
            <w:right w:val="none" w:sz="0" w:space="0" w:color="auto"/>
          </w:divBdr>
          <w:divsChild>
            <w:div w:id="285699078">
              <w:marLeft w:val="0"/>
              <w:marRight w:val="0"/>
              <w:marTop w:val="0"/>
              <w:marBottom w:val="0"/>
              <w:divBdr>
                <w:top w:val="none" w:sz="0" w:space="0" w:color="auto"/>
                <w:left w:val="none" w:sz="0" w:space="0" w:color="auto"/>
                <w:bottom w:val="none" w:sz="0" w:space="0" w:color="auto"/>
                <w:right w:val="none" w:sz="0" w:space="0" w:color="auto"/>
              </w:divBdr>
              <w:divsChild>
                <w:div w:id="1845706393">
                  <w:marLeft w:val="0"/>
                  <w:marRight w:val="0"/>
                  <w:marTop w:val="0"/>
                  <w:marBottom w:val="0"/>
                  <w:divBdr>
                    <w:top w:val="none" w:sz="0" w:space="0" w:color="auto"/>
                    <w:left w:val="none" w:sz="0" w:space="0" w:color="auto"/>
                    <w:bottom w:val="none" w:sz="0" w:space="0" w:color="auto"/>
                    <w:right w:val="none" w:sz="0" w:space="0" w:color="auto"/>
                  </w:divBdr>
                  <w:divsChild>
                    <w:div w:id="913394819">
                      <w:marLeft w:val="0"/>
                      <w:marRight w:val="0"/>
                      <w:marTop w:val="0"/>
                      <w:marBottom w:val="0"/>
                      <w:divBdr>
                        <w:top w:val="none" w:sz="0" w:space="0" w:color="auto"/>
                        <w:left w:val="none" w:sz="0" w:space="0" w:color="auto"/>
                        <w:bottom w:val="none" w:sz="0" w:space="0" w:color="auto"/>
                        <w:right w:val="none" w:sz="0" w:space="0" w:color="auto"/>
                      </w:divBdr>
                      <w:divsChild>
                        <w:div w:id="1767727803">
                          <w:marLeft w:val="0"/>
                          <w:marRight w:val="0"/>
                          <w:marTop w:val="0"/>
                          <w:marBottom w:val="0"/>
                          <w:divBdr>
                            <w:top w:val="none" w:sz="0" w:space="0" w:color="auto"/>
                            <w:left w:val="none" w:sz="0" w:space="0" w:color="auto"/>
                            <w:bottom w:val="none" w:sz="0" w:space="0" w:color="auto"/>
                            <w:right w:val="none" w:sz="0" w:space="0" w:color="auto"/>
                          </w:divBdr>
                          <w:divsChild>
                            <w:div w:id="1477455211">
                              <w:marLeft w:val="0"/>
                              <w:marRight w:val="0"/>
                              <w:marTop w:val="0"/>
                              <w:marBottom w:val="0"/>
                              <w:divBdr>
                                <w:top w:val="none" w:sz="0" w:space="0" w:color="auto"/>
                                <w:left w:val="none" w:sz="0" w:space="0" w:color="auto"/>
                                <w:bottom w:val="none" w:sz="0" w:space="0" w:color="auto"/>
                                <w:right w:val="none" w:sz="0" w:space="0" w:color="auto"/>
                              </w:divBdr>
                              <w:divsChild>
                                <w:div w:id="905144993">
                                  <w:marLeft w:val="0"/>
                                  <w:marRight w:val="0"/>
                                  <w:marTop w:val="0"/>
                                  <w:marBottom w:val="0"/>
                                  <w:divBdr>
                                    <w:top w:val="none" w:sz="0" w:space="0" w:color="auto"/>
                                    <w:left w:val="none" w:sz="0" w:space="0" w:color="auto"/>
                                    <w:bottom w:val="none" w:sz="0" w:space="0" w:color="auto"/>
                                    <w:right w:val="none" w:sz="0" w:space="0" w:color="auto"/>
                                  </w:divBdr>
                                  <w:divsChild>
                                    <w:div w:id="1448887372">
                                      <w:marLeft w:val="0"/>
                                      <w:marRight w:val="0"/>
                                      <w:marTop w:val="0"/>
                                      <w:marBottom w:val="0"/>
                                      <w:divBdr>
                                        <w:top w:val="none" w:sz="0" w:space="0" w:color="auto"/>
                                        <w:left w:val="none" w:sz="0" w:space="0" w:color="auto"/>
                                        <w:bottom w:val="none" w:sz="0" w:space="0" w:color="auto"/>
                                        <w:right w:val="none" w:sz="0" w:space="0" w:color="auto"/>
                                      </w:divBdr>
                                      <w:divsChild>
                                        <w:div w:id="71454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5455411">
          <w:marLeft w:val="0"/>
          <w:marRight w:val="0"/>
          <w:marTop w:val="0"/>
          <w:marBottom w:val="0"/>
          <w:divBdr>
            <w:top w:val="none" w:sz="0" w:space="0" w:color="auto"/>
            <w:left w:val="none" w:sz="0" w:space="0" w:color="auto"/>
            <w:bottom w:val="none" w:sz="0" w:space="0" w:color="auto"/>
            <w:right w:val="none" w:sz="0" w:space="0" w:color="auto"/>
          </w:divBdr>
          <w:divsChild>
            <w:div w:id="1990865732">
              <w:marLeft w:val="0"/>
              <w:marRight w:val="0"/>
              <w:marTop w:val="0"/>
              <w:marBottom w:val="0"/>
              <w:divBdr>
                <w:top w:val="none" w:sz="0" w:space="0" w:color="auto"/>
                <w:left w:val="none" w:sz="0" w:space="0" w:color="auto"/>
                <w:bottom w:val="none" w:sz="0" w:space="0" w:color="auto"/>
                <w:right w:val="none" w:sz="0" w:space="0" w:color="auto"/>
              </w:divBdr>
              <w:divsChild>
                <w:div w:id="942347675">
                  <w:marLeft w:val="0"/>
                  <w:marRight w:val="0"/>
                  <w:marTop w:val="0"/>
                  <w:marBottom w:val="0"/>
                  <w:divBdr>
                    <w:top w:val="none" w:sz="0" w:space="0" w:color="auto"/>
                    <w:left w:val="none" w:sz="0" w:space="0" w:color="auto"/>
                    <w:bottom w:val="none" w:sz="0" w:space="0" w:color="auto"/>
                    <w:right w:val="none" w:sz="0" w:space="0" w:color="auto"/>
                  </w:divBdr>
                  <w:divsChild>
                    <w:div w:id="1654332069">
                      <w:marLeft w:val="0"/>
                      <w:marRight w:val="0"/>
                      <w:marTop w:val="0"/>
                      <w:marBottom w:val="0"/>
                      <w:divBdr>
                        <w:top w:val="none" w:sz="0" w:space="0" w:color="auto"/>
                        <w:left w:val="none" w:sz="0" w:space="0" w:color="auto"/>
                        <w:bottom w:val="none" w:sz="0" w:space="0" w:color="auto"/>
                        <w:right w:val="none" w:sz="0" w:space="0" w:color="auto"/>
                      </w:divBdr>
                      <w:divsChild>
                        <w:div w:id="1459379386">
                          <w:marLeft w:val="0"/>
                          <w:marRight w:val="0"/>
                          <w:marTop w:val="0"/>
                          <w:marBottom w:val="0"/>
                          <w:divBdr>
                            <w:top w:val="none" w:sz="0" w:space="0" w:color="auto"/>
                            <w:left w:val="none" w:sz="0" w:space="0" w:color="auto"/>
                            <w:bottom w:val="none" w:sz="0" w:space="0" w:color="auto"/>
                            <w:right w:val="none" w:sz="0" w:space="0" w:color="auto"/>
                          </w:divBdr>
                          <w:divsChild>
                            <w:div w:id="418985750">
                              <w:marLeft w:val="0"/>
                              <w:marRight w:val="0"/>
                              <w:marTop w:val="0"/>
                              <w:marBottom w:val="0"/>
                              <w:divBdr>
                                <w:top w:val="none" w:sz="0" w:space="0" w:color="auto"/>
                                <w:left w:val="none" w:sz="0" w:space="0" w:color="auto"/>
                                <w:bottom w:val="none" w:sz="0" w:space="0" w:color="auto"/>
                                <w:right w:val="none" w:sz="0" w:space="0" w:color="auto"/>
                              </w:divBdr>
                              <w:divsChild>
                                <w:div w:id="111085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951957">
                  <w:marLeft w:val="0"/>
                  <w:marRight w:val="0"/>
                  <w:marTop w:val="0"/>
                  <w:marBottom w:val="0"/>
                  <w:divBdr>
                    <w:top w:val="none" w:sz="0" w:space="0" w:color="auto"/>
                    <w:left w:val="none" w:sz="0" w:space="0" w:color="auto"/>
                    <w:bottom w:val="none" w:sz="0" w:space="0" w:color="auto"/>
                    <w:right w:val="none" w:sz="0" w:space="0" w:color="auto"/>
                  </w:divBdr>
                  <w:divsChild>
                    <w:div w:id="1858157257">
                      <w:marLeft w:val="0"/>
                      <w:marRight w:val="0"/>
                      <w:marTop w:val="0"/>
                      <w:marBottom w:val="0"/>
                      <w:divBdr>
                        <w:top w:val="none" w:sz="0" w:space="0" w:color="auto"/>
                        <w:left w:val="none" w:sz="0" w:space="0" w:color="auto"/>
                        <w:bottom w:val="none" w:sz="0" w:space="0" w:color="auto"/>
                        <w:right w:val="none" w:sz="0" w:space="0" w:color="auto"/>
                      </w:divBdr>
                      <w:divsChild>
                        <w:div w:id="1268807814">
                          <w:marLeft w:val="0"/>
                          <w:marRight w:val="0"/>
                          <w:marTop w:val="0"/>
                          <w:marBottom w:val="0"/>
                          <w:divBdr>
                            <w:top w:val="none" w:sz="0" w:space="0" w:color="auto"/>
                            <w:left w:val="none" w:sz="0" w:space="0" w:color="auto"/>
                            <w:bottom w:val="none" w:sz="0" w:space="0" w:color="auto"/>
                            <w:right w:val="none" w:sz="0" w:space="0" w:color="auto"/>
                          </w:divBdr>
                          <w:divsChild>
                            <w:div w:id="765422141">
                              <w:marLeft w:val="0"/>
                              <w:marRight w:val="0"/>
                              <w:marTop w:val="0"/>
                              <w:marBottom w:val="0"/>
                              <w:divBdr>
                                <w:top w:val="none" w:sz="0" w:space="0" w:color="auto"/>
                                <w:left w:val="none" w:sz="0" w:space="0" w:color="auto"/>
                                <w:bottom w:val="none" w:sz="0" w:space="0" w:color="auto"/>
                                <w:right w:val="none" w:sz="0" w:space="0" w:color="auto"/>
                              </w:divBdr>
                              <w:divsChild>
                                <w:div w:id="240141204">
                                  <w:marLeft w:val="0"/>
                                  <w:marRight w:val="0"/>
                                  <w:marTop w:val="0"/>
                                  <w:marBottom w:val="0"/>
                                  <w:divBdr>
                                    <w:top w:val="none" w:sz="0" w:space="0" w:color="auto"/>
                                    <w:left w:val="none" w:sz="0" w:space="0" w:color="auto"/>
                                    <w:bottom w:val="none" w:sz="0" w:space="0" w:color="auto"/>
                                    <w:right w:val="none" w:sz="0" w:space="0" w:color="auto"/>
                                  </w:divBdr>
                                  <w:divsChild>
                                    <w:div w:id="22827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80387">
                          <w:marLeft w:val="0"/>
                          <w:marRight w:val="0"/>
                          <w:marTop w:val="0"/>
                          <w:marBottom w:val="0"/>
                          <w:divBdr>
                            <w:top w:val="none" w:sz="0" w:space="0" w:color="auto"/>
                            <w:left w:val="none" w:sz="0" w:space="0" w:color="auto"/>
                            <w:bottom w:val="none" w:sz="0" w:space="0" w:color="auto"/>
                            <w:right w:val="none" w:sz="0" w:space="0" w:color="auto"/>
                          </w:divBdr>
                          <w:divsChild>
                            <w:div w:id="1832522472">
                              <w:marLeft w:val="0"/>
                              <w:marRight w:val="0"/>
                              <w:marTop w:val="0"/>
                              <w:marBottom w:val="0"/>
                              <w:divBdr>
                                <w:top w:val="none" w:sz="0" w:space="0" w:color="auto"/>
                                <w:left w:val="none" w:sz="0" w:space="0" w:color="auto"/>
                                <w:bottom w:val="none" w:sz="0" w:space="0" w:color="auto"/>
                                <w:right w:val="none" w:sz="0" w:space="0" w:color="auto"/>
                              </w:divBdr>
                              <w:divsChild>
                                <w:div w:id="1442914649">
                                  <w:marLeft w:val="0"/>
                                  <w:marRight w:val="0"/>
                                  <w:marTop w:val="0"/>
                                  <w:marBottom w:val="0"/>
                                  <w:divBdr>
                                    <w:top w:val="none" w:sz="0" w:space="0" w:color="auto"/>
                                    <w:left w:val="none" w:sz="0" w:space="0" w:color="auto"/>
                                    <w:bottom w:val="none" w:sz="0" w:space="0" w:color="auto"/>
                                    <w:right w:val="none" w:sz="0" w:space="0" w:color="auto"/>
                                  </w:divBdr>
                                  <w:divsChild>
                                    <w:div w:id="126715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1078315">
          <w:marLeft w:val="0"/>
          <w:marRight w:val="0"/>
          <w:marTop w:val="0"/>
          <w:marBottom w:val="0"/>
          <w:divBdr>
            <w:top w:val="none" w:sz="0" w:space="0" w:color="auto"/>
            <w:left w:val="none" w:sz="0" w:space="0" w:color="auto"/>
            <w:bottom w:val="none" w:sz="0" w:space="0" w:color="auto"/>
            <w:right w:val="none" w:sz="0" w:space="0" w:color="auto"/>
          </w:divBdr>
          <w:divsChild>
            <w:div w:id="1657109991">
              <w:marLeft w:val="0"/>
              <w:marRight w:val="0"/>
              <w:marTop w:val="0"/>
              <w:marBottom w:val="0"/>
              <w:divBdr>
                <w:top w:val="none" w:sz="0" w:space="0" w:color="auto"/>
                <w:left w:val="none" w:sz="0" w:space="0" w:color="auto"/>
                <w:bottom w:val="none" w:sz="0" w:space="0" w:color="auto"/>
                <w:right w:val="none" w:sz="0" w:space="0" w:color="auto"/>
              </w:divBdr>
              <w:divsChild>
                <w:div w:id="1764185914">
                  <w:marLeft w:val="0"/>
                  <w:marRight w:val="0"/>
                  <w:marTop w:val="0"/>
                  <w:marBottom w:val="0"/>
                  <w:divBdr>
                    <w:top w:val="none" w:sz="0" w:space="0" w:color="auto"/>
                    <w:left w:val="none" w:sz="0" w:space="0" w:color="auto"/>
                    <w:bottom w:val="none" w:sz="0" w:space="0" w:color="auto"/>
                    <w:right w:val="none" w:sz="0" w:space="0" w:color="auto"/>
                  </w:divBdr>
                  <w:divsChild>
                    <w:div w:id="277878264">
                      <w:marLeft w:val="0"/>
                      <w:marRight w:val="0"/>
                      <w:marTop w:val="0"/>
                      <w:marBottom w:val="0"/>
                      <w:divBdr>
                        <w:top w:val="none" w:sz="0" w:space="0" w:color="auto"/>
                        <w:left w:val="none" w:sz="0" w:space="0" w:color="auto"/>
                        <w:bottom w:val="none" w:sz="0" w:space="0" w:color="auto"/>
                        <w:right w:val="none" w:sz="0" w:space="0" w:color="auto"/>
                      </w:divBdr>
                      <w:divsChild>
                        <w:div w:id="1510174958">
                          <w:marLeft w:val="0"/>
                          <w:marRight w:val="0"/>
                          <w:marTop w:val="0"/>
                          <w:marBottom w:val="0"/>
                          <w:divBdr>
                            <w:top w:val="none" w:sz="0" w:space="0" w:color="auto"/>
                            <w:left w:val="none" w:sz="0" w:space="0" w:color="auto"/>
                            <w:bottom w:val="none" w:sz="0" w:space="0" w:color="auto"/>
                            <w:right w:val="none" w:sz="0" w:space="0" w:color="auto"/>
                          </w:divBdr>
                          <w:divsChild>
                            <w:div w:id="748889013">
                              <w:marLeft w:val="0"/>
                              <w:marRight w:val="0"/>
                              <w:marTop w:val="0"/>
                              <w:marBottom w:val="0"/>
                              <w:divBdr>
                                <w:top w:val="none" w:sz="0" w:space="0" w:color="auto"/>
                                <w:left w:val="none" w:sz="0" w:space="0" w:color="auto"/>
                                <w:bottom w:val="none" w:sz="0" w:space="0" w:color="auto"/>
                                <w:right w:val="none" w:sz="0" w:space="0" w:color="auto"/>
                              </w:divBdr>
                              <w:divsChild>
                                <w:div w:id="1726562026">
                                  <w:marLeft w:val="0"/>
                                  <w:marRight w:val="0"/>
                                  <w:marTop w:val="0"/>
                                  <w:marBottom w:val="0"/>
                                  <w:divBdr>
                                    <w:top w:val="none" w:sz="0" w:space="0" w:color="auto"/>
                                    <w:left w:val="none" w:sz="0" w:space="0" w:color="auto"/>
                                    <w:bottom w:val="none" w:sz="0" w:space="0" w:color="auto"/>
                                    <w:right w:val="none" w:sz="0" w:space="0" w:color="auto"/>
                                  </w:divBdr>
                                  <w:divsChild>
                                    <w:div w:id="445855687">
                                      <w:marLeft w:val="0"/>
                                      <w:marRight w:val="0"/>
                                      <w:marTop w:val="0"/>
                                      <w:marBottom w:val="0"/>
                                      <w:divBdr>
                                        <w:top w:val="none" w:sz="0" w:space="0" w:color="auto"/>
                                        <w:left w:val="none" w:sz="0" w:space="0" w:color="auto"/>
                                        <w:bottom w:val="none" w:sz="0" w:space="0" w:color="auto"/>
                                        <w:right w:val="none" w:sz="0" w:space="0" w:color="auto"/>
                                      </w:divBdr>
                                      <w:divsChild>
                                        <w:div w:id="50575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3344265">
          <w:marLeft w:val="0"/>
          <w:marRight w:val="0"/>
          <w:marTop w:val="0"/>
          <w:marBottom w:val="0"/>
          <w:divBdr>
            <w:top w:val="none" w:sz="0" w:space="0" w:color="auto"/>
            <w:left w:val="none" w:sz="0" w:space="0" w:color="auto"/>
            <w:bottom w:val="none" w:sz="0" w:space="0" w:color="auto"/>
            <w:right w:val="none" w:sz="0" w:space="0" w:color="auto"/>
          </w:divBdr>
          <w:divsChild>
            <w:div w:id="1267494212">
              <w:marLeft w:val="0"/>
              <w:marRight w:val="0"/>
              <w:marTop w:val="0"/>
              <w:marBottom w:val="0"/>
              <w:divBdr>
                <w:top w:val="none" w:sz="0" w:space="0" w:color="auto"/>
                <w:left w:val="none" w:sz="0" w:space="0" w:color="auto"/>
                <w:bottom w:val="none" w:sz="0" w:space="0" w:color="auto"/>
                <w:right w:val="none" w:sz="0" w:space="0" w:color="auto"/>
              </w:divBdr>
              <w:divsChild>
                <w:div w:id="961810463">
                  <w:marLeft w:val="0"/>
                  <w:marRight w:val="0"/>
                  <w:marTop w:val="0"/>
                  <w:marBottom w:val="0"/>
                  <w:divBdr>
                    <w:top w:val="none" w:sz="0" w:space="0" w:color="auto"/>
                    <w:left w:val="none" w:sz="0" w:space="0" w:color="auto"/>
                    <w:bottom w:val="none" w:sz="0" w:space="0" w:color="auto"/>
                    <w:right w:val="none" w:sz="0" w:space="0" w:color="auto"/>
                  </w:divBdr>
                  <w:divsChild>
                    <w:div w:id="660892581">
                      <w:marLeft w:val="0"/>
                      <w:marRight w:val="0"/>
                      <w:marTop w:val="0"/>
                      <w:marBottom w:val="0"/>
                      <w:divBdr>
                        <w:top w:val="none" w:sz="0" w:space="0" w:color="auto"/>
                        <w:left w:val="none" w:sz="0" w:space="0" w:color="auto"/>
                        <w:bottom w:val="none" w:sz="0" w:space="0" w:color="auto"/>
                        <w:right w:val="none" w:sz="0" w:space="0" w:color="auto"/>
                      </w:divBdr>
                      <w:divsChild>
                        <w:div w:id="2063944757">
                          <w:marLeft w:val="0"/>
                          <w:marRight w:val="0"/>
                          <w:marTop w:val="0"/>
                          <w:marBottom w:val="0"/>
                          <w:divBdr>
                            <w:top w:val="none" w:sz="0" w:space="0" w:color="auto"/>
                            <w:left w:val="none" w:sz="0" w:space="0" w:color="auto"/>
                            <w:bottom w:val="none" w:sz="0" w:space="0" w:color="auto"/>
                            <w:right w:val="none" w:sz="0" w:space="0" w:color="auto"/>
                          </w:divBdr>
                          <w:divsChild>
                            <w:div w:id="159546773">
                              <w:marLeft w:val="0"/>
                              <w:marRight w:val="0"/>
                              <w:marTop w:val="0"/>
                              <w:marBottom w:val="0"/>
                              <w:divBdr>
                                <w:top w:val="none" w:sz="0" w:space="0" w:color="auto"/>
                                <w:left w:val="none" w:sz="0" w:space="0" w:color="auto"/>
                                <w:bottom w:val="none" w:sz="0" w:space="0" w:color="auto"/>
                                <w:right w:val="none" w:sz="0" w:space="0" w:color="auto"/>
                              </w:divBdr>
                              <w:divsChild>
                                <w:div w:id="214238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482680">
                  <w:marLeft w:val="0"/>
                  <w:marRight w:val="0"/>
                  <w:marTop w:val="0"/>
                  <w:marBottom w:val="0"/>
                  <w:divBdr>
                    <w:top w:val="none" w:sz="0" w:space="0" w:color="auto"/>
                    <w:left w:val="none" w:sz="0" w:space="0" w:color="auto"/>
                    <w:bottom w:val="none" w:sz="0" w:space="0" w:color="auto"/>
                    <w:right w:val="none" w:sz="0" w:space="0" w:color="auto"/>
                  </w:divBdr>
                  <w:divsChild>
                    <w:div w:id="692264340">
                      <w:marLeft w:val="0"/>
                      <w:marRight w:val="0"/>
                      <w:marTop w:val="0"/>
                      <w:marBottom w:val="0"/>
                      <w:divBdr>
                        <w:top w:val="none" w:sz="0" w:space="0" w:color="auto"/>
                        <w:left w:val="none" w:sz="0" w:space="0" w:color="auto"/>
                        <w:bottom w:val="none" w:sz="0" w:space="0" w:color="auto"/>
                        <w:right w:val="none" w:sz="0" w:space="0" w:color="auto"/>
                      </w:divBdr>
                      <w:divsChild>
                        <w:div w:id="183249628">
                          <w:marLeft w:val="0"/>
                          <w:marRight w:val="0"/>
                          <w:marTop w:val="0"/>
                          <w:marBottom w:val="0"/>
                          <w:divBdr>
                            <w:top w:val="none" w:sz="0" w:space="0" w:color="auto"/>
                            <w:left w:val="none" w:sz="0" w:space="0" w:color="auto"/>
                            <w:bottom w:val="none" w:sz="0" w:space="0" w:color="auto"/>
                            <w:right w:val="none" w:sz="0" w:space="0" w:color="auto"/>
                          </w:divBdr>
                          <w:divsChild>
                            <w:div w:id="652298826">
                              <w:marLeft w:val="0"/>
                              <w:marRight w:val="0"/>
                              <w:marTop w:val="0"/>
                              <w:marBottom w:val="0"/>
                              <w:divBdr>
                                <w:top w:val="none" w:sz="0" w:space="0" w:color="auto"/>
                                <w:left w:val="none" w:sz="0" w:space="0" w:color="auto"/>
                                <w:bottom w:val="none" w:sz="0" w:space="0" w:color="auto"/>
                                <w:right w:val="none" w:sz="0" w:space="0" w:color="auto"/>
                              </w:divBdr>
                              <w:divsChild>
                                <w:div w:id="2120755581">
                                  <w:marLeft w:val="0"/>
                                  <w:marRight w:val="0"/>
                                  <w:marTop w:val="0"/>
                                  <w:marBottom w:val="0"/>
                                  <w:divBdr>
                                    <w:top w:val="none" w:sz="0" w:space="0" w:color="auto"/>
                                    <w:left w:val="none" w:sz="0" w:space="0" w:color="auto"/>
                                    <w:bottom w:val="none" w:sz="0" w:space="0" w:color="auto"/>
                                    <w:right w:val="none" w:sz="0" w:space="0" w:color="auto"/>
                                  </w:divBdr>
                                  <w:divsChild>
                                    <w:div w:id="33333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119472">
                          <w:marLeft w:val="0"/>
                          <w:marRight w:val="0"/>
                          <w:marTop w:val="0"/>
                          <w:marBottom w:val="0"/>
                          <w:divBdr>
                            <w:top w:val="none" w:sz="0" w:space="0" w:color="auto"/>
                            <w:left w:val="none" w:sz="0" w:space="0" w:color="auto"/>
                            <w:bottom w:val="none" w:sz="0" w:space="0" w:color="auto"/>
                            <w:right w:val="none" w:sz="0" w:space="0" w:color="auto"/>
                          </w:divBdr>
                          <w:divsChild>
                            <w:div w:id="1705983951">
                              <w:marLeft w:val="0"/>
                              <w:marRight w:val="0"/>
                              <w:marTop w:val="0"/>
                              <w:marBottom w:val="0"/>
                              <w:divBdr>
                                <w:top w:val="none" w:sz="0" w:space="0" w:color="auto"/>
                                <w:left w:val="none" w:sz="0" w:space="0" w:color="auto"/>
                                <w:bottom w:val="none" w:sz="0" w:space="0" w:color="auto"/>
                                <w:right w:val="none" w:sz="0" w:space="0" w:color="auto"/>
                              </w:divBdr>
                              <w:divsChild>
                                <w:div w:id="1418096127">
                                  <w:marLeft w:val="0"/>
                                  <w:marRight w:val="0"/>
                                  <w:marTop w:val="0"/>
                                  <w:marBottom w:val="0"/>
                                  <w:divBdr>
                                    <w:top w:val="none" w:sz="0" w:space="0" w:color="auto"/>
                                    <w:left w:val="none" w:sz="0" w:space="0" w:color="auto"/>
                                    <w:bottom w:val="none" w:sz="0" w:space="0" w:color="auto"/>
                                    <w:right w:val="none" w:sz="0" w:space="0" w:color="auto"/>
                                  </w:divBdr>
                                  <w:divsChild>
                                    <w:div w:id="159346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8421316">
          <w:marLeft w:val="0"/>
          <w:marRight w:val="0"/>
          <w:marTop w:val="0"/>
          <w:marBottom w:val="0"/>
          <w:divBdr>
            <w:top w:val="none" w:sz="0" w:space="0" w:color="auto"/>
            <w:left w:val="none" w:sz="0" w:space="0" w:color="auto"/>
            <w:bottom w:val="none" w:sz="0" w:space="0" w:color="auto"/>
            <w:right w:val="none" w:sz="0" w:space="0" w:color="auto"/>
          </w:divBdr>
          <w:divsChild>
            <w:div w:id="796334508">
              <w:marLeft w:val="0"/>
              <w:marRight w:val="0"/>
              <w:marTop w:val="0"/>
              <w:marBottom w:val="0"/>
              <w:divBdr>
                <w:top w:val="none" w:sz="0" w:space="0" w:color="auto"/>
                <w:left w:val="none" w:sz="0" w:space="0" w:color="auto"/>
                <w:bottom w:val="none" w:sz="0" w:space="0" w:color="auto"/>
                <w:right w:val="none" w:sz="0" w:space="0" w:color="auto"/>
              </w:divBdr>
              <w:divsChild>
                <w:div w:id="1970356530">
                  <w:marLeft w:val="0"/>
                  <w:marRight w:val="0"/>
                  <w:marTop w:val="0"/>
                  <w:marBottom w:val="0"/>
                  <w:divBdr>
                    <w:top w:val="none" w:sz="0" w:space="0" w:color="auto"/>
                    <w:left w:val="none" w:sz="0" w:space="0" w:color="auto"/>
                    <w:bottom w:val="none" w:sz="0" w:space="0" w:color="auto"/>
                    <w:right w:val="none" w:sz="0" w:space="0" w:color="auto"/>
                  </w:divBdr>
                  <w:divsChild>
                    <w:div w:id="459501018">
                      <w:marLeft w:val="0"/>
                      <w:marRight w:val="0"/>
                      <w:marTop w:val="0"/>
                      <w:marBottom w:val="0"/>
                      <w:divBdr>
                        <w:top w:val="none" w:sz="0" w:space="0" w:color="auto"/>
                        <w:left w:val="none" w:sz="0" w:space="0" w:color="auto"/>
                        <w:bottom w:val="none" w:sz="0" w:space="0" w:color="auto"/>
                        <w:right w:val="none" w:sz="0" w:space="0" w:color="auto"/>
                      </w:divBdr>
                      <w:divsChild>
                        <w:div w:id="946735202">
                          <w:marLeft w:val="0"/>
                          <w:marRight w:val="0"/>
                          <w:marTop w:val="0"/>
                          <w:marBottom w:val="0"/>
                          <w:divBdr>
                            <w:top w:val="none" w:sz="0" w:space="0" w:color="auto"/>
                            <w:left w:val="none" w:sz="0" w:space="0" w:color="auto"/>
                            <w:bottom w:val="none" w:sz="0" w:space="0" w:color="auto"/>
                            <w:right w:val="none" w:sz="0" w:space="0" w:color="auto"/>
                          </w:divBdr>
                          <w:divsChild>
                            <w:div w:id="1614626959">
                              <w:marLeft w:val="0"/>
                              <w:marRight w:val="0"/>
                              <w:marTop w:val="0"/>
                              <w:marBottom w:val="0"/>
                              <w:divBdr>
                                <w:top w:val="none" w:sz="0" w:space="0" w:color="auto"/>
                                <w:left w:val="none" w:sz="0" w:space="0" w:color="auto"/>
                                <w:bottom w:val="none" w:sz="0" w:space="0" w:color="auto"/>
                                <w:right w:val="none" w:sz="0" w:space="0" w:color="auto"/>
                              </w:divBdr>
                              <w:divsChild>
                                <w:div w:id="1843935976">
                                  <w:marLeft w:val="0"/>
                                  <w:marRight w:val="0"/>
                                  <w:marTop w:val="0"/>
                                  <w:marBottom w:val="0"/>
                                  <w:divBdr>
                                    <w:top w:val="none" w:sz="0" w:space="0" w:color="auto"/>
                                    <w:left w:val="none" w:sz="0" w:space="0" w:color="auto"/>
                                    <w:bottom w:val="none" w:sz="0" w:space="0" w:color="auto"/>
                                    <w:right w:val="none" w:sz="0" w:space="0" w:color="auto"/>
                                  </w:divBdr>
                                  <w:divsChild>
                                    <w:div w:id="823859441">
                                      <w:marLeft w:val="0"/>
                                      <w:marRight w:val="0"/>
                                      <w:marTop w:val="0"/>
                                      <w:marBottom w:val="0"/>
                                      <w:divBdr>
                                        <w:top w:val="none" w:sz="0" w:space="0" w:color="auto"/>
                                        <w:left w:val="none" w:sz="0" w:space="0" w:color="auto"/>
                                        <w:bottom w:val="none" w:sz="0" w:space="0" w:color="auto"/>
                                        <w:right w:val="none" w:sz="0" w:space="0" w:color="auto"/>
                                      </w:divBdr>
                                      <w:divsChild>
                                        <w:div w:id="120856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9199595">
          <w:marLeft w:val="0"/>
          <w:marRight w:val="0"/>
          <w:marTop w:val="0"/>
          <w:marBottom w:val="0"/>
          <w:divBdr>
            <w:top w:val="none" w:sz="0" w:space="0" w:color="auto"/>
            <w:left w:val="none" w:sz="0" w:space="0" w:color="auto"/>
            <w:bottom w:val="none" w:sz="0" w:space="0" w:color="auto"/>
            <w:right w:val="none" w:sz="0" w:space="0" w:color="auto"/>
          </w:divBdr>
          <w:divsChild>
            <w:div w:id="2011639532">
              <w:marLeft w:val="0"/>
              <w:marRight w:val="0"/>
              <w:marTop w:val="0"/>
              <w:marBottom w:val="0"/>
              <w:divBdr>
                <w:top w:val="none" w:sz="0" w:space="0" w:color="auto"/>
                <w:left w:val="none" w:sz="0" w:space="0" w:color="auto"/>
                <w:bottom w:val="none" w:sz="0" w:space="0" w:color="auto"/>
                <w:right w:val="none" w:sz="0" w:space="0" w:color="auto"/>
              </w:divBdr>
              <w:divsChild>
                <w:div w:id="864751566">
                  <w:marLeft w:val="0"/>
                  <w:marRight w:val="0"/>
                  <w:marTop w:val="0"/>
                  <w:marBottom w:val="0"/>
                  <w:divBdr>
                    <w:top w:val="none" w:sz="0" w:space="0" w:color="auto"/>
                    <w:left w:val="none" w:sz="0" w:space="0" w:color="auto"/>
                    <w:bottom w:val="none" w:sz="0" w:space="0" w:color="auto"/>
                    <w:right w:val="none" w:sz="0" w:space="0" w:color="auto"/>
                  </w:divBdr>
                  <w:divsChild>
                    <w:div w:id="1039553440">
                      <w:marLeft w:val="0"/>
                      <w:marRight w:val="0"/>
                      <w:marTop w:val="0"/>
                      <w:marBottom w:val="0"/>
                      <w:divBdr>
                        <w:top w:val="none" w:sz="0" w:space="0" w:color="auto"/>
                        <w:left w:val="none" w:sz="0" w:space="0" w:color="auto"/>
                        <w:bottom w:val="none" w:sz="0" w:space="0" w:color="auto"/>
                        <w:right w:val="none" w:sz="0" w:space="0" w:color="auto"/>
                      </w:divBdr>
                      <w:divsChild>
                        <w:div w:id="1381787406">
                          <w:marLeft w:val="0"/>
                          <w:marRight w:val="0"/>
                          <w:marTop w:val="0"/>
                          <w:marBottom w:val="0"/>
                          <w:divBdr>
                            <w:top w:val="none" w:sz="0" w:space="0" w:color="auto"/>
                            <w:left w:val="none" w:sz="0" w:space="0" w:color="auto"/>
                            <w:bottom w:val="none" w:sz="0" w:space="0" w:color="auto"/>
                            <w:right w:val="none" w:sz="0" w:space="0" w:color="auto"/>
                          </w:divBdr>
                          <w:divsChild>
                            <w:div w:id="920063306">
                              <w:marLeft w:val="0"/>
                              <w:marRight w:val="0"/>
                              <w:marTop w:val="0"/>
                              <w:marBottom w:val="0"/>
                              <w:divBdr>
                                <w:top w:val="none" w:sz="0" w:space="0" w:color="auto"/>
                                <w:left w:val="none" w:sz="0" w:space="0" w:color="auto"/>
                                <w:bottom w:val="none" w:sz="0" w:space="0" w:color="auto"/>
                                <w:right w:val="none" w:sz="0" w:space="0" w:color="auto"/>
                              </w:divBdr>
                              <w:divsChild>
                                <w:div w:id="83626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0501856">
                  <w:marLeft w:val="0"/>
                  <w:marRight w:val="0"/>
                  <w:marTop w:val="0"/>
                  <w:marBottom w:val="0"/>
                  <w:divBdr>
                    <w:top w:val="none" w:sz="0" w:space="0" w:color="auto"/>
                    <w:left w:val="none" w:sz="0" w:space="0" w:color="auto"/>
                    <w:bottom w:val="none" w:sz="0" w:space="0" w:color="auto"/>
                    <w:right w:val="none" w:sz="0" w:space="0" w:color="auto"/>
                  </w:divBdr>
                  <w:divsChild>
                    <w:div w:id="225116901">
                      <w:marLeft w:val="0"/>
                      <w:marRight w:val="0"/>
                      <w:marTop w:val="0"/>
                      <w:marBottom w:val="0"/>
                      <w:divBdr>
                        <w:top w:val="none" w:sz="0" w:space="0" w:color="auto"/>
                        <w:left w:val="none" w:sz="0" w:space="0" w:color="auto"/>
                        <w:bottom w:val="none" w:sz="0" w:space="0" w:color="auto"/>
                        <w:right w:val="none" w:sz="0" w:space="0" w:color="auto"/>
                      </w:divBdr>
                      <w:divsChild>
                        <w:div w:id="1779251505">
                          <w:marLeft w:val="0"/>
                          <w:marRight w:val="0"/>
                          <w:marTop w:val="0"/>
                          <w:marBottom w:val="0"/>
                          <w:divBdr>
                            <w:top w:val="none" w:sz="0" w:space="0" w:color="auto"/>
                            <w:left w:val="none" w:sz="0" w:space="0" w:color="auto"/>
                            <w:bottom w:val="none" w:sz="0" w:space="0" w:color="auto"/>
                            <w:right w:val="none" w:sz="0" w:space="0" w:color="auto"/>
                          </w:divBdr>
                        </w:div>
                        <w:div w:id="1898397973">
                          <w:marLeft w:val="0"/>
                          <w:marRight w:val="0"/>
                          <w:marTop w:val="0"/>
                          <w:marBottom w:val="0"/>
                          <w:divBdr>
                            <w:top w:val="none" w:sz="0" w:space="0" w:color="auto"/>
                            <w:left w:val="none" w:sz="0" w:space="0" w:color="auto"/>
                            <w:bottom w:val="none" w:sz="0" w:space="0" w:color="auto"/>
                            <w:right w:val="none" w:sz="0" w:space="0" w:color="auto"/>
                          </w:divBdr>
                          <w:divsChild>
                            <w:div w:id="331110743">
                              <w:marLeft w:val="0"/>
                              <w:marRight w:val="0"/>
                              <w:marTop w:val="0"/>
                              <w:marBottom w:val="0"/>
                              <w:divBdr>
                                <w:top w:val="none" w:sz="0" w:space="0" w:color="auto"/>
                                <w:left w:val="none" w:sz="0" w:space="0" w:color="auto"/>
                                <w:bottom w:val="none" w:sz="0" w:space="0" w:color="auto"/>
                                <w:right w:val="none" w:sz="0" w:space="0" w:color="auto"/>
                              </w:divBdr>
                              <w:divsChild>
                                <w:div w:id="1722365763">
                                  <w:marLeft w:val="0"/>
                                  <w:marRight w:val="0"/>
                                  <w:marTop w:val="0"/>
                                  <w:marBottom w:val="0"/>
                                  <w:divBdr>
                                    <w:top w:val="none" w:sz="0" w:space="0" w:color="auto"/>
                                    <w:left w:val="none" w:sz="0" w:space="0" w:color="auto"/>
                                    <w:bottom w:val="none" w:sz="0" w:space="0" w:color="auto"/>
                                    <w:right w:val="none" w:sz="0" w:space="0" w:color="auto"/>
                                  </w:divBdr>
                                  <w:divsChild>
                                    <w:div w:id="63841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626618">
                          <w:marLeft w:val="0"/>
                          <w:marRight w:val="0"/>
                          <w:marTop w:val="0"/>
                          <w:marBottom w:val="0"/>
                          <w:divBdr>
                            <w:top w:val="none" w:sz="0" w:space="0" w:color="auto"/>
                            <w:left w:val="none" w:sz="0" w:space="0" w:color="auto"/>
                            <w:bottom w:val="none" w:sz="0" w:space="0" w:color="auto"/>
                            <w:right w:val="none" w:sz="0" w:space="0" w:color="auto"/>
                          </w:divBdr>
                          <w:divsChild>
                            <w:div w:id="1521819321">
                              <w:marLeft w:val="0"/>
                              <w:marRight w:val="0"/>
                              <w:marTop w:val="0"/>
                              <w:marBottom w:val="0"/>
                              <w:divBdr>
                                <w:top w:val="none" w:sz="0" w:space="0" w:color="auto"/>
                                <w:left w:val="none" w:sz="0" w:space="0" w:color="auto"/>
                                <w:bottom w:val="none" w:sz="0" w:space="0" w:color="auto"/>
                                <w:right w:val="none" w:sz="0" w:space="0" w:color="auto"/>
                              </w:divBdr>
                              <w:divsChild>
                                <w:div w:id="1142769628">
                                  <w:marLeft w:val="0"/>
                                  <w:marRight w:val="0"/>
                                  <w:marTop w:val="0"/>
                                  <w:marBottom w:val="0"/>
                                  <w:divBdr>
                                    <w:top w:val="none" w:sz="0" w:space="0" w:color="auto"/>
                                    <w:left w:val="none" w:sz="0" w:space="0" w:color="auto"/>
                                    <w:bottom w:val="none" w:sz="0" w:space="0" w:color="auto"/>
                                    <w:right w:val="none" w:sz="0" w:space="0" w:color="auto"/>
                                  </w:divBdr>
                                  <w:divsChild>
                                    <w:div w:id="1450246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7901705">
          <w:marLeft w:val="0"/>
          <w:marRight w:val="0"/>
          <w:marTop w:val="0"/>
          <w:marBottom w:val="0"/>
          <w:divBdr>
            <w:top w:val="none" w:sz="0" w:space="0" w:color="auto"/>
            <w:left w:val="none" w:sz="0" w:space="0" w:color="auto"/>
            <w:bottom w:val="none" w:sz="0" w:space="0" w:color="auto"/>
            <w:right w:val="none" w:sz="0" w:space="0" w:color="auto"/>
          </w:divBdr>
          <w:divsChild>
            <w:div w:id="1215435199">
              <w:marLeft w:val="0"/>
              <w:marRight w:val="0"/>
              <w:marTop w:val="0"/>
              <w:marBottom w:val="0"/>
              <w:divBdr>
                <w:top w:val="none" w:sz="0" w:space="0" w:color="auto"/>
                <w:left w:val="none" w:sz="0" w:space="0" w:color="auto"/>
                <w:bottom w:val="none" w:sz="0" w:space="0" w:color="auto"/>
                <w:right w:val="none" w:sz="0" w:space="0" w:color="auto"/>
              </w:divBdr>
              <w:divsChild>
                <w:div w:id="1890451611">
                  <w:marLeft w:val="0"/>
                  <w:marRight w:val="0"/>
                  <w:marTop w:val="0"/>
                  <w:marBottom w:val="0"/>
                  <w:divBdr>
                    <w:top w:val="none" w:sz="0" w:space="0" w:color="auto"/>
                    <w:left w:val="none" w:sz="0" w:space="0" w:color="auto"/>
                    <w:bottom w:val="none" w:sz="0" w:space="0" w:color="auto"/>
                    <w:right w:val="none" w:sz="0" w:space="0" w:color="auto"/>
                  </w:divBdr>
                  <w:divsChild>
                    <w:div w:id="1059405524">
                      <w:marLeft w:val="0"/>
                      <w:marRight w:val="0"/>
                      <w:marTop w:val="0"/>
                      <w:marBottom w:val="0"/>
                      <w:divBdr>
                        <w:top w:val="none" w:sz="0" w:space="0" w:color="auto"/>
                        <w:left w:val="none" w:sz="0" w:space="0" w:color="auto"/>
                        <w:bottom w:val="none" w:sz="0" w:space="0" w:color="auto"/>
                        <w:right w:val="none" w:sz="0" w:space="0" w:color="auto"/>
                      </w:divBdr>
                      <w:divsChild>
                        <w:div w:id="124468747">
                          <w:marLeft w:val="0"/>
                          <w:marRight w:val="0"/>
                          <w:marTop w:val="0"/>
                          <w:marBottom w:val="0"/>
                          <w:divBdr>
                            <w:top w:val="none" w:sz="0" w:space="0" w:color="auto"/>
                            <w:left w:val="none" w:sz="0" w:space="0" w:color="auto"/>
                            <w:bottom w:val="none" w:sz="0" w:space="0" w:color="auto"/>
                            <w:right w:val="none" w:sz="0" w:space="0" w:color="auto"/>
                          </w:divBdr>
                          <w:divsChild>
                            <w:div w:id="320430968">
                              <w:marLeft w:val="0"/>
                              <w:marRight w:val="0"/>
                              <w:marTop w:val="0"/>
                              <w:marBottom w:val="0"/>
                              <w:divBdr>
                                <w:top w:val="none" w:sz="0" w:space="0" w:color="auto"/>
                                <w:left w:val="none" w:sz="0" w:space="0" w:color="auto"/>
                                <w:bottom w:val="none" w:sz="0" w:space="0" w:color="auto"/>
                                <w:right w:val="none" w:sz="0" w:space="0" w:color="auto"/>
                              </w:divBdr>
                              <w:divsChild>
                                <w:div w:id="1575433790">
                                  <w:marLeft w:val="0"/>
                                  <w:marRight w:val="0"/>
                                  <w:marTop w:val="0"/>
                                  <w:marBottom w:val="0"/>
                                  <w:divBdr>
                                    <w:top w:val="none" w:sz="0" w:space="0" w:color="auto"/>
                                    <w:left w:val="none" w:sz="0" w:space="0" w:color="auto"/>
                                    <w:bottom w:val="none" w:sz="0" w:space="0" w:color="auto"/>
                                    <w:right w:val="none" w:sz="0" w:space="0" w:color="auto"/>
                                  </w:divBdr>
                                  <w:divsChild>
                                    <w:div w:id="361638197">
                                      <w:marLeft w:val="0"/>
                                      <w:marRight w:val="0"/>
                                      <w:marTop w:val="0"/>
                                      <w:marBottom w:val="0"/>
                                      <w:divBdr>
                                        <w:top w:val="none" w:sz="0" w:space="0" w:color="auto"/>
                                        <w:left w:val="none" w:sz="0" w:space="0" w:color="auto"/>
                                        <w:bottom w:val="none" w:sz="0" w:space="0" w:color="auto"/>
                                        <w:right w:val="none" w:sz="0" w:space="0" w:color="auto"/>
                                      </w:divBdr>
                                      <w:divsChild>
                                        <w:div w:id="193082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2935102">
          <w:marLeft w:val="0"/>
          <w:marRight w:val="0"/>
          <w:marTop w:val="0"/>
          <w:marBottom w:val="0"/>
          <w:divBdr>
            <w:top w:val="none" w:sz="0" w:space="0" w:color="auto"/>
            <w:left w:val="none" w:sz="0" w:space="0" w:color="auto"/>
            <w:bottom w:val="none" w:sz="0" w:space="0" w:color="auto"/>
            <w:right w:val="none" w:sz="0" w:space="0" w:color="auto"/>
          </w:divBdr>
          <w:divsChild>
            <w:div w:id="1206410104">
              <w:marLeft w:val="0"/>
              <w:marRight w:val="0"/>
              <w:marTop w:val="0"/>
              <w:marBottom w:val="0"/>
              <w:divBdr>
                <w:top w:val="none" w:sz="0" w:space="0" w:color="auto"/>
                <w:left w:val="none" w:sz="0" w:space="0" w:color="auto"/>
                <w:bottom w:val="none" w:sz="0" w:space="0" w:color="auto"/>
                <w:right w:val="none" w:sz="0" w:space="0" w:color="auto"/>
              </w:divBdr>
              <w:divsChild>
                <w:div w:id="801770228">
                  <w:marLeft w:val="0"/>
                  <w:marRight w:val="0"/>
                  <w:marTop w:val="0"/>
                  <w:marBottom w:val="0"/>
                  <w:divBdr>
                    <w:top w:val="none" w:sz="0" w:space="0" w:color="auto"/>
                    <w:left w:val="none" w:sz="0" w:space="0" w:color="auto"/>
                    <w:bottom w:val="none" w:sz="0" w:space="0" w:color="auto"/>
                    <w:right w:val="none" w:sz="0" w:space="0" w:color="auto"/>
                  </w:divBdr>
                  <w:divsChild>
                    <w:div w:id="2123068405">
                      <w:marLeft w:val="0"/>
                      <w:marRight w:val="0"/>
                      <w:marTop w:val="0"/>
                      <w:marBottom w:val="0"/>
                      <w:divBdr>
                        <w:top w:val="none" w:sz="0" w:space="0" w:color="auto"/>
                        <w:left w:val="none" w:sz="0" w:space="0" w:color="auto"/>
                        <w:bottom w:val="none" w:sz="0" w:space="0" w:color="auto"/>
                        <w:right w:val="none" w:sz="0" w:space="0" w:color="auto"/>
                      </w:divBdr>
                      <w:divsChild>
                        <w:div w:id="890653691">
                          <w:marLeft w:val="0"/>
                          <w:marRight w:val="0"/>
                          <w:marTop w:val="0"/>
                          <w:marBottom w:val="0"/>
                          <w:divBdr>
                            <w:top w:val="none" w:sz="0" w:space="0" w:color="auto"/>
                            <w:left w:val="none" w:sz="0" w:space="0" w:color="auto"/>
                            <w:bottom w:val="none" w:sz="0" w:space="0" w:color="auto"/>
                            <w:right w:val="none" w:sz="0" w:space="0" w:color="auto"/>
                          </w:divBdr>
                          <w:divsChild>
                            <w:div w:id="1414820690">
                              <w:marLeft w:val="0"/>
                              <w:marRight w:val="0"/>
                              <w:marTop w:val="0"/>
                              <w:marBottom w:val="0"/>
                              <w:divBdr>
                                <w:top w:val="none" w:sz="0" w:space="0" w:color="auto"/>
                                <w:left w:val="none" w:sz="0" w:space="0" w:color="auto"/>
                                <w:bottom w:val="none" w:sz="0" w:space="0" w:color="auto"/>
                                <w:right w:val="none" w:sz="0" w:space="0" w:color="auto"/>
                              </w:divBdr>
                              <w:divsChild>
                                <w:div w:id="1052970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452749">
                  <w:marLeft w:val="0"/>
                  <w:marRight w:val="0"/>
                  <w:marTop w:val="0"/>
                  <w:marBottom w:val="0"/>
                  <w:divBdr>
                    <w:top w:val="none" w:sz="0" w:space="0" w:color="auto"/>
                    <w:left w:val="none" w:sz="0" w:space="0" w:color="auto"/>
                    <w:bottom w:val="none" w:sz="0" w:space="0" w:color="auto"/>
                    <w:right w:val="none" w:sz="0" w:space="0" w:color="auto"/>
                  </w:divBdr>
                  <w:divsChild>
                    <w:div w:id="2020153327">
                      <w:marLeft w:val="0"/>
                      <w:marRight w:val="0"/>
                      <w:marTop w:val="0"/>
                      <w:marBottom w:val="0"/>
                      <w:divBdr>
                        <w:top w:val="none" w:sz="0" w:space="0" w:color="auto"/>
                        <w:left w:val="none" w:sz="0" w:space="0" w:color="auto"/>
                        <w:bottom w:val="none" w:sz="0" w:space="0" w:color="auto"/>
                        <w:right w:val="none" w:sz="0" w:space="0" w:color="auto"/>
                      </w:divBdr>
                      <w:divsChild>
                        <w:div w:id="212352445">
                          <w:marLeft w:val="0"/>
                          <w:marRight w:val="0"/>
                          <w:marTop w:val="0"/>
                          <w:marBottom w:val="0"/>
                          <w:divBdr>
                            <w:top w:val="none" w:sz="0" w:space="0" w:color="auto"/>
                            <w:left w:val="none" w:sz="0" w:space="0" w:color="auto"/>
                            <w:bottom w:val="none" w:sz="0" w:space="0" w:color="auto"/>
                            <w:right w:val="none" w:sz="0" w:space="0" w:color="auto"/>
                          </w:divBdr>
                          <w:divsChild>
                            <w:div w:id="1806585094">
                              <w:marLeft w:val="0"/>
                              <w:marRight w:val="0"/>
                              <w:marTop w:val="0"/>
                              <w:marBottom w:val="0"/>
                              <w:divBdr>
                                <w:top w:val="none" w:sz="0" w:space="0" w:color="auto"/>
                                <w:left w:val="none" w:sz="0" w:space="0" w:color="auto"/>
                                <w:bottom w:val="none" w:sz="0" w:space="0" w:color="auto"/>
                                <w:right w:val="none" w:sz="0" w:space="0" w:color="auto"/>
                              </w:divBdr>
                              <w:divsChild>
                                <w:div w:id="910164044">
                                  <w:marLeft w:val="0"/>
                                  <w:marRight w:val="0"/>
                                  <w:marTop w:val="0"/>
                                  <w:marBottom w:val="0"/>
                                  <w:divBdr>
                                    <w:top w:val="none" w:sz="0" w:space="0" w:color="auto"/>
                                    <w:left w:val="none" w:sz="0" w:space="0" w:color="auto"/>
                                    <w:bottom w:val="none" w:sz="0" w:space="0" w:color="auto"/>
                                    <w:right w:val="none" w:sz="0" w:space="0" w:color="auto"/>
                                  </w:divBdr>
                                  <w:divsChild>
                                    <w:div w:id="103751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09999">
                          <w:marLeft w:val="0"/>
                          <w:marRight w:val="0"/>
                          <w:marTop w:val="0"/>
                          <w:marBottom w:val="0"/>
                          <w:divBdr>
                            <w:top w:val="none" w:sz="0" w:space="0" w:color="auto"/>
                            <w:left w:val="none" w:sz="0" w:space="0" w:color="auto"/>
                            <w:bottom w:val="none" w:sz="0" w:space="0" w:color="auto"/>
                            <w:right w:val="none" w:sz="0" w:space="0" w:color="auto"/>
                          </w:divBdr>
                          <w:divsChild>
                            <w:div w:id="1769816179">
                              <w:marLeft w:val="0"/>
                              <w:marRight w:val="0"/>
                              <w:marTop w:val="0"/>
                              <w:marBottom w:val="0"/>
                              <w:divBdr>
                                <w:top w:val="none" w:sz="0" w:space="0" w:color="auto"/>
                                <w:left w:val="none" w:sz="0" w:space="0" w:color="auto"/>
                                <w:bottom w:val="none" w:sz="0" w:space="0" w:color="auto"/>
                                <w:right w:val="none" w:sz="0" w:space="0" w:color="auto"/>
                              </w:divBdr>
                              <w:divsChild>
                                <w:div w:id="1152524887">
                                  <w:marLeft w:val="0"/>
                                  <w:marRight w:val="0"/>
                                  <w:marTop w:val="0"/>
                                  <w:marBottom w:val="0"/>
                                  <w:divBdr>
                                    <w:top w:val="none" w:sz="0" w:space="0" w:color="auto"/>
                                    <w:left w:val="none" w:sz="0" w:space="0" w:color="auto"/>
                                    <w:bottom w:val="none" w:sz="0" w:space="0" w:color="auto"/>
                                    <w:right w:val="none" w:sz="0" w:space="0" w:color="auto"/>
                                  </w:divBdr>
                                  <w:divsChild>
                                    <w:div w:id="18070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4593621">
          <w:marLeft w:val="0"/>
          <w:marRight w:val="0"/>
          <w:marTop w:val="0"/>
          <w:marBottom w:val="0"/>
          <w:divBdr>
            <w:top w:val="none" w:sz="0" w:space="0" w:color="auto"/>
            <w:left w:val="none" w:sz="0" w:space="0" w:color="auto"/>
            <w:bottom w:val="none" w:sz="0" w:space="0" w:color="auto"/>
            <w:right w:val="none" w:sz="0" w:space="0" w:color="auto"/>
          </w:divBdr>
          <w:divsChild>
            <w:div w:id="1943174558">
              <w:marLeft w:val="0"/>
              <w:marRight w:val="0"/>
              <w:marTop w:val="0"/>
              <w:marBottom w:val="0"/>
              <w:divBdr>
                <w:top w:val="none" w:sz="0" w:space="0" w:color="auto"/>
                <w:left w:val="none" w:sz="0" w:space="0" w:color="auto"/>
                <w:bottom w:val="none" w:sz="0" w:space="0" w:color="auto"/>
                <w:right w:val="none" w:sz="0" w:space="0" w:color="auto"/>
              </w:divBdr>
              <w:divsChild>
                <w:div w:id="790247134">
                  <w:marLeft w:val="0"/>
                  <w:marRight w:val="0"/>
                  <w:marTop w:val="0"/>
                  <w:marBottom w:val="0"/>
                  <w:divBdr>
                    <w:top w:val="none" w:sz="0" w:space="0" w:color="auto"/>
                    <w:left w:val="none" w:sz="0" w:space="0" w:color="auto"/>
                    <w:bottom w:val="none" w:sz="0" w:space="0" w:color="auto"/>
                    <w:right w:val="none" w:sz="0" w:space="0" w:color="auto"/>
                  </w:divBdr>
                  <w:divsChild>
                    <w:div w:id="286863061">
                      <w:marLeft w:val="0"/>
                      <w:marRight w:val="0"/>
                      <w:marTop w:val="0"/>
                      <w:marBottom w:val="0"/>
                      <w:divBdr>
                        <w:top w:val="none" w:sz="0" w:space="0" w:color="auto"/>
                        <w:left w:val="none" w:sz="0" w:space="0" w:color="auto"/>
                        <w:bottom w:val="none" w:sz="0" w:space="0" w:color="auto"/>
                        <w:right w:val="none" w:sz="0" w:space="0" w:color="auto"/>
                      </w:divBdr>
                      <w:divsChild>
                        <w:div w:id="308291107">
                          <w:marLeft w:val="0"/>
                          <w:marRight w:val="0"/>
                          <w:marTop w:val="0"/>
                          <w:marBottom w:val="0"/>
                          <w:divBdr>
                            <w:top w:val="none" w:sz="0" w:space="0" w:color="auto"/>
                            <w:left w:val="none" w:sz="0" w:space="0" w:color="auto"/>
                            <w:bottom w:val="none" w:sz="0" w:space="0" w:color="auto"/>
                            <w:right w:val="none" w:sz="0" w:space="0" w:color="auto"/>
                          </w:divBdr>
                          <w:divsChild>
                            <w:div w:id="1455058588">
                              <w:marLeft w:val="0"/>
                              <w:marRight w:val="0"/>
                              <w:marTop w:val="0"/>
                              <w:marBottom w:val="0"/>
                              <w:divBdr>
                                <w:top w:val="none" w:sz="0" w:space="0" w:color="auto"/>
                                <w:left w:val="none" w:sz="0" w:space="0" w:color="auto"/>
                                <w:bottom w:val="none" w:sz="0" w:space="0" w:color="auto"/>
                                <w:right w:val="none" w:sz="0" w:space="0" w:color="auto"/>
                              </w:divBdr>
                              <w:divsChild>
                                <w:div w:id="1723014538">
                                  <w:marLeft w:val="0"/>
                                  <w:marRight w:val="0"/>
                                  <w:marTop w:val="0"/>
                                  <w:marBottom w:val="0"/>
                                  <w:divBdr>
                                    <w:top w:val="none" w:sz="0" w:space="0" w:color="auto"/>
                                    <w:left w:val="none" w:sz="0" w:space="0" w:color="auto"/>
                                    <w:bottom w:val="none" w:sz="0" w:space="0" w:color="auto"/>
                                    <w:right w:val="none" w:sz="0" w:space="0" w:color="auto"/>
                                  </w:divBdr>
                                  <w:divsChild>
                                    <w:div w:id="1957448372">
                                      <w:marLeft w:val="0"/>
                                      <w:marRight w:val="0"/>
                                      <w:marTop w:val="0"/>
                                      <w:marBottom w:val="0"/>
                                      <w:divBdr>
                                        <w:top w:val="none" w:sz="0" w:space="0" w:color="auto"/>
                                        <w:left w:val="none" w:sz="0" w:space="0" w:color="auto"/>
                                        <w:bottom w:val="none" w:sz="0" w:space="0" w:color="auto"/>
                                        <w:right w:val="none" w:sz="0" w:space="0" w:color="auto"/>
                                      </w:divBdr>
                                      <w:divsChild>
                                        <w:div w:id="308242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575338">
          <w:marLeft w:val="0"/>
          <w:marRight w:val="0"/>
          <w:marTop w:val="0"/>
          <w:marBottom w:val="0"/>
          <w:divBdr>
            <w:top w:val="none" w:sz="0" w:space="0" w:color="auto"/>
            <w:left w:val="none" w:sz="0" w:space="0" w:color="auto"/>
            <w:bottom w:val="none" w:sz="0" w:space="0" w:color="auto"/>
            <w:right w:val="none" w:sz="0" w:space="0" w:color="auto"/>
          </w:divBdr>
          <w:divsChild>
            <w:div w:id="1435059016">
              <w:marLeft w:val="0"/>
              <w:marRight w:val="0"/>
              <w:marTop w:val="0"/>
              <w:marBottom w:val="0"/>
              <w:divBdr>
                <w:top w:val="none" w:sz="0" w:space="0" w:color="auto"/>
                <w:left w:val="none" w:sz="0" w:space="0" w:color="auto"/>
                <w:bottom w:val="none" w:sz="0" w:space="0" w:color="auto"/>
                <w:right w:val="none" w:sz="0" w:space="0" w:color="auto"/>
              </w:divBdr>
              <w:divsChild>
                <w:div w:id="942609943">
                  <w:marLeft w:val="0"/>
                  <w:marRight w:val="0"/>
                  <w:marTop w:val="0"/>
                  <w:marBottom w:val="0"/>
                  <w:divBdr>
                    <w:top w:val="none" w:sz="0" w:space="0" w:color="auto"/>
                    <w:left w:val="none" w:sz="0" w:space="0" w:color="auto"/>
                    <w:bottom w:val="none" w:sz="0" w:space="0" w:color="auto"/>
                    <w:right w:val="none" w:sz="0" w:space="0" w:color="auto"/>
                  </w:divBdr>
                  <w:divsChild>
                    <w:div w:id="372660422">
                      <w:marLeft w:val="0"/>
                      <w:marRight w:val="0"/>
                      <w:marTop w:val="0"/>
                      <w:marBottom w:val="0"/>
                      <w:divBdr>
                        <w:top w:val="none" w:sz="0" w:space="0" w:color="auto"/>
                        <w:left w:val="none" w:sz="0" w:space="0" w:color="auto"/>
                        <w:bottom w:val="none" w:sz="0" w:space="0" w:color="auto"/>
                        <w:right w:val="none" w:sz="0" w:space="0" w:color="auto"/>
                      </w:divBdr>
                      <w:divsChild>
                        <w:div w:id="1033774393">
                          <w:marLeft w:val="0"/>
                          <w:marRight w:val="0"/>
                          <w:marTop w:val="0"/>
                          <w:marBottom w:val="0"/>
                          <w:divBdr>
                            <w:top w:val="none" w:sz="0" w:space="0" w:color="auto"/>
                            <w:left w:val="none" w:sz="0" w:space="0" w:color="auto"/>
                            <w:bottom w:val="none" w:sz="0" w:space="0" w:color="auto"/>
                            <w:right w:val="none" w:sz="0" w:space="0" w:color="auto"/>
                          </w:divBdr>
                          <w:divsChild>
                            <w:div w:id="684672974">
                              <w:marLeft w:val="0"/>
                              <w:marRight w:val="0"/>
                              <w:marTop w:val="0"/>
                              <w:marBottom w:val="0"/>
                              <w:divBdr>
                                <w:top w:val="none" w:sz="0" w:space="0" w:color="auto"/>
                                <w:left w:val="none" w:sz="0" w:space="0" w:color="auto"/>
                                <w:bottom w:val="none" w:sz="0" w:space="0" w:color="auto"/>
                                <w:right w:val="none" w:sz="0" w:space="0" w:color="auto"/>
                              </w:divBdr>
                              <w:divsChild>
                                <w:div w:id="104833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7821117">
                  <w:marLeft w:val="0"/>
                  <w:marRight w:val="0"/>
                  <w:marTop w:val="0"/>
                  <w:marBottom w:val="0"/>
                  <w:divBdr>
                    <w:top w:val="none" w:sz="0" w:space="0" w:color="auto"/>
                    <w:left w:val="none" w:sz="0" w:space="0" w:color="auto"/>
                    <w:bottom w:val="none" w:sz="0" w:space="0" w:color="auto"/>
                    <w:right w:val="none" w:sz="0" w:space="0" w:color="auto"/>
                  </w:divBdr>
                  <w:divsChild>
                    <w:div w:id="1433089611">
                      <w:marLeft w:val="0"/>
                      <w:marRight w:val="0"/>
                      <w:marTop w:val="0"/>
                      <w:marBottom w:val="0"/>
                      <w:divBdr>
                        <w:top w:val="none" w:sz="0" w:space="0" w:color="auto"/>
                        <w:left w:val="none" w:sz="0" w:space="0" w:color="auto"/>
                        <w:bottom w:val="none" w:sz="0" w:space="0" w:color="auto"/>
                        <w:right w:val="none" w:sz="0" w:space="0" w:color="auto"/>
                      </w:divBdr>
                      <w:divsChild>
                        <w:div w:id="274487937">
                          <w:marLeft w:val="0"/>
                          <w:marRight w:val="0"/>
                          <w:marTop w:val="0"/>
                          <w:marBottom w:val="0"/>
                          <w:divBdr>
                            <w:top w:val="none" w:sz="0" w:space="0" w:color="auto"/>
                            <w:left w:val="none" w:sz="0" w:space="0" w:color="auto"/>
                            <w:bottom w:val="none" w:sz="0" w:space="0" w:color="auto"/>
                            <w:right w:val="none" w:sz="0" w:space="0" w:color="auto"/>
                          </w:divBdr>
                          <w:divsChild>
                            <w:div w:id="561015572">
                              <w:marLeft w:val="0"/>
                              <w:marRight w:val="0"/>
                              <w:marTop w:val="0"/>
                              <w:marBottom w:val="0"/>
                              <w:divBdr>
                                <w:top w:val="none" w:sz="0" w:space="0" w:color="auto"/>
                                <w:left w:val="none" w:sz="0" w:space="0" w:color="auto"/>
                                <w:bottom w:val="none" w:sz="0" w:space="0" w:color="auto"/>
                                <w:right w:val="none" w:sz="0" w:space="0" w:color="auto"/>
                              </w:divBdr>
                              <w:divsChild>
                                <w:div w:id="1924800281">
                                  <w:marLeft w:val="0"/>
                                  <w:marRight w:val="0"/>
                                  <w:marTop w:val="0"/>
                                  <w:marBottom w:val="0"/>
                                  <w:divBdr>
                                    <w:top w:val="none" w:sz="0" w:space="0" w:color="auto"/>
                                    <w:left w:val="none" w:sz="0" w:space="0" w:color="auto"/>
                                    <w:bottom w:val="none" w:sz="0" w:space="0" w:color="auto"/>
                                    <w:right w:val="none" w:sz="0" w:space="0" w:color="auto"/>
                                  </w:divBdr>
                                  <w:divsChild>
                                    <w:div w:id="137973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0768918">
                          <w:marLeft w:val="0"/>
                          <w:marRight w:val="0"/>
                          <w:marTop w:val="0"/>
                          <w:marBottom w:val="0"/>
                          <w:divBdr>
                            <w:top w:val="none" w:sz="0" w:space="0" w:color="auto"/>
                            <w:left w:val="none" w:sz="0" w:space="0" w:color="auto"/>
                            <w:bottom w:val="none" w:sz="0" w:space="0" w:color="auto"/>
                            <w:right w:val="none" w:sz="0" w:space="0" w:color="auto"/>
                          </w:divBdr>
                          <w:divsChild>
                            <w:div w:id="250311646">
                              <w:marLeft w:val="0"/>
                              <w:marRight w:val="0"/>
                              <w:marTop w:val="0"/>
                              <w:marBottom w:val="0"/>
                              <w:divBdr>
                                <w:top w:val="none" w:sz="0" w:space="0" w:color="auto"/>
                                <w:left w:val="none" w:sz="0" w:space="0" w:color="auto"/>
                                <w:bottom w:val="none" w:sz="0" w:space="0" w:color="auto"/>
                                <w:right w:val="none" w:sz="0" w:space="0" w:color="auto"/>
                              </w:divBdr>
                              <w:divsChild>
                                <w:div w:id="879513132">
                                  <w:marLeft w:val="0"/>
                                  <w:marRight w:val="0"/>
                                  <w:marTop w:val="0"/>
                                  <w:marBottom w:val="0"/>
                                  <w:divBdr>
                                    <w:top w:val="none" w:sz="0" w:space="0" w:color="auto"/>
                                    <w:left w:val="none" w:sz="0" w:space="0" w:color="auto"/>
                                    <w:bottom w:val="none" w:sz="0" w:space="0" w:color="auto"/>
                                    <w:right w:val="none" w:sz="0" w:space="0" w:color="auto"/>
                                  </w:divBdr>
                                  <w:divsChild>
                                    <w:div w:id="89439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5620231">
          <w:marLeft w:val="0"/>
          <w:marRight w:val="0"/>
          <w:marTop w:val="0"/>
          <w:marBottom w:val="0"/>
          <w:divBdr>
            <w:top w:val="none" w:sz="0" w:space="0" w:color="auto"/>
            <w:left w:val="none" w:sz="0" w:space="0" w:color="auto"/>
            <w:bottom w:val="none" w:sz="0" w:space="0" w:color="auto"/>
            <w:right w:val="none" w:sz="0" w:space="0" w:color="auto"/>
          </w:divBdr>
          <w:divsChild>
            <w:div w:id="332223961">
              <w:marLeft w:val="0"/>
              <w:marRight w:val="0"/>
              <w:marTop w:val="0"/>
              <w:marBottom w:val="0"/>
              <w:divBdr>
                <w:top w:val="none" w:sz="0" w:space="0" w:color="auto"/>
                <w:left w:val="none" w:sz="0" w:space="0" w:color="auto"/>
                <w:bottom w:val="none" w:sz="0" w:space="0" w:color="auto"/>
                <w:right w:val="none" w:sz="0" w:space="0" w:color="auto"/>
              </w:divBdr>
              <w:divsChild>
                <w:div w:id="1731732526">
                  <w:marLeft w:val="0"/>
                  <w:marRight w:val="0"/>
                  <w:marTop w:val="0"/>
                  <w:marBottom w:val="0"/>
                  <w:divBdr>
                    <w:top w:val="none" w:sz="0" w:space="0" w:color="auto"/>
                    <w:left w:val="none" w:sz="0" w:space="0" w:color="auto"/>
                    <w:bottom w:val="none" w:sz="0" w:space="0" w:color="auto"/>
                    <w:right w:val="none" w:sz="0" w:space="0" w:color="auto"/>
                  </w:divBdr>
                  <w:divsChild>
                    <w:div w:id="86387401">
                      <w:marLeft w:val="0"/>
                      <w:marRight w:val="0"/>
                      <w:marTop w:val="0"/>
                      <w:marBottom w:val="0"/>
                      <w:divBdr>
                        <w:top w:val="none" w:sz="0" w:space="0" w:color="auto"/>
                        <w:left w:val="none" w:sz="0" w:space="0" w:color="auto"/>
                        <w:bottom w:val="none" w:sz="0" w:space="0" w:color="auto"/>
                        <w:right w:val="none" w:sz="0" w:space="0" w:color="auto"/>
                      </w:divBdr>
                      <w:divsChild>
                        <w:div w:id="502597492">
                          <w:marLeft w:val="0"/>
                          <w:marRight w:val="0"/>
                          <w:marTop w:val="0"/>
                          <w:marBottom w:val="0"/>
                          <w:divBdr>
                            <w:top w:val="none" w:sz="0" w:space="0" w:color="auto"/>
                            <w:left w:val="none" w:sz="0" w:space="0" w:color="auto"/>
                            <w:bottom w:val="none" w:sz="0" w:space="0" w:color="auto"/>
                            <w:right w:val="none" w:sz="0" w:space="0" w:color="auto"/>
                          </w:divBdr>
                          <w:divsChild>
                            <w:div w:id="978609306">
                              <w:marLeft w:val="0"/>
                              <w:marRight w:val="0"/>
                              <w:marTop w:val="0"/>
                              <w:marBottom w:val="0"/>
                              <w:divBdr>
                                <w:top w:val="none" w:sz="0" w:space="0" w:color="auto"/>
                                <w:left w:val="none" w:sz="0" w:space="0" w:color="auto"/>
                                <w:bottom w:val="none" w:sz="0" w:space="0" w:color="auto"/>
                                <w:right w:val="none" w:sz="0" w:space="0" w:color="auto"/>
                              </w:divBdr>
                              <w:divsChild>
                                <w:div w:id="633101326">
                                  <w:marLeft w:val="0"/>
                                  <w:marRight w:val="0"/>
                                  <w:marTop w:val="0"/>
                                  <w:marBottom w:val="0"/>
                                  <w:divBdr>
                                    <w:top w:val="none" w:sz="0" w:space="0" w:color="auto"/>
                                    <w:left w:val="none" w:sz="0" w:space="0" w:color="auto"/>
                                    <w:bottom w:val="none" w:sz="0" w:space="0" w:color="auto"/>
                                    <w:right w:val="none" w:sz="0" w:space="0" w:color="auto"/>
                                  </w:divBdr>
                                  <w:divsChild>
                                    <w:div w:id="459569034">
                                      <w:marLeft w:val="0"/>
                                      <w:marRight w:val="0"/>
                                      <w:marTop w:val="0"/>
                                      <w:marBottom w:val="0"/>
                                      <w:divBdr>
                                        <w:top w:val="none" w:sz="0" w:space="0" w:color="auto"/>
                                        <w:left w:val="none" w:sz="0" w:space="0" w:color="auto"/>
                                        <w:bottom w:val="none" w:sz="0" w:space="0" w:color="auto"/>
                                        <w:right w:val="none" w:sz="0" w:space="0" w:color="auto"/>
                                      </w:divBdr>
                                      <w:divsChild>
                                        <w:div w:id="1351487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4427713">
          <w:marLeft w:val="0"/>
          <w:marRight w:val="0"/>
          <w:marTop w:val="0"/>
          <w:marBottom w:val="0"/>
          <w:divBdr>
            <w:top w:val="none" w:sz="0" w:space="0" w:color="auto"/>
            <w:left w:val="none" w:sz="0" w:space="0" w:color="auto"/>
            <w:bottom w:val="none" w:sz="0" w:space="0" w:color="auto"/>
            <w:right w:val="none" w:sz="0" w:space="0" w:color="auto"/>
          </w:divBdr>
          <w:divsChild>
            <w:div w:id="1125804994">
              <w:marLeft w:val="0"/>
              <w:marRight w:val="0"/>
              <w:marTop w:val="0"/>
              <w:marBottom w:val="0"/>
              <w:divBdr>
                <w:top w:val="none" w:sz="0" w:space="0" w:color="auto"/>
                <w:left w:val="none" w:sz="0" w:space="0" w:color="auto"/>
                <w:bottom w:val="none" w:sz="0" w:space="0" w:color="auto"/>
                <w:right w:val="none" w:sz="0" w:space="0" w:color="auto"/>
              </w:divBdr>
              <w:divsChild>
                <w:div w:id="1100954914">
                  <w:marLeft w:val="0"/>
                  <w:marRight w:val="0"/>
                  <w:marTop w:val="0"/>
                  <w:marBottom w:val="0"/>
                  <w:divBdr>
                    <w:top w:val="none" w:sz="0" w:space="0" w:color="auto"/>
                    <w:left w:val="none" w:sz="0" w:space="0" w:color="auto"/>
                    <w:bottom w:val="none" w:sz="0" w:space="0" w:color="auto"/>
                    <w:right w:val="none" w:sz="0" w:space="0" w:color="auto"/>
                  </w:divBdr>
                  <w:divsChild>
                    <w:div w:id="1530021498">
                      <w:marLeft w:val="0"/>
                      <w:marRight w:val="0"/>
                      <w:marTop w:val="0"/>
                      <w:marBottom w:val="0"/>
                      <w:divBdr>
                        <w:top w:val="none" w:sz="0" w:space="0" w:color="auto"/>
                        <w:left w:val="none" w:sz="0" w:space="0" w:color="auto"/>
                        <w:bottom w:val="none" w:sz="0" w:space="0" w:color="auto"/>
                        <w:right w:val="none" w:sz="0" w:space="0" w:color="auto"/>
                      </w:divBdr>
                      <w:divsChild>
                        <w:div w:id="441194103">
                          <w:marLeft w:val="0"/>
                          <w:marRight w:val="0"/>
                          <w:marTop w:val="0"/>
                          <w:marBottom w:val="0"/>
                          <w:divBdr>
                            <w:top w:val="none" w:sz="0" w:space="0" w:color="auto"/>
                            <w:left w:val="none" w:sz="0" w:space="0" w:color="auto"/>
                            <w:bottom w:val="none" w:sz="0" w:space="0" w:color="auto"/>
                            <w:right w:val="none" w:sz="0" w:space="0" w:color="auto"/>
                          </w:divBdr>
                          <w:divsChild>
                            <w:div w:id="1652366315">
                              <w:marLeft w:val="0"/>
                              <w:marRight w:val="0"/>
                              <w:marTop w:val="0"/>
                              <w:marBottom w:val="0"/>
                              <w:divBdr>
                                <w:top w:val="none" w:sz="0" w:space="0" w:color="auto"/>
                                <w:left w:val="none" w:sz="0" w:space="0" w:color="auto"/>
                                <w:bottom w:val="none" w:sz="0" w:space="0" w:color="auto"/>
                                <w:right w:val="none" w:sz="0" w:space="0" w:color="auto"/>
                              </w:divBdr>
                              <w:divsChild>
                                <w:div w:id="119958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060353">
                  <w:marLeft w:val="0"/>
                  <w:marRight w:val="0"/>
                  <w:marTop w:val="0"/>
                  <w:marBottom w:val="0"/>
                  <w:divBdr>
                    <w:top w:val="none" w:sz="0" w:space="0" w:color="auto"/>
                    <w:left w:val="none" w:sz="0" w:space="0" w:color="auto"/>
                    <w:bottom w:val="none" w:sz="0" w:space="0" w:color="auto"/>
                    <w:right w:val="none" w:sz="0" w:space="0" w:color="auto"/>
                  </w:divBdr>
                  <w:divsChild>
                    <w:div w:id="1841041580">
                      <w:marLeft w:val="0"/>
                      <w:marRight w:val="0"/>
                      <w:marTop w:val="0"/>
                      <w:marBottom w:val="0"/>
                      <w:divBdr>
                        <w:top w:val="none" w:sz="0" w:space="0" w:color="auto"/>
                        <w:left w:val="none" w:sz="0" w:space="0" w:color="auto"/>
                        <w:bottom w:val="none" w:sz="0" w:space="0" w:color="auto"/>
                        <w:right w:val="none" w:sz="0" w:space="0" w:color="auto"/>
                      </w:divBdr>
                      <w:divsChild>
                        <w:div w:id="977687628">
                          <w:marLeft w:val="0"/>
                          <w:marRight w:val="0"/>
                          <w:marTop w:val="0"/>
                          <w:marBottom w:val="0"/>
                          <w:divBdr>
                            <w:top w:val="none" w:sz="0" w:space="0" w:color="auto"/>
                            <w:left w:val="none" w:sz="0" w:space="0" w:color="auto"/>
                            <w:bottom w:val="none" w:sz="0" w:space="0" w:color="auto"/>
                            <w:right w:val="none" w:sz="0" w:space="0" w:color="auto"/>
                          </w:divBdr>
                          <w:divsChild>
                            <w:div w:id="302465600">
                              <w:marLeft w:val="0"/>
                              <w:marRight w:val="0"/>
                              <w:marTop w:val="0"/>
                              <w:marBottom w:val="0"/>
                              <w:divBdr>
                                <w:top w:val="none" w:sz="0" w:space="0" w:color="auto"/>
                                <w:left w:val="none" w:sz="0" w:space="0" w:color="auto"/>
                                <w:bottom w:val="none" w:sz="0" w:space="0" w:color="auto"/>
                                <w:right w:val="none" w:sz="0" w:space="0" w:color="auto"/>
                              </w:divBdr>
                              <w:divsChild>
                                <w:div w:id="121316321">
                                  <w:marLeft w:val="0"/>
                                  <w:marRight w:val="0"/>
                                  <w:marTop w:val="0"/>
                                  <w:marBottom w:val="0"/>
                                  <w:divBdr>
                                    <w:top w:val="none" w:sz="0" w:space="0" w:color="auto"/>
                                    <w:left w:val="none" w:sz="0" w:space="0" w:color="auto"/>
                                    <w:bottom w:val="none" w:sz="0" w:space="0" w:color="auto"/>
                                    <w:right w:val="none" w:sz="0" w:space="0" w:color="auto"/>
                                  </w:divBdr>
                                  <w:divsChild>
                                    <w:div w:id="116316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550110">
                          <w:marLeft w:val="0"/>
                          <w:marRight w:val="0"/>
                          <w:marTop w:val="0"/>
                          <w:marBottom w:val="0"/>
                          <w:divBdr>
                            <w:top w:val="none" w:sz="0" w:space="0" w:color="auto"/>
                            <w:left w:val="none" w:sz="0" w:space="0" w:color="auto"/>
                            <w:bottom w:val="none" w:sz="0" w:space="0" w:color="auto"/>
                            <w:right w:val="none" w:sz="0" w:space="0" w:color="auto"/>
                          </w:divBdr>
                          <w:divsChild>
                            <w:div w:id="1138570163">
                              <w:marLeft w:val="0"/>
                              <w:marRight w:val="0"/>
                              <w:marTop w:val="0"/>
                              <w:marBottom w:val="0"/>
                              <w:divBdr>
                                <w:top w:val="none" w:sz="0" w:space="0" w:color="auto"/>
                                <w:left w:val="none" w:sz="0" w:space="0" w:color="auto"/>
                                <w:bottom w:val="none" w:sz="0" w:space="0" w:color="auto"/>
                                <w:right w:val="none" w:sz="0" w:space="0" w:color="auto"/>
                              </w:divBdr>
                              <w:divsChild>
                                <w:div w:id="1178154923">
                                  <w:marLeft w:val="0"/>
                                  <w:marRight w:val="0"/>
                                  <w:marTop w:val="0"/>
                                  <w:marBottom w:val="0"/>
                                  <w:divBdr>
                                    <w:top w:val="none" w:sz="0" w:space="0" w:color="auto"/>
                                    <w:left w:val="none" w:sz="0" w:space="0" w:color="auto"/>
                                    <w:bottom w:val="none" w:sz="0" w:space="0" w:color="auto"/>
                                    <w:right w:val="none" w:sz="0" w:space="0" w:color="auto"/>
                                  </w:divBdr>
                                  <w:divsChild>
                                    <w:div w:id="18699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0238145">
          <w:marLeft w:val="0"/>
          <w:marRight w:val="0"/>
          <w:marTop w:val="0"/>
          <w:marBottom w:val="0"/>
          <w:divBdr>
            <w:top w:val="none" w:sz="0" w:space="0" w:color="auto"/>
            <w:left w:val="none" w:sz="0" w:space="0" w:color="auto"/>
            <w:bottom w:val="none" w:sz="0" w:space="0" w:color="auto"/>
            <w:right w:val="none" w:sz="0" w:space="0" w:color="auto"/>
          </w:divBdr>
          <w:divsChild>
            <w:div w:id="2011638752">
              <w:marLeft w:val="0"/>
              <w:marRight w:val="0"/>
              <w:marTop w:val="0"/>
              <w:marBottom w:val="0"/>
              <w:divBdr>
                <w:top w:val="none" w:sz="0" w:space="0" w:color="auto"/>
                <w:left w:val="none" w:sz="0" w:space="0" w:color="auto"/>
                <w:bottom w:val="none" w:sz="0" w:space="0" w:color="auto"/>
                <w:right w:val="none" w:sz="0" w:space="0" w:color="auto"/>
              </w:divBdr>
              <w:divsChild>
                <w:div w:id="167448774">
                  <w:marLeft w:val="0"/>
                  <w:marRight w:val="0"/>
                  <w:marTop w:val="0"/>
                  <w:marBottom w:val="0"/>
                  <w:divBdr>
                    <w:top w:val="none" w:sz="0" w:space="0" w:color="auto"/>
                    <w:left w:val="none" w:sz="0" w:space="0" w:color="auto"/>
                    <w:bottom w:val="none" w:sz="0" w:space="0" w:color="auto"/>
                    <w:right w:val="none" w:sz="0" w:space="0" w:color="auto"/>
                  </w:divBdr>
                  <w:divsChild>
                    <w:div w:id="812140539">
                      <w:marLeft w:val="0"/>
                      <w:marRight w:val="0"/>
                      <w:marTop w:val="0"/>
                      <w:marBottom w:val="0"/>
                      <w:divBdr>
                        <w:top w:val="none" w:sz="0" w:space="0" w:color="auto"/>
                        <w:left w:val="none" w:sz="0" w:space="0" w:color="auto"/>
                        <w:bottom w:val="none" w:sz="0" w:space="0" w:color="auto"/>
                        <w:right w:val="none" w:sz="0" w:space="0" w:color="auto"/>
                      </w:divBdr>
                      <w:divsChild>
                        <w:div w:id="132453579">
                          <w:marLeft w:val="0"/>
                          <w:marRight w:val="0"/>
                          <w:marTop w:val="0"/>
                          <w:marBottom w:val="0"/>
                          <w:divBdr>
                            <w:top w:val="none" w:sz="0" w:space="0" w:color="auto"/>
                            <w:left w:val="none" w:sz="0" w:space="0" w:color="auto"/>
                            <w:bottom w:val="none" w:sz="0" w:space="0" w:color="auto"/>
                            <w:right w:val="none" w:sz="0" w:space="0" w:color="auto"/>
                          </w:divBdr>
                          <w:divsChild>
                            <w:div w:id="2130977768">
                              <w:marLeft w:val="0"/>
                              <w:marRight w:val="0"/>
                              <w:marTop w:val="0"/>
                              <w:marBottom w:val="0"/>
                              <w:divBdr>
                                <w:top w:val="none" w:sz="0" w:space="0" w:color="auto"/>
                                <w:left w:val="none" w:sz="0" w:space="0" w:color="auto"/>
                                <w:bottom w:val="none" w:sz="0" w:space="0" w:color="auto"/>
                                <w:right w:val="none" w:sz="0" w:space="0" w:color="auto"/>
                              </w:divBdr>
                              <w:divsChild>
                                <w:div w:id="1094127827">
                                  <w:marLeft w:val="0"/>
                                  <w:marRight w:val="0"/>
                                  <w:marTop w:val="0"/>
                                  <w:marBottom w:val="0"/>
                                  <w:divBdr>
                                    <w:top w:val="none" w:sz="0" w:space="0" w:color="auto"/>
                                    <w:left w:val="none" w:sz="0" w:space="0" w:color="auto"/>
                                    <w:bottom w:val="none" w:sz="0" w:space="0" w:color="auto"/>
                                    <w:right w:val="none" w:sz="0" w:space="0" w:color="auto"/>
                                  </w:divBdr>
                                  <w:divsChild>
                                    <w:div w:id="109475163">
                                      <w:marLeft w:val="0"/>
                                      <w:marRight w:val="0"/>
                                      <w:marTop w:val="0"/>
                                      <w:marBottom w:val="0"/>
                                      <w:divBdr>
                                        <w:top w:val="none" w:sz="0" w:space="0" w:color="auto"/>
                                        <w:left w:val="none" w:sz="0" w:space="0" w:color="auto"/>
                                        <w:bottom w:val="none" w:sz="0" w:space="0" w:color="auto"/>
                                        <w:right w:val="none" w:sz="0" w:space="0" w:color="auto"/>
                                      </w:divBdr>
                                      <w:divsChild>
                                        <w:div w:id="139060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8938166">
          <w:marLeft w:val="0"/>
          <w:marRight w:val="0"/>
          <w:marTop w:val="0"/>
          <w:marBottom w:val="0"/>
          <w:divBdr>
            <w:top w:val="none" w:sz="0" w:space="0" w:color="auto"/>
            <w:left w:val="none" w:sz="0" w:space="0" w:color="auto"/>
            <w:bottom w:val="none" w:sz="0" w:space="0" w:color="auto"/>
            <w:right w:val="none" w:sz="0" w:space="0" w:color="auto"/>
          </w:divBdr>
          <w:divsChild>
            <w:div w:id="765078692">
              <w:marLeft w:val="0"/>
              <w:marRight w:val="0"/>
              <w:marTop w:val="0"/>
              <w:marBottom w:val="0"/>
              <w:divBdr>
                <w:top w:val="none" w:sz="0" w:space="0" w:color="auto"/>
                <w:left w:val="none" w:sz="0" w:space="0" w:color="auto"/>
                <w:bottom w:val="none" w:sz="0" w:space="0" w:color="auto"/>
                <w:right w:val="none" w:sz="0" w:space="0" w:color="auto"/>
              </w:divBdr>
              <w:divsChild>
                <w:div w:id="711464340">
                  <w:marLeft w:val="0"/>
                  <w:marRight w:val="0"/>
                  <w:marTop w:val="0"/>
                  <w:marBottom w:val="0"/>
                  <w:divBdr>
                    <w:top w:val="none" w:sz="0" w:space="0" w:color="auto"/>
                    <w:left w:val="none" w:sz="0" w:space="0" w:color="auto"/>
                    <w:bottom w:val="none" w:sz="0" w:space="0" w:color="auto"/>
                    <w:right w:val="none" w:sz="0" w:space="0" w:color="auto"/>
                  </w:divBdr>
                  <w:divsChild>
                    <w:div w:id="891429241">
                      <w:marLeft w:val="0"/>
                      <w:marRight w:val="0"/>
                      <w:marTop w:val="0"/>
                      <w:marBottom w:val="0"/>
                      <w:divBdr>
                        <w:top w:val="none" w:sz="0" w:space="0" w:color="auto"/>
                        <w:left w:val="none" w:sz="0" w:space="0" w:color="auto"/>
                        <w:bottom w:val="none" w:sz="0" w:space="0" w:color="auto"/>
                        <w:right w:val="none" w:sz="0" w:space="0" w:color="auto"/>
                      </w:divBdr>
                      <w:divsChild>
                        <w:div w:id="2105762958">
                          <w:marLeft w:val="0"/>
                          <w:marRight w:val="0"/>
                          <w:marTop w:val="0"/>
                          <w:marBottom w:val="0"/>
                          <w:divBdr>
                            <w:top w:val="none" w:sz="0" w:space="0" w:color="auto"/>
                            <w:left w:val="none" w:sz="0" w:space="0" w:color="auto"/>
                            <w:bottom w:val="none" w:sz="0" w:space="0" w:color="auto"/>
                            <w:right w:val="none" w:sz="0" w:space="0" w:color="auto"/>
                          </w:divBdr>
                          <w:divsChild>
                            <w:div w:id="994450053">
                              <w:marLeft w:val="0"/>
                              <w:marRight w:val="0"/>
                              <w:marTop w:val="0"/>
                              <w:marBottom w:val="0"/>
                              <w:divBdr>
                                <w:top w:val="none" w:sz="0" w:space="0" w:color="auto"/>
                                <w:left w:val="none" w:sz="0" w:space="0" w:color="auto"/>
                                <w:bottom w:val="none" w:sz="0" w:space="0" w:color="auto"/>
                                <w:right w:val="none" w:sz="0" w:space="0" w:color="auto"/>
                              </w:divBdr>
                              <w:divsChild>
                                <w:div w:id="211027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4890632">
                  <w:marLeft w:val="0"/>
                  <w:marRight w:val="0"/>
                  <w:marTop w:val="0"/>
                  <w:marBottom w:val="0"/>
                  <w:divBdr>
                    <w:top w:val="none" w:sz="0" w:space="0" w:color="auto"/>
                    <w:left w:val="none" w:sz="0" w:space="0" w:color="auto"/>
                    <w:bottom w:val="none" w:sz="0" w:space="0" w:color="auto"/>
                    <w:right w:val="none" w:sz="0" w:space="0" w:color="auto"/>
                  </w:divBdr>
                  <w:divsChild>
                    <w:div w:id="280378716">
                      <w:marLeft w:val="0"/>
                      <w:marRight w:val="0"/>
                      <w:marTop w:val="0"/>
                      <w:marBottom w:val="0"/>
                      <w:divBdr>
                        <w:top w:val="none" w:sz="0" w:space="0" w:color="auto"/>
                        <w:left w:val="none" w:sz="0" w:space="0" w:color="auto"/>
                        <w:bottom w:val="none" w:sz="0" w:space="0" w:color="auto"/>
                        <w:right w:val="none" w:sz="0" w:space="0" w:color="auto"/>
                      </w:divBdr>
                      <w:divsChild>
                        <w:div w:id="189148452">
                          <w:marLeft w:val="0"/>
                          <w:marRight w:val="0"/>
                          <w:marTop w:val="0"/>
                          <w:marBottom w:val="0"/>
                          <w:divBdr>
                            <w:top w:val="none" w:sz="0" w:space="0" w:color="auto"/>
                            <w:left w:val="none" w:sz="0" w:space="0" w:color="auto"/>
                            <w:bottom w:val="none" w:sz="0" w:space="0" w:color="auto"/>
                            <w:right w:val="none" w:sz="0" w:space="0" w:color="auto"/>
                          </w:divBdr>
                          <w:divsChild>
                            <w:div w:id="1605117461">
                              <w:marLeft w:val="0"/>
                              <w:marRight w:val="0"/>
                              <w:marTop w:val="0"/>
                              <w:marBottom w:val="0"/>
                              <w:divBdr>
                                <w:top w:val="none" w:sz="0" w:space="0" w:color="auto"/>
                                <w:left w:val="none" w:sz="0" w:space="0" w:color="auto"/>
                                <w:bottom w:val="none" w:sz="0" w:space="0" w:color="auto"/>
                                <w:right w:val="none" w:sz="0" w:space="0" w:color="auto"/>
                              </w:divBdr>
                              <w:divsChild>
                                <w:div w:id="270169983">
                                  <w:marLeft w:val="0"/>
                                  <w:marRight w:val="0"/>
                                  <w:marTop w:val="0"/>
                                  <w:marBottom w:val="0"/>
                                  <w:divBdr>
                                    <w:top w:val="none" w:sz="0" w:space="0" w:color="auto"/>
                                    <w:left w:val="none" w:sz="0" w:space="0" w:color="auto"/>
                                    <w:bottom w:val="none" w:sz="0" w:space="0" w:color="auto"/>
                                    <w:right w:val="none" w:sz="0" w:space="0" w:color="auto"/>
                                  </w:divBdr>
                                  <w:divsChild>
                                    <w:div w:id="168952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101296">
                          <w:marLeft w:val="0"/>
                          <w:marRight w:val="0"/>
                          <w:marTop w:val="0"/>
                          <w:marBottom w:val="0"/>
                          <w:divBdr>
                            <w:top w:val="none" w:sz="0" w:space="0" w:color="auto"/>
                            <w:left w:val="none" w:sz="0" w:space="0" w:color="auto"/>
                            <w:bottom w:val="none" w:sz="0" w:space="0" w:color="auto"/>
                            <w:right w:val="none" w:sz="0" w:space="0" w:color="auto"/>
                          </w:divBdr>
                          <w:divsChild>
                            <w:div w:id="669143349">
                              <w:marLeft w:val="0"/>
                              <w:marRight w:val="0"/>
                              <w:marTop w:val="0"/>
                              <w:marBottom w:val="0"/>
                              <w:divBdr>
                                <w:top w:val="none" w:sz="0" w:space="0" w:color="auto"/>
                                <w:left w:val="none" w:sz="0" w:space="0" w:color="auto"/>
                                <w:bottom w:val="none" w:sz="0" w:space="0" w:color="auto"/>
                                <w:right w:val="none" w:sz="0" w:space="0" w:color="auto"/>
                              </w:divBdr>
                              <w:divsChild>
                                <w:div w:id="1568103638">
                                  <w:marLeft w:val="0"/>
                                  <w:marRight w:val="0"/>
                                  <w:marTop w:val="0"/>
                                  <w:marBottom w:val="0"/>
                                  <w:divBdr>
                                    <w:top w:val="none" w:sz="0" w:space="0" w:color="auto"/>
                                    <w:left w:val="none" w:sz="0" w:space="0" w:color="auto"/>
                                    <w:bottom w:val="none" w:sz="0" w:space="0" w:color="auto"/>
                                    <w:right w:val="none" w:sz="0" w:space="0" w:color="auto"/>
                                  </w:divBdr>
                                  <w:divsChild>
                                    <w:div w:id="170848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8771993">
          <w:marLeft w:val="0"/>
          <w:marRight w:val="0"/>
          <w:marTop w:val="0"/>
          <w:marBottom w:val="0"/>
          <w:divBdr>
            <w:top w:val="none" w:sz="0" w:space="0" w:color="auto"/>
            <w:left w:val="none" w:sz="0" w:space="0" w:color="auto"/>
            <w:bottom w:val="none" w:sz="0" w:space="0" w:color="auto"/>
            <w:right w:val="none" w:sz="0" w:space="0" w:color="auto"/>
          </w:divBdr>
          <w:divsChild>
            <w:div w:id="1495222009">
              <w:marLeft w:val="0"/>
              <w:marRight w:val="0"/>
              <w:marTop w:val="0"/>
              <w:marBottom w:val="0"/>
              <w:divBdr>
                <w:top w:val="none" w:sz="0" w:space="0" w:color="auto"/>
                <w:left w:val="none" w:sz="0" w:space="0" w:color="auto"/>
                <w:bottom w:val="none" w:sz="0" w:space="0" w:color="auto"/>
                <w:right w:val="none" w:sz="0" w:space="0" w:color="auto"/>
              </w:divBdr>
              <w:divsChild>
                <w:div w:id="1274941497">
                  <w:marLeft w:val="0"/>
                  <w:marRight w:val="0"/>
                  <w:marTop w:val="0"/>
                  <w:marBottom w:val="0"/>
                  <w:divBdr>
                    <w:top w:val="none" w:sz="0" w:space="0" w:color="auto"/>
                    <w:left w:val="none" w:sz="0" w:space="0" w:color="auto"/>
                    <w:bottom w:val="none" w:sz="0" w:space="0" w:color="auto"/>
                    <w:right w:val="none" w:sz="0" w:space="0" w:color="auto"/>
                  </w:divBdr>
                  <w:divsChild>
                    <w:div w:id="729117089">
                      <w:marLeft w:val="0"/>
                      <w:marRight w:val="0"/>
                      <w:marTop w:val="0"/>
                      <w:marBottom w:val="0"/>
                      <w:divBdr>
                        <w:top w:val="none" w:sz="0" w:space="0" w:color="auto"/>
                        <w:left w:val="none" w:sz="0" w:space="0" w:color="auto"/>
                        <w:bottom w:val="none" w:sz="0" w:space="0" w:color="auto"/>
                        <w:right w:val="none" w:sz="0" w:space="0" w:color="auto"/>
                      </w:divBdr>
                      <w:divsChild>
                        <w:div w:id="840775178">
                          <w:marLeft w:val="0"/>
                          <w:marRight w:val="0"/>
                          <w:marTop w:val="0"/>
                          <w:marBottom w:val="0"/>
                          <w:divBdr>
                            <w:top w:val="none" w:sz="0" w:space="0" w:color="auto"/>
                            <w:left w:val="none" w:sz="0" w:space="0" w:color="auto"/>
                            <w:bottom w:val="none" w:sz="0" w:space="0" w:color="auto"/>
                            <w:right w:val="none" w:sz="0" w:space="0" w:color="auto"/>
                          </w:divBdr>
                          <w:divsChild>
                            <w:div w:id="1168449573">
                              <w:marLeft w:val="0"/>
                              <w:marRight w:val="0"/>
                              <w:marTop w:val="0"/>
                              <w:marBottom w:val="0"/>
                              <w:divBdr>
                                <w:top w:val="none" w:sz="0" w:space="0" w:color="auto"/>
                                <w:left w:val="none" w:sz="0" w:space="0" w:color="auto"/>
                                <w:bottom w:val="none" w:sz="0" w:space="0" w:color="auto"/>
                                <w:right w:val="none" w:sz="0" w:space="0" w:color="auto"/>
                              </w:divBdr>
                              <w:divsChild>
                                <w:div w:id="193202875">
                                  <w:marLeft w:val="0"/>
                                  <w:marRight w:val="0"/>
                                  <w:marTop w:val="0"/>
                                  <w:marBottom w:val="0"/>
                                  <w:divBdr>
                                    <w:top w:val="none" w:sz="0" w:space="0" w:color="auto"/>
                                    <w:left w:val="none" w:sz="0" w:space="0" w:color="auto"/>
                                    <w:bottom w:val="none" w:sz="0" w:space="0" w:color="auto"/>
                                    <w:right w:val="none" w:sz="0" w:space="0" w:color="auto"/>
                                  </w:divBdr>
                                  <w:divsChild>
                                    <w:div w:id="1151215422">
                                      <w:marLeft w:val="0"/>
                                      <w:marRight w:val="0"/>
                                      <w:marTop w:val="0"/>
                                      <w:marBottom w:val="0"/>
                                      <w:divBdr>
                                        <w:top w:val="none" w:sz="0" w:space="0" w:color="auto"/>
                                        <w:left w:val="none" w:sz="0" w:space="0" w:color="auto"/>
                                        <w:bottom w:val="none" w:sz="0" w:space="0" w:color="auto"/>
                                        <w:right w:val="none" w:sz="0" w:space="0" w:color="auto"/>
                                      </w:divBdr>
                                      <w:divsChild>
                                        <w:div w:id="107658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8320">
          <w:marLeft w:val="0"/>
          <w:marRight w:val="0"/>
          <w:marTop w:val="0"/>
          <w:marBottom w:val="0"/>
          <w:divBdr>
            <w:top w:val="none" w:sz="0" w:space="0" w:color="auto"/>
            <w:left w:val="none" w:sz="0" w:space="0" w:color="auto"/>
            <w:bottom w:val="none" w:sz="0" w:space="0" w:color="auto"/>
            <w:right w:val="none" w:sz="0" w:space="0" w:color="auto"/>
          </w:divBdr>
          <w:divsChild>
            <w:div w:id="316544095">
              <w:marLeft w:val="0"/>
              <w:marRight w:val="0"/>
              <w:marTop w:val="0"/>
              <w:marBottom w:val="0"/>
              <w:divBdr>
                <w:top w:val="none" w:sz="0" w:space="0" w:color="auto"/>
                <w:left w:val="none" w:sz="0" w:space="0" w:color="auto"/>
                <w:bottom w:val="none" w:sz="0" w:space="0" w:color="auto"/>
                <w:right w:val="none" w:sz="0" w:space="0" w:color="auto"/>
              </w:divBdr>
              <w:divsChild>
                <w:div w:id="644234784">
                  <w:marLeft w:val="0"/>
                  <w:marRight w:val="0"/>
                  <w:marTop w:val="0"/>
                  <w:marBottom w:val="0"/>
                  <w:divBdr>
                    <w:top w:val="none" w:sz="0" w:space="0" w:color="auto"/>
                    <w:left w:val="none" w:sz="0" w:space="0" w:color="auto"/>
                    <w:bottom w:val="none" w:sz="0" w:space="0" w:color="auto"/>
                    <w:right w:val="none" w:sz="0" w:space="0" w:color="auto"/>
                  </w:divBdr>
                  <w:divsChild>
                    <w:div w:id="1096513642">
                      <w:marLeft w:val="0"/>
                      <w:marRight w:val="0"/>
                      <w:marTop w:val="0"/>
                      <w:marBottom w:val="0"/>
                      <w:divBdr>
                        <w:top w:val="none" w:sz="0" w:space="0" w:color="auto"/>
                        <w:left w:val="none" w:sz="0" w:space="0" w:color="auto"/>
                        <w:bottom w:val="none" w:sz="0" w:space="0" w:color="auto"/>
                        <w:right w:val="none" w:sz="0" w:space="0" w:color="auto"/>
                      </w:divBdr>
                      <w:divsChild>
                        <w:div w:id="1890609735">
                          <w:marLeft w:val="0"/>
                          <w:marRight w:val="0"/>
                          <w:marTop w:val="0"/>
                          <w:marBottom w:val="0"/>
                          <w:divBdr>
                            <w:top w:val="none" w:sz="0" w:space="0" w:color="auto"/>
                            <w:left w:val="none" w:sz="0" w:space="0" w:color="auto"/>
                            <w:bottom w:val="none" w:sz="0" w:space="0" w:color="auto"/>
                            <w:right w:val="none" w:sz="0" w:space="0" w:color="auto"/>
                          </w:divBdr>
                          <w:divsChild>
                            <w:div w:id="1653676550">
                              <w:marLeft w:val="0"/>
                              <w:marRight w:val="0"/>
                              <w:marTop w:val="0"/>
                              <w:marBottom w:val="0"/>
                              <w:divBdr>
                                <w:top w:val="none" w:sz="0" w:space="0" w:color="auto"/>
                                <w:left w:val="none" w:sz="0" w:space="0" w:color="auto"/>
                                <w:bottom w:val="none" w:sz="0" w:space="0" w:color="auto"/>
                                <w:right w:val="none" w:sz="0" w:space="0" w:color="auto"/>
                              </w:divBdr>
                              <w:divsChild>
                                <w:div w:id="111005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60859">
                  <w:marLeft w:val="0"/>
                  <w:marRight w:val="0"/>
                  <w:marTop w:val="0"/>
                  <w:marBottom w:val="0"/>
                  <w:divBdr>
                    <w:top w:val="none" w:sz="0" w:space="0" w:color="auto"/>
                    <w:left w:val="none" w:sz="0" w:space="0" w:color="auto"/>
                    <w:bottom w:val="none" w:sz="0" w:space="0" w:color="auto"/>
                    <w:right w:val="none" w:sz="0" w:space="0" w:color="auto"/>
                  </w:divBdr>
                  <w:divsChild>
                    <w:div w:id="1222061893">
                      <w:marLeft w:val="0"/>
                      <w:marRight w:val="0"/>
                      <w:marTop w:val="0"/>
                      <w:marBottom w:val="0"/>
                      <w:divBdr>
                        <w:top w:val="none" w:sz="0" w:space="0" w:color="auto"/>
                        <w:left w:val="none" w:sz="0" w:space="0" w:color="auto"/>
                        <w:bottom w:val="none" w:sz="0" w:space="0" w:color="auto"/>
                        <w:right w:val="none" w:sz="0" w:space="0" w:color="auto"/>
                      </w:divBdr>
                      <w:divsChild>
                        <w:div w:id="163592188">
                          <w:marLeft w:val="0"/>
                          <w:marRight w:val="0"/>
                          <w:marTop w:val="0"/>
                          <w:marBottom w:val="0"/>
                          <w:divBdr>
                            <w:top w:val="none" w:sz="0" w:space="0" w:color="auto"/>
                            <w:left w:val="none" w:sz="0" w:space="0" w:color="auto"/>
                            <w:bottom w:val="none" w:sz="0" w:space="0" w:color="auto"/>
                            <w:right w:val="none" w:sz="0" w:space="0" w:color="auto"/>
                          </w:divBdr>
                          <w:divsChild>
                            <w:div w:id="1244953265">
                              <w:marLeft w:val="0"/>
                              <w:marRight w:val="0"/>
                              <w:marTop w:val="0"/>
                              <w:marBottom w:val="0"/>
                              <w:divBdr>
                                <w:top w:val="none" w:sz="0" w:space="0" w:color="auto"/>
                                <w:left w:val="none" w:sz="0" w:space="0" w:color="auto"/>
                                <w:bottom w:val="none" w:sz="0" w:space="0" w:color="auto"/>
                                <w:right w:val="none" w:sz="0" w:space="0" w:color="auto"/>
                              </w:divBdr>
                              <w:divsChild>
                                <w:div w:id="118647674">
                                  <w:marLeft w:val="0"/>
                                  <w:marRight w:val="0"/>
                                  <w:marTop w:val="0"/>
                                  <w:marBottom w:val="0"/>
                                  <w:divBdr>
                                    <w:top w:val="none" w:sz="0" w:space="0" w:color="auto"/>
                                    <w:left w:val="none" w:sz="0" w:space="0" w:color="auto"/>
                                    <w:bottom w:val="none" w:sz="0" w:space="0" w:color="auto"/>
                                    <w:right w:val="none" w:sz="0" w:space="0" w:color="auto"/>
                                  </w:divBdr>
                                  <w:divsChild>
                                    <w:div w:id="1634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linicaltrials.go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da.gov" TargetMode="External"/><Relationship Id="rId5" Type="http://schemas.openxmlformats.org/officeDocument/2006/relationships/hyperlink" Target="https://www.fda.go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2987</TotalTime>
  <Pages>21</Pages>
  <Words>9478</Words>
  <Characters>54029</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Ganesh Deshmukh</dc:creator>
  <cp:keywords/>
  <dc:description/>
  <cp:lastModifiedBy>Ganesh Deshmukh</cp:lastModifiedBy>
  <cp:revision>15</cp:revision>
  <dcterms:created xsi:type="dcterms:W3CDTF">2024-08-17T06:04:00Z</dcterms:created>
  <dcterms:modified xsi:type="dcterms:W3CDTF">2024-08-19T07:51:00Z</dcterms:modified>
</cp:coreProperties>
</file>