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D71" w:rsidRDefault="00764D71" w:rsidP="00764D71">
      <w:pPr>
        <w:rPr>
          <w:rFonts w:eastAsiaTheme="minorEastAsia"/>
          <w:b/>
          <w:sz w:val="32"/>
          <w:szCs w:val="24"/>
        </w:rPr>
      </w:pPr>
      <w:r>
        <w:rPr>
          <w:rFonts w:eastAsiaTheme="minorEastAsia"/>
          <w:b/>
          <w:sz w:val="32"/>
          <w:szCs w:val="24"/>
        </w:rPr>
        <w:t>Managerial Insights:</w:t>
      </w:r>
    </w:p>
    <w:p w:rsidR="00764D71" w:rsidRPr="00726A52" w:rsidRDefault="00764D71" w:rsidP="00764D71">
      <w:pPr>
        <w:pStyle w:val="ListParagraph"/>
        <w:numPr>
          <w:ilvl w:val="0"/>
          <w:numId w:val="1"/>
        </w:numPr>
        <w:jc w:val="both"/>
        <w:rPr>
          <w:rFonts w:ascii="Times New Roman" w:eastAsiaTheme="minorEastAsia" w:hAnsi="Times New Roman" w:cs="Times New Roman"/>
          <w:sz w:val="24"/>
          <w:szCs w:val="24"/>
        </w:rPr>
      </w:pPr>
      <w:r w:rsidRPr="00726A52">
        <w:rPr>
          <w:rFonts w:ascii="Times New Roman" w:eastAsiaTheme="minorEastAsia" w:hAnsi="Times New Roman" w:cs="Times New Roman"/>
          <w:sz w:val="24"/>
          <w:szCs w:val="24"/>
        </w:rPr>
        <w:t xml:space="preserve">As the ordering cost </w:t>
      </w:r>
      <m:oMath>
        <m:sSub>
          <m:sSubPr>
            <m:ctrlPr>
              <w:rPr>
                <w:rFonts w:ascii="Cambria Math" w:hAnsi="Cambria Math" w:cs="Times New Roman"/>
                <w:i/>
                <w:color w:val="000000" w:themeColor="text1"/>
                <w:sz w:val="20"/>
                <w:szCs w:val="24"/>
              </w:rPr>
            </m:ctrlPr>
          </m:sSubPr>
          <m:e>
            <m:r>
              <w:rPr>
                <w:rFonts w:ascii="Cambria Math" w:hAnsi="Cambria Math" w:cs="Times New Roman"/>
                <w:color w:val="000000" w:themeColor="text1"/>
                <w:sz w:val="20"/>
                <w:szCs w:val="24"/>
              </w:rPr>
              <m:t>O</m:t>
            </m:r>
          </m:e>
          <m:sub>
            <m:r>
              <w:rPr>
                <w:rFonts w:ascii="Cambria Math" w:hAnsi="Cambria Math" w:cs="Times New Roman"/>
                <w:color w:val="000000" w:themeColor="text1"/>
                <w:sz w:val="20"/>
                <w:szCs w:val="24"/>
              </w:rPr>
              <m:t>C</m:t>
            </m:r>
          </m:sub>
        </m:sSub>
      </m:oMath>
      <w:r w:rsidRPr="00726A52">
        <w:rPr>
          <w:rFonts w:ascii="Times New Roman" w:eastAsiaTheme="minorEastAsia" w:hAnsi="Times New Roman" w:cs="Times New Roman"/>
          <w:sz w:val="24"/>
          <w:szCs w:val="24"/>
        </w:rPr>
        <w:t xml:space="preserve"> increases , both the time cycle T* and total cost TC* increases while the EOQ grows steadily.</w:t>
      </w:r>
    </w:p>
    <w:p w:rsidR="00764D71" w:rsidRPr="00726A52" w:rsidRDefault="00764D71" w:rsidP="00764D71">
      <w:pPr>
        <w:pStyle w:val="ListParagraph"/>
        <w:numPr>
          <w:ilvl w:val="0"/>
          <w:numId w:val="1"/>
        </w:numPr>
        <w:jc w:val="both"/>
        <w:rPr>
          <w:rFonts w:ascii="Times New Roman" w:eastAsiaTheme="minorEastAsia" w:hAnsi="Times New Roman" w:cs="Times New Roman"/>
          <w:sz w:val="24"/>
          <w:szCs w:val="24"/>
        </w:rPr>
      </w:pPr>
      <w:r w:rsidRPr="00726A52">
        <w:rPr>
          <w:rFonts w:ascii="Times New Roman" w:eastAsiaTheme="minorEastAsia" w:hAnsi="Times New Roman" w:cs="Times New Roman"/>
          <w:sz w:val="24"/>
          <w:szCs w:val="24"/>
        </w:rPr>
        <w:t>As unit cost C increases, T* decreases which indicates shorter time cycle while EOQ decreases with TC*following a similar pattern of reduction.</w:t>
      </w:r>
    </w:p>
    <w:p w:rsidR="00764D71" w:rsidRPr="00726A52" w:rsidRDefault="00764D71" w:rsidP="00764D71">
      <w:pPr>
        <w:pStyle w:val="ListParagraph"/>
        <w:numPr>
          <w:ilvl w:val="0"/>
          <w:numId w:val="1"/>
        </w:numPr>
        <w:jc w:val="both"/>
        <w:rPr>
          <w:rFonts w:ascii="Times New Roman" w:eastAsiaTheme="minorEastAsia" w:hAnsi="Times New Roman" w:cs="Times New Roman"/>
          <w:sz w:val="24"/>
          <w:szCs w:val="24"/>
        </w:rPr>
      </w:pPr>
      <w:r w:rsidRPr="00726A52">
        <w:rPr>
          <w:rFonts w:ascii="Times New Roman" w:eastAsiaTheme="minorEastAsia" w:hAnsi="Times New Roman" w:cs="Times New Roman"/>
          <w:sz w:val="24"/>
          <w:szCs w:val="24"/>
        </w:rPr>
        <w:t>Higher amelioration rates have minimal impact on T*, TC* and EOQ, showing stability in these values.</w:t>
      </w:r>
    </w:p>
    <w:p w:rsidR="00764D71" w:rsidRPr="00726A52" w:rsidRDefault="00764D71" w:rsidP="00764D71">
      <w:pPr>
        <w:pStyle w:val="ListParagraph"/>
        <w:numPr>
          <w:ilvl w:val="0"/>
          <w:numId w:val="1"/>
        </w:numPr>
        <w:jc w:val="both"/>
        <w:rPr>
          <w:rFonts w:ascii="Times New Roman" w:eastAsiaTheme="minorEastAsia" w:hAnsi="Times New Roman" w:cs="Times New Roman"/>
          <w:sz w:val="24"/>
          <w:szCs w:val="24"/>
        </w:rPr>
      </w:pPr>
      <w:r w:rsidRPr="00726A52">
        <w:rPr>
          <w:rFonts w:ascii="Times New Roman" w:eastAsiaTheme="minorEastAsia" w:hAnsi="Times New Roman" w:cs="Times New Roman"/>
          <w:sz w:val="24"/>
          <w:szCs w:val="24"/>
        </w:rPr>
        <w:t>As demand increases T* and EOQ decrease, while TC* increases significantly, reflecting the increased cost associated with higher demand.</w:t>
      </w:r>
    </w:p>
    <w:p w:rsidR="00764D71" w:rsidRPr="00726A52" w:rsidRDefault="00764D71" w:rsidP="00764D71">
      <w:pPr>
        <w:pStyle w:val="ListParagraph"/>
        <w:numPr>
          <w:ilvl w:val="0"/>
          <w:numId w:val="1"/>
        </w:numPr>
        <w:jc w:val="both"/>
        <w:rPr>
          <w:rFonts w:ascii="Times New Roman" w:eastAsiaTheme="minorEastAsia" w:hAnsi="Times New Roman" w:cs="Times New Roman"/>
          <w:sz w:val="24"/>
          <w:szCs w:val="24"/>
        </w:rPr>
      </w:pPr>
      <w:r w:rsidRPr="00726A52">
        <w:rPr>
          <w:rFonts w:ascii="Times New Roman" w:eastAsiaTheme="minorEastAsia" w:hAnsi="Times New Roman" w:cs="Times New Roman"/>
          <w:sz w:val="24"/>
          <w:szCs w:val="24"/>
        </w:rPr>
        <w:t>An increase in deterioration rate shows minimal changes in T* and EOQ, with only slight increases in TC*.</w:t>
      </w:r>
    </w:p>
    <w:p w:rsidR="00764D71" w:rsidRPr="00726A52" w:rsidRDefault="00764D71" w:rsidP="00764D71">
      <w:pPr>
        <w:pStyle w:val="ListParagraph"/>
        <w:numPr>
          <w:ilvl w:val="0"/>
          <w:numId w:val="1"/>
        </w:numPr>
        <w:jc w:val="both"/>
        <w:rPr>
          <w:rFonts w:ascii="Times New Roman" w:eastAsiaTheme="minorEastAsia" w:hAnsi="Times New Roman" w:cs="Times New Roman"/>
          <w:sz w:val="24"/>
          <w:szCs w:val="24"/>
        </w:rPr>
      </w:pPr>
      <w:r w:rsidRPr="00726A52">
        <w:rPr>
          <w:rFonts w:ascii="Times New Roman" w:eastAsiaTheme="minorEastAsia" w:hAnsi="Times New Roman" w:cs="Times New Roman"/>
          <w:sz w:val="24"/>
          <w:szCs w:val="24"/>
        </w:rPr>
        <w:t>Higher holding cost lead to shorter time cycle T*, lower EOQ and higher TC*, indicating the significant cost impact of increased holding expenses.</w:t>
      </w:r>
    </w:p>
    <w:p w:rsidR="00764D71" w:rsidRPr="00726A52" w:rsidRDefault="00764D71" w:rsidP="00764D71">
      <w:pPr>
        <w:pStyle w:val="ListParagraph"/>
        <w:numPr>
          <w:ilvl w:val="0"/>
          <w:numId w:val="1"/>
        </w:numPr>
        <w:jc w:val="both"/>
        <w:rPr>
          <w:rFonts w:ascii="Times New Roman" w:eastAsiaTheme="minorEastAsia" w:hAnsi="Times New Roman" w:cs="Times New Roman"/>
          <w:sz w:val="24"/>
          <w:szCs w:val="24"/>
        </w:rPr>
      </w:pPr>
      <w:r w:rsidRPr="00726A52">
        <w:rPr>
          <w:rFonts w:ascii="Times New Roman" w:eastAsiaTheme="minorEastAsia" w:hAnsi="Times New Roman" w:cs="Times New Roman"/>
          <w:sz w:val="24"/>
          <w:szCs w:val="24"/>
        </w:rPr>
        <w:t>The overall trend shows that while certain parameters like ordering cost and demand greatly influence total costs and EOQ, others such as amelioration and deterioration rates show minimal impact on these metrics.</w:t>
      </w:r>
    </w:p>
    <w:p w:rsidR="0002220B" w:rsidRDefault="0002220B">
      <w:bookmarkStart w:id="0" w:name="_GoBack"/>
      <w:bookmarkEnd w:id="0"/>
    </w:p>
    <w:sectPr w:rsidR="000222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ED547B"/>
    <w:multiLevelType w:val="hybridMultilevel"/>
    <w:tmpl w:val="504E0FB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D71"/>
    <w:rsid w:val="0002220B"/>
    <w:rsid w:val="00764D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B5D7E0-3D05-4940-829E-1A55769B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D71"/>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845</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Mamta Sharma</dc:creator>
  <cp:keywords/>
  <dc:description/>
  <cp:lastModifiedBy>Mamta Sharma</cp:lastModifiedBy>
  <cp:revision>1</cp:revision>
  <dcterms:created xsi:type="dcterms:W3CDTF">2024-09-19T06:38:00Z</dcterms:created>
  <dcterms:modified xsi:type="dcterms:W3CDTF">2024-09-19T06:38:00Z</dcterms:modified>
</cp:coreProperties>
</file>