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EEA651" w14:textId="4B266FC3" w:rsidR="00F76073" w:rsidRDefault="009D39A8">
      <w:pPr>
        <w:spacing w:after="160" w:line="276" w:lineRule="auto"/>
        <w:jc w:val="center"/>
        <w:rPr>
          <w:sz w:val="32"/>
          <w:szCs w:val="32"/>
        </w:rPr>
      </w:pPr>
      <w:r>
        <w:rPr>
          <w:b/>
          <w:bCs/>
          <w:sz w:val="32"/>
          <w:szCs w:val="32"/>
        </w:rPr>
        <w:t xml:space="preserve">Factors Influencing </w:t>
      </w:r>
      <w:r w:rsidR="00B43032">
        <w:rPr>
          <w:b/>
          <w:bCs/>
          <w:sz w:val="32"/>
          <w:szCs w:val="32"/>
        </w:rPr>
        <w:t xml:space="preserve">Market Prices </w:t>
      </w:r>
      <w:r w:rsidR="00B43032">
        <w:rPr>
          <w:b/>
          <w:bCs/>
          <w:sz w:val="32"/>
          <w:szCs w:val="32"/>
          <w:lang w:val="en-US"/>
        </w:rPr>
        <w:t xml:space="preserve">for </w:t>
      </w:r>
      <w:r>
        <w:rPr>
          <w:b/>
          <w:bCs/>
          <w:sz w:val="32"/>
          <w:szCs w:val="32"/>
        </w:rPr>
        <w:t>Liquefied Natural Gas: A Focus on the Global Energy Economy</w:t>
      </w:r>
    </w:p>
    <w:p w14:paraId="64EEA652" w14:textId="77777777" w:rsidR="00F76073" w:rsidRDefault="009D39A8">
      <w:pPr>
        <w:spacing w:line="276" w:lineRule="auto"/>
        <w:jc w:val="center"/>
      </w:pPr>
      <w:r>
        <w:rPr>
          <w:b/>
          <w:bCs/>
          <w:vertAlign w:val="superscript"/>
        </w:rPr>
        <w:t>1</w:t>
      </w:r>
      <w:r>
        <w:rPr>
          <w:b/>
          <w:bCs/>
        </w:rPr>
        <w:t xml:space="preserve"> Asa Romeo Asa; </w:t>
      </w:r>
      <w:r>
        <w:rPr>
          <w:b/>
          <w:bCs/>
          <w:vertAlign w:val="superscript"/>
        </w:rPr>
        <w:t>2</w:t>
      </w:r>
      <w:r>
        <w:rPr>
          <w:b/>
          <w:bCs/>
        </w:rPr>
        <w:t xml:space="preserve"> Johanna Pangeiko Nautwima</w:t>
      </w:r>
    </w:p>
    <w:p w14:paraId="64EEA653" w14:textId="77777777" w:rsidR="00F76073" w:rsidRDefault="009D39A8">
      <w:pPr>
        <w:spacing w:line="276" w:lineRule="auto"/>
        <w:jc w:val="center"/>
      </w:pPr>
      <w:r>
        <w:rPr>
          <w:vertAlign w:val="superscript"/>
        </w:rPr>
        <w:t>1</w:t>
      </w:r>
      <w:r>
        <w:t xml:space="preserve"> Namibian– German Institute for Logistics, Namibia University of Science and Technology, Windhoek, Namibia</w:t>
      </w:r>
    </w:p>
    <w:p w14:paraId="64EEA654" w14:textId="77777777" w:rsidR="00F76073" w:rsidRDefault="009D39A8">
      <w:pPr>
        <w:spacing w:line="276" w:lineRule="auto"/>
        <w:jc w:val="center"/>
      </w:pPr>
      <w:r>
        <w:rPr>
          <w:vertAlign w:val="superscript"/>
        </w:rPr>
        <w:t>2</w:t>
      </w:r>
      <w:r>
        <w:t xml:space="preserve"> Namibia Business School, University of Namibia, Windhoek, Namibia</w:t>
      </w:r>
    </w:p>
    <w:p w14:paraId="64EEA655" w14:textId="77777777" w:rsidR="00F76073" w:rsidRDefault="00F76073">
      <w:pPr>
        <w:spacing w:after="160" w:line="360" w:lineRule="auto"/>
        <w:jc w:val="both"/>
      </w:pPr>
    </w:p>
    <w:p w14:paraId="64EEA656" w14:textId="2EB9936A" w:rsidR="00F76073" w:rsidRDefault="009D39A8">
      <w:pPr>
        <w:spacing w:after="160" w:line="360" w:lineRule="auto"/>
        <w:jc w:val="both"/>
      </w:pPr>
      <w:r w:rsidRPr="00067C1E">
        <w:rPr>
          <w:b/>
          <w:bCs/>
          <w:kern w:val="36"/>
        </w:rPr>
        <w:t>Abstract:</w:t>
      </w:r>
      <w:r>
        <w:rPr>
          <w:b/>
          <w:bCs/>
        </w:rPr>
        <w:t xml:space="preserve"> </w:t>
      </w:r>
      <w:r>
        <w:t xml:space="preserve">This study examines the existing literature regarding the factors that influence market prices in the natural and liquefied natural gas (LNG) sectors within the context of the global energy economy. Supply and demand dynamics are the main factors affecting the prices of natural and liquefied natural gas (LNG). Drawing insights from an economic perspective, this study argues that increased supply from expanded global gas producers leads to lower prices in the global energy economy. This implies that high natural gas and LNG inventory levels can abate prices by reducing demand, as witnessed in 2020 during COVID-19. However, the prices of natural gas and LNG in recent times have been on a constant rise, making the cost of living very difficult for many. On the other hand, short-term supply disruptions and spikes in demand can rapidly increase prices. LNG enables natural gas to be transported globally, connecting global markets. LNG export capacity expansions in major economies such as the US and Saudi Arabia have linked domestic prices more closely to international market conditions. Global LNG demand growth has been a critical outlet for increased exports by significant producers. </w:t>
      </w:r>
      <w:r w:rsidR="00AF7C70">
        <w:rPr>
          <w:lang w:val="en-US"/>
        </w:rPr>
        <w:t xml:space="preserve">The </w:t>
      </w:r>
      <w:r>
        <w:t>geopolitical events also heavily influence natural gas and LNG trade flows and prices. Political conflicts involving key gas suppliers globally have caused supply uncertainty and price volatility. In addition, LNG is increasingly being used as a geopolitical tool, which impacts market dynamics. Other factors, including technological advances, economic growth, and industrial activities, influence natural gas consumption, with higher growth boosting demand and prices. Regulations also play a role</w:t>
      </w:r>
      <w:r w:rsidR="006C0E4A">
        <w:rPr>
          <w:lang w:val="en-US"/>
        </w:rPr>
        <w:t>; policies</w:t>
      </w:r>
      <w:r>
        <w:t xml:space="preserve"> to reduce carbon emissions </w:t>
      </w:r>
      <w:r w:rsidR="006C0E4A">
        <w:t>accelerate</w:t>
      </w:r>
      <w:r>
        <w:t xml:space="preserve"> the shift to green hydrogen. In summary, various interrelated factors - from supply and demand conditions to technology, geopolitics, competition, regulations, and economic growth - have driven significant natural gas and LNG price fluctuations in the global economy over the past five years. </w:t>
      </w:r>
    </w:p>
    <w:p w14:paraId="64EEA658" w14:textId="3EF4AE6B" w:rsidR="00F76073" w:rsidRPr="00AF7C70" w:rsidRDefault="009D39A8" w:rsidP="00AF7C70">
      <w:pPr>
        <w:spacing w:after="160" w:line="360" w:lineRule="auto"/>
        <w:jc w:val="both"/>
      </w:pPr>
      <w:r w:rsidRPr="00067C1E">
        <w:rPr>
          <w:b/>
          <w:bCs/>
          <w:kern w:val="36"/>
        </w:rPr>
        <w:t>Keywords:</w:t>
      </w:r>
      <w:r>
        <w:t xml:space="preserve"> Natural gas, Liquefied Natural Gas, Global energy economy, COVID-19, Demand and supply of energy, Market prices</w:t>
      </w:r>
      <w:bookmarkStart w:id="0" w:name="_Toc149527140"/>
      <w:bookmarkEnd w:id="0"/>
    </w:p>
    <w:p w14:paraId="64EEA659" w14:textId="77777777" w:rsidR="00F76073" w:rsidRPr="00067C1E" w:rsidRDefault="009D39A8" w:rsidP="00067C1E">
      <w:pPr>
        <w:pStyle w:val="Heading1"/>
        <w:keepLines/>
        <w:spacing w:after="0" w:line="360" w:lineRule="auto"/>
        <w:rPr>
          <w:sz w:val="24"/>
          <w:szCs w:val="24"/>
        </w:rPr>
      </w:pPr>
      <w:r>
        <w:rPr>
          <w:sz w:val="24"/>
          <w:szCs w:val="24"/>
        </w:rPr>
        <w:lastRenderedPageBreak/>
        <w:t>1. Introduction</w:t>
      </w:r>
    </w:p>
    <w:p w14:paraId="64EEA65A" w14:textId="77777777" w:rsidR="00F76073" w:rsidRDefault="009D39A8">
      <w:pPr>
        <w:spacing w:after="160" w:line="360" w:lineRule="auto"/>
        <w:jc w:val="both"/>
      </w:pPr>
      <w:r>
        <w:t xml:space="preserve">The global natural gas and liquefied natural gas (LNG) markets are huge and rapidly evolving within the broader global energy economy (Bridge &amp; Bradshaw, 2017; </w:t>
      </w:r>
      <w:proofErr w:type="spellStart"/>
      <w:r>
        <w:t>Nikhalat</w:t>
      </w:r>
      <w:proofErr w:type="spellEnd"/>
      <w:r>
        <w:t>‐Jahromi, Fontes &amp; Cochrane, 2017). Natural gas has been advocated as an ecologically superior alternative to traditional fossil fuels because of its wide range of uses and positive environmental effects. LNG allows for the worldwide trade of natural gas and decouples the production and consumption processes; thus, it has significantly changed market dynamics. The natural gas industry has a wide variety of suppliers and buyers. Russia is a significant natural gas supplier, especially the United States and Qatar</w:t>
      </w:r>
      <w:r>
        <w:rPr>
          <w:rFonts w:ascii="Arial" w:eastAsia="Arial" w:hAnsi="Arial" w:cs="Arial"/>
          <w:color w:val="222222"/>
          <w:sz w:val="20"/>
          <w:szCs w:val="20"/>
          <w:shd w:val="clear" w:color="auto" w:fill="FFFFFF"/>
        </w:rPr>
        <w:t xml:space="preserve"> </w:t>
      </w:r>
      <w:r>
        <w:t>(Sim, 2023). High consumption levels significantly influence natural gas demand in developed economies such as the United States, China, and Europe (Sim, 2023). Broad international economic ties may be attributed to varied worldwide supply and demand patterns. Liquefied natural gas (LNG) trading practices are primarily responsible for the gap between supply and demand in the natural gas market (</w:t>
      </w:r>
      <w:proofErr w:type="spellStart"/>
      <w:r>
        <w:t>Nikhalat</w:t>
      </w:r>
      <w:proofErr w:type="spellEnd"/>
      <w:r>
        <w:t>‐Jahromi, Fontes &amp; Cochrane, 2017). Natural gas may be transported over large distances without a complex pipeline system by liquefaction and compression. Because of the innovation’s far-reaching impact on market dynamics, natural gas and LNG have become global commodities</w:t>
      </w:r>
      <w:r>
        <w:rPr>
          <w:rFonts w:ascii="Calibri" w:eastAsia="Calibri" w:hAnsi="Calibri" w:cs="Calibri"/>
          <w:sz w:val="22"/>
          <w:szCs w:val="22"/>
        </w:rPr>
        <w:t xml:space="preserve"> (</w:t>
      </w:r>
      <w:r>
        <w:t>Yusuf &amp; Al-Ansari, 2023). Liquefied natural gas (LNG) allows manufacturing operations in areas far from significant consumption centres</w:t>
      </w:r>
      <w:r>
        <w:rPr>
          <w:rFonts w:ascii="Arial" w:eastAsia="Arial" w:hAnsi="Arial" w:cs="Arial"/>
          <w:color w:val="222222"/>
          <w:sz w:val="20"/>
          <w:szCs w:val="20"/>
          <w:shd w:val="clear" w:color="auto" w:fill="FFFFFF"/>
        </w:rPr>
        <w:t xml:space="preserve"> (</w:t>
      </w:r>
      <w:r>
        <w:t>Bridge &amp; Bradshaw, 2017; Bradshaw &amp; Boersma, 2020). This enhances supply flexibility and mitigates the impact of proximity restrictions.</w:t>
      </w:r>
    </w:p>
    <w:p w14:paraId="64EEA65C" w14:textId="4C635FD5" w:rsidR="00F76073" w:rsidRDefault="009D39A8">
      <w:pPr>
        <w:spacing w:after="160" w:line="360" w:lineRule="auto"/>
        <w:jc w:val="both"/>
      </w:pPr>
      <w:r>
        <w:t xml:space="preserve">Liquefied natural gas (LNG) is traded independently of its production and consumption because of a well-developed infrastructure that includes liquefaction and degasification plants, a shipping fleet, and standard trading practices. Due to the </w:t>
      </w:r>
      <w:r w:rsidR="00C7311C">
        <w:t>demand–supply</w:t>
      </w:r>
      <w:r>
        <w:t xml:space="preserve"> mismatch, the market has become more liquid, price rivalry has heated up, and supply has become more stable (Costantini et al., 2007). Pipelines and geopolitical concerns formerly controlled natural gas distribution; however, because of technological advancements, providers may reach customers worldwide (Yegorov &amp; </w:t>
      </w:r>
      <w:proofErr w:type="spellStart"/>
      <w:r>
        <w:t>Wirl</w:t>
      </w:r>
      <w:proofErr w:type="spellEnd"/>
      <w:r>
        <w:t>, 2011). Worldwide, many producers and consumers are in the natural gas and LNG industries. Due to LNG’s debut, market dynamics have changed significantly. This new age is marked by enhanced flexibility and worldwide commerce (Filimonova et al., 2022). Due to supply and demand differences, the natural and liquefied natural gas (LNG) industry has developed into a robust and well-connected industry (</w:t>
      </w:r>
      <w:proofErr w:type="spellStart"/>
      <w:r>
        <w:t>Brauers</w:t>
      </w:r>
      <w:proofErr w:type="spellEnd"/>
      <w:r>
        <w:t xml:space="preserve">, Braunger, &amp; Jewell, 2021). Liquefied natural gas (LNG), a type of natural gas that has been liquefied, has become an essential component of the </w:t>
      </w:r>
      <w:r>
        <w:lastRenderedPageBreak/>
        <w:t>world’s energy infrastructure. These materials open various possibilities and green energy avenues</w:t>
      </w:r>
      <w:r>
        <w:rPr>
          <w:rFonts w:ascii="Calibri" w:eastAsia="Calibri" w:hAnsi="Calibri" w:cs="Calibri"/>
          <w:sz w:val="22"/>
          <w:szCs w:val="22"/>
        </w:rPr>
        <w:t xml:space="preserve"> (</w:t>
      </w:r>
      <w:r>
        <w:t xml:space="preserve">Chu &amp; Majumdar, 2012). </w:t>
      </w:r>
      <w:r w:rsidR="00347973" w:rsidRPr="00347973">
        <w:t xml:space="preserve">This study </w:t>
      </w:r>
      <w:r w:rsidR="00347973">
        <w:rPr>
          <w:lang w:val="en-US"/>
        </w:rPr>
        <w:t>provides</w:t>
      </w:r>
      <w:r w:rsidR="00347973" w:rsidRPr="00347973">
        <w:t xml:space="preserve"> a thorough examination of the several factors influencing the volatility of LNG and </w:t>
      </w:r>
      <w:r w:rsidR="00114E68">
        <w:rPr>
          <w:lang w:val="en-US"/>
        </w:rPr>
        <w:t>natural</w:t>
      </w:r>
      <w:r w:rsidR="00347973" w:rsidRPr="00347973">
        <w:t xml:space="preserve"> gas. As a result, the study's main focus is on the variables affecting natural gas and liquefied natural gas market pricing in the context of the global energy economy.</w:t>
      </w:r>
    </w:p>
    <w:p w14:paraId="64EEA65D" w14:textId="5DA45ED4" w:rsidR="00F76073" w:rsidRPr="00067C1E" w:rsidRDefault="009F7DB6" w:rsidP="00067C1E">
      <w:pPr>
        <w:pStyle w:val="Heading1"/>
        <w:keepLines/>
        <w:spacing w:after="0" w:line="360" w:lineRule="auto"/>
        <w:rPr>
          <w:sz w:val="24"/>
          <w:szCs w:val="24"/>
        </w:rPr>
      </w:pPr>
      <w:r w:rsidRPr="00067C1E">
        <w:rPr>
          <w:sz w:val="24"/>
          <w:szCs w:val="24"/>
        </w:rPr>
        <w:t>2</w:t>
      </w:r>
      <w:r w:rsidR="009D39A8" w:rsidRPr="00067C1E">
        <w:rPr>
          <w:sz w:val="24"/>
          <w:szCs w:val="24"/>
        </w:rPr>
        <w:t xml:space="preserve">. Methodology </w:t>
      </w:r>
    </w:p>
    <w:p w14:paraId="64EEA65E" w14:textId="0567BD50" w:rsidR="00F76073" w:rsidRDefault="00AF49E2">
      <w:pPr>
        <w:spacing w:after="160" w:line="360" w:lineRule="auto"/>
        <w:jc w:val="both"/>
      </w:pPr>
      <w:r w:rsidRPr="00AF49E2">
        <w:t xml:space="preserve">This study looked at the corpus of research on the factors that influence market pricing in the natural gas and LNG sectors of the </w:t>
      </w:r>
      <w:r w:rsidR="00B554E1">
        <w:rPr>
          <w:lang w:val="en-US"/>
        </w:rPr>
        <w:t>global</w:t>
      </w:r>
      <w:r w:rsidRPr="00AF49E2">
        <w:t xml:space="preserve"> energy </w:t>
      </w:r>
      <w:r w:rsidR="00B554E1">
        <w:rPr>
          <w:lang w:val="en-US"/>
        </w:rPr>
        <w:t>economy</w:t>
      </w:r>
      <w:r w:rsidRPr="00AF49E2">
        <w:t xml:space="preserve">. Therefore, in order to extract knowledge from the body of existing literature on natural gas and liquefied natural gas, a thorough </w:t>
      </w:r>
      <w:r w:rsidR="00E923DA">
        <w:t xml:space="preserve">comprehensive </w:t>
      </w:r>
      <w:r w:rsidR="001F4BD9">
        <w:t>review of</w:t>
      </w:r>
      <w:r w:rsidRPr="00AF49E2">
        <w:t xml:space="preserve"> </w:t>
      </w:r>
      <w:r w:rsidR="00BB11E2">
        <w:t>the literature is needed</w:t>
      </w:r>
      <w:r w:rsidRPr="00AF49E2">
        <w:t xml:space="preserve">. To answer a clearly stated study </w:t>
      </w:r>
      <w:r w:rsidR="00B5180C">
        <w:t>objective</w:t>
      </w:r>
      <w:r w:rsidRPr="00AF49E2">
        <w:t xml:space="preserve">, a </w:t>
      </w:r>
      <w:r w:rsidR="00B5180C">
        <w:t xml:space="preserve">search of </w:t>
      </w:r>
      <w:r w:rsidR="00BB11E2">
        <w:t>articles on the topic</w:t>
      </w:r>
      <w:r w:rsidRPr="00AF49E2">
        <w:t xml:space="preserve"> was carried out by finding, choosing, and evaluating the research (Dewey &amp; Drahota, 2016; Nautwima &amp; Asa, 2022). The SLR is an exacting review process. The methodology or approach used for the systematic literature review was carefully defined and authorized by Moher et al. (2009). The criteria are spelled out in detail before the review process starts.</w:t>
      </w:r>
      <w:r w:rsidR="007D0E69" w:rsidRPr="007D0E69">
        <w:t xml:space="preserve"> </w:t>
      </w:r>
      <w:r w:rsidR="009D39A8">
        <w:t xml:space="preserve">This review encompasses a comprehensive and transparent search across multiple databases and grey literature, which other researchers can replicate. It entails a well-thought-out search strategy that explicitly focuses on answering the defined question of </w:t>
      </w:r>
      <w:r w:rsidR="009D39A8">
        <w:rPr>
          <w:i/>
          <w:iCs/>
        </w:rPr>
        <w:t>"What factors influence natural gas and liquefied natural gas market prices in the global energy economy?".</w:t>
      </w:r>
      <w:r w:rsidR="009D39A8">
        <w:t xml:space="preserve"> Within known timeframes, the review identifies, critiques, and reports the information searched for. The systematic literature review included a search of terms, and the search strategies included database names, platforms, search dates, search inclusions, and exclusions following the principles of Moher et al. (2019). However, this study did not report the statistical </w:t>
      </w:r>
      <w:r w:rsidR="00F95F40">
        <w:rPr>
          <w:lang w:val="en-US"/>
        </w:rPr>
        <w:t xml:space="preserve">parts of the </w:t>
      </w:r>
      <w:r w:rsidR="009D39A8">
        <w:t>identification, screening, eligibility, or inclusion process.</w:t>
      </w:r>
    </w:p>
    <w:p w14:paraId="64EEA65F" w14:textId="77777777" w:rsidR="00F76073" w:rsidRDefault="00F76073">
      <w:pPr>
        <w:spacing w:after="160" w:line="360" w:lineRule="auto"/>
        <w:jc w:val="both"/>
      </w:pPr>
    </w:p>
    <w:p w14:paraId="64EEA660" w14:textId="65D4F5C9" w:rsidR="00F76073" w:rsidRDefault="00773ABB">
      <w:pPr>
        <w:pStyle w:val="Heading1"/>
        <w:keepLines/>
        <w:spacing w:after="0" w:line="360" w:lineRule="auto"/>
      </w:pPr>
      <w:bookmarkStart w:id="1" w:name="_Toc149527141"/>
      <w:r>
        <w:rPr>
          <w:sz w:val="24"/>
          <w:szCs w:val="24"/>
          <w:lang w:val="en-US"/>
        </w:rPr>
        <w:t>3</w:t>
      </w:r>
      <w:r w:rsidR="009D39A8">
        <w:rPr>
          <w:sz w:val="24"/>
          <w:szCs w:val="24"/>
        </w:rPr>
        <w:t>. Global Natural Gas and LNG Market</w:t>
      </w:r>
      <w:bookmarkEnd w:id="1"/>
      <w:r w:rsidR="009D39A8">
        <w:rPr>
          <w:sz w:val="24"/>
          <w:szCs w:val="24"/>
        </w:rPr>
        <w:t>: Overview</w:t>
      </w:r>
    </w:p>
    <w:p w14:paraId="64EEA661" w14:textId="556C9F0A" w:rsidR="00F76073" w:rsidRDefault="00773ABB">
      <w:pPr>
        <w:pStyle w:val="Heading2"/>
        <w:keepLines/>
        <w:spacing w:before="40" w:after="0" w:line="360" w:lineRule="auto"/>
        <w:ind w:left="720"/>
      </w:pPr>
      <w:bookmarkStart w:id="2" w:name="_Toc149527142"/>
      <w:r>
        <w:rPr>
          <w:iCs w:val="0"/>
          <w:sz w:val="24"/>
          <w:szCs w:val="24"/>
          <w:lang w:val="en-US"/>
        </w:rPr>
        <w:t>3</w:t>
      </w:r>
      <w:r w:rsidR="009D39A8">
        <w:rPr>
          <w:iCs w:val="0"/>
          <w:sz w:val="24"/>
          <w:szCs w:val="24"/>
        </w:rPr>
        <w:t>.1. Suppliers and consumers</w:t>
      </w:r>
      <w:bookmarkEnd w:id="2"/>
    </w:p>
    <w:p w14:paraId="64EEA662" w14:textId="37FCC135" w:rsidR="00F76073" w:rsidRDefault="009D39A8">
      <w:pPr>
        <w:spacing w:after="160" w:line="360" w:lineRule="auto"/>
        <w:jc w:val="both"/>
      </w:pPr>
      <w:r>
        <w:t>The natural gas sector on a worldwide scale encompasses an extensive network, including producers and consumers. Prominent stakeholders such as Russia, the United States, and Qatar substantially contribute to the extensive global natural gas supply</w:t>
      </w:r>
      <w:r>
        <w:rPr>
          <w:rFonts w:ascii="Calibri" w:eastAsia="Calibri" w:hAnsi="Calibri" w:cs="Calibri"/>
          <w:sz w:val="22"/>
          <w:szCs w:val="22"/>
        </w:rPr>
        <w:t xml:space="preserve"> </w:t>
      </w:r>
      <w:r>
        <w:t xml:space="preserve">(Meza &amp; Koç, 2021). However, </w:t>
      </w:r>
      <w:r>
        <w:lastRenderedPageBreak/>
        <w:t xml:space="preserve">it should be noted that the United States, China, and the European Union are significant users of this </w:t>
      </w:r>
      <w:r w:rsidR="008C6F59">
        <w:t>resource</w:t>
      </w:r>
      <w:r>
        <w:t>. The trade of liquefied natural gas (LNG) has introduced a novel aspect to the market by disassociating the production and consumption processes (He et al., 2018). The ability of this substance to exist in a liquid state facilitates its transportation over vast distances, facilitating international commerce without the need for costly pipeline infrastructure, thereby establishing it as a genuinely global commodity (Klass &amp; Meinhardt, 2014).</w:t>
      </w:r>
      <w:bookmarkStart w:id="3" w:name="_Toc149527143"/>
      <w:r>
        <w:t xml:space="preserve"> The balance of supply and demand in energy and any market is critical to price stability (Asa, Prasad &amp; Htay, 2013).</w:t>
      </w:r>
      <w:bookmarkEnd w:id="3"/>
    </w:p>
    <w:p w14:paraId="64EEA663" w14:textId="77777777" w:rsidR="00F76073" w:rsidRDefault="00F76073">
      <w:pPr>
        <w:spacing w:after="160" w:line="259" w:lineRule="auto"/>
        <w:rPr>
          <w:sz w:val="22"/>
          <w:szCs w:val="22"/>
        </w:rPr>
      </w:pPr>
    </w:p>
    <w:p w14:paraId="64EEA664" w14:textId="73EF6E5F" w:rsidR="00F76073" w:rsidRDefault="00773ABB">
      <w:pPr>
        <w:pStyle w:val="Heading2"/>
        <w:keepLines/>
        <w:spacing w:before="40" w:after="0" w:line="360" w:lineRule="auto"/>
        <w:ind w:left="720"/>
      </w:pPr>
      <w:r>
        <w:rPr>
          <w:iCs w:val="0"/>
          <w:sz w:val="24"/>
          <w:szCs w:val="24"/>
          <w:lang w:val="en-US"/>
        </w:rPr>
        <w:t>3</w:t>
      </w:r>
      <w:r w:rsidR="009D39A8">
        <w:rPr>
          <w:iCs w:val="0"/>
          <w:sz w:val="24"/>
          <w:szCs w:val="24"/>
        </w:rPr>
        <w:t>.2. Significance of LNG</w:t>
      </w:r>
    </w:p>
    <w:p w14:paraId="555316AD" w14:textId="506D6607" w:rsidR="00F82CF0" w:rsidRDefault="00253E44" w:rsidP="00505041">
      <w:pPr>
        <w:pStyle w:val="Heading1"/>
        <w:keepLines/>
        <w:spacing w:line="360" w:lineRule="auto"/>
        <w:jc w:val="both"/>
        <w:rPr>
          <w:b w:val="0"/>
          <w:bCs w:val="0"/>
          <w:kern w:val="0"/>
          <w:sz w:val="24"/>
          <w:szCs w:val="24"/>
        </w:rPr>
      </w:pPr>
      <w:bookmarkStart w:id="4" w:name="_Toc149527144"/>
      <w:r w:rsidRPr="00253E44">
        <w:rPr>
          <w:b w:val="0"/>
          <w:bCs w:val="0"/>
          <w:kern w:val="0"/>
          <w:sz w:val="24"/>
          <w:szCs w:val="24"/>
        </w:rPr>
        <w:t>Liquefied natural gas</w:t>
      </w:r>
      <w:r>
        <w:rPr>
          <w:b w:val="0"/>
          <w:bCs w:val="0"/>
          <w:kern w:val="0"/>
          <w:sz w:val="24"/>
          <w:szCs w:val="24"/>
          <w:lang w:val="en-US"/>
        </w:rPr>
        <w:t xml:space="preserve"> </w:t>
      </w:r>
      <w:r w:rsidRPr="00253E44">
        <w:rPr>
          <w:b w:val="0"/>
          <w:bCs w:val="0"/>
          <w:kern w:val="0"/>
          <w:sz w:val="24"/>
          <w:szCs w:val="24"/>
        </w:rPr>
        <w:t xml:space="preserve">is an essential energy resource that supports many industries, including transportation, manufacturing, and power production. It also plays a significant role in the growth of the economy and industry (Litvinenko, 2020; Kumar et al., 2011). Both industrialized and developing nations may advance economically because </w:t>
      </w:r>
      <w:r w:rsidR="00E129EE">
        <w:rPr>
          <w:b w:val="0"/>
          <w:bCs w:val="0"/>
          <w:kern w:val="0"/>
          <w:sz w:val="24"/>
          <w:szCs w:val="24"/>
        </w:rPr>
        <w:t>of</w:t>
      </w:r>
      <w:r w:rsidRPr="00253E44">
        <w:rPr>
          <w:b w:val="0"/>
          <w:bCs w:val="0"/>
          <w:kern w:val="0"/>
          <w:sz w:val="24"/>
          <w:szCs w:val="24"/>
        </w:rPr>
        <w:t xml:space="preserve"> </w:t>
      </w:r>
      <w:r w:rsidR="004D78A1">
        <w:rPr>
          <w:b w:val="0"/>
          <w:bCs w:val="0"/>
          <w:kern w:val="0"/>
          <w:sz w:val="24"/>
          <w:szCs w:val="24"/>
        </w:rPr>
        <w:t>liquefied natural gas (LNG) availability and affordability</w:t>
      </w:r>
      <w:r w:rsidRPr="00253E44">
        <w:rPr>
          <w:b w:val="0"/>
          <w:bCs w:val="0"/>
          <w:kern w:val="0"/>
          <w:sz w:val="24"/>
          <w:szCs w:val="24"/>
        </w:rPr>
        <w:t xml:space="preserve">. Access to LNG around the globe promotes energy security by allowing for the diversity of energy sources. Nations may mitigate the dangers </w:t>
      </w:r>
      <w:r w:rsidR="00E129EE">
        <w:rPr>
          <w:b w:val="0"/>
          <w:bCs w:val="0"/>
          <w:kern w:val="0"/>
          <w:sz w:val="24"/>
          <w:szCs w:val="24"/>
        </w:rPr>
        <w:t>of</w:t>
      </w:r>
      <w:r w:rsidRPr="00253E44">
        <w:rPr>
          <w:b w:val="0"/>
          <w:bCs w:val="0"/>
          <w:kern w:val="0"/>
          <w:sz w:val="24"/>
          <w:szCs w:val="24"/>
        </w:rPr>
        <w:t xml:space="preserve"> simply depending on one natural gas supply by obtaining LNG from various sources (Sakmar, 2013). LNG, or liquefied natural gas, is transforming the global energy market. This component's capacity to separate production and consumption, promote international trade and provide a greener energy option accounts for its major contribution to the shift to a more integrated and sustainable energy system (United Nations Environment Programme [UNEP], 2011).</w:t>
      </w:r>
      <w:r w:rsidR="004025CC">
        <w:rPr>
          <w:b w:val="0"/>
          <w:bCs w:val="0"/>
          <w:kern w:val="0"/>
          <w:sz w:val="24"/>
          <w:szCs w:val="24"/>
        </w:rPr>
        <w:t xml:space="preserve"> </w:t>
      </w:r>
    </w:p>
    <w:p w14:paraId="05F1C916" w14:textId="77777777" w:rsidR="004D78A1" w:rsidRDefault="004D78A1" w:rsidP="004D78A1"/>
    <w:p w14:paraId="53BCA1C8" w14:textId="0FF004B8" w:rsidR="004D78A1" w:rsidRDefault="004D78A1" w:rsidP="004D78A1">
      <w:r>
        <w:t xml:space="preserve">Liquefied natural gas (LNG) dominates the world energy market for a number of important reasons: </w:t>
      </w:r>
    </w:p>
    <w:p w14:paraId="708BDDB7" w14:textId="77777777" w:rsidR="004D78A1" w:rsidRDefault="004D78A1" w:rsidP="004D78A1"/>
    <w:p w14:paraId="18D9530B" w14:textId="720CD6B0" w:rsidR="004D78A1" w:rsidRPr="004D78A1" w:rsidRDefault="004D78A1" w:rsidP="005F0E15">
      <w:pPr>
        <w:pStyle w:val="Heading1"/>
        <w:keepLines/>
        <w:numPr>
          <w:ilvl w:val="0"/>
          <w:numId w:val="17"/>
        </w:numPr>
        <w:spacing w:line="360" w:lineRule="auto"/>
        <w:jc w:val="both"/>
        <w:rPr>
          <w:b w:val="0"/>
          <w:bCs w:val="0"/>
          <w:kern w:val="0"/>
          <w:sz w:val="24"/>
          <w:szCs w:val="24"/>
        </w:rPr>
      </w:pPr>
      <w:r w:rsidRPr="004D78A1">
        <w:rPr>
          <w:b w:val="0"/>
          <w:bCs w:val="0"/>
          <w:kern w:val="0"/>
          <w:sz w:val="24"/>
          <w:szCs w:val="24"/>
        </w:rPr>
        <w:lastRenderedPageBreak/>
        <w:t xml:space="preserve">Since its debut, natural gas has seen a revolution and has become a globally traded commodity. </w:t>
      </w:r>
      <w:r w:rsidR="005F0E15">
        <w:rPr>
          <w:b w:val="0"/>
          <w:bCs w:val="0"/>
          <w:kern w:val="0"/>
          <w:sz w:val="24"/>
          <w:szCs w:val="24"/>
        </w:rPr>
        <w:t>Compared</w:t>
      </w:r>
      <w:r w:rsidRPr="004D78A1">
        <w:rPr>
          <w:b w:val="0"/>
          <w:bCs w:val="0"/>
          <w:kern w:val="0"/>
          <w:sz w:val="24"/>
          <w:szCs w:val="24"/>
        </w:rPr>
        <w:t xml:space="preserve"> to pipeline-borne natural gas transportation, LNG may travel great marine distances to reach distant markets (Ebinger, Massy &amp; Avasarala, 2012). Because of the phenomena mentioned above, which </w:t>
      </w:r>
      <w:r w:rsidR="005F0E15">
        <w:rPr>
          <w:b w:val="0"/>
          <w:bCs w:val="0"/>
          <w:kern w:val="0"/>
          <w:sz w:val="24"/>
          <w:szCs w:val="24"/>
        </w:rPr>
        <w:t>have</w:t>
      </w:r>
      <w:r w:rsidRPr="004D78A1">
        <w:rPr>
          <w:b w:val="0"/>
          <w:bCs w:val="0"/>
          <w:kern w:val="0"/>
          <w:sz w:val="24"/>
          <w:szCs w:val="24"/>
        </w:rPr>
        <w:t xml:space="preserve"> caused the globalization of natural gas commerce, producers may now export liquefied natural gas (LNG) to remote places that are geographically far from the </w:t>
      </w:r>
      <w:r w:rsidR="005F0E15">
        <w:rPr>
          <w:b w:val="0"/>
          <w:bCs w:val="0"/>
          <w:kern w:val="0"/>
          <w:sz w:val="24"/>
          <w:szCs w:val="24"/>
        </w:rPr>
        <w:t>production sources</w:t>
      </w:r>
      <w:r w:rsidRPr="004D78A1">
        <w:rPr>
          <w:b w:val="0"/>
          <w:bCs w:val="0"/>
          <w:kern w:val="0"/>
          <w:sz w:val="24"/>
          <w:szCs w:val="24"/>
        </w:rPr>
        <w:t xml:space="preserve">. This technical breakthrough has </w:t>
      </w:r>
      <w:r w:rsidR="005F0E15">
        <w:rPr>
          <w:b w:val="0"/>
          <w:bCs w:val="0"/>
          <w:kern w:val="0"/>
          <w:sz w:val="24"/>
          <w:szCs w:val="24"/>
        </w:rPr>
        <w:t>substantially contributed</w:t>
      </w:r>
      <w:r w:rsidRPr="004D78A1">
        <w:rPr>
          <w:b w:val="0"/>
          <w:bCs w:val="0"/>
          <w:kern w:val="0"/>
          <w:sz w:val="24"/>
          <w:szCs w:val="24"/>
        </w:rPr>
        <w:t xml:space="preserve"> to </w:t>
      </w:r>
      <w:r w:rsidR="005F0E15">
        <w:rPr>
          <w:b w:val="0"/>
          <w:bCs w:val="0"/>
          <w:kern w:val="0"/>
          <w:sz w:val="24"/>
          <w:szCs w:val="24"/>
        </w:rPr>
        <w:t>improving</w:t>
      </w:r>
      <w:r w:rsidRPr="004D78A1">
        <w:rPr>
          <w:b w:val="0"/>
          <w:bCs w:val="0"/>
          <w:kern w:val="0"/>
          <w:sz w:val="24"/>
          <w:szCs w:val="24"/>
        </w:rPr>
        <w:t xml:space="preserve"> energy security by further promoting the diversification of the worldwide </w:t>
      </w:r>
      <w:r w:rsidR="005F0E15">
        <w:rPr>
          <w:b w:val="0"/>
          <w:bCs w:val="0"/>
          <w:kern w:val="0"/>
          <w:sz w:val="24"/>
          <w:szCs w:val="24"/>
        </w:rPr>
        <w:t>natural gas supply</w:t>
      </w:r>
      <w:r w:rsidRPr="004D78A1">
        <w:rPr>
          <w:b w:val="0"/>
          <w:bCs w:val="0"/>
          <w:kern w:val="0"/>
          <w:sz w:val="24"/>
          <w:szCs w:val="24"/>
        </w:rPr>
        <w:t>.</w:t>
      </w:r>
    </w:p>
    <w:p w14:paraId="64538544" w14:textId="11EFF58A" w:rsidR="004D78A1" w:rsidRPr="004D78A1" w:rsidRDefault="004D78A1" w:rsidP="004D78A1">
      <w:pPr>
        <w:pStyle w:val="Heading1"/>
        <w:keepLines/>
        <w:numPr>
          <w:ilvl w:val="0"/>
          <w:numId w:val="17"/>
        </w:numPr>
        <w:spacing w:line="360" w:lineRule="auto"/>
        <w:jc w:val="both"/>
        <w:rPr>
          <w:b w:val="0"/>
          <w:bCs w:val="0"/>
          <w:kern w:val="0"/>
          <w:sz w:val="24"/>
          <w:szCs w:val="24"/>
        </w:rPr>
      </w:pPr>
      <w:r w:rsidRPr="004D78A1">
        <w:rPr>
          <w:b w:val="0"/>
          <w:bCs w:val="0"/>
          <w:kern w:val="0"/>
          <w:sz w:val="24"/>
          <w:szCs w:val="24"/>
        </w:rPr>
        <w:t>One of the key characteristics of liquid natural gas (LNG) is its capacity to efficiently divide the operations associated with its production and use. Mokhatab et al. (2013) state that the need for traditional natural gas pipelines close to production sources limits their operating flexibility. Reabsorption terminals assist the process of liquefied natural gas (LNG) reabsorption back into gaseous form. This characteristic makes it possible for production facilities to be located far away from major consumption areas, which reduces the need for pipeline infrastructure (Bridge et al., 2017; Cebolla, Dolci &amp; Weidner, 2022). This regional split has reduced geopolitical limitations, increased price competition, and improved market flexibility (Bridge &amp; Bradshaw, 2017).</w:t>
      </w:r>
    </w:p>
    <w:p w14:paraId="2B349C27" w14:textId="32F114FA" w:rsidR="004D78A1" w:rsidRPr="00EB5FB7" w:rsidRDefault="004D78A1" w:rsidP="004D78A1">
      <w:pPr>
        <w:pStyle w:val="Heading1"/>
        <w:keepLines/>
        <w:numPr>
          <w:ilvl w:val="0"/>
          <w:numId w:val="17"/>
        </w:numPr>
        <w:spacing w:line="360" w:lineRule="auto"/>
        <w:jc w:val="both"/>
        <w:rPr>
          <w:b w:val="0"/>
          <w:bCs w:val="0"/>
          <w:kern w:val="0"/>
          <w:sz w:val="24"/>
          <w:szCs w:val="24"/>
        </w:rPr>
      </w:pPr>
      <w:r w:rsidRPr="004D78A1">
        <w:rPr>
          <w:b w:val="0"/>
          <w:bCs w:val="0"/>
          <w:kern w:val="0"/>
          <w:sz w:val="24"/>
          <w:szCs w:val="24"/>
        </w:rPr>
        <w:t xml:space="preserve">When considering energy alternatives, LNG is often </w:t>
      </w:r>
      <w:r w:rsidR="005F0E15">
        <w:rPr>
          <w:b w:val="0"/>
          <w:bCs w:val="0"/>
          <w:kern w:val="0"/>
          <w:sz w:val="24"/>
          <w:szCs w:val="24"/>
        </w:rPr>
        <w:t>considered</w:t>
      </w:r>
      <w:r w:rsidRPr="004D78A1">
        <w:rPr>
          <w:b w:val="0"/>
          <w:bCs w:val="0"/>
          <w:kern w:val="0"/>
          <w:sz w:val="24"/>
          <w:szCs w:val="24"/>
        </w:rPr>
        <w:t xml:space="preserve"> more environmentally friendly than coal and oil (Kumar et al., 2011). Cleaner technology is what makes LNG unique. This option is long-term ecologically sustainable, which is good news for all nations trying to cut down on carbon emissions and meet environmental requirements. LNG has the potential to significantly contribute to the creation of a more ecologically friendly energy portfolio by helping to mitigate some of the most severe consequences of climate change (Borowski, 2022).</w:t>
      </w:r>
    </w:p>
    <w:p w14:paraId="79559C9A" w14:textId="77777777" w:rsidR="001350F1" w:rsidRPr="006A15BA" w:rsidRDefault="001350F1" w:rsidP="006A15BA"/>
    <w:p w14:paraId="6465AB05" w14:textId="77777777" w:rsidR="001350F1" w:rsidRPr="006A15BA" w:rsidRDefault="001350F1" w:rsidP="006A15BA"/>
    <w:p w14:paraId="64EEA66D" w14:textId="57C19AEC" w:rsidR="00F76073" w:rsidRDefault="00773ABB">
      <w:pPr>
        <w:pStyle w:val="Heading1"/>
        <w:keepLines/>
        <w:spacing w:after="0" w:line="360" w:lineRule="auto"/>
      </w:pPr>
      <w:r>
        <w:rPr>
          <w:sz w:val="24"/>
          <w:szCs w:val="24"/>
          <w:lang w:val="en-US"/>
        </w:rPr>
        <w:t>4</w:t>
      </w:r>
      <w:r w:rsidR="009D39A8">
        <w:rPr>
          <w:sz w:val="24"/>
          <w:szCs w:val="24"/>
        </w:rPr>
        <w:t xml:space="preserve">. </w:t>
      </w:r>
      <w:bookmarkStart w:id="5" w:name="_Hlk150801617"/>
      <w:bookmarkEnd w:id="4"/>
      <w:r w:rsidR="009D39A8">
        <w:rPr>
          <w:sz w:val="24"/>
          <w:szCs w:val="24"/>
        </w:rPr>
        <w:t>Factors Influencing Natural Gas and LNG Market Price Determination</w:t>
      </w:r>
      <w:bookmarkEnd w:id="5"/>
    </w:p>
    <w:p w14:paraId="71912FE8" w14:textId="316FB6B5" w:rsidR="00685F4E" w:rsidRDefault="00685F4E">
      <w:pPr>
        <w:spacing w:after="160" w:line="360" w:lineRule="auto"/>
        <w:jc w:val="both"/>
      </w:pPr>
      <w:r w:rsidRPr="00685F4E">
        <w:t xml:space="preserve">The following factors </w:t>
      </w:r>
      <w:r>
        <w:rPr>
          <w:lang w:val="en-US"/>
        </w:rPr>
        <w:t>collectively</w:t>
      </w:r>
      <w:r w:rsidRPr="00685F4E">
        <w:t xml:space="preserve"> shape the intricate dynamics that control natural gas and liquefied natural gas (LNG) prices in the global energy market. Price variations and volatility are </w:t>
      </w:r>
      <w:r w:rsidRPr="00685F4E">
        <w:lastRenderedPageBreak/>
        <w:t>often caused by the interaction and interdependence of these elements. Four main elements, which are shown in Figure 1, largely affect the pricing of LNG and natural gas.</w:t>
      </w:r>
    </w:p>
    <w:p w14:paraId="64EEA66F" w14:textId="3C1AF762" w:rsidR="00F76073" w:rsidRDefault="009D39A8">
      <w:pPr>
        <w:spacing w:after="160" w:line="360" w:lineRule="auto"/>
        <w:jc w:val="both"/>
      </w:pPr>
      <w:r>
        <w:rPr>
          <w:noProof/>
        </w:rPr>
        <w:drawing>
          <wp:inline distT="0" distB="0" distL="0" distR="0" wp14:anchorId="64EEA6F1" wp14:editId="64EEA6F2">
            <wp:extent cx="5734050" cy="4219575"/>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892930" name=""/>
                    <pic:cNvPicPr>
                      <a:picLocks noChangeAspect="1"/>
                    </pic:cNvPicPr>
                  </pic:nvPicPr>
                  <pic:blipFill>
                    <a:blip r:embed="rId7"/>
                    <a:stretch>
                      <a:fillRect/>
                    </a:stretch>
                  </pic:blipFill>
                  <pic:spPr>
                    <a:xfrm>
                      <a:off x="0" y="0"/>
                      <a:ext cx="5734050" cy="4219575"/>
                    </a:xfrm>
                    <a:prstGeom prst="rect">
                      <a:avLst/>
                    </a:prstGeom>
                  </pic:spPr>
                </pic:pic>
              </a:graphicData>
            </a:graphic>
          </wp:inline>
        </w:drawing>
      </w:r>
    </w:p>
    <w:p w14:paraId="64EEA670" w14:textId="77777777" w:rsidR="00F76073" w:rsidRDefault="009D39A8">
      <w:pPr>
        <w:spacing w:after="160"/>
        <w:jc w:val="center"/>
      </w:pPr>
      <w:r>
        <w:t>Figure 1: Factors Influencing Natural Gas and LNG Market Price Determination</w:t>
      </w:r>
    </w:p>
    <w:p w14:paraId="64EEA671" w14:textId="77777777" w:rsidR="00F76073" w:rsidRDefault="009D39A8">
      <w:pPr>
        <w:spacing w:after="160"/>
        <w:jc w:val="center"/>
      </w:pPr>
      <w:r>
        <w:t>Source: Authors’ Representations (2023)</w:t>
      </w:r>
    </w:p>
    <w:p w14:paraId="64EEA672" w14:textId="77777777" w:rsidR="00F76073" w:rsidRDefault="00F76073">
      <w:pPr>
        <w:spacing w:after="160"/>
        <w:jc w:val="center"/>
      </w:pPr>
    </w:p>
    <w:p w14:paraId="64EEA673" w14:textId="611FCB94" w:rsidR="00F76073" w:rsidRDefault="00773ABB">
      <w:pPr>
        <w:pStyle w:val="Heading2"/>
        <w:keepLines/>
        <w:spacing w:before="40" w:after="0" w:line="360" w:lineRule="auto"/>
        <w:ind w:left="720"/>
      </w:pPr>
      <w:bookmarkStart w:id="6" w:name="_Toc149527145"/>
      <w:r>
        <w:rPr>
          <w:iCs w:val="0"/>
          <w:sz w:val="24"/>
          <w:szCs w:val="24"/>
          <w:lang w:val="en-US"/>
        </w:rPr>
        <w:t>4</w:t>
      </w:r>
      <w:r w:rsidR="009D39A8">
        <w:rPr>
          <w:iCs w:val="0"/>
          <w:sz w:val="24"/>
          <w:szCs w:val="24"/>
        </w:rPr>
        <w:t>.1. Advancements in Technology</w:t>
      </w:r>
      <w:bookmarkEnd w:id="6"/>
    </w:p>
    <w:p w14:paraId="535CEF24" w14:textId="5DC08F30" w:rsidR="00E238F6" w:rsidRDefault="00E25E0D">
      <w:pPr>
        <w:spacing w:after="160" w:line="360" w:lineRule="auto"/>
        <w:jc w:val="both"/>
      </w:pPr>
      <w:r w:rsidRPr="00E25E0D">
        <w:t xml:space="preserve">Natural gas and LNG technological developments have recently had a significant impact on production costs and market dynamics. Honig et al. (2019) highlighted the potential cost reductions linked to more effective extraction and liquefaction procedures. Innovation in technology </w:t>
      </w:r>
      <w:r w:rsidR="003116BE">
        <w:t>significantly impacts</w:t>
      </w:r>
      <w:r w:rsidRPr="00E25E0D">
        <w:t xml:space="preserve"> the price of natural gas and LNG. Using more efficient techniques improves the extraction process's overall effectiveness and has a positive cost impact (Honig et al., 2019). Khan, Karimi, and Wood (2017) highlight the increased use of process information to inform optimization </w:t>
      </w:r>
      <w:r>
        <w:t>and</w:t>
      </w:r>
      <w:r w:rsidRPr="00E25E0D">
        <w:t xml:space="preserve"> the predominance of mixed-refrigerant-based technologies in onshore LNG plants. This study (</w:t>
      </w:r>
      <w:proofErr w:type="spellStart"/>
      <w:r w:rsidRPr="00E25E0D">
        <w:t>Mazyan</w:t>
      </w:r>
      <w:proofErr w:type="spellEnd"/>
      <w:r w:rsidRPr="00E25E0D">
        <w:t xml:space="preserve"> et al., 2016) thoroughly examines the market and cost dynamics of </w:t>
      </w:r>
      <w:r w:rsidRPr="00E25E0D">
        <w:lastRenderedPageBreak/>
        <w:t xml:space="preserve">natural gas processing, including extraction, transportation, storage, and purification. Additionally, Ritz (2019) and Liss (2014) look at the events' wider implications. Ritz focuses on the competition between pipeline gas and LNG, or liquefied natural gas, while Liss highlights how advances in shale gas have fundamentally changed the US energy sector. The research highlights the significant impact </w:t>
      </w:r>
      <w:r w:rsidR="00E17167">
        <w:t>of technical advancements</w:t>
      </w:r>
      <w:r w:rsidRPr="00E25E0D">
        <w:t xml:space="preserve"> on the LNG and natural gas industries.</w:t>
      </w:r>
    </w:p>
    <w:p w14:paraId="4FE00BA0" w14:textId="77777777" w:rsidR="00275162" w:rsidRDefault="00275162">
      <w:pPr>
        <w:spacing w:after="160" w:line="360" w:lineRule="auto"/>
        <w:jc w:val="both"/>
      </w:pPr>
    </w:p>
    <w:p w14:paraId="64EEA676" w14:textId="5D57B077" w:rsidR="00F76073" w:rsidRDefault="00773ABB">
      <w:pPr>
        <w:pStyle w:val="Heading2"/>
        <w:keepLines/>
        <w:spacing w:before="40" w:after="0" w:line="360" w:lineRule="auto"/>
        <w:ind w:left="720"/>
      </w:pPr>
      <w:bookmarkStart w:id="7" w:name="_Toc149527146"/>
      <w:r>
        <w:rPr>
          <w:iCs w:val="0"/>
          <w:sz w:val="24"/>
          <w:szCs w:val="24"/>
          <w:lang w:val="en-US"/>
        </w:rPr>
        <w:t>4</w:t>
      </w:r>
      <w:r w:rsidR="009D39A8">
        <w:rPr>
          <w:iCs w:val="0"/>
          <w:sz w:val="24"/>
          <w:szCs w:val="24"/>
        </w:rPr>
        <w:t>.2. Geographical positioning and transportation-related costs</w:t>
      </w:r>
      <w:bookmarkEnd w:id="7"/>
      <w:r w:rsidR="009D39A8">
        <w:rPr>
          <w:iCs w:val="0"/>
          <w:sz w:val="24"/>
          <w:szCs w:val="24"/>
        </w:rPr>
        <w:t xml:space="preserve"> </w:t>
      </w:r>
    </w:p>
    <w:p w14:paraId="0704DAD5" w14:textId="3EFE2B94" w:rsidR="00E238F6" w:rsidRDefault="00E17167">
      <w:pPr>
        <w:spacing w:after="160" w:line="360" w:lineRule="auto"/>
        <w:jc w:val="both"/>
      </w:pPr>
      <w:r w:rsidRPr="00E17167">
        <w:t xml:space="preserve">This section is mostly concerned with the </w:t>
      </w:r>
      <w:r>
        <w:rPr>
          <w:lang w:val="en-US"/>
        </w:rPr>
        <w:t>costs</w:t>
      </w:r>
      <w:r w:rsidRPr="00E17167">
        <w:t xml:space="preserve"> </w:t>
      </w:r>
      <w:r>
        <w:t>of</w:t>
      </w:r>
      <w:r w:rsidRPr="00E17167">
        <w:t xml:space="preserve"> a business's physical location and the transportation required to carry out everyday activities. Because of this, academic studies examining the relationship between transportation-related expenses and the impact of geographic location on the natural gas market reveal a complex dynamic. The significant effect that </w:t>
      </w:r>
      <w:r>
        <w:t>the proximity of natural gas reserves</w:t>
      </w:r>
      <w:r w:rsidRPr="00E17167">
        <w:t xml:space="preserve"> has on transportation costs is highlighted by Economides and Wood (2009), who point out that areas nearer to customers or LNG terminals benefit from reduced transit times. Ulvestad and Overland (2012) as well as Rosendahl and Sagen (2009), on the other hand, have both issued warnings about the notion that lower transportation costs inevitably translate into lower import prices. While the latter emphasizes the importance of natural gas and CO2 pricing in determining the cost-effectiveness of pipelines and LNG, the former implies that price impacts </w:t>
      </w:r>
      <w:r>
        <w:t>depend on</w:t>
      </w:r>
      <w:r w:rsidRPr="00E17167">
        <w:t xml:space="preserve"> market distances and technological considerations. Moreover, the natural gas market is greatly impacted by the interaction of natural gas supply, endogenous transportation costs, gas flow, infrastructure deployment, and price convergence, all of which must be fully understood (Zhang et al., 2016; </w:t>
      </w:r>
      <w:proofErr w:type="spellStart"/>
      <w:r w:rsidRPr="00E17167">
        <w:t>Oglend</w:t>
      </w:r>
      <w:proofErr w:type="spellEnd"/>
      <w:r w:rsidRPr="00E17167">
        <w:t>, Kleppe &amp; Osmundsen, 2016).</w:t>
      </w:r>
    </w:p>
    <w:p w14:paraId="097DD41E" w14:textId="77777777" w:rsidR="007C47B3" w:rsidRDefault="007C47B3">
      <w:pPr>
        <w:spacing w:after="160" w:line="360" w:lineRule="auto"/>
        <w:jc w:val="both"/>
      </w:pPr>
    </w:p>
    <w:p w14:paraId="64EEA679" w14:textId="5CE0C5B7" w:rsidR="00F76073" w:rsidRDefault="00773ABB">
      <w:pPr>
        <w:pStyle w:val="Heading2"/>
        <w:keepLines/>
        <w:spacing w:before="40" w:after="0" w:line="360" w:lineRule="auto"/>
        <w:ind w:left="720"/>
      </w:pPr>
      <w:bookmarkStart w:id="8" w:name="_Toc149527147"/>
      <w:r>
        <w:rPr>
          <w:iCs w:val="0"/>
          <w:sz w:val="24"/>
          <w:szCs w:val="24"/>
          <w:lang w:val="en-US"/>
        </w:rPr>
        <w:t>4</w:t>
      </w:r>
      <w:r w:rsidR="009D39A8">
        <w:rPr>
          <w:iCs w:val="0"/>
          <w:sz w:val="24"/>
          <w:szCs w:val="24"/>
        </w:rPr>
        <w:t xml:space="preserve">.3. </w:t>
      </w:r>
      <w:bookmarkEnd w:id="8"/>
      <w:r w:rsidR="009D39A8">
        <w:rPr>
          <w:iCs w:val="0"/>
          <w:sz w:val="24"/>
          <w:szCs w:val="24"/>
        </w:rPr>
        <w:t>Market Dynamics of Demand and Supply</w:t>
      </w:r>
    </w:p>
    <w:p w14:paraId="3A27EEBE" w14:textId="06A1215F" w:rsidR="007C47B3" w:rsidRDefault="007C47B3">
      <w:pPr>
        <w:spacing w:after="160" w:line="360" w:lineRule="auto"/>
        <w:jc w:val="both"/>
      </w:pPr>
      <w:r w:rsidRPr="007C47B3">
        <w:t xml:space="preserve">Natural gas resource accessibility and availability </w:t>
      </w:r>
      <w:r w:rsidR="003116BE">
        <w:t>significantly impact</w:t>
      </w:r>
      <w:r w:rsidRPr="007C47B3">
        <w:t xml:space="preserve"> market dynamics; easy-to-access and plentiful resources lead to lower pricing (Hauser, 2016). Given the recent shale gas boom, which has increased the importance of natural gas in international trade, this is particularly relevant (Li, 2019). As the short-term separation and convergence of the natural gas markets in China and the US demonstrate, the interconnection of many markets also influences the natural gas pricing mechanism (Zhu et al., 2018). Resource issues </w:t>
      </w:r>
      <w:r w:rsidR="003116BE">
        <w:t>significantly impact</w:t>
      </w:r>
      <w:r w:rsidRPr="007C47B3">
        <w:t xml:space="preserve"> pricing methods, as demonstrated by the change in the North American natural gas markets driven by the use of </w:t>
      </w:r>
      <w:r w:rsidRPr="007C47B3">
        <w:lastRenderedPageBreak/>
        <w:t>affordable hydraulic fracturing for shale gas production (Huntington, 2016). Within the framework of market dynamics, non-discriminatory access to pipeline infrastructure may lead to overcapacity (</w:t>
      </w:r>
      <w:proofErr w:type="spellStart"/>
      <w:r w:rsidRPr="007C47B3">
        <w:t>Poudineh</w:t>
      </w:r>
      <w:proofErr w:type="spellEnd"/>
      <w:r w:rsidRPr="007C47B3">
        <w:t xml:space="preserve">, Sen &amp; Fattouh, 2022; Cardinale, 2023). For market dynamics to function, better natural gas resources must be accessible. Prices are more likely to rise in situations where resources are hard to get by and rare, while they tend to decline in situations where they are plentiful and easily accessible. details about gas reserves, how they affect market dynamics, and how resource-related issues may affect pricing </w:t>
      </w:r>
      <w:r>
        <w:rPr>
          <w:lang w:val="en-US"/>
        </w:rPr>
        <w:t>strategies</w:t>
      </w:r>
      <w:r w:rsidRPr="007C47B3">
        <w:t>.</w:t>
      </w:r>
    </w:p>
    <w:p w14:paraId="02695A4F" w14:textId="77777777" w:rsidR="007C47B3" w:rsidRDefault="007C47B3">
      <w:pPr>
        <w:spacing w:after="160" w:line="360" w:lineRule="auto"/>
        <w:jc w:val="both"/>
      </w:pPr>
    </w:p>
    <w:p w14:paraId="64EEA67C" w14:textId="58CB4CCC" w:rsidR="00F76073" w:rsidRDefault="00CB716B">
      <w:pPr>
        <w:pStyle w:val="Heading2"/>
        <w:keepLines/>
        <w:spacing w:before="40" w:after="0" w:line="360" w:lineRule="auto"/>
        <w:ind w:left="720"/>
      </w:pPr>
      <w:r>
        <w:rPr>
          <w:iCs w:val="0"/>
          <w:sz w:val="24"/>
          <w:szCs w:val="24"/>
          <w:lang w:val="en-US"/>
        </w:rPr>
        <w:t>4</w:t>
      </w:r>
      <w:r w:rsidR="009D39A8">
        <w:rPr>
          <w:iCs w:val="0"/>
          <w:sz w:val="24"/>
          <w:szCs w:val="24"/>
        </w:rPr>
        <w:t>.4. Geopolitical Factors</w:t>
      </w:r>
    </w:p>
    <w:p w14:paraId="3846E60F" w14:textId="0A06C3DA" w:rsidR="00485345" w:rsidRDefault="00485345" w:rsidP="00485345">
      <w:pPr>
        <w:pStyle w:val="Heading1"/>
        <w:keepLines/>
        <w:spacing w:after="0" w:line="360" w:lineRule="auto"/>
        <w:jc w:val="both"/>
        <w:rPr>
          <w:b w:val="0"/>
          <w:bCs w:val="0"/>
          <w:kern w:val="0"/>
          <w:sz w:val="24"/>
          <w:szCs w:val="24"/>
        </w:rPr>
      </w:pPr>
      <w:bookmarkStart w:id="9" w:name="_Toc149527148"/>
      <w:r w:rsidRPr="00485345">
        <w:rPr>
          <w:b w:val="0"/>
          <w:bCs w:val="0"/>
          <w:kern w:val="0"/>
          <w:sz w:val="24"/>
          <w:szCs w:val="24"/>
        </w:rPr>
        <w:t xml:space="preserve">Natural gas and LNG prices are significantly impacted by geopolitical conflicts in the market. Future Russian gas exports and the </w:t>
      </w:r>
      <w:r w:rsidR="00190263">
        <w:rPr>
          <w:b w:val="0"/>
          <w:bCs w:val="0"/>
          <w:kern w:val="0"/>
          <w:sz w:val="24"/>
          <w:szCs w:val="24"/>
        </w:rPr>
        <w:t>global gas market integration process are among the possible outcomes of the changing geopolitical landscape, including</w:t>
      </w:r>
      <w:r w:rsidRPr="00485345">
        <w:rPr>
          <w:b w:val="0"/>
          <w:bCs w:val="0"/>
          <w:kern w:val="0"/>
          <w:sz w:val="24"/>
          <w:szCs w:val="24"/>
        </w:rPr>
        <w:t xml:space="preserve"> the split between Russia and the West (Stern et al., 2014). Reducing Europe's dependency on Russian natural gas is a geopolitical objective, but it requires careful analysis of geopolitical considerations (Siddi, 2019). Moreover, the geopolitical impact on the gap between pipeline and liquefied natural gas may lead to an imbalance in supply and demand in China's natural gas market (Chai et al., 2021). Geopolitical tensions not only affect the volatility of the gas market but also encourage the growth of renewable energy sources while decreasing the demand for gas (</w:t>
      </w:r>
      <w:proofErr w:type="spellStart"/>
      <w:r w:rsidRPr="00485345">
        <w:rPr>
          <w:b w:val="0"/>
          <w:bCs w:val="0"/>
          <w:kern w:val="0"/>
          <w:sz w:val="24"/>
          <w:szCs w:val="24"/>
        </w:rPr>
        <w:t>Anser</w:t>
      </w:r>
      <w:proofErr w:type="spellEnd"/>
      <w:r w:rsidRPr="00485345">
        <w:rPr>
          <w:b w:val="0"/>
          <w:bCs w:val="0"/>
          <w:kern w:val="0"/>
          <w:sz w:val="24"/>
          <w:szCs w:val="24"/>
        </w:rPr>
        <w:t xml:space="preserve"> et al., 2021). Because </w:t>
      </w:r>
      <w:r w:rsidR="00190263">
        <w:rPr>
          <w:b w:val="0"/>
          <w:bCs w:val="0"/>
          <w:kern w:val="0"/>
          <w:sz w:val="24"/>
          <w:szCs w:val="24"/>
        </w:rPr>
        <w:t>they affect pricing and market dynamics, geopolitical conflicts generally have a major impact</w:t>
      </w:r>
      <w:r w:rsidRPr="00485345">
        <w:rPr>
          <w:b w:val="0"/>
          <w:bCs w:val="0"/>
          <w:kern w:val="0"/>
          <w:sz w:val="24"/>
          <w:szCs w:val="24"/>
        </w:rPr>
        <w:t xml:space="preserve"> on the natural gas and LNG markets.</w:t>
      </w:r>
    </w:p>
    <w:p w14:paraId="64EEA680" w14:textId="12F49695" w:rsidR="00F76073" w:rsidRDefault="00CB716B" w:rsidP="0069315B">
      <w:pPr>
        <w:pStyle w:val="Heading1"/>
        <w:keepLines/>
        <w:spacing w:after="0" w:line="360" w:lineRule="auto"/>
        <w:rPr>
          <w:sz w:val="24"/>
          <w:szCs w:val="24"/>
        </w:rPr>
      </w:pPr>
      <w:r>
        <w:rPr>
          <w:sz w:val="24"/>
          <w:szCs w:val="24"/>
          <w:lang w:val="en-US"/>
        </w:rPr>
        <w:t>5</w:t>
      </w:r>
      <w:r w:rsidR="009D39A8">
        <w:rPr>
          <w:sz w:val="24"/>
          <w:szCs w:val="24"/>
        </w:rPr>
        <w:t>. Limitations in the Supply Chain</w:t>
      </w:r>
      <w:bookmarkEnd w:id="9"/>
      <w:r w:rsidR="009D39A8">
        <w:rPr>
          <w:sz w:val="24"/>
          <w:szCs w:val="24"/>
        </w:rPr>
        <w:t xml:space="preserve"> of LNG</w:t>
      </w:r>
    </w:p>
    <w:p w14:paraId="0BFD7DF9" w14:textId="77777777" w:rsidR="0069315B" w:rsidRPr="0069315B" w:rsidRDefault="0069315B" w:rsidP="0069315B"/>
    <w:p w14:paraId="64EEA681" w14:textId="78E012FA" w:rsidR="00F76073" w:rsidRDefault="00CB716B">
      <w:pPr>
        <w:pStyle w:val="Heading2"/>
        <w:keepLines/>
        <w:spacing w:before="40" w:after="0" w:line="360" w:lineRule="auto"/>
        <w:ind w:left="720"/>
      </w:pPr>
      <w:bookmarkStart w:id="10" w:name="_Toc149527149"/>
      <w:r>
        <w:rPr>
          <w:iCs w:val="0"/>
          <w:sz w:val="24"/>
          <w:szCs w:val="24"/>
          <w:lang w:val="en-US"/>
        </w:rPr>
        <w:t>5</w:t>
      </w:r>
      <w:r w:rsidR="009D39A8">
        <w:rPr>
          <w:iCs w:val="0"/>
          <w:sz w:val="24"/>
          <w:szCs w:val="24"/>
        </w:rPr>
        <w:t>.1. Challenges in Transportation Infrastructure Development</w:t>
      </w:r>
      <w:bookmarkEnd w:id="10"/>
      <w:r w:rsidR="009D39A8">
        <w:rPr>
          <w:iCs w:val="0"/>
          <w:sz w:val="24"/>
          <w:szCs w:val="24"/>
        </w:rPr>
        <w:t xml:space="preserve"> </w:t>
      </w:r>
    </w:p>
    <w:p w14:paraId="6B528112" w14:textId="71A5A9DE" w:rsidR="00F12597" w:rsidRDefault="00903C9D">
      <w:pPr>
        <w:spacing w:after="160" w:line="360" w:lineRule="auto"/>
        <w:jc w:val="both"/>
      </w:pPr>
      <w:r w:rsidRPr="00903C9D">
        <w:t>The transportation infrastructure sector faces several obstacles that jeopardize its efficacy and efficiency. According to Kumar, Zimmerman, and Arroyo (2021) the two main causes of these issues are deteriorating infrastructure and insufficient finance. Natural gas and LNG distribution is severely hampered by the inadequate state of the present transportation infrastructure, particularly in developing nations. Inconvenient access to resources might lead to inefficient operation of LNG terminals and pipelines.</w:t>
      </w:r>
    </w:p>
    <w:p w14:paraId="1F8E4742" w14:textId="77777777" w:rsidR="00903C9D" w:rsidRDefault="00903C9D">
      <w:pPr>
        <w:spacing w:after="160" w:line="360" w:lineRule="auto"/>
        <w:jc w:val="both"/>
      </w:pPr>
    </w:p>
    <w:p w14:paraId="64EEA684" w14:textId="3B53CB60" w:rsidR="00F76073" w:rsidRDefault="00CB716B">
      <w:pPr>
        <w:pStyle w:val="Heading2"/>
        <w:keepLines/>
        <w:spacing w:before="40" w:after="0" w:line="360" w:lineRule="auto"/>
        <w:ind w:left="720"/>
      </w:pPr>
      <w:bookmarkStart w:id="11" w:name="_Toc149527150"/>
      <w:r>
        <w:rPr>
          <w:iCs w:val="0"/>
          <w:sz w:val="24"/>
          <w:szCs w:val="24"/>
          <w:lang w:val="en-US"/>
        </w:rPr>
        <w:t>5</w:t>
      </w:r>
      <w:r w:rsidR="009D39A8">
        <w:rPr>
          <w:iCs w:val="0"/>
          <w:sz w:val="24"/>
          <w:szCs w:val="24"/>
        </w:rPr>
        <w:t>.2 Implications of Geopolitical Factors</w:t>
      </w:r>
      <w:bookmarkEnd w:id="11"/>
      <w:r w:rsidR="009D39A8">
        <w:rPr>
          <w:iCs w:val="0"/>
          <w:sz w:val="24"/>
          <w:szCs w:val="24"/>
        </w:rPr>
        <w:t xml:space="preserve"> </w:t>
      </w:r>
    </w:p>
    <w:p w14:paraId="6831A0C6" w14:textId="7064C089" w:rsidR="002A7D14" w:rsidRDefault="009A6917">
      <w:pPr>
        <w:spacing w:after="160" w:line="360" w:lineRule="auto"/>
        <w:jc w:val="both"/>
      </w:pPr>
      <w:r w:rsidRPr="009A6917">
        <w:t>The natural gas and liquefied natural gas (LNG) markets are susceptible to changes in geopolitics. Supply chain interruptions and market volatility may result from political unrest and armed conflicts in vital producing countries (Lund et al., 2020). Price swings that are both unexpected and significant may arise from this. This section looks at how geopolitical issues could affect the price, supply, and stability of the natural gas market.</w:t>
      </w:r>
    </w:p>
    <w:p w14:paraId="1F65548F" w14:textId="77777777" w:rsidR="009A6917" w:rsidRDefault="009A6917">
      <w:pPr>
        <w:spacing w:after="160" w:line="360" w:lineRule="auto"/>
        <w:jc w:val="both"/>
      </w:pPr>
    </w:p>
    <w:p w14:paraId="64EEA687" w14:textId="653F916B" w:rsidR="00F76073" w:rsidRDefault="00CB716B">
      <w:pPr>
        <w:pStyle w:val="Heading2"/>
        <w:keepLines/>
        <w:spacing w:before="40" w:after="0" w:line="360" w:lineRule="auto"/>
        <w:ind w:left="720"/>
      </w:pPr>
      <w:bookmarkStart w:id="12" w:name="_Toc149527151"/>
      <w:r>
        <w:rPr>
          <w:iCs w:val="0"/>
          <w:sz w:val="24"/>
          <w:szCs w:val="24"/>
          <w:lang w:val="en-US"/>
        </w:rPr>
        <w:t>5</w:t>
      </w:r>
      <w:r w:rsidR="009D39A8">
        <w:rPr>
          <w:iCs w:val="0"/>
          <w:sz w:val="24"/>
          <w:szCs w:val="24"/>
        </w:rPr>
        <w:t>.3. Significance of Environmental Regulations in Contemporary Society</w:t>
      </w:r>
      <w:bookmarkEnd w:id="12"/>
    </w:p>
    <w:p w14:paraId="05995E77" w14:textId="3F9B71E3" w:rsidR="00BE12B2" w:rsidRDefault="00037C6E">
      <w:pPr>
        <w:spacing w:after="160" w:line="360" w:lineRule="auto"/>
        <w:jc w:val="both"/>
      </w:pPr>
      <w:r w:rsidRPr="00037C6E">
        <w:t xml:space="preserve">There is a clear trend among the world's conscientious and committed citizens to support stricter environmental laws and guidelines (Coenen et al., 2021; Javaid et al., 2022). Because </w:t>
      </w:r>
      <w:r>
        <w:t>applying these laws has a significant influence on gas reserve development and exploitation, compliance with strict standards may result in increased production costs, which may then affect</w:t>
      </w:r>
      <w:r w:rsidRPr="00037C6E">
        <w:t xml:space="preserve"> price dynamics. This section </w:t>
      </w:r>
      <w:r w:rsidR="008125D9">
        <w:t>closely examines</w:t>
      </w:r>
      <w:r w:rsidRPr="00037C6E">
        <w:t xml:space="preserve"> environmental rules and how they affect the natural gas and LNG businesses.</w:t>
      </w:r>
    </w:p>
    <w:p w14:paraId="25CFA843" w14:textId="77777777" w:rsidR="00037C6E" w:rsidRDefault="00037C6E">
      <w:pPr>
        <w:spacing w:after="160" w:line="360" w:lineRule="auto"/>
        <w:jc w:val="both"/>
      </w:pPr>
    </w:p>
    <w:p w14:paraId="64EEA68A" w14:textId="5D38C77B" w:rsidR="00F76073" w:rsidRDefault="00CB716B">
      <w:pPr>
        <w:pStyle w:val="Heading1"/>
        <w:keepLines/>
        <w:spacing w:after="0" w:line="360" w:lineRule="auto"/>
      </w:pPr>
      <w:bookmarkStart w:id="13" w:name="_Toc149527152"/>
      <w:r>
        <w:rPr>
          <w:sz w:val="24"/>
          <w:szCs w:val="24"/>
          <w:lang w:val="en-US"/>
        </w:rPr>
        <w:t>6</w:t>
      </w:r>
      <w:r w:rsidR="009D39A8">
        <w:rPr>
          <w:sz w:val="24"/>
          <w:szCs w:val="24"/>
        </w:rPr>
        <w:t>. Impact of Limitations on Price Fluctuations and Trading Patterns</w:t>
      </w:r>
      <w:bookmarkEnd w:id="13"/>
    </w:p>
    <w:p w14:paraId="64EEA68B" w14:textId="77777777" w:rsidR="00F76073" w:rsidRDefault="00F76073">
      <w:pPr>
        <w:spacing w:after="160" w:line="360" w:lineRule="auto"/>
        <w:rPr>
          <w:sz w:val="22"/>
          <w:szCs w:val="22"/>
        </w:rPr>
      </w:pPr>
    </w:p>
    <w:p w14:paraId="64EEA68C" w14:textId="337BC183" w:rsidR="00F76073" w:rsidRDefault="00CB716B">
      <w:pPr>
        <w:pStyle w:val="Heading2"/>
        <w:keepLines/>
        <w:spacing w:before="40" w:after="0" w:line="360" w:lineRule="auto"/>
        <w:ind w:left="720"/>
      </w:pPr>
      <w:bookmarkStart w:id="14" w:name="_Toc149527153"/>
      <w:r>
        <w:rPr>
          <w:iCs w:val="0"/>
          <w:sz w:val="24"/>
          <w:szCs w:val="24"/>
          <w:lang w:val="en-US"/>
        </w:rPr>
        <w:t>6</w:t>
      </w:r>
      <w:r w:rsidR="009D39A8">
        <w:rPr>
          <w:iCs w:val="0"/>
          <w:sz w:val="24"/>
          <w:szCs w:val="24"/>
        </w:rPr>
        <w:t>.1. Impact of Price Volatility and Disruptions</w:t>
      </w:r>
      <w:bookmarkEnd w:id="14"/>
    </w:p>
    <w:p w14:paraId="23CFAA21" w14:textId="6527EE56" w:rsidR="000375D7" w:rsidRDefault="000375D7" w:rsidP="000375D7">
      <w:pPr>
        <w:spacing w:after="160" w:line="360" w:lineRule="auto"/>
        <w:jc w:val="both"/>
      </w:pPr>
      <w:r>
        <w:t xml:space="preserve">The natural gas and liquefied natural gas (LNG) sectors might experience interruptions and price variations that </w:t>
      </w:r>
      <w:r w:rsidR="008125D9">
        <w:t>significantly impact</w:t>
      </w:r>
      <w:r>
        <w:t xml:space="preserve"> the energy industry. Numerous variables affect the observed volatility, and specific instances show how these disruptions have an impact (</w:t>
      </w:r>
      <w:proofErr w:type="spellStart"/>
      <w:r>
        <w:t>Rasoulian</w:t>
      </w:r>
      <w:proofErr w:type="spellEnd"/>
      <w:r>
        <w:t xml:space="preserve"> et al., 2017).</w:t>
      </w:r>
    </w:p>
    <w:p w14:paraId="70BE79AB" w14:textId="77777777" w:rsidR="000375D7" w:rsidRDefault="000375D7" w:rsidP="000375D7">
      <w:pPr>
        <w:spacing w:after="160" w:line="360" w:lineRule="auto"/>
        <w:jc w:val="both"/>
      </w:pPr>
      <w:r>
        <w:t>The following section examines the factors that lead to price volatility and disruptions:</w:t>
      </w:r>
    </w:p>
    <w:p w14:paraId="1F5627D1" w14:textId="4E11B350" w:rsidR="000375D7" w:rsidRDefault="000375D7" w:rsidP="000375D7">
      <w:pPr>
        <w:spacing w:after="160" w:line="360" w:lineRule="auto"/>
        <w:jc w:val="both"/>
      </w:pPr>
      <w:r>
        <w:t>• One fundamental limitation in the natural gas and LNG supply chain is the lack of infrastructure, including pipelines and LNG terminals, which may impede the efficient transportation and distribution of these essential commodities. Price variations might occur when supply chain restrictions prevent items from being transported effectively.</w:t>
      </w:r>
    </w:p>
    <w:p w14:paraId="52BA8068" w14:textId="765A0793" w:rsidR="000375D7" w:rsidRDefault="000375D7" w:rsidP="000375D7">
      <w:pPr>
        <w:spacing w:after="160" w:line="360" w:lineRule="auto"/>
        <w:jc w:val="both"/>
      </w:pPr>
      <w:r>
        <w:lastRenderedPageBreak/>
        <w:t>• Political instability in important producing regions might give rise to geopolitical conflicts that could impair the supply chain. Unpredictable price hikes might be brought on by disagreements over transit routes, geopolitical tensions, or the application of sanctions against large gas producers.</w:t>
      </w:r>
    </w:p>
    <w:p w14:paraId="2E43CA64" w14:textId="0861BB62" w:rsidR="000375D7" w:rsidRDefault="000375D7" w:rsidP="000375D7">
      <w:pPr>
        <w:spacing w:after="160" w:line="360" w:lineRule="auto"/>
        <w:jc w:val="both"/>
      </w:pPr>
      <w:r>
        <w:t>• It</w:t>
      </w:r>
      <w:r>
        <w:rPr>
          <w:lang w:val="en-US"/>
        </w:rPr>
        <w:t xml:space="preserve"> is</w:t>
      </w:r>
      <w:r>
        <w:t xml:space="preserve"> important to consider how tighter environmental laws can affect the development of gas reserves. Tight compliance with specifications might raise production costs, affecting the ultimate cost.</w:t>
      </w:r>
    </w:p>
    <w:p w14:paraId="2A7CE428" w14:textId="77777777" w:rsidR="0070344E" w:rsidRDefault="0070344E" w:rsidP="0070344E">
      <w:pPr>
        <w:spacing w:after="160" w:line="360" w:lineRule="auto"/>
        <w:jc w:val="both"/>
      </w:pPr>
    </w:p>
    <w:p w14:paraId="64EEA693" w14:textId="77777777" w:rsidR="00F76073" w:rsidRPr="00A26FC1" w:rsidRDefault="009D39A8">
      <w:pPr>
        <w:spacing w:after="160" w:line="360" w:lineRule="auto"/>
        <w:jc w:val="both"/>
      </w:pPr>
      <w:r w:rsidRPr="00A26FC1">
        <w:t>Instances in the Real World:</w:t>
      </w:r>
    </w:p>
    <w:p w14:paraId="64EEA694" w14:textId="161F5773" w:rsidR="00F76073" w:rsidRDefault="009D39A8">
      <w:pPr>
        <w:numPr>
          <w:ilvl w:val="0"/>
          <w:numId w:val="5"/>
        </w:numPr>
        <w:pBdr>
          <w:left w:val="none" w:sz="0" w:space="1" w:color="auto"/>
        </w:pBdr>
        <w:spacing w:line="360" w:lineRule="auto"/>
        <w:jc w:val="both"/>
        <w:rPr>
          <w:rFonts w:ascii="serif" w:eastAsia="serif" w:hAnsi="serif" w:cs="serif"/>
        </w:rPr>
      </w:pPr>
      <w:r>
        <w:t xml:space="preserve">The continuing gas issues between Ukraine and Russia regarding the pricing of natural gas and the selection of transit routes have resulted in interruptions in </w:t>
      </w:r>
      <w:r w:rsidR="00B41912">
        <w:t>gas delivery</w:t>
      </w:r>
      <w:r>
        <w:t xml:space="preserve"> to Europe. The ongoing geopolitical tension has resulted in price changes, affecting consumers and energy corporations.</w:t>
      </w:r>
    </w:p>
    <w:p w14:paraId="64EEA695" w14:textId="58096B78" w:rsidR="00F76073" w:rsidRPr="008C6F59" w:rsidRDefault="009D39A8">
      <w:pPr>
        <w:numPr>
          <w:ilvl w:val="0"/>
          <w:numId w:val="5"/>
        </w:numPr>
        <w:pBdr>
          <w:left w:val="none" w:sz="0" w:space="1" w:color="auto"/>
        </w:pBdr>
        <w:spacing w:after="160" w:line="360" w:lineRule="auto"/>
        <w:jc w:val="both"/>
        <w:rPr>
          <w:rFonts w:ascii="serif" w:eastAsia="serif" w:hAnsi="serif" w:cs="serif"/>
        </w:rPr>
      </w:pPr>
      <w:r>
        <w:t>Climate-related disruptions may significantly impact the transportation and distribution of natural and liquefied natural gas (LNG). Severe weather phenomena</w:t>
      </w:r>
      <w:r w:rsidR="00B41912">
        <w:t xml:space="preserve"> like hurricanes or severe cold snaps</w:t>
      </w:r>
      <w:r>
        <w:t xml:space="preserve"> can disrupt these processes. Frequently, these interruptions produce heightened demand, thus causing price fluctuations.</w:t>
      </w:r>
    </w:p>
    <w:p w14:paraId="1876CC8B" w14:textId="77777777" w:rsidR="008C6F59" w:rsidRDefault="008C6F59" w:rsidP="008C6F59">
      <w:pPr>
        <w:pBdr>
          <w:left w:val="none" w:sz="0" w:space="1" w:color="auto"/>
        </w:pBdr>
        <w:spacing w:after="160" w:line="360" w:lineRule="auto"/>
        <w:ind w:left="720"/>
        <w:jc w:val="both"/>
        <w:rPr>
          <w:rFonts w:ascii="serif" w:eastAsia="serif" w:hAnsi="serif" w:cs="serif"/>
        </w:rPr>
      </w:pPr>
    </w:p>
    <w:p w14:paraId="64EEA696" w14:textId="77777777" w:rsidR="00F76073" w:rsidRPr="00A26FC1" w:rsidRDefault="009D39A8">
      <w:pPr>
        <w:spacing w:after="160" w:line="360" w:lineRule="auto"/>
        <w:jc w:val="both"/>
      </w:pPr>
      <w:r w:rsidRPr="00A26FC1">
        <w:t>Price volatility and interruptions may have many consequences:</w:t>
      </w:r>
    </w:p>
    <w:p w14:paraId="69DB411A" w14:textId="47CE021F" w:rsidR="00CB3DD6" w:rsidRDefault="00CB3DD6" w:rsidP="00CB3DD6">
      <w:pPr>
        <w:pStyle w:val="ListParagraph"/>
        <w:numPr>
          <w:ilvl w:val="0"/>
          <w:numId w:val="14"/>
        </w:numPr>
        <w:spacing w:after="160" w:line="360" w:lineRule="auto"/>
        <w:jc w:val="both"/>
      </w:pPr>
      <w:r>
        <w:t xml:space="preserve">Energy consumers may incur additional expenses </w:t>
      </w:r>
      <w:r w:rsidR="009664F1">
        <w:t>due to</w:t>
      </w:r>
      <w:r>
        <w:t xml:space="preserve"> supply interruptions. This can lead to increased household expenditures and disrupt industrial operations.</w:t>
      </w:r>
    </w:p>
    <w:p w14:paraId="1B5D753D" w14:textId="77777777" w:rsidR="00CB3DD6" w:rsidRDefault="00CB3DD6" w:rsidP="00CB3DD6">
      <w:pPr>
        <w:pStyle w:val="ListParagraph"/>
        <w:numPr>
          <w:ilvl w:val="0"/>
          <w:numId w:val="14"/>
        </w:numPr>
        <w:spacing w:after="160" w:line="360" w:lineRule="auto"/>
        <w:jc w:val="both"/>
      </w:pPr>
      <w:r>
        <w:t>Investment ambiguity is a consequence of geopolitical instability or regulatory changes that impact the energy industry. As a result, organizations are reluctant to allocate resources towards exploration and infrastructure development endeavors.</w:t>
      </w:r>
    </w:p>
    <w:p w14:paraId="7852A4C7" w14:textId="37606546" w:rsidR="00CB3DD6" w:rsidRDefault="00CB3DD6" w:rsidP="00CB3DD6">
      <w:pPr>
        <w:pStyle w:val="ListParagraph"/>
        <w:numPr>
          <w:ilvl w:val="0"/>
          <w:numId w:val="14"/>
        </w:numPr>
        <w:spacing w:after="160" w:line="360" w:lineRule="auto"/>
        <w:jc w:val="both"/>
      </w:pPr>
      <w:r>
        <w:t xml:space="preserve">Diversification strategies are employed across multiple nations </w:t>
      </w:r>
      <w:r w:rsidR="009664F1">
        <w:t>to mitigate</w:t>
      </w:r>
      <w:r>
        <w:t xml:space="preserve"> the risks linked to price fluctuations and disruptions </w:t>
      </w:r>
      <w:r w:rsidR="00FF1018">
        <w:t>by expanding</w:t>
      </w:r>
      <w:r>
        <w:t xml:space="preserve"> energy sources and supply chains.</w:t>
      </w:r>
    </w:p>
    <w:p w14:paraId="64EEA69B" w14:textId="56FAA9F0" w:rsidR="00F76073" w:rsidRDefault="00CB3DD6" w:rsidP="00CB3DD6">
      <w:pPr>
        <w:pStyle w:val="ListParagraph"/>
        <w:numPr>
          <w:ilvl w:val="0"/>
          <w:numId w:val="14"/>
        </w:numPr>
        <w:spacing w:after="160" w:line="360" w:lineRule="auto"/>
        <w:jc w:val="both"/>
      </w:pPr>
      <w:r>
        <w:lastRenderedPageBreak/>
        <w:t xml:space="preserve">The importance of energy resilience is emphasized by incidents that reveal the susceptibilities of energy systems. Such incidents underscore the </w:t>
      </w:r>
      <w:r w:rsidR="009664F1">
        <w:t>need to develop a resilient energy infrastructure and fortify</w:t>
      </w:r>
      <w:r>
        <w:t xml:space="preserve"> cybersecurity protocols.</w:t>
      </w:r>
    </w:p>
    <w:p w14:paraId="5C0FBE76" w14:textId="77777777" w:rsidR="00DF6383" w:rsidRDefault="00FF1018" w:rsidP="00DF6383">
      <w:pPr>
        <w:spacing w:after="160" w:line="360" w:lineRule="auto"/>
        <w:jc w:val="both"/>
      </w:pPr>
      <w:r>
        <w:t>Price volatility and interruptions in the LNG and natural gas sectors are complex phenomena with wide-ranging effects</w:t>
      </w:r>
      <w:r w:rsidR="00236EA7" w:rsidRPr="00236EA7">
        <w:t xml:space="preserve">. Implementing a comprehensive plan that includes infrastructure development, international collaboration, and </w:t>
      </w:r>
      <w:r w:rsidR="00236EA7">
        <w:t>creating</w:t>
      </w:r>
      <w:r w:rsidR="00236EA7" w:rsidRPr="00236EA7">
        <w:t xml:space="preserve"> a robust energy policy is necessary to </w:t>
      </w:r>
      <w:r w:rsidR="00236EA7">
        <w:t>address and ensure a stable and secure energy supply effectively</w:t>
      </w:r>
      <w:r w:rsidR="00236EA7" w:rsidRPr="00236EA7">
        <w:t>. All sorts of disturbances, including restrictions placed at different points in the supply chain, might lead to price volatility. Due to supply and demand imbalances, price rises are likely to occur during times of infrastructural limitations or geopolitical unrest.</w:t>
      </w:r>
      <w:bookmarkStart w:id="15" w:name="_Toc149527154"/>
    </w:p>
    <w:p w14:paraId="5219CA10" w14:textId="77777777" w:rsidR="00085B9D" w:rsidRDefault="00085B9D" w:rsidP="00DF6383">
      <w:pPr>
        <w:spacing w:after="160" w:line="360" w:lineRule="auto"/>
        <w:jc w:val="both"/>
      </w:pPr>
    </w:p>
    <w:p w14:paraId="64EEA69E" w14:textId="66F4A2E3" w:rsidR="00F76073" w:rsidRDefault="0079678A" w:rsidP="00DF6383">
      <w:pPr>
        <w:spacing w:after="160" w:line="360" w:lineRule="auto"/>
        <w:jc w:val="both"/>
        <w:rPr>
          <w:b/>
          <w:bCs/>
        </w:rPr>
      </w:pPr>
      <w:r w:rsidRPr="00085B9D">
        <w:rPr>
          <w:b/>
          <w:bCs/>
          <w:lang w:val="en-US"/>
        </w:rPr>
        <w:t>6</w:t>
      </w:r>
      <w:r w:rsidR="009D39A8" w:rsidRPr="00085B9D">
        <w:rPr>
          <w:b/>
          <w:bCs/>
        </w:rPr>
        <w:t>.2. Impact of Geopolitical Tensions on Price Fluctuations</w:t>
      </w:r>
      <w:bookmarkEnd w:id="15"/>
    </w:p>
    <w:p w14:paraId="07DF98F0" w14:textId="77777777" w:rsidR="00085B9D" w:rsidRDefault="00085B9D" w:rsidP="009816D1">
      <w:pPr>
        <w:pStyle w:val="Heading2"/>
        <w:keepLines/>
        <w:spacing w:before="40" w:line="360" w:lineRule="auto"/>
        <w:jc w:val="both"/>
        <w:rPr>
          <w:b w:val="0"/>
          <w:bCs w:val="0"/>
          <w:iCs w:val="0"/>
          <w:sz w:val="24"/>
          <w:szCs w:val="24"/>
        </w:rPr>
      </w:pPr>
      <w:bookmarkStart w:id="16" w:name="_Toc149527155"/>
      <w:r w:rsidRPr="00CC1AA4">
        <w:rPr>
          <w:b w:val="0"/>
          <w:bCs w:val="0"/>
          <w:iCs w:val="0"/>
          <w:sz w:val="24"/>
          <w:szCs w:val="24"/>
        </w:rPr>
        <w:t xml:space="preserve">Geopolitical unrest has a significant effect on natural gas and liquefied natural gas (LNG) prices. Events from history and the present day provide strong evidence of how geopolitical variables may cause significant fluctuations in supply and pricing. Over the ages, geopolitical wars have had a significant impact on changes in both pricing and availability. Sanctions against large gas suppliers, </w:t>
      </w:r>
      <w:r>
        <w:rPr>
          <w:b w:val="0"/>
          <w:bCs w:val="0"/>
          <w:iCs w:val="0"/>
          <w:sz w:val="24"/>
          <w:szCs w:val="24"/>
        </w:rPr>
        <w:t>changes in international relations</w:t>
      </w:r>
      <w:r w:rsidRPr="00CC1AA4">
        <w:rPr>
          <w:b w:val="0"/>
          <w:bCs w:val="0"/>
          <w:iCs w:val="0"/>
          <w:sz w:val="24"/>
          <w:szCs w:val="24"/>
        </w:rPr>
        <w:t>, and conflict are all possible sources of significant price variations that might change the dynamics of supply and demand. This section looks at how geopolitical events, both past and present, have affected market patterns.</w:t>
      </w:r>
    </w:p>
    <w:p w14:paraId="599B7900" w14:textId="77777777" w:rsidR="00853BD6" w:rsidRPr="00853BD6" w:rsidRDefault="00853BD6" w:rsidP="00853BD6"/>
    <w:p w14:paraId="27FAE4C3" w14:textId="77777777" w:rsidR="00085B9D" w:rsidRPr="00CC1AA4" w:rsidRDefault="00085B9D" w:rsidP="009816D1">
      <w:pPr>
        <w:pStyle w:val="Heading2"/>
        <w:keepLines/>
        <w:spacing w:before="40" w:line="360" w:lineRule="auto"/>
        <w:jc w:val="both"/>
        <w:rPr>
          <w:b w:val="0"/>
          <w:bCs w:val="0"/>
          <w:iCs w:val="0"/>
          <w:sz w:val="24"/>
          <w:szCs w:val="24"/>
        </w:rPr>
      </w:pPr>
      <w:r w:rsidRPr="00CC1AA4">
        <w:rPr>
          <w:b w:val="0"/>
          <w:bCs w:val="0"/>
          <w:iCs w:val="0"/>
          <w:sz w:val="24"/>
          <w:szCs w:val="24"/>
        </w:rPr>
        <w:t xml:space="preserve">Historical geopolitical events are significant international relations and political geography situations that have had an influence on history. </w:t>
      </w:r>
    </w:p>
    <w:p w14:paraId="5F26E1CF" w14:textId="4F7D5EF0" w:rsidR="00085B9D" w:rsidRDefault="00085B9D" w:rsidP="009816D1">
      <w:pPr>
        <w:pStyle w:val="Heading2"/>
        <w:keepLines/>
        <w:numPr>
          <w:ilvl w:val="0"/>
          <w:numId w:val="19"/>
        </w:numPr>
        <w:spacing w:before="40" w:line="360" w:lineRule="auto"/>
        <w:jc w:val="both"/>
        <w:rPr>
          <w:b w:val="0"/>
          <w:bCs w:val="0"/>
          <w:iCs w:val="0"/>
          <w:sz w:val="24"/>
          <w:szCs w:val="24"/>
        </w:rPr>
      </w:pPr>
      <w:r w:rsidRPr="00CC1AA4">
        <w:rPr>
          <w:b w:val="0"/>
          <w:bCs w:val="0"/>
          <w:iCs w:val="0"/>
          <w:sz w:val="24"/>
          <w:szCs w:val="24"/>
        </w:rPr>
        <w:t xml:space="preserve">The gas issues between Russia and Ukraine highlight Russia's significant energy predominance in the area and are a frequent source of tension in Europe. The gas disputes between Russia and Ukraine caused significant disruptions to Europe's natural gas supply between 2006 and 2009 (Richter &amp; Holz, 2015). </w:t>
      </w:r>
    </w:p>
    <w:p w14:paraId="742EAEF5" w14:textId="77777777" w:rsidR="009816D1" w:rsidRPr="009816D1" w:rsidRDefault="009816D1" w:rsidP="009816D1"/>
    <w:p w14:paraId="71B19B49" w14:textId="5AE7F658" w:rsidR="00085B9D" w:rsidRDefault="00085B9D" w:rsidP="009816D1">
      <w:pPr>
        <w:pStyle w:val="Heading2"/>
        <w:keepLines/>
        <w:numPr>
          <w:ilvl w:val="0"/>
          <w:numId w:val="18"/>
        </w:numPr>
        <w:spacing w:before="40" w:line="360" w:lineRule="auto"/>
        <w:rPr>
          <w:b w:val="0"/>
          <w:bCs w:val="0"/>
          <w:iCs w:val="0"/>
          <w:sz w:val="24"/>
          <w:szCs w:val="24"/>
        </w:rPr>
      </w:pPr>
      <w:r w:rsidRPr="00CC1AA4">
        <w:rPr>
          <w:b w:val="0"/>
          <w:bCs w:val="0"/>
          <w:iCs w:val="0"/>
          <w:sz w:val="24"/>
          <w:szCs w:val="24"/>
        </w:rPr>
        <w:lastRenderedPageBreak/>
        <w:t xml:space="preserve">One example of how geopolitical events have affected the energy markets, especially the oil market, is the 1973 OPEC Oil Embargo (Krane &amp; Medlock III, 2018). These disputes exposed the susceptibility of European energy security to geopolitical pressures and led to significant price hikes. The Yom Kippur War and other geopolitical tensions led to an oil embargo imposed by OPEC nations, which in turn caused a significant spike in oil prices and exacerbated the energy crisis. </w:t>
      </w:r>
    </w:p>
    <w:p w14:paraId="459F3E99" w14:textId="1B4D9927" w:rsidR="00085B9D" w:rsidRDefault="00085B9D" w:rsidP="00E55912">
      <w:pPr>
        <w:pStyle w:val="Heading2"/>
        <w:keepLines/>
        <w:spacing w:before="40" w:line="360" w:lineRule="auto"/>
        <w:jc w:val="both"/>
        <w:rPr>
          <w:b w:val="0"/>
          <w:bCs w:val="0"/>
          <w:iCs w:val="0"/>
          <w:sz w:val="24"/>
          <w:szCs w:val="24"/>
        </w:rPr>
      </w:pPr>
      <w:r w:rsidRPr="00CC1AA4">
        <w:rPr>
          <w:b w:val="0"/>
          <w:bCs w:val="0"/>
          <w:iCs w:val="0"/>
          <w:sz w:val="24"/>
          <w:szCs w:val="24"/>
        </w:rPr>
        <w:t xml:space="preserve">Russia's energy industry has been impacted by Western sanctions imposed on </w:t>
      </w:r>
      <w:r w:rsidR="00E55912">
        <w:rPr>
          <w:b w:val="0"/>
          <w:bCs w:val="0"/>
          <w:iCs w:val="0"/>
          <w:sz w:val="24"/>
          <w:szCs w:val="24"/>
        </w:rPr>
        <w:t>it</w:t>
      </w:r>
      <w:r w:rsidRPr="00CC1AA4">
        <w:rPr>
          <w:b w:val="0"/>
          <w:bCs w:val="0"/>
          <w:iCs w:val="0"/>
          <w:sz w:val="24"/>
          <w:szCs w:val="24"/>
        </w:rPr>
        <w:t xml:space="preserve"> in response </w:t>
      </w:r>
      <w:r w:rsidR="00E55912">
        <w:rPr>
          <w:b w:val="0"/>
          <w:bCs w:val="0"/>
          <w:iCs w:val="0"/>
          <w:sz w:val="24"/>
          <w:szCs w:val="24"/>
        </w:rPr>
        <w:t>to</w:t>
      </w:r>
      <w:r w:rsidRPr="00CC1AA4">
        <w:rPr>
          <w:b w:val="0"/>
          <w:bCs w:val="0"/>
          <w:iCs w:val="0"/>
          <w:sz w:val="24"/>
          <w:szCs w:val="24"/>
        </w:rPr>
        <w:t xml:space="preserve"> its activities in Ukraine and other geopolitical issues (Chen et al., 2023). Russia's access to international energy markets may be hampered by the sanctions, which might </w:t>
      </w:r>
      <w:r w:rsidR="00E55912">
        <w:rPr>
          <w:b w:val="0"/>
          <w:bCs w:val="0"/>
          <w:iCs w:val="0"/>
          <w:sz w:val="24"/>
          <w:szCs w:val="24"/>
        </w:rPr>
        <w:t>impact</w:t>
      </w:r>
      <w:r w:rsidRPr="00CC1AA4">
        <w:rPr>
          <w:b w:val="0"/>
          <w:bCs w:val="0"/>
          <w:iCs w:val="0"/>
          <w:sz w:val="24"/>
          <w:szCs w:val="24"/>
        </w:rPr>
        <w:t xml:space="preserve"> supply and pricing dynamics. Variations in the price of natural gas might be impacted by ongoing geopolitical tensions and wars in the Middle East, particularly in the oil-producing nations (</w:t>
      </w:r>
      <w:proofErr w:type="spellStart"/>
      <w:r w:rsidRPr="00CC1AA4">
        <w:rPr>
          <w:b w:val="0"/>
          <w:bCs w:val="0"/>
          <w:iCs w:val="0"/>
          <w:sz w:val="24"/>
          <w:szCs w:val="24"/>
        </w:rPr>
        <w:t>Ahram</w:t>
      </w:r>
      <w:proofErr w:type="spellEnd"/>
      <w:r w:rsidRPr="00CC1AA4">
        <w:rPr>
          <w:b w:val="0"/>
          <w:bCs w:val="0"/>
          <w:iCs w:val="0"/>
          <w:sz w:val="24"/>
          <w:szCs w:val="24"/>
        </w:rPr>
        <w:t>, 2020). Ambiguity in the domain can cause supply chain interruptions, which might result in higher pricing. Resilient infrastructure, international cooperation, and diversified energy supplies are essential for mitigating the significant influence of geopolitical tensions on price swings. Prioritizing energy security measures and creating backup plans are necessary for effectively reducing the impact of such disasters on the energy market. The cost and availability of natural gas, as well as LNG, are significantly impacted by past and present geopolitical tensions and wars. Understanding these occurrences and their possible effects is crucial for energy stakeholders and policymakers to guarantee the stability and security of the energy supply.</w:t>
      </w:r>
    </w:p>
    <w:p w14:paraId="09314FD3" w14:textId="1FEAD9F9" w:rsidR="00085B9D" w:rsidRDefault="00085B9D" w:rsidP="00027AA4">
      <w:pPr>
        <w:pStyle w:val="Heading2"/>
        <w:keepLines/>
        <w:spacing w:before="40" w:after="0" w:line="360" w:lineRule="auto"/>
      </w:pPr>
      <w:r>
        <w:rPr>
          <w:iCs w:val="0"/>
          <w:sz w:val="24"/>
          <w:szCs w:val="24"/>
          <w:lang w:val="en-US"/>
        </w:rPr>
        <w:t>6</w:t>
      </w:r>
      <w:r>
        <w:rPr>
          <w:iCs w:val="0"/>
          <w:sz w:val="24"/>
          <w:szCs w:val="24"/>
        </w:rPr>
        <w:t>.3. Influence of Environmental Regulations on Escalation of Costs</w:t>
      </w:r>
      <w:bookmarkEnd w:id="16"/>
    </w:p>
    <w:p w14:paraId="3CE1B8DE" w14:textId="30222563" w:rsidR="007B56EE" w:rsidRDefault="007B56EE" w:rsidP="00027AA4">
      <w:pPr>
        <w:pStyle w:val="Heading1"/>
        <w:keepLines/>
        <w:spacing w:after="0" w:line="360" w:lineRule="auto"/>
        <w:jc w:val="both"/>
        <w:rPr>
          <w:b w:val="0"/>
          <w:bCs w:val="0"/>
          <w:kern w:val="0"/>
          <w:sz w:val="24"/>
          <w:szCs w:val="24"/>
          <w:lang w:val="en-US"/>
        </w:rPr>
      </w:pPr>
      <w:bookmarkStart w:id="17" w:name="_Toc149527156"/>
      <w:r w:rsidRPr="007B56EE">
        <w:rPr>
          <w:b w:val="0"/>
          <w:bCs w:val="0"/>
          <w:kern w:val="0"/>
          <w:sz w:val="24"/>
          <w:szCs w:val="24"/>
        </w:rPr>
        <w:t xml:space="preserve">There is recorded evidence </w:t>
      </w:r>
      <w:r>
        <w:rPr>
          <w:b w:val="0"/>
          <w:bCs w:val="0"/>
          <w:kern w:val="0"/>
          <w:sz w:val="24"/>
          <w:szCs w:val="24"/>
        </w:rPr>
        <w:t>of</w:t>
      </w:r>
      <w:r w:rsidRPr="007B56EE">
        <w:rPr>
          <w:b w:val="0"/>
          <w:bCs w:val="0"/>
          <w:kern w:val="0"/>
          <w:sz w:val="24"/>
          <w:szCs w:val="24"/>
        </w:rPr>
        <w:t xml:space="preserve"> how </w:t>
      </w:r>
      <w:r>
        <w:rPr>
          <w:b w:val="0"/>
          <w:bCs w:val="0"/>
          <w:kern w:val="0"/>
          <w:sz w:val="24"/>
          <w:szCs w:val="24"/>
        </w:rPr>
        <w:t>implementing</w:t>
      </w:r>
      <w:r w:rsidRPr="007B56EE">
        <w:rPr>
          <w:b w:val="0"/>
          <w:bCs w:val="0"/>
          <w:kern w:val="0"/>
          <w:sz w:val="24"/>
          <w:szCs w:val="24"/>
        </w:rPr>
        <w:t xml:space="preserve"> environmental standards affects pricing dynamics and manufacturing costs (Wu, Hao &amp; Ren, 2020). Customers may pay more if a business uses environmentally friendly technology </w:t>
      </w:r>
      <w:r>
        <w:rPr>
          <w:b w:val="0"/>
          <w:bCs w:val="0"/>
          <w:kern w:val="0"/>
          <w:sz w:val="24"/>
          <w:szCs w:val="24"/>
        </w:rPr>
        <w:t>to</w:t>
      </w:r>
      <w:r w:rsidRPr="007B56EE">
        <w:rPr>
          <w:b w:val="0"/>
          <w:bCs w:val="0"/>
          <w:kern w:val="0"/>
          <w:sz w:val="24"/>
          <w:szCs w:val="24"/>
        </w:rPr>
        <w:t xml:space="preserve"> comply with rules (</w:t>
      </w:r>
      <w:proofErr w:type="spellStart"/>
      <w:r w:rsidRPr="007B56EE">
        <w:rPr>
          <w:b w:val="0"/>
          <w:bCs w:val="0"/>
          <w:kern w:val="0"/>
          <w:sz w:val="24"/>
          <w:szCs w:val="24"/>
        </w:rPr>
        <w:t>Albitar</w:t>
      </w:r>
      <w:proofErr w:type="spellEnd"/>
      <w:r w:rsidRPr="007B56EE">
        <w:rPr>
          <w:b w:val="0"/>
          <w:bCs w:val="0"/>
          <w:kern w:val="0"/>
          <w:sz w:val="24"/>
          <w:szCs w:val="24"/>
        </w:rPr>
        <w:t xml:space="preserve"> et al., 2023; Khan, Yu &amp; Farooq, 2023). Understanding how environmental concerns and regulatory developments affect natural gas and LNG pricing strategies is essential if you want to make informed decisions and spot cost-saving possibilities.</w:t>
      </w:r>
      <w:r w:rsidR="00027AA4">
        <w:rPr>
          <w:b w:val="0"/>
          <w:bCs w:val="0"/>
          <w:kern w:val="0"/>
          <w:sz w:val="24"/>
          <w:szCs w:val="24"/>
          <w:lang w:val="en-US"/>
        </w:rPr>
        <w:t>\</w:t>
      </w:r>
    </w:p>
    <w:p w14:paraId="01D8CC62" w14:textId="77777777" w:rsidR="00027AA4" w:rsidRPr="00027AA4" w:rsidRDefault="00027AA4" w:rsidP="00027AA4">
      <w:pPr>
        <w:rPr>
          <w:lang w:val="en-US"/>
        </w:rPr>
      </w:pPr>
    </w:p>
    <w:p w14:paraId="522E2532" w14:textId="62C1B8F7" w:rsidR="00085B9D" w:rsidRPr="001F1371" w:rsidRDefault="00085B9D" w:rsidP="00085B9D">
      <w:pPr>
        <w:pStyle w:val="Heading1"/>
        <w:keepLines/>
        <w:spacing w:after="0" w:line="360" w:lineRule="auto"/>
      </w:pPr>
      <w:r>
        <w:rPr>
          <w:sz w:val="24"/>
          <w:szCs w:val="24"/>
          <w:lang w:val="en-US"/>
        </w:rPr>
        <w:t>7</w:t>
      </w:r>
      <w:r>
        <w:rPr>
          <w:sz w:val="24"/>
          <w:szCs w:val="24"/>
        </w:rPr>
        <w:t>. Conclusion and Future Trends</w:t>
      </w:r>
      <w:bookmarkEnd w:id="17"/>
    </w:p>
    <w:p w14:paraId="4F55E3AD" w14:textId="77777777" w:rsidR="00085B9D" w:rsidRDefault="00085B9D" w:rsidP="00085B9D">
      <w:pPr>
        <w:spacing w:after="160"/>
        <w:jc w:val="both"/>
        <w:rPr>
          <w:b/>
          <w:bCs/>
        </w:rPr>
      </w:pPr>
      <w:r>
        <w:rPr>
          <w:b/>
          <w:bCs/>
          <w:lang w:val="en-US"/>
        </w:rPr>
        <w:t xml:space="preserve">7.1 </w:t>
      </w:r>
      <w:r w:rsidRPr="001F1371">
        <w:rPr>
          <w:b/>
          <w:bCs/>
        </w:rPr>
        <w:t>Conclusion:</w:t>
      </w:r>
    </w:p>
    <w:p w14:paraId="404D9524" w14:textId="529577D0" w:rsidR="00015C8C" w:rsidRDefault="00015C8C" w:rsidP="00015C8C">
      <w:pPr>
        <w:spacing w:after="160" w:line="360" w:lineRule="auto"/>
        <w:jc w:val="both"/>
      </w:pPr>
      <w:r>
        <w:lastRenderedPageBreak/>
        <w:t xml:space="preserve">The results show how important these resources are in the ever-changing global energy industry when looking at the natural gas and liquefied natural gas (LNG) markets </w:t>
      </w:r>
      <w:r w:rsidR="009F04C9">
        <w:t>worldwide</w:t>
      </w:r>
      <w:r>
        <w:t>. The market's enormous size and quick development highlight how important natural gas and LNG are to meeting the world's energy needs. A multitude of factors, including developments in technology and geopolitical influences, have an impact on the intricate relationship between supply, demand, and price in this market.</w:t>
      </w:r>
      <w:r>
        <w:rPr>
          <w:lang w:val="en-US"/>
        </w:rPr>
        <w:t xml:space="preserve"> </w:t>
      </w:r>
      <w:r>
        <w:t>LNG and natural gas are becoming more widely acknowledged as crucial components of transitional energy solutions in the pursuit of energy sustainability and source shift. Stakeholders need to be adaptable and cautious since the interplay of geopolitical issues, market pressures, and technical improvements determines this sector's future.</w:t>
      </w:r>
      <w:r>
        <w:rPr>
          <w:lang w:val="en-US"/>
        </w:rPr>
        <w:t xml:space="preserve"> </w:t>
      </w:r>
      <w:r>
        <w:t xml:space="preserve">The findings of this study </w:t>
      </w:r>
      <w:r>
        <w:rPr>
          <w:lang w:val="en-US"/>
        </w:rPr>
        <w:t xml:space="preserve">further </w:t>
      </w:r>
      <w:r>
        <w:t xml:space="preserve">indicate that a proactive and comprehensive approach is necessary to successfully negotiate the complexity of the natural gas and LNG market. </w:t>
      </w:r>
      <w:r w:rsidR="000514F6">
        <w:t>Besides</w:t>
      </w:r>
      <w:r>
        <w:t xml:space="preserve"> </w:t>
      </w:r>
      <w:r w:rsidR="000514F6">
        <w:t>assessing</w:t>
      </w:r>
      <w:r>
        <w:t xml:space="preserve"> current market conditions, </w:t>
      </w:r>
      <w:r w:rsidR="000514F6">
        <w:t>policymakers</w:t>
      </w:r>
      <w:r>
        <w:t>, business executives, and investors need to anticipate future trends and experiences in advance. International collaboration driven by a commitment to resilience and sustainability will be necessary to maintain the natural gas and LNG market's stability and effectiveness in the face of the world's constantly shifting energy needs.</w:t>
      </w:r>
    </w:p>
    <w:p w14:paraId="00E4B056" w14:textId="77777777" w:rsidR="00085B9D" w:rsidRPr="001F1371" w:rsidRDefault="00085B9D" w:rsidP="00085B9D">
      <w:pPr>
        <w:spacing w:after="160"/>
        <w:jc w:val="both"/>
        <w:rPr>
          <w:b/>
          <w:bCs/>
        </w:rPr>
      </w:pPr>
    </w:p>
    <w:p w14:paraId="604D721C" w14:textId="77777777" w:rsidR="00085B9D" w:rsidRDefault="00085B9D" w:rsidP="00085B9D">
      <w:pPr>
        <w:spacing w:after="160" w:line="360" w:lineRule="auto"/>
        <w:jc w:val="both"/>
      </w:pPr>
      <w:r>
        <w:rPr>
          <w:b/>
          <w:bCs/>
          <w:lang w:val="en-US"/>
        </w:rPr>
        <w:t xml:space="preserve">7.2 </w:t>
      </w:r>
      <w:r>
        <w:rPr>
          <w:b/>
          <w:bCs/>
        </w:rPr>
        <w:t>Future Trends:</w:t>
      </w:r>
    </w:p>
    <w:p w14:paraId="161F9616" w14:textId="77777777" w:rsidR="00085B9D" w:rsidRDefault="00085B9D" w:rsidP="00085B9D">
      <w:pPr>
        <w:pStyle w:val="ListParagraph"/>
        <w:numPr>
          <w:ilvl w:val="0"/>
          <w:numId w:val="15"/>
        </w:numPr>
        <w:spacing w:after="160" w:line="360" w:lineRule="auto"/>
        <w:jc w:val="both"/>
      </w:pPr>
      <w:r>
        <w:t>Prospects Analysis of the Future Liquefied Natural Gas (LNG) Market</w:t>
      </w:r>
    </w:p>
    <w:p w14:paraId="1D7B6CDA" w14:textId="7F76B9D8" w:rsidR="00F872F6" w:rsidRDefault="00C84107" w:rsidP="00085B9D">
      <w:pPr>
        <w:spacing w:after="160" w:line="360" w:lineRule="auto"/>
        <w:jc w:val="both"/>
      </w:pPr>
      <w:r w:rsidRPr="00C84107">
        <w:t xml:space="preserve">The </w:t>
      </w:r>
      <w:r w:rsidR="00853BD6">
        <w:t>LNG and natural gas (LNG) markets will likely</w:t>
      </w:r>
      <w:r w:rsidRPr="00C84107">
        <w:t xml:space="preserve"> see significant shifts in the upcoming years. The sector might undergo significant changes, one of which could be </w:t>
      </w:r>
      <w:r w:rsidR="00F872F6">
        <w:t>increased</w:t>
      </w:r>
      <w:r w:rsidRPr="00C84107">
        <w:t xml:space="preserve"> capacity for liquefaction. The projected growth in the demand for liquefied natural gas (LNG) </w:t>
      </w:r>
      <w:r w:rsidR="00F872F6">
        <w:t>worldwide</w:t>
      </w:r>
      <w:r w:rsidRPr="00C84107">
        <w:t xml:space="preserve"> is expected to lead to more investment in </w:t>
      </w:r>
      <w:r w:rsidR="00F872F6">
        <w:t>developing</w:t>
      </w:r>
      <w:r w:rsidRPr="00C84107">
        <w:t xml:space="preserve"> liquefaction infrastructure. </w:t>
      </w:r>
      <w:r w:rsidR="00853BD6">
        <w:t>The proposed expansion is anticipated to</w:t>
      </w:r>
      <w:r w:rsidRPr="00C84107">
        <w:t xml:space="preserve"> improve </w:t>
      </w:r>
      <w:r w:rsidR="00F872F6">
        <w:t xml:space="preserve">LNG exports </w:t>
      </w:r>
      <w:r w:rsidRPr="00C84107">
        <w:t>to many international locations. The anticipated advancements in the liquefied natural gas (LNG) business are examined in this section, along with any possible fallout from the expansion of liquefaction capacity.</w:t>
      </w:r>
    </w:p>
    <w:p w14:paraId="0B4DF4E8" w14:textId="77777777" w:rsidR="00A26FC1" w:rsidRDefault="00A26FC1" w:rsidP="00085B9D">
      <w:pPr>
        <w:spacing w:after="160" w:line="360" w:lineRule="auto"/>
        <w:jc w:val="both"/>
      </w:pPr>
    </w:p>
    <w:p w14:paraId="2D2141B7" w14:textId="77777777" w:rsidR="00085B9D" w:rsidRDefault="00085B9D" w:rsidP="00085B9D">
      <w:pPr>
        <w:pStyle w:val="ListParagraph"/>
        <w:numPr>
          <w:ilvl w:val="0"/>
          <w:numId w:val="15"/>
        </w:numPr>
        <w:spacing w:after="160" w:line="360" w:lineRule="auto"/>
        <w:jc w:val="both"/>
      </w:pPr>
      <w:r>
        <w:t>Addressing Transportation Obstacles: Outcome-Successful Strategies</w:t>
      </w:r>
    </w:p>
    <w:p w14:paraId="6D48FD31" w14:textId="0136C9F8" w:rsidR="00085B9D" w:rsidRDefault="00F71D88" w:rsidP="00085B9D">
      <w:pPr>
        <w:spacing w:after="160" w:line="360" w:lineRule="auto"/>
        <w:jc w:val="both"/>
      </w:pPr>
      <w:r w:rsidRPr="00F71D88">
        <w:t xml:space="preserve">The transportation sector will </w:t>
      </w:r>
      <w:r w:rsidR="00730ED0">
        <w:t>focus greatly</w:t>
      </w:r>
      <w:r w:rsidRPr="00F71D88">
        <w:t xml:space="preserve"> on resolving limits in its infrastructure going forward. Pipelines and terminals must be implemented crucially if supply chain activities </w:t>
      </w:r>
      <w:r w:rsidR="00A26FC1">
        <w:t xml:space="preserve">can successfully </w:t>
      </w:r>
      <w:r w:rsidR="00A26FC1">
        <w:lastRenderedPageBreak/>
        <w:t>guarantee</w:t>
      </w:r>
      <w:r w:rsidRPr="00F71D88">
        <w:t xml:space="preserve"> the continuous and efficient transportation of natural gas and liquefied natural gas (LNG). This </w:t>
      </w:r>
      <w:r w:rsidR="00730ED0">
        <w:t>section critically analyses</w:t>
      </w:r>
      <w:r w:rsidRPr="00F71D88">
        <w:t xml:space="preserve"> the many obstacles and business possibilities related to improving transportation infrastructure.</w:t>
      </w:r>
    </w:p>
    <w:p w14:paraId="3B8968E6" w14:textId="77777777" w:rsidR="00730ED0" w:rsidRDefault="00730ED0" w:rsidP="00085B9D">
      <w:pPr>
        <w:spacing w:after="160" w:line="360" w:lineRule="auto"/>
        <w:jc w:val="both"/>
      </w:pPr>
    </w:p>
    <w:p w14:paraId="24263D69" w14:textId="77777777" w:rsidR="00085B9D" w:rsidRDefault="00085B9D" w:rsidP="00085B9D">
      <w:pPr>
        <w:pStyle w:val="ListParagraph"/>
        <w:numPr>
          <w:ilvl w:val="0"/>
          <w:numId w:val="15"/>
        </w:numPr>
        <w:spacing w:after="160" w:line="360" w:lineRule="auto"/>
        <w:jc w:val="both"/>
      </w:pPr>
      <w:r>
        <w:t>Environmental Concerns and the Advancement of Renewable Energy: Their Significance</w:t>
      </w:r>
    </w:p>
    <w:p w14:paraId="190D68A8" w14:textId="6C779B9E" w:rsidR="00D77F4C" w:rsidRPr="00D77F4C" w:rsidRDefault="00D77F4C" w:rsidP="00D77F4C">
      <w:pPr>
        <w:spacing w:line="360" w:lineRule="auto"/>
        <w:jc w:val="both"/>
      </w:pPr>
      <w:r w:rsidRPr="00D77F4C">
        <w:t>The</w:t>
      </w:r>
      <w:r>
        <w:rPr>
          <w:lang w:val="en-US"/>
        </w:rPr>
        <w:t>re is a</w:t>
      </w:r>
      <w:r w:rsidRPr="00D77F4C">
        <w:t xml:space="preserve"> need for immediate action to protect the environment</w:t>
      </w:r>
      <w:r>
        <w:t>,</w:t>
      </w:r>
      <w:r w:rsidRPr="00D77F4C">
        <w:t xml:space="preserve"> and the clean nature of renewable energy sources should be emphasized.</w:t>
      </w:r>
      <w:r w:rsidR="00DD6191">
        <w:rPr>
          <w:lang w:val="en-US"/>
        </w:rPr>
        <w:t xml:space="preserve"> T</w:t>
      </w:r>
      <w:r w:rsidRPr="00D77F4C">
        <w:t xml:space="preserve">he effects of producing renewable energy on the environment </w:t>
      </w:r>
      <w:r w:rsidR="00DD6191">
        <w:t>point</w:t>
      </w:r>
      <w:r w:rsidRPr="00D77F4C">
        <w:t xml:space="preserve"> out that although emissions and effects do happen, they are often less severe than those of </w:t>
      </w:r>
      <w:r w:rsidR="00853BD6">
        <w:t>fossil fuel production</w:t>
      </w:r>
      <w:r w:rsidRPr="00D77F4C">
        <w:t xml:space="preserve">.  </w:t>
      </w:r>
      <w:r w:rsidR="00853BD6">
        <w:rPr>
          <w:lang w:val="en-US"/>
        </w:rPr>
        <w:t>There is</w:t>
      </w:r>
      <w:r w:rsidR="00853BD6" w:rsidRPr="00D77F4C">
        <w:t xml:space="preserve"> </w:t>
      </w:r>
      <w:r w:rsidR="00853BD6">
        <w:t xml:space="preserve">a </w:t>
      </w:r>
      <w:r w:rsidR="00853BD6">
        <w:rPr>
          <w:lang w:val="en-US"/>
        </w:rPr>
        <w:t>high potential</w:t>
      </w:r>
      <w:r w:rsidRPr="00D77F4C">
        <w:t xml:space="preserve"> </w:t>
      </w:r>
      <w:r w:rsidR="00853BD6">
        <w:t>for</w:t>
      </w:r>
      <w:r w:rsidRPr="00D77F4C">
        <w:t xml:space="preserve"> renewable energy </w:t>
      </w:r>
      <w:r w:rsidR="00853BD6">
        <w:rPr>
          <w:lang w:val="en-US"/>
        </w:rPr>
        <w:t>to</w:t>
      </w:r>
      <w:r w:rsidRPr="00D77F4C">
        <w:t xml:space="preserve"> help solve environmental issues, especially </w:t>
      </w:r>
      <w:r>
        <w:t>regarding</w:t>
      </w:r>
      <w:r w:rsidRPr="00D77F4C">
        <w:t xml:space="preserve"> sustainable development. </w:t>
      </w:r>
    </w:p>
    <w:p w14:paraId="4D6958C7" w14:textId="3274AC1B" w:rsidR="00085B9D" w:rsidRDefault="00085B9D" w:rsidP="00085B9D">
      <w:pPr>
        <w:spacing w:after="160" w:line="360" w:lineRule="auto"/>
        <w:jc w:val="both"/>
      </w:pPr>
    </w:p>
    <w:p w14:paraId="15312DD0" w14:textId="77777777" w:rsidR="00B33069" w:rsidRDefault="00B33069" w:rsidP="00085B9D">
      <w:pPr>
        <w:spacing w:after="160" w:line="360" w:lineRule="auto"/>
        <w:jc w:val="both"/>
      </w:pPr>
    </w:p>
    <w:p w14:paraId="5D7FA8C7" w14:textId="77777777" w:rsidR="00085B9D" w:rsidRDefault="00085B9D" w:rsidP="00085B9D">
      <w:pPr>
        <w:pStyle w:val="Heading1"/>
        <w:keepLines/>
        <w:spacing w:after="0" w:line="360" w:lineRule="auto"/>
        <w:jc w:val="center"/>
      </w:pPr>
      <w:bookmarkStart w:id="18" w:name="_Toc149527157"/>
      <w:r>
        <w:rPr>
          <w:sz w:val="24"/>
          <w:szCs w:val="24"/>
        </w:rPr>
        <w:t>References</w:t>
      </w:r>
      <w:bookmarkEnd w:id="18"/>
    </w:p>
    <w:p w14:paraId="057AB602" w14:textId="77777777" w:rsidR="00085B9D" w:rsidRDefault="00085B9D" w:rsidP="00085B9D">
      <w:pPr>
        <w:spacing w:after="160" w:line="360" w:lineRule="auto"/>
        <w:ind w:left="720" w:hanging="720"/>
        <w:jc w:val="both"/>
      </w:pPr>
      <w:proofErr w:type="spellStart"/>
      <w:r>
        <w:t>Ahram</w:t>
      </w:r>
      <w:proofErr w:type="spellEnd"/>
      <w:r>
        <w:t xml:space="preserve">, A. I. (2020). War and conflict in the Middle East and North Africa. </w:t>
      </w:r>
      <w:r>
        <w:rPr>
          <w:i/>
          <w:iCs/>
        </w:rPr>
        <w:t>John Wiley &amp; Sons</w:t>
      </w:r>
      <w:r>
        <w:t>.</w:t>
      </w:r>
    </w:p>
    <w:p w14:paraId="4FA52ACA" w14:textId="77777777" w:rsidR="00085B9D" w:rsidRDefault="00085B9D" w:rsidP="00085B9D">
      <w:pPr>
        <w:spacing w:after="160" w:line="360" w:lineRule="auto"/>
        <w:ind w:left="720" w:hanging="720"/>
        <w:jc w:val="both"/>
      </w:pPr>
      <w:proofErr w:type="spellStart"/>
      <w:r>
        <w:t>Albitar</w:t>
      </w:r>
      <w:proofErr w:type="spellEnd"/>
      <w:r>
        <w:t>, K., Borgi, H., Khan, M., &amp; Zahra, A. (2023). Business environmental innovation and CO2 emissions: The moderating role of environmental governance. </w:t>
      </w:r>
      <w:r>
        <w:rPr>
          <w:i/>
          <w:iCs/>
        </w:rPr>
        <w:t>Business strategy and the environment</w:t>
      </w:r>
      <w:r>
        <w:t>, </w:t>
      </w:r>
      <w:r>
        <w:rPr>
          <w:i/>
          <w:iCs/>
        </w:rPr>
        <w:t>32</w:t>
      </w:r>
      <w:r>
        <w:t>(4), 1996-2007.</w:t>
      </w:r>
    </w:p>
    <w:p w14:paraId="0E676CD7" w14:textId="77777777" w:rsidR="00085B9D" w:rsidRDefault="00085B9D" w:rsidP="00085B9D">
      <w:pPr>
        <w:spacing w:after="160" w:line="360" w:lineRule="auto"/>
        <w:ind w:left="720" w:hanging="720"/>
        <w:jc w:val="both"/>
      </w:pPr>
      <w:proofErr w:type="spellStart"/>
      <w:r>
        <w:t>Anisie</w:t>
      </w:r>
      <w:proofErr w:type="spellEnd"/>
      <w:r>
        <w:t xml:space="preserve">, A. (2014). Natural gas pricing and competitiveness: the impact of natural gas prices upon the industry’s dynamics. Universidad Pontificia </w:t>
      </w:r>
      <w:proofErr w:type="spellStart"/>
      <w:r>
        <w:t>Comillas</w:t>
      </w:r>
      <w:proofErr w:type="spellEnd"/>
    </w:p>
    <w:p w14:paraId="30C72556" w14:textId="77777777" w:rsidR="00085B9D" w:rsidRDefault="00085B9D" w:rsidP="00085B9D">
      <w:pPr>
        <w:spacing w:after="160" w:line="360" w:lineRule="auto"/>
        <w:ind w:left="720" w:hanging="720"/>
        <w:jc w:val="both"/>
      </w:pPr>
      <w:proofErr w:type="spellStart"/>
      <w:r>
        <w:t>Anser</w:t>
      </w:r>
      <w:proofErr w:type="spellEnd"/>
      <w:r>
        <w:t>, M. K., Syed, Q. R., Lean, H. H., Alola, A. A., &amp; Ahmad, M. (2021). Do economic policy uncertainty and geopolitical risk lead to environmental degradation? Evidence from emerging economies. </w:t>
      </w:r>
      <w:r>
        <w:rPr>
          <w:i/>
          <w:iCs/>
        </w:rPr>
        <w:t>Sustainability</w:t>
      </w:r>
      <w:r>
        <w:t>, </w:t>
      </w:r>
      <w:r>
        <w:rPr>
          <w:i/>
          <w:iCs/>
        </w:rPr>
        <w:t>13</w:t>
      </w:r>
      <w:r>
        <w:t>(11), 5866.</w:t>
      </w:r>
    </w:p>
    <w:p w14:paraId="62F014AE" w14:textId="77777777" w:rsidR="00085B9D" w:rsidRDefault="00085B9D" w:rsidP="00085B9D">
      <w:pPr>
        <w:spacing w:after="160" w:line="360" w:lineRule="auto"/>
        <w:ind w:left="720" w:hanging="720"/>
        <w:jc w:val="both"/>
      </w:pPr>
      <w:r>
        <w:t>Asa, A. R., Prasad, N. S., &amp; Htay, M. M. (2013). Balanced scorecard: A paradigm measure of business strategy and firm performance. </w:t>
      </w:r>
      <w:r>
        <w:rPr>
          <w:i/>
          <w:iCs/>
        </w:rPr>
        <w:t>International journal of scientific &amp; technology research</w:t>
      </w:r>
      <w:r>
        <w:t>, </w:t>
      </w:r>
      <w:r>
        <w:rPr>
          <w:i/>
          <w:iCs/>
        </w:rPr>
        <w:t>2</w:t>
      </w:r>
      <w:r>
        <w:t>(4), 121-125.</w:t>
      </w:r>
    </w:p>
    <w:p w14:paraId="2F563925" w14:textId="77777777" w:rsidR="00085B9D" w:rsidRDefault="00085B9D" w:rsidP="00085B9D">
      <w:pPr>
        <w:spacing w:after="160" w:line="360" w:lineRule="auto"/>
        <w:ind w:left="720" w:hanging="720"/>
        <w:jc w:val="both"/>
      </w:pPr>
      <w:r>
        <w:t>Borowski, P. F. (2022). Mitigating climate change and the development of green energy versus a return to fossil fuels due to the energy crisis 2022. </w:t>
      </w:r>
      <w:r>
        <w:rPr>
          <w:i/>
          <w:iCs/>
        </w:rPr>
        <w:t>Energies</w:t>
      </w:r>
      <w:r>
        <w:t>, </w:t>
      </w:r>
      <w:r>
        <w:rPr>
          <w:i/>
          <w:iCs/>
        </w:rPr>
        <w:t>15</w:t>
      </w:r>
      <w:r>
        <w:t>(24), 9289.</w:t>
      </w:r>
    </w:p>
    <w:p w14:paraId="19DB036E" w14:textId="77777777" w:rsidR="00085B9D" w:rsidRDefault="00085B9D" w:rsidP="00085B9D">
      <w:pPr>
        <w:spacing w:after="160" w:line="360" w:lineRule="auto"/>
        <w:ind w:left="720" w:hanging="720"/>
        <w:jc w:val="both"/>
      </w:pPr>
      <w:r>
        <w:lastRenderedPageBreak/>
        <w:t>Bradshaw, M. J., &amp; Boersma, T. (2020). </w:t>
      </w:r>
      <w:r>
        <w:rPr>
          <w:i/>
          <w:iCs/>
        </w:rPr>
        <w:t>Natural gas</w:t>
      </w:r>
      <w:r>
        <w:t>. John Wiley &amp; Sons.</w:t>
      </w:r>
    </w:p>
    <w:p w14:paraId="021F5547" w14:textId="77777777" w:rsidR="00085B9D" w:rsidRDefault="00085B9D" w:rsidP="00085B9D">
      <w:pPr>
        <w:spacing w:after="160" w:line="360" w:lineRule="auto"/>
        <w:ind w:left="720" w:hanging="720"/>
        <w:jc w:val="both"/>
      </w:pPr>
      <w:proofErr w:type="spellStart"/>
      <w:r>
        <w:t>Brauers</w:t>
      </w:r>
      <w:proofErr w:type="spellEnd"/>
      <w:r>
        <w:t>, H., Braunger, I., &amp; Jewell, J. (2021). Liquefied natural gas expansion plans in Germany: The risk of gas lock-in under energy transitions. </w:t>
      </w:r>
      <w:r>
        <w:rPr>
          <w:i/>
          <w:iCs/>
        </w:rPr>
        <w:t>Energy Research &amp; Social Science</w:t>
      </w:r>
      <w:r>
        <w:t>, </w:t>
      </w:r>
      <w:r>
        <w:rPr>
          <w:i/>
          <w:iCs/>
        </w:rPr>
        <w:t>76</w:t>
      </w:r>
      <w:r>
        <w:t>, 102059.</w:t>
      </w:r>
    </w:p>
    <w:p w14:paraId="07172EC2" w14:textId="77777777" w:rsidR="00085B9D" w:rsidRDefault="00085B9D" w:rsidP="00085B9D">
      <w:pPr>
        <w:spacing w:after="160" w:line="360" w:lineRule="auto"/>
        <w:ind w:left="720" w:hanging="720"/>
        <w:jc w:val="both"/>
      </w:pPr>
      <w:r>
        <w:rPr>
          <w:color w:val="222222"/>
          <w:shd w:val="clear" w:color="auto" w:fill="FFFFFF"/>
        </w:rPr>
        <w:t>Bridge, G. &amp; Bradshaw, M. (2017). Making a global gas market: territoriality and production networks in liquefied natural gas. </w:t>
      </w:r>
      <w:r>
        <w:rPr>
          <w:i/>
          <w:iCs/>
          <w:color w:val="222222"/>
          <w:shd w:val="clear" w:color="auto" w:fill="FFFFFF"/>
        </w:rPr>
        <w:t>Economic Geography</w:t>
      </w:r>
      <w:r>
        <w:rPr>
          <w:color w:val="222222"/>
          <w:shd w:val="clear" w:color="auto" w:fill="FFFFFF"/>
        </w:rPr>
        <w:t>, </w:t>
      </w:r>
      <w:r>
        <w:rPr>
          <w:i/>
          <w:iCs/>
          <w:color w:val="222222"/>
          <w:shd w:val="clear" w:color="auto" w:fill="FFFFFF"/>
        </w:rPr>
        <w:t>93</w:t>
      </w:r>
      <w:r>
        <w:rPr>
          <w:color w:val="222222"/>
          <w:shd w:val="clear" w:color="auto" w:fill="FFFFFF"/>
        </w:rPr>
        <w:t>(3), 215-240.</w:t>
      </w:r>
    </w:p>
    <w:p w14:paraId="1F69712B" w14:textId="77777777" w:rsidR="00085B9D" w:rsidRDefault="00085B9D" w:rsidP="00085B9D">
      <w:pPr>
        <w:spacing w:after="160" w:line="360" w:lineRule="auto"/>
        <w:ind w:left="720" w:hanging="720"/>
        <w:jc w:val="both"/>
      </w:pPr>
      <w:r>
        <w:t>Bridge, G., &amp; Bradshaw, M. (2017). Making a global gas market: territoriality and production networks in liquefied natural gas. </w:t>
      </w:r>
      <w:r>
        <w:rPr>
          <w:i/>
          <w:iCs/>
        </w:rPr>
        <w:t>Economic Geography</w:t>
      </w:r>
      <w:r>
        <w:t>, </w:t>
      </w:r>
      <w:r>
        <w:rPr>
          <w:i/>
          <w:iCs/>
        </w:rPr>
        <w:t>93</w:t>
      </w:r>
      <w:r>
        <w:t>(3), 215-240.</w:t>
      </w:r>
    </w:p>
    <w:p w14:paraId="2B273AEE" w14:textId="77777777" w:rsidR="00085B9D" w:rsidRDefault="00085B9D" w:rsidP="00085B9D">
      <w:pPr>
        <w:spacing w:after="160" w:line="360" w:lineRule="auto"/>
        <w:ind w:left="720" w:hanging="720"/>
        <w:jc w:val="both"/>
      </w:pPr>
      <w:r>
        <w:t xml:space="preserve">Bridge, G., Barr, S., </w:t>
      </w:r>
      <w:proofErr w:type="spellStart"/>
      <w:r>
        <w:t>Bouzarovski</w:t>
      </w:r>
      <w:proofErr w:type="spellEnd"/>
      <w:r>
        <w:t>, S., Bradshaw, M., Brown, E., Bulkeley, H., &amp; Walker, G. (2018). Energy and society: A critical perspective. Routledge.</w:t>
      </w:r>
    </w:p>
    <w:p w14:paraId="1B0C8F86" w14:textId="77777777" w:rsidR="00085B9D" w:rsidRDefault="00085B9D" w:rsidP="00085B9D">
      <w:pPr>
        <w:spacing w:after="160" w:line="360" w:lineRule="auto"/>
        <w:ind w:left="720" w:hanging="720"/>
        <w:jc w:val="both"/>
      </w:pPr>
      <w:r>
        <w:t>Cardinale, R. (2023). From natural gas to green hydrogen: Developing and repurposing transnational energy infrastructure connecting North Africa to Europe. </w:t>
      </w:r>
      <w:r>
        <w:rPr>
          <w:i/>
          <w:iCs/>
        </w:rPr>
        <w:t>Energy Policy</w:t>
      </w:r>
      <w:r>
        <w:t>, </w:t>
      </w:r>
      <w:r>
        <w:rPr>
          <w:i/>
          <w:iCs/>
        </w:rPr>
        <w:t>181</w:t>
      </w:r>
      <w:r>
        <w:t>, 113623.</w:t>
      </w:r>
    </w:p>
    <w:p w14:paraId="4BEAB559" w14:textId="77777777" w:rsidR="00085B9D" w:rsidRDefault="00085B9D" w:rsidP="00085B9D">
      <w:pPr>
        <w:spacing w:after="160" w:line="360" w:lineRule="auto"/>
        <w:ind w:left="720" w:hanging="720"/>
        <w:jc w:val="both"/>
      </w:pPr>
      <w:r>
        <w:t>Cebolla, R. O., Dolci, F., &amp; Weidner, E. (2022). Assessment of Hydrogen Delivery Options: Feasibility of Transport of Green Hydrogen within Europe. Publications Office of the European Union, Luxembourg, 2022, doi:10.2760/869085, JRC130442</w:t>
      </w:r>
    </w:p>
    <w:p w14:paraId="063BF93B" w14:textId="77777777" w:rsidR="00085B9D" w:rsidRDefault="00085B9D" w:rsidP="00085B9D">
      <w:pPr>
        <w:spacing w:after="160" w:line="360" w:lineRule="auto"/>
        <w:ind w:left="720" w:hanging="720"/>
        <w:jc w:val="both"/>
      </w:pPr>
      <w:r>
        <w:t>Chai, J., Zhang, X., Lu, Q., Zhang, X., &amp; Wang, Y. (2021). Research on imbalance between supply and demand in China's natural gas market under the double-track price system. </w:t>
      </w:r>
      <w:r>
        <w:rPr>
          <w:i/>
          <w:iCs/>
        </w:rPr>
        <w:t>Energy Policy</w:t>
      </w:r>
      <w:r>
        <w:t>, </w:t>
      </w:r>
      <w:r>
        <w:rPr>
          <w:i/>
          <w:iCs/>
        </w:rPr>
        <w:t>155</w:t>
      </w:r>
      <w:r>
        <w:t>, 112380.</w:t>
      </w:r>
    </w:p>
    <w:p w14:paraId="45D4F8CB" w14:textId="77777777" w:rsidR="00085B9D" w:rsidRDefault="00085B9D" w:rsidP="00085B9D">
      <w:pPr>
        <w:spacing w:after="160" w:line="360" w:lineRule="auto"/>
        <w:ind w:left="720" w:hanging="720"/>
        <w:jc w:val="both"/>
      </w:pPr>
      <w:r>
        <w:t>Chen, Y., Jiang, J., Wang, L., &amp; Wang, R. (2023). Impact assessment of energy sanctions in geo-conflict: Russian–Ukrainian war. </w:t>
      </w:r>
      <w:r>
        <w:rPr>
          <w:i/>
          <w:iCs/>
        </w:rPr>
        <w:t>Energy Reports</w:t>
      </w:r>
      <w:r>
        <w:t>, </w:t>
      </w:r>
      <w:r>
        <w:rPr>
          <w:i/>
          <w:iCs/>
        </w:rPr>
        <w:t>9</w:t>
      </w:r>
      <w:r>
        <w:t>, 3082-3095.</w:t>
      </w:r>
    </w:p>
    <w:p w14:paraId="16594B9B" w14:textId="77777777" w:rsidR="00085B9D" w:rsidRDefault="00085B9D" w:rsidP="00085B9D">
      <w:pPr>
        <w:spacing w:after="160" w:line="360" w:lineRule="auto"/>
        <w:ind w:left="720" w:hanging="720"/>
        <w:jc w:val="both"/>
      </w:pPr>
      <w:r>
        <w:t>Chu, S., &amp; Majumdar, A. (2012). Opportunities and challenges for a sustainable energy future. </w:t>
      </w:r>
      <w:r>
        <w:rPr>
          <w:i/>
          <w:iCs/>
        </w:rPr>
        <w:t>nature</w:t>
      </w:r>
      <w:r>
        <w:t>, </w:t>
      </w:r>
      <w:r>
        <w:rPr>
          <w:i/>
          <w:iCs/>
        </w:rPr>
        <w:t>488</w:t>
      </w:r>
      <w:r>
        <w:t>(7411), 294-303.</w:t>
      </w:r>
    </w:p>
    <w:p w14:paraId="7AB63433" w14:textId="77777777" w:rsidR="00085B9D" w:rsidRDefault="00085B9D" w:rsidP="00085B9D">
      <w:pPr>
        <w:spacing w:after="160" w:line="360" w:lineRule="auto"/>
        <w:ind w:left="720" w:hanging="720"/>
        <w:jc w:val="both"/>
      </w:pPr>
      <w:r>
        <w:t xml:space="preserve">Coenen, J., Bager, S., </w:t>
      </w:r>
      <w:proofErr w:type="spellStart"/>
      <w:r>
        <w:t>Meyfroidt</w:t>
      </w:r>
      <w:proofErr w:type="spellEnd"/>
      <w:r>
        <w:t xml:space="preserve">, P., </w:t>
      </w:r>
      <w:proofErr w:type="spellStart"/>
      <w:r>
        <w:t>Newig</w:t>
      </w:r>
      <w:proofErr w:type="spellEnd"/>
      <w:r>
        <w:t>, J., &amp; Challies, E. (2021). Environmental governance of China's belt and road initiative. </w:t>
      </w:r>
      <w:r>
        <w:rPr>
          <w:i/>
          <w:iCs/>
        </w:rPr>
        <w:t>Environmental Policy and Governance</w:t>
      </w:r>
      <w:r>
        <w:t>, </w:t>
      </w:r>
      <w:r>
        <w:rPr>
          <w:i/>
          <w:iCs/>
        </w:rPr>
        <w:t>31</w:t>
      </w:r>
      <w:r>
        <w:t>(1), 3-17.</w:t>
      </w:r>
    </w:p>
    <w:p w14:paraId="3AFD7FE4" w14:textId="77777777" w:rsidR="00085B9D" w:rsidRDefault="00085B9D" w:rsidP="00085B9D">
      <w:pPr>
        <w:spacing w:after="160" w:line="360" w:lineRule="auto"/>
        <w:ind w:left="720" w:hanging="720"/>
        <w:jc w:val="both"/>
      </w:pPr>
      <w:r>
        <w:t xml:space="preserve">Costantini, V., </w:t>
      </w:r>
      <w:proofErr w:type="spellStart"/>
      <w:r>
        <w:t>Gracceva</w:t>
      </w:r>
      <w:proofErr w:type="spellEnd"/>
      <w:r>
        <w:t xml:space="preserve">, F., </w:t>
      </w:r>
      <w:proofErr w:type="spellStart"/>
      <w:r>
        <w:t>Markandya</w:t>
      </w:r>
      <w:proofErr w:type="spellEnd"/>
      <w:r>
        <w:t>, A. and Vicini, G., (2007). Security of energy supply: Comparing scenarios from a European perspective. </w:t>
      </w:r>
      <w:r>
        <w:rPr>
          <w:i/>
          <w:iCs/>
        </w:rPr>
        <w:t>Energy policy</w:t>
      </w:r>
      <w:r>
        <w:t>, </w:t>
      </w:r>
      <w:r>
        <w:rPr>
          <w:i/>
          <w:iCs/>
        </w:rPr>
        <w:t>35</w:t>
      </w:r>
      <w:r>
        <w:t>(1), pp.210-226.</w:t>
      </w:r>
    </w:p>
    <w:p w14:paraId="2A200EF1" w14:textId="77777777" w:rsidR="00085B9D" w:rsidRDefault="00085B9D" w:rsidP="00085B9D">
      <w:pPr>
        <w:spacing w:after="160" w:line="360" w:lineRule="auto"/>
        <w:ind w:left="720" w:hanging="720"/>
        <w:jc w:val="both"/>
      </w:pPr>
      <w:r>
        <w:lastRenderedPageBreak/>
        <w:t>Ebinger, C., Massy, K., &amp; Avasarala, G. (2012). Liquid Markets: Assessing the Case for US Exports of Liquefied Natural Gas. </w:t>
      </w:r>
      <w:r>
        <w:rPr>
          <w:i/>
          <w:iCs/>
        </w:rPr>
        <w:t>Policy</w:t>
      </w:r>
      <w:r>
        <w:t>.</w:t>
      </w:r>
    </w:p>
    <w:p w14:paraId="2AEA0779" w14:textId="77777777" w:rsidR="00085B9D" w:rsidRDefault="00085B9D" w:rsidP="00085B9D">
      <w:pPr>
        <w:spacing w:after="160" w:line="360" w:lineRule="auto"/>
        <w:ind w:left="720" w:hanging="720"/>
        <w:jc w:val="both"/>
      </w:pPr>
      <w:r>
        <w:t>Economides, M.J. and Wood, D.A., 2009. The state of natural gas. </w:t>
      </w:r>
      <w:r>
        <w:rPr>
          <w:i/>
          <w:iCs/>
        </w:rPr>
        <w:t>Journal of Natural Gas Science and Engineering</w:t>
      </w:r>
      <w:r>
        <w:t>, </w:t>
      </w:r>
      <w:r>
        <w:rPr>
          <w:i/>
          <w:iCs/>
        </w:rPr>
        <w:t>1</w:t>
      </w:r>
      <w:r>
        <w:t>(1-2), pp.1-13.</w:t>
      </w:r>
    </w:p>
    <w:p w14:paraId="6F2D7137" w14:textId="77777777" w:rsidR="00085B9D" w:rsidRDefault="00085B9D" w:rsidP="00085B9D">
      <w:pPr>
        <w:spacing w:after="160" w:line="360" w:lineRule="auto"/>
        <w:ind w:left="720" w:hanging="720"/>
        <w:jc w:val="both"/>
      </w:pPr>
      <w:r>
        <w:t>Filimonova, I. V., Komarova, A. V., Sharma, R., &amp; Novikov, A. Y. (2022). Transformation of international liquefied natural gas markets: New trade routes. </w:t>
      </w:r>
      <w:r>
        <w:rPr>
          <w:i/>
          <w:iCs/>
        </w:rPr>
        <w:t>Energy Reports</w:t>
      </w:r>
      <w:r>
        <w:t>, </w:t>
      </w:r>
      <w:r>
        <w:rPr>
          <w:i/>
          <w:iCs/>
        </w:rPr>
        <w:t>8</w:t>
      </w:r>
      <w:r>
        <w:t>, 675-682.</w:t>
      </w:r>
    </w:p>
    <w:p w14:paraId="3D5D3707" w14:textId="77777777" w:rsidR="00085B9D" w:rsidRDefault="00085B9D" w:rsidP="00085B9D">
      <w:pPr>
        <w:spacing w:after="160" w:line="360" w:lineRule="auto"/>
        <w:ind w:left="720" w:hanging="720"/>
        <w:jc w:val="both"/>
      </w:pPr>
      <w:r>
        <w:t xml:space="preserve">Hauser, P., Schmidt, M., &amp; </w:t>
      </w:r>
      <w:proofErr w:type="spellStart"/>
      <w:r>
        <w:t>Möst</w:t>
      </w:r>
      <w:proofErr w:type="spellEnd"/>
      <w:r>
        <w:t>, D. (2016, June). Gas markets in flux: Analysis of components and influences for natural gas pricing in Europe. In </w:t>
      </w:r>
      <w:r>
        <w:rPr>
          <w:i/>
          <w:iCs/>
        </w:rPr>
        <w:t>2016 13th International Conference on the European Energy Market (EEM)</w:t>
      </w:r>
      <w:r>
        <w:t> (pp. 1-8). IEEE.</w:t>
      </w:r>
    </w:p>
    <w:p w14:paraId="3C14DEAF" w14:textId="77777777" w:rsidR="00085B9D" w:rsidRDefault="00085B9D" w:rsidP="00085B9D">
      <w:pPr>
        <w:spacing w:after="160" w:line="360" w:lineRule="auto"/>
        <w:ind w:left="720" w:hanging="720"/>
        <w:jc w:val="both"/>
      </w:pPr>
      <w:r>
        <w:t>He, T., Nair, S. K., Babu, P., Linga, P., &amp; Karimi, I. A. (2018). A novel conceptual design of hydrate-based desalination (</w:t>
      </w:r>
      <w:proofErr w:type="spellStart"/>
      <w:r>
        <w:t>HyDesal</w:t>
      </w:r>
      <w:proofErr w:type="spellEnd"/>
      <w:r>
        <w:t>) process by utilizing LNG cold energy. </w:t>
      </w:r>
      <w:r>
        <w:rPr>
          <w:i/>
          <w:iCs/>
        </w:rPr>
        <w:t>Applied Energy</w:t>
      </w:r>
      <w:r>
        <w:t>, </w:t>
      </w:r>
      <w:r>
        <w:rPr>
          <w:i/>
          <w:iCs/>
        </w:rPr>
        <w:t>222</w:t>
      </w:r>
      <w:r>
        <w:t>, 13-24.</w:t>
      </w:r>
    </w:p>
    <w:p w14:paraId="07AFC2EF" w14:textId="77777777" w:rsidR="00085B9D" w:rsidRDefault="00085B9D" w:rsidP="00085B9D">
      <w:pPr>
        <w:spacing w:after="160" w:line="360" w:lineRule="auto"/>
        <w:ind w:left="720" w:hanging="720"/>
        <w:jc w:val="both"/>
      </w:pPr>
      <w:r>
        <w:t xml:space="preserve">Hönig, V., Prochazka, P., </w:t>
      </w:r>
      <w:proofErr w:type="spellStart"/>
      <w:r>
        <w:t>Obergruber</w:t>
      </w:r>
      <w:proofErr w:type="spellEnd"/>
      <w:r>
        <w:t xml:space="preserve">, M., </w:t>
      </w:r>
      <w:proofErr w:type="spellStart"/>
      <w:r>
        <w:t>Smutka</w:t>
      </w:r>
      <w:proofErr w:type="spellEnd"/>
      <w:r>
        <w:t>, L., &amp; Kučerová, V. (2019). Economic and technological analysis of commercial LNG production in the EU. </w:t>
      </w:r>
      <w:r>
        <w:rPr>
          <w:i/>
          <w:iCs/>
        </w:rPr>
        <w:t>Energies</w:t>
      </w:r>
      <w:r>
        <w:t>, </w:t>
      </w:r>
      <w:r>
        <w:rPr>
          <w:i/>
          <w:iCs/>
        </w:rPr>
        <w:t>12</w:t>
      </w:r>
      <w:r>
        <w:t>(8), 1565.</w:t>
      </w:r>
    </w:p>
    <w:p w14:paraId="7CD5F8C0" w14:textId="77777777" w:rsidR="00085B9D" w:rsidRDefault="00085B9D" w:rsidP="00085B9D">
      <w:pPr>
        <w:spacing w:after="160" w:line="360" w:lineRule="auto"/>
        <w:ind w:left="720" w:hanging="720"/>
        <w:jc w:val="both"/>
      </w:pPr>
      <w:r>
        <w:t>Huntington, H. G. (2016). Introduction: North American natural gas markets in transition. </w:t>
      </w:r>
      <w:r>
        <w:rPr>
          <w:i/>
          <w:iCs/>
        </w:rPr>
        <w:t>Energy Economics</w:t>
      </w:r>
      <w:r>
        <w:t>, </w:t>
      </w:r>
      <w:r>
        <w:rPr>
          <w:i/>
          <w:iCs/>
        </w:rPr>
        <w:t>60</w:t>
      </w:r>
      <w:r>
        <w:t>, 401-404.</w:t>
      </w:r>
    </w:p>
    <w:p w14:paraId="37B4EB37" w14:textId="77777777" w:rsidR="00085B9D" w:rsidRDefault="00085B9D" w:rsidP="00085B9D">
      <w:pPr>
        <w:spacing w:after="160" w:line="360" w:lineRule="auto"/>
        <w:ind w:left="720" w:hanging="720"/>
        <w:jc w:val="both"/>
      </w:pPr>
      <w:r>
        <w:t>Javaid, M., Haleem, A., Singh, R. P., Suman, R., &amp; Gonzalez, E. S. (2022). Understanding the adoption of Industry 4.0 technologies in improving environmental sustainability. </w:t>
      </w:r>
      <w:r>
        <w:rPr>
          <w:i/>
          <w:iCs/>
        </w:rPr>
        <w:t>Sustainable Operations and Computers</w:t>
      </w:r>
      <w:r>
        <w:t>, </w:t>
      </w:r>
      <w:r>
        <w:rPr>
          <w:i/>
          <w:iCs/>
        </w:rPr>
        <w:t>3</w:t>
      </w:r>
      <w:r>
        <w:t>, 203-217.</w:t>
      </w:r>
    </w:p>
    <w:p w14:paraId="32B0746C" w14:textId="77777777" w:rsidR="00085B9D" w:rsidRDefault="00085B9D" w:rsidP="00085B9D">
      <w:pPr>
        <w:spacing w:after="160" w:line="360" w:lineRule="auto"/>
        <w:ind w:left="720" w:hanging="720"/>
        <w:jc w:val="both"/>
      </w:pPr>
      <w:r>
        <w:t>Khan, M. S., Karimi, I. A., &amp; Wood, D. A. (2017). Retrospective and future perspective of natural gas liquefaction and optimization technologies contributing to efficient LNG supply: A review. </w:t>
      </w:r>
      <w:r>
        <w:rPr>
          <w:i/>
          <w:iCs/>
        </w:rPr>
        <w:t>Journal of Natural Gas Science and Engineering</w:t>
      </w:r>
      <w:r>
        <w:t>, </w:t>
      </w:r>
      <w:r>
        <w:rPr>
          <w:i/>
          <w:iCs/>
        </w:rPr>
        <w:t>45</w:t>
      </w:r>
      <w:r>
        <w:t>, 165-188.</w:t>
      </w:r>
    </w:p>
    <w:p w14:paraId="366F2C1A" w14:textId="77777777" w:rsidR="00085B9D" w:rsidRDefault="00085B9D" w:rsidP="00085B9D">
      <w:pPr>
        <w:spacing w:after="160" w:line="360" w:lineRule="auto"/>
        <w:ind w:left="720" w:hanging="720"/>
        <w:jc w:val="both"/>
      </w:pPr>
      <w:r>
        <w:t>Khan, S. A. R., Yu, Z., &amp; Farooq, K. (2023). Green capabilities, green purchasing, and triple bottom line performance: Leading toward environmental sustainability. </w:t>
      </w:r>
      <w:r>
        <w:rPr>
          <w:i/>
          <w:iCs/>
        </w:rPr>
        <w:t>Business Strategy and the Environment</w:t>
      </w:r>
      <w:r>
        <w:t>, </w:t>
      </w:r>
      <w:r>
        <w:rPr>
          <w:i/>
          <w:iCs/>
        </w:rPr>
        <w:t>32</w:t>
      </w:r>
      <w:r>
        <w:t>(4), 2022-2034.</w:t>
      </w:r>
    </w:p>
    <w:p w14:paraId="61FBA541" w14:textId="77777777" w:rsidR="00085B9D" w:rsidRDefault="00085B9D" w:rsidP="00085B9D">
      <w:pPr>
        <w:spacing w:after="160" w:line="360" w:lineRule="auto"/>
        <w:ind w:left="720" w:hanging="720"/>
        <w:jc w:val="both"/>
      </w:pPr>
      <w:r>
        <w:rPr>
          <w:color w:val="222222"/>
          <w:shd w:val="clear" w:color="auto" w:fill="FFFFFF"/>
        </w:rPr>
        <w:t>Klass, A.B. and Meinhardt, D., 2014. Transporting oil and gas: US infrastructure challenges. </w:t>
      </w:r>
      <w:r>
        <w:rPr>
          <w:i/>
          <w:iCs/>
          <w:color w:val="222222"/>
          <w:shd w:val="clear" w:color="auto" w:fill="FFFFFF"/>
        </w:rPr>
        <w:t>Iowa L. Rev.</w:t>
      </w:r>
      <w:r>
        <w:rPr>
          <w:color w:val="222222"/>
          <w:shd w:val="clear" w:color="auto" w:fill="FFFFFF"/>
        </w:rPr>
        <w:t>, </w:t>
      </w:r>
      <w:r>
        <w:rPr>
          <w:i/>
          <w:iCs/>
          <w:color w:val="222222"/>
          <w:shd w:val="clear" w:color="auto" w:fill="FFFFFF"/>
        </w:rPr>
        <w:t>100</w:t>
      </w:r>
      <w:r>
        <w:rPr>
          <w:color w:val="222222"/>
          <w:shd w:val="clear" w:color="auto" w:fill="FFFFFF"/>
        </w:rPr>
        <w:t>, p.947.</w:t>
      </w:r>
    </w:p>
    <w:p w14:paraId="0DFF9737" w14:textId="77777777" w:rsidR="00085B9D" w:rsidRDefault="00085B9D" w:rsidP="00085B9D">
      <w:pPr>
        <w:spacing w:after="160" w:line="360" w:lineRule="auto"/>
        <w:ind w:left="720" w:hanging="720"/>
        <w:jc w:val="both"/>
      </w:pPr>
      <w:r>
        <w:lastRenderedPageBreak/>
        <w:t>Krane, J. and Medlock III, K.B., (2018). Geopolitical dimensions of US oil security. </w:t>
      </w:r>
      <w:r>
        <w:rPr>
          <w:i/>
          <w:iCs/>
        </w:rPr>
        <w:t>Energy Policy</w:t>
      </w:r>
      <w:r>
        <w:t>, </w:t>
      </w:r>
      <w:r>
        <w:rPr>
          <w:i/>
          <w:iCs/>
        </w:rPr>
        <w:t>114</w:t>
      </w:r>
      <w:r>
        <w:t>, pp.558-565.</w:t>
      </w:r>
    </w:p>
    <w:p w14:paraId="2158E256" w14:textId="77777777" w:rsidR="00085B9D" w:rsidRDefault="00085B9D" w:rsidP="00085B9D">
      <w:pPr>
        <w:spacing w:after="160" w:line="360" w:lineRule="auto"/>
        <w:ind w:left="720" w:hanging="720"/>
        <w:jc w:val="both"/>
      </w:pPr>
      <w:r>
        <w:t>Kumar, S., Kwon, H. T., Choi, K. H., Lim, W., Cho, J. H., Tak, K., &amp; Moon, I. (2011). LNG: An eco-friendly cryogenic fuel for sustainable development. </w:t>
      </w:r>
      <w:r>
        <w:rPr>
          <w:i/>
          <w:iCs/>
        </w:rPr>
        <w:t>Applied Energy</w:t>
      </w:r>
      <w:r>
        <w:t>, </w:t>
      </w:r>
      <w:r>
        <w:rPr>
          <w:i/>
          <w:iCs/>
        </w:rPr>
        <w:t>88</w:t>
      </w:r>
      <w:r>
        <w:t>(12), 4264-4273.</w:t>
      </w:r>
    </w:p>
    <w:p w14:paraId="69EFD069" w14:textId="77777777" w:rsidR="00085B9D" w:rsidRDefault="00085B9D" w:rsidP="00085B9D">
      <w:pPr>
        <w:spacing w:after="160" w:line="360" w:lineRule="auto"/>
        <w:ind w:left="720" w:hanging="720"/>
        <w:jc w:val="both"/>
      </w:pPr>
      <w:r>
        <w:t>Li, B. (2019). Pricing dynamics of natural gas futures. </w:t>
      </w:r>
      <w:r>
        <w:rPr>
          <w:i/>
          <w:iCs/>
        </w:rPr>
        <w:t>Energy Economics</w:t>
      </w:r>
      <w:r>
        <w:t>, </w:t>
      </w:r>
      <w:r>
        <w:rPr>
          <w:i/>
          <w:iCs/>
        </w:rPr>
        <w:t>78</w:t>
      </w:r>
      <w:r>
        <w:t>, 91-108.</w:t>
      </w:r>
    </w:p>
    <w:p w14:paraId="301B3DD0" w14:textId="77777777" w:rsidR="00085B9D" w:rsidRDefault="00085B9D" w:rsidP="00085B9D">
      <w:pPr>
        <w:spacing w:after="160" w:line="360" w:lineRule="auto"/>
        <w:ind w:left="720" w:hanging="720"/>
        <w:jc w:val="both"/>
      </w:pPr>
      <w:r>
        <w:t>Liss, W. E. (2014). Impacts of shale gas advancements on natural gas utilization in the United States. </w:t>
      </w:r>
      <w:r>
        <w:rPr>
          <w:i/>
          <w:iCs/>
        </w:rPr>
        <w:t>Energy Technology</w:t>
      </w:r>
      <w:r>
        <w:t>, </w:t>
      </w:r>
      <w:r>
        <w:rPr>
          <w:i/>
          <w:iCs/>
        </w:rPr>
        <w:t>2</w:t>
      </w:r>
      <w:r>
        <w:t>(12), 953-967.</w:t>
      </w:r>
    </w:p>
    <w:p w14:paraId="201F1D18" w14:textId="77777777" w:rsidR="00085B9D" w:rsidRDefault="00085B9D" w:rsidP="00085B9D">
      <w:pPr>
        <w:spacing w:after="160" w:line="360" w:lineRule="auto"/>
        <w:ind w:left="720" w:hanging="720"/>
        <w:jc w:val="both"/>
      </w:pPr>
      <w:r>
        <w:t>Litvinenko, V. (2020). The role of hydrocarbons in the global energy agenda: The focus on liquefied natural gas. </w:t>
      </w:r>
      <w:r>
        <w:rPr>
          <w:i/>
          <w:iCs/>
        </w:rPr>
        <w:t>Resources</w:t>
      </w:r>
      <w:r>
        <w:t>, </w:t>
      </w:r>
      <w:r>
        <w:rPr>
          <w:i/>
          <w:iCs/>
        </w:rPr>
        <w:t>9</w:t>
      </w:r>
      <w:r>
        <w:t>(5), 59.</w:t>
      </w:r>
    </w:p>
    <w:p w14:paraId="64ABF4F6" w14:textId="77777777" w:rsidR="00085B9D" w:rsidRDefault="00085B9D" w:rsidP="00085B9D">
      <w:pPr>
        <w:spacing w:after="160" w:line="360" w:lineRule="auto"/>
        <w:ind w:left="720" w:hanging="720"/>
        <w:jc w:val="both"/>
      </w:pPr>
      <w:r>
        <w:t xml:space="preserve">Lund, S., Manyika, J., Woetzel, J., </w:t>
      </w:r>
      <w:proofErr w:type="spellStart"/>
      <w:r>
        <w:t>Barriball</w:t>
      </w:r>
      <w:proofErr w:type="spellEnd"/>
      <w:r>
        <w:t>, E. and Krishnan, M. (2020). Risk, resilience, and rebalancing in global value chains.</w:t>
      </w:r>
    </w:p>
    <w:p w14:paraId="33E17A01" w14:textId="77777777" w:rsidR="00085B9D" w:rsidRDefault="00085B9D" w:rsidP="00085B9D">
      <w:pPr>
        <w:spacing w:after="160" w:line="360" w:lineRule="auto"/>
        <w:ind w:left="720" w:hanging="720"/>
        <w:jc w:val="both"/>
      </w:pPr>
      <w:proofErr w:type="spellStart"/>
      <w:r>
        <w:t>Mazyan</w:t>
      </w:r>
      <w:proofErr w:type="spellEnd"/>
      <w:r>
        <w:t xml:space="preserve">, W., Ahmadi, A., Ahmed, H., &amp; </w:t>
      </w:r>
      <w:proofErr w:type="spellStart"/>
      <w:r>
        <w:t>Hoorfar</w:t>
      </w:r>
      <w:proofErr w:type="spellEnd"/>
      <w:r>
        <w:t>, M. (2016). Market and technology assessment of natural gas processing: A review. </w:t>
      </w:r>
      <w:r>
        <w:rPr>
          <w:i/>
          <w:iCs/>
        </w:rPr>
        <w:t>Journal of Natural Gas Science and Engineering</w:t>
      </w:r>
      <w:r>
        <w:t>, </w:t>
      </w:r>
      <w:r>
        <w:rPr>
          <w:i/>
          <w:iCs/>
        </w:rPr>
        <w:t>30</w:t>
      </w:r>
      <w:r>
        <w:t>, 487-514.</w:t>
      </w:r>
    </w:p>
    <w:p w14:paraId="6C123CC5" w14:textId="77777777" w:rsidR="00085B9D" w:rsidRDefault="00085B9D" w:rsidP="00085B9D">
      <w:pPr>
        <w:spacing w:after="160" w:line="360" w:lineRule="auto"/>
        <w:ind w:left="720" w:hanging="720"/>
        <w:jc w:val="both"/>
      </w:pPr>
      <w:r>
        <w:t>Meza, A., &amp; Koç, M. (2021). The LNG trade between Qatar and East Asia: Potential impacts of unconventional energy resources on the LNG sector and Qatar's economic development goals. </w:t>
      </w:r>
      <w:r>
        <w:rPr>
          <w:i/>
          <w:iCs/>
        </w:rPr>
        <w:t>Resources Policy</w:t>
      </w:r>
      <w:r>
        <w:t>, </w:t>
      </w:r>
      <w:r>
        <w:rPr>
          <w:i/>
          <w:iCs/>
        </w:rPr>
        <w:t>70</w:t>
      </w:r>
      <w:r>
        <w:t>, 101886.</w:t>
      </w:r>
    </w:p>
    <w:p w14:paraId="12B24B8E" w14:textId="77777777" w:rsidR="00085B9D" w:rsidRDefault="00085B9D" w:rsidP="00085B9D">
      <w:pPr>
        <w:spacing w:after="160" w:line="360" w:lineRule="auto"/>
        <w:ind w:left="720" w:hanging="720"/>
        <w:jc w:val="both"/>
      </w:pPr>
      <w:r>
        <w:t xml:space="preserve">Moher, D., </w:t>
      </w:r>
      <w:proofErr w:type="spellStart"/>
      <w:r>
        <w:t>Shamseer</w:t>
      </w:r>
      <w:proofErr w:type="spellEnd"/>
      <w:r>
        <w:t xml:space="preserve">, L., Clarke, M., Ghersi, D., Liberati, A., Petticrew, M., </w:t>
      </w:r>
      <w:proofErr w:type="spellStart"/>
      <w:r>
        <w:t>Shekelle</w:t>
      </w:r>
      <w:proofErr w:type="spellEnd"/>
      <w:r>
        <w:t xml:space="preserve">, P., Stewart, L.A. and Group, P.-P. (2015), “Preferred reporting items for systematic review and meta-analysis protocols (PRISMA-P) 2015 statement”, Systematic Reviews, Vol. 4 No. 1. </w:t>
      </w:r>
      <w:hyperlink r:id="rId8" w:history="1">
        <w:r>
          <w:rPr>
            <w:color w:val="0563C1"/>
            <w:u w:val="single" w:color="0563C1"/>
          </w:rPr>
          <w:t>http://doi.org/10.1186/2046-4053-4-1</w:t>
        </w:r>
      </w:hyperlink>
    </w:p>
    <w:p w14:paraId="5D092EF9" w14:textId="77777777" w:rsidR="00085B9D" w:rsidRDefault="00085B9D" w:rsidP="00085B9D">
      <w:pPr>
        <w:spacing w:after="160" w:line="360" w:lineRule="auto"/>
        <w:ind w:left="720" w:hanging="720"/>
        <w:jc w:val="both"/>
      </w:pPr>
      <w:r>
        <w:t xml:space="preserve">Mokhatab, S., Mak, J. Y., </w:t>
      </w:r>
      <w:proofErr w:type="spellStart"/>
      <w:r>
        <w:t>Valappil</w:t>
      </w:r>
      <w:proofErr w:type="spellEnd"/>
      <w:r>
        <w:t>, J. V., &amp; Wood, D. (2013). </w:t>
      </w:r>
      <w:r>
        <w:rPr>
          <w:i/>
          <w:iCs/>
        </w:rPr>
        <w:t>Handbook of liquefied natural gas</w:t>
      </w:r>
      <w:r>
        <w:t>. Gulf Professional Publishing.</w:t>
      </w:r>
    </w:p>
    <w:p w14:paraId="445BDCA0" w14:textId="77777777" w:rsidR="00085B9D" w:rsidRDefault="00085B9D" w:rsidP="00085B9D">
      <w:pPr>
        <w:spacing w:after="160" w:line="360" w:lineRule="auto"/>
        <w:ind w:left="720" w:hanging="720"/>
        <w:jc w:val="both"/>
      </w:pPr>
      <w:bookmarkStart w:id="19" w:name="_Hlk150789516"/>
      <w:r>
        <w:t>Nautwima, J. P., &amp; Asa, A. R. (2022</w:t>
      </w:r>
      <w:bookmarkEnd w:id="19"/>
      <w:r>
        <w:t xml:space="preserve">). The impact of quality service on customer satisfaction in the banking sector amidst Covid-19 pandemic: A literature review for the state of current </w:t>
      </w:r>
      <w:r>
        <w:lastRenderedPageBreak/>
        <w:t>knowledge. </w:t>
      </w:r>
      <w:r>
        <w:rPr>
          <w:i/>
          <w:iCs/>
        </w:rPr>
        <w:t>International Journal of Management Science and Business Administration</w:t>
      </w:r>
      <w:r>
        <w:t>, </w:t>
      </w:r>
      <w:r>
        <w:rPr>
          <w:i/>
          <w:iCs/>
        </w:rPr>
        <w:t>8</w:t>
      </w:r>
      <w:r>
        <w:t>(3), 31-38.</w:t>
      </w:r>
    </w:p>
    <w:p w14:paraId="132BBB9F" w14:textId="77777777" w:rsidR="00085B9D" w:rsidRDefault="00085B9D" w:rsidP="00085B9D">
      <w:pPr>
        <w:spacing w:after="160" w:line="360" w:lineRule="auto"/>
        <w:ind w:left="720" w:hanging="720"/>
        <w:jc w:val="both"/>
      </w:pPr>
      <w:proofErr w:type="spellStart"/>
      <w:r>
        <w:t>Nikhalat</w:t>
      </w:r>
      <w:proofErr w:type="spellEnd"/>
      <w:r>
        <w:t>‐Jahromi, H., Fontes, D. B., &amp; Cochrane, R. A. (2017). Future liquefied natural gas business structure: a review and comparison of oil and liquefied natural gas sectors. </w:t>
      </w:r>
      <w:r>
        <w:rPr>
          <w:i/>
          <w:iCs/>
        </w:rPr>
        <w:t>Wiley Interdisciplinary Reviews: Energy and Environment</w:t>
      </w:r>
      <w:r>
        <w:t>, </w:t>
      </w:r>
      <w:r>
        <w:rPr>
          <w:i/>
          <w:iCs/>
        </w:rPr>
        <w:t>6</w:t>
      </w:r>
      <w:r>
        <w:t>(4), e240.</w:t>
      </w:r>
    </w:p>
    <w:p w14:paraId="0FC97FE8" w14:textId="77777777" w:rsidR="00085B9D" w:rsidRDefault="00085B9D" w:rsidP="00085B9D">
      <w:pPr>
        <w:spacing w:after="160" w:line="360" w:lineRule="auto"/>
        <w:ind w:left="720" w:hanging="720"/>
        <w:jc w:val="both"/>
      </w:pPr>
      <w:proofErr w:type="spellStart"/>
      <w:r>
        <w:t>Oglend</w:t>
      </w:r>
      <w:proofErr w:type="spellEnd"/>
      <w:r>
        <w:t>, A., Kleppe, T. S., &amp; Osmundsen, P. (2016). Trade with endogenous transportation costs: The case of liquefied natural gas. </w:t>
      </w:r>
      <w:r>
        <w:rPr>
          <w:i/>
          <w:iCs/>
        </w:rPr>
        <w:t>Energy Economics</w:t>
      </w:r>
      <w:r>
        <w:t>, </w:t>
      </w:r>
      <w:r>
        <w:rPr>
          <w:i/>
          <w:iCs/>
        </w:rPr>
        <w:t>59</w:t>
      </w:r>
      <w:r>
        <w:t>, 138-148.</w:t>
      </w:r>
    </w:p>
    <w:p w14:paraId="403CA326" w14:textId="77777777" w:rsidR="00085B9D" w:rsidRDefault="00085B9D" w:rsidP="00085B9D">
      <w:pPr>
        <w:spacing w:after="160" w:line="360" w:lineRule="auto"/>
        <w:ind w:left="720" w:hanging="720"/>
        <w:jc w:val="both"/>
      </w:pPr>
      <w:proofErr w:type="spellStart"/>
      <w:r>
        <w:t>Poudineh</w:t>
      </w:r>
      <w:proofErr w:type="spellEnd"/>
      <w:r>
        <w:t>, R., Sen, A., &amp; Fattouh, B. (2020). An integrated approach to electricity sector reforms in the resource-rich economies of the MENA. </w:t>
      </w:r>
      <w:r>
        <w:rPr>
          <w:i/>
          <w:iCs/>
        </w:rPr>
        <w:t>Energy Policy</w:t>
      </w:r>
      <w:r>
        <w:t>, </w:t>
      </w:r>
      <w:r>
        <w:rPr>
          <w:i/>
          <w:iCs/>
        </w:rPr>
        <w:t>138</w:t>
      </w:r>
      <w:r>
        <w:t>, 111236.</w:t>
      </w:r>
    </w:p>
    <w:p w14:paraId="714BC7A9" w14:textId="77777777" w:rsidR="00085B9D" w:rsidRDefault="00085B9D" w:rsidP="00085B9D">
      <w:pPr>
        <w:spacing w:after="160" w:line="360" w:lineRule="auto"/>
        <w:ind w:left="720" w:hanging="720"/>
        <w:jc w:val="both"/>
      </w:pPr>
      <w:proofErr w:type="spellStart"/>
      <w:r>
        <w:t>Rasoulian</w:t>
      </w:r>
      <w:proofErr w:type="spellEnd"/>
      <w:r>
        <w:t xml:space="preserve">, S., Grégoire, Y., </w:t>
      </w:r>
      <w:proofErr w:type="spellStart"/>
      <w:r>
        <w:t>Legoux</w:t>
      </w:r>
      <w:proofErr w:type="spellEnd"/>
      <w:r>
        <w:t xml:space="preserve">, R. and </w:t>
      </w:r>
      <w:proofErr w:type="spellStart"/>
      <w:r>
        <w:t>Sénécal</w:t>
      </w:r>
      <w:proofErr w:type="spellEnd"/>
      <w:r>
        <w:t>, S., 2017. Service crisis recovery and firm performance: Insights from information breach announcements. </w:t>
      </w:r>
      <w:r>
        <w:rPr>
          <w:i/>
          <w:iCs/>
        </w:rPr>
        <w:t>Journal of the Academy of Marketing Science</w:t>
      </w:r>
      <w:r>
        <w:t>, </w:t>
      </w:r>
      <w:r>
        <w:rPr>
          <w:i/>
          <w:iCs/>
        </w:rPr>
        <w:t>45</w:t>
      </w:r>
      <w:r>
        <w:t>, pp.789-806.</w:t>
      </w:r>
    </w:p>
    <w:p w14:paraId="03379CF4" w14:textId="77777777" w:rsidR="00085B9D" w:rsidRDefault="00085B9D" w:rsidP="00085B9D">
      <w:pPr>
        <w:spacing w:after="160" w:line="360" w:lineRule="auto"/>
        <w:ind w:left="720" w:hanging="720"/>
        <w:jc w:val="both"/>
      </w:pPr>
      <w:r>
        <w:t>Richter, P. M., &amp; Holz, F. (2015). All quiet on the eastern front? Disruption scenarios of Russian natural gas supply to Europe. </w:t>
      </w:r>
      <w:r>
        <w:rPr>
          <w:i/>
          <w:iCs/>
        </w:rPr>
        <w:t>Energy Policy</w:t>
      </w:r>
      <w:r>
        <w:t>, </w:t>
      </w:r>
      <w:r>
        <w:rPr>
          <w:i/>
          <w:iCs/>
        </w:rPr>
        <w:t>80</w:t>
      </w:r>
      <w:r>
        <w:t>, 177-189.</w:t>
      </w:r>
    </w:p>
    <w:p w14:paraId="078CE82E" w14:textId="77777777" w:rsidR="00085B9D" w:rsidRDefault="00085B9D" w:rsidP="00085B9D">
      <w:pPr>
        <w:spacing w:after="160" w:line="360" w:lineRule="auto"/>
        <w:ind w:left="720" w:hanging="720"/>
        <w:jc w:val="both"/>
      </w:pPr>
      <w:r>
        <w:t>Ritz, R. A. (2019). A strategic perspective on competition between pipeline gas and LNG. </w:t>
      </w:r>
      <w:r>
        <w:rPr>
          <w:i/>
          <w:iCs/>
        </w:rPr>
        <w:t>The Energy Journal</w:t>
      </w:r>
      <w:r>
        <w:t>, </w:t>
      </w:r>
      <w:r>
        <w:rPr>
          <w:i/>
          <w:iCs/>
        </w:rPr>
        <w:t>40</w:t>
      </w:r>
      <w:r>
        <w:t>(5), 195-220.</w:t>
      </w:r>
    </w:p>
    <w:p w14:paraId="43B3CE48" w14:textId="77777777" w:rsidR="00085B9D" w:rsidRDefault="00085B9D" w:rsidP="00085B9D">
      <w:pPr>
        <w:spacing w:after="160" w:line="360" w:lineRule="auto"/>
        <w:ind w:left="720" w:hanging="720"/>
        <w:jc w:val="both"/>
      </w:pPr>
      <w:r>
        <w:t xml:space="preserve">Rosendahl, K. E., &amp; Sagen, E. L. (2009). The global natural gas market: will transport cost reductions lead to lower </w:t>
      </w:r>
      <w:proofErr w:type="gramStart"/>
      <w:r>
        <w:t>prices?.</w:t>
      </w:r>
      <w:proofErr w:type="gramEnd"/>
      <w:r>
        <w:t> </w:t>
      </w:r>
      <w:r>
        <w:rPr>
          <w:i/>
          <w:iCs/>
        </w:rPr>
        <w:t>The Energy Journal</w:t>
      </w:r>
      <w:r>
        <w:t>, </w:t>
      </w:r>
      <w:r>
        <w:rPr>
          <w:i/>
          <w:iCs/>
        </w:rPr>
        <w:t>30</w:t>
      </w:r>
      <w:r>
        <w:t>(2).</w:t>
      </w:r>
    </w:p>
    <w:p w14:paraId="63FD7903" w14:textId="77777777" w:rsidR="00085B9D" w:rsidRDefault="00085B9D" w:rsidP="00085B9D">
      <w:pPr>
        <w:spacing w:after="160" w:line="360" w:lineRule="auto"/>
        <w:ind w:left="720" w:hanging="720"/>
        <w:jc w:val="both"/>
      </w:pPr>
      <w:r>
        <w:rPr>
          <w:color w:val="222222"/>
          <w:shd w:val="clear" w:color="auto" w:fill="FFFFFF"/>
        </w:rPr>
        <w:t>Sakmar, S.L., 2013. Energy for the 21</w:t>
      </w:r>
      <w:r>
        <w:rPr>
          <w:color w:val="222222"/>
          <w:shd w:val="clear" w:color="auto" w:fill="FFFFFF"/>
          <w:vertAlign w:val="superscript"/>
        </w:rPr>
        <w:t>st</w:t>
      </w:r>
      <w:r>
        <w:rPr>
          <w:color w:val="222222"/>
          <w:shd w:val="clear" w:color="auto" w:fill="FFFFFF"/>
        </w:rPr>
        <w:t xml:space="preserve"> century: Opportunities and challenges for liquefied natural gas (LNG).</w:t>
      </w:r>
    </w:p>
    <w:p w14:paraId="0E1842FB" w14:textId="77777777" w:rsidR="00085B9D" w:rsidRDefault="00085B9D" w:rsidP="00085B9D">
      <w:pPr>
        <w:spacing w:after="160" w:line="360" w:lineRule="auto"/>
        <w:ind w:left="720" w:hanging="720"/>
        <w:jc w:val="both"/>
      </w:pPr>
      <w:r>
        <w:t>Siddi, M. (2019). The EU’s botched geopolitical approach to external energy policy: The case of the Southern Gas Corridor. </w:t>
      </w:r>
      <w:r>
        <w:rPr>
          <w:i/>
          <w:iCs/>
        </w:rPr>
        <w:t>Geopolitics</w:t>
      </w:r>
      <w:r>
        <w:t>, </w:t>
      </w:r>
      <w:r>
        <w:rPr>
          <w:i/>
          <w:iCs/>
        </w:rPr>
        <w:t>24</w:t>
      </w:r>
      <w:r>
        <w:t>(1), 124-144.</w:t>
      </w:r>
    </w:p>
    <w:p w14:paraId="53CE5752" w14:textId="77777777" w:rsidR="00085B9D" w:rsidRDefault="00085B9D" w:rsidP="00085B9D">
      <w:pPr>
        <w:spacing w:after="160" w:line="360" w:lineRule="auto"/>
        <w:ind w:left="720" w:hanging="720"/>
        <w:jc w:val="both"/>
      </w:pPr>
      <w:r>
        <w:t>Sim, L. C., 2023. Russia-GCC-Asia energy dynamics: Is the Ukraine War a game changer. </w:t>
      </w:r>
      <w:r>
        <w:rPr>
          <w:i/>
          <w:iCs/>
        </w:rPr>
        <w:t>Asia in the GCC: A New strategic partner</w:t>
      </w:r>
      <w:r>
        <w:t>, 40-47.</w:t>
      </w:r>
    </w:p>
    <w:p w14:paraId="2DF8D136" w14:textId="77777777" w:rsidR="00085B9D" w:rsidRDefault="00085B9D" w:rsidP="00085B9D">
      <w:pPr>
        <w:spacing w:after="160" w:line="360" w:lineRule="auto"/>
        <w:ind w:left="720" w:hanging="720"/>
        <w:jc w:val="both"/>
      </w:pPr>
      <w:r>
        <w:t xml:space="preserve">Stern, J., Rogers, H., </w:t>
      </w:r>
      <w:proofErr w:type="spellStart"/>
      <w:r>
        <w:t>Yafimava</w:t>
      </w:r>
      <w:proofErr w:type="spellEnd"/>
      <w:r>
        <w:t>, K., Pirani, S., El-</w:t>
      </w:r>
      <w:proofErr w:type="spellStart"/>
      <w:r>
        <w:t>Katiri</w:t>
      </w:r>
      <w:proofErr w:type="spellEnd"/>
      <w:r>
        <w:t>, L., Honore, A., ... &amp; Dickel, R. (2014). Reducing European Dependence on Russian Gas–distinguishing natural gas security from geopolitics.</w:t>
      </w:r>
    </w:p>
    <w:p w14:paraId="3D7ED816" w14:textId="77777777" w:rsidR="00085B9D" w:rsidRDefault="00085B9D" w:rsidP="00085B9D">
      <w:pPr>
        <w:spacing w:after="160" w:line="360" w:lineRule="auto"/>
        <w:ind w:left="720" w:hanging="720"/>
        <w:jc w:val="both"/>
      </w:pPr>
      <w:r>
        <w:lastRenderedPageBreak/>
        <w:t>Ulvestad, M., &amp; Overland, I. (2012). Natural gas and CO2 price variation: impact on the relative cost-efficiency of LNG and pipelines. </w:t>
      </w:r>
      <w:r>
        <w:rPr>
          <w:i/>
          <w:iCs/>
        </w:rPr>
        <w:t>International Journal of Environmental Studies</w:t>
      </w:r>
      <w:r>
        <w:t>, </w:t>
      </w:r>
      <w:r>
        <w:rPr>
          <w:i/>
          <w:iCs/>
        </w:rPr>
        <w:t>69</w:t>
      </w:r>
      <w:r>
        <w:t>(3), 407-426.</w:t>
      </w:r>
    </w:p>
    <w:p w14:paraId="4634AB2B" w14:textId="77777777" w:rsidR="00085B9D" w:rsidRDefault="00085B9D" w:rsidP="00085B9D">
      <w:pPr>
        <w:spacing w:after="160" w:line="360" w:lineRule="auto"/>
        <w:ind w:left="720" w:hanging="720"/>
        <w:jc w:val="both"/>
      </w:pPr>
      <w:r>
        <w:t>United Nations Environment Programme. International Resource Panel. (2011). </w:t>
      </w:r>
      <w:r>
        <w:rPr>
          <w:i/>
          <w:iCs/>
        </w:rPr>
        <w:t>Decoupling natural resource use and environmental impacts from economic growth</w:t>
      </w:r>
      <w:r>
        <w:t>. UNEP/</w:t>
      </w:r>
      <w:proofErr w:type="spellStart"/>
      <w:r>
        <w:t>Earthprint</w:t>
      </w:r>
      <w:proofErr w:type="spellEnd"/>
      <w:r>
        <w:t>.</w:t>
      </w:r>
    </w:p>
    <w:p w14:paraId="6D976F07" w14:textId="77777777" w:rsidR="00085B9D" w:rsidRDefault="00085B9D" w:rsidP="00085B9D">
      <w:pPr>
        <w:spacing w:after="160" w:line="360" w:lineRule="auto"/>
        <w:ind w:left="720" w:hanging="720"/>
        <w:jc w:val="both"/>
      </w:pPr>
      <w:r>
        <w:t>Wu, H., Hao, Y., &amp; Ren, S. (2020). How do environmental regulation and environmental decentralization affect green total factor energy efficiency: Evidence from China. </w:t>
      </w:r>
      <w:r>
        <w:rPr>
          <w:i/>
          <w:iCs/>
        </w:rPr>
        <w:t>Energy Economics</w:t>
      </w:r>
      <w:r>
        <w:t>, </w:t>
      </w:r>
      <w:r>
        <w:rPr>
          <w:i/>
          <w:iCs/>
        </w:rPr>
        <w:t>91</w:t>
      </w:r>
      <w:r>
        <w:t>, 104880.</w:t>
      </w:r>
    </w:p>
    <w:p w14:paraId="658B5AA6" w14:textId="77777777" w:rsidR="00085B9D" w:rsidRDefault="00085B9D" w:rsidP="00085B9D">
      <w:pPr>
        <w:spacing w:after="160" w:line="360" w:lineRule="auto"/>
        <w:ind w:left="720" w:hanging="720"/>
        <w:jc w:val="both"/>
      </w:pPr>
      <w:r>
        <w:t xml:space="preserve">Yegorov, Y., &amp; </w:t>
      </w:r>
      <w:proofErr w:type="spellStart"/>
      <w:r>
        <w:t>Wirl</w:t>
      </w:r>
      <w:proofErr w:type="spellEnd"/>
      <w:r>
        <w:t>, F. (2011). Gas transportation, geopolitics and future market structure. </w:t>
      </w:r>
      <w:r>
        <w:rPr>
          <w:i/>
          <w:iCs/>
        </w:rPr>
        <w:t>Futures</w:t>
      </w:r>
      <w:r>
        <w:t>, </w:t>
      </w:r>
      <w:r>
        <w:rPr>
          <w:i/>
          <w:iCs/>
        </w:rPr>
        <w:t>43</w:t>
      </w:r>
      <w:r>
        <w:t>(10), 1056-1068.</w:t>
      </w:r>
    </w:p>
    <w:p w14:paraId="2E217CEE" w14:textId="77777777" w:rsidR="00085B9D" w:rsidRDefault="00085B9D" w:rsidP="00085B9D">
      <w:pPr>
        <w:spacing w:after="160" w:line="360" w:lineRule="auto"/>
        <w:ind w:left="720" w:hanging="720"/>
        <w:jc w:val="both"/>
      </w:pPr>
      <w:r>
        <w:t>Yusuf, N., &amp; Al-Ansari, T. (2023). Current and Future Role of Natural Gas Supply Chains in the Transition to a Low-Carbon Hydrogen Economy: A Comprehensive Review on Integrated Natural Gas Supply Chain Optimisation Models. </w:t>
      </w:r>
      <w:r>
        <w:rPr>
          <w:i/>
          <w:iCs/>
        </w:rPr>
        <w:t>Energies</w:t>
      </w:r>
      <w:r>
        <w:t>, </w:t>
      </w:r>
      <w:r>
        <w:rPr>
          <w:i/>
          <w:iCs/>
        </w:rPr>
        <w:t>16</w:t>
      </w:r>
      <w:r>
        <w:t>(22), 7672.</w:t>
      </w:r>
    </w:p>
    <w:p w14:paraId="55C27C25" w14:textId="77777777" w:rsidR="00085B9D" w:rsidRDefault="00085B9D" w:rsidP="00085B9D">
      <w:pPr>
        <w:spacing w:after="160" w:line="360" w:lineRule="auto"/>
        <w:ind w:left="720" w:hanging="720"/>
        <w:jc w:val="both"/>
      </w:pPr>
      <w:r>
        <w:t>Zhang, Q., Li, Z., Wang, G., &amp; Li, H. (2016). Study on the impacts of natural gas supply cost on gas flow and infrastructure deployment in China. </w:t>
      </w:r>
      <w:r>
        <w:rPr>
          <w:i/>
          <w:iCs/>
        </w:rPr>
        <w:t>Applied Energy</w:t>
      </w:r>
      <w:r>
        <w:t>, </w:t>
      </w:r>
      <w:r>
        <w:rPr>
          <w:i/>
          <w:iCs/>
        </w:rPr>
        <w:t>162</w:t>
      </w:r>
      <w:r>
        <w:t>, 1385-1398.</w:t>
      </w:r>
    </w:p>
    <w:p w14:paraId="21216E6F" w14:textId="77777777" w:rsidR="00085B9D" w:rsidRDefault="00085B9D" w:rsidP="00085B9D">
      <w:pPr>
        <w:spacing w:after="160" w:line="360" w:lineRule="auto"/>
        <w:ind w:left="720" w:hanging="720"/>
        <w:jc w:val="both"/>
      </w:pPr>
      <w:r>
        <w:t>Zhu, Q., Ding, L., Wu, Y., &amp; Zuo, R. (2018). Trends in the natural gas pricing mechanism reform in China: a perspective of dependency between China and the US natural gas markets. </w:t>
      </w:r>
      <w:r>
        <w:rPr>
          <w:i/>
          <w:iCs/>
        </w:rPr>
        <w:t>International Journal of Internet and Enterprise Management</w:t>
      </w:r>
      <w:r>
        <w:t>, </w:t>
      </w:r>
      <w:r>
        <w:rPr>
          <w:i/>
          <w:iCs/>
        </w:rPr>
        <w:t>9</w:t>
      </w:r>
      <w:r>
        <w:t>(1), 40.</w:t>
      </w:r>
    </w:p>
    <w:p w14:paraId="1A966DBF" w14:textId="77777777" w:rsidR="00085B9D" w:rsidRDefault="00085B9D" w:rsidP="00085B9D">
      <w:pPr>
        <w:spacing w:before="240" w:after="240"/>
      </w:pPr>
      <w:r>
        <w:t> </w:t>
      </w:r>
    </w:p>
    <w:p w14:paraId="17FCEE90" w14:textId="77777777" w:rsidR="00085B9D" w:rsidRDefault="00085B9D" w:rsidP="00085B9D">
      <w:pPr>
        <w:rPr>
          <w:sz w:val="22"/>
          <w:szCs w:val="22"/>
        </w:rPr>
      </w:pPr>
    </w:p>
    <w:p w14:paraId="5D58CA4D" w14:textId="77777777" w:rsidR="00085B9D" w:rsidRDefault="00085B9D" w:rsidP="00085B9D"/>
    <w:p w14:paraId="48E15CE8" w14:textId="77777777" w:rsidR="00085B9D" w:rsidRPr="00085B9D" w:rsidRDefault="00085B9D" w:rsidP="00DF6383">
      <w:pPr>
        <w:spacing w:after="160" w:line="360" w:lineRule="auto"/>
        <w:jc w:val="both"/>
        <w:rPr>
          <w:b/>
          <w:bCs/>
        </w:rPr>
      </w:pPr>
    </w:p>
    <w:sectPr w:rsidR="00085B9D" w:rsidRPr="00085B9D">
      <w:footerReference w:type="default" r:id="rId9"/>
      <w:pgSz w:w="12240" w:h="15840"/>
      <w:pgMar w:top="1440" w:right="1440" w:bottom="1440" w:left="1440"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3E3C9C" w14:textId="77777777" w:rsidR="00EF17D0" w:rsidRDefault="00EF17D0">
      <w:r>
        <w:separator/>
      </w:r>
    </w:p>
  </w:endnote>
  <w:endnote w:type="continuationSeparator" w:id="0">
    <w:p w14:paraId="008D1B93" w14:textId="77777777" w:rsidR="00EF17D0" w:rsidRDefault="00EF1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rif">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EEA6F3" w14:textId="77777777" w:rsidR="00F76073" w:rsidRDefault="00F76073">
    <w:pPr>
      <w:jc w:val="center"/>
      <w:rPr>
        <w:sz w:val="22"/>
        <w:szCs w:val="22"/>
      </w:rPr>
    </w:pPr>
  </w:p>
  <w:p w14:paraId="64EEA6F4" w14:textId="77777777" w:rsidR="00F76073" w:rsidRDefault="00F76073">
    <w:pPr>
      <w:jc w:val="cen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BB3B18" w14:textId="77777777" w:rsidR="00EF17D0" w:rsidRDefault="00EF17D0">
      <w:r>
        <w:separator/>
      </w:r>
    </w:p>
  </w:footnote>
  <w:footnote w:type="continuationSeparator" w:id="0">
    <w:p w14:paraId="2CA93BD9" w14:textId="77777777" w:rsidR="00EF17D0" w:rsidRDefault="00EF17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00000001"/>
    <w:lvl w:ilvl="0" w:tplc="A76A3EEE">
      <w:start w:val="1"/>
      <w:numFmt w:val="bullet"/>
      <w:lvlText w:val=""/>
      <w:lvlJc w:val="left"/>
      <w:pPr>
        <w:ind w:left="720" w:hanging="360"/>
      </w:pPr>
      <w:rPr>
        <w:rFonts w:ascii="Symbol" w:hAnsi="Symbol"/>
        <w:b w:val="0"/>
        <w:bCs w:val="0"/>
      </w:rPr>
    </w:lvl>
    <w:lvl w:ilvl="1" w:tplc="9F1A51FE">
      <w:start w:val="1"/>
      <w:numFmt w:val="bullet"/>
      <w:lvlText w:val="o"/>
      <w:lvlJc w:val="left"/>
      <w:pPr>
        <w:tabs>
          <w:tab w:val="num" w:pos="1440"/>
        </w:tabs>
        <w:ind w:left="1440" w:hanging="360"/>
      </w:pPr>
      <w:rPr>
        <w:rFonts w:ascii="Courier New" w:hAnsi="Courier New"/>
      </w:rPr>
    </w:lvl>
    <w:lvl w:ilvl="2" w:tplc="E260149E">
      <w:start w:val="1"/>
      <w:numFmt w:val="bullet"/>
      <w:lvlText w:val=""/>
      <w:lvlJc w:val="left"/>
      <w:pPr>
        <w:tabs>
          <w:tab w:val="num" w:pos="2160"/>
        </w:tabs>
        <w:ind w:left="2160" w:hanging="360"/>
      </w:pPr>
      <w:rPr>
        <w:rFonts w:ascii="Wingdings" w:hAnsi="Wingdings"/>
      </w:rPr>
    </w:lvl>
    <w:lvl w:ilvl="3" w:tplc="371EC4E4">
      <w:start w:val="1"/>
      <w:numFmt w:val="bullet"/>
      <w:lvlText w:val=""/>
      <w:lvlJc w:val="left"/>
      <w:pPr>
        <w:tabs>
          <w:tab w:val="num" w:pos="2880"/>
        </w:tabs>
        <w:ind w:left="2880" w:hanging="360"/>
      </w:pPr>
      <w:rPr>
        <w:rFonts w:ascii="Symbol" w:hAnsi="Symbol"/>
      </w:rPr>
    </w:lvl>
    <w:lvl w:ilvl="4" w:tplc="D84C7DF2">
      <w:start w:val="1"/>
      <w:numFmt w:val="bullet"/>
      <w:lvlText w:val="o"/>
      <w:lvlJc w:val="left"/>
      <w:pPr>
        <w:tabs>
          <w:tab w:val="num" w:pos="3600"/>
        </w:tabs>
        <w:ind w:left="3600" w:hanging="360"/>
      </w:pPr>
      <w:rPr>
        <w:rFonts w:ascii="Courier New" w:hAnsi="Courier New"/>
      </w:rPr>
    </w:lvl>
    <w:lvl w:ilvl="5" w:tplc="16728DEC">
      <w:start w:val="1"/>
      <w:numFmt w:val="bullet"/>
      <w:lvlText w:val=""/>
      <w:lvlJc w:val="left"/>
      <w:pPr>
        <w:tabs>
          <w:tab w:val="num" w:pos="4320"/>
        </w:tabs>
        <w:ind w:left="4320" w:hanging="360"/>
      </w:pPr>
      <w:rPr>
        <w:rFonts w:ascii="Wingdings" w:hAnsi="Wingdings"/>
      </w:rPr>
    </w:lvl>
    <w:lvl w:ilvl="6" w:tplc="3428468E">
      <w:start w:val="1"/>
      <w:numFmt w:val="bullet"/>
      <w:lvlText w:val=""/>
      <w:lvlJc w:val="left"/>
      <w:pPr>
        <w:tabs>
          <w:tab w:val="num" w:pos="5040"/>
        </w:tabs>
        <w:ind w:left="5040" w:hanging="360"/>
      </w:pPr>
      <w:rPr>
        <w:rFonts w:ascii="Symbol" w:hAnsi="Symbol"/>
      </w:rPr>
    </w:lvl>
    <w:lvl w:ilvl="7" w:tplc="15407A0A">
      <w:start w:val="1"/>
      <w:numFmt w:val="bullet"/>
      <w:lvlText w:val="o"/>
      <w:lvlJc w:val="left"/>
      <w:pPr>
        <w:tabs>
          <w:tab w:val="num" w:pos="5760"/>
        </w:tabs>
        <w:ind w:left="5760" w:hanging="360"/>
      </w:pPr>
      <w:rPr>
        <w:rFonts w:ascii="Courier New" w:hAnsi="Courier New"/>
      </w:rPr>
    </w:lvl>
    <w:lvl w:ilvl="8" w:tplc="58A67454">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D8141C86">
      <w:start w:val="1"/>
      <w:numFmt w:val="bullet"/>
      <w:lvlText w:val=""/>
      <w:lvlJc w:val="left"/>
      <w:pPr>
        <w:ind w:left="720" w:hanging="360"/>
      </w:pPr>
      <w:rPr>
        <w:rFonts w:ascii="Symbol" w:hAnsi="Symbol"/>
        <w:b w:val="0"/>
        <w:bCs w:val="0"/>
      </w:rPr>
    </w:lvl>
    <w:lvl w:ilvl="1" w:tplc="C2F2459E">
      <w:start w:val="1"/>
      <w:numFmt w:val="bullet"/>
      <w:lvlText w:val="o"/>
      <w:lvlJc w:val="left"/>
      <w:pPr>
        <w:tabs>
          <w:tab w:val="num" w:pos="1440"/>
        </w:tabs>
        <w:ind w:left="1440" w:hanging="360"/>
      </w:pPr>
      <w:rPr>
        <w:rFonts w:ascii="Courier New" w:hAnsi="Courier New"/>
      </w:rPr>
    </w:lvl>
    <w:lvl w:ilvl="2" w:tplc="1E9A6B16">
      <w:start w:val="1"/>
      <w:numFmt w:val="bullet"/>
      <w:lvlText w:val=""/>
      <w:lvlJc w:val="left"/>
      <w:pPr>
        <w:tabs>
          <w:tab w:val="num" w:pos="2160"/>
        </w:tabs>
        <w:ind w:left="2160" w:hanging="360"/>
      </w:pPr>
      <w:rPr>
        <w:rFonts w:ascii="Wingdings" w:hAnsi="Wingdings"/>
      </w:rPr>
    </w:lvl>
    <w:lvl w:ilvl="3" w:tplc="B900C45E">
      <w:start w:val="1"/>
      <w:numFmt w:val="bullet"/>
      <w:lvlText w:val=""/>
      <w:lvlJc w:val="left"/>
      <w:pPr>
        <w:tabs>
          <w:tab w:val="num" w:pos="2880"/>
        </w:tabs>
        <w:ind w:left="2880" w:hanging="360"/>
      </w:pPr>
      <w:rPr>
        <w:rFonts w:ascii="Symbol" w:hAnsi="Symbol"/>
      </w:rPr>
    </w:lvl>
    <w:lvl w:ilvl="4" w:tplc="03169EA0">
      <w:start w:val="1"/>
      <w:numFmt w:val="bullet"/>
      <w:lvlText w:val="o"/>
      <w:lvlJc w:val="left"/>
      <w:pPr>
        <w:tabs>
          <w:tab w:val="num" w:pos="3600"/>
        </w:tabs>
        <w:ind w:left="3600" w:hanging="360"/>
      </w:pPr>
      <w:rPr>
        <w:rFonts w:ascii="Courier New" w:hAnsi="Courier New"/>
      </w:rPr>
    </w:lvl>
    <w:lvl w:ilvl="5" w:tplc="E28A5F64">
      <w:start w:val="1"/>
      <w:numFmt w:val="bullet"/>
      <w:lvlText w:val=""/>
      <w:lvlJc w:val="left"/>
      <w:pPr>
        <w:tabs>
          <w:tab w:val="num" w:pos="4320"/>
        </w:tabs>
        <w:ind w:left="4320" w:hanging="360"/>
      </w:pPr>
      <w:rPr>
        <w:rFonts w:ascii="Wingdings" w:hAnsi="Wingdings"/>
      </w:rPr>
    </w:lvl>
    <w:lvl w:ilvl="6" w:tplc="D7EE63D6">
      <w:start w:val="1"/>
      <w:numFmt w:val="bullet"/>
      <w:lvlText w:val=""/>
      <w:lvlJc w:val="left"/>
      <w:pPr>
        <w:tabs>
          <w:tab w:val="num" w:pos="5040"/>
        </w:tabs>
        <w:ind w:left="5040" w:hanging="360"/>
      </w:pPr>
      <w:rPr>
        <w:rFonts w:ascii="Symbol" w:hAnsi="Symbol"/>
      </w:rPr>
    </w:lvl>
    <w:lvl w:ilvl="7" w:tplc="7A0ECB24">
      <w:start w:val="1"/>
      <w:numFmt w:val="bullet"/>
      <w:lvlText w:val="o"/>
      <w:lvlJc w:val="left"/>
      <w:pPr>
        <w:tabs>
          <w:tab w:val="num" w:pos="5760"/>
        </w:tabs>
        <w:ind w:left="5760" w:hanging="360"/>
      </w:pPr>
      <w:rPr>
        <w:rFonts w:ascii="Courier New" w:hAnsi="Courier New"/>
      </w:rPr>
    </w:lvl>
    <w:lvl w:ilvl="8" w:tplc="C1C8B06E">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1D00FD18">
      <w:start w:val="1"/>
      <w:numFmt w:val="bullet"/>
      <w:lvlText w:val=""/>
      <w:lvlJc w:val="left"/>
      <w:pPr>
        <w:ind w:left="720" w:hanging="360"/>
      </w:pPr>
      <w:rPr>
        <w:rFonts w:ascii="Symbol" w:hAnsi="Symbol"/>
        <w:b w:val="0"/>
        <w:bCs w:val="0"/>
      </w:rPr>
    </w:lvl>
    <w:lvl w:ilvl="1" w:tplc="10C4927E">
      <w:start w:val="1"/>
      <w:numFmt w:val="bullet"/>
      <w:lvlText w:val="o"/>
      <w:lvlJc w:val="left"/>
      <w:pPr>
        <w:tabs>
          <w:tab w:val="num" w:pos="1440"/>
        </w:tabs>
        <w:ind w:left="1440" w:hanging="360"/>
      </w:pPr>
      <w:rPr>
        <w:rFonts w:ascii="Courier New" w:hAnsi="Courier New"/>
      </w:rPr>
    </w:lvl>
    <w:lvl w:ilvl="2" w:tplc="961080E0">
      <w:start w:val="1"/>
      <w:numFmt w:val="bullet"/>
      <w:lvlText w:val=""/>
      <w:lvlJc w:val="left"/>
      <w:pPr>
        <w:tabs>
          <w:tab w:val="num" w:pos="2160"/>
        </w:tabs>
        <w:ind w:left="2160" w:hanging="360"/>
      </w:pPr>
      <w:rPr>
        <w:rFonts w:ascii="Wingdings" w:hAnsi="Wingdings"/>
      </w:rPr>
    </w:lvl>
    <w:lvl w:ilvl="3" w:tplc="B45A8B80">
      <w:start w:val="1"/>
      <w:numFmt w:val="bullet"/>
      <w:lvlText w:val=""/>
      <w:lvlJc w:val="left"/>
      <w:pPr>
        <w:tabs>
          <w:tab w:val="num" w:pos="2880"/>
        </w:tabs>
        <w:ind w:left="2880" w:hanging="360"/>
      </w:pPr>
      <w:rPr>
        <w:rFonts w:ascii="Symbol" w:hAnsi="Symbol"/>
      </w:rPr>
    </w:lvl>
    <w:lvl w:ilvl="4" w:tplc="4E5E0572">
      <w:start w:val="1"/>
      <w:numFmt w:val="bullet"/>
      <w:lvlText w:val="o"/>
      <w:lvlJc w:val="left"/>
      <w:pPr>
        <w:tabs>
          <w:tab w:val="num" w:pos="3600"/>
        </w:tabs>
        <w:ind w:left="3600" w:hanging="360"/>
      </w:pPr>
      <w:rPr>
        <w:rFonts w:ascii="Courier New" w:hAnsi="Courier New"/>
      </w:rPr>
    </w:lvl>
    <w:lvl w:ilvl="5" w:tplc="470CEF7A">
      <w:start w:val="1"/>
      <w:numFmt w:val="bullet"/>
      <w:lvlText w:val=""/>
      <w:lvlJc w:val="left"/>
      <w:pPr>
        <w:tabs>
          <w:tab w:val="num" w:pos="4320"/>
        </w:tabs>
        <w:ind w:left="4320" w:hanging="360"/>
      </w:pPr>
      <w:rPr>
        <w:rFonts w:ascii="Wingdings" w:hAnsi="Wingdings"/>
      </w:rPr>
    </w:lvl>
    <w:lvl w:ilvl="6" w:tplc="E37ED674">
      <w:start w:val="1"/>
      <w:numFmt w:val="bullet"/>
      <w:lvlText w:val=""/>
      <w:lvlJc w:val="left"/>
      <w:pPr>
        <w:tabs>
          <w:tab w:val="num" w:pos="5040"/>
        </w:tabs>
        <w:ind w:left="5040" w:hanging="360"/>
      </w:pPr>
      <w:rPr>
        <w:rFonts w:ascii="Symbol" w:hAnsi="Symbol"/>
      </w:rPr>
    </w:lvl>
    <w:lvl w:ilvl="7" w:tplc="E1BEC4CC">
      <w:start w:val="1"/>
      <w:numFmt w:val="bullet"/>
      <w:lvlText w:val="o"/>
      <w:lvlJc w:val="left"/>
      <w:pPr>
        <w:tabs>
          <w:tab w:val="num" w:pos="5760"/>
        </w:tabs>
        <w:ind w:left="5760" w:hanging="360"/>
      </w:pPr>
      <w:rPr>
        <w:rFonts w:ascii="Courier New" w:hAnsi="Courier New"/>
      </w:rPr>
    </w:lvl>
    <w:lvl w:ilvl="8" w:tplc="489E5FB0">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C3CC0C22">
      <w:start w:val="1"/>
      <w:numFmt w:val="bullet"/>
      <w:lvlText w:val=""/>
      <w:lvlJc w:val="left"/>
      <w:pPr>
        <w:ind w:left="720" w:hanging="360"/>
      </w:pPr>
      <w:rPr>
        <w:rFonts w:ascii="Symbol" w:hAnsi="Symbol"/>
        <w:b w:val="0"/>
        <w:bCs w:val="0"/>
      </w:rPr>
    </w:lvl>
    <w:lvl w:ilvl="1" w:tplc="DBF4AFB2">
      <w:start w:val="1"/>
      <w:numFmt w:val="bullet"/>
      <w:lvlText w:val="o"/>
      <w:lvlJc w:val="left"/>
      <w:pPr>
        <w:tabs>
          <w:tab w:val="num" w:pos="1440"/>
        </w:tabs>
        <w:ind w:left="1440" w:hanging="360"/>
      </w:pPr>
      <w:rPr>
        <w:rFonts w:ascii="Courier New" w:hAnsi="Courier New"/>
      </w:rPr>
    </w:lvl>
    <w:lvl w:ilvl="2" w:tplc="B3BE1E5E">
      <w:start w:val="1"/>
      <w:numFmt w:val="bullet"/>
      <w:lvlText w:val=""/>
      <w:lvlJc w:val="left"/>
      <w:pPr>
        <w:tabs>
          <w:tab w:val="num" w:pos="2160"/>
        </w:tabs>
        <w:ind w:left="2160" w:hanging="360"/>
      </w:pPr>
      <w:rPr>
        <w:rFonts w:ascii="Wingdings" w:hAnsi="Wingdings"/>
      </w:rPr>
    </w:lvl>
    <w:lvl w:ilvl="3" w:tplc="67B87394">
      <w:start w:val="1"/>
      <w:numFmt w:val="bullet"/>
      <w:lvlText w:val=""/>
      <w:lvlJc w:val="left"/>
      <w:pPr>
        <w:tabs>
          <w:tab w:val="num" w:pos="2880"/>
        </w:tabs>
        <w:ind w:left="2880" w:hanging="360"/>
      </w:pPr>
      <w:rPr>
        <w:rFonts w:ascii="Symbol" w:hAnsi="Symbol"/>
      </w:rPr>
    </w:lvl>
    <w:lvl w:ilvl="4" w:tplc="753CF4CC">
      <w:start w:val="1"/>
      <w:numFmt w:val="bullet"/>
      <w:lvlText w:val="o"/>
      <w:lvlJc w:val="left"/>
      <w:pPr>
        <w:tabs>
          <w:tab w:val="num" w:pos="3600"/>
        </w:tabs>
        <w:ind w:left="3600" w:hanging="360"/>
      </w:pPr>
      <w:rPr>
        <w:rFonts w:ascii="Courier New" w:hAnsi="Courier New"/>
      </w:rPr>
    </w:lvl>
    <w:lvl w:ilvl="5" w:tplc="ECC61EEA">
      <w:start w:val="1"/>
      <w:numFmt w:val="bullet"/>
      <w:lvlText w:val=""/>
      <w:lvlJc w:val="left"/>
      <w:pPr>
        <w:tabs>
          <w:tab w:val="num" w:pos="4320"/>
        </w:tabs>
        <w:ind w:left="4320" w:hanging="360"/>
      </w:pPr>
      <w:rPr>
        <w:rFonts w:ascii="Wingdings" w:hAnsi="Wingdings"/>
      </w:rPr>
    </w:lvl>
    <w:lvl w:ilvl="6" w:tplc="657CD08C">
      <w:start w:val="1"/>
      <w:numFmt w:val="bullet"/>
      <w:lvlText w:val=""/>
      <w:lvlJc w:val="left"/>
      <w:pPr>
        <w:tabs>
          <w:tab w:val="num" w:pos="5040"/>
        </w:tabs>
        <w:ind w:left="5040" w:hanging="360"/>
      </w:pPr>
      <w:rPr>
        <w:rFonts w:ascii="Symbol" w:hAnsi="Symbol"/>
      </w:rPr>
    </w:lvl>
    <w:lvl w:ilvl="7" w:tplc="087602D2">
      <w:start w:val="1"/>
      <w:numFmt w:val="bullet"/>
      <w:lvlText w:val="o"/>
      <w:lvlJc w:val="left"/>
      <w:pPr>
        <w:tabs>
          <w:tab w:val="num" w:pos="5760"/>
        </w:tabs>
        <w:ind w:left="5760" w:hanging="360"/>
      </w:pPr>
      <w:rPr>
        <w:rFonts w:ascii="Courier New" w:hAnsi="Courier New"/>
      </w:rPr>
    </w:lvl>
    <w:lvl w:ilvl="8" w:tplc="A900FAE2">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D81645DA">
      <w:start w:val="1"/>
      <w:numFmt w:val="bullet"/>
      <w:lvlText w:val=""/>
      <w:lvlJc w:val="left"/>
      <w:pPr>
        <w:ind w:left="720" w:hanging="360"/>
      </w:pPr>
      <w:rPr>
        <w:rFonts w:ascii="Symbol" w:hAnsi="Symbol"/>
        <w:b w:val="0"/>
        <w:bCs w:val="0"/>
      </w:rPr>
    </w:lvl>
    <w:lvl w:ilvl="1" w:tplc="42A04382">
      <w:start w:val="1"/>
      <w:numFmt w:val="bullet"/>
      <w:lvlText w:val="o"/>
      <w:lvlJc w:val="left"/>
      <w:pPr>
        <w:tabs>
          <w:tab w:val="num" w:pos="1440"/>
        </w:tabs>
        <w:ind w:left="1440" w:hanging="360"/>
      </w:pPr>
      <w:rPr>
        <w:rFonts w:ascii="Courier New" w:hAnsi="Courier New"/>
      </w:rPr>
    </w:lvl>
    <w:lvl w:ilvl="2" w:tplc="23F82DD8">
      <w:start w:val="1"/>
      <w:numFmt w:val="bullet"/>
      <w:lvlText w:val=""/>
      <w:lvlJc w:val="left"/>
      <w:pPr>
        <w:tabs>
          <w:tab w:val="num" w:pos="2160"/>
        </w:tabs>
        <w:ind w:left="2160" w:hanging="360"/>
      </w:pPr>
      <w:rPr>
        <w:rFonts w:ascii="Wingdings" w:hAnsi="Wingdings"/>
      </w:rPr>
    </w:lvl>
    <w:lvl w:ilvl="3" w:tplc="03320BC8">
      <w:start w:val="1"/>
      <w:numFmt w:val="bullet"/>
      <w:lvlText w:val=""/>
      <w:lvlJc w:val="left"/>
      <w:pPr>
        <w:tabs>
          <w:tab w:val="num" w:pos="2880"/>
        </w:tabs>
        <w:ind w:left="2880" w:hanging="360"/>
      </w:pPr>
      <w:rPr>
        <w:rFonts w:ascii="Symbol" w:hAnsi="Symbol"/>
      </w:rPr>
    </w:lvl>
    <w:lvl w:ilvl="4" w:tplc="35EE3766">
      <w:start w:val="1"/>
      <w:numFmt w:val="bullet"/>
      <w:lvlText w:val="o"/>
      <w:lvlJc w:val="left"/>
      <w:pPr>
        <w:tabs>
          <w:tab w:val="num" w:pos="3600"/>
        </w:tabs>
        <w:ind w:left="3600" w:hanging="360"/>
      </w:pPr>
      <w:rPr>
        <w:rFonts w:ascii="Courier New" w:hAnsi="Courier New"/>
      </w:rPr>
    </w:lvl>
    <w:lvl w:ilvl="5" w:tplc="C8D08BA2">
      <w:start w:val="1"/>
      <w:numFmt w:val="bullet"/>
      <w:lvlText w:val=""/>
      <w:lvlJc w:val="left"/>
      <w:pPr>
        <w:tabs>
          <w:tab w:val="num" w:pos="4320"/>
        </w:tabs>
        <w:ind w:left="4320" w:hanging="360"/>
      </w:pPr>
      <w:rPr>
        <w:rFonts w:ascii="Wingdings" w:hAnsi="Wingdings"/>
      </w:rPr>
    </w:lvl>
    <w:lvl w:ilvl="6" w:tplc="56882A3C">
      <w:start w:val="1"/>
      <w:numFmt w:val="bullet"/>
      <w:lvlText w:val=""/>
      <w:lvlJc w:val="left"/>
      <w:pPr>
        <w:tabs>
          <w:tab w:val="num" w:pos="5040"/>
        </w:tabs>
        <w:ind w:left="5040" w:hanging="360"/>
      </w:pPr>
      <w:rPr>
        <w:rFonts w:ascii="Symbol" w:hAnsi="Symbol"/>
      </w:rPr>
    </w:lvl>
    <w:lvl w:ilvl="7" w:tplc="CD84C1AA">
      <w:start w:val="1"/>
      <w:numFmt w:val="bullet"/>
      <w:lvlText w:val="o"/>
      <w:lvlJc w:val="left"/>
      <w:pPr>
        <w:tabs>
          <w:tab w:val="num" w:pos="5760"/>
        </w:tabs>
        <w:ind w:left="5760" w:hanging="360"/>
      </w:pPr>
      <w:rPr>
        <w:rFonts w:ascii="Courier New" w:hAnsi="Courier New"/>
      </w:rPr>
    </w:lvl>
    <w:lvl w:ilvl="8" w:tplc="2E70E79C">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45541A3A">
      <w:start w:val="1"/>
      <w:numFmt w:val="bullet"/>
      <w:lvlText w:val=""/>
      <w:lvlJc w:val="left"/>
      <w:pPr>
        <w:ind w:left="720" w:hanging="360"/>
      </w:pPr>
      <w:rPr>
        <w:rFonts w:ascii="Symbol" w:hAnsi="Symbol"/>
        <w:b w:val="0"/>
        <w:bCs w:val="0"/>
      </w:rPr>
    </w:lvl>
    <w:lvl w:ilvl="1" w:tplc="AC48C6CA">
      <w:start w:val="1"/>
      <w:numFmt w:val="bullet"/>
      <w:lvlText w:val="o"/>
      <w:lvlJc w:val="left"/>
      <w:pPr>
        <w:tabs>
          <w:tab w:val="num" w:pos="1440"/>
        </w:tabs>
        <w:ind w:left="1440" w:hanging="360"/>
      </w:pPr>
      <w:rPr>
        <w:rFonts w:ascii="Courier New" w:hAnsi="Courier New"/>
      </w:rPr>
    </w:lvl>
    <w:lvl w:ilvl="2" w:tplc="B04A9EC4">
      <w:start w:val="1"/>
      <w:numFmt w:val="bullet"/>
      <w:lvlText w:val=""/>
      <w:lvlJc w:val="left"/>
      <w:pPr>
        <w:tabs>
          <w:tab w:val="num" w:pos="2160"/>
        </w:tabs>
        <w:ind w:left="2160" w:hanging="360"/>
      </w:pPr>
      <w:rPr>
        <w:rFonts w:ascii="Wingdings" w:hAnsi="Wingdings"/>
      </w:rPr>
    </w:lvl>
    <w:lvl w:ilvl="3" w:tplc="757A63B2">
      <w:start w:val="1"/>
      <w:numFmt w:val="bullet"/>
      <w:lvlText w:val=""/>
      <w:lvlJc w:val="left"/>
      <w:pPr>
        <w:tabs>
          <w:tab w:val="num" w:pos="2880"/>
        </w:tabs>
        <w:ind w:left="2880" w:hanging="360"/>
      </w:pPr>
      <w:rPr>
        <w:rFonts w:ascii="Symbol" w:hAnsi="Symbol"/>
      </w:rPr>
    </w:lvl>
    <w:lvl w:ilvl="4" w:tplc="1C4E4960">
      <w:start w:val="1"/>
      <w:numFmt w:val="bullet"/>
      <w:lvlText w:val="o"/>
      <w:lvlJc w:val="left"/>
      <w:pPr>
        <w:tabs>
          <w:tab w:val="num" w:pos="3600"/>
        </w:tabs>
        <w:ind w:left="3600" w:hanging="360"/>
      </w:pPr>
      <w:rPr>
        <w:rFonts w:ascii="Courier New" w:hAnsi="Courier New"/>
      </w:rPr>
    </w:lvl>
    <w:lvl w:ilvl="5" w:tplc="407C6268">
      <w:start w:val="1"/>
      <w:numFmt w:val="bullet"/>
      <w:lvlText w:val=""/>
      <w:lvlJc w:val="left"/>
      <w:pPr>
        <w:tabs>
          <w:tab w:val="num" w:pos="4320"/>
        </w:tabs>
        <w:ind w:left="4320" w:hanging="360"/>
      </w:pPr>
      <w:rPr>
        <w:rFonts w:ascii="Wingdings" w:hAnsi="Wingdings"/>
      </w:rPr>
    </w:lvl>
    <w:lvl w:ilvl="6" w:tplc="B6B4B91E">
      <w:start w:val="1"/>
      <w:numFmt w:val="bullet"/>
      <w:lvlText w:val=""/>
      <w:lvlJc w:val="left"/>
      <w:pPr>
        <w:tabs>
          <w:tab w:val="num" w:pos="5040"/>
        </w:tabs>
        <w:ind w:left="5040" w:hanging="360"/>
      </w:pPr>
      <w:rPr>
        <w:rFonts w:ascii="Symbol" w:hAnsi="Symbol"/>
      </w:rPr>
    </w:lvl>
    <w:lvl w:ilvl="7" w:tplc="6836392C">
      <w:start w:val="1"/>
      <w:numFmt w:val="bullet"/>
      <w:lvlText w:val="o"/>
      <w:lvlJc w:val="left"/>
      <w:pPr>
        <w:tabs>
          <w:tab w:val="num" w:pos="5760"/>
        </w:tabs>
        <w:ind w:left="5760" w:hanging="360"/>
      </w:pPr>
      <w:rPr>
        <w:rFonts w:ascii="Courier New" w:hAnsi="Courier New"/>
      </w:rPr>
    </w:lvl>
    <w:lvl w:ilvl="8" w:tplc="CEB8F2EA">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CB448C70">
      <w:start w:val="1"/>
      <w:numFmt w:val="bullet"/>
      <w:lvlText w:val=""/>
      <w:lvlJc w:val="left"/>
      <w:pPr>
        <w:ind w:left="720" w:hanging="360"/>
      </w:pPr>
      <w:rPr>
        <w:rFonts w:ascii="Symbol" w:hAnsi="Symbol"/>
        <w:b w:val="0"/>
        <w:bCs w:val="0"/>
      </w:rPr>
    </w:lvl>
    <w:lvl w:ilvl="1" w:tplc="42EA7DB2">
      <w:start w:val="1"/>
      <w:numFmt w:val="bullet"/>
      <w:lvlText w:val="o"/>
      <w:lvlJc w:val="left"/>
      <w:pPr>
        <w:tabs>
          <w:tab w:val="num" w:pos="1440"/>
        </w:tabs>
        <w:ind w:left="1440" w:hanging="360"/>
      </w:pPr>
      <w:rPr>
        <w:rFonts w:ascii="Courier New" w:hAnsi="Courier New"/>
      </w:rPr>
    </w:lvl>
    <w:lvl w:ilvl="2" w:tplc="9D08A704">
      <w:start w:val="1"/>
      <w:numFmt w:val="bullet"/>
      <w:lvlText w:val=""/>
      <w:lvlJc w:val="left"/>
      <w:pPr>
        <w:tabs>
          <w:tab w:val="num" w:pos="2160"/>
        </w:tabs>
        <w:ind w:left="2160" w:hanging="360"/>
      </w:pPr>
      <w:rPr>
        <w:rFonts w:ascii="Wingdings" w:hAnsi="Wingdings"/>
      </w:rPr>
    </w:lvl>
    <w:lvl w:ilvl="3" w:tplc="D9D683BA">
      <w:start w:val="1"/>
      <w:numFmt w:val="bullet"/>
      <w:lvlText w:val=""/>
      <w:lvlJc w:val="left"/>
      <w:pPr>
        <w:tabs>
          <w:tab w:val="num" w:pos="2880"/>
        </w:tabs>
        <w:ind w:left="2880" w:hanging="360"/>
      </w:pPr>
      <w:rPr>
        <w:rFonts w:ascii="Symbol" w:hAnsi="Symbol"/>
      </w:rPr>
    </w:lvl>
    <w:lvl w:ilvl="4" w:tplc="1AB8880E">
      <w:start w:val="1"/>
      <w:numFmt w:val="bullet"/>
      <w:lvlText w:val="o"/>
      <w:lvlJc w:val="left"/>
      <w:pPr>
        <w:tabs>
          <w:tab w:val="num" w:pos="3600"/>
        </w:tabs>
        <w:ind w:left="3600" w:hanging="360"/>
      </w:pPr>
      <w:rPr>
        <w:rFonts w:ascii="Courier New" w:hAnsi="Courier New"/>
      </w:rPr>
    </w:lvl>
    <w:lvl w:ilvl="5" w:tplc="2AE2A7A0">
      <w:start w:val="1"/>
      <w:numFmt w:val="bullet"/>
      <w:lvlText w:val=""/>
      <w:lvlJc w:val="left"/>
      <w:pPr>
        <w:tabs>
          <w:tab w:val="num" w:pos="4320"/>
        </w:tabs>
        <w:ind w:left="4320" w:hanging="360"/>
      </w:pPr>
      <w:rPr>
        <w:rFonts w:ascii="Wingdings" w:hAnsi="Wingdings"/>
      </w:rPr>
    </w:lvl>
    <w:lvl w:ilvl="6" w:tplc="3C64232A">
      <w:start w:val="1"/>
      <w:numFmt w:val="bullet"/>
      <w:lvlText w:val=""/>
      <w:lvlJc w:val="left"/>
      <w:pPr>
        <w:tabs>
          <w:tab w:val="num" w:pos="5040"/>
        </w:tabs>
        <w:ind w:left="5040" w:hanging="360"/>
      </w:pPr>
      <w:rPr>
        <w:rFonts w:ascii="Symbol" w:hAnsi="Symbol"/>
      </w:rPr>
    </w:lvl>
    <w:lvl w:ilvl="7" w:tplc="8B6AF6B0">
      <w:start w:val="1"/>
      <w:numFmt w:val="bullet"/>
      <w:lvlText w:val="o"/>
      <w:lvlJc w:val="left"/>
      <w:pPr>
        <w:tabs>
          <w:tab w:val="num" w:pos="5760"/>
        </w:tabs>
        <w:ind w:left="5760" w:hanging="360"/>
      </w:pPr>
      <w:rPr>
        <w:rFonts w:ascii="Courier New" w:hAnsi="Courier New"/>
      </w:rPr>
    </w:lvl>
    <w:lvl w:ilvl="8" w:tplc="73FAD390">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A5C03ACE">
      <w:start w:val="1"/>
      <w:numFmt w:val="bullet"/>
      <w:lvlText w:val=""/>
      <w:lvlJc w:val="left"/>
      <w:pPr>
        <w:ind w:left="720" w:hanging="360"/>
      </w:pPr>
      <w:rPr>
        <w:rFonts w:ascii="Symbol" w:hAnsi="Symbol"/>
        <w:b w:val="0"/>
        <w:bCs w:val="0"/>
      </w:rPr>
    </w:lvl>
    <w:lvl w:ilvl="1" w:tplc="4BD6CDEA">
      <w:start w:val="1"/>
      <w:numFmt w:val="bullet"/>
      <w:lvlText w:val="o"/>
      <w:lvlJc w:val="left"/>
      <w:pPr>
        <w:tabs>
          <w:tab w:val="num" w:pos="1440"/>
        </w:tabs>
        <w:ind w:left="1440" w:hanging="360"/>
      </w:pPr>
      <w:rPr>
        <w:rFonts w:ascii="Courier New" w:hAnsi="Courier New"/>
      </w:rPr>
    </w:lvl>
    <w:lvl w:ilvl="2" w:tplc="2A9AC2BA">
      <w:start w:val="1"/>
      <w:numFmt w:val="bullet"/>
      <w:lvlText w:val=""/>
      <w:lvlJc w:val="left"/>
      <w:pPr>
        <w:tabs>
          <w:tab w:val="num" w:pos="2160"/>
        </w:tabs>
        <w:ind w:left="2160" w:hanging="360"/>
      </w:pPr>
      <w:rPr>
        <w:rFonts w:ascii="Wingdings" w:hAnsi="Wingdings"/>
      </w:rPr>
    </w:lvl>
    <w:lvl w:ilvl="3" w:tplc="F6829074">
      <w:start w:val="1"/>
      <w:numFmt w:val="bullet"/>
      <w:lvlText w:val=""/>
      <w:lvlJc w:val="left"/>
      <w:pPr>
        <w:tabs>
          <w:tab w:val="num" w:pos="2880"/>
        </w:tabs>
        <w:ind w:left="2880" w:hanging="360"/>
      </w:pPr>
      <w:rPr>
        <w:rFonts w:ascii="Symbol" w:hAnsi="Symbol"/>
      </w:rPr>
    </w:lvl>
    <w:lvl w:ilvl="4" w:tplc="42E6DD30">
      <w:start w:val="1"/>
      <w:numFmt w:val="bullet"/>
      <w:lvlText w:val="o"/>
      <w:lvlJc w:val="left"/>
      <w:pPr>
        <w:tabs>
          <w:tab w:val="num" w:pos="3600"/>
        </w:tabs>
        <w:ind w:left="3600" w:hanging="360"/>
      </w:pPr>
      <w:rPr>
        <w:rFonts w:ascii="Courier New" w:hAnsi="Courier New"/>
      </w:rPr>
    </w:lvl>
    <w:lvl w:ilvl="5" w:tplc="2076BAAE">
      <w:start w:val="1"/>
      <w:numFmt w:val="bullet"/>
      <w:lvlText w:val=""/>
      <w:lvlJc w:val="left"/>
      <w:pPr>
        <w:tabs>
          <w:tab w:val="num" w:pos="4320"/>
        </w:tabs>
        <w:ind w:left="4320" w:hanging="360"/>
      </w:pPr>
      <w:rPr>
        <w:rFonts w:ascii="Wingdings" w:hAnsi="Wingdings"/>
      </w:rPr>
    </w:lvl>
    <w:lvl w:ilvl="6" w:tplc="2B8E36C4">
      <w:start w:val="1"/>
      <w:numFmt w:val="bullet"/>
      <w:lvlText w:val=""/>
      <w:lvlJc w:val="left"/>
      <w:pPr>
        <w:tabs>
          <w:tab w:val="num" w:pos="5040"/>
        </w:tabs>
        <w:ind w:left="5040" w:hanging="360"/>
      </w:pPr>
      <w:rPr>
        <w:rFonts w:ascii="Symbol" w:hAnsi="Symbol"/>
      </w:rPr>
    </w:lvl>
    <w:lvl w:ilvl="7" w:tplc="6942677C">
      <w:start w:val="1"/>
      <w:numFmt w:val="bullet"/>
      <w:lvlText w:val="o"/>
      <w:lvlJc w:val="left"/>
      <w:pPr>
        <w:tabs>
          <w:tab w:val="num" w:pos="5760"/>
        </w:tabs>
        <w:ind w:left="5760" w:hanging="360"/>
      </w:pPr>
      <w:rPr>
        <w:rFonts w:ascii="Courier New" w:hAnsi="Courier New"/>
      </w:rPr>
    </w:lvl>
    <w:lvl w:ilvl="8" w:tplc="8AEE578C">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4A4EF940">
      <w:start w:val="1"/>
      <w:numFmt w:val="bullet"/>
      <w:lvlText w:val=""/>
      <w:lvlJc w:val="left"/>
      <w:pPr>
        <w:ind w:left="720" w:hanging="360"/>
      </w:pPr>
      <w:rPr>
        <w:rFonts w:ascii="Symbol" w:hAnsi="Symbol"/>
        <w:b w:val="0"/>
        <w:bCs w:val="0"/>
      </w:rPr>
    </w:lvl>
    <w:lvl w:ilvl="1" w:tplc="AEF0BB9C">
      <w:start w:val="1"/>
      <w:numFmt w:val="bullet"/>
      <w:lvlText w:val="o"/>
      <w:lvlJc w:val="left"/>
      <w:pPr>
        <w:tabs>
          <w:tab w:val="num" w:pos="1440"/>
        </w:tabs>
        <w:ind w:left="1440" w:hanging="360"/>
      </w:pPr>
      <w:rPr>
        <w:rFonts w:ascii="Courier New" w:hAnsi="Courier New"/>
      </w:rPr>
    </w:lvl>
    <w:lvl w:ilvl="2" w:tplc="03CAD79A">
      <w:start w:val="1"/>
      <w:numFmt w:val="bullet"/>
      <w:lvlText w:val=""/>
      <w:lvlJc w:val="left"/>
      <w:pPr>
        <w:tabs>
          <w:tab w:val="num" w:pos="2160"/>
        </w:tabs>
        <w:ind w:left="2160" w:hanging="360"/>
      </w:pPr>
      <w:rPr>
        <w:rFonts w:ascii="Wingdings" w:hAnsi="Wingdings"/>
      </w:rPr>
    </w:lvl>
    <w:lvl w:ilvl="3" w:tplc="A8707746">
      <w:start w:val="1"/>
      <w:numFmt w:val="bullet"/>
      <w:lvlText w:val=""/>
      <w:lvlJc w:val="left"/>
      <w:pPr>
        <w:tabs>
          <w:tab w:val="num" w:pos="2880"/>
        </w:tabs>
        <w:ind w:left="2880" w:hanging="360"/>
      </w:pPr>
      <w:rPr>
        <w:rFonts w:ascii="Symbol" w:hAnsi="Symbol"/>
      </w:rPr>
    </w:lvl>
    <w:lvl w:ilvl="4" w:tplc="1D7C61A6">
      <w:start w:val="1"/>
      <w:numFmt w:val="bullet"/>
      <w:lvlText w:val="o"/>
      <w:lvlJc w:val="left"/>
      <w:pPr>
        <w:tabs>
          <w:tab w:val="num" w:pos="3600"/>
        </w:tabs>
        <w:ind w:left="3600" w:hanging="360"/>
      </w:pPr>
      <w:rPr>
        <w:rFonts w:ascii="Courier New" w:hAnsi="Courier New"/>
      </w:rPr>
    </w:lvl>
    <w:lvl w:ilvl="5" w:tplc="AFA2713E">
      <w:start w:val="1"/>
      <w:numFmt w:val="bullet"/>
      <w:lvlText w:val=""/>
      <w:lvlJc w:val="left"/>
      <w:pPr>
        <w:tabs>
          <w:tab w:val="num" w:pos="4320"/>
        </w:tabs>
        <w:ind w:left="4320" w:hanging="360"/>
      </w:pPr>
      <w:rPr>
        <w:rFonts w:ascii="Wingdings" w:hAnsi="Wingdings"/>
      </w:rPr>
    </w:lvl>
    <w:lvl w:ilvl="6" w:tplc="D48C90D8">
      <w:start w:val="1"/>
      <w:numFmt w:val="bullet"/>
      <w:lvlText w:val=""/>
      <w:lvlJc w:val="left"/>
      <w:pPr>
        <w:tabs>
          <w:tab w:val="num" w:pos="5040"/>
        </w:tabs>
        <w:ind w:left="5040" w:hanging="360"/>
      </w:pPr>
      <w:rPr>
        <w:rFonts w:ascii="Symbol" w:hAnsi="Symbol"/>
      </w:rPr>
    </w:lvl>
    <w:lvl w:ilvl="7" w:tplc="117AF220">
      <w:start w:val="1"/>
      <w:numFmt w:val="bullet"/>
      <w:lvlText w:val="o"/>
      <w:lvlJc w:val="left"/>
      <w:pPr>
        <w:tabs>
          <w:tab w:val="num" w:pos="5760"/>
        </w:tabs>
        <w:ind w:left="5760" w:hanging="360"/>
      </w:pPr>
      <w:rPr>
        <w:rFonts w:ascii="Courier New" w:hAnsi="Courier New"/>
      </w:rPr>
    </w:lvl>
    <w:lvl w:ilvl="8" w:tplc="554EEC44">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46FED5D6">
      <w:start w:val="1"/>
      <w:numFmt w:val="bullet"/>
      <w:lvlText w:val=""/>
      <w:lvlJc w:val="left"/>
      <w:pPr>
        <w:ind w:left="720" w:hanging="360"/>
      </w:pPr>
      <w:rPr>
        <w:rFonts w:ascii="Symbol" w:hAnsi="Symbol"/>
        <w:b w:val="0"/>
        <w:bCs w:val="0"/>
      </w:rPr>
    </w:lvl>
    <w:lvl w:ilvl="1" w:tplc="00DC3CFA">
      <w:start w:val="1"/>
      <w:numFmt w:val="bullet"/>
      <w:lvlText w:val="o"/>
      <w:lvlJc w:val="left"/>
      <w:pPr>
        <w:tabs>
          <w:tab w:val="num" w:pos="1440"/>
        </w:tabs>
        <w:ind w:left="1440" w:hanging="360"/>
      </w:pPr>
      <w:rPr>
        <w:rFonts w:ascii="Courier New" w:hAnsi="Courier New"/>
      </w:rPr>
    </w:lvl>
    <w:lvl w:ilvl="2" w:tplc="B944F0FA">
      <w:start w:val="1"/>
      <w:numFmt w:val="bullet"/>
      <w:lvlText w:val=""/>
      <w:lvlJc w:val="left"/>
      <w:pPr>
        <w:tabs>
          <w:tab w:val="num" w:pos="2160"/>
        </w:tabs>
        <w:ind w:left="2160" w:hanging="360"/>
      </w:pPr>
      <w:rPr>
        <w:rFonts w:ascii="Wingdings" w:hAnsi="Wingdings"/>
      </w:rPr>
    </w:lvl>
    <w:lvl w:ilvl="3" w:tplc="55504746">
      <w:start w:val="1"/>
      <w:numFmt w:val="bullet"/>
      <w:lvlText w:val=""/>
      <w:lvlJc w:val="left"/>
      <w:pPr>
        <w:tabs>
          <w:tab w:val="num" w:pos="2880"/>
        </w:tabs>
        <w:ind w:left="2880" w:hanging="360"/>
      </w:pPr>
      <w:rPr>
        <w:rFonts w:ascii="Symbol" w:hAnsi="Symbol"/>
      </w:rPr>
    </w:lvl>
    <w:lvl w:ilvl="4" w:tplc="DE701766">
      <w:start w:val="1"/>
      <w:numFmt w:val="bullet"/>
      <w:lvlText w:val="o"/>
      <w:lvlJc w:val="left"/>
      <w:pPr>
        <w:tabs>
          <w:tab w:val="num" w:pos="3600"/>
        </w:tabs>
        <w:ind w:left="3600" w:hanging="360"/>
      </w:pPr>
      <w:rPr>
        <w:rFonts w:ascii="Courier New" w:hAnsi="Courier New"/>
      </w:rPr>
    </w:lvl>
    <w:lvl w:ilvl="5" w:tplc="1AAE0CA8">
      <w:start w:val="1"/>
      <w:numFmt w:val="bullet"/>
      <w:lvlText w:val=""/>
      <w:lvlJc w:val="left"/>
      <w:pPr>
        <w:tabs>
          <w:tab w:val="num" w:pos="4320"/>
        </w:tabs>
        <w:ind w:left="4320" w:hanging="360"/>
      </w:pPr>
      <w:rPr>
        <w:rFonts w:ascii="Wingdings" w:hAnsi="Wingdings"/>
      </w:rPr>
    </w:lvl>
    <w:lvl w:ilvl="6" w:tplc="E8602D72">
      <w:start w:val="1"/>
      <w:numFmt w:val="bullet"/>
      <w:lvlText w:val=""/>
      <w:lvlJc w:val="left"/>
      <w:pPr>
        <w:tabs>
          <w:tab w:val="num" w:pos="5040"/>
        </w:tabs>
        <w:ind w:left="5040" w:hanging="360"/>
      </w:pPr>
      <w:rPr>
        <w:rFonts w:ascii="Symbol" w:hAnsi="Symbol"/>
      </w:rPr>
    </w:lvl>
    <w:lvl w:ilvl="7" w:tplc="E6BE99AC">
      <w:start w:val="1"/>
      <w:numFmt w:val="bullet"/>
      <w:lvlText w:val="o"/>
      <w:lvlJc w:val="left"/>
      <w:pPr>
        <w:tabs>
          <w:tab w:val="num" w:pos="5760"/>
        </w:tabs>
        <w:ind w:left="5760" w:hanging="360"/>
      </w:pPr>
      <w:rPr>
        <w:rFonts w:ascii="Courier New" w:hAnsi="Courier New"/>
      </w:rPr>
    </w:lvl>
    <w:lvl w:ilvl="8" w:tplc="F2E62A16">
      <w:start w:val="1"/>
      <w:numFmt w:val="bullet"/>
      <w:lvlText w:val=""/>
      <w:lvlJc w:val="left"/>
      <w:pPr>
        <w:tabs>
          <w:tab w:val="num" w:pos="6480"/>
        </w:tabs>
        <w:ind w:left="6480" w:hanging="360"/>
      </w:pPr>
      <w:rPr>
        <w:rFonts w:ascii="Wingdings" w:hAnsi="Wingdings"/>
      </w:rPr>
    </w:lvl>
  </w:abstractNum>
  <w:abstractNum w:abstractNumId="10" w15:restartNumberingAfterBreak="0">
    <w:nsid w:val="2FD70250"/>
    <w:multiLevelType w:val="hybridMultilevel"/>
    <w:tmpl w:val="05EC6DD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349E47BB"/>
    <w:multiLevelType w:val="hybridMultilevel"/>
    <w:tmpl w:val="410A67A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40182A3C"/>
    <w:multiLevelType w:val="hybridMultilevel"/>
    <w:tmpl w:val="095EB8F8"/>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3" w15:restartNumberingAfterBreak="0">
    <w:nsid w:val="4F251691"/>
    <w:multiLevelType w:val="hybridMultilevel"/>
    <w:tmpl w:val="817E4608"/>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4" w15:restartNumberingAfterBreak="0">
    <w:nsid w:val="55154F90"/>
    <w:multiLevelType w:val="hybridMultilevel"/>
    <w:tmpl w:val="366C2AC8"/>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5" w15:restartNumberingAfterBreak="0">
    <w:nsid w:val="5F225A66"/>
    <w:multiLevelType w:val="hybridMultilevel"/>
    <w:tmpl w:val="8E94282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6BFF6C2F"/>
    <w:multiLevelType w:val="hybridMultilevel"/>
    <w:tmpl w:val="6CE2AF9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6DB33A8E"/>
    <w:multiLevelType w:val="hybridMultilevel"/>
    <w:tmpl w:val="390AB9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78010470"/>
    <w:multiLevelType w:val="hybridMultilevel"/>
    <w:tmpl w:val="1DC440B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199197226">
    <w:abstractNumId w:val="0"/>
  </w:num>
  <w:num w:numId="2" w16cid:durableId="923148599">
    <w:abstractNumId w:val="1"/>
  </w:num>
  <w:num w:numId="3" w16cid:durableId="1363552737">
    <w:abstractNumId w:val="2"/>
  </w:num>
  <w:num w:numId="4" w16cid:durableId="1138183495">
    <w:abstractNumId w:val="3"/>
  </w:num>
  <w:num w:numId="5" w16cid:durableId="1904607967">
    <w:abstractNumId w:val="4"/>
  </w:num>
  <w:num w:numId="6" w16cid:durableId="1117211235">
    <w:abstractNumId w:val="5"/>
  </w:num>
  <w:num w:numId="7" w16cid:durableId="1176965173">
    <w:abstractNumId w:val="6"/>
  </w:num>
  <w:num w:numId="8" w16cid:durableId="938222225">
    <w:abstractNumId w:val="7"/>
  </w:num>
  <w:num w:numId="9" w16cid:durableId="2133404857">
    <w:abstractNumId w:val="8"/>
  </w:num>
  <w:num w:numId="10" w16cid:durableId="1189217719">
    <w:abstractNumId w:val="9"/>
  </w:num>
  <w:num w:numId="11" w16cid:durableId="1290282262">
    <w:abstractNumId w:val="16"/>
  </w:num>
  <w:num w:numId="12" w16cid:durableId="2029479536">
    <w:abstractNumId w:val="11"/>
  </w:num>
  <w:num w:numId="13" w16cid:durableId="242104002">
    <w:abstractNumId w:val="17"/>
  </w:num>
  <w:num w:numId="14" w16cid:durableId="1149709641">
    <w:abstractNumId w:val="18"/>
  </w:num>
  <w:num w:numId="15" w16cid:durableId="63920392">
    <w:abstractNumId w:val="13"/>
  </w:num>
  <w:num w:numId="16" w16cid:durableId="679086162">
    <w:abstractNumId w:val="15"/>
  </w:num>
  <w:num w:numId="17" w16cid:durableId="1235819335">
    <w:abstractNumId w:val="10"/>
  </w:num>
  <w:num w:numId="18" w16cid:durableId="1342243594">
    <w:abstractNumId w:val="12"/>
  </w:num>
  <w:num w:numId="19" w16cid:durableId="8758049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073"/>
    <w:rsid w:val="00015C8C"/>
    <w:rsid w:val="000259DD"/>
    <w:rsid w:val="00027AA4"/>
    <w:rsid w:val="00036FBC"/>
    <w:rsid w:val="000375D7"/>
    <w:rsid w:val="00037C6E"/>
    <w:rsid w:val="000514F6"/>
    <w:rsid w:val="000539C8"/>
    <w:rsid w:val="00061F0F"/>
    <w:rsid w:val="00063821"/>
    <w:rsid w:val="00067C1E"/>
    <w:rsid w:val="00085B9D"/>
    <w:rsid w:val="000A34CB"/>
    <w:rsid w:val="000D2D29"/>
    <w:rsid w:val="000E7235"/>
    <w:rsid w:val="00114E68"/>
    <w:rsid w:val="00127DB4"/>
    <w:rsid w:val="001350F1"/>
    <w:rsid w:val="00151C8A"/>
    <w:rsid w:val="00175CA9"/>
    <w:rsid w:val="001820B5"/>
    <w:rsid w:val="00185A2F"/>
    <w:rsid w:val="00190263"/>
    <w:rsid w:val="0019386D"/>
    <w:rsid w:val="001A3C0B"/>
    <w:rsid w:val="001F1371"/>
    <w:rsid w:val="001F4BD9"/>
    <w:rsid w:val="00236EA7"/>
    <w:rsid w:val="00253E44"/>
    <w:rsid w:val="002541B3"/>
    <w:rsid w:val="00275162"/>
    <w:rsid w:val="0027722F"/>
    <w:rsid w:val="002772BE"/>
    <w:rsid w:val="002866D8"/>
    <w:rsid w:val="002A7D14"/>
    <w:rsid w:val="002D3BEC"/>
    <w:rsid w:val="003116BE"/>
    <w:rsid w:val="00327647"/>
    <w:rsid w:val="00330F11"/>
    <w:rsid w:val="0033455A"/>
    <w:rsid w:val="00347973"/>
    <w:rsid w:val="00393BE7"/>
    <w:rsid w:val="003A21B3"/>
    <w:rsid w:val="003A655F"/>
    <w:rsid w:val="003B672C"/>
    <w:rsid w:val="003D27BF"/>
    <w:rsid w:val="004025CC"/>
    <w:rsid w:val="00407264"/>
    <w:rsid w:val="00457BE9"/>
    <w:rsid w:val="004603C8"/>
    <w:rsid w:val="00485345"/>
    <w:rsid w:val="004D78A1"/>
    <w:rsid w:val="00504BAF"/>
    <w:rsid w:val="00505041"/>
    <w:rsid w:val="005920AA"/>
    <w:rsid w:val="005C22E9"/>
    <w:rsid w:val="005D6FD2"/>
    <w:rsid w:val="005E1191"/>
    <w:rsid w:val="005F0E15"/>
    <w:rsid w:val="00622768"/>
    <w:rsid w:val="00646D67"/>
    <w:rsid w:val="0065406B"/>
    <w:rsid w:val="00685F4E"/>
    <w:rsid w:val="0069315B"/>
    <w:rsid w:val="006A15BA"/>
    <w:rsid w:val="006A6E55"/>
    <w:rsid w:val="006C0E4A"/>
    <w:rsid w:val="0070344E"/>
    <w:rsid w:val="00707C15"/>
    <w:rsid w:val="00730ED0"/>
    <w:rsid w:val="00773ABB"/>
    <w:rsid w:val="0079678A"/>
    <w:rsid w:val="007B56EE"/>
    <w:rsid w:val="007B5880"/>
    <w:rsid w:val="007C47B3"/>
    <w:rsid w:val="007C4AE5"/>
    <w:rsid w:val="007D0E69"/>
    <w:rsid w:val="007D11DA"/>
    <w:rsid w:val="00805C3F"/>
    <w:rsid w:val="008125D9"/>
    <w:rsid w:val="00853BD6"/>
    <w:rsid w:val="00891C82"/>
    <w:rsid w:val="008C6F59"/>
    <w:rsid w:val="008E3FA5"/>
    <w:rsid w:val="00903C9D"/>
    <w:rsid w:val="009369C3"/>
    <w:rsid w:val="00963576"/>
    <w:rsid w:val="009664F1"/>
    <w:rsid w:val="009816D1"/>
    <w:rsid w:val="00984150"/>
    <w:rsid w:val="009A6917"/>
    <w:rsid w:val="009D39A8"/>
    <w:rsid w:val="009F04C9"/>
    <w:rsid w:val="009F7DB6"/>
    <w:rsid w:val="00A1299D"/>
    <w:rsid w:val="00A15F1A"/>
    <w:rsid w:val="00A26FC1"/>
    <w:rsid w:val="00A83A23"/>
    <w:rsid w:val="00AF49E2"/>
    <w:rsid w:val="00AF7C70"/>
    <w:rsid w:val="00B13BB4"/>
    <w:rsid w:val="00B33069"/>
    <w:rsid w:val="00B41912"/>
    <w:rsid w:val="00B43032"/>
    <w:rsid w:val="00B5180C"/>
    <w:rsid w:val="00B554E1"/>
    <w:rsid w:val="00BB11E2"/>
    <w:rsid w:val="00BE12B2"/>
    <w:rsid w:val="00BE162E"/>
    <w:rsid w:val="00BF41AF"/>
    <w:rsid w:val="00C03675"/>
    <w:rsid w:val="00C7311C"/>
    <w:rsid w:val="00C84107"/>
    <w:rsid w:val="00CB0D54"/>
    <w:rsid w:val="00CB3DD6"/>
    <w:rsid w:val="00CB716B"/>
    <w:rsid w:val="00CB75FF"/>
    <w:rsid w:val="00CC1AA4"/>
    <w:rsid w:val="00D30055"/>
    <w:rsid w:val="00D75DB3"/>
    <w:rsid w:val="00D77F4C"/>
    <w:rsid w:val="00D82ECD"/>
    <w:rsid w:val="00D94BB1"/>
    <w:rsid w:val="00DD6191"/>
    <w:rsid w:val="00DF6383"/>
    <w:rsid w:val="00E129EE"/>
    <w:rsid w:val="00E17167"/>
    <w:rsid w:val="00E238F6"/>
    <w:rsid w:val="00E25E0D"/>
    <w:rsid w:val="00E44C97"/>
    <w:rsid w:val="00E52058"/>
    <w:rsid w:val="00E531DD"/>
    <w:rsid w:val="00E55912"/>
    <w:rsid w:val="00E923DA"/>
    <w:rsid w:val="00EA19B9"/>
    <w:rsid w:val="00EB5FB7"/>
    <w:rsid w:val="00EF17D0"/>
    <w:rsid w:val="00F12597"/>
    <w:rsid w:val="00F27B31"/>
    <w:rsid w:val="00F3612A"/>
    <w:rsid w:val="00F530A7"/>
    <w:rsid w:val="00F71D88"/>
    <w:rsid w:val="00F7385F"/>
    <w:rsid w:val="00F76073"/>
    <w:rsid w:val="00F82CF0"/>
    <w:rsid w:val="00F872F6"/>
    <w:rsid w:val="00F95F40"/>
    <w:rsid w:val="00FF1018"/>
  </w:rsids>
  <m:mathPr>
    <m:mathFont m:val="Cambria Math"/>
    <m:brkBin m:val="before"/>
    <m:brkBinSub m:val="--"/>
    <m:smallFrac m:val="0"/>
    <m:dispDef/>
    <m:lMargin m:val="0"/>
    <m:rMargin m:val="0"/>
    <m:defJc m:val="centerGroup"/>
    <m:wrapIndent m:val="1440"/>
    <m:intLim m:val="subSup"/>
    <m:naryLim m:val="undOvr"/>
  </m:mathPr>
  <w:themeFontLang w:val="en-N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EEA651"/>
  <w15:docId w15:val="{EE8A9BD1-6B43-4071-9AB8-99193B7B9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NA" w:eastAsia="en-N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b/>
      <w:bCs/>
      <w:kern w:val="36"/>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34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63815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doi.org/10.1186/2046-4053-4-1"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3091</TotalTime>
  <Pages>19</Pages>
  <Words>5674</Words>
  <Characters>33308</Characters>
  <Application>Microsoft Office Word</Application>
  <DocSecurity>0</DocSecurity>
  <Lines>520</Lines>
  <Paragraphs>154</Paragraphs>
  <ScaleCrop>false</ScaleCrop>
  <Company/>
  <LinksUpToDate>false</LinksUpToDate>
  <CharactersWithSpaces>38828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 Asa, Romeo Asa</dc:creator>
  <cp:lastModifiedBy>Prof Asa, Romeo Asa</cp:lastModifiedBy>
  <cp:revision>144</cp:revision>
  <dcterms:created xsi:type="dcterms:W3CDTF">2023-12-10T17:27:00Z</dcterms:created>
  <dcterms:modified xsi:type="dcterms:W3CDTF">2024-08-27T13:44:00Z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e07e3ed21c619cc2d1f168bed3883510bf2a7c0fcf936d2b869dba92cbaaa3bd</vt:lpwstr>
  </property>
</Properties>
</file>