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A7E" w:rsidRDefault="009608B3" w:rsidP="00456A7E">
      <w:pPr>
        <w:pStyle w:val="Title"/>
        <w:framePr w:w="0" w:hSpace="0" w:vSpace="0" w:wrap="auto" w:vAnchor="margin" w:hAnchor="text" w:xAlign="left" w:yAlign="inline"/>
      </w:pPr>
      <w:r>
        <w:t xml:space="preserve">A </w:t>
      </w:r>
      <w:r w:rsidR="00875FCA">
        <w:t>Case Study</w:t>
      </w:r>
      <w:r>
        <w:t xml:space="preserve">: </w:t>
      </w:r>
      <w:r>
        <w:t>Blockchain</w:t>
      </w:r>
      <w:bookmarkStart w:id="0" w:name="_GoBack"/>
      <w:bookmarkEnd w:id="0"/>
      <w:r>
        <w:t xml:space="preserve"> </w:t>
      </w:r>
      <w:r w:rsidRPr="00456A7E">
        <w:t>Tokens in Peer to Peer Energy Trading platform</w:t>
      </w:r>
    </w:p>
    <w:p w:rsidR="00456A7E" w:rsidRPr="00456A7E" w:rsidRDefault="00456A7E" w:rsidP="00456A7E"/>
    <w:p w:rsidR="00FB44D4" w:rsidRPr="00FB44D4" w:rsidRDefault="00456A7E" w:rsidP="00FB44D4">
      <w:pPr>
        <w:pStyle w:val="Author"/>
        <w:spacing w:before="0"/>
        <w:jc w:val="left"/>
        <w:rPr>
          <w:sz w:val="18"/>
          <w:szCs w:val="18"/>
          <w:lang w:val="de-DE"/>
        </w:rPr>
      </w:pPr>
      <w:r w:rsidRPr="009C1997">
        <w:rPr>
          <w:rFonts w:eastAsia="Times New Roman"/>
          <w:noProof w:val="0"/>
          <w:color w:val="000000"/>
          <w:lang w:val="de-DE"/>
        </w:rPr>
        <w:t>Abhinav Kataki,</w:t>
      </w:r>
      <w:r w:rsidR="0095405E" w:rsidRPr="009C1997">
        <w:rPr>
          <w:rFonts w:eastAsia="Times New Roman"/>
          <w:noProof w:val="0"/>
          <w:color w:val="000000"/>
          <w:lang w:val="de-DE"/>
        </w:rPr>
        <w:t xml:space="preserve"> Gayathri Venkataramani</w:t>
      </w:r>
      <w:r w:rsidR="00FB44D4" w:rsidRPr="009C1997">
        <w:rPr>
          <w:rFonts w:eastAsia="Times New Roman"/>
          <w:noProof w:val="0"/>
          <w:color w:val="000000"/>
          <w:lang w:val="de-DE"/>
        </w:rPr>
        <w:t>, K. Palanisamy.</w:t>
      </w:r>
    </w:p>
    <w:p w:rsidR="0095405E" w:rsidRDefault="0095405E" w:rsidP="0095405E">
      <w:pPr>
        <w:pStyle w:val="Title"/>
        <w:framePr w:w="0" w:hSpace="0" w:vSpace="0" w:wrap="auto" w:vAnchor="margin" w:hAnchor="text" w:xAlign="left" w:yAlign="inline"/>
        <w:jc w:val="left"/>
        <w:rPr>
          <w:color w:val="000000"/>
          <w:kern w:val="0"/>
          <w:sz w:val="22"/>
          <w:szCs w:val="22"/>
        </w:rPr>
      </w:pPr>
      <w:r>
        <w:rPr>
          <w:color w:val="000000"/>
          <w:kern w:val="0"/>
          <w:sz w:val="22"/>
          <w:szCs w:val="22"/>
        </w:rPr>
        <w:t>Center for Clean Environment, Vellore Institut</w:t>
      </w:r>
      <w:r w:rsidR="00D07D1D">
        <w:rPr>
          <w:color w:val="000000"/>
          <w:kern w:val="0"/>
          <w:sz w:val="22"/>
          <w:szCs w:val="22"/>
        </w:rPr>
        <w:t>e of Technology, Vellore, Tamiln</w:t>
      </w:r>
      <w:r>
        <w:rPr>
          <w:color w:val="000000"/>
          <w:kern w:val="0"/>
          <w:sz w:val="22"/>
          <w:szCs w:val="22"/>
        </w:rPr>
        <w:t>adu</w:t>
      </w:r>
    </w:p>
    <w:p w:rsidR="00D07D1D" w:rsidRPr="00D07D1D" w:rsidRDefault="00D07D1D" w:rsidP="00D07D1D">
      <w:r>
        <w:t xml:space="preserve">Department of Electrical Engineering, </w:t>
      </w:r>
      <w:r>
        <w:rPr>
          <w:color w:val="000000"/>
        </w:rPr>
        <w:t>Vellore Institute of Technology, Vellore, Tamilnadu</w:t>
      </w:r>
    </w:p>
    <w:p w:rsidR="0095405E" w:rsidRPr="0095405E" w:rsidRDefault="0095405E" w:rsidP="0095405E"/>
    <w:p w:rsidR="00D86398" w:rsidRPr="00456A7E" w:rsidRDefault="00D86398" w:rsidP="00456A7E">
      <w:pPr>
        <w:pStyle w:val="Title"/>
        <w:framePr w:w="0" w:hSpace="0" w:vSpace="0" w:wrap="auto" w:vAnchor="margin" w:hAnchor="text" w:xAlign="left" w:yAlign="inline"/>
        <w:rPr>
          <w:color w:val="000000"/>
          <w:kern w:val="0"/>
          <w:sz w:val="22"/>
          <w:szCs w:val="22"/>
        </w:rPr>
      </w:pPr>
      <w:r w:rsidRPr="00456A7E">
        <w:rPr>
          <w:color w:val="000000"/>
          <w:kern w:val="0"/>
          <w:sz w:val="22"/>
          <w:szCs w:val="22"/>
        </w:rPr>
        <w:t xml:space="preserve"> </w:t>
      </w:r>
    </w:p>
    <w:p w:rsidR="00E5671E" w:rsidRPr="001B2A5E" w:rsidRDefault="00FB44D4" w:rsidP="00FB44D4">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Abstract</w:t>
      </w:r>
    </w:p>
    <w:p w:rsidR="00D86398" w:rsidRDefault="00DD06B8" w:rsidP="00D86398">
      <w:r>
        <w:t>The accelerating adoption of renewable energy</w:t>
      </w:r>
      <w:r w:rsidR="004A4B30" w:rsidRPr="004A4B30">
        <w:t xml:space="preserve"> renewable energy sources and decentralized energy systems has paved the way for innovative energy trading mechanisms. Among these, Peer</w:t>
      </w:r>
      <w:r w:rsidR="00496E5A">
        <w:t xml:space="preserve"> </w:t>
      </w:r>
      <w:r w:rsidR="004A4B30" w:rsidRPr="004A4B30">
        <w:t>to</w:t>
      </w:r>
      <w:r w:rsidR="00496E5A">
        <w:t xml:space="preserve"> </w:t>
      </w:r>
      <w:r w:rsidR="004A4B30" w:rsidRPr="004A4B30">
        <w:t>Peer (P2P) energy trading has emerged as a promising approach, enabling consumers to tra</w:t>
      </w:r>
      <w:r w:rsidR="00A53810">
        <w:t>de energy directly. Energy tokens or coin</w:t>
      </w:r>
      <w:r w:rsidR="004A4B30" w:rsidRPr="004A4B30">
        <w:t xml:space="preserve">, a form of digital currency tailored for energy transactions, play a crucial role in facilitating these trades. This review paper explores the concept of energy </w:t>
      </w:r>
      <w:r w:rsidR="00757645">
        <w:t>tokens</w:t>
      </w:r>
      <w:r w:rsidR="004A4B30" w:rsidRPr="004A4B30">
        <w:t>, their applications in P2P energy trading, and the benefits and challenges associated with their implementation.</w:t>
      </w:r>
    </w:p>
    <w:p w:rsidR="005A6C99" w:rsidRPr="005A6C99" w:rsidRDefault="005A6C99" w:rsidP="005A6C99">
      <w:r w:rsidRPr="005A6C99">
        <w:t>This research explores the applications of tokenization in the energy sector, focusing on its potential to enhance efficiency, transparency, and sustainability. By examining case studies and analyzing the benefits and challenges associated with tokenization, this paper aims to contribute to a deeper understanding of its implications for the future of energy markets. Key areas of investigation include tokenized renewable energy certificates, peer-to-peer energy trading, and the role of smart contracts in optimizing energy consumption. The findings suggest that tokenization can facilitate decentralized energy systems, improve market liquidity, and promote the adoption of sustainable energy sources.</w:t>
      </w:r>
    </w:p>
    <w:p w:rsidR="00D86398" w:rsidRPr="001B2A5E" w:rsidRDefault="00D86398" w:rsidP="001B2A5E">
      <w:pPr>
        <w:spacing w:line="480" w:lineRule="auto"/>
        <w:rPr>
          <w:rFonts w:ascii="Times New Roman" w:hAnsi="Times New Roman" w:cs="Times New Roman"/>
          <w:b/>
          <w:bCs/>
          <w:sz w:val="24"/>
          <w:szCs w:val="24"/>
        </w:rPr>
      </w:pPr>
      <w:r w:rsidRPr="001B2A5E">
        <w:rPr>
          <w:rFonts w:ascii="Times New Roman" w:hAnsi="Times New Roman" w:cs="Times New Roman"/>
          <w:b/>
          <w:bCs/>
          <w:sz w:val="24"/>
          <w:szCs w:val="24"/>
        </w:rPr>
        <w:t>Introduction:</w:t>
      </w:r>
    </w:p>
    <w:p w:rsidR="00D86398" w:rsidRDefault="00D86398" w:rsidP="00D86398">
      <w:r w:rsidRPr="008D4CCA">
        <w:t>Global electricity demand is projected to increase by 3.4% annually until 2026, driven by economic growth, electrification in residential and transport sectors, and data center expansion in advanced economies</w:t>
      </w:r>
      <w:r>
        <w:t xml:space="preserve">. </w:t>
      </w:r>
      <w:r w:rsidRPr="00996B4A">
        <w:t>Updated regulations and technological improvements, including on efficiency, will be crucial to moderate the surge in energ</w:t>
      </w:r>
      <w:r w:rsidR="00C96104">
        <w:t>y consumption from data centers</w:t>
      </w:r>
      <w:r w:rsidR="00C360BA">
        <w:t xml:space="preserve"> </w:t>
      </w:r>
      <w:r w:rsidR="009619A3">
        <w:fldChar w:fldCharType="begin" w:fldLock="1"/>
      </w:r>
      <w:r w:rsidR="005F1403">
        <w:instrText>ADDIN CSL_CITATION {"citationItems":[{"id":"ITEM-1","itemData":{"abstract":"Electricity is central to the functioning of modern societies and economies – and its importance is only growing as technologies that run on electricity, such as electric vehicles and heat pumps, become increasingly popular. Power generation is currently the largest source of carbon dioxide (CO2) emissions in the world, but it is also the sector leading the transition to net zero emissions through the rapid expansion of renewable energy sources such as solar and wind power. Ensuring consumers have secure and affordable access to electricity while also reducing global carbon dioxide (CO2) emissions is one of the core challenges of the energy transition. Given these trends, the International Energy Agency’s Electricity 2024 is essential reading. It offers a deep and comprehensive analysis of recent policies and market developments, and provides forecasts through 2026 for electricity demand, supply and CO2 emissions. The IEA’s electricity sector report, which has been published regularly since 2020, provides insight into the evolving generation mix. In addition, this year’s report features in-depth analysis on the drivers of recent declines in electricity demand in Europe; the data centre sector’s impact on electricity consumption; and recent developments in the global nuclear power sector.","author":[{"dropping-particle":"","family":"IEA","given":"","non-dropping-particle":"","parse-names":false,"suffix":""}],"container-title":"IEA Publications","id":"ITEM-1","issued":{"date-parts":[["2024"]]},"page":"1-170","title":"Electricity 2024: Analysis and forecast to 2026","type":"article-journal"},"uris":["http://www.mendeley.com/documents/?uuid=8a102b4a-dc42-4bc4-9d05-6729d401cb1e","http://www.mendeley.com/documents/?uuid=d1637f29-8bbb-4408-b57f-a6279e28a174"]}],"mendeley":{"formattedCitation":"[1]","plainTextFormattedCitation":"[1]","previouslyFormattedCitation":"[1]"},"properties":{"noteIndex":0},"schema":"https://github.com/citation-style-language/schema/raw/master/csl-citation.json"}</w:instrText>
      </w:r>
      <w:r w:rsidR="009619A3">
        <w:fldChar w:fldCharType="separate"/>
      </w:r>
      <w:r w:rsidR="005F1403" w:rsidRPr="005F1403">
        <w:rPr>
          <w:noProof/>
        </w:rPr>
        <w:t>[1]</w:t>
      </w:r>
      <w:r w:rsidR="009619A3">
        <w:fldChar w:fldCharType="end"/>
      </w:r>
      <w:r w:rsidR="00C96104">
        <w:t>.</w:t>
      </w:r>
      <w:r w:rsidR="000E3B0C">
        <w:t xml:space="preserve"> </w:t>
      </w:r>
      <w:r w:rsidR="00D50B76">
        <w:t>The current energy model, reliant on centralized power plants and long-distance transmission, struggles with high costs and limitations. As electricity demand is projected to double by 2050, this infrastructure simply won't suffice. A shift towards a decentralized model powered by renewables is essential for a sustainable future.</w:t>
      </w:r>
      <w:r w:rsidR="00CE2D71">
        <w:t xml:space="preserve"> </w:t>
      </w:r>
      <w:r w:rsidRPr="00A96AA0">
        <w:t xml:space="preserve">The electric </w:t>
      </w:r>
      <w:r>
        <w:t xml:space="preserve">utility </w:t>
      </w:r>
      <w:r w:rsidRPr="00A96AA0">
        <w:t>industry is witnessing substantial changes with the rising usage of distributed energy resources (DERs) at the distribution level.</w:t>
      </w:r>
      <w:r w:rsidR="00C360BA">
        <w:t xml:space="preserve"> </w:t>
      </w:r>
      <w:r w:rsidR="007F3C86">
        <w:t>C</w:t>
      </w:r>
      <w:r w:rsidR="00C360BA">
        <w:t>oncerns about climate change and the environmental impact of traditional energy sources are pushing for a shift towards cleaner and more sustainable energy solutions.</w:t>
      </w:r>
    </w:p>
    <w:p w:rsidR="002C370F" w:rsidRDefault="00AB3BBC" w:rsidP="00D86398">
      <w:r>
        <w:t>By</w:t>
      </w:r>
      <w:r w:rsidR="00DC5417" w:rsidRPr="00DC5417">
        <w:t xml:space="preserve"> early 2025, renewable energy will take over coal as the primary source of power generation, accounting for over</w:t>
      </w:r>
      <w:r w:rsidR="00DC5417">
        <w:t xml:space="preserve"> one-third of the world's total</w:t>
      </w:r>
      <w:r w:rsidR="00F109CA" w:rsidRPr="00F109CA">
        <w:t xml:space="preserve">. The forecast predicts a significant increase in the share of renewables in electricity generation, from 30% in 2023 to 37% in 2026. This growth is primarily </w:t>
      </w:r>
      <w:r w:rsidR="00F109CA" w:rsidRPr="00F109CA">
        <w:lastRenderedPageBreak/>
        <w:t>driven by the expanding availability of more</w:t>
      </w:r>
      <w:r w:rsidR="00C96104">
        <w:t xml:space="preserve"> affordable solar PV technology</w:t>
      </w:r>
      <w:r w:rsidR="00F109CA" w:rsidRPr="00F109CA">
        <w:t xml:space="preserve"> </w:t>
      </w:r>
      <w:r w:rsidR="00410533">
        <w:fldChar w:fldCharType="begin" w:fldLock="1"/>
      </w:r>
      <w:r w:rsidR="005F1403">
        <w:instrText>ADDIN CSL_CITATION {"citationItems":[{"id":"ITEM-1","itemData":{"abstract":"Electricity is central to the functioning of modern societies and economies – and its importance is only growing as technologies that run on electricity, such as electric vehicles and heat pumps, become increasingly popular. Power generation is currently the largest source of carbon dioxide (CO2) emissions in the world, but it is also the sector leading the transition to net zero emissions through the rapid expansion of renewable energy sources such as solar and wind power. Ensuring consumers have secure and affordable access to electricity while also reducing global carbon dioxide (CO2) emissions is one of the core challenges of the energy transition. Given these trends, the International Energy Agency’s Electricity 2024 is essential reading. It offers a deep and comprehensive analysis of recent policies and market developments, and provides forecasts through 2026 for electricity demand, supply and CO2 emissions. The IEA’s electricity sector report, which has been published regularly since 2020, provides insight into the evolving generation mix. In addition, this year’s report features in-depth analysis on the drivers of recent declines in electricity demand in Europe; the data centre sector’s impact on electricity consumption; and recent developments in the global nuclear power sector.","author":[{"dropping-particle":"","family":"IEA","given":"","non-dropping-particle":"","parse-names":false,"suffix":""}],"container-title":"IEA Publications","id":"ITEM-1","issued":{"date-parts":[["2024"]]},"page":"1-170","title":"Electricity 2024: Analysis and forecast to 2026","type":"article-journal"},"uris":["http://www.mendeley.com/documents/?uuid=d1637f29-8bbb-4408-b57f-a6279e28a174","http://www.mendeley.com/documents/?uuid=8a102b4a-dc42-4bc4-9d05-6729d401cb1e"]}],"mendeley":{"formattedCitation":"[1]","plainTextFormattedCitation":"[1]","previouslyFormattedCitation":"[1]"},"properties":{"noteIndex":0},"schema":"https://github.com/citation-style-language/schema/raw/master/csl-citation.json"}</w:instrText>
      </w:r>
      <w:r w:rsidR="00410533">
        <w:fldChar w:fldCharType="separate"/>
      </w:r>
      <w:r w:rsidR="005F1403" w:rsidRPr="005F1403">
        <w:rPr>
          <w:noProof/>
        </w:rPr>
        <w:t>[1]</w:t>
      </w:r>
      <w:r w:rsidR="00410533">
        <w:fldChar w:fldCharType="end"/>
      </w:r>
      <w:r w:rsidR="00C96104">
        <w:t>.</w:t>
      </w:r>
      <w:r w:rsidR="00CE2D71">
        <w:t xml:space="preserve"> </w:t>
      </w:r>
      <w:r w:rsidR="002C370F" w:rsidRPr="002C370F">
        <w:t>Bridging the gap between renewable energy's variability and a decentralized grid demands innovative solutions and comprehensiv</w:t>
      </w:r>
      <w:r w:rsidR="002C370F">
        <w:t>e energy management strategies.</w:t>
      </w:r>
    </w:p>
    <w:p w:rsidR="002C370F" w:rsidRDefault="00281B08" w:rsidP="00D86398">
      <w:r>
        <w:t xml:space="preserve">The advancement of smart grid technology promises to facilitate a more significant incorporation of renewable energy sources while bolstering the efficiency and dependability of the overall energy system. </w:t>
      </w:r>
      <w:r w:rsidR="009D06D3">
        <w:t>Smart grids integrating high shares of intermittent renewables need transactive technologies such as peer-to-peer energy trading facilitated by blockchain, to maintain gr</w:t>
      </w:r>
      <w:r w:rsidR="00C96104">
        <w:t xml:space="preserve">id stability and predictability </w:t>
      </w:r>
      <w:r w:rsidR="00410533">
        <w:fldChar w:fldCharType="begin" w:fldLock="1"/>
      </w:r>
      <w:r w:rsidR="005F1403">
        <w:instrText>ADDIN CSL_CITATION {"citationItems":[{"id":"ITEM-1","itemData":{"abstract":"With offices in 158 countries and more than 236,000 people, PwC is among the leading professional services networks in the world. We help organizations and individuals create the value they're looking for, by delivering quality in assurance, tax and advisory services. 3 Building block(chain)s for a better planet Contents","author":[{"dropping-particle":"","family":"World Economic Forum","given":"","non-dropping-particle":"","parse-names":false,"suffix":""}],"container-title":"Weforum.Org","id":"ITEM-1","issue":"September","issued":{"date-parts":[["2018"]]},"page":"36","title":"Building Block(chain)s for a Better Planet - Fourth Industrial Revolution for the Earth Series","type":"article-journal"},"uris":["http://www.mendeley.com/documents/?uuid=185099ff-c89b-4831-871e-d6176df4f7ed","http://www.mendeley.com/documents/?uuid=c7654375-4f5a-40d3-a72e-9a4572c30327"]}],"mendeley":{"formattedCitation":"[2]","plainTextFormattedCitation":"[2]","previouslyFormattedCitation":"[2]"},"properties":{"noteIndex":0},"schema":"https://github.com/citation-style-language/schema/raw/master/csl-citation.json"}</w:instrText>
      </w:r>
      <w:r w:rsidR="00410533">
        <w:fldChar w:fldCharType="separate"/>
      </w:r>
      <w:r w:rsidR="005F1403" w:rsidRPr="005F1403">
        <w:rPr>
          <w:noProof/>
        </w:rPr>
        <w:t>[2]</w:t>
      </w:r>
      <w:r w:rsidR="00410533">
        <w:fldChar w:fldCharType="end"/>
      </w:r>
      <w:r w:rsidR="00F44793">
        <w:t xml:space="preserve">. </w:t>
      </w:r>
      <w:r w:rsidR="00414E9E">
        <w:t>Prosumers can tokenize their excess energy, creating digital assets that represent the right to consume or sell that energy. Consumers</w:t>
      </w:r>
      <w:r w:rsidR="00F44793">
        <w:t xml:space="preserve"> benefit from lower energy costs, greater supplier choice, and a reliable power supply. </w:t>
      </w:r>
      <w:r w:rsidR="001B6BF4">
        <w:t>Decentralized energy systems utilizing distributed renewable generation offer economic advantages, optimized energy utilization, enhanced grid stability, and seamless integration of renewable energy sources</w:t>
      </w:r>
      <w:r w:rsidR="00D86398">
        <w:t>.</w:t>
      </w:r>
      <w:r w:rsidR="002C370F">
        <w:t xml:space="preserve"> It </w:t>
      </w:r>
      <w:r w:rsidR="002C370F" w:rsidRPr="001B6BF4">
        <w:t>strengthens resilience by enabling power rerouting in times of natural</w:t>
      </w:r>
      <w:r w:rsidR="0052485F">
        <w:t xml:space="preserve"> disasters and energy scarcity.</w:t>
      </w:r>
      <w:r w:rsidR="00FB44D4">
        <w:t xml:space="preserve"> </w:t>
      </w:r>
    </w:p>
    <w:p w:rsidR="004373AB" w:rsidRDefault="00C2520F" w:rsidP="00D86398">
      <w:r>
        <w:t>Blockchain-powered smart grids, featuring smart contracts and smart meter technology, enable efficient energy trading, load optimization, and peer-to-peer transactions. This innovative approach empowers consumers, fostering renewable energy adoption, minimizing energy transportation losses, and guaranteeing secure, transparent, and automated transaction records – all while reducing reliance on traditional energ</w:t>
      </w:r>
      <w:r w:rsidR="00CE2D71">
        <w:t xml:space="preserve">y companies and intermediaries. </w:t>
      </w:r>
      <w:r w:rsidR="004373AB" w:rsidRPr="00F324E5">
        <w:t>P2P energy trading stands to gain significant advantages from blockchain technology. Features like tamper-proof records, transparency, and disintermediation create a secure and efficient platform for direct energy transactions</w:t>
      </w:r>
      <w:r w:rsidR="008448C0">
        <w:t xml:space="preserve"> </w:t>
      </w:r>
      <w:r w:rsidR="008448C0">
        <w:fldChar w:fldCharType="begin" w:fldLock="1"/>
      </w:r>
      <w:r w:rsidR="005F1403">
        <w:instrText>ADDIN CSL_CITATION {"citationItems":[{"id":"ITEM-1","itemData":{"abstract":"With offices in 158 countries and more than 236,000 people, PwC is among the leading professional services networks in the world. We help organizations and individuals create the value they're looking for, by delivering quality in assurance, tax and advisory services. 3 Building block(chain)s for a better planet Contents","author":[{"dropping-particle":"","family":"World Economic Forum","given":"","non-dropping-particle":"","parse-names":false,"suffix":""}],"container-title":"Weforum.Org","id":"ITEM-1","issue":"September","issued":{"date-parts":[["2018"]]},"page":"36","title":"Building Block(chain)s for a Better Planet - Fourth Industrial Revolution for the Earth Series","type":"article-journal"},"uris":["http://www.mendeley.com/documents/?uuid=cd9d83da-b9e8-3b95-b95a-96e17066ffee"]}],"mendeley":{"formattedCitation":"[3]","plainTextFormattedCitation":"[3]","previouslyFormattedCitation":"[3]"},"properties":{"noteIndex":0},"schema":"https://github.com/citation-style-language/schema/raw/master/csl-citation.json"}</w:instrText>
      </w:r>
      <w:r w:rsidR="008448C0">
        <w:fldChar w:fldCharType="separate"/>
      </w:r>
      <w:r w:rsidR="005F1403" w:rsidRPr="005F1403">
        <w:rPr>
          <w:noProof/>
        </w:rPr>
        <w:t>[3]</w:t>
      </w:r>
      <w:r w:rsidR="008448C0">
        <w:fldChar w:fldCharType="end"/>
      </w:r>
      <w:r w:rsidR="004373AB" w:rsidRPr="00F324E5">
        <w:t xml:space="preserve">. </w:t>
      </w:r>
    </w:p>
    <w:p w:rsidR="00772D13" w:rsidRDefault="00313AAF" w:rsidP="00313AAF">
      <w:r w:rsidRPr="00313AAF">
        <w:t xml:space="preserve">Based on the above discussion, the current study aims to provide an overview of </w:t>
      </w:r>
      <w:r w:rsidR="00CE2D71">
        <w:t>peer to peer energy trading</w:t>
      </w:r>
      <w:r w:rsidR="00723BF7">
        <w:t xml:space="preserve"> enabled blockchain</w:t>
      </w:r>
      <w:r w:rsidR="003203ED">
        <w:t xml:space="preserve">, Tokenization in </w:t>
      </w:r>
      <w:r w:rsidR="00CE2D71">
        <w:t xml:space="preserve">energy </w:t>
      </w:r>
      <w:r w:rsidR="003203ED">
        <w:t xml:space="preserve">sector and tokens </w:t>
      </w:r>
      <w:r w:rsidR="003203ED" w:rsidRPr="00313AAF">
        <w:t>functionalities beyond transactions</w:t>
      </w:r>
      <w:r w:rsidRPr="00313AAF">
        <w:t xml:space="preserve">. It also discusses how energy </w:t>
      </w:r>
      <w:r>
        <w:t>tokens/</w:t>
      </w:r>
      <w:r w:rsidR="00757645">
        <w:t>tokens</w:t>
      </w:r>
      <w:r w:rsidRPr="00313AAF">
        <w:t xml:space="preserve"> contribute to the promotion of renewable energy sources do. Finally identifies challenges and considerations in P2P energy trading initiatives using energy token.</w:t>
      </w:r>
    </w:p>
    <w:p w:rsidR="00313AAF" w:rsidRPr="001B2A5E" w:rsidRDefault="00CE2D71" w:rsidP="001B2A5E">
      <w:pPr>
        <w:spacing w:line="480" w:lineRule="auto"/>
        <w:rPr>
          <w:rFonts w:ascii="Times New Roman" w:hAnsi="Times New Roman" w:cs="Times New Roman"/>
          <w:b/>
          <w:bCs/>
          <w:sz w:val="24"/>
          <w:szCs w:val="24"/>
        </w:rPr>
      </w:pPr>
      <w:r>
        <w:rPr>
          <w:rFonts w:ascii="Times New Roman" w:hAnsi="Times New Roman" w:cs="Times New Roman"/>
          <w:b/>
          <w:bCs/>
          <w:sz w:val="24"/>
          <w:szCs w:val="24"/>
        </w:rPr>
        <w:t>Peer to Peer Energy T</w:t>
      </w:r>
      <w:r w:rsidR="00313AAF" w:rsidRPr="001B2A5E">
        <w:rPr>
          <w:rFonts w:ascii="Times New Roman" w:hAnsi="Times New Roman" w:cs="Times New Roman"/>
          <w:b/>
          <w:bCs/>
          <w:sz w:val="24"/>
          <w:szCs w:val="24"/>
        </w:rPr>
        <w:t>rading</w:t>
      </w:r>
      <w:r w:rsidR="004715FD">
        <w:rPr>
          <w:rFonts w:ascii="Times New Roman" w:hAnsi="Times New Roman" w:cs="Times New Roman"/>
          <w:b/>
          <w:bCs/>
          <w:sz w:val="24"/>
          <w:szCs w:val="24"/>
        </w:rPr>
        <w:t xml:space="preserve"> using blockchain</w:t>
      </w:r>
      <w:r w:rsidR="00313AAF" w:rsidRPr="001B2A5E">
        <w:rPr>
          <w:rFonts w:ascii="Times New Roman" w:hAnsi="Times New Roman" w:cs="Times New Roman"/>
          <w:b/>
          <w:bCs/>
          <w:sz w:val="24"/>
          <w:szCs w:val="24"/>
        </w:rPr>
        <w:t>:</w:t>
      </w:r>
    </w:p>
    <w:p w:rsidR="00263E5A" w:rsidRDefault="00031802" w:rsidP="00031802">
      <w:r>
        <w:t>Peer-to-peer (P2P) electrici</w:t>
      </w:r>
      <w:r w:rsidR="00DF024A">
        <w:t xml:space="preserve">ty trading is a business model platform </w:t>
      </w:r>
      <w:r>
        <w:t xml:space="preserve">that serves as an online marketplace </w:t>
      </w:r>
      <w:r w:rsidR="00DF024A">
        <w:t>enables direct energy transactions between consumers and producers, bypassing traditional intermediaries</w:t>
      </w:r>
      <w:r>
        <w:fldChar w:fldCharType="begin" w:fldLock="1"/>
      </w:r>
      <w:r>
        <w:instrText>ADDIN CSL_CITATION {"citationItems":[{"id":"ITEM-1","itemData":{"ISBN":"9789292601744","abstract":"Citation: IRENA (2020), Innovation landscape brief: Peer-to-peer electricity trading, International Renewable Energy Agency, Abu Dhabi. ABOUT IRENA The International Renewable Energy Agency (IRENA) is an intergovernmental organisation that supports countries in their transition to a sustainable energy future and serves as the principal platform for international cooperation , a centre of excellence, and a repository of policy, technology, resource and financial knowledge on renewable energy. IRENA promotes the widespread adoption and sustainable use of all forms of renewable energy, including bioenergy, geothermal, hydropower, ocean, solar and wind energy in the pursuit of sustainable development, energy access, energy security and low-carbon economic growth and prosperity. www.irena.org ACKNOWLEDGEMENTS","author":[{"dropping-particle":"","family":"IRENA","given":"","non-dropping-particle":"","parse-names":false,"suffix":""}],"container-title":"International Renewable Energy Agency, Abu Dhabi.","id":"ITEM-1","issued":{"date-parts":[["2020"]]},"page":"1-20","title":"Innovation Landscape Brief: Peer-To-Peer Electricity Trading,","type":"article-journal"},"uris":["http://www.mendeley.com/documents/?uuid=35472267-ae2b-494b-a815-300e5b464171"]}],"mendeley":{"formattedCitation":"[4]","plainTextFormattedCitation":"[4]","previouslyFormattedCitation":"[4]"},"properties":{"noteIndex":0},"schema":"https://github.com/citation-style-language/schema/raw/master/csl-citation.json"}</w:instrText>
      </w:r>
      <w:r>
        <w:fldChar w:fldCharType="separate"/>
      </w:r>
      <w:r w:rsidRPr="00031802">
        <w:rPr>
          <w:noProof/>
        </w:rPr>
        <w:t>[4]</w:t>
      </w:r>
      <w:r>
        <w:fldChar w:fldCharType="end"/>
      </w:r>
      <w:r>
        <w:t xml:space="preserve">. </w:t>
      </w:r>
      <w:r w:rsidR="00D07D1D" w:rsidRPr="00143C68">
        <w:t>Peer</w:t>
      </w:r>
      <w:r w:rsidR="00143C68" w:rsidRPr="00143C68">
        <w:t>-to-peer (P2P) energy trading using blockchain technology offers numerous benefits, enhancing the efficiency and sustainability of energy markets. This innovat</w:t>
      </w:r>
      <w:r w:rsidR="00263E5A">
        <w:t xml:space="preserve">ive approach empowers prosumers </w:t>
      </w:r>
      <w:r w:rsidR="00143C68" w:rsidRPr="00143C68">
        <w:t>individuals who both produce a</w:t>
      </w:r>
      <w:r w:rsidR="002C21BC">
        <w:t xml:space="preserve">nd consume energy </w:t>
      </w:r>
      <w:r w:rsidR="00143C68" w:rsidRPr="00143C68">
        <w:t>by facilitating direct transactions and promoting decentralized energy systems.</w:t>
      </w:r>
    </w:p>
    <w:p w:rsidR="00263E5A" w:rsidRDefault="00313AAF" w:rsidP="00031802">
      <w:r w:rsidRPr="00A51113">
        <w:t>Peer-to-peer (P2P) energy trading empowers individuals and businesses to generate clean energy from sources like solar and wind, and then sell excess power directly to others through a digital marketplace</w:t>
      </w:r>
      <w:r w:rsidR="00CC4BAF">
        <w:fldChar w:fldCharType="begin" w:fldLock="1"/>
      </w:r>
      <w:r w:rsidR="00CC4BAF">
        <w:instrText>ADDIN CSL_CITATION {"citationItems":[{"id":"ITEM-1","itemData":{"DOI":"10.1109/DELCON54057.2022.9753221","ISBN":"9781665458832","abstract":"Peer-to-peer (P2P) energy trading is a new standard of power system operation, where people can trade their energy with each other locally. P2P trading has seen a significant boost in recent years. The number of projects and trials in this area has significantly increased all around the world. This paper briefly elaborates the advantages, challenges, different technologies, and their application in P2P trading, and gives an idea about various projects currently running in India. It is observed that P2P trading has a vital role to play in the coming future but has many challenges to be addressed.","author":[{"dropping-particle":"","family":"Jhajhriya","given":"Saroj","non-dropping-particle":"","parse-names":false,"suffix":""},{"dropping-particle":"","family":"Sharma","given":"Satish","non-dropping-particle":"","parse-names":false,"suffix":""}],"container-title":"2022 IEEE Delhi Section Conference, DELCON 2022","id":"ITEM-1","issued":{"date-parts":[["2022"]]},"publisher":"Institute of Electrical and Electronics Engineers Inc.","title":"Peer-to-Peer Energy Trading: A Review and Indian Scenario","type":"paper-conference"},"uris":["http://www.mendeley.com/documents/?uuid=906bb148-64ad-3f6f-b6b0-c1b8b3bb0017"]}],"mendeley":{"formattedCitation":"[5]","plainTextFormattedCitation":"[5]","previouslyFormattedCitation":"[5]"},"properties":{"noteIndex":0},"schema":"https://github.com/citation-style-language/schema/raw/master/csl-citation.json"}</w:instrText>
      </w:r>
      <w:r w:rsidR="00CC4BAF">
        <w:fldChar w:fldCharType="separate"/>
      </w:r>
      <w:r w:rsidR="00CC4BAF" w:rsidRPr="00CC4BAF">
        <w:rPr>
          <w:noProof/>
        </w:rPr>
        <w:t>[5]</w:t>
      </w:r>
      <w:r w:rsidR="00CC4BAF">
        <w:fldChar w:fldCharType="end"/>
      </w:r>
      <w:r w:rsidR="00CC4BAF">
        <w:fldChar w:fldCharType="begin" w:fldLock="1"/>
      </w:r>
      <w:r w:rsidR="00CC4BAF">
        <w:instrText>ADDIN CSL_CITATION {"citationItems":[{"id":"ITEM-1","itemData":{"DOI":"10.1016/j.rser.2018.10.014","ISSN":"18790690","abstract":"Blockchains or distributed ledgers are an emerging technology that has drawn considerable interest from energy supply firms, startups, technology developers, financial institutions, national governments and the academic community. Numerous sources coming from these backgrounds identify blockchains as having the potential to bring significant benefits and innovation. Blockchains promise transparent, tamper-proof and secure systems that can enable novel business solutions, especially when combined with smart contracts. This work provides a comprehensive overview of fundamental principles that underpin blockchain technologies, such as system architectures and distributed consensus algorithms. Next, we focus on blockchain solutions for the energy industry and inform the state-of-the-art by thoroughly reviewing the literature and current business cases. To our knowledge, this is one of the first academic, peer-reviewed works to provide a systematic review of blockchain activities and initiatives in the energy sector. Our study reviews 140 blockchain research projects and startups from which we construct a map of the potential and relevance of blockchains for energy applications. These initiatives were systematically classified into different groups according to the field of activity, implementation platform and consensus strategy used.1 Opportunities, potential challenges and limitations for a number of use cases are discussed, ranging from emerging peer-to-peer (P2P) energy trading and Internet of Things (IoT) applications, to decentralised marketplaces, electric vehicle charging and e-mobility. For each of these use cases, our contribution is twofold: first, in identifying the technical challenges that blockchain technology can solve for that application as well as its potential drawbacks, and second in briefly presenting the research and industrial projects and startups that are currently applying blockchain technology to that area. The paper ends with a discussion of challenges and market barriers the technology needs to overcome to get past the hype phase, prove its commercial viability and finally be adopted in the mainstream.","author":[{"dropping-particle":"","family":"Andoni","given":"Merlinda","non-dropping-particle":"","parse-names":false,"suffix":""},{"dropping-particle":"","family":"Robu","given":"Valentin","non-dropping-particle":"","parse-names":false,"suffix":""},{"dropping-particle":"","family":"Flynn","given":"David","non-dropping-particle":"","parse-names":false,"suffix":""},{"dropping-particle":"","family":"Abram","given":"Simone","non-dropping-particle":"","parse-names":false,"suffix":""},{"dropping-particle":"","family":"Geach","given":"Dale","non-dropping-particle":"","parse-names":false,"suffix":""},{"dropping-particle":"","family":"Jenkins","given":"David","non-dropping-particle":"","parse-names":false,"suffix":""},{"dropping-particle":"","family":"McCallum","given":"Peter","non-dropping-particle":"","parse-names":false,"suffix":""},{"dropping-particle":"","family":"Peacock","given":"Andrew","non-dropping-particle":"","parse-names":false,"suffix":""}],"container-title":"Renewable and Sustainable Energy Reviews","id":"ITEM-1","issued":{"date-parts":[["2019","2","1"]]},"page":"143-174","publisher":"Elsevier Ltd","title":"Blockchain technology in the energy sector: A systematic review of challenges and opportunities","type":"article","volume":"100"},"uris":["http://www.mendeley.com/documents/?uuid=138fc28b-0bb3-30fb-aa2d-909974d736b6"]}],"mendeley":{"formattedCitation":"[6]","plainTextFormattedCitation":"[6]","previouslyFormattedCitation":"[6]"},"properties":{"noteIndex":0},"schema":"https://github.com/citation-style-language/schema/raw/master/csl-citation.json"}</w:instrText>
      </w:r>
      <w:r w:rsidR="00CC4BAF">
        <w:fldChar w:fldCharType="separate"/>
      </w:r>
      <w:r w:rsidR="00CC4BAF" w:rsidRPr="00CC4BAF">
        <w:rPr>
          <w:noProof/>
        </w:rPr>
        <w:t>[6]</w:t>
      </w:r>
      <w:r w:rsidR="00CC4BAF">
        <w:fldChar w:fldCharType="end"/>
      </w:r>
      <w:r w:rsidRPr="00A51113">
        <w:rPr>
          <w:b/>
          <w:bCs/>
        </w:rPr>
        <w:t>.</w:t>
      </w:r>
      <w:r>
        <w:t xml:space="preserve"> As the energy landscape shifts from centralized to distributed systems, this approach becomes increasingly valuable. Dynamic, localized pricing and trading enable better management of fluctuating energy supply and grid congestion. Blockchain technology can efficiently track and v</w:t>
      </w:r>
      <w:r w:rsidR="00F44793">
        <w:t xml:space="preserve">erify these energy transactions </w:t>
      </w:r>
      <w:r w:rsidR="00F44793">
        <w:fldChar w:fldCharType="begin" w:fldLock="1"/>
      </w:r>
      <w:r w:rsidR="00CC4BAF">
        <w:instrText>ADDIN CSL_CITATION {"citationItems":[{"id":"ITEM-1","itemData":{"DOI":"10.1016/j.epsr.2022.108907","ISSN":"03787796","abstract":"Energy sector is undergoing a massive transformation that includes key aspects such as integrating renewables, improving operational efficiency, leveraging smart grid infrastructure, and handling the dynamics of transactive energy; all of which necessitates ecosystem players to refine their role, devise efficient regulatory/policy frameworks, and experiment with new business models. Given these circumstances, Peer-to-Peer (P2P) energy trading appears to be one of the viable solutions in which an end-user can sell/buy power to/from other users instead of fully relying on the utility for the same. However, the implementation of P2P energy trading in the distribution networks introduce new challenges, such as network constraint violations, increased communication requirements, compromised end-user privacy, the threat to the financial viability of the utility companies, etc. Various pilot projects and research are being carried out at different levels worldwide in this regard. This paper provides a detailed analysis of the existing research and implementation activities on P2P energy trading, and suggests potential future research avenues. Readers gain an understanding of P2P energy trading frameworks, implementation methodologies, and demonstration projects through this article.","author":[{"dropping-particle":"","family":"Suthar","given":"Sachinkumar","non-dropping-particle":"","parse-names":false,"suffix":""},{"dropping-particle":"","family":"Cherukuri","given":"S. Hari Charan","non-dropping-particle":"","parse-names":false,"suffix":""},{"dropping-particle":"","family":"Pindoriya","given":"Naran M.","non-dropping-particle":"","parse-names":false,"suffix":""}],"container-title":"Electric Power Systems Research","id":"ITEM-1","issue":"PA","issued":{"date-parts":[["2023"]]},"page":"108907","publisher":"Elsevier B.V.","title":"Peer-to-peer energy trading in smart grid: Frameworks, implementation methodologies, and demonstration projects","type":"article-journal","volume":"214"},"uris":["http://www.mendeley.com/documents/?uuid=f2ff7db4-b018-4829-8b2e-89abd1b923b7"]}],"mendeley":{"formattedCitation":"[7]","plainTextFormattedCitation":"[7]","previouslyFormattedCitation":"[7]"},"properties":{"noteIndex":0},"schema":"https://github.com/citation-style-language/schema/raw/master/csl-citation.json"}</w:instrText>
      </w:r>
      <w:r w:rsidR="00F44793">
        <w:fldChar w:fldCharType="separate"/>
      </w:r>
      <w:r w:rsidR="00CC4BAF" w:rsidRPr="00CC4BAF">
        <w:rPr>
          <w:noProof/>
        </w:rPr>
        <w:t>[7]</w:t>
      </w:r>
      <w:r w:rsidR="00F44793">
        <w:fldChar w:fldCharType="end"/>
      </w:r>
      <w:r w:rsidR="00DD63DB">
        <w:t xml:space="preserve">. </w:t>
      </w:r>
      <w:r w:rsidR="00263E5A">
        <w:t xml:space="preserve">P2P trading platforms optimize decentralized energy management by balancing local supply and demand, reducing the need for additional generation and transmission </w:t>
      </w:r>
      <w:r w:rsidR="00263E5A">
        <w:lastRenderedPageBreak/>
        <w:t xml:space="preserve">capacity </w:t>
      </w:r>
      <w:r w:rsidR="00263E5A">
        <w:fldChar w:fldCharType="begin" w:fldLock="1"/>
      </w:r>
      <w:r w:rsidR="00263E5A">
        <w:instrText>ADDIN CSL_CITATION {"citationItems":[{"id":"ITEM-1","itemData":{"ISBN":"9789292601744","abstract":"Citation: IRENA (2020), Innovation landscape brief: Peer-to-peer electricity trading, International Renewable Energy Agency, Abu Dhabi. ABOUT IRENA The International Renewable Energy Agency (IRENA) is an intergovernmental organisation that supports countries in their transition to a sustainable energy future and serves as the principal platform for international cooperation , a centre of excellence, and a repository of policy, technology, resource and financial knowledge on renewable energy. IRENA promotes the widespread adoption and sustainable use of all forms of renewable energy, including bioenergy, geothermal, hydropower, ocean, solar and wind energy in the pursuit of sustainable development, energy access, energy security and low-carbon economic growth and prosperity. www.irena.org ACKNOWLEDGEMENTS","author":[{"dropping-particle":"","family":"IRENA","given":"","non-dropping-particle":"","parse-names":false,"suffix":""}],"container-title":"International Renewable Energy Agency, Abu Dhabi.","id":"ITEM-1","issued":{"date-parts":[["2020"]]},"page":"1-20","title":"Innovation Landscape Brief: Peer-To-Peer Electricity Trading,","type":"article-journal"},"uris":["http://www.mendeley.com/documents/?uuid=35472267-ae2b-494b-a815-300e5b464171"]}],"mendeley":{"formattedCitation":"[4]","plainTextFormattedCitation":"[4]","previouslyFormattedCitation":"[4]"},"properties":{"noteIndex":0},"schema":"https://github.com/citation-style-language/schema/raw/master/csl-citation.json"}</w:instrText>
      </w:r>
      <w:r w:rsidR="00263E5A">
        <w:fldChar w:fldCharType="separate"/>
      </w:r>
      <w:r w:rsidR="00263E5A" w:rsidRPr="00263E5A">
        <w:rPr>
          <w:noProof/>
        </w:rPr>
        <w:t>[4]</w:t>
      </w:r>
      <w:r w:rsidR="00263E5A">
        <w:fldChar w:fldCharType="end"/>
      </w:r>
      <w:r w:rsidR="00263E5A">
        <w:t>.</w:t>
      </w:r>
      <w:r w:rsidR="00080488">
        <w:t xml:space="preserve"> </w:t>
      </w:r>
      <w:r w:rsidR="00080488">
        <w:t xml:space="preserve">Peer to peer energy trading including batteries, which will be charged during sunny hours can improve the power quality by balancing the supply and demand of energy </w:t>
      </w:r>
      <w:r w:rsidR="00080488">
        <w:fldChar w:fldCharType="begin" w:fldLock="1"/>
      </w:r>
      <w:r w:rsidR="00CC4BAF">
        <w:instrText>ADDIN CSL_CITATION {"citationItems":[{"id":"ITEM-1","itemData":{"abstract":"This whitepaper provides a comprehensive overview of the significance of blockchain technology in the energy sector. Blockchain is not only nice to have, but it is also a necessity if we are to successfully create a distributed agile energy grid. It introduces Gen3 blockchain and argues that such a blockchain will be able to bring down the cost of ancillary services, reduce renewable curtailments, help flatten the duck curve, reduce the cost burden to the end customer, resolve issues with greenwashing and reduce fraud and errors. A detailed primer on Blockchain technology is given as Appendix to this paper. 2","id":"ITEM-1","issued":{"date-parts":[["0"]]},"title":"Blockchain for Electric Utilities: A Path to Low Carbon FutureSynopsis","type":"article-journal"},"uris":["http://www.mendeley.com/documents/?uuid=e5f4dbce-f081-4053-995f-cb1952527013"]}],"mendeley":{"formattedCitation":"[8]","plainTextFormattedCitation":"[8]","previouslyFormattedCitation":"[8]"},"properties":{"noteIndex":0},"schema":"https://github.com/citation-style-language/schema/raw/master/csl-citation.json"}</w:instrText>
      </w:r>
      <w:r w:rsidR="00080488">
        <w:fldChar w:fldCharType="separate"/>
      </w:r>
      <w:r w:rsidR="00CC4BAF" w:rsidRPr="00CC4BAF">
        <w:rPr>
          <w:noProof/>
        </w:rPr>
        <w:t>[8]</w:t>
      </w:r>
      <w:r w:rsidR="00080488">
        <w:fldChar w:fldCharType="end"/>
      </w:r>
      <w:r w:rsidR="00080488">
        <w:t>.</w:t>
      </w:r>
    </w:p>
    <w:p w:rsidR="0037784B" w:rsidRDefault="00DD63DB" w:rsidP="00031802">
      <w:r>
        <w:t xml:space="preserve">The wide range of </w:t>
      </w:r>
      <w:r w:rsidR="00BE4F5E">
        <w:t>research</w:t>
      </w:r>
      <w:r>
        <w:t xml:space="preserve"> found in </w:t>
      </w:r>
      <w:r>
        <w:fldChar w:fldCharType="begin" w:fldLock="1"/>
      </w:r>
      <w:r w:rsidR="00CC4BAF">
        <w:instrText>ADDIN CSL_CITATION {"citationItems":[{"id":"ITEM-1","itemData":{"abstract":"Peer-to-peer trading is a next-generation energy management technique that economically benefits proactive consumers (prosumers) transacting their energy as goods and services. At the same time, peer-to-peer energy trading is also expected to help the grid by reducing peak demand, lowering reserve requirements, and curtailing network loss. However, large-scale deployment of peer-to-peer trading in electricity networks poses a number of challenges in modeling transactions in both the virtual and physical layers of the network. As such, this article provides a comprehensive review of the state-of-the-art in research on peer-to-peer energy trading techniques. By doing so, we provide an overview of the key features of peer-to-peer trading and its benefits of relevance to the grid and prosumers. Then, we systematically classify the existing research in terms of the challenges that the studies address in the virtual and the physical layers. We then further identify and discuss those technical approaches that have been extensively used to address the challenges in peer-to-peer transactions. Finally, the paper is concluded with potential future research directions.","author":[{"dropping-particle":"","family":"Tushar","given":"Wayes","non-dropping-particle":"","parse-names":false,"suffix":""},{"dropping-particle":"","family":"Saha","given":"Tapan K.","non-dropping-particle":"","parse-names":false,"suffix":""},{"dropping-particle":"","family":"Yuen","given":"Chau","non-dropping-particle":"","parse-names":false,"suffix":""},{"dropping-particle":"","family":"Smith","given":"David","non-dropping-particle":"","parse-names":false,"suffix":""},{"dropping-particle":"","family":"Poor","given":"H. Vincent","non-dropping-particle":"","parse-names":false,"suffix":""}],"id":"ITEM-1","issued":{"date-parts":[["2020","1","19"]]},"title":"Peer-to-Peer Trading in Electricity Networks: An Overview","type":"article-journal"},"uris":["http://www.mendeley.com/documents/?uuid=2f1f65a1-3179-336c-99cb-29b65b687fb0"]},{"id":"ITEM-2","itemData":{"DOI":"10.1109/ACCESS.2024.3375525","ISSN":"21693536","abstract":"The concept of the peer-to-peer local energy market (P2P LEM) is no longer novel to the energy community. Yet, its large-scale implementation within the current electricity network remains a complex challenge. One key reason is the lack of understanding of the supplier licensing models in different countries. For instance, in the UK, up to year 2023, a consumer is only allowed to have a single supplier at a time under its single licence supplier model. This directly contradicts the existing P2P trading models that allow a consumer to purchase electricity from multiple sellers within the local market. Given this context, this article conducts a review of recent literature and government policies in different countries on the P2P LEM and identifies the barriers behind the lack of large-scale P2P trading implementation in today's electricity markets. We explain how these barriers can be overcome by engaging prosumers in traditional and private distribution networks through either licensed or license-exempt suppliers. Particularly, we discuss six P2P LEM frameworks that can be utilised to address the supplier licensing issue. Finally, this review presents a summary of risks, and recommendations to aid the regulatory framework to implement P2P LEM.","author":[{"dropping-particle":"","family":"Jogunola","given":"Olamide","non-dropping-particle":"","parse-names":false,"suffix":""},{"dropping-particle":"","family":"Ajagun","given":"Abimbola S.","non-dropping-particle":"","parse-names":false,"suffix":""},{"dropping-particle":"","family":"Tushar","given":"Wayes","non-dropping-particle":"","parse-names":false,"suffix":""},{"dropping-particle":"","family":"Olatunji","given":"Femi O.","non-dropping-particle":"","parse-names":false,"suffix":""},{"dropping-particle":"","family":"Yuen","given":"Chau","non-dropping-particle":"","parse-names":false,"suffix":""},{"dropping-particle":"","family":"Morley","given":"Craig","non-dropping-particle":"","parse-names":false,"suffix":""},{"dropping-particle":"","family":"Adebisi","given":"Bamidele","non-dropping-particle":"","parse-names":false,"suffix":""},{"dropping-particle":"","family":"Shongwe","given":"Thokozani","non-dropping-particle":"","parse-names":false,"suffix":""}],"container-title":"IEEE Access","id":"ITEM-2","issue":"March","issued":{"date-parts":[["2024"]]},"page":"37873-37890","publisher":"IEEE","title":"Peer-to-Peer Local Energy Market: Opportunities, Barriers, Security, and Implementation Options","type":"article-journal","volume":"12"},"uris":["http://www.mendeley.com/documents/?uuid=40e471c9-3e4b-4782-a0b0-247ce1755c7d"]},{"id":"ITEM-3","itemData":{"DOI":"10.1016/j.apenergy.2019.114436","ISSN":"03062619","abstract":"This paper studies a social cooperation backed peer-to-peer energy trading technique by which prosumers can decide how they can use their batteries opportunistically for participating in the peer-to-peer trading. The objective is to achieve a solution in which the ultimate beneficiaries are the prosumers, i.e., a prosumer-centric solution. To do so, a coalition formation game is designed, which enables a prosumer to compare its benefit of participating in the peer-to-peer trading with and without using its battery and thus, allows the prosumer to form suitable social coalition groups with other similar prosumers in the network for conducting peer-to-peer trading. The properties of the formed coalitions are studied, and it is shown that (1) the coalition structure that stems from the social cooperation between participating prosumers at each time slot is both stable and optimal, and (2) the outcomes of the proposed peer-to-peer trading scheme are prosumer-centric. Case studies are conducted based on real household energy usage and solar generation data to highlight how the proposed scheme can benefit prosumers through exhibiting prosumer-centric properties.","author":[{"dropping-particle":"","family":"Tushar","given":"Wayes","non-dropping-particle":"","parse-names":false,"suffix":""},{"dropping-particle":"","family":"Saha","given":"Tapan Kumar","non-dropping-particle":"","parse-names":false,"suffix":""},{"dropping-particle":"","family":"Yuen","given":"Chau","non-dropping-particle":"","parse-names":false,"suffix":""},{"dropping-particle":"","family":"Azim","given":"M. Imran","non-dropping-particle":"","parse-names":false,"suffix":""},{"dropping-particle":"","family":"Morstyn","given":"Thomas","non-dropping-particle":"","parse-names":false,"suffix":""},{"dropping-particle":"","family":"Poor","given":"H. Vincent","non-dropping-particle":"","parse-names":false,"suffix":""},{"dropping-particle":"","family":"Niyato","given":"Dustin","non-dropping-particle":"","parse-names":false,"suffix":""},{"dropping-particle":"","family":"Bean","given":"Richard","non-dropping-particle":"","parse-names":false,"suffix":""}],"container-title":"Applied Energy","id":"ITEM-3","issued":{"date-parts":[["2020","3","1"]]},"publisher":"Elsevier Ltd","title":"A coalition formation game framework for peer-to-peer energy trading","type":"article-journal","volume":"261"},"uris":["http://www.mendeley.com/documents/?uuid=580f07ab-871a-3f3c-a60a-462a844d0b78"]},{"id":"ITEM-4","itemData":{"DOI":"10.1109/ICCISc52257.2021.9484941","ISBN":"9781665412797","abstract":"Peer-To-Peer (P2P) energy trading is the direct sharing or transfer of energy between more than one grid-connected users. Continuous usage of local Distributed Energy Resources (DERs) can be made better by focusing on P2P energy trading. It looks forward to save energy bill, reduce peak demand, network loss and thus aid the grid. As there is continuous growth in energy consumption in country like India, the scheme seems to be promising in future. This paper focuses on P2P energy trading on present Indian scenario the paper brings some of the opportunities and challenges both to the peers and locality in introducing P2P trading the P2P energy trading system architecture is analyzed as a three dimensioned four-layer system the paper reviews on how different problems are addressed in the four layers of P2P architecture.","author":[{"dropping-particle":"","family":"Thomas","given":"Anchu","non-dropping-particle":"","parse-names":false,"suffix":""},{"dropping-particle":"","family":"Abraham","given":"Mathew P.","non-dropping-particle":"","parse-names":false,"suffix":""},{"dropping-particle":"","family":"Arya","given":"A. G.M.","non-dropping-particle":"","parse-names":false,"suffix":""}],"container-title":"ICCISc 2021 - 2021 International Conference on Communication, Control and Information Sciences, Proceedings","id":"ITEM-4","issued":{"date-parts":[["2021","6","16"]]},"publisher":"Institute of Electrical and Electronics Engineers Inc.","title":"Review of Peer-To-Peer Energy Trading for Indian Scenario: Challenges and Opportunities","type":"paper-conference"},"uris":["http://www.mendeley.com/documents/?uuid=4642e9eb-1399-3f92-961b-0c10afb15fea"]},{"id":"ITEM-5","itemData":{"DOI":"10.1109/DELCON54057.2022.9753221","ISBN":"9781665458832","abstract":"Peer-to-peer (P2P) energy trading is a new standard of power system operation, where people can trade their energy with each other locally. P2P trading has seen a significant boost in recent years. The number of projects and trials in this area has significantly increased all around the world. This paper briefly elaborates the advantages, challenges, different technologies, and their application in P2P trading, and gives an idea about various projects currently running in India. It is observed that P2P trading has a vital role to play in the coming future but has many challenges to be addressed.","author":[{"dropping-particle":"","family":"Jhajhriya","given":"Saroj","non-dropping-particle":"","parse-names":false,"suffix":""},{"dropping-particle":"","family":"Sharma","given":"Satish","non-dropping-particle":"","parse-names":false,"suffix":""}],"container-title":"2022 IEEE Delhi Section Conference, DELCON 2022","id":"ITEM-5","issued":{"date-parts":[["2022"]]},"publisher":"Institute of Electrical and Electronics Engineers Inc.","title":"Peer-to-Peer Energy Trading: A Review and Indian Scenario","type":"paper-conference"},"uris":["http://www.mendeley.com/documents/?uuid=906bb148-64ad-3f6f-b6b0-c1b8b3bb0017"]},{"id":"ITEM-6","itemData":{"DOI":"10.3390/su151813640","ISSN":"20711050","abstract":"The advancement of mircogrids and the adoption of blockchain technology in the energy-trading sector can build a robust and sustainable energy infrastructure. The decentralization and transparency of blockchain technology have several advantages for data management, security, and trust. In particular, the uses of smart contracts can provide automated transaction in energy trading. Individual entities (household, industries, institutes, etc.) have shown increasing interest in producing power from potential renewable energy sources for their own usage and also in distributing this power to the energy market if possible. The key success in energy trading significantly depends on understanding one’s own energy demand and production capability. For example, the production from a solar panel is highly correlated with the weather condition, and an efficient machine learning model can characterize the relationship to estimate the production at any time. In this article, we propose an architecture for energy trading that uses smart contracts in conjunction with an efficient machine learning algorithm to determine participants’ appropriate energy productions and streamline the auction process. We conducted an analysis on various machine learning models to identify the best suited model to be used with the smart contract in energy trading.","author":[{"dropping-particle":"","family":"Rahman","given":"Mahfuzur","non-dropping-particle":"","parse-names":false,"suffix":""},{"dropping-particle":"","family":"Chowdhury","given":"Solaiman","non-dropping-particle":"","parse-names":false,"suffix":""},{"dropping-particle":"","family":"Shorfuzzaman","given":"Mohammad","non-dropping-particle":"","parse-names":false,"suffix":""},{"dropping-particle":"","family":"Hossain","given":"Mohammad Kamal","non-dropping-particle":"","parse-names":false,"suffix":""},{"dropping-particle":"","family":"Hammoudeh","given":"Mohammad","non-dropping-particle":"","parse-names":false,"suffix":""}],"container-title":"Sustainability (Switzerland)","id":"ITEM-6","issue":"18","issued":{"date-parts":[["2023"]]},"page":"1-15","title":"Peer-to-Peer Power Energy Trading in Blockchain Using Efficient Machine Learning Model","type":"article-journal","volume":"15"},"uris":["http://www.mendeley.com/documents/?uuid=091f4217-e6e9-4cd9-82ee-b5de209fb994"]}],"mendeley":{"formattedCitation":"[5], [9], [10], [11], [12], [13]","plainTextFormattedCitation":"[5], [9], [10], [11], [12], [13]","previouslyFormattedCitation":"[5], [9], [10], [11], [12], [13]"},"properties":{"noteIndex":0},"schema":"https://github.com/citation-style-language/schema/raw/master/csl-citation.json"}</w:instrText>
      </w:r>
      <w:r>
        <w:fldChar w:fldCharType="separate"/>
      </w:r>
      <w:r w:rsidR="00CC4BAF" w:rsidRPr="00CC4BAF">
        <w:rPr>
          <w:noProof/>
        </w:rPr>
        <w:t>[5], [9], [10], [11], [12], [13]</w:t>
      </w:r>
      <w:r>
        <w:fldChar w:fldCharType="end"/>
      </w:r>
      <w:r>
        <w:t>suggests that research into P2P energy trading is becoming increasingly popular.</w:t>
      </w:r>
      <w:r w:rsidR="00CC4BAF">
        <w:t xml:space="preserve"> </w:t>
      </w:r>
      <w:r w:rsidR="00CC4BAF">
        <w:t xml:space="preserve">In </w:t>
      </w:r>
      <w:r w:rsidR="00CC4BAF">
        <w:fldChar w:fldCharType="begin" w:fldLock="1"/>
      </w:r>
      <w:r w:rsidR="00CC4BAF">
        <w:instrText>ADDIN CSL_CITATION {"citationItems":[{"id":"ITEM-1","itemData":{"DOI":"10.3390/su152316284","abstract":"The emergence of distributed energy has led to a change in the role of the consumer in the traditional sense over the past decade. The proliferation of emerging generators and distributors has created opportunities for a more decentralised and open energy market. In particular, the emergence of peer-to-peer (P2P) energy trading models, challenged by the surge in demand for sustainable energy, has eliminated the need for intermediaries in energy transactions between consumers, producers, and sellers. Due to the great promise of sustainable energy, both in terms of its contribution to the environment and production costs, this paper reviews a number of well-known P2P energy trading platforms to understand what makes P2P energy trading platforms more functional. As a result, areas for consideration were identified and grouped into five themes: (1) set-up, (2) market, (3) information, (4) price, and (5) regulation.","author":[{"dropping-particle":"","family":"Shan","given":"Shan","non-dropping-particle":"","parse-names":false,"suffix":""},{"dropping-particle":"","family":"Yang","given":"Siliang","non-dropping-particle":"","parse-names":false,"suffix":""},{"dropping-particle":"","family":"Becerra","given":"Victor","non-dropping-particle":"","parse-names":false,"suffix":""},{"dropping-particle":"","family":"Deng","given":"Jiamei","non-dropping-particle":"","parse-names":false,"suffix":""},{"dropping-particle":"","family":"Li","given":"Honglei","non-dropping-particle":"","parse-names":false,"suffix":""}],"container-title":"Sustainability","id":"ITEM-1","issue":"23","issued":{"date-parts":[["2023","11","24"]]},"page":"16284","publisher":"MDPI AG","title":"A Case Study of Existing Peer-to-Peer Energy Trading Platforms: Calling for Integrated Platform Features","type":"article-journal","volume":"15"},"uris":["http://www.mendeley.com/documents/?uuid=d7d8cb61-34ca-3d53-b4c5-05dd296a9bfe"]}],"mendeley":{"formattedCitation":"[14]","plainTextFormattedCitation":"[14]","previouslyFormattedCitation":"[14]"},"properties":{"noteIndex":0},"schema":"https://github.com/citation-style-language/schema/raw/master/csl-citation.json"}</w:instrText>
      </w:r>
      <w:r w:rsidR="00CC4BAF">
        <w:fldChar w:fldCharType="separate"/>
      </w:r>
      <w:r w:rsidR="00CC4BAF" w:rsidRPr="00CC4BAF">
        <w:rPr>
          <w:noProof/>
        </w:rPr>
        <w:t>[14]</w:t>
      </w:r>
      <w:r w:rsidR="00CC4BAF">
        <w:fldChar w:fldCharType="end"/>
      </w:r>
      <w:r w:rsidR="00CC4BAF">
        <w:t xml:space="preserve"> </w:t>
      </w:r>
      <w:r w:rsidR="00CC4BAF">
        <w:fldChar w:fldCharType="begin" w:fldLock="1"/>
      </w:r>
      <w:r w:rsidR="00CC4BAF">
        <w:instrText>ADDIN CSL_CITATION {"citationItems":[{"id":"ITEM-1","itemData":{"DOI":"10.1016/j.egypro.2017.03.737","ISSN":"18766102","abstract":"Peer-to-Peer (P2P) energy trading is a novel paradigm of power system operation, where people can generate their own energy from Renewable Energy Sources (RESs) in dwellings, offices and factories, and share it with each other locally. The number of projects and trails in this area has significantly increased recently all around the world. This paper elaborates main focuses and outcomes of those projects, and compares their similarities and differences. The results show that although many of the trails focus on the business models acting similarly to a supplier's role in the electricity sector, it is also necessary to design the necessary communication and control networks that could enable P2P energy trading in or among local Microgrids.","author":[{"dropping-particle":"","family":"Zhang","given":"Chenghua","non-dropping-particle":"","parse-names":false,"suffix":""},{"dropping-particle":"","family":"Wu","given":"Jianzhong","non-dropping-particle":"","parse-names":false,"suffix":""},{"dropping-particle":"","family":"Long","given":"Chao","non-dropping-particle":"","parse-names":false,"suffix":""},{"dropping-particle":"","family":"Cheng","given":"Meng","non-dropping-particle":"","parse-names":false,"suffix":""}],"container-title":"Energy Procedia","id":"ITEM-1","issued":{"date-parts":[["2017"]]},"page":"2563-2568","publisher":"The Author(s)","title":"Review of Existing Peer-to-Peer Energy Trading Projects","type":"article-journal","volume":"105"},"uris":["http://www.mendeley.com/documents/?uuid=3b28d610-77ec-4c6c-8692-f38836330526"]}],"mendeley":{"formattedCitation":"[15]","plainTextFormattedCitation":"[15]","previouslyFormattedCitation":"[15]"},"properties":{"noteIndex":0},"schema":"https://github.com/citation-style-language/schema/raw/master/csl-citation.json"}</w:instrText>
      </w:r>
      <w:r w:rsidR="00CC4BAF">
        <w:fldChar w:fldCharType="separate"/>
      </w:r>
      <w:r w:rsidR="00CC4BAF" w:rsidRPr="00CC4BAF">
        <w:rPr>
          <w:noProof/>
        </w:rPr>
        <w:t>[15]</w:t>
      </w:r>
      <w:r w:rsidR="00CC4BAF">
        <w:fldChar w:fldCharType="end"/>
      </w:r>
      <w:r w:rsidR="00CC4BAF">
        <w:t>,</w:t>
      </w:r>
      <w:r w:rsidR="00CC4BAF" w:rsidRPr="007564F6">
        <w:t xml:space="preserve"> </w:t>
      </w:r>
      <w:r w:rsidR="00CC4BAF">
        <w:t>provide an overview of various P2P projects that are currently being implemented in</w:t>
      </w:r>
      <w:r w:rsidR="00CC4BAF">
        <w:t xml:space="preserve"> different parts of the world. </w:t>
      </w:r>
    </w:p>
    <w:p w:rsidR="00313AAF" w:rsidRDefault="0037784B" w:rsidP="00313AAF">
      <w:r>
        <w:t xml:space="preserve">Key contributions of P2P energy trading are </w:t>
      </w:r>
      <w:r>
        <w:t>increased renewable energy adoption and greater flexibility</w:t>
      </w:r>
      <w:r>
        <w:t xml:space="preserve"> by </w:t>
      </w:r>
      <w:r>
        <w:t>empowering consumers and prosumers., balancing and congestion management through better coordination of</w:t>
      </w:r>
      <w:r>
        <w:t xml:space="preserve"> DER,</w:t>
      </w:r>
      <w:r>
        <w:t xml:space="preserve"> provision </w:t>
      </w:r>
      <w:r>
        <w:t xml:space="preserve">of </w:t>
      </w:r>
      <w:r>
        <w:t>ancillary s</w:t>
      </w:r>
      <w:r>
        <w:t>ervices to the main power grid,</w:t>
      </w:r>
      <w:r>
        <w:t xml:space="preserve"> energy access fo</w:t>
      </w:r>
      <w:r w:rsidR="00C21879">
        <w:t xml:space="preserve">r consumers in mini-grid setups </w:t>
      </w:r>
      <w:r w:rsidR="00031802">
        <w:fldChar w:fldCharType="begin" w:fldLock="1"/>
      </w:r>
      <w:r w:rsidR="00CC4BAF">
        <w:instrText>ADDIN CSL_CITATION {"citationItems":[{"id":"ITEM-1","itemData":{"DOI":"10.1016/j.enbuild.2021.110737","ISSN":"03787788","abstract":"Local electricity markets and peer-to-peer (P2P) trading schemes in buildings have recently gained importance as an efficient way to incentivize energy flexibility (e.g. consumer demand response or storage) and to share local energy resources (e.g. solar PV). This paper proposes local electricity markets for a complex of industrial buildings. We study P2P electricity trading and analyze the role of sharing local flexibility, e.g. a large battery, to maximise the use of distributed energy resource (DER) technologies. The objective is to investigate the value of P2P electricity trading in combination with on-site flexibility resources for a Norwegian industrial site. As the industrial consumers are exposed to a substantial peak power charge for grid usage, the study analyses how a local market affect the peak power demand management. To analyze it, we developed a linear programming model that represents the local power system characteristics of the buildings and simulate one year in operations. Results indicate potential savings on reducing electricity costs in the range of 6.8% to 11.0% based on P2P trading features. The total cost of peak power is reduced up to 25%, making peak shaving the largest contributor to the net cost savings. Moreover, the industrial site consumes more distributed generation locally, with no DER power curtailment and reduced grid feed-in.","author":[{"dropping-particle":"","family":"Sæther","given":"Guro","non-dropping-particle":"","parse-names":false,"suffix":""},{"dropping-particle":"","family":"Crespo del Granado","given":"Pedro","non-dropping-particle":"","parse-names":false,"suffix":""},{"dropping-particle":"","family":"Zaferanlouei","given":"Salman","non-dropping-particle":"","parse-names":false,"suffix":""}],"container-title":"Energy and Buildings","id":"ITEM-1","issued":{"date-parts":[["2021","4","1"]]},"publisher":"Elsevier Ltd","title":"Peer-to-peer electricity trading in an industrial site: Value of buildings flexibility on peak load reduction","type":"article-journal","volume":"236"},"uris":["http://www.mendeley.com/documents/?uuid=75c8a7b1-1e2a-3702-939e-84747e8e3d44"]}],"mendeley":{"formattedCitation":"[16]","plainTextFormattedCitation":"[16]","previouslyFormattedCitation":"[16]"},"properties":{"noteIndex":0},"schema":"https://github.com/citation-style-language/schema/raw/master/csl-citation.json"}</w:instrText>
      </w:r>
      <w:r w:rsidR="00031802">
        <w:fldChar w:fldCharType="separate"/>
      </w:r>
      <w:r w:rsidR="00CC4BAF" w:rsidRPr="00CC4BAF">
        <w:rPr>
          <w:noProof/>
        </w:rPr>
        <w:t>[16]</w:t>
      </w:r>
      <w:r w:rsidR="00031802">
        <w:fldChar w:fldCharType="end"/>
      </w:r>
      <w:r w:rsidR="00C21879">
        <w:t>.</w:t>
      </w:r>
      <w:r>
        <w:t xml:space="preserve"> </w:t>
      </w:r>
    </w:p>
    <w:p w:rsidR="00C336A8" w:rsidRDefault="007564F6" w:rsidP="00313AAF">
      <w:r>
        <w:t xml:space="preserve">In </w:t>
      </w:r>
      <w:r>
        <w:fldChar w:fldCharType="begin" w:fldLock="1"/>
      </w:r>
      <w:r w:rsidR="00CC4BAF">
        <w:instrText>ADDIN CSL_CITATION {"citationItems":[{"id":"ITEM-1","itemData":{"abstract":"Peer-to-peer trading is a next-generation energy management technique that economically benefits proactive consumers (prosumers) transacting their energy as goods and services. At the same time, peer-to-peer energy trading is also expected to help the grid by reducing peak demand, lowering reserve requirements, and curtailing network loss. However, large-scale deployment of peer-to-peer trading in electricity networks poses a number of challenges in modeling transactions in both the virtual and physical layers of the network. As such, this article provides a comprehensive review of the state-of-the-art in research on peer-to-peer energy trading techniques. By doing so, we provide an overview of the key features of peer-to-peer trading and its benefits of relevance to the grid and prosumers. Then, we systematically classify the existing research in terms of the challenges that the studies address in the virtual and the physical layers. We then further identify and discuss those technical approaches that have been extensively used to address the challenges in peer-to-peer transactions. Finally, the paper is concluded with potential future research directions.","author":[{"dropping-particle":"","family":"Tushar","given":"Wayes","non-dropping-particle":"","parse-names":false,"suffix":""},{"dropping-particle":"","family":"Saha","given":"Tapan K.","non-dropping-particle":"","parse-names":false,"suffix":""},{"dropping-particle":"","family":"Yuen","given":"Chau","non-dropping-particle":"","parse-names":false,"suffix":""},{"dropping-particle":"","family":"Smith","given":"David","non-dropping-particle":"","parse-names":false,"suffix":""},{"dropping-particle":"","family":"Poor","given":"H. Vincent","non-dropping-particle":"","parse-names":false,"suffix":""}],"id":"ITEM-1","issued":{"date-parts":[["2020","1","19"]]},"title":"Peer-to-Peer Trading in Electricity Networks: An Overview","type":"article-journal"},"uris":["http://www.mendeley.com/documents/?uuid=2f1f65a1-3179-336c-99cb-29b65b687fb0"]}],"mendeley":{"formattedCitation":"[9]","plainTextFormattedCitation":"[9]","previouslyFormattedCitation":"[9]"},"properties":{"noteIndex":0},"schema":"https://github.com/citation-style-language/schema/raw/master/csl-citation.json"}</w:instrText>
      </w:r>
      <w:r>
        <w:fldChar w:fldCharType="separate"/>
      </w:r>
      <w:r w:rsidR="00CC4BAF" w:rsidRPr="00CC4BAF">
        <w:rPr>
          <w:noProof/>
        </w:rPr>
        <w:t>[9]</w:t>
      </w:r>
      <w:r>
        <w:fldChar w:fldCharType="end"/>
      </w:r>
      <w:r>
        <w:t xml:space="preserve"> </w:t>
      </w:r>
      <w:r>
        <w:fldChar w:fldCharType="begin" w:fldLock="1"/>
      </w:r>
      <w:r w:rsidR="00CC4BAF">
        <w:instrText>ADDIN CSL_CITATION {"citationItems":[{"id":"ITEM-1","itemData":{"DOI":"10.1109/MSP.2018.2818327","ISSN":"10535888","abstract":"Peer-to-peer (P2P) energy trading has emerged as a next-generation energy-management mechanism for the smart grid that enables each prosumer (i.e., an energy consumer who also produces electricity) of the network to participate in energy trading with other prosumers and the grid. This poses a significant challenge in terms of modeling the decisionmaking process of the participants' conflicting interests and motivating prosumers to participate in energy trading and cooperate, if necessary, in achieving different energy-management goals. Therefore, such a decisionmaking process needs to be built on solid mathematical and signal processing principles that can ensure an efficient operation of the electric power grid. This article provides an overview of the use of game-theoretic approaches for P2P energy trading as a feasible and effective means of energy management. Various game- and auction-theoretic approaches are discussed by following a systematic classification to provide information on the importance of game theory for smart energy research. This article also focuses on the key features of P2P energy trading and gives an introduction to an existing P2P testbed. Furthermore, the article gives specific game- and auction-theoretic models that have recently been used in P2P energy trading and discusses important findings arising from these approaches.","author":[{"dropping-particle":"","family":"Tushar","given":"Wayes","non-dropping-particle":"","parse-names":false,"suffix":""},{"dropping-particle":"","family":"Yuen","given":"Chau","non-dropping-particle":"","parse-names":false,"suffix":""},{"dropping-particle":"","family":"Mohsenian-Rad","given":"Hamed","non-dropping-particle":"","parse-names":false,"suffix":""},{"dropping-particle":"","family":"Saha","given":"Tapan","non-dropping-particle":"","parse-names":false,"suffix":""},{"dropping-particle":"","family":"Poor","given":"H. Vincent","non-dropping-particle":"","parse-names":false,"suffix":""},{"dropping-particle":"","family":"Wood","given":"Kristin L.","non-dropping-particle":"","parse-names":false,"suffix":""}],"container-title":"IEEE Signal Processing Magazine","id":"ITEM-1","issue":"4","issued":{"date-parts":[["2018","7","1"]]},"page":"90-111","publisher":"Institute of Electrical and Electronics Engineers Inc.","title":"Transforming energy networks via peer-to-peer energy trading: The potential of game-theoretic approaches","type":"article-journal","volume":"35"},"uris":["http://www.mendeley.com/documents/?uuid=c8a960e1-605d-38c8-990a-88579af650a5"]}],"mendeley":{"formattedCitation":"[17]","plainTextFormattedCitation":"[17]","previouslyFormattedCitation":"[17]"},"properties":{"noteIndex":0},"schema":"https://github.com/citation-style-language/schema/raw/master/csl-citation.json"}</w:instrText>
      </w:r>
      <w:r>
        <w:fldChar w:fldCharType="separate"/>
      </w:r>
      <w:r w:rsidR="00CC4BAF" w:rsidRPr="00CC4BAF">
        <w:rPr>
          <w:noProof/>
        </w:rPr>
        <w:t>[17]</w:t>
      </w:r>
      <w:r>
        <w:fldChar w:fldCharType="end"/>
      </w:r>
      <w:r w:rsidR="00F4495A">
        <w:fldChar w:fldCharType="begin" w:fldLock="1"/>
      </w:r>
      <w:r w:rsidR="00CC4BAF">
        <w:instrText>ADDIN CSL_CITATION {"citationItems":[{"id":"ITEM-1","itemData":{"DOI":"10.1016/j.apenergy.2020.116268","ISSN":"03062619","abstract":"Distributed energy resources have increased considerably in the United States and the world in the last decade. The proliferation of prosumers generates the opportunity to have a more decentralized and open energy market. Given this opportunity, the Peer-to-Peer (P2P) trading energy paradigm appears, where consumers and prosumers can exchange energy without the need for an intermediary. Because P2P energy trading plays a fundamental role in the proliferation of renewable energies and the system flexibility for a low-carbon energy transition, this paper provides a review of the P2P energy trading that is necessary to understand the current approaches, challenges, and future research that should be conducted in this area. As a result, areas for consideration were identified and grouped into the following six topics: (1) trading platform, (2) blockchain, (3) game theory, (4) simulation, (5) optimization, and (6) algorithms. The study concludes by identifying several challenges that may give way to future research, such as integrating generation, transmission, and distribution into studies, large-scale studies, and modeling of consumer and prosumer complex behavior. Given P2P energy trading is a relatively new topic, there is still much work to be done to successfully implement the real-world model.","author":[{"dropping-particle":"","family":"Soto","given":"Esteban A.","non-dropping-particle":"","parse-names":false,"suffix":""},{"dropping-particle":"","family":"Bosman","given":"Lisa B.","non-dropping-particle":"","parse-names":false,"suffix":""},{"dropping-particle":"","family":"Wollega","given":"Ebisa","non-dropping-particle":"","parse-names":false,"suffix":""},{"dropping-particle":"","family":"Leon-Salas","given":"Walter D.","non-dropping-particle":"","parse-names":false,"suffix":""}],"container-title":"Applied Energy","id":"ITEM-1","issued":{"date-parts":[["2021","2","1"]]},"publisher":"Elsevier Ltd","title":"Peer-to-peer energy trading: A review of the literature","type":"article-journal","volume":"283"},"uris":["http://www.mendeley.com/documents/?uuid=8e3ef0bc-6405-376f-b572-469cf7a03772"]}],"mendeley":{"formattedCitation":"[18]","plainTextFormattedCitation":"[18]","previouslyFormattedCitation":"[18]"},"properties":{"noteIndex":0},"schema":"https://github.com/citation-style-language/schema/raw/master/csl-citation.json"}</w:instrText>
      </w:r>
      <w:r w:rsidR="00F4495A">
        <w:fldChar w:fldCharType="separate"/>
      </w:r>
      <w:r w:rsidR="00CC4BAF" w:rsidRPr="00CC4BAF">
        <w:rPr>
          <w:noProof/>
        </w:rPr>
        <w:t>[18]</w:t>
      </w:r>
      <w:r w:rsidR="00F4495A">
        <w:fldChar w:fldCharType="end"/>
      </w:r>
      <w:r w:rsidR="00C336A8">
        <w:t xml:space="preserve"> Explained that</w:t>
      </w:r>
      <w:r>
        <w:t xml:space="preserve"> P2P network can be divided </w:t>
      </w:r>
      <w:r w:rsidR="001C2E98">
        <w:t>mainly into Three</w:t>
      </w:r>
      <w:r>
        <w:t xml:space="preserve"> layers</w:t>
      </w:r>
      <w:r w:rsidR="00C336A8">
        <w:t xml:space="preserve"> virtual layer</w:t>
      </w:r>
      <w:r w:rsidR="001C2E98">
        <w:t>,</w:t>
      </w:r>
      <w:r w:rsidR="00C336A8">
        <w:t xml:space="preserve"> </w:t>
      </w:r>
      <w:r>
        <w:t>physical layer</w:t>
      </w:r>
      <w:r w:rsidR="001C2E98">
        <w:t xml:space="preserve"> and other</w:t>
      </w:r>
      <w:r>
        <w:t>.</w:t>
      </w:r>
      <w:r w:rsidR="001C2E98">
        <w:t xml:space="preserve"> </w:t>
      </w:r>
      <w:r w:rsidR="004413AB" w:rsidRPr="004413AB">
        <w:t>Key components of the virtual layer include information systems, market operations, pricing mechanisms, and energy management.</w:t>
      </w:r>
      <w:r w:rsidR="004413AB">
        <w:t xml:space="preserve"> </w:t>
      </w:r>
      <w:r w:rsidR="004413AB" w:rsidRPr="004413AB">
        <w:t>The physical layer encompasses the essential elements for connecting to the grid, measuring energy consumption, and enabling communication.</w:t>
      </w:r>
      <w:r w:rsidR="0020592C">
        <w:t xml:space="preserve"> </w:t>
      </w:r>
      <w:r w:rsidR="0020592C">
        <w:t xml:space="preserve">Market participants and regulations form the </w:t>
      </w:r>
      <w:r w:rsidR="0020592C">
        <w:t xml:space="preserve">last </w:t>
      </w:r>
      <w:r w:rsidR="0020592C">
        <w:t>layer</w:t>
      </w:r>
      <w:r w:rsidR="0020592C">
        <w:t>.</w:t>
      </w:r>
      <w:r w:rsidR="00CC4BAF">
        <w:t xml:space="preserve"> </w:t>
      </w:r>
      <w:r w:rsidR="004715FD" w:rsidRPr="004715FD">
        <w:t>The integration of smart contracts automates transactions, streamlining the trading process and enhancing operational efficiency</w:t>
      </w:r>
      <w:r w:rsidR="004715FD">
        <w:t xml:space="preserve"> </w:t>
      </w:r>
      <w:r w:rsidR="004715FD">
        <w:fldChar w:fldCharType="begin" w:fldLock="1"/>
      </w:r>
      <w:r w:rsidR="00CC4BAF">
        <w:instrText>ADDIN CSL_CITATION {"citationItems":[{"id":"ITEM-1","itemData":{"DOI":"10.3390/su151813640","ISSN":"20711050","abstract":"The advancement of mircogrids and the adoption of blockchain technology in the energy-trading sector can build a robust and sustainable energy infrastructure. The decentralization and transparency of blockchain technology have several advantages for data management, security, and trust. In particular, the uses of smart contracts can provide automated transaction in energy trading. Individual entities (household, industries, institutes, etc.) have shown increasing interest in producing power from potential renewable energy sources for their own usage and also in distributing this power to the energy market if possible. The key success in energy trading significantly depends on understanding one’s own energy demand and production capability. For example, the production from a solar panel is highly correlated with the weather condition, and an efficient machine learning model can characterize the relationship to estimate the production at any time. In this article, we propose an architecture for energy trading that uses smart contracts in conjunction with an efficient machine learning algorithm to determine participants’ appropriate energy productions and streamline the auction process. We conducted an analysis on various machine learning models to identify the best suited model to be used with the smart contract in energy trading.","author":[{"dropping-particle":"","family":"Rahman","given":"Mahfuzur","non-dropping-particle":"","parse-names":false,"suffix":""},{"dropping-particle":"","family":"Chowdhury","given":"Solaiman","non-dropping-particle":"","parse-names":false,"suffix":""},{"dropping-particle":"","family":"Shorfuzzaman","given":"Mohammad","non-dropping-particle":"","parse-names":false,"suffix":""},{"dropping-particle":"","family":"Hossain","given":"Mohammad Kamal","non-dropping-particle":"","parse-names":false,"suffix":""},{"dropping-particle":"","family":"Hammoudeh","given":"Mohammad","non-dropping-particle":"","parse-names":false,"suffix":""}],"container-title":"Sustainability (Switzerland)","id":"ITEM-1","issue":"18","issued":{"date-parts":[["2023"]]},"page":"1-15","title":"Peer-to-Peer Power Energy Trading in Blockchain Using Efficient Machine Learning Model","type":"article-journal","volume":"15"},"uris":["http://www.mendeley.com/documents/?uuid=091f4217-e6e9-4cd9-82ee-b5de209fb994"]}],"mendeley":{"formattedCitation":"[13]","plainTextFormattedCitation":"[13]","previouslyFormattedCitation":"[13]"},"properties":{"noteIndex":0},"schema":"https://github.com/citation-style-language/schema/raw/master/csl-citation.json"}</w:instrText>
      </w:r>
      <w:r w:rsidR="004715FD">
        <w:fldChar w:fldCharType="separate"/>
      </w:r>
      <w:r w:rsidR="00CC4BAF" w:rsidRPr="00CC4BAF">
        <w:rPr>
          <w:noProof/>
        </w:rPr>
        <w:t>[13]</w:t>
      </w:r>
      <w:r w:rsidR="004715FD">
        <w:fldChar w:fldCharType="end"/>
      </w:r>
    </w:p>
    <w:p w:rsidR="001E097B" w:rsidRDefault="00CC4BAF" w:rsidP="00CC4BAF">
      <w:r>
        <w:t>Platform reliability, customer service, a conducive regulatory environment, and a reliable grid are essential for successful P2P electricity trading.</w:t>
      </w:r>
      <w:r>
        <w:t xml:space="preserve"> </w:t>
      </w:r>
      <w:r w:rsidR="000A1083" w:rsidRPr="000A1083">
        <w:t>Energy trading platforms provide critical infrastructure for the energy sector, facilitating risk mitigation, investme</w:t>
      </w:r>
      <w:r w:rsidR="00CE2D71">
        <w:t xml:space="preserve">nt, and operational efficiency. </w:t>
      </w:r>
      <w:r w:rsidR="000A1083" w:rsidRPr="000A1083">
        <w:t>Leveraging advanced technologies, these platforms are becoming increasingly sophisticated, enabling seamless integration and optimization within complex energy ecosystems</w:t>
      </w:r>
      <w:r w:rsidR="00F4495A">
        <w:t xml:space="preserve"> </w:t>
      </w:r>
      <w:r w:rsidR="00F4495A">
        <w:fldChar w:fldCharType="begin" w:fldLock="1"/>
      </w:r>
      <w:r>
        <w:instrText>ADDIN CSL_CITATION {"citationItems":[{"id":"ITEM-1","itemData":{"URL":"https://ordergroup.co/energy-hub/energy-trading/trading-platform/","accessed":{"date-parts":[["2024","9","10"]]},"id":"ITEM-1","issued":{"date-parts":[["0"]]},"title":"Trading Platform | Order Group","type":"webpage"},"uris":["http://www.mendeley.com/documents/?uuid=5abe1859-e547-343d-b3e6-b4007bbff3c3"]}],"mendeley":{"formattedCitation":"[19]","plainTextFormattedCitation":"[19]","previouslyFormattedCitation":"[19]"},"properties":{"noteIndex":0},"schema":"https://github.com/citation-style-language/schema/raw/master/csl-citation.json"}</w:instrText>
      </w:r>
      <w:r w:rsidR="00F4495A">
        <w:fldChar w:fldCharType="separate"/>
      </w:r>
      <w:r w:rsidR="001C2E98" w:rsidRPr="001C2E98">
        <w:rPr>
          <w:noProof/>
        </w:rPr>
        <w:t>[19]</w:t>
      </w:r>
      <w:r w:rsidR="00F4495A">
        <w:fldChar w:fldCharType="end"/>
      </w:r>
      <w:r w:rsidR="000A1083" w:rsidRPr="000A1083">
        <w:t>.</w:t>
      </w:r>
      <w:r w:rsidR="00BE4F5E">
        <w:t xml:space="preserve"> </w:t>
      </w:r>
    </w:p>
    <w:p w:rsidR="00BD6505" w:rsidRDefault="00BD6505" w:rsidP="00D86398"/>
    <w:p w:rsidR="00D86398" w:rsidRPr="00493C0C" w:rsidRDefault="00D86398" w:rsidP="00D86398">
      <w:pPr>
        <w:rPr>
          <w:rFonts w:ascii="Times New Roman" w:hAnsi="Times New Roman" w:cs="Times New Roman"/>
          <w:b/>
          <w:bCs/>
          <w:sz w:val="24"/>
          <w:szCs w:val="24"/>
        </w:rPr>
      </w:pPr>
      <w:r w:rsidRPr="00493C0C">
        <w:rPr>
          <w:rFonts w:ascii="Times New Roman" w:hAnsi="Times New Roman" w:cs="Times New Roman"/>
          <w:b/>
          <w:bCs/>
          <w:sz w:val="24"/>
          <w:szCs w:val="24"/>
        </w:rPr>
        <w:t>Blockchain and its overview:</w:t>
      </w:r>
    </w:p>
    <w:p w:rsidR="002C21BC" w:rsidRDefault="00DA46F8" w:rsidP="00D86398">
      <w:r w:rsidRPr="00DA46F8">
        <w:t>At the core of</w:t>
      </w:r>
      <w:r w:rsidR="003203ED">
        <w:t xml:space="preserve"> peer to peer and energy trading </w:t>
      </w:r>
      <w:r w:rsidR="00BD6505">
        <w:t xml:space="preserve">and </w:t>
      </w:r>
      <w:r w:rsidR="00BD6505" w:rsidRPr="00DA46F8">
        <w:t>tokenization</w:t>
      </w:r>
      <w:r w:rsidRPr="00DA46F8">
        <w:t xml:space="preserve"> lies blockchain technology, a secure and transparent platform facilitating the creation, tracking, and management of digital assets.</w:t>
      </w:r>
      <w:r w:rsidR="00C96104">
        <w:t xml:space="preserve"> Blockchain platforms can track and verify the origins of energy, facilitating the issuance of reliable and transparent renewable energy certificates. This process encourages investment in renewable projects and ensures compliance with regulations.</w:t>
      </w:r>
      <w:r w:rsidR="00723BF7">
        <w:t xml:space="preserve"> </w:t>
      </w:r>
    </w:p>
    <w:p w:rsidR="00263E5A" w:rsidRDefault="00D86398" w:rsidP="00263E5A">
      <w:r>
        <w:t>Blockchain, a distributed ledger technology, enables a layer of trust and eliminates the need for a third party to validate the transactions. Blockchain technology is an amalgamation of various technologies such as distributed systems, cryptography, etc</w:t>
      </w:r>
      <w:r w:rsidR="00733A8D">
        <w:t xml:space="preserve"> </w:t>
      </w:r>
      <w:r w:rsidR="002C21BC">
        <w:fldChar w:fldCharType="begin" w:fldLock="1"/>
      </w:r>
      <w:r w:rsidR="005471D1">
        <w:instrText>ADDIN CSL_CITATION {"citationItems":[{"id":"ITEM-1","itemData":{"URL":"https://www.manoramayearbook.in/current-affairs/india/2024/09/05/blockchain-technology-explained.html","accessed":{"date-parts":[["2024","9","11"]]},"id":"ITEM-1","issued":{"date-parts":[["0"]]},"title":"Manorama Yearbook | Blockchain Technology | UPSC","type":"webpage"},"uris":["http://www.mendeley.com/documents/?uuid=9af4bd13-6654-3172-be83-63682c66c702"]}],"mendeley":{"formattedCitation":"[20]","plainTextFormattedCitation":"[20]","previouslyFormattedCitation":"[20]"},"properties":{"noteIndex":0},"schema":"https://github.com/citation-style-language/schema/raw/master/csl-citation.json"}</w:instrText>
      </w:r>
      <w:r w:rsidR="002C21BC">
        <w:fldChar w:fldCharType="separate"/>
      </w:r>
      <w:r w:rsidR="00031802" w:rsidRPr="00031802">
        <w:rPr>
          <w:noProof/>
        </w:rPr>
        <w:t>[20]</w:t>
      </w:r>
      <w:r w:rsidR="002C21BC">
        <w:fldChar w:fldCharType="end"/>
      </w:r>
      <w:r>
        <w:t>.</w:t>
      </w:r>
      <w:r w:rsidRPr="003A3F20">
        <w:t xml:space="preserve"> </w:t>
      </w:r>
      <w:r w:rsidR="00723BF7">
        <w:t xml:space="preserve"> </w:t>
      </w:r>
      <w:r w:rsidR="003203ED">
        <w:t xml:space="preserve">Each </w:t>
      </w:r>
      <w:r>
        <w:t xml:space="preserve">Blocks </w:t>
      </w:r>
      <w:r w:rsidR="003203ED">
        <w:t xml:space="preserve">contains details of transactions, hash of the previous block, </w:t>
      </w:r>
      <w:r w:rsidR="002C21BC">
        <w:t>timestamp are</w:t>
      </w:r>
      <w:r>
        <w:t xml:space="preserve"> linked with each other with proper security using hash function</w:t>
      </w:r>
      <w:r w:rsidR="00263E5A">
        <w:t xml:space="preserve"> </w:t>
      </w:r>
      <w:r w:rsidR="00263E5A">
        <w:fldChar w:fldCharType="begin" w:fldLock="1"/>
      </w:r>
      <w:r w:rsidR="00263E5A">
        <w:instrText>ADDIN CSL_CITATION {"citationItems":[{"id":"ITEM-1","itemData":{"DOI":"10.1016/bs.adcom.2018.10.006","ISBN":"9780128171899","ISSN":"00652458","abstract":"Blockchain technology is getting a growing attention from various organizations and researchers as it provides magical solutions to the problems associated with the classical centralized architecture. Blockchain, whether public or private, is a distributed ledger with the capability of maintaining the integrity of transactions by decentralizing the ledger among participating users. On the other hand, the Internet of Things (IoT) represents a revolution of the Internet which can connect nearly all environment devices over the Internet to share their data to create novel services and applications for improving our quality of life. Although the centralized IoT system provides countless benefits, it raises several challenges. Resolving these challenges can be done by integrating IoT with blockchain technology. To be prepared for the integration process, this chapter provides an overview of technical aspects of the blockchain and IoT. It started by reviewing blockchain technology and its main structure. Applications and challenges of the blockchain are also presented. This is followed by reviewing the IoT system by highlighting common architecture and essential characteristics. Various applications and challenges of the IoT system are also discussed.","author":[{"dropping-particle":"","family":"Atlam","given":"Hany F.","non-dropping-particle":"","parse-names":false,"suffix":""},{"dropping-particle":"","family":"Wills","given":"Gary B.","non-dropping-particle":"","parse-names":false,"suffix":""}],"container-title":"Advances in Computers","edition":"1","id":"ITEM-1","issued":{"date-parts":[["2019"]]},"number-of-pages":"1-39","publisher":"Elsevier Inc.","title":"Technical aspects of blockchain and IoT","type":"book","volume":"115"},"uris":["http://www.mendeley.com/documents/?uuid=dc08abce-01a1-4ecf-953e-d94aa3a5bbd0"]}],"mendeley":{"formattedCitation":"[21]","plainTextFormattedCitation":"[21]","previouslyFormattedCitation":"[21]"},"properties":{"noteIndex":0},"schema":"https://github.com/citation-style-language/schema/raw/master/csl-citation.json"}</w:instrText>
      </w:r>
      <w:r w:rsidR="00263E5A">
        <w:fldChar w:fldCharType="separate"/>
      </w:r>
      <w:r w:rsidR="00263E5A" w:rsidRPr="00263E5A">
        <w:rPr>
          <w:noProof/>
        </w:rPr>
        <w:t>[21]</w:t>
      </w:r>
      <w:r w:rsidR="00263E5A">
        <w:fldChar w:fldCharType="end"/>
      </w:r>
      <w:r w:rsidR="00263E5A">
        <w:t xml:space="preserve"> </w:t>
      </w:r>
      <w:r w:rsidR="00263E5A">
        <w:fldChar w:fldCharType="begin" w:fldLock="1"/>
      </w:r>
      <w:r w:rsidR="00263E5A">
        <w:instrText>ADDIN CSL_CITATION {"citationItems":[{"id":"ITEM-1","itemData":{"DOI":"10.1016/j.jii.2019.04.002","ISSN":"2452414X","abstract":"The blockchain revolutionizes the creation of both scalable information technology systems and diversified applications by integrating the increasingly popular artificial intelligence, cloud computing, and big data. Various industries have recently begun to implement the exploration of blockchain. It will not take long for the blockchain to spread all over the world. In order to identify and further the development of the blockchain technology, this paper reviews the extant studies on the blockchain and its key components, blockchain-based IoT, blockchain-based security, blockchain-based data management, and the main applications based on the blockchain, and it delineates potential trends and challenges. This study provides a comprehensive overview of state-of-the-art blockchain and describes a forward-looking direction.","author":[{"dropping-particle":"","family":"Lu","given":"Yang","non-dropping-particle":"","parse-names":false,"suffix":""}],"container-title":"Journal of Industrial Information Integration","id":"ITEM-1","issue":"April","issued":{"date-parts":[["2019"]]},"page":"80-90","title":"The blockchain: State-of-the-art and research challenges","type":"article-journal","volume":"15"},"uris":["http://www.mendeley.com/documents/?uuid=5f647e20-6e29-4e61-b632-75d048b25a50"]}],"mendeley":{"formattedCitation":"[22]","plainTextFormattedCitation":"[22]","previouslyFormattedCitation":"[22]"},"properties":{"noteIndex":0},"schema":"https://github.com/citation-style-language/schema/raw/master/csl-citation.json"}</w:instrText>
      </w:r>
      <w:r w:rsidR="00263E5A">
        <w:fldChar w:fldCharType="separate"/>
      </w:r>
      <w:r w:rsidR="00263E5A" w:rsidRPr="00263E5A">
        <w:rPr>
          <w:noProof/>
        </w:rPr>
        <w:t>[22]</w:t>
      </w:r>
      <w:r w:rsidR="00263E5A">
        <w:fldChar w:fldCharType="end"/>
      </w:r>
      <w:r>
        <w:t>. This leads to a Blockchain, which is a distributed ledger stored at various nodes in the netwo</w:t>
      </w:r>
      <w:r w:rsidR="00F7576E">
        <w:t xml:space="preserve">rk. </w:t>
      </w:r>
      <w:r>
        <w:t>A B</w:t>
      </w:r>
      <w:r w:rsidRPr="00DD535C">
        <w:t>loc</w:t>
      </w:r>
      <w:r>
        <w:t>k</w:t>
      </w:r>
      <w:r w:rsidRPr="00DD535C">
        <w:t>chain's initial bl</w:t>
      </w:r>
      <w:r>
        <w:t>ock is known as a genesis block</w:t>
      </w:r>
      <w:r w:rsidR="00263E5A">
        <w:t xml:space="preserve"> </w:t>
      </w:r>
      <w:r w:rsidR="00263E5A">
        <w:fldChar w:fldCharType="begin" w:fldLock="1"/>
      </w:r>
      <w:r w:rsidR="00263E5A">
        <w:instrText>ADDIN CSL_CITATION {"citationItems":[{"id":"ITEM-1","itemData":{"author":[{"dropping-particle":"","family":"MINISTRY OF ELECTRONICS &amp; INFORMATION TECHNOLOGY - Government of India","given":"","non-dropping-particle":"","parse-names":false,"suffix":""}],"id":"ITEM-1","issued":{"date-parts":[["2021"]]},"page":"1-52","title":"NATIONAL STRATEGY ON BLOCKCHAIN Towards Enabling Trusted Digital Platforms","type":"article-journal"},"uris":["http://www.mendeley.com/documents/?uuid=803bb266-3fa7-459a-98b9-ef429d30bb97"]}],"mendeley":{"formattedCitation":"[23]","plainTextFormattedCitation":"[23]","previouslyFormattedCitation":"[23]"},"properties":{"noteIndex":0},"schema":"https://github.com/citation-style-language/schema/raw/master/csl-citation.json"}</w:instrText>
      </w:r>
      <w:r w:rsidR="00263E5A">
        <w:fldChar w:fldCharType="separate"/>
      </w:r>
      <w:r w:rsidR="00263E5A" w:rsidRPr="00263E5A">
        <w:rPr>
          <w:noProof/>
        </w:rPr>
        <w:t>[23]</w:t>
      </w:r>
      <w:r w:rsidR="00263E5A">
        <w:fldChar w:fldCharType="end"/>
      </w:r>
      <w:r w:rsidR="00263E5A">
        <w:t xml:space="preserve"> </w:t>
      </w:r>
    </w:p>
    <w:p w:rsidR="00D86398" w:rsidRDefault="00D86398" w:rsidP="007A3D2E">
      <w:pPr>
        <w:spacing w:line="276" w:lineRule="auto"/>
      </w:pPr>
      <w:r w:rsidRPr="00855221">
        <w:t>The data stored in a block is verified</w:t>
      </w:r>
      <w:r>
        <w:t xml:space="preserve"> </w:t>
      </w:r>
      <w:r w:rsidRPr="00855221">
        <w:t>using algorithms, which attach a unique</w:t>
      </w:r>
      <w:r>
        <w:t xml:space="preserve"> </w:t>
      </w:r>
      <w:r w:rsidRPr="00855221">
        <w:t>hash to each block. Each such hash is</w:t>
      </w:r>
      <w:r>
        <w:t xml:space="preserve"> </w:t>
      </w:r>
      <w:r w:rsidRPr="00855221">
        <w:t>a series of numbers and letters created</w:t>
      </w:r>
      <w:r>
        <w:t xml:space="preserve"> </w:t>
      </w:r>
      <w:r w:rsidRPr="00855221">
        <w:t>on the basis of the information stored in</w:t>
      </w:r>
      <w:r>
        <w:t xml:space="preserve"> </w:t>
      </w:r>
      <w:r w:rsidR="00817C84">
        <w:t xml:space="preserve">the relevant data block </w:t>
      </w:r>
      <w:r w:rsidR="00817C84">
        <w:fldChar w:fldCharType="begin" w:fldLock="1"/>
      </w:r>
      <w:r w:rsidR="005471D1">
        <w:instrText>ADDIN CSL_CITATION {"citationItems":[{"id":"ITEM-1","itemData":{"author":[{"dropping-particle":"","family":"PwC global power &amp; utilities","given":"","non-dropping-particle":"","parse-names":false,"suffix":""}],"id":"ITEM-1","issued":{"date-parts":[["0"]]},"title":"Blockchain-an opportunity for energy producers and consumers?","type":"article-magazine"},"uris":["http://www.mendeley.com/documents/?uuid=e5079ec9-0d09-3307-afc7-853222477310"]}],"mendeley":{"formattedCitation":"[24]","plainTextFormattedCitation":"[24]","previouslyFormattedCitation":"[24]"},"properties":{"noteIndex":0},"schema":"https://github.com/citation-style-language/schema/raw/master/csl-citation.json"}</w:instrText>
      </w:r>
      <w:r w:rsidR="00817C84">
        <w:fldChar w:fldCharType="separate"/>
      </w:r>
      <w:r w:rsidR="00031802" w:rsidRPr="00031802">
        <w:rPr>
          <w:noProof/>
        </w:rPr>
        <w:t>[24]</w:t>
      </w:r>
      <w:r w:rsidR="00817C84">
        <w:fldChar w:fldCharType="end"/>
      </w:r>
      <w:r w:rsidR="007A3D2E">
        <w:t xml:space="preserve">. </w:t>
      </w:r>
      <w:r w:rsidR="00263E5A">
        <w:t>Consensus mechanisms in distributed ledgers ensure that all nodes validate and agree upon the ledger's state.</w:t>
      </w:r>
    </w:p>
    <w:p w:rsidR="00D86398" w:rsidRDefault="00D86398" w:rsidP="00D86398">
      <w:pPr>
        <w:spacing w:after="0" w:line="240" w:lineRule="auto"/>
      </w:pPr>
      <w:r w:rsidRPr="00581A49">
        <w:lastRenderedPageBreak/>
        <w:t>The origins of blockchain technology dates back to the 1980s</w:t>
      </w:r>
      <w:r>
        <w:t xml:space="preserve">. </w:t>
      </w:r>
      <w:r w:rsidRPr="008239E4">
        <w:t>Bloc</w:t>
      </w:r>
      <w:r>
        <w:t xml:space="preserve">kchain gained global popularity after the </w:t>
      </w:r>
      <w:r w:rsidRPr="008239E4">
        <w:t>fabled</w:t>
      </w:r>
      <w:r>
        <w:t xml:space="preserve"> paper of Satoshi Nakamoto. </w:t>
      </w:r>
      <w:r w:rsidRPr="00E5105F">
        <w:t xml:space="preserve">It gained </w:t>
      </w:r>
      <w:r w:rsidRPr="008239E4">
        <w:t>prominence</w:t>
      </w:r>
      <w:r>
        <w:t xml:space="preserve"> in 2008 with the invention of Bit coin (as currency in 2009).</w:t>
      </w:r>
    </w:p>
    <w:p w:rsidR="00723BF7" w:rsidRDefault="00723BF7" w:rsidP="004633CE">
      <w:pPr>
        <w:spacing w:after="0" w:line="240" w:lineRule="auto"/>
      </w:pPr>
    </w:p>
    <w:p w:rsidR="00AA6C55" w:rsidRDefault="00723BF7" w:rsidP="00B758FD">
      <w:r w:rsidRPr="00EE6758">
        <w:t>Blockchain technology has advanced significantly over time, with each generation delivering disruptive ideas and overcoming the limitations of its preceding</w:t>
      </w:r>
      <w:r w:rsidR="00475C4E">
        <w:t xml:space="preserve"> </w:t>
      </w:r>
      <w:r w:rsidR="003E2C74">
        <w:fldChar w:fldCharType="begin" w:fldLock="1"/>
      </w:r>
      <w:r w:rsidR="005471D1">
        <w:instrText>ADDIN CSL_CITATION {"citationItems":[{"id":"ITEM-1","itemData":{"URL":"https://www.geeksforgeeks.org/types-of-blockchain/?ref=lbp","accessed":{"date-parts":[["2024","9","11"]]},"author":[{"dropping-particle":"","family":"GeeksforGeeks","given":"","non-dropping-particle":"","parse-names":false,"suffix":""}],"container-title":"GeeksforGeeks","id":"ITEM-1","issued":{"date-parts":[["2022"]]},"title":"Types of Blockchain - GeeksforGeeks","type":"webpage"},"uris":["http://www.mendeley.com/documents/?uuid=b907ade9-38c6-3b9a-8364-0d699ff16d53"]}],"mendeley":{"formattedCitation":"[25]","plainTextFormattedCitation":"[25]","previouslyFormattedCitation":"[25]"},"properties":{"noteIndex":0},"schema":"https://github.com/citation-style-language/schema/raw/master/csl-citation.json"}</w:instrText>
      </w:r>
      <w:r w:rsidR="003E2C74">
        <w:fldChar w:fldCharType="separate"/>
      </w:r>
      <w:r w:rsidR="00031802" w:rsidRPr="00031802">
        <w:rPr>
          <w:noProof/>
        </w:rPr>
        <w:t>[25]</w:t>
      </w:r>
      <w:r w:rsidR="003E2C74">
        <w:fldChar w:fldCharType="end"/>
      </w:r>
      <w:r w:rsidR="002C21BC">
        <w:t xml:space="preserve"> </w:t>
      </w:r>
      <w:r w:rsidR="002C21BC">
        <w:fldChar w:fldCharType="begin" w:fldLock="1"/>
      </w:r>
      <w:r w:rsidR="005471D1">
        <w:instrText>ADDIN CSL_CITATION {"citationItems":[{"id":"ITEM-1","itemData":{"DOI":"10.1007/978-3-030-69395-4_3","ISSN":"18684408","abstract":"Blockchain is a propitious technology that has gained immense popularity and tractions. It has tremendously revolutionized the peer-to-peer information exchange by combining cryptographic principles with decentralization, immutability and transparency. The term blockchain has been coined from its fundamental feature of being a distributed ledger where each record or block is secured and bound to its successive blocks through hash functions thus resulting in this chain of blocks. This chapter first gives the historical background of this expeditious technology. It then proffers a description of the basic terminologies in blockchain, it’s types, basic structure of block and different consensus models popularly known. The prime emphasis of this chapter is to bestow an extensive study of the chronological evolutions in Blockchain Technology by highlighting the nitty-gritty of each generation in detail. It also illustrates a parameter wise differences amidst the several generations in terms of their principle areas, consensus models used, utility of smart contracts, the energy and cost requirements and execution speed and scalability. In the end, a Blockchain in Supply Chain Management test case has also been elaborated in this chapter.","author":[{"dropping-particle":"","family":"Mukherjee","given":"Pratyusa","non-dropping-particle":"","parse-names":false,"suffix":""},{"dropping-particle":"","family":"Pradhan","given":"Chittaranjan","non-dropping-particle":"","parse-names":false,"suffix":""}],"container-title":"Intelligent Systems Reference Library","id":"ITEM-1","issued":{"date-parts":[["2021"]]},"page":"29-49","publisher":"Springer Science and Business Media Deutschland GmbH","title":"Blockchain 1.0 to blockchain 4.0—The evolutionary transformation of blockchain technology","type":"chapter","volume":"203"},"uris":["http://www.mendeley.com/documents/?uuid=b5f3e75e-2ae6-3d8e-aabe-757a417d0cb7"]}],"mendeley":{"formattedCitation":"[26]","plainTextFormattedCitation":"[26]","previouslyFormattedCitation":"[26]"},"properties":{"noteIndex":0},"schema":"https://github.com/citation-style-language/schema/raw/master/csl-citation.json"}</w:instrText>
      </w:r>
      <w:r w:rsidR="002C21BC">
        <w:fldChar w:fldCharType="separate"/>
      </w:r>
      <w:r w:rsidR="00031802" w:rsidRPr="00031802">
        <w:rPr>
          <w:noProof/>
        </w:rPr>
        <w:t>[26]</w:t>
      </w:r>
      <w:r w:rsidR="002C21BC">
        <w:fldChar w:fldCharType="end"/>
      </w:r>
      <w:r w:rsidR="00BF451B">
        <w:t xml:space="preserve"> </w:t>
      </w:r>
      <w:r w:rsidRPr="00EE6758">
        <w:t>.</w:t>
      </w:r>
      <w:r w:rsidR="009D243B">
        <w:t xml:space="preserve"> Table 1 outlines the key characteristics </w:t>
      </w:r>
      <w:r w:rsidR="004F19D8">
        <w:t>of different</w:t>
      </w:r>
      <w:r w:rsidR="009D243B">
        <w:t xml:space="preserve"> generations</w:t>
      </w:r>
      <w:r w:rsidR="004F19D8">
        <w:t xml:space="preserve"> of</w:t>
      </w:r>
      <w:r w:rsidR="009D243B">
        <w:t xml:space="preserve"> </w:t>
      </w:r>
      <w:r w:rsidR="004F19D8">
        <w:t>blockchain</w:t>
      </w:r>
      <w:r w:rsidR="009D243B">
        <w:t>.</w:t>
      </w:r>
    </w:p>
    <w:p w:rsidR="004F19D8" w:rsidRDefault="004F19D8" w:rsidP="00B758FD">
      <w:r>
        <w:t>Table</w:t>
      </w:r>
      <w:r w:rsidR="00875FCA">
        <w:t xml:space="preserve"> 1</w:t>
      </w:r>
      <w:r>
        <w:t xml:space="preserve">: </w:t>
      </w:r>
      <w:r w:rsidR="00875FCA">
        <w:t xml:space="preserve"> Comparative analysis of blockchain generations </w:t>
      </w:r>
    </w:p>
    <w:p w:rsidR="00875FCA" w:rsidRDefault="00875FCA" w:rsidP="00B758FD"/>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47"/>
        <w:gridCol w:w="1289"/>
        <w:gridCol w:w="1344"/>
        <w:gridCol w:w="1448"/>
        <w:gridCol w:w="1617"/>
        <w:gridCol w:w="1615"/>
      </w:tblGrid>
      <w:tr w:rsidR="009D243B" w:rsidTr="00557F28">
        <w:tc>
          <w:tcPr>
            <w:tcW w:w="1103" w:type="pct"/>
          </w:tcPr>
          <w:p w:rsidR="009D243B" w:rsidRDefault="009D243B" w:rsidP="00557F28">
            <w:r>
              <w:t>Parameter</w:t>
            </w:r>
          </w:p>
        </w:tc>
        <w:tc>
          <w:tcPr>
            <w:tcW w:w="698" w:type="pct"/>
          </w:tcPr>
          <w:p w:rsidR="009D243B" w:rsidRDefault="009D243B" w:rsidP="00557F28">
            <w:r>
              <w:t>Blockchain 1.0</w:t>
            </w:r>
          </w:p>
        </w:tc>
        <w:tc>
          <w:tcPr>
            <w:tcW w:w="698" w:type="pct"/>
          </w:tcPr>
          <w:p w:rsidR="009D243B" w:rsidRDefault="009D243B" w:rsidP="00557F28">
            <w:r>
              <w:t>Blockchain 2.0</w:t>
            </w:r>
          </w:p>
        </w:tc>
        <w:tc>
          <w:tcPr>
            <w:tcW w:w="756" w:type="pct"/>
          </w:tcPr>
          <w:p w:rsidR="009D243B" w:rsidRDefault="009D243B" w:rsidP="00557F28">
            <w:r>
              <w:t>Blockchain 3.0</w:t>
            </w:r>
          </w:p>
        </w:tc>
        <w:tc>
          <w:tcPr>
            <w:tcW w:w="873" w:type="pct"/>
          </w:tcPr>
          <w:p w:rsidR="009D243B" w:rsidRDefault="009D243B" w:rsidP="00557F28">
            <w:r>
              <w:t>Blockchain 4.0</w:t>
            </w:r>
          </w:p>
        </w:tc>
        <w:tc>
          <w:tcPr>
            <w:tcW w:w="873" w:type="pct"/>
          </w:tcPr>
          <w:p w:rsidR="009D243B" w:rsidRDefault="009D243B" w:rsidP="00557F28">
            <w:r>
              <w:t>Blockchain 5.0</w:t>
            </w:r>
          </w:p>
        </w:tc>
      </w:tr>
      <w:tr w:rsidR="009D243B" w:rsidTr="00557F28">
        <w:tc>
          <w:tcPr>
            <w:tcW w:w="1103" w:type="pct"/>
          </w:tcPr>
          <w:p w:rsidR="009D243B" w:rsidRDefault="009D243B" w:rsidP="00557F28">
            <w:r w:rsidRPr="0046268C">
              <w:t>fundam</w:t>
            </w:r>
            <w:r>
              <w:t>ental technologies</w:t>
            </w:r>
          </w:p>
        </w:tc>
        <w:tc>
          <w:tcPr>
            <w:tcW w:w="698" w:type="pct"/>
          </w:tcPr>
          <w:p w:rsidR="009D243B" w:rsidRDefault="009D243B" w:rsidP="00557F28">
            <w:r>
              <w:t>Distributed</w:t>
            </w:r>
          </w:p>
          <w:p w:rsidR="009D243B" w:rsidRDefault="009D243B" w:rsidP="00557F28">
            <w:r>
              <w:t>Ledger</w:t>
            </w:r>
          </w:p>
          <w:p w:rsidR="009D243B" w:rsidRDefault="009D243B" w:rsidP="00557F28">
            <w:r>
              <w:t>Technology</w:t>
            </w:r>
          </w:p>
          <w:p w:rsidR="009D243B" w:rsidRDefault="009D243B" w:rsidP="00557F28">
            <w:r>
              <w:t>(DLT)</w:t>
            </w:r>
          </w:p>
        </w:tc>
        <w:tc>
          <w:tcPr>
            <w:tcW w:w="698" w:type="pct"/>
          </w:tcPr>
          <w:p w:rsidR="009D243B" w:rsidRDefault="009D243B" w:rsidP="00557F28">
            <w:r>
              <w:t xml:space="preserve">Smart contracts </w:t>
            </w:r>
          </w:p>
          <w:p w:rsidR="009D243B" w:rsidRDefault="009D243B" w:rsidP="00557F28"/>
        </w:tc>
        <w:tc>
          <w:tcPr>
            <w:tcW w:w="756" w:type="pct"/>
          </w:tcPr>
          <w:p w:rsidR="009D243B" w:rsidRDefault="009D243B" w:rsidP="00557F28">
            <w:r>
              <w:t>Decentralized</w:t>
            </w:r>
          </w:p>
          <w:p w:rsidR="009D243B" w:rsidRDefault="009D243B" w:rsidP="00557F28">
            <w:r>
              <w:t>Apps (dApps)</w:t>
            </w:r>
          </w:p>
          <w:p w:rsidR="009D243B" w:rsidRDefault="009D243B" w:rsidP="00557F28"/>
        </w:tc>
        <w:tc>
          <w:tcPr>
            <w:tcW w:w="873" w:type="pct"/>
          </w:tcPr>
          <w:p w:rsidR="009D243B" w:rsidRDefault="009D243B" w:rsidP="00557F28">
            <w:r>
              <w:t>Blockchain with</w:t>
            </w:r>
          </w:p>
          <w:p w:rsidR="009D243B" w:rsidRDefault="009D243B" w:rsidP="00557F28">
            <w:r>
              <w:t>AI</w:t>
            </w:r>
          </w:p>
        </w:tc>
        <w:tc>
          <w:tcPr>
            <w:tcW w:w="873" w:type="pct"/>
          </w:tcPr>
          <w:p w:rsidR="009D243B" w:rsidRDefault="009D243B" w:rsidP="00557F28">
            <w:r>
              <w:t>D</w:t>
            </w:r>
            <w:r w:rsidRPr="00EA6950">
              <w:t>ecentralized autonomous organizations (DAOs</w:t>
            </w:r>
          </w:p>
        </w:tc>
      </w:tr>
      <w:tr w:rsidR="009D243B" w:rsidTr="00557F28">
        <w:tc>
          <w:tcPr>
            <w:tcW w:w="1103" w:type="pct"/>
          </w:tcPr>
          <w:p w:rsidR="009D243B" w:rsidRDefault="009D243B" w:rsidP="00557F28">
            <w:r>
              <w:t>Consensus mechanism</w:t>
            </w:r>
          </w:p>
        </w:tc>
        <w:tc>
          <w:tcPr>
            <w:tcW w:w="698" w:type="pct"/>
          </w:tcPr>
          <w:p w:rsidR="009D243B" w:rsidRDefault="009D243B" w:rsidP="00557F28">
            <w:r>
              <w:t>Proof of work</w:t>
            </w:r>
          </w:p>
        </w:tc>
        <w:tc>
          <w:tcPr>
            <w:tcW w:w="698" w:type="pct"/>
          </w:tcPr>
          <w:p w:rsidR="009D243B" w:rsidRDefault="009D243B" w:rsidP="00557F28">
            <w:r>
              <w:t>Delegated proof of work</w:t>
            </w:r>
            <w:r w:rsidR="004F19D8">
              <w:t>,</w:t>
            </w:r>
            <w:r>
              <w:t xml:space="preserve"> Proof of stake</w:t>
            </w:r>
          </w:p>
        </w:tc>
        <w:tc>
          <w:tcPr>
            <w:tcW w:w="756" w:type="pct"/>
          </w:tcPr>
          <w:p w:rsidR="009D243B" w:rsidRDefault="009D243B" w:rsidP="00557F28">
            <w:r>
              <w:t>Proof of authority</w:t>
            </w:r>
          </w:p>
        </w:tc>
        <w:tc>
          <w:tcPr>
            <w:tcW w:w="873" w:type="pct"/>
          </w:tcPr>
          <w:p w:rsidR="009D243B" w:rsidRDefault="009D243B" w:rsidP="00557F28">
            <w:r>
              <w:t>Proof of integrity</w:t>
            </w:r>
          </w:p>
        </w:tc>
        <w:tc>
          <w:tcPr>
            <w:tcW w:w="873" w:type="pct"/>
          </w:tcPr>
          <w:p w:rsidR="009D243B" w:rsidRDefault="009D243B" w:rsidP="00557F28">
            <w:r w:rsidRPr="00EE6758">
              <w:t xml:space="preserve">Proof of Stake model Soft Majority Fault Tolerance (SMFT) </w:t>
            </w:r>
          </w:p>
        </w:tc>
      </w:tr>
      <w:tr w:rsidR="009D243B" w:rsidTr="00557F28">
        <w:tc>
          <w:tcPr>
            <w:tcW w:w="1103" w:type="pct"/>
          </w:tcPr>
          <w:p w:rsidR="009D243B" w:rsidRDefault="009D243B" w:rsidP="00557F28">
            <w:r>
              <w:t>Verification Method</w:t>
            </w:r>
          </w:p>
        </w:tc>
        <w:tc>
          <w:tcPr>
            <w:tcW w:w="698" w:type="pct"/>
          </w:tcPr>
          <w:p w:rsidR="009D243B" w:rsidRDefault="009D243B" w:rsidP="00557F28">
            <w:r>
              <w:t xml:space="preserve">By miners </w:t>
            </w:r>
          </w:p>
        </w:tc>
        <w:tc>
          <w:tcPr>
            <w:tcW w:w="698" w:type="pct"/>
          </w:tcPr>
          <w:p w:rsidR="009D243B" w:rsidRDefault="009D243B" w:rsidP="00557F28">
            <w:r>
              <w:t>Through smart contracts and miners</w:t>
            </w:r>
          </w:p>
        </w:tc>
        <w:tc>
          <w:tcPr>
            <w:tcW w:w="756" w:type="pct"/>
          </w:tcPr>
          <w:p w:rsidR="009D243B" w:rsidRDefault="009D243B" w:rsidP="00557F28">
            <w:r>
              <w:t>Inbuilt verification mechanism via dApps</w:t>
            </w:r>
          </w:p>
        </w:tc>
        <w:tc>
          <w:tcPr>
            <w:tcW w:w="873" w:type="pct"/>
          </w:tcPr>
          <w:p w:rsidR="009D243B" w:rsidRDefault="009D243B" w:rsidP="00557F28">
            <w:r>
              <w:t>Automated verification via Sharding</w:t>
            </w:r>
          </w:p>
        </w:tc>
        <w:tc>
          <w:tcPr>
            <w:tcW w:w="873" w:type="pct"/>
          </w:tcPr>
          <w:p w:rsidR="009D243B" w:rsidRDefault="009D243B" w:rsidP="00557F28">
            <w:r>
              <w:t>Tsar node</w:t>
            </w:r>
          </w:p>
        </w:tc>
      </w:tr>
      <w:tr w:rsidR="009D243B" w:rsidTr="00557F28">
        <w:tc>
          <w:tcPr>
            <w:tcW w:w="1103" w:type="pct"/>
          </w:tcPr>
          <w:p w:rsidR="009D243B" w:rsidRDefault="009D243B" w:rsidP="00557F28">
            <w:r>
              <w:t>Scalability</w:t>
            </w:r>
          </w:p>
        </w:tc>
        <w:tc>
          <w:tcPr>
            <w:tcW w:w="698" w:type="pct"/>
          </w:tcPr>
          <w:p w:rsidR="009D243B" w:rsidRDefault="009D243B" w:rsidP="00557F28">
            <w:r>
              <w:t xml:space="preserve">Not scalable </w:t>
            </w:r>
          </w:p>
        </w:tc>
        <w:tc>
          <w:tcPr>
            <w:tcW w:w="698" w:type="pct"/>
          </w:tcPr>
          <w:p w:rsidR="009D243B" w:rsidRDefault="009D243B" w:rsidP="00557F28">
            <w:r>
              <w:t>Poorly scalable</w:t>
            </w:r>
          </w:p>
        </w:tc>
        <w:tc>
          <w:tcPr>
            <w:tcW w:w="756" w:type="pct"/>
          </w:tcPr>
          <w:p w:rsidR="009D243B" w:rsidRDefault="009D243B" w:rsidP="00557F28">
            <w:r>
              <w:t>Scalable</w:t>
            </w:r>
          </w:p>
        </w:tc>
        <w:tc>
          <w:tcPr>
            <w:tcW w:w="873" w:type="pct"/>
          </w:tcPr>
          <w:p w:rsidR="009D243B" w:rsidRDefault="009D243B" w:rsidP="00557F28">
            <w:r>
              <w:t>Highly scalable</w:t>
            </w:r>
          </w:p>
        </w:tc>
        <w:tc>
          <w:tcPr>
            <w:tcW w:w="873" w:type="pct"/>
          </w:tcPr>
          <w:p w:rsidR="009D243B" w:rsidRDefault="009D243B" w:rsidP="00557F28">
            <w:r>
              <w:t>Highly scalable</w:t>
            </w:r>
          </w:p>
        </w:tc>
      </w:tr>
      <w:tr w:rsidR="009D243B" w:rsidTr="00557F28">
        <w:tc>
          <w:tcPr>
            <w:tcW w:w="1103" w:type="pct"/>
          </w:tcPr>
          <w:p w:rsidR="009D243B" w:rsidRDefault="009D243B" w:rsidP="00557F28">
            <w:r>
              <w:t>Energy consumption</w:t>
            </w:r>
          </w:p>
        </w:tc>
        <w:tc>
          <w:tcPr>
            <w:tcW w:w="698" w:type="pct"/>
          </w:tcPr>
          <w:p w:rsidR="009D243B" w:rsidRDefault="009D243B" w:rsidP="00557F28">
            <w:r>
              <w:t xml:space="preserve">Highest Energy </w:t>
            </w:r>
          </w:p>
        </w:tc>
        <w:tc>
          <w:tcPr>
            <w:tcW w:w="698" w:type="pct"/>
          </w:tcPr>
          <w:p w:rsidR="009D243B" w:rsidRDefault="009D243B" w:rsidP="00557F28">
            <w:r>
              <w:t>Moderate</w:t>
            </w:r>
          </w:p>
        </w:tc>
        <w:tc>
          <w:tcPr>
            <w:tcW w:w="756" w:type="pct"/>
          </w:tcPr>
          <w:p w:rsidR="009D243B" w:rsidRDefault="009D243B" w:rsidP="00557F28">
            <w:r>
              <w:t>Efficient</w:t>
            </w:r>
          </w:p>
        </w:tc>
        <w:tc>
          <w:tcPr>
            <w:tcW w:w="873" w:type="pct"/>
          </w:tcPr>
          <w:p w:rsidR="009D243B" w:rsidRDefault="009D243B" w:rsidP="00557F28">
            <w:r>
              <w:t>Highly efficient</w:t>
            </w:r>
          </w:p>
        </w:tc>
        <w:tc>
          <w:tcPr>
            <w:tcW w:w="873" w:type="pct"/>
          </w:tcPr>
          <w:p w:rsidR="009D243B" w:rsidRDefault="004F19D8" w:rsidP="00557F28">
            <w:r>
              <w:t>Highly efficient</w:t>
            </w:r>
          </w:p>
        </w:tc>
      </w:tr>
      <w:tr w:rsidR="009D243B" w:rsidTr="00557F28">
        <w:tc>
          <w:tcPr>
            <w:tcW w:w="1103" w:type="pct"/>
          </w:tcPr>
          <w:p w:rsidR="009D243B" w:rsidRDefault="009D243B" w:rsidP="00557F28">
            <w:r>
              <w:t>Applications</w:t>
            </w:r>
          </w:p>
        </w:tc>
        <w:tc>
          <w:tcPr>
            <w:tcW w:w="698" w:type="pct"/>
          </w:tcPr>
          <w:p w:rsidR="009D243B" w:rsidRDefault="009D243B" w:rsidP="00557F28">
            <w:r>
              <w:t xml:space="preserve">Financial sector </w:t>
            </w:r>
          </w:p>
        </w:tc>
        <w:tc>
          <w:tcPr>
            <w:tcW w:w="698" w:type="pct"/>
          </w:tcPr>
          <w:p w:rsidR="009D243B" w:rsidRDefault="009D243B" w:rsidP="00557F28">
            <w:r>
              <w:t>Nonfinancial sector</w:t>
            </w:r>
          </w:p>
        </w:tc>
        <w:tc>
          <w:tcPr>
            <w:tcW w:w="756" w:type="pct"/>
          </w:tcPr>
          <w:p w:rsidR="009D243B" w:rsidRDefault="009D243B" w:rsidP="00557F28">
            <w:r>
              <w:t>Business platforms</w:t>
            </w:r>
          </w:p>
        </w:tc>
        <w:tc>
          <w:tcPr>
            <w:tcW w:w="873" w:type="pct"/>
          </w:tcPr>
          <w:p w:rsidR="009D243B" w:rsidRDefault="009D243B" w:rsidP="00557F28">
            <w:r>
              <w:t>Industry 4.0</w:t>
            </w:r>
          </w:p>
        </w:tc>
        <w:tc>
          <w:tcPr>
            <w:tcW w:w="873" w:type="pct"/>
          </w:tcPr>
          <w:p w:rsidR="009D243B" w:rsidRDefault="009D243B" w:rsidP="00557F28">
            <w:r>
              <w:t>Industrial IoT</w:t>
            </w:r>
          </w:p>
        </w:tc>
      </w:tr>
      <w:tr w:rsidR="009D243B" w:rsidTr="00557F28">
        <w:tc>
          <w:tcPr>
            <w:tcW w:w="1103" w:type="pct"/>
          </w:tcPr>
          <w:p w:rsidR="009D243B" w:rsidRDefault="009D243B" w:rsidP="00557F28">
            <w:r>
              <w:t>Example</w:t>
            </w:r>
          </w:p>
        </w:tc>
        <w:tc>
          <w:tcPr>
            <w:tcW w:w="698" w:type="pct"/>
          </w:tcPr>
          <w:p w:rsidR="009D243B" w:rsidRDefault="009D243B" w:rsidP="00557F28">
            <w:r>
              <w:t xml:space="preserve">Bitcoin </w:t>
            </w:r>
          </w:p>
        </w:tc>
        <w:tc>
          <w:tcPr>
            <w:tcW w:w="698" w:type="pct"/>
          </w:tcPr>
          <w:p w:rsidR="009D243B" w:rsidRDefault="009D243B" w:rsidP="00557F28">
            <w:r>
              <w:t>Ethereum</w:t>
            </w:r>
          </w:p>
        </w:tc>
        <w:tc>
          <w:tcPr>
            <w:tcW w:w="756" w:type="pct"/>
          </w:tcPr>
          <w:p w:rsidR="009D243B" w:rsidRDefault="009D243B" w:rsidP="00557F28">
            <w:r>
              <w:t>IOTA, Cardano, Anion</w:t>
            </w:r>
          </w:p>
        </w:tc>
        <w:tc>
          <w:tcPr>
            <w:tcW w:w="873" w:type="pct"/>
          </w:tcPr>
          <w:p w:rsidR="009D243B" w:rsidRDefault="009D243B" w:rsidP="00557F28">
            <w:r>
              <w:t>SEELE, Unibright</w:t>
            </w:r>
          </w:p>
        </w:tc>
        <w:tc>
          <w:tcPr>
            <w:tcW w:w="873" w:type="pct"/>
          </w:tcPr>
          <w:p w:rsidR="009D243B" w:rsidRDefault="009D243B" w:rsidP="00557F28">
            <w:r w:rsidRPr="00EE6758">
              <w:t>Relictum Pro</w:t>
            </w:r>
            <w:r>
              <w:t xml:space="preserve">, </w:t>
            </w:r>
            <w:r w:rsidRPr="00EE6758">
              <w:t>Everscale</w:t>
            </w:r>
          </w:p>
        </w:tc>
      </w:tr>
      <w:tr w:rsidR="009D243B" w:rsidTr="00557F28">
        <w:tc>
          <w:tcPr>
            <w:tcW w:w="1103" w:type="pct"/>
          </w:tcPr>
          <w:p w:rsidR="009D243B" w:rsidRDefault="009D243B" w:rsidP="00557F28">
            <w:r>
              <w:rPr>
                <w:rFonts w:ascii="PalatinoLinotype-Roman" w:hAnsi="PalatinoLinotype-Roman" w:cs="PalatinoLinotype-Roman"/>
                <w:sz w:val="18"/>
                <w:szCs w:val="18"/>
              </w:rPr>
              <w:t>Cost</w:t>
            </w:r>
          </w:p>
        </w:tc>
        <w:tc>
          <w:tcPr>
            <w:tcW w:w="698" w:type="pct"/>
          </w:tcPr>
          <w:p w:rsidR="009D243B" w:rsidRDefault="009D243B" w:rsidP="00557F28">
            <w:r>
              <w:t xml:space="preserve">Expensive </w:t>
            </w:r>
          </w:p>
        </w:tc>
        <w:tc>
          <w:tcPr>
            <w:tcW w:w="698" w:type="pct"/>
          </w:tcPr>
          <w:p w:rsidR="009D243B" w:rsidRDefault="009D243B" w:rsidP="00557F28">
            <w:r>
              <w:t>Cheaper</w:t>
            </w:r>
          </w:p>
        </w:tc>
        <w:tc>
          <w:tcPr>
            <w:tcW w:w="756" w:type="pct"/>
          </w:tcPr>
          <w:p w:rsidR="009D243B" w:rsidRDefault="009D243B" w:rsidP="00557F28">
            <w:r>
              <w:t>More Cheaper</w:t>
            </w:r>
          </w:p>
        </w:tc>
        <w:tc>
          <w:tcPr>
            <w:tcW w:w="873" w:type="pct"/>
          </w:tcPr>
          <w:p w:rsidR="009D243B" w:rsidRDefault="009D243B" w:rsidP="00557F28">
            <w:r>
              <w:t>Cost effective</w:t>
            </w:r>
          </w:p>
        </w:tc>
        <w:tc>
          <w:tcPr>
            <w:tcW w:w="873" w:type="pct"/>
          </w:tcPr>
          <w:p w:rsidR="009D243B" w:rsidRDefault="009D243B" w:rsidP="00557F28"/>
        </w:tc>
      </w:tr>
      <w:tr w:rsidR="009D243B" w:rsidTr="00557F28">
        <w:tc>
          <w:tcPr>
            <w:tcW w:w="1103" w:type="pct"/>
          </w:tcPr>
          <w:p w:rsidR="009D243B" w:rsidRDefault="009D243B" w:rsidP="00557F28">
            <w:r>
              <w:t>Speed</w:t>
            </w:r>
          </w:p>
        </w:tc>
        <w:tc>
          <w:tcPr>
            <w:tcW w:w="698" w:type="pct"/>
          </w:tcPr>
          <w:p w:rsidR="009D243B" w:rsidRDefault="009D243B" w:rsidP="00557F28">
            <w:r>
              <w:t xml:space="preserve">7 TPS </w:t>
            </w:r>
          </w:p>
        </w:tc>
        <w:tc>
          <w:tcPr>
            <w:tcW w:w="698" w:type="pct"/>
          </w:tcPr>
          <w:p w:rsidR="009D243B" w:rsidRDefault="009D243B" w:rsidP="00557F28">
            <w:r>
              <w:t>15 TPS</w:t>
            </w:r>
          </w:p>
        </w:tc>
        <w:tc>
          <w:tcPr>
            <w:tcW w:w="756" w:type="pct"/>
          </w:tcPr>
          <w:p w:rsidR="009D243B" w:rsidRDefault="009D243B" w:rsidP="00557F28">
            <w:r>
              <w:t>1000 s of TPS</w:t>
            </w:r>
          </w:p>
        </w:tc>
        <w:tc>
          <w:tcPr>
            <w:tcW w:w="873" w:type="pct"/>
          </w:tcPr>
          <w:p w:rsidR="009D243B" w:rsidRDefault="009D243B" w:rsidP="00557F28">
            <w:r>
              <w:t>1 M TPS</w:t>
            </w:r>
          </w:p>
        </w:tc>
        <w:tc>
          <w:tcPr>
            <w:tcW w:w="873" w:type="pct"/>
          </w:tcPr>
          <w:p w:rsidR="009D243B" w:rsidRDefault="009D243B" w:rsidP="00557F28">
            <w:r>
              <w:t>Over 1 M TPS</w:t>
            </w:r>
          </w:p>
        </w:tc>
      </w:tr>
      <w:tr w:rsidR="009D243B" w:rsidTr="00557F28">
        <w:tc>
          <w:tcPr>
            <w:tcW w:w="1103" w:type="pct"/>
          </w:tcPr>
          <w:p w:rsidR="009D243B" w:rsidRDefault="009D243B" w:rsidP="00557F28">
            <w:r w:rsidRPr="0046268C">
              <w:t>Intercommunication</w:t>
            </w:r>
          </w:p>
        </w:tc>
        <w:tc>
          <w:tcPr>
            <w:tcW w:w="698" w:type="pct"/>
          </w:tcPr>
          <w:p w:rsidR="009D243B" w:rsidRDefault="009D243B" w:rsidP="00557F28">
            <w:r>
              <w:t xml:space="preserve">Not allowed </w:t>
            </w:r>
          </w:p>
        </w:tc>
        <w:tc>
          <w:tcPr>
            <w:tcW w:w="698" w:type="pct"/>
          </w:tcPr>
          <w:p w:rsidR="009D243B" w:rsidRDefault="009D243B" w:rsidP="00557F28">
            <w:r>
              <w:t>Not allowed</w:t>
            </w:r>
          </w:p>
        </w:tc>
        <w:tc>
          <w:tcPr>
            <w:tcW w:w="756" w:type="pct"/>
          </w:tcPr>
          <w:p w:rsidR="009D243B" w:rsidRDefault="009D243B" w:rsidP="00557F28">
            <w:r>
              <w:t>Allowed</w:t>
            </w:r>
          </w:p>
        </w:tc>
        <w:tc>
          <w:tcPr>
            <w:tcW w:w="873" w:type="pct"/>
          </w:tcPr>
          <w:p w:rsidR="009D243B" w:rsidRDefault="009D243B" w:rsidP="00557F28">
            <w:r>
              <w:t>Allowed</w:t>
            </w:r>
          </w:p>
        </w:tc>
        <w:tc>
          <w:tcPr>
            <w:tcW w:w="873" w:type="pct"/>
          </w:tcPr>
          <w:p w:rsidR="009D243B" w:rsidRDefault="009D243B" w:rsidP="00557F28"/>
        </w:tc>
      </w:tr>
    </w:tbl>
    <w:p w:rsidR="009D243B" w:rsidRPr="00D20CEB" w:rsidRDefault="009D243B" w:rsidP="00B758FD"/>
    <w:p w:rsidR="00B758FD" w:rsidRPr="004C483C" w:rsidRDefault="00B758FD" w:rsidP="00B758FD">
      <w:pPr>
        <w:rPr>
          <w:rFonts w:ascii="Times New Roman" w:hAnsi="Times New Roman" w:cs="Times New Roman"/>
          <w:b/>
          <w:bCs/>
          <w:sz w:val="24"/>
          <w:szCs w:val="24"/>
        </w:rPr>
      </w:pPr>
      <w:r w:rsidRPr="004C483C">
        <w:rPr>
          <w:rFonts w:ascii="Times New Roman" w:hAnsi="Times New Roman" w:cs="Times New Roman"/>
          <w:b/>
          <w:bCs/>
          <w:sz w:val="24"/>
          <w:szCs w:val="24"/>
        </w:rPr>
        <w:t>Smart Contract</w:t>
      </w:r>
    </w:p>
    <w:p w:rsidR="00A22C01" w:rsidRPr="006C19F7" w:rsidRDefault="00574FE3" w:rsidP="006C19F7">
      <w:pPr>
        <w:rPr>
          <w:rFonts w:cs="Karla"/>
          <w:color w:val="000000"/>
        </w:rPr>
      </w:pPr>
      <w:r w:rsidRPr="00574FE3">
        <w:rPr>
          <w:rFonts w:cs="Karla"/>
          <w:color w:val="000000"/>
        </w:rPr>
        <w:t>Smart contracts are digital contracts that leverage blockchain technology to automate and enforce contract terms without the need for intermediaries.</w:t>
      </w:r>
      <w:r w:rsidR="006C19F7">
        <w:rPr>
          <w:rFonts w:cs="Karla"/>
          <w:color w:val="000000"/>
        </w:rPr>
        <w:t xml:space="preserve"> </w:t>
      </w:r>
      <w:r w:rsidR="00B758FD">
        <w:rPr>
          <w:rFonts w:cs="Karla"/>
          <w:color w:val="000000"/>
        </w:rPr>
        <w:t xml:space="preserve">Smart contracts are blockchain-based programs </w:t>
      </w:r>
      <w:r w:rsidR="00B758FD">
        <w:rPr>
          <w:rFonts w:cs="Karla"/>
          <w:color w:val="000000"/>
          <w:sz w:val="20"/>
          <w:szCs w:val="20"/>
        </w:rPr>
        <w:t xml:space="preserve">that aim to provide trust and security superior to </w:t>
      </w:r>
      <w:r w:rsidR="00B758FD" w:rsidRPr="003B25F2">
        <w:rPr>
          <w:rFonts w:cs="Karla"/>
          <w:color w:val="000000"/>
        </w:rPr>
        <w:t>traditional contract law and to reduce other transaction costs associated with contracting while also saving a lot of time, since they are executed as soo</w:t>
      </w:r>
      <w:r w:rsidR="00EF3B6F">
        <w:rPr>
          <w:rFonts w:cs="Karla"/>
          <w:color w:val="000000"/>
        </w:rPr>
        <w:t xml:space="preserve">n as agreed by </w:t>
      </w:r>
      <w:r w:rsidR="00EF3B6F">
        <w:rPr>
          <w:rFonts w:cs="Karla"/>
          <w:color w:val="000000"/>
        </w:rPr>
        <w:lastRenderedPageBreak/>
        <w:t>all participants</w:t>
      </w:r>
      <w:r w:rsidR="00714349">
        <w:rPr>
          <w:rFonts w:cs="Karla"/>
          <w:color w:val="000000"/>
        </w:rPr>
        <w:t xml:space="preserve"> </w:t>
      </w:r>
      <w:r w:rsidR="00714349">
        <w:rPr>
          <w:rFonts w:cs="Karla"/>
          <w:color w:val="000000"/>
        </w:rPr>
        <w:fldChar w:fldCharType="begin" w:fldLock="1"/>
      </w:r>
      <w:r w:rsidR="005471D1">
        <w:rPr>
          <w:rFonts w:cs="Karla"/>
          <w:color w:val="000000"/>
        </w:rPr>
        <w:instrText>ADDIN CSL_CITATION {"citationItems":[{"id":"ITEM-1","itemData":{"author":[{"dropping-particle":"","family":"Gopie","given":"Nigel","non-dropping-particle":"","parse-names":false,"suffix":""}],"container-title":"Ibm","id":"ITEM-1","issued":{"date-parts":[["2018"]]},"title":"What are smart contracts on blockchain? | IBM","type":"article"},"uris":["http://www.mendeley.com/documents/?uuid=ff6fcd7d-a25a-3be1-89c8-885fb963f6ad"]}],"mendeley":{"formattedCitation":"[27]","plainTextFormattedCitation":"[27]","previouslyFormattedCitation":"[27]"},"properties":{"noteIndex":0},"schema":"https://github.com/citation-style-language/schema/raw/master/csl-citation.json"}</w:instrText>
      </w:r>
      <w:r w:rsidR="00714349">
        <w:rPr>
          <w:rFonts w:cs="Karla"/>
          <w:color w:val="000000"/>
        </w:rPr>
        <w:fldChar w:fldCharType="separate"/>
      </w:r>
      <w:r w:rsidR="00031802" w:rsidRPr="00031802">
        <w:rPr>
          <w:rFonts w:cs="Karla"/>
          <w:noProof/>
          <w:color w:val="000000"/>
        </w:rPr>
        <w:t>[27]</w:t>
      </w:r>
      <w:r w:rsidR="00714349">
        <w:rPr>
          <w:rFonts w:cs="Karla"/>
          <w:color w:val="000000"/>
        </w:rPr>
        <w:fldChar w:fldCharType="end"/>
      </w:r>
      <w:r w:rsidR="00EF3B6F">
        <w:rPr>
          <w:rFonts w:cs="Karla"/>
          <w:color w:val="000000"/>
        </w:rPr>
        <w:t xml:space="preserve">. </w:t>
      </w:r>
      <w:r w:rsidR="00A22C01" w:rsidRPr="00A22C01">
        <w:rPr>
          <w:rFonts w:cs="Karla"/>
          <w:color w:val="000000"/>
        </w:rPr>
        <w:t>Smart contracts are self-executing programs encoded within the blockchain that works on following simple “if/when…then…” statements. They operate based on predetermined conditions, automatically initiating actions upon verification of these stipulations by the network.</w:t>
      </w:r>
      <w:r w:rsidR="006C19F7" w:rsidRPr="006C19F7">
        <w:t xml:space="preserve"> </w:t>
      </w:r>
      <w:r w:rsidR="006C19F7">
        <w:t>Smart contracts can be deployed on various blockchain platforms, including Ethereum, Binance Smart Chain, Solana, and Cardano</w:t>
      </w:r>
      <w:r w:rsidR="006C19F7">
        <w:rPr>
          <w:rFonts w:cs="Karla"/>
          <w:color w:val="000000"/>
        </w:rPr>
        <w:t xml:space="preserve">. </w:t>
      </w:r>
      <w:r w:rsidR="006C19F7" w:rsidRPr="006C19F7">
        <w:rPr>
          <w:rFonts w:cs="Karla"/>
          <w:color w:val="000000"/>
        </w:rPr>
        <w:t>The most popular blockchain for running smart contracts is Ethereum</w:t>
      </w:r>
      <w:r w:rsidR="006C19F7">
        <w:rPr>
          <w:rFonts w:cs="Karla"/>
          <w:color w:val="000000"/>
        </w:rPr>
        <w:t xml:space="preserve"> </w:t>
      </w:r>
      <w:r w:rsidR="006C19F7">
        <w:rPr>
          <w:rFonts w:cs="Karla"/>
          <w:color w:val="000000"/>
        </w:rPr>
        <w:fldChar w:fldCharType="begin" w:fldLock="1"/>
      </w:r>
      <w:r w:rsidR="005471D1">
        <w:rPr>
          <w:rFonts w:cs="Karla"/>
          <w:color w:val="000000"/>
        </w:rPr>
        <w:instrText>ADDIN CSL_CITATION {"citationItems":[{"id":"ITEM-1","itemData":{"DOI":"10.5121/csit.2017.71011","abstract":"An appealing feature of blockchain technology is smart contracts. A smart contract is executable code that runs on top of the blockchain to facilitate, execute and enforce an agreement between untrusted parties without the involvement of a trusted third party. In this paper, we conduct a systematic mapping study to collect all research that is relevant to smart contracts from a technical perspective. The aim of doing so is to identify current research topics and open challenges for future studies in smart contract research. We extract 24 papers from different scientific databases. The results show that about two thirds of the papers focus on identifying and tackling smart contract issues. Four key issues are identified, namely, codifying, security, privacy and performance issues. The rest of the papers focuses on smart contract applications or other smart contract related topics. Research gaps that need to be addressed in future studies are provided.","author":[{"dropping-particle":"","family":"Alharby","given":"Maher","non-dropping-particle":"","parse-names":false,"suffix":""},{"dropping-particle":"van","family":"Moorsel","given":"Aad","non-dropping-particle":"","parse-names":false,"suffix":""}],"id":"ITEM-1","issued":{"date-parts":[["2017"]]},"page":"125-140","title":"Blockchain Based Smart Contracts : A Systematic Mapping Study","type":"article-journal"},"uris":["http://www.mendeley.com/documents/?uuid=11c042b5-d902-4c00-8146-6d7d2a2d44d5"]}],"mendeley":{"formattedCitation":"[28]","plainTextFormattedCitation":"[28]","previouslyFormattedCitation":"[28]"},"properties":{"noteIndex":0},"schema":"https://github.com/citation-style-language/schema/raw/master/csl-citation.json"}</w:instrText>
      </w:r>
      <w:r w:rsidR="006C19F7">
        <w:rPr>
          <w:rFonts w:cs="Karla"/>
          <w:color w:val="000000"/>
        </w:rPr>
        <w:fldChar w:fldCharType="separate"/>
      </w:r>
      <w:r w:rsidR="00031802" w:rsidRPr="00031802">
        <w:rPr>
          <w:rFonts w:cs="Karla"/>
          <w:noProof/>
          <w:color w:val="000000"/>
        </w:rPr>
        <w:t>[28]</w:t>
      </w:r>
      <w:r w:rsidR="006C19F7">
        <w:rPr>
          <w:rFonts w:cs="Karla"/>
          <w:color w:val="000000"/>
        </w:rPr>
        <w:fldChar w:fldCharType="end"/>
      </w:r>
    </w:p>
    <w:p w:rsidR="00574FE3" w:rsidRDefault="00574FE3" w:rsidP="00337070">
      <w:r>
        <w:t>The high-level object-oriented programming language Solidity facilitates the deployment of smart contracts on different blockchains</w:t>
      </w:r>
      <w:r w:rsidR="009D64E0">
        <w:t xml:space="preserve"> </w:t>
      </w:r>
      <w:r w:rsidR="009D64E0">
        <w:fldChar w:fldCharType="begin" w:fldLock="1"/>
      </w:r>
      <w:r w:rsidR="005471D1">
        <w:instrText>ADDIN CSL_CITATION {"citationItems":[{"id":"ITEM-1","itemData":{"URL":"https://docs.soliditylang.org/en/latest/introduction-to-smart-contracts.html","accessed":{"date-parts":[["2024","9","12"]]},"id":"ITEM-1","issued":{"date-parts":[["0"]]},"title":"Introduction to Smart Contracts — Solidity 0.8.28 documentation","type":"webpage"},"uris":["http://www.mendeley.com/documents/?uuid=4432f6e8-34e7-308a-a2bc-cf5e492e87e6"]}],"mendeley":{"formattedCitation":"[29]","plainTextFormattedCitation":"[29]","previouslyFormattedCitation":"[29]"},"properties":{"noteIndex":0},"schema":"https://github.com/citation-style-language/schema/raw/master/csl-citation.json"}</w:instrText>
      </w:r>
      <w:r w:rsidR="009D64E0">
        <w:fldChar w:fldCharType="separate"/>
      </w:r>
      <w:r w:rsidR="00031802" w:rsidRPr="00031802">
        <w:rPr>
          <w:noProof/>
        </w:rPr>
        <w:t>[29]</w:t>
      </w:r>
      <w:r w:rsidR="009D64E0">
        <w:fldChar w:fldCharType="end"/>
      </w:r>
      <w:r>
        <w:t>.</w:t>
      </w:r>
      <w:r w:rsidR="003B25F2" w:rsidRPr="003B25F2">
        <w:t xml:space="preserve"> </w:t>
      </w:r>
      <w:r w:rsidR="00714349" w:rsidRPr="00714349">
        <w:t xml:space="preserve">The potential use cases for smart contracts extend across domains such as supply chain, trading, digital identity, insurance, and IoT </w:t>
      </w:r>
      <w:r w:rsidR="00EF3B6F">
        <w:fldChar w:fldCharType="begin" w:fldLock="1"/>
      </w:r>
      <w:r w:rsidR="005471D1">
        <w:instrText>ADDIN CSL_CITATION {"citationItems":[{"id":"ITEM-1","itemData":{"abstract":"In the last decade blockchain technology become mainstream research topic because of its decentralized, peer to peer transaction, distributed consensus, and anonymity properties. The blockchain technology overshadows regulatory problem and technical challenges. A smart contract is a set of programs which are self-verifying ,self-executing and tamper resistant. Smart contract with the integration of blockchain technology capable of doing a task in real time with low cost and provide a greater degree of security. This paper firstly, explains the various components and working principle of smart contract. Secondly, identify and analyse the various use cases of smart contract along with the advantage of using smart contract in blockchain application. Lastly, the paper concludes with challenges lie in implementing smart contract the future real-life scenario.","author":[{"dropping-particle":"","family":"Kumar Mohanta","given":"Bhabendu","non-dropping-particle":"","parse-names":false,"suffix":""},{"dropping-particle":"","family":"Jena","given":"Debasish","non-dropping-particle":"","parse-names":false,"suffix":""}],"id":"ITEM-1","issued":{"date-parts":[["0"]]},"title":"An Overview of Smart Contract and Use cases in Blockchain Technology","type":"report"},"uris":["http://www.mendeley.com/documents/?uuid=be0650a1-9d4e-347d-a119-999031873522"]}],"mendeley":{"formattedCitation":"[30]","plainTextFormattedCitation":"[30]","previouslyFormattedCitation":"[30]"},"properties":{"noteIndex":0},"schema":"https://github.com/citation-style-language/schema/raw/master/csl-citation.json"}</w:instrText>
      </w:r>
      <w:r w:rsidR="00EF3B6F">
        <w:fldChar w:fldCharType="separate"/>
      </w:r>
      <w:r w:rsidR="00031802" w:rsidRPr="00031802">
        <w:rPr>
          <w:noProof/>
        </w:rPr>
        <w:t>[30]</w:t>
      </w:r>
      <w:r w:rsidR="00EF3B6F">
        <w:fldChar w:fldCharType="end"/>
      </w:r>
      <w:r w:rsidR="00714349">
        <w:t>.</w:t>
      </w:r>
      <w:r w:rsidR="00EF3B6F">
        <w:t xml:space="preserve">  </w:t>
      </w:r>
      <w:r w:rsidR="003B25F2">
        <w:t>The smart contract facilitates peer-to-peer energy trading by automating order matching, verifying energy transfer via IoT devices, executing conditional payments, and ensuring transaction transparency and security through blockchain technology</w:t>
      </w:r>
    </w:p>
    <w:p w:rsidR="00CE20BF" w:rsidRDefault="00D86398" w:rsidP="00D86398">
      <w:r>
        <w:t>While smart contracts automate transactions, they are not immune to bugs or vulnerabilities</w:t>
      </w:r>
      <w:r w:rsidR="00714349">
        <w:t xml:space="preserve"> due to </w:t>
      </w:r>
      <w:r w:rsidR="00714349" w:rsidRPr="00714349">
        <w:t>relatively new technology</w:t>
      </w:r>
      <w:r>
        <w:t>.</w:t>
      </w:r>
      <w:r w:rsidR="00EF3B6F" w:rsidRPr="00EF3B6F">
        <w:t xml:space="preserve"> </w:t>
      </w:r>
      <w:r w:rsidR="00EF3B6F">
        <w:t>Smart contract verification tools like NeuCheck can efficiently detect certain types of vulnerabilities</w:t>
      </w:r>
      <w:r w:rsidR="001E097B">
        <w:t xml:space="preserve"> </w:t>
      </w:r>
      <w:r w:rsidR="00EF3B6F">
        <w:fldChar w:fldCharType="begin" w:fldLock="1"/>
      </w:r>
      <w:r w:rsidR="005471D1">
        <w:instrText>ADDIN CSL_CITATION {"citationItems":[{"id":"ITEM-1","itemData":{"DOI":"10.1016/j.jnca.2024.103882","ISSN":"10958592","abstract":"Future protocols in the digital society will be built on the foundation of smart contracts, which are code and algorithmic contracts. Smart contracts enable all phases of the contracting process without the need for outside parties by using protocols and user interfaces. But as blockchain technology has quickly advanced, many security flaws in smart contracts have also come to light. This article offers a thorough examination and organized summary of the pertinent material of smart contract security analysis. These sections make up the bulk of our survey's contributions. First, a brief history of Ethereum is provided, followed by a proposal of the security difficulties now faced by blockchain smart contracts, with a focus on the analysis and classification of various security flaws. Second, based on a thorough examination of these studies, we present a summary of various smart contract security options, including case studies and detailed descriptions of the state-of-the-art in terms of automatic auditing, subject matter experts, scalable smart contracts, smart contract templates, decompilers, semantic frameworks, and anomaly detection. Finally, we go over each sort of solution's advantages and disadvantages and outline potential future research trajectories.","author":[{"dropping-particle":"","family":"Wu","given":"Guangfu","non-dropping-particle":"","parse-names":false,"suffix":""},{"dropping-particle":"","family":"Wang","given":"Hai Ping","non-dropping-particle":"","parse-names":false,"suffix":""},{"dropping-particle":"","family":"Lai","given":"Xin","non-dropping-particle":"","parse-names":false,"suffix":""},{"dropping-particle":"","family":"Wang","given":"Mengmeng","non-dropping-particle":"","parse-names":false,"suffix":""},{"dropping-particle":"","family":"He","given":"Daojing","non-dropping-particle":"","parse-names":false,"suffix":""},{"dropping-particle":"","family":"Chan","given":"Sammy","non-dropping-particle":"","parse-names":false,"suffix":""}],"container-title":"Journal of Network and Computer Applications","id":"ITEM-1","issued":{"date-parts":[["2024","6","1"]]},"publisher":"Academic Press","title":"A comprehensive survey of smart contract security: State of the art and research directions","type":"article","volume":"226"},"uris":["http://www.mendeley.com/documents/?uuid=4f5673ec-6a5d-357d-af49-038ab1933494"]}],"mendeley":{"formattedCitation":"[31]","plainTextFormattedCitation":"[31]","previouslyFormattedCitation":"[31]"},"properties":{"noteIndex":0},"schema":"https://github.com/citation-style-language/schema/raw/master/csl-citation.json"}</w:instrText>
      </w:r>
      <w:r w:rsidR="00EF3B6F">
        <w:fldChar w:fldCharType="separate"/>
      </w:r>
      <w:r w:rsidR="00031802" w:rsidRPr="00031802">
        <w:rPr>
          <w:noProof/>
        </w:rPr>
        <w:t>[31]</w:t>
      </w:r>
      <w:r w:rsidR="00EF3B6F">
        <w:fldChar w:fldCharType="end"/>
      </w:r>
      <w:r>
        <w:t xml:space="preserve"> Ensuring the security and correctness of smart contracts is essential to prevent ex</w:t>
      </w:r>
      <w:r w:rsidR="001E097B">
        <w:t xml:space="preserve">ploitation and financial losses </w:t>
      </w:r>
      <w:r w:rsidR="005018DE">
        <w:fldChar w:fldCharType="begin" w:fldLock="1"/>
      </w:r>
      <w:r w:rsidR="005471D1">
        <w:instrText>ADDIN CSL_CITATION {"citationItems":[{"id":"ITEM-1","itemData":{"DOI":"10.1016/j.rser.2021.110900","ISSN":"18790690","abstract":"The current electricity networks were not initially designed for the high integration of variable generation technologies. They suffer significant losses due to the combustion of fossil fuels, the long-distance transmission, and distribution of the power to the network. Recently, prosumers, both consumers and producers, emerge with the increasing affordability to invest in domestic solar systems. Prosumers may trade within their communities to better manage their demand and supply as well as providing social and economic benefits. In this paper, we explore the use of Blockchain technologies and auction mechanisms to facilitate autonomous peer-to-peer energy trading within microgrids. We design two frameworks that utilize the smart contract functionality in Ethereum and employ the continuous double auction and uniform-price double-sided auction mechanisms, respectively. We validate our design by conducting A/B tests to compare the performance of different frameworks on a real-world dataset. The key characteristics of the two frameworks and several cost analyses are presented for comparison. Our results demonstrate that a P2P trading platform that integrates the blockchain technologies and agent-based systems is promising to complement the current centralized energy grid. We also identify a number of limitations, alternative solutions, and directions for future work.","author":[{"dropping-particle":"","family":"Vieira","given":"Guilherme","non-dropping-particle":"","parse-names":false,"suffix":""},{"dropping-particle":"","family":"Zhang","given":"Jie","non-dropping-particle":"","parse-names":false,"suffix":""}],"container-title":"Renewable and Sustainable Energy Reviews","id":"ITEM-1","issue":"January","issued":{"date-parts":[["2021"]]},"page":"110900","publisher":"Elsevier Ltd","title":"Peer-to-peer energy trading in a microgrid leveraged by smart contracts","type":"article-journal","volume":"143"},"uris":["http://www.mendeley.com/documents/?uuid=e8a265a0-99da-473e-ae87-167f94a71c48"]}],"mendeley":{"formattedCitation":"[32]","plainTextFormattedCitation":"[32]","previouslyFormattedCitation":"[32]"},"properties":{"noteIndex":0},"schema":"https://github.com/citation-style-language/schema/raw/master/csl-citation.json"}</w:instrText>
      </w:r>
      <w:r w:rsidR="005018DE">
        <w:fldChar w:fldCharType="separate"/>
      </w:r>
      <w:r w:rsidR="00031802" w:rsidRPr="00031802">
        <w:rPr>
          <w:noProof/>
        </w:rPr>
        <w:t>[32]</w:t>
      </w:r>
      <w:r w:rsidR="005018DE">
        <w:fldChar w:fldCharType="end"/>
      </w:r>
      <w:r w:rsidR="00A702AF">
        <w:t xml:space="preserve"> </w:t>
      </w:r>
      <w:r w:rsidR="001E097B">
        <w:t>.</w:t>
      </w:r>
      <w:r w:rsidR="00A702AF">
        <w:t xml:space="preserve"> </w:t>
      </w:r>
      <w:r>
        <w:t>Addressing these challenges requires technological advancements, supportive regulatory frameworks, investment in infrastructure, and efforts to educate and engage all stakeholders in the energy market.</w:t>
      </w:r>
      <w:r w:rsidR="009D64E0">
        <w:t xml:space="preserve"> </w:t>
      </w:r>
    </w:p>
    <w:p w:rsidR="00493C0C" w:rsidRPr="001B2A5E" w:rsidRDefault="00493C0C" w:rsidP="00493C0C">
      <w:pPr>
        <w:rPr>
          <w:rFonts w:ascii="Times New Roman" w:hAnsi="Times New Roman" w:cs="Times New Roman"/>
          <w:b/>
          <w:bCs/>
          <w:sz w:val="24"/>
          <w:szCs w:val="24"/>
        </w:rPr>
      </w:pPr>
      <w:r w:rsidRPr="001B2A5E">
        <w:rPr>
          <w:rFonts w:ascii="Times New Roman" w:hAnsi="Times New Roman" w:cs="Times New Roman"/>
          <w:b/>
          <w:bCs/>
          <w:sz w:val="24"/>
          <w:szCs w:val="24"/>
        </w:rPr>
        <w:t>Tokenization in Energy sectors</w:t>
      </w:r>
    </w:p>
    <w:p w:rsidR="00493C0C" w:rsidRDefault="00493C0C" w:rsidP="00493C0C">
      <w:r>
        <w:t xml:space="preserve">Within the realm of blockchain technology, tokens represent digital units that embody either a specific value or a designated right within a particular blockchain ecosystem. These tokens have diverse applications, functioning as representations of company shares, mediums of exchange within a closed system, access rights to specific services, or even fundraising tools (through Initial Coin Offerings). The development and distribution of tokens are facilitated by smart contracts on blockchain platforms such as Ethereum </w:t>
      </w:r>
      <w:r>
        <w:fldChar w:fldCharType="begin" w:fldLock="1"/>
      </w:r>
      <w:r w:rsidR="005471D1">
        <w:instrText>ADDIN CSL_CITATION {"citationItems":[{"id":"ITEM-1","itemData":{"id":"ITEM-1","issued":{"date-parts":[["0"]]},"title":"Glossary of Basic Blockchain Terminology - SunContract","type":"webpage"},"uris":["http://www.mendeley.com/documents/?uuid=81556ab7-98e8-3e86-95c6-f88b01c899a9","http://www.mendeley.com/documents/?uuid=f119992f-2992-41c8-80a5-81114d791e35"]}],"mendeley":{"formattedCitation":"[33]","plainTextFormattedCitation":"[33]","previouslyFormattedCitation":"[33]"},"properties":{"noteIndex":0},"schema":"https://github.com/citation-style-language/schema/raw/master/csl-citation.json"}</w:instrText>
      </w:r>
      <w:r>
        <w:fldChar w:fldCharType="separate"/>
      </w:r>
      <w:r w:rsidR="00031802" w:rsidRPr="00031802">
        <w:rPr>
          <w:noProof/>
        </w:rPr>
        <w:t>[33]</w:t>
      </w:r>
      <w:r>
        <w:fldChar w:fldCharType="end"/>
      </w:r>
      <w:r>
        <w:t>. Energy tokenization standardizes simplifies and opens globally currently existing energy investment ecosystem</w:t>
      </w:r>
    </w:p>
    <w:p w:rsidR="00493C0C" w:rsidRDefault="00493C0C" w:rsidP="00493C0C">
      <w:r>
        <w:t>Blockchain technology and tokenization are driving a profound transform</w:t>
      </w:r>
      <w:r w:rsidR="00F97AB1">
        <w:t>ation within the energy sector. The</w:t>
      </w:r>
      <w:r>
        <w:t xml:space="preserve"> potential of tokenization extends beyond mere asset digitization. It facilitates expedited transactions, streamlines operational processes, and bolsters confidentiality. Within the energy sector, tokenization fosters transparency, operational efficiency, and the development of a robust system through the decentralization of energy distribution control </w:t>
      </w:r>
      <w:r>
        <w:fldChar w:fldCharType="begin" w:fldLock="1"/>
      </w:r>
      <w:r w:rsidR="005471D1">
        <w:instrText>ADDIN CSL_CITATION {"citationItems":[{"id":"ITEM-1","itemData":{"id":"ITEM-1","issued":{"date-parts":[["0"]]},"title":"Tokenization's Impact on the Energy Industry | Shift Markets","type":"webpage"},"uris":["http://www.mendeley.com/documents/?uuid=018611a7-7ef3-384d-80ea-d3f401a0faf6","http://www.mendeley.com/documents/?uuid=733fd515-3f03-4e19-8617-9e92f28bf2ae"]}],"mendeley":{"formattedCitation":"[34]","plainTextFormattedCitation":"[34]","previouslyFormattedCitation":"[34]"},"properties":{"noteIndex":0},"schema":"https://github.com/citation-style-language/schema/raw/master/csl-citation.json"}</w:instrText>
      </w:r>
      <w:r>
        <w:fldChar w:fldCharType="separate"/>
      </w:r>
      <w:r w:rsidR="00031802" w:rsidRPr="00031802">
        <w:rPr>
          <w:noProof/>
        </w:rPr>
        <w:t>[34]</w:t>
      </w:r>
      <w:r>
        <w:fldChar w:fldCharType="end"/>
      </w:r>
      <w:r>
        <w:t>.</w:t>
      </w:r>
      <w:r w:rsidR="00875FCA">
        <w:t xml:space="preserve"> Table 2 illustrates a comparative analysis of traditional and tokenized energy.</w:t>
      </w:r>
    </w:p>
    <w:p w:rsidR="00493C0C" w:rsidRDefault="00493C0C" w:rsidP="00493C0C">
      <w:r w:rsidRPr="00A2164C">
        <w:t>Incorporating tokenization can mitigate the current problems of accessin</w:t>
      </w:r>
      <w:r w:rsidR="00F97AB1">
        <w:t xml:space="preserve">g capital for renewable energy. </w:t>
      </w:r>
      <w:r w:rsidRPr="00F5179B">
        <w:t xml:space="preserve">Energy tokenization has the power to transform the energy landscape, offering new opportunities for </w:t>
      </w:r>
      <w:r>
        <w:t>both renewable and traditional energy sectors</w:t>
      </w:r>
      <w:r w:rsidRPr="00F5179B">
        <w:t xml:space="preserve"> through the creation of innovative markets and business models</w:t>
      </w:r>
      <w:r w:rsidR="00F97AB1">
        <w:t xml:space="preserve"> </w:t>
      </w:r>
      <w:r>
        <w:fldChar w:fldCharType="begin" w:fldLock="1"/>
      </w:r>
      <w:r w:rsidR="005471D1">
        <w:instrText>ADDIN CSL_CITATION {"citationItems":[{"id":"ITEM-1","itemData":{"id":"ITEM-1","issued":{"date-parts":[["0"]]},"title":"Energy tokenization: A new way to finance and trade energy - IA Engine","type":"webpage"},"uris":["http://www.mendeley.com/documents/?uuid=3cff31d2-224a-30a2-b89d-f22bcbc47c97","http://www.mendeley.com/documents/?uuid=b3f41c10-4617-4053-8cc4-ba6100308e97"]}],"mendeley":{"formattedCitation":"[35]","plainTextFormattedCitation":"[35]","previouslyFormattedCitation":"[35]"},"properties":{"noteIndex":0},"schema":"https://github.com/citation-style-language/schema/raw/master/csl-citation.json"}</w:instrText>
      </w:r>
      <w:r>
        <w:fldChar w:fldCharType="separate"/>
      </w:r>
      <w:r w:rsidR="00031802" w:rsidRPr="00031802">
        <w:rPr>
          <w:noProof/>
        </w:rPr>
        <w:t>[35]</w:t>
      </w:r>
      <w:r>
        <w:fldChar w:fldCharType="end"/>
      </w:r>
      <w:r w:rsidR="00F97AB1">
        <w:t>.</w:t>
      </w:r>
    </w:p>
    <w:p w:rsidR="00FD2942" w:rsidRDefault="00FD2942" w:rsidP="00D86398"/>
    <w:p w:rsidR="00FD2942" w:rsidRDefault="00FD2942" w:rsidP="00D86398"/>
    <w:p w:rsidR="00FD2942" w:rsidRDefault="00FD2942" w:rsidP="00D86398"/>
    <w:p w:rsidR="00FD2942" w:rsidRDefault="00FD2942" w:rsidP="00D86398"/>
    <w:p w:rsidR="00FD2942" w:rsidRDefault="00FD2942" w:rsidP="00D86398"/>
    <w:p w:rsidR="00FD2942" w:rsidRDefault="00FD2942" w:rsidP="00D86398"/>
    <w:p w:rsidR="00FD2942" w:rsidRDefault="00FD2942" w:rsidP="00D86398"/>
    <w:p w:rsidR="0033392F" w:rsidRDefault="0033392F" w:rsidP="00D86398">
      <w:r>
        <w:t>Table</w:t>
      </w:r>
      <w:r w:rsidR="00875FCA">
        <w:t xml:space="preserve"> 2</w:t>
      </w:r>
      <w:r>
        <w:t>: Comparison between tokenized energy and traditional energy</w:t>
      </w:r>
    </w:p>
    <w:p w:rsidR="00FD2942" w:rsidRPr="004C483C" w:rsidRDefault="00FD2942" w:rsidP="00D86398">
      <w:pPr>
        <w:rPr>
          <w:lang w:val="en-IN"/>
        </w:rPr>
      </w:pPr>
    </w:p>
    <w:tbl>
      <w:tblPr>
        <w:tblW w:w="8966" w:type="dxa"/>
        <w:tblBorders>
          <w:insideH w:val="single" w:sz="4" w:space="0" w:color="auto"/>
        </w:tblBorders>
        <w:tblCellMar>
          <w:left w:w="0" w:type="dxa"/>
          <w:right w:w="0" w:type="dxa"/>
        </w:tblCellMar>
        <w:tblLook w:val="04A0" w:firstRow="1" w:lastRow="0" w:firstColumn="1" w:lastColumn="0" w:noHBand="0" w:noVBand="1"/>
      </w:tblPr>
      <w:tblGrid>
        <w:gridCol w:w="1445"/>
        <w:gridCol w:w="3636"/>
        <w:gridCol w:w="3885"/>
      </w:tblGrid>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Criteria</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Tokenized Energy</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Traditional Energy</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Ownership</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Decentralized (multiple owners can hold fractional ownership)</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Centralized (controlled by a single entity or a few)</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Trading</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Peer-to-peer, facilitated by blockchain</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Through intermediaries like energy exchanges</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Market Structure</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Competitive, with multiple participants</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Often monopolistic or oligopolistic</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Transparency</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High, with blockchain providing an immutable record</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Low, subject to market manipulation and information asymmetry</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Efficiency</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Improved, reducing transaction costs and enabling real-time settlement</w:t>
            </w:r>
          </w:p>
        </w:tc>
        <w:tc>
          <w:tcPr>
            <w:tcW w:w="0" w:type="auto"/>
            <w:tcMar>
              <w:top w:w="30" w:type="dxa"/>
              <w:left w:w="0" w:type="dxa"/>
              <w:bottom w:w="30" w:type="dxa"/>
              <w:right w:w="0" w:type="dxa"/>
            </w:tcMar>
            <w:vAlign w:val="bottom"/>
            <w:hideMark/>
          </w:tcPr>
          <w:p w:rsidR="0033392F" w:rsidRPr="004C483C" w:rsidRDefault="007F0B34" w:rsidP="004C483C">
            <w:pPr>
              <w:rPr>
                <w:lang w:val="en-IN"/>
              </w:rPr>
            </w:pPr>
            <w:r>
              <w:t>Inefficient due to intermediaries and complexity</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Innovation</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Encourages innovation and new business models</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More conservative, with established practices</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Security</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Enhanced by blockchain technology, reducing fraud and hacking risks</w:t>
            </w:r>
          </w:p>
        </w:tc>
        <w:tc>
          <w:tcPr>
            <w:tcW w:w="0" w:type="auto"/>
            <w:tcMar>
              <w:top w:w="30" w:type="dxa"/>
              <w:left w:w="0" w:type="dxa"/>
              <w:bottom w:w="30" w:type="dxa"/>
              <w:right w:w="0" w:type="dxa"/>
            </w:tcMar>
            <w:vAlign w:val="bottom"/>
            <w:hideMark/>
          </w:tcPr>
          <w:p w:rsidR="0033392F" w:rsidRPr="004C483C" w:rsidRDefault="0033392F" w:rsidP="004C483C">
            <w:pPr>
              <w:rPr>
                <w:lang w:val="en-IN"/>
              </w:rPr>
            </w:pPr>
            <w:r w:rsidRPr="004C483C">
              <w:rPr>
                <w:lang w:val="en-IN"/>
              </w:rPr>
              <w:t>Vulnerable to cyber threats and human error</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Accessibility</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More accessible to a wider range of investors</w:t>
            </w:r>
          </w:p>
        </w:tc>
        <w:tc>
          <w:tcPr>
            <w:tcW w:w="0" w:type="auto"/>
            <w:tcMar>
              <w:top w:w="30" w:type="dxa"/>
              <w:left w:w="0" w:type="dxa"/>
              <w:bottom w:w="30" w:type="dxa"/>
              <w:right w:w="0" w:type="dxa"/>
            </w:tcMar>
            <w:vAlign w:val="bottom"/>
            <w:hideMark/>
          </w:tcPr>
          <w:p w:rsidR="0033392F" w:rsidRPr="004C483C" w:rsidRDefault="007F0B34" w:rsidP="004C483C">
            <w:pPr>
              <w:rPr>
                <w:lang w:val="en-IN"/>
              </w:rPr>
            </w:pPr>
            <w:r>
              <w:t>Restricted to institutional investors and large corporations</w:t>
            </w:r>
          </w:p>
        </w:tc>
      </w:tr>
      <w:tr w:rsidR="0033392F" w:rsidRPr="004C483C" w:rsidTr="0033392F">
        <w:trPr>
          <w:trHeight w:val="315"/>
        </w:trPr>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Sustainability</w:t>
            </w:r>
          </w:p>
        </w:tc>
        <w:tc>
          <w:tcPr>
            <w:tcW w:w="0" w:type="auto"/>
            <w:tcMar>
              <w:top w:w="30" w:type="dxa"/>
              <w:left w:w="45" w:type="dxa"/>
              <w:bottom w:w="30" w:type="dxa"/>
              <w:right w:w="45" w:type="dxa"/>
            </w:tcMar>
            <w:vAlign w:val="bottom"/>
            <w:hideMark/>
          </w:tcPr>
          <w:p w:rsidR="0033392F" w:rsidRPr="004C483C" w:rsidRDefault="0033392F" w:rsidP="004C483C">
            <w:pPr>
              <w:rPr>
                <w:lang w:val="en-IN"/>
              </w:rPr>
            </w:pPr>
            <w:r w:rsidRPr="004C483C">
              <w:rPr>
                <w:lang w:val="en-IN"/>
              </w:rPr>
              <w:t>Promotes sustainability by incentivizing clean energy production</w:t>
            </w:r>
          </w:p>
        </w:tc>
        <w:tc>
          <w:tcPr>
            <w:tcW w:w="0" w:type="auto"/>
            <w:tcMar>
              <w:top w:w="30" w:type="dxa"/>
              <w:left w:w="0" w:type="dxa"/>
              <w:bottom w:w="30" w:type="dxa"/>
              <w:right w:w="0" w:type="dxa"/>
            </w:tcMar>
            <w:vAlign w:val="bottom"/>
            <w:hideMark/>
          </w:tcPr>
          <w:p w:rsidR="0033392F" w:rsidRPr="004C483C" w:rsidRDefault="007F0B34" w:rsidP="004C483C">
            <w:pPr>
              <w:rPr>
                <w:lang w:val="en-IN"/>
              </w:rPr>
            </w:pPr>
            <w:r>
              <w:t>Limited sustainability due to reliance on centralized power grids and fossil fuels</w:t>
            </w:r>
          </w:p>
        </w:tc>
      </w:tr>
    </w:tbl>
    <w:p w:rsidR="007A3D2E" w:rsidRDefault="007A3D2E" w:rsidP="003203ED">
      <w:pPr>
        <w:rPr>
          <w:rFonts w:ascii="Times New Roman" w:hAnsi="Times New Roman" w:cs="Times New Roman"/>
          <w:b/>
          <w:bCs/>
          <w:sz w:val="24"/>
          <w:szCs w:val="24"/>
        </w:rPr>
      </w:pPr>
    </w:p>
    <w:p w:rsidR="003203ED" w:rsidRPr="0005361B" w:rsidRDefault="003203ED" w:rsidP="003203ED">
      <w:pPr>
        <w:rPr>
          <w:rFonts w:ascii="Times New Roman" w:hAnsi="Times New Roman" w:cs="Times New Roman"/>
          <w:b/>
          <w:bCs/>
          <w:sz w:val="24"/>
          <w:szCs w:val="24"/>
        </w:rPr>
      </w:pPr>
      <w:r w:rsidRPr="0005361B">
        <w:rPr>
          <w:rFonts w:ascii="Times New Roman" w:hAnsi="Times New Roman" w:cs="Times New Roman"/>
          <w:b/>
          <w:bCs/>
          <w:sz w:val="24"/>
          <w:szCs w:val="24"/>
        </w:rPr>
        <w:t>Benefits of Tokenization</w:t>
      </w:r>
      <w:r>
        <w:rPr>
          <w:rFonts w:ascii="Times New Roman" w:hAnsi="Times New Roman" w:cs="Times New Roman"/>
          <w:b/>
          <w:bCs/>
          <w:sz w:val="24"/>
          <w:szCs w:val="24"/>
        </w:rPr>
        <w:t xml:space="preserve"> in Energy Sector</w:t>
      </w:r>
      <w:r w:rsidRPr="0005361B">
        <w:rPr>
          <w:rFonts w:ascii="Times New Roman" w:hAnsi="Times New Roman" w:cs="Times New Roman"/>
          <w:b/>
          <w:bCs/>
          <w:sz w:val="24"/>
          <w:szCs w:val="24"/>
        </w:rPr>
        <w:t>:</w:t>
      </w:r>
    </w:p>
    <w:p w:rsidR="003203ED" w:rsidRDefault="003203ED" w:rsidP="00CA41B1">
      <w:r>
        <w:t xml:space="preserve">Blockchain-based energy tokens are facilitating the shift towards decentralized energy grids, where energy is shared and traded directly between renewable </w:t>
      </w:r>
      <w:r w:rsidR="00CA41B1">
        <w:t>energy prosumers and consumers. Tokenization can democratize the energy sector, shifting away from a few dominant players and promoting a more diverse and competitive landscape. This also strengthen grid resilience and local energy independence.</w:t>
      </w:r>
    </w:p>
    <w:p w:rsidR="00557F28" w:rsidRDefault="005131CD" w:rsidP="00CA41B1">
      <w:r>
        <w:lastRenderedPageBreak/>
        <w:t xml:space="preserve">Tokens or crypto tokens symbolizes </w:t>
      </w:r>
      <w:r w:rsidRPr="005131CD">
        <w:t>ownership or value</w:t>
      </w:r>
      <w:r>
        <w:t xml:space="preserve"> of something</w:t>
      </w:r>
      <w:r w:rsidRPr="005131CD">
        <w:t xml:space="preserve"> in a decentralized </w:t>
      </w:r>
      <w:r w:rsidR="00875FCA" w:rsidRPr="005131CD">
        <w:t>system</w:t>
      </w:r>
      <w:r w:rsidR="00875FCA">
        <w:t>.</w:t>
      </w:r>
      <w:r>
        <w:t xml:space="preserve"> </w:t>
      </w:r>
      <w:r w:rsidRPr="005131CD">
        <w:t>Smart contracts and blockchains enable tokens to represent various assets or rights</w:t>
      </w:r>
      <w:r>
        <w:t>.</w:t>
      </w:r>
      <w:r w:rsidRPr="005131CD">
        <w:t xml:space="preserve"> </w:t>
      </w:r>
      <w:r w:rsidR="00557F28" w:rsidRPr="00557F28">
        <w:t>T</w:t>
      </w:r>
      <w:r>
        <w:t>okens</w:t>
      </w:r>
      <w:r w:rsidR="00557F28" w:rsidRPr="00557F28">
        <w:t xml:space="preserve"> are issued when a company launches an Initial Coin Offering (ICO)</w:t>
      </w:r>
      <w:r>
        <w:t>.</w:t>
      </w:r>
    </w:p>
    <w:p w:rsidR="003203ED" w:rsidRPr="00CA41B1" w:rsidRDefault="003203ED" w:rsidP="003203ED">
      <w:r>
        <w:t>Digital tokens contribute to a more dynamic investment landscape by offering investors</w:t>
      </w:r>
      <w:r w:rsidR="00CA41B1">
        <w:t xml:space="preserve"> </w:t>
      </w:r>
      <w:r w:rsidR="00CA41B1" w:rsidRPr="00CA41B1">
        <w:t>for fractional ownership of energy assets</w:t>
      </w:r>
      <w:r w:rsidR="00CA41B1">
        <w:t xml:space="preserve"> and projects. </w:t>
      </w:r>
      <w:r w:rsidRPr="00CE2D71">
        <w:rPr>
          <w:lang w:val="en-IN"/>
        </w:rPr>
        <w:t xml:space="preserve">Tokenization can facilitate crowdfunding for renewable energy projects, promoting a cleaner energy </w:t>
      </w:r>
      <w:r w:rsidR="007A3778" w:rsidRPr="00CE2D71">
        <w:rPr>
          <w:lang w:val="en-IN"/>
        </w:rPr>
        <w:t>mix.</w:t>
      </w:r>
      <w:r w:rsidR="007A3778">
        <w:rPr>
          <w:lang w:val="en-IN"/>
        </w:rPr>
        <w:t xml:space="preserve"> It can </w:t>
      </w:r>
      <w:r w:rsidR="007A3778" w:rsidRPr="007A3778">
        <w:rPr>
          <w:lang w:val="en-IN"/>
        </w:rPr>
        <w:t>incentivize the production of renewable energy by making it easier to trade and monetize</w:t>
      </w:r>
    </w:p>
    <w:p w:rsidR="003203ED" w:rsidRDefault="003203ED" w:rsidP="003203ED">
      <w:r w:rsidRPr="0052175F">
        <w:t>Fractionalization through blockchain-based tokenization has democratized investment in the energy sector. By dividing energy assets into tradable tokens, this innovation has broadened investor participation, fostered community engagement, and accelerated the adoption of renewable energy sources.</w:t>
      </w:r>
    </w:p>
    <w:p w:rsidR="000C6402" w:rsidRDefault="000C6402" w:rsidP="003203ED">
      <w:r>
        <w:t xml:space="preserve">In </w:t>
      </w:r>
      <w:r>
        <w:fldChar w:fldCharType="begin" w:fldLock="1"/>
      </w:r>
      <w:r w:rsidR="00CC4BAF">
        <w:instrText>ADDIN CSL_CITATION {"citationItems":[{"id":"ITEM-1","itemData":{"DOI":"10.1016/j.rser.2018.10.014","ISSN":"18790690","abstract":"Blockchains or distributed ledgers are an emerging technology that has drawn considerable interest from energy supply firms, startups, technology developers, financial institutions, national governments and the academic community. Numerous sources coming from these backgrounds identify blockchains as having the potential to bring significant benefits and innovation. Blockchains promise transparent, tamper-proof and secure systems that can enable novel business solutions, especially when combined with smart contracts. This work provides a comprehensive overview of fundamental principles that underpin blockchain technologies, such as system architectures and distributed consensus algorithms. Next, we focus on blockchain solutions for the energy industry and inform the state-of-the-art by thoroughly reviewing the literature and current business cases. To our knowledge, this is one of the first academic, peer-reviewed works to provide a systematic review of blockchain activities and initiatives in the energy sector. Our study reviews 140 blockchain research projects and startups from which we construct a map of the potential and relevance of blockchains for energy applications. These initiatives were systematically classified into different groups according to the field of activity, implementation platform and consensus strategy used.1 Opportunities, potential challenges and limitations for a number of use cases are discussed, ranging from emerging peer-to-peer (P2P) energy trading and Internet of Things (IoT) applications, to decentralised marketplaces, electric vehicle charging and e-mobility. For each of these use cases, our contribution is twofold: first, in identifying the technical challenges that blockchain technology can solve for that application as well as its potential drawbacks, and second in briefly presenting the research and industrial projects and startups that are currently applying blockchain technology to that area. The paper ends with a discussion of challenges and market barriers the technology needs to overcome to get past the hype phase, prove its commercial viability and finally be adopted in the mainstream.","author":[{"dropping-particle":"","family":"Andoni","given":"Merlinda","non-dropping-particle":"","parse-names":false,"suffix":""},{"dropping-particle":"","family":"Robu","given":"Valentin","non-dropping-particle":"","parse-names":false,"suffix":""},{"dropping-particle":"","family":"Flynn","given":"David","non-dropping-particle":"","parse-names":false,"suffix":""},{"dropping-particle":"","family":"Abram","given":"Simone","non-dropping-particle":"","parse-names":false,"suffix":""},{"dropping-particle":"","family":"Geach","given":"Dale","non-dropping-particle":"","parse-names":false,"suffix":""},{"dropping-particle":"","family":"Jenkins","given":"David","non-dropping-particle":"","parse-names":false,"suffix":""},{"dropping-particle":"","family":"McCallum","given":"Peter","non-dropping-particle":"","parse-names":false,"suffix":""},{"dropping-particle":"","family":"Peacock","given":"Andrew","non-dropping-particle":"","parse-names":false,"suffix":""}],"container-title":"Renewable and Sustainable Energy Reviews","id":"ITEM-1","issued":{"date-parts":[["2019","2","1"]]},"page":"143-174","publisher":"Elsevier Ltd","title":"Blockchain technology in the energy sector: A systematic review of challenges and opportunities","type":"article","volume":"100"},"uris":["http://www.mendeley.com/documents/?uuid=138fc28b-0bb3-30fb-aa2d-909974d736b6"]}],"mendeley":{"formattedCitation":"[6]","plainTextFormattedCitation":"[6]","previouslyFormattedCitation":"[6]"},"properties":{"noteIndex":0},"schema":"https://github.com/citation-style-language/schema/raw/master/csl-citation.json"}</w:instrText>
      </w:r>
      <w:r>
        <w:fldChar w:fldCharType="separate"/>
      </w:r>
      <w:r w:rsidR="00CC4BAF" w:rsidRPr="00CC4BAF">
        <w:rPr>
          <w:noProof/>
        </w:rPr>
        <w:t>[6]</w:t>
      </w:r>
      <w:r>
        <w:fldChar w:fldCharType="end"/>
      </w:r>
      <w:r>
        <w:t xml:space="preserve"> ,</w:t>
      </w:r>
      <w:r w:rsidRPr="000C6402">
        <w:t xml:space="preserve"> </w:t>
      </w:r>
      <w:r>
        <w:t>The results demonstrate that</w:t>
      </w:r>
      <w:r w:rsidRPr="000C6402">
        <w:t xml:space="preserve"> </w:t>
      </w:r>
      <w:r>
        <w:t>decentralized energy trading is the most prevalent use case, followed by cryptocurrencies and investments</w:t>
      </w:r>
      <w:r w:rsidRPr="000C6402">
        <w:t xml:space="preserve">. </w:t>
      </w:r>
    </w:p>
    <w:p w:rsidR="003203ED" w:rsidRPr="001366E8" w:rsidRDefault="003203ED" w:rsidP="00D86398">
      <w:r>
        <w:t xml:space="preserve">Transparency and Traceability in Transactions </w:t>
      </w:r>
      <w:r w:rsidRPr="0052175F">
        <w:t xml:space="preserve">By recording all transactions on a </w:t>
      </w:r>
      <w:r>
        <w:t>decentralized and</w:t>
      </w:r>
      <w:r w:rsidRPr="0052175F">
        <w:t xml:space="preserve"> immutable ledger, blockchain enhances transparency, accountabili</w:t>
      </w:r>
      <w:r>
        <w:t xml:space="preserve">ty, and trust among Stakeholders </w:t>
      </w:r>
      <w:r>
        <w:fldChar w:fldCharType="begin" w:fldLock="1"/>
      </w:r>
      <w:r w:rsidR="005471D1">
        <w:instrText>ADDIN CSL_CITATION {"citationItems":[{"id":"ITEM-1","itemData":{"id":"ITEM-1","issued":{"date-parts":[["0"]]},"title":"The Rise of Tokenization in Renewable Energy Investments - Aurora Blog","type":"webpage"},"uris":["http://www.mendeley.com/documents/?uuid=cc6b5e0a-396a-397c-9c11-3323889420eb","http://www.mendeley.com/documents/?uuid=dda73cde-a1f4-44be-a766-e5b6395641fc"]}],"mendeley":{"formattedCitation":"[36]","plainTextFormattedCitation":"[36]","previouslyFormattedCitation":"[36]"},"properties":{"noteIndex":0},"schema":"https://github.com/citation-style-language/schema/raw/master/csl-citation.json"}</w:instrText>
      </w:r>
      <w:r>
        <w:fldChar w:fldCharType="separate"/>
      </w:r>
      <w:r w:rsidR="00031802" w:rsidRPr="00031802">
        <w:rPr>
          <w:noProof/>
        </w:rPr>
        <w:t>[36]</w:t>
      </w:r>
      <w:r>
        <w:fldChar w:fldCharType="end"/>
      </w:r>
      <w:r>
        <w:t>.</w:t>
      </w:r>
    </w:p>
    <w:p w:rsidR="001366E8" w:rsidRPr="00CE2D71" w:rsidRDefault="001366E8" w:rsidP="001366E8">
      <w:pPr>
        <w:rPr>
          <w:rFonts w:ascii="Times New Roman" w:hAnsi="Times New Roman" w:cs="Times New Roman"/>
          <w:b/>
          <w:bCs/>
          <w:sz w:val="24"/>
          <w:szCs w:val="24"/>
        </w:rPr>
      </w:pPr>
      <w:r w:rsidRPr="00CE2D71">
        <w:rPr>
          <w:rFonts w:ascii="Times New Roman" w:hAnsi="Times New Roman" w:cs="Times New Roman"/>
          <w:b/>
          <w:bCs/>
          <w:sz w:val="24"/>
          <w:szCs w:val="24"/>
        </w:rPr>
        <w:t>Types of Tokens</w:t>
      </w:r>
    </w:p>
    <w:p w:rsidR="001366E8" w:rsidRPr="00A2164C" w:rsidRDefault="001366E8" w:rsidP="001366E8">
      <w:r>
        <w:t>T</w:t>
      </w:r>
      <w:r w:rsidRPr="00A2164C">
        <w:t>he diverse range of functionalities offered by tokens makes them a significant aspect of blockchain technology. Here are</w:t>
      </w:r>
      <w:r>
        <w:t xml:space="preserve"> some of the most common types:</w:t>
      </w:r>
    </w:p>
    <w:p w:rsidR="001366E8" w:rsidRDefault="001366E8" w:rsidP="001366E8">
      <w:r w:rsidRPr="00A2164C">
        <w:t xml:space="preserve">Utility Tokens: </w:t>
      </w:r>
      <w:r>
        <w:t>Possession of these tokens grants access to designated products or services offered within the confines of a blockchain ecosystem</w:t>
      </w:r>
      <w:r w:rsidRPr="00A2164C">
        <w:t xml:space="preserve">. </w:t>
      </w:r>
      <w:r>
        <w:t>The Power ledger platform utilizes its token, POWR, to facilitate peer-to-peer electricity trading amongst prosumers and consumers, fostering a more localized and efficient energy market.</w:t>
      </w:r>
    </w:p>
    <w:p w:rsidR="00557F28" w:rsidRDefault="001366E8" w:rsidP="001366E8">
      <w:r w:rsidRPr="00A2164C">
        <w:t xml:space="preserve">Security Tokens:  </w:t>
      </w:r>
      <w:r w:rsidR="00557F28">
        <w:t>Security tokens represent ownership of a digital asset</w:t>
      </w:r>
      <w:r w:rsidR="005131CD">
        <w:t xml:space="preserve"> linked to real-world assets</w:t>
      </w:r>
      <w:r w:rsidR="00557F28">
        <w:t xml:space="preserve"> </w:t>
      </w:r>
      <w:r w:rsidR="00557F28">
        <w:fldChar w:fldCharType="begin" w:fldLock="1"/>
      </w:r>
      <w:r w:rsidR="005471D1">
        <w:instrText>ADDIN CSL_CITATION {"citationItems":[{"id":"ITEM-1","itemData":{"URL":"https://www.blockchain-council.org/blockchain/security-tokens-vs-utility-tokens-guide/","abstract":"There is no doubt that blockchain is causing major disruptions across almost all industry verticals that are in existence. Blockchain technology makes it possible to create a wide array of new business models. Blockchain is credited with being the sole technology since the invention of the internet to bring about useful innovations such as decentralization and trustless networks. Using tokens is one of the significant factors, out of the many, which have contributed to the success of blockchain technology. In this article, we will delve deeper into the concept of tokens and help you gain a clear picture of security tokens andutility tokens.","accessed":{"date-parts":[["2024","9","11"]]},"author":[{"dropping-particle":"","family":"Sharma","given":"Toshendra Kumar","non-dropping-particle":"","parse-names":false,"suffix":""}],"container-title":"Blockchain Council","id":"ITEM-1","issued":{"date-parts":[["2019"]]},"page":"2019","title":"Security Tokens vs. Utility Tokens: A Concise Guide. Blockchain Council","type":"webpage","volume":"8"},"uris":["http://www.mendeley.com/documents/?uuid=9b7882b0-5674-3ec9-a4d2-75038a1bdee9"]}],"mendeley":{"formattedCitation":"[37]","plainTextFormattedCitation":"[37]","previouslyFormattedCitation":"[37]"},"properties":{"noteIndex":0},"schema":"https://github.com/citation-style-language/schema/raw/master/csl-citation.json"}</w:instrText>
      </w:r>
      <w:r w:rsidR="00557F28">
        <w:fldChar w:fldCharType="separate"/>
      </w:r>
      <w:r w:rsidR="00031802" w:rsidRPr="00031802">
        <w:rPr>
          <w:noProof/>
        </w:rPr>
        <w:t>[37]</w:t>
      </w:r>
      <w:r w:rsidR="00557F28">
        <w:fldChar w:fldCharType="end"/>
      </w:r>
      <w:r w:rsidR="00557F28" w:rsidRPr="00557F28">
        <w:t xml:space="preserve">. </w:t>
      </w:r>
      <w:r w:rsidRPr="00A2164C">
        <w:t xml:space="preserve">These tokens represent ownership in a real-world asset, such as a company's stock or a piece of real estate. </w:t>
      </w:r>
      <w:r>
        <w:t xml:space="preserve">SolarCoin tokens represents ownership in solar energy projects, potentially generating returns based on the electricity produced by these projects. </w:t>
      </w:r>
    </w:p>
    <w:p w:rsidR="001366E8" w:rsidRDefault="001366E8" w:rsidP="001366E8">
      <w:r w:rsidRPr="00A2164C">
        <w:t xml:space="preserve">Governance Tokens:  </w:t>
      </w:r>
      <w:r>
        <w:t>Possession of these governance tokens empowers holders to contribute to the project's decision-making process. Through a voting mechanism, users can influence the project's future direction</w:t>
      </w:r>
      <w:r w:rsidRPr="00A2164C">
        <w:t xml:space="preserve">. </w:t>
      </w:r>
      <w:r>
        <w:t>The SunContract token grants holders voting rights on proposals that shape the future development of the SunContract platform</w:t>
      </w:r>
      <w:r w:rsidRPr="00464721">
        <w:t>.</w:t>
      </w:r>
    </w:p>
    <w:p w:rsidR="001366E8" w:rsidRDefault="001366E8" w:rsidP="001366E8">
      <w:r>
        <w:t>Payment token: Payment tokens, also known as cryptocurrencies or digital currencies, are decentralized assets that can be used to exchange value directly between individuals without the need for intermediaries. Bitcoin (BTC), Litecoin (LTC), and Dash (DASH) are among the most well-known payment tokens.</w:t>
      </w:r>
    </w:p>
    <w:p w:rsidR="001366E8" w:rsidRDefault="001366E8" w:rsidP="001366E8">
      <w:r w:rsidRPr="001B2A5E">
        <w:t>Non-Fungible Tokens (NFTs)</w:t>
      </w:r>
      <w:r>
        <w:t xml:space="preserve">: Non-fungible tokens are distinct, </w:t>
      </w:r>
      <w:r w:rsidR="00875FCA">
        <w:t>transferable</w:t>
      </w:r>
      <w:r>
        <w:t xml:space="preserve">, indivisible, and irreplaceable, in contrast to fungible tokens. All NFTs of the same type are unique from one another. </w:t>
      </w:r>
      <w:r>
        <w:lastRenderedPageBreak/>
        <w:t xml:space="preserve">Each token is distinct, therefore exchanging them for one another would result in a loss of value </w:t>
      </w:r>
      <w:r>
        <w:fldChar w:fldCharType="begin" w:fldLock="1"/>
      </w:r>
      <w:r w:rsidR="005471D1">
        <w:instrText>ADDIN CSL_CITATION {"citationItems":[{"id":"ITEM-1","itemData":{"DOI":"10.54097/hset.v39i.6713","ISSN":"2791-0210","abstract":"Blockchain is a decentralized, shared ledger that aggregates blocks of data in a factual data structure in chronological order using a chain structure. Two hundred sixty thousand tokens, or 98% of the around 2.5 million smart contracts in Ethereum network, are ERC-20 tokens. The ERC20 standard specifies constructors for token contracts that establish and initialize the contract state. The Ethereum wallet and Ethereum decentralized, centralized applications can access tokens through these standard interfaces. Security vulnerabilities in ERC-20 have drawn a lot of attention lately in recent years. This paper summarizes some basic security vulnerabilities and suggests avoiding multiple withdrawal attacks. Tokens can be used to support dApps, access blockchain services, trade, and obtain voting rights. Various tokens exist depending on their properties and use cases, including governance, utility, security, transaction, and platform tokens. Tokens can be sorted as fungible tokens and non-fungible tokens. Tokens that can be fungible are identical, divisible, and can be instead of money. Non-fungible tokens have a single owner and are unique.","author":[{"dropping-particle":"","family":"Zhang","given":"Changjin","non-dropping-particle":"","parse-names":false,"suffix":""}],"container-title":"Highlights in Science, Engineering and Technology","id":"ITEM-1","issued":{"date-parts":[["2023"]]},"page":"1093-1097","title":"The Analysis of the Risks and Improvements of ERC20 Tokens","type":"article-journal","volume":"39"},"uris":["http://www.mendeley.com/documents/?uuid=04ddf3d9-4806-4ad1-b635-e8b2f298f6f6"]}],"mendeley":{"formattedCitation":"[38]","plainTextFormattedCitation":"[38]","previouslyFormattedCitation":"[38]"},"properties":{"noteIndex":0},"schema":"https://github.com/citation-style-language/schema/raw/master/csl-citation.json"}</w:instrText>
      </w:r>
      <w:r>
        <w:fldChar w:fldCharType="separate"/>
      </w:r>
      <w:r w:rsidR="00031802" w:rsidRPr="00031802">
        <w:rPr>
          <w:noProof/>
        </w:rPr>
        <w:t>[38]</w:t>
      </w:r>
      <w:r>
        <w:fldChar w:fldCharType="end"/>
      </w:r>
      <w:r>
        <w:t>. Non-fungible tokens have a single owner and are unique</w:t>
      </w:r>
      <w:r w:rsidR="00875FCA">
        <w:t xml:space="preserve">. </w:t>
      </w:r>
    </w:p>
    <w:p w:rsidR="001366E8" w:rsidRDefault="001366E8" w:rsidP="00823A9F">
      <w:pPr>
        <w:rPr>
          <w:rFonts w:ascii="Times New Roman" w:hAnsi="Times New Roman" w:cs="Times New Roman"/>
          <w:b/>
          <w:bCs/>
          <w:sz w:val="24"/>
          <w:szCs w:val="24"/>
        </w:rPr>
      </w:pPr>
    </w:p>
    <w:p w:rsidR="00823A9F" w:rsidRPr="0005361B" w:rsidRDefault="00823A9F" w:rsidP="00823A9F">
      <w:pPr>
        <w:rPr>
          <w:rFonts w:ascii="Times New Roman" w:hAnsi="Times New Roman" w:cs="Times New Roman"/>
          <w:b/>
          <w:bCs/>
          <w:sz w:val="24"/>
          <w:szCs w:val="24"/>
        </w:rPr>
      </w:pPr>
      <w:r w:rsidRPr="0005361B">
        <w:rPr>
          <w:rFonts w:ascii="Times New Roman" w:hAnsi="Times New Roman" w:cs="Times New Roman"/>
          <w:b/>
          <w:bCs/>
          <w:sz w:val="24"/>
          <w:szCs w:val="24"/>
        </w:rPr>
        <w:t xml:space="preserve">Token standard: </w:t>
      </w:r>
    </w:p>
    <w:p w:rsidR="00823A9F" w:rsidRDefault="00823A9F" w:rsidP="00823A9F">
      <w:r>
        <w:t xml:space="preserve">Token standards function as a set of technical protocols that govern the behavior of tokens within a specific blockchain network. These protocols define a standardized format for token creation and operation, thereby facilitating interoperability with various applications and services within the blockchain ecosystem, such as wallets and exchanges. </w:t>
      </w:r>
    </w:p>
    <w:p w:rsidR="00823A9F" w:rsidRDefault="00823A9F" w:rsidP="00823A9F">
      <w:r w:rsidRPr="00DF6E5D">
        <w:t>Token standards are a subset of smart contract standards. For blockchain that support smart contracts, token standards represent a guide for the creation, issuance, and deployment of new token</w:t>
      </w:r>
      <w:r>
        <w:t xml:space="preserve">s on them </w:t>
      </w:r>
      <w:r>
        <w:fldChar w:fldCharType="begin" w:fldLock="1"/>
      </w:r>
      <w:r w:rsidR="005471D1">
        <w:instrText>ADDIN CSL_CITATION {"citationItems":[{"id":"ITEM-1","itemData":{"URL":"https://crypto.com/university/what-are-token-standards","accessed":{"date-parts":[["2024","9","9"]]},"author":[{"dropping-particle":"","family":"Crypto.com","given":"","non-dropping-particle":"","parse-names":false,"suffix":""}],"container-title":"Abgerufen am 17.06.2023","id":"ITEM-1","issued":{"date-parts":[["2022"]]},"title":"What Are Token Standards? An Overview","type":"webpage"},"uris":["http://www.mendeley.com/documents/?uuid=61ab135c-6127-3168-aaa2-64275218745d"]}],"mendeley":{"formattedCitation":"[39]","plainTextFormattedCitation":"[39]","previouslyFormattedCitation":"[39]"},"properties":{"noteIndex":0},"schema":"https://github.com/citation-style-language/schema/raw/master/csl-citation.json"}</w:instrText>
      </w:r>
      <w:r>
        <w:fldChar w:fldCharType="separate"/>
      </w:r>
      <w:r w:rsidR="00031802" w:rsidRPr="00031802">
        <w:rPr>
          <w:noProof/>
        </w:rPr>
        <w:t>[39]</w:t>
      </w:r>
      <w:r>
        <w:fldChar w:fldCharType="end"/>
      </w:r>
    </w:p>
    <w:p w:rsidR="00823A9F" w:rsidRDefault="00823A9F" w:rsidP="00823A9F">
      <w:r>
        <w:t xml:space="preserve">This standardization plays a critical role in enabling the seamless exchange and utilization of tokens across diverse platforms and applications </w:t>
      </w:r>
      <w:r>
        <w:fldChar w:fldCharType="begin" w:fldLock="1"/>
      </w:r>
      <w:r w:rsidR="005471D1">
        <w:instrText>ADDIN CSL_CITATION {"citationItems":[{"id":"ITEM-1","itemData":{"id":"ITEM-1","issued":{"date-parts":[["0"]]},"title":"What Are Token Standards And How Do They Work? | by U2U Network | U2U Network | Medium","type":"webpage"},"uris":["http://www.mendeley.com/documents/?uuid=f52f7b2d-25d0-32ac-b87f-499c9b9b028f","http://www.mendeley.com/documents/?uuid=0875df54-58d1-4798-95aa-196998c3b86f"]}],"mendeley":{"formattedCitation":"[40]","plainTextFormattedCitation":"[40]","previouslyFormattedCitation":"[40]"},"properties":{"noteIndex":0},"schema":"https://github.com/citation-style-language/schema/raw/master/csl-citation.json"}</w:instrText>
      </w:r>
      <w:r>
        <w:fldChar w:fldCharType="separate"/>
      </w:r>
      <w:r w:rsidR="00031802" w:rsidRPr="00031802">
        <w:rPr>
          <w:noProof/>
        </w:rPr>
        <w:t>[40]</w:t>
      </w:r>
      <w:r>
        <w:fldChar w:fldCharType="end"/>
      </w:r>
      <w:r w:rsidR="004906CD">
        <w:t xml:space="preserve">. </w:t>
      </w:r>
      <w:r w:rsidR="004906CD" w:rsidRPr="004906CD">
        <w:t>Table 3 presents a comparison of different token standards and their features.</w:t>
      </w:r>
    </w:p>
    <w:p w:rsidR="00823A9F" w:rsidRPr="00E95AC2" w:rsidRDefault="00823A9F" w:rsidP="00823A9F">
      <w:r>
        <w:t>Table</w:t>
      </w:r>
      <w:r w:rsidR="004906CD">
        <w:t xml:space="preserve"> 3</w:t>
      </w:r>
      <w:r>
        <w:t>: Comparative analysis of token standards</w:t>
      </w:r>
    </w:p>
    <w:tbl>
      <w:tblPr>
        <w:tblW w:w="9781" w:type="dxa"/>
        <w:tblBorders>
          <w:insideH w:val="single" w:sz="4" w:space="0" w:color="auto"/>
        </w:tblBorders>
        <w:tblCellMar>
          <w:left w:w="0" w:type="dxa"/>
          <w:right w:w="0" w:type="dxa"/>
        </w:tblCellMar>
        <w:tblLook w:val="04A0" w:firstRow="1" w:lastRow="0" w:firstColumn="1" w:lastColumn="0" w:noHBand="0" w:noVBand="1"/>
      </w:tblPr>
      <w:tblGrid>
        <w:gridCol w:w="1089"/>
        <w:gridCol w:w="1599"/>
        <w:gridCol w:w="1979"/>
        <w:gridCol w:w="1508"/>
        <w:gridCol w:w="1504"/>
        <w:gridCol w:w="2102"/>
      </w:tblGrid>
      <w:tr w:rsidR="005F1403" w:rsidRPr="00EA6D95" w:rsidTr="00BF451B">
        <w:trPr>
          <w:trHeight w:val="400"/>
        </w:trPr>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Feature</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ERC-20 </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BEP-20 </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ERC-721 </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ERC-1155 </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t>ERC-777</w:t>
            </w:r>
            <w:r w:rsidRPr="00EA6D95">
              <w:t xml:space="preserve"> </w:t>
            </w:r>
          </w:p>
        </w:tc>
      </w:tr>
      <w:tr w:rsidR="005F1403" w:rsidRPr="00EA6D95" w:rsidTr="00BF451B">
        <w:trPr>
          <w:trHeight w:val="400"/>
        </w:trPr>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Blockchain</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Ethereum</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t>BNB</w:t>
            </w:r>
            <w:r w:rsidRPr="00EA6D95">
              <w:t xml:space="preserve"> Smart Chain</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Ethereum</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Ethereum</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Ethereum</w:t>
            </w:r>
          </w:p>
        </w:tc>
      </w:tr>
      <w:tr w:rsidR="005F1403" w:rsidRPr="00EA6D95" w:rsidTr="00BF451B">
        <w:trPr>
          <w:trHeight w:val="400"/>
        </w:trPr>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Token Type</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Fungible</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Fungible</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Non-Fungible (NFT)</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Fungible &amp; Non-Fungible</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Fungible</w:t>
            </w:r>
          </w:p>
        </w:tc>
      </w:tr>
      <w:tr w:rsidR="005F1403" w:rsidRPr="00EA6D95" w:rsidTr="00BF451B">
        <w:trPr>
          <w:trHeight w:val="400"/>
        </w:trPr>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Use Cases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Utility tokens, security tokens, and </w:t>
            </w:r>
            <w:r w:rsidR="00CE2D71" w:rsidRPr="00EA6D95">
              <w:t>stable</w:t>
            </w:r>
            <w:r w:rsidR="00CE2D71">
              <w:t xml:space="preserve"> tokens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Utility tokens, cryptocurrencies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Digital collectibles, art, </w:t>
            </w:r>
            <w:r>
              <w:t xml:space="preserve">ownership of </w:t>
            </w:r>
            <w:r w:rsidRPr="00EA6D95">
              <w:t>unique assets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Mixed fungible &amp; non-fungible assets</w:t>
            </w:r>
          </w:p>
        </w:tc>
        <w:tc>
          <w:tcPr>
            <w:tcW w:w="0" w:type="auto"/>
            <w:tcMar>
              <w:top w:w="30" w:type="dxa"/>
              <w:left w:w="0" w:type="dxa"/>
              <w:bottom w:w="30" w:type="dxa"/>
              <w:right w:w="0" w:type="dxa"/>
            </w:tcMar>
            <w:vAlign w:val="bottom"/>
            <w:hideMark/>
          </w:tcPr>
          <w:p w:rsidR="00823A9F" w:rsidRPr="00EA6D95" w:rsidRDefault="00823A9F" w:rsidP="00BF451B">
            <w:pPr>
              <w:spacing w:after="0" w:line="240" w:lineRule="auto"/>
            </w:pPr>
            <w:r w:rsidRPr="00EA6D95">
              <w:t>Utility tokens, cryptocurrencies</w:t>
            </w:r>
            <w:r>
              <w:t>, Game assets</w:t>
            </w:r>
          </w:p>
        </w:tc>
      </w:tr>
      <w:tr w:rsidR="005F1403" w:rsidRPr="00EA6D95" w:rsidTr="00BF451B">
        <w:trPr>
          <w:trHeight w:val="400"/>
        </w:trPr>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Benefits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 xml:space="preserve">Widely adopted, large developer community, high liquidity </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Faster transaction speeds, lower fees compared to ERC-20</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Enables unique digital assets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Flexibility for mixed token types</w:t>
            </w:r>
          </w:p>
        </w:tc>
        <w:tc>
          <w:tcPr>
            <w:tcW w:w="0" w:type="auto"/>
            <w:tcMar>
              <w:top w:w="30" w:type="dxa"/>
              <w:left w:w="0" w:type="dxa"/>
              <w:bottom w:w="30" w:type="dxa"/>
              <w:right w:w="0" w:type="dxa"/>
            </w:tcMar>
            <w:vAlign w:val="bottom"/>
            <w:hideMark/>
          </w:tcPr>
          <w:p w:rsidR="00823A9F" w:rsidRPr="00EA6D95" w:rsidRDefault="00823A9F" w:rsidP="00BF451B">
            <w:pPr>
              <w:spacing w:after="0" w:line="240" w:lineRule="auto"/>
            </w:pPr>
            <w:r>
              <w:t>Advanced</w:t>
            </w:r>
            <w:r w:rsidRPr="00EA6D95">
              <w:t xml:space="preserve"> transactions, </w:t>
            </w:r>
            <w:r>
              <w:t xml:space="preserve">Enhanced security , </w:t>
            </w:r>
            <w:r w:rsidRPr="006D0A60">
              <w:t xml:space="preserve">Backwards compatibility </w:t>
            </w:r>
            <w:r>
              <w:t>ERC 20</w:t>
            </w:r>
          </w:p>
        </w:tc>
      </w:tr>
      <w:tr w:rsidR="005F1403" w:rsidRPr="00EA6D95" w:rsidTr="00BF451B">
        <w:trPr>
          <w:trHeight w:val="400"/>
        </w:trPr>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Drawbacks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Slower transaction speeds, higher fees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Less established compared to ERC-20</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Not suitable for fungible tokens</w:t>
            </w:r>
          </w:p>
        </w:tc>
        <w:tc>
          <w:tcPr>
            <w:tcW w:w="0" w:type="auto"/>
            <w:tcMar>
              <w:top w:w="30" w:type="dxa"/>
              <w:left w:w="45" w:type="dxa"/>
              <w:bottom w:w="30" w:type="dxa"/>
              <w:right w:w="45" w:type="dxa"/>
            </w:tcMar>
            <w:vAlign w:val="bottom"/>
            <w:hideMark/>
          </w:tcPr>
          <w:p w:rsidR="00823A9F" w:rsidRPr="00EA6D95" w:rsidRDefault="00823A9F" w:rsidP="00BF451B">
            <w:pPr>
              <w:spacing w:after="0" w:line="240" w:lineRule="auto"/>
            </w:pPr>
            <w:r w:rsidRPr="00EA6D95">
              <w:t>Under development</w:t>
            </w:r>
          </w:p>
        </w:tc>
        <w:tc>
          <w:tcPr>
            <w:tcW w:w="0" w:type="auto"/>
            <w:tcMar>
              <w:top w:w="30" w:type="dxa"/>
              <w:left w:w="0" w:type="dxa"/>
              <w:bottom w:w="30" w:type="dxa"/>
              <w:right w:w="0" w:type="dxa"/>
            </w:tcMar>
            <w:vAlign w:val="bottom"/>
            <w:hideMark/>
          </w:tcPr>
          <w:p w:rsidR="00823A9F" w:rsidRPr="00EA6D95" w:rsidRDefault="00823A9F" w:rsidP="00BF451B">
            <w:pPr>
              <w:spacing w:after="0" w:line="240" w:lineRule="auto"/>
            </w:pPr>
            <w:r>
              <w:t>High risk of attack, Complexed</w:t>
            </w:r>
            <w:r w:rsidRPr="00EA6D95">
              <w:t xml:space="preserve"> compared to ERC-20</w:t>
            </w:r>
          </w:p>
        </w:tc>
      </w:tr>
      <w:tr w:rsidR="005F1403" w:rsidRPr="00EA6D95" w:rsidTr="00BF451B">
        <w:trPr>
          <w:trHeight w:val="400"/>
        </w:trPr>
        <w:tc>
          <w:tcPr>
            <w:tcW w:w="0" w:type="auto"/>
            <w:tcMar>
              <w:top w:w="30" w:type="dxa"/>
              <w:left w:w="45" w:type="dxa"/>
              <w:bottom w:w="30" w:type="dxa"/>
              <w:right w:w="45" w:type="dxa"/>
            </w:tcMar>
            <w:vAlign w:val="bottom"/>
          </w:tcPr>
          <w:p w:rsidR="00823A9F" w:rsidRPr="00EA6D95" w:rsidRDefault="00823A9F" w:rsidP="00BF451B">
            <w:pPr>
              <w:spacing w:after="0" w:line="240" w:lineRule="auto"/>
            </w:pPr>
            <w:r>
              <w:t>References</w:t>
            </w:r>
          </w:p>
        </w:tc>
        <w:tc>
          <w:tcPr>
            <w:tcW w:w="0" w:type="auto"/>
            <w:tcMar>
              <w:top w:w="30" w:type="dxa"/>
              <w:left w:w="45" w:type="dxa"/>
              <w:bottom w:w="30" w:type="dxa"/>
              <w:right w:w="45" w:type="dxa"/>
            </w:tcMar>
            <w:vAlign w:val="bottom"/>
          </w:tcPr>
          <w:p w:rsidR="00823A9F" w:rsidRPr="00EA6D95" w:rsidRDefault="00823A9F" w:rsidP="005F1403">
            <w:pPr>
              <w:spacing w:after="0" w:line="240" w:lineRule="auto"/>
            </w:pPr>
            <w:r>
              <w:fldChar w:fldCharType="begin" w:fldLock="1"/>
            </w:r>
            <w:r w:rsidR="005471D1">
              <w:instrText>ADDIN CSL_CITATION {"citationItems":[{"id":"ITEM-1","itemData":{"URL":"https://ethereum.org/en/developers/docs/standards/tokens/erc-20/","accessed":{"date-parts":[["2024","9","9"]]},"author":[{"dropping-particle":"","family":"Ethereum.org","given":"","non-dropping-particle":"","parse-names":false,"suffix":""}],"container-title":"Ethereum.org","id":"ITEM-1","issued":{"date-parts":[["2021"]]},"title":"ERC-20 Token Standard | ethereum.org","type":"webpage"},"uris":["http://www.mendeley.com/documents/?uuid=54fc0616-672c-3a95-8072-26d0cd24c5c1"]}],"mendeley":{"formattedCitation":"[41]","plainTextFormattedCitation":"[41]","previouslyFormattedCitation":"[41]"},"properties":{"noteIndex":0},"schema":"https://github.com/citation-style-language/schema/raw/master/csl-citation.json"}</w:instrText>
            </w:r>
            <w:r>
              <w:fldChar w:fldCharType="separate"/>
            </w:r>
            <w:r w:rsidR="00031802" w:rsidRPr="00031802">
              <w:rPr>
                <w:noProof/>
              </w:rPr>
              <w:t>[41]</w:t>
            </w:r>
            <w:r>
              <w:fldChar w:fldCharType="end"/>
            </w:r>
            <w:r>
              <w:fldChar w:fldCharType="begin" w:fldLock="1"/>
            </w:r>
            <w:r w:rsidR="005471D1">
              <w:instrText>ADDIN CSL_CITATION {"citationItems":[{"id":"ITEM-1","itemData":{"DOI":"10.54097/hset.v39i.6713","ISSN":"2791-0210","abstract":"Blockchain is a decentralized, shared ledger that aggregates blocks of data in a factual data structure in chronological order using a chain structure. Two hundred sixty thousand tokens, or 98% of the around 2.5 million smart contracts in Ethereum network, are ERC-20 tokens. The ERC20 standard specifies constructors for token contracts that establish and initialize the contract state. The Ethereum wallet and Ethereum decentralized, centralized applications can access tokens through these standard interfaces. Security vulnerabilities in ERC-20 have drawn a lot of attention lately in recent years. This paper summarizes some basic security vulnerabilities and suggests avoiding multiple withdrawal attacks. Tokens can be used to support dApps, access blockchain services, trade, and obtain voting rights. Various tokens exist depending on their properties and use cases, including governance, utility, security, transaction, and platform tokens. Tokens can be sorted as fungible tokens and non-fungible tokens. Tokens that can be fungible are identical, divisible, and can be instead of money. Non-fungible tokens have a single owner and are unique.","author":[{"dropping-particle":"","family":"Zhang","given":"Changjin","non-dropping-particle":"","parse-names":false,"suffix":""}],"container-title":"Highlights in Science, Engineering and Technology","id":"ITEM-1","issued":{"date-parts":[["2023"]]},"page":"1093-1097","title":"The Analysis of the Risks and Improvements of ERC20 Tokens","type":"article-journal","volume":"39"},"uris":["http://www.mendeley.com/documents/?uuid=04ddf3d9-4806-4ad1-b635-e8b2f298f6f6"]}],"mendeley":{"formattedCitation":"[38]","plainTextFormattedCitation":"[38]","previouslyFormattedCitation":"[38]"},"properties":{"noteIndex":0},"schema":"https://github.com/citation-style-language/schema/raw/master/csl-citation.json"}</w:instrText>
            </w:r>
            <w:r>
              <w:fldChar w:fldCharType="separate"/>
            </w:r>
            <w:r w:rsidR="00031802" w:rsidRPr="00031802">
              <w:rPr>
                <w:noProof/>
              </w:rPr>
              <w:t>[38]</w:t>
            </w:r>
            <w:r>
              <w:fldChar w:fldCharType="end"/>
            </w:r>
          </w:p>
        </w:tc>
        <w:tc>
          <w:tcPr>
            <w:tcW w:w="0" w:type="auto"/>
            <w:tcMar>
              <w:top w:w="30" w:type="dxa"/>
              <w:left w:w="45" w:type="dxa"/>
              <w:bottom w:w="30" w:type="dxa"/>
              <w:right w:w="45" w:type="dxa"/>
            </w:tcMar>
            <w:vAlign w:val="bottom"/>
          </w:tcPr>
          <w:p w:rsidR="00823A9F" w:rsidRPr="00EA6D95" w:rsidRDefault="00823A9F" w:rsidP="005F1403">
            <w:pPr>
              <w:spacing w:after="0" w:line="240" w:lineRule="auto"/>
            </w:pPr>
            <w:r>
              <w:fldChar w:fldCharType="begin" w:fldLock="1"/>
            </w:r>
            <w:r w:rsidR="005471D1">
              <w:instrText>ADDIN CSL_CITATION {"citationItems":[{"id":"ITEM-1","itemData":{"URL":"https://academy.binance.com/en/glossary/bep-20","accessed":{"date-parts":[["2024","9","9"]]},"id":"ITEM-1","issued":{"date-parts":[["0"]]},"title":"BEP-20 | Binance Academy","type":"webpage"},"uris":["http://www.mendeley.com/documents/?uuid=3ec4ce7e-089e-30f0-8908-2e90916bde1d"]}],"mendeley":{"formattedCitation":"[42]","plainTextFormattedCitation":"[42]","previouslyFormattedCitation":"[42]"},"properties":{"noteIndex":0},"schema":"https://github.com/citation-style-language/schema/raw/master/csl-citation.json"}</w:instrText>
            </w:r>
            <w:r>
              <w:fldChar w:fldCharType="separate"/>
            </w:r>
            <w:r w:rsidR="00031802" w:rsidRPr="00031802">
              <w:rPr>
                <w:noProof/>
              </w:rPr>
              <w:t>[42]</w:t>
            </w:r>
            <w:r>
              <w:fldChar w:fldCharType="end"/>
            </w:r>
          </w:p>
        </w:tc>
        <w:tc>
          <w:tcPr>
            <w:tcW w:w="0" w:type="auto"/>
            <w:tcMar>
              <w:top w:w="30" w:type="dxa"/>
              <w:left w:w="45" w:type="dxa"/>
              <w:bottom w:w="30" w:type="dxa"/>
              <w:right w:w="45" w:type="dxa"/>
            </w:tcMar>
            <w:vAlign w:val="bottom"/>
          </w:tcPr>
          <w:p w:rsidR="00823A9F" w:rsidRPr="00EA6D95" w:rsidRDefault="00823A9F" w:rsidP="005F1403">
            <w:pPr>
              <w:spacing w:after="0" w:line="240" w:lineRule="auto"/>
            </w:pPr>
            <w:r>
              <w:fldChar w:fldCharType="begin" w:fldLock="1"/>
            </w:r>
            <w:r w:rsidR="005471D1">
              <w:instrText>ADDIN CSL_CITATION {"citationItems":[{"id":"ITEM-1","itemData":{"URL":"https://ethereum.org/en/developers/docs/standards/tokens/erc-721/","accessed":{"date-parts":[["2024","9","9"]]},"author":[{"dropping-particle":"","family":"Tarcan","given":"Hursit","non-dropping-particle":"","parse-names":false,"suffix":""}],"id":"ITEM-1","issued":{"date-parts":[["2022"]]},"title":"ERC-721 Non-Fungible Token Standard | ethereum.org","type":"webpage"},"uris":["http://www.mendeley.com/documents/?uuid=6d1aa567-943b-3dee-8c84-adc0e9d3a679"]}],"mendeley":{"formattedCitation":"[43]","plainTextFormattedCitation":"[43]","previouslyFormattedCitation":"[43]"},"properties":{"noteIndex":0},"schema":"https://github.com/citation-style-language/schema/raw/master/csl-citation.json"}</w:instrText>
            </w:r>
            <w:r>
              <w:fldChar w:fldCharType="separate"/>
            </w:r>
            <w:r w:rsidR="00031802" w:rsidRPr="00031802">
              <w:rPr>
                <w:noProof/>
              </w:rPr>
              <w:t>[43]</w:t>
            </w:r>
            <w:r>
              <w:fldChar w:fldCharType="end"/>
            </w:r>
          </w:p>
        </w:tc>
        <w:tc>
          <w:tcPr>
            <w:tcW w:w="0" w:type="auto"/>
            <w:tcMar>
              <w:top w:w="30" w:type="dxa"/>
              <w:left w:w="45" w:type="dxa"/>
              <w:bottom w:w="30" w:type="dxa"/>
              <w:right w:w="45" w:type="dxa"/>
            </w:tcMar>
            <w:vAlign w:val="bottom"/>
          </w:tcPr>
          <w:p w:rsidR="00823A9F" w:rsidRPr="00EA6D95" w:rsidRDefault="00823A9F" w:rsidP="005F1403">
            <w:pPr>
              <w:spacing w:after="0" w:line="240" w:lineRule="auto"/>
            </w:pPr>
            <w:r>
              <w:fldChar w:fldCharType="begin" w:fldLock="1"/>
            </w:r>
            <w:r w:rsidR="005471D1">
              <w:instrText>ADDIN CSL_CITATION {"citationItems":[{"id":"ITEM-1","itemData":{"URL":"https://ethereum.org/en/developers/docs/standards/tokens/erc-1155/","accessed":{"date-parts":[["2024","9","9"]]},"author":[{"dropping-particle":"","family":"Douglas","given":"Joshua","non-dropping-particle":"","parse-names":false,"suffix":""}],"id":"ITEM-1","issued":{"date-parts":[["2022"]]},"title":"ERC-1155 Multi-Token Standard | ethereum.org","type":"webpage"},"uris":["http://www.mendeley.com/documents/?uuid=e3f6400c-afec-3e14-b0fa-b3e49cd826fa"]}],"mendeley":{"formattedCitation":"[44]","plainTextFormattedCitation":"[44]","previouslyFormattedCitation":"[44]"},"properties":{"noteIndex":0},"schema":"https://github.com/citation-style-language/schema/raw/master/csl-citation.json"}</w:instrText>
            </w:r>
            <w:r>
              <w:fldChar w:fldCharType="separate"/>
            </w:r>
            <w:r w:rsidR="00031802" w:rsidRPr="00031802">
              <w:rPr>
                <w:noProof/>
              </w:rPr>
              <w:t>[44]</w:t>
            </w:r>
            <w:r>
              <w:fldChar w:fldCharType="end"/>
            </w:r>
          </w:p>
        </w:tc>
        <w:tc>
          <w:tcPr>
            <w:tcW w:w="0" w:type="auto"/>
            <w:tcMar>
              <w:top w:w="30" w:type="dxa"/>
              <w:left w:w="0" w:type="dxa"/>
              <w:bottom w:w="30" w:type="dxa"/>
              <w:right w:w="0" w:type="dxa"/>
            </w:tcMar>
            <w:vAlign w:val="bottom"/>
          </w:tcPr>
          <w:p w:rsidR="00823A9F" w:rsidRPr="00EA6D95" w:rsidRDefault="00823A9F" w:rsidP="005F1403">
            <w:pPr>
              <w:spacing w:after="0" w:line="240" w:lineRule="auto"/>
            </w:pPr>
            <w:r>
              <w:fldChar w:fldCharType="begin" w:fldLock="1"/>
            </w:r>
            <w:r w:rsidR="005471D1">
              <w:instrText>ADDIN CSL_CITATION {"citationItems":[{"id":"ITEM-1","itemData":{"URL":"https://ethereum.org/en/developers/docs/standards/tokens/erc-777/","accessed":{"date-parts":[["2024","9","9"]]},"id":"ITEM-1","issued":{"date-parts":[["0"]]},"title":"ERC-777 Token Standard | ethereum.org","type":"webpage"},"uris":["http://www.mendeley.com/documents/?uuid=24279c3a-e2d4-3a8b-86a7-d33ea0d96a45"]}],"mendeley":{"formattedCitation":"[45]","plainTextFormattedCitation":"[45]","previouslyFormattedCitation":"[45]"},"properties":{"noteIndex":0},"schema":"https://github.com/citation-style-language/schema/raw/master/csl-citation.json"}</w:instrText>
            </w:r>
            <w:r>
              <w:fldChar w:fldCharType="separate"/>
            </w:r>
            <w:r w:rsidR="00031802" w:rsidRPr="00031802">
              <w:rPr>
                <w:noProof/>
              </w:rPr>
              <w:t>[45]</w:t>
            </w:r>
            <w:r>
              <w:fldChar w:fldCharType="end"/>
            </w:r>
          </w:p>
        </w:tc>
      </w:tr>
    </w:tbl>
    <w:p w:rsidR="001366E8" w:rsidRDefault="001366E8" w:rsidP="0080562F">
      <w:pPr>
        <w:rPr>
          <w:b/>
        </w:rPr>
      </w:pPr>
    </w:p>
    <w:p w:rsidR="001366E8" w:rsidRPr="0005361B" w:rsidRDefault="001366E8" w:rsidP="001366E8">
      <w:pPr>
        <w:rPr>
          <w:rFonts w:ascii="Times New Roman" w:hAnsi="Times New Roman" w:cs="Times New Roman"/>
          <w:b/>
          <w:bCs/>
          <w:sz w:val="24"/>
          <w:szCs w:val="24"/>
        </w:rPr>
      </w:pPr>
      <w:r w:rsidRPr="0005361B">
        <w:rPr>
          <w:rFonts w:ascii="Times New Roman" w:hAnsi="Times New Roman" w:cs="Times New Roman"/>
          <w:b/>
          <w:bCs/>
          <w:sz w:val="24"/>
          <w:szCs w:val="24"/>
        </w:rPr>
        <w:t>The limitations of Token Standards</w:t>
      </w:r>
    </w:p>
    <w:p w:rsidR="001366E8" w:rsidRDefault="001366E8" w:rsidP="001366E8">
      <w:r w:rsidRPr="0005361B">
        <w:t>Interoperability Issues:</w:t>
      </w:r>
      <w:r w:rsidRPr="00E95AC2">
        <w:t> </w:t>
      </w:r>
      <w:r w:rsidR="001553E6" w:rsidRPr="001553E6">
        <w:t>Tokens are typically confined to their native blockchain, making cross-chain transactions difficult. For example, an Ethereum-based ERC-20 token cannot be directly used on the Bitcoin network.</w:t>
      </w:r>
    </w:p>
    <w:p w:rsidR="001553E6" w:rsidRDefault="001366E8" w:rsidP="001366E8">
      <w:r w:rsidRPr="0005361B">
        <w:lastRenderedPageBreak/>
        <w:t>Exchange Limitations</w:t>
      </w:r>
      <w:r w:rsidR="001553E6">
        <w:t>: The lack of interoperability among blockchain ecosystems creates significant obstacles for traders seeking to exchange tokens efficiently. Traders often need to rely on centralized exchanges or specialized bridging solutions to navigate these challenges.</w:t>
      </w:r>
    </w:p>
    <w:p w:rsidR="001366E8" w:rsidRDefault="001366E8" w:rsidP="001366E8">
      <w:r w:rsidRPr="0005361B">
        <w:t>User Experience Challenges: </w:t>
      </w:r>
      <w:r w:rsidR="001553E6">
        <w:t xml:space="preserve">The lack of </w:t>
      </w:r>
      <w:r w:rsidR="001553E6" w:rsidRPr="001553E6">
        <w:t>compatibility</w:t>
      </w:r>
      <w:r w:rsidR="001553E6">
        <w:t xml:space="preserve"> between different blockchain ecosystems can hinder the efficient management of digital asset portfolios. Users may encounter difficulties in leveraging assets across various blockchain applications, leading to increased transaction costs and operational complexity</w:t>
      </w:r>
      <w:r w:rsidRPr="00E95AC2">
        <w:t>.</w:t>
      </w:r>
    </w:p>
    <w:p w:rsidR="00F5179B" w:rsidRPr="00263E5A" w:rsidRDefault="001C2E98" w:rsidP="0080562F">
      <w:pPr>
        <w:rPr>
          <w:rFonts w:ascii="Times New Roman" w:hAnsi="Times New Roman" w:cs="Times New Roman"/>
          <w:b/>
          <w:sz w:val="24"/>
          <w:szCs w:val="24"/>
        </w:rPr>
      </w:pPr>
      <w:r>
        <w:rPr>
          <w:rFonts w:ascii="Times New Roman" w:hAnsi="Times New Roman" w:cs="Times New Roman"/>
          <w:b/>
          <w:sz w:val="24"/>
          <w:szCs w:val="24"/>
        </w:rPr>
        <w:t>Case study of p</w:t>
      </w:r>
      <w:r w:rsidR="004906CD" w:rsidRPr="00263E5A">
        <w:rPr>
          <w:rFonts w:ascii="Times New Roman" w:hAnsi="Times New Roman" w:cs="Times New Roman"/>
          <w:b/>
          <w:sz w:val="24"/>
          <w:szCs w:val="24"/>
        </w:rPr>
        <w:t>rojects</w:t>
      </w:r>
      <w:r w:rsidR="008448C0" w:rsidRPr="00263E5A">
        <w:rPr>
          <w:rFonts w:ascii="Times New Roman" w:hAnsi="Times New Roman" w:cs="Times New Roman"/>
          <w:b/>
          <w:sz w:val="24"/>
          <w:szCs w:val="24"/>
        </w:rPr>
        <w:t xml:space="preserve"> </w:t>
      </w:r>
      <w:r w:rsidR="004906CD" w:rsidRPr="00263E5A">
        <w:rPr>
          <w:rFonts w:ascii="Times New Roman" w:hAnsi="Times New Roman" w:cs="Times New Roman"/>
          <w:b/>
          <w:sz w:val="24"/>
          <w:szCs w:val="24"/>
        </w:rPr>
        <w:t>implementing</w:t>
      </w:r>
      <w:r w:rsidR="00263E5A">
        <w:rPr>
          <w:rFonts w:ascii="Times New Roman" w:hAnsi="Times New Roman" w:cs="Times New Roman"/>
          <w:b/>
          <w:sz w:val="24"/>
          <w:szCs w:val="24"/>
        </w:rPr>
        <w:t xml:space="preserve"> </w:t>
      </w:r>
      <w:r w:rsidR="0045277A" w:rsidRPr="00263E5A">
        <w:rPr>
          <w:rFonts w:ascii="Times New Roman" w:hAnsi="Times New Roman" w:cs="Times New Roman"/>
          <w:b/>
          <w:sz w:val="24"/>
          <w:szCs w:val="24"/>
        </w:rPr>
        <w:t>Tokens.</w:t>
      </w:r>
    </w:p>
    <w:p w:rsidR="00F8731B" w:rsidRPr="001C2E98" w:rsidRDefault="0045277A" w:rsidP="00F8731B">
      <w:pPr>
        <w:rPr>
          <w:b/>
        </w:rPr>
      </w:pPr>
      <w:r>
        <w:t>A growing number of projects are leveraging blockchain technology and tokens to drive their business activities.</w:t>
      </w:r>
      <w:r w:rsidR="001C2E98">
        <w:t xml:space="preserve"> </w:t>
      </w:r>
      <w:r w:rsidR="001C2E98">
        <w:t xml:space="preserve">Total market capitalization is the primary criterion for selecting the top tokens </w:t>
      </w:r>
      <w:r w:rsidR="001C2E98">
        <w:fldChar w:fldCharType="begin" w:fldLock="1"/>
      </w:r>
      <w:r w:rsidR="001C2E98">
        <w:instrText>ADDIN CSL_CITATION {"citationItems":[{"id":"ITEM-1","itemData":{"URL":"https://coinmarketcap.com/view/energy/","accessed":{"date-parts":[["2024","9","12"]]},"id":"ITEM-1","issued":{"date-parts":[["0"]]},"title":"Top Energy Tokens by Market Capitalization | CoinMarketCap","type":"webpage"},"uris":["http://www.mendeley.com/documents/?uuid=caef3029-af0c-3749-8163-2d760b9f5e94"]}],"mendeley":{"formattedCitation":"[46]","plainTextFormattedCitation":"[46]","previouslyFormattedCitation":"[46]"},"properties":{"noteIndex":0},"schema":"https://github.com/citation-style-language/schema/raw/master/csl-citation.json"}</w:instrText>
      </w:r>
      <w:r w:rsidR="001C2E98">
        <w:fldChar w:fldCharType="separate"/>
      </w:r>
      <w:r w:rsidR="001C2E98" w:rsidRPr="00840FA1">
        <w:rPr>
          <w:noProof/>
        </w:rPr>
        <w:t>[46]</w:t>
      </w:r>
      <w:r w:rsidR="001C2E98">
        <w:fldChar w:fldCharType="end"/>
      </w:r>
      <w:r w:rsidR="001C2E98">
        <w:t>.</w:t>
      </w:r>
      <w:r w:rsidR="00BA77E1">
        <w:t>The evaluation framework utilized was as follows</w:t>
      </w:r>
      <w:r w:rsidR="00F8731B">
        <w:t xml:space="preserve">. </w:t>
      </w:r>
    </w:p>
    <w:p w:rsidR="00354346" w:rsidRDefault="00354346" w:rsidP="00354346">
      <w:pPr>
        <w:pStyle w:val="ListParagraph"/>
        <w:numPr>
          <w:ilvl w:val="0"/>
          <w:numId w:val="20"/>
        </w:numPr>
      </w:pPr>
      <w:r>
        <w:t>Utility and Value Proposition</w:t>
      </w:r>
      <w:r w:rsidRPr="005721B9">
        <w:t xml:space="preserve"> </w:t>
      </w:r>
      <w:r>
        <w:t>i.e. the token's practical use and benefits</w:t>
      </w:r>
    </w:p>
    <w:p w:rsidR="00354346" w:rsidRDefault="005721B9" w:rsidP="00354346">
      <w:pPr>
        <w:pStyle w:val="ListParagraph"/>
        <w:numPr>
          <w:ilvl w:val="0"/>
          <w:numId w:val="20"/>
        </w:numPr>
      </w:pPr>
      <w:r>
        <w:t xml:space="preserve">Technical Evaluation </w:t>
      </w:r>
      <w:r w:rsidR="00354346">
        <w:t xml:space="preserve">includes </w:t>
      </w:r>
      <w:r>
        <w:t>Blockchain Technology</w:t>
      </w:r>
      <w:r w:rsidR="00354346">
        <w:t>,</w:t>
      </w:r>
      <w:r>
        <w:t xml:space="preserve"> Token Standards:</w:t>
      </w:r>
    </w:p>
    <w:p w:rsidR="00354346" w:rsidRDefault="00354346" w:rsidP="00354346">
      <w:pPr>
        <w:pStyle w:val="ListParagraph"/>
        <w:numPr>
          <w:ilvl w:val="0"/>
          <w:numId w:val="20"/>
        </w:numPr>
      </w:pPr>
      <w:r>
        <w:t>Environmental Impact I.e. Contribution to sustainability goals and Renewable Energy Integration</w:t>
      </w:r>
    </w:p>
    <w:p w:rsidR="0080562F" w:rsidRPr="00B64A04" w:rsidRDefault="00363FE8" w:rsidP="0080562F">
      <w:pPr>
        <w:rPr>
          <w:b/>
        </w:rPr>
      </w:pPr>
      <w:r w:rsidRPr="00B64A04">
        <w:rPr>
          <w:b/>
        </w:rPr>
        <w:t>Power Ledger</w:t>
      </w:r>
      <w:r w:rsidR="00630D8E" w:rsidRPr="00B64A04">
        <w:rPr>
          <w:b/>
        </w:rPr>
        <w:t>’s</w:t>
      </w:r>
      <w:r w:rsidRPr="00B64A04">
        <w:rPr>
          <w:b/>
        </w:rPr>
        <w:t xml:space="preserve"> </w:t>
      </w:r>
      <w:r w:rsidR="0080562F" w:rsidRPr="00B64A04">
        <w:rPr>
          <w:b/>
        </w:rPr>
        <w:t>POWR</w:t>
      </w:r>
      <w:r w:rsidR="0043243A" w:rsidRPr="00B64A04">
        <w:rPr>
          <w:b/>
        </w:rPr>
        <w:t xml:space="preserve"> and Sparkz</w:t>
      </w:r>
      <w:r w:rsidR="00B64A04">
        <w:rPr>
          <w:b/>
        </w:rPr>
        <w:t xml:space="preserve"> token</w:t>
      </w:r>
    </w:p>
    <w:p w:rsidR="000245A2" w:rsidRDefault="00163475" w:rsidP="003664F9">
      <w:r>
        <w:t>Power Ledger is a blockchain based platform that enables P2P energy trading using energy tokens. It facilitates energy trading in real time, providing a transparent and efficient marketplace for consumers and producers. There are several applications of Power ledger platform like p2p energy trading, n</w:t>
      </w:r>
      <w:r w:rsidR="00352E5F">
        <w:t xml:space="preserve">eo retailer, microgrid operator, wholesale market </w:t>
      </w:r>
      <w:r w:rsidR="00354346">
        <w:t>settlement. The</w:t>
      </w:r>
      <w:r w:rsidR="00411029">
        <w:t xml:space="preserve"> P</w:t>
      </w:r>
      <w:r w:rsidR="004F3045">
        <w:t>ower</w:t>
      </w:r>
      <w:r w:rsidR="00411029">
        <w:t xml:space="preserve"> L</w:t>
      </w:r>
      <w:r w:rsidR="004F3045">
        <w:t>edger's market adaptability is enhanced by a dual-token structure (POWR and Sparkz)</w:t>
      </w:r>
      <w:r w:rsidR="00BD0AC1">
        <w:t xml:space="preserve"> </w:t>
      </w:r>
      <w:r w:rsidR="00BD0AC1">
        <w:fldChar w:fldCharType="begin" w:fldLock="1"/>
      </w:r>
      <w:r w:rsidR="00840FA1">
        <w:instrText>ADDIN CSL_CITATION {"citationItems":[{"id":"ITEM-1","itemData":{"author":[{"dropping-particle":"","family":"Powerledger","given":"","non-dropping-particle":"","parse-names":false,"suffix":""}],"id":"ITEM-1","issued":{"date-parts":[["2023"]]},"title":"Powerledger Lightpaper Powerledger introduces its multipurpose blockchain, based on high volume and low fees","type":"article-journal"},"uris":["http://www.mendeley.com/documents/?uuid=7ef32626-f129-39ba-92e6-b316dcca6ba1"]}],"mendeley":{"formattedCitation":"[47]","plainTextFormattedCitation":"[47]","previouslyFormattedCitation":"[47]"},"properties":{"noteIndex":0},"schema":"https://github.com/citation-style-language/schema/raw/master/csl-citation.json"}</w:instrText>
      </w:r>
      <w:r w:rsidR="00BD0AC1">
        <w:fldChar w:fldCharType="separate"/>
      </w:r>
      <w:r w:rsidR="00840FA1" w:rsidRPr="00840FA1">
        <w:rPr>
          <w:noProof/>
        </w:rPr>
        <w:t>[47]</w:t>
      </w:r>
      <w:r w:rsidR="00BD0AC1">
        <w:fldChar w:fldCharType="end"/>
      </w:r>
      <w:r w:rsidR="00BD0AC1">
        <w:t xml:space="preserve"> </w:t>
      </w:r>
      <w:r w:rsidR="00BD0AC1">
        <w:fldChar w:fldCharType="begin" w:fldLock="1"/>
      </w:r>
      <w:r w:rsidR="00840FA1">
        <w:instrText>ADDIN CSL_CITATION {"citationItems":[{"id":"ITEM-1","itemData":{"author":[{"dropping-particle":"","family":"Power Ledger","given":"","non-dropping-particle":"","parse-names":false,"suffix":""}],"container-title":"Power-Ledger-Whitepaper","id":"ITEM-1","issued":{"date-parts":[["2017"]]},"title":"power-ledger-whitepaper","type":"article-journal"},"uris":["http://www.mendeley.com/documents/?uuid=c87f9a98-fd61-3380-90cd-00cb36065c8d"]}],"mendeley":{"formattedCitation":"[48]","plainTextFormattedCitation":"[48]","previouslyFormattedCitation":"[48]"},"properties":{"noteIndex":0},"schema":"https://github.com/citation-style-language/schema/raw/master/csl-citation.json"}</w:instrText>
      </w:r>
      <w:r w:rsidR="00BD0AC1">
        <w:fldChar w:fldCharType="separate"/>
      </w:r>
      <w:r w:rsidR="00840FA1" w:rsidRPr="00840FA1">
        <w:rPr>
          <w:noProof/>
        </w:rPr>
        <w:t>[48]</w:t>
      </w:r>
      <w:r w:rsidR="00BD0AC1">
        <w:fldChar w:fldCharType="end"/>
      </w:r>
      <w:r w:rsidR="00FB44B2" w:rsidRPr="00FB44B2">
        <w:t>.</w:t>
      </w:r>
      <w:r w:rsidR="003664F9">
        <w:t xml:space="preserve"> </w:t>
      </w:r>
    </w:p>
    <w:p w:rsidR="00840FA1" w:rsidRDefault="005E5955" w:rsidP="003664F9">
      <w:r>
        <w:t xml:space="preserve">POWR Token: </w:t>
      </w:r>
      <w:r w:rsidRPr="005E5955">
        <w:t>The POWR token is the primary token used on the Power Ledger platform. It is a utility token that is used to access and purchase services on the platform, such as the trading of energy and the creation and trading of renewable energy certificates</w:t>
      </w:r>
      <w:r>
        <w:t>,</w:t>
      </w:r>
      <w:r w:rsidRPr="005E5955">
        <w:t xml:space="preserve"> as well as participating in the platform’s governance process.</w:t>
      </w:r>
    </w:p>
    <w:p w:rsidR="005E5955" w:rsidRDefault="005E5955" w:rsidP="003664F9">
      <w:r>
        <w:t xml:space="preserve">Sparkz Token: </w:t>
      </w:r>
      <w:r w:rsidRPr="005E5955">
        <w:t>The Sparkz token is a secondary token used on the Power Ledger platform.</w:t>
      </w:r>
      <w:r>
        <w:t xml:space="preserve"> </w:t>
      </w:r>
      <w:r w:rsidRPr="005E5955">
        <w:t>Sparkz tokens are used to settle energy transactions on the platform, and their value is tied to the value of the local fiat currency</w:t>
      </w:r>
      <w:r w:rsidR="0045188F">
        <w:t xml:space="preserve"> </w:t>
      </w:r>
      <w:r w:rsidR="0045188F">
        <w:fldChar w:fldCharType="begin" w:fldLock="1"/>
      </w:r>
      <w:r w:rsidR="00840FA1">
        <w:instrText>ADDIN CSL_CITATION {"citationItems":[{"id":"ITEM-1","itemData":{"id":"ITEM-1","issued":{"date-parts":[["0"]]},"title":"Understanding Power Ledger’s Two Tokens: POWR and Sparkz | by Em Elou | Medium","type":"webpage"},"uris":["http://www.mendeley.com/documents/?uuid=b02855c5-5670-3bc7-8dbf-91ed7a8933a6","http://www.mendeley.com/documents/?uuid=af7f5c72-32d6-4fd5-8ba4-6c01a3720b61"]}],"mendeley":{"formattedCitation":"[49]","plainTextFormattedCitation":"[49]","previouslyFormattedCitation":"[49]"},"properties":{"noteIndex":0},"schema":"https://github.com/citation-style-language/schema/raw/master/csl-citation.json"}</w:instrText>
      </w:r>
      <w:r w:rsidR="0045188F">
        <w:fldChar w:fldCharType="separate"/>
      </w:r>
      <w:r w:rsidR="00840FA1" w:rsidRPr="00840FA1">
        <w:rPr>
          <w:noProof/>
        </w:rPr>
        <w:t>[49]</w:t>
      </w:r>
      <w:r w:rsidR="0045188F">
        <w:fldChar w:fldCharType="end"/>
      </w:r>
      <w:r w:rsidRPr="005E5955">
        <w:t>.</w:t>
      </w:r>
      <w:r>
        <w:t xml:space="preserve"> </w:t>
      </w:r>
    </w:p>
    <w:p w:rsidR="0045188F" w:rsidRDefault="00BD0AC1" w:rsidP="00411029">
      <w:r w:rsidRPr="00BD0AC1">
        <w:t>POWR token was issued as an ERC-20 token on the Ethereum blockchai</w:t>
      </w:r>
      <w:r>
        <w:t>n. But The platform has been migrated to a high-performance public blockchain</w:t>
      </w:r>
      <w:r w:rsidR="000245A2">
        <w:t xml:space="preserve"> based on Solana code</w:t>
      </w:r>
      <w:r>
        <w:t xml:space="preserve"> with its native coin</w:t>
      </w:r>
      <w:r w:rsidR="000245A2">
        <w:t xml:space="preserve"> o</w:t>
      </w:r>
      <w:r w:rsidR="000245A2" w:rsidRPr="000245A2">
        <w:t>n 31 July 202</w:t>
      </w:r>
      <w:r w:rsidR="00BA1236">
        <w:t>4</w:t>
      </w:r>
      <w:r>
        <w:t xml:space="preserve"> </w:t>
      </w:r>
      <w:r>
        <w:fldChar w:fldCharType="begin" w:fldLock="1"/>
      </w:r>
      <w:r w:rsidR="00840FA1">
        <w:instrText>ADDIN CSL_CITATION {"citationItems":[{"id":"ITEM-1","itemData":{"author":[{"dropping-particle":"","family":"Powerledger","given":"","non-dropping-particle":"","parse-names":false,"suffix":""}],"id":"ITEM-1","issued":{"date-parts":[["2023"]]},"title":"Powerledger Lightpaper Powerledger introduces its multipurpose blockchain, based on high volume and low fees","type":"article-journal"},"uris":["http://www.mendeley.com/documents/?uuid=7ef32626-f129-39ba-92e6-b316dcca6ba1"]}],"mendeley":{"formattedCitation":"[47]","plainTextFormattedCitation":"[47]","previouslyFormattedCitation":"[47]"},"properties":{"noteIndex":0},"schema":"https://github.com/citation-style-language/schema/raw/master/csl-citation.json"}</w:instrText>
      </w:r>
      <w:r>
        <w:fldChar w:fldCharType="separate"/>
      </w:r>
      <w:r w:rsidR="00840FA1" w:rsidRPr="00840FA1">
        <w:rPr>
          <w:noProof/>
        </w:rPr>
        <w:t>[47]</w:t>
      </w:r>
      <w:r>
        <w:fldChar w:fldCharType="end"/>
      </w:r>
      <w:r w:rsidR="000245A2">
        <w:t xml:space="preserve">. </w:t>
      </w:r>
    </w:p>
    <w:p w:rsidR="00CB7931" w:rsidRDefault="00411029" w:rsidP="003664F9">
      <w:r>
        <w:t>Power Ledger promotes renewable energy, reduces carbon emissions, and simplifies energy management, enabling efficient trading of excess renewable energy to benefit generators, retailers, and buyers.</w:t>
      </w:r>
    </w:p>
    <w:p w:rsidR="00F47DAE" w:rsidRPr="00B64A04" w:rsidRDefault="00B64A04" w:rsidP="0043243A">
      <w:pPr>
        <w:rPr>
          <w:b/>
        </w:rPr>
      </w:pPr>
      <w:r w:rsidRPr="00B64A04">
        <w:rPr>
          <w:b/>
        </w:rPr>
        <w:t>Dione Protocol</w:t>
      </w:r>
      <w:r>
        <w:rPr>
          <w:b/>
        </w:rPr>
        <w:t>’s Dione Tokens</w:t>
      </w:r>
    </w:p>
    <w:p w:rsidR="00BA74F9" w:rsidRPr="00BA74F9" w:rsidRDefault="00F47DAE" w:rsidP="00F47DAE">
      <w:pPr>
        <w:rPr>
          <w:lang w:val="en-IN"/>
        </w:rPr>
      </w:pPr>
      <w:r w:rsidRPr="00F47DAE">
        <w:t>Dione protocol a blockchain-based platform that would incentivize everyone on the system to use green energy and make the processes and the associated supply chains more efficient and transparent for the end-users, utili</w:t>
      </w:r>
      <w:r w:rsidR="00840FA1">
        <w:t xml:space="preserve">ties, investors, and regulators </w:t>
      </w:r>
      <w:r w:rsidR="00CD3EDF">
        <w:fldChar w:fldCharType="begin" w:fldLock="1"/>
      </w:r>
      <w:r w:rsidR="00840FA1">
        <w:instrText>ADDIN CSL_CITATION {"citationItems":[{"id":"ITEM-1","itemData":{"URL":"https://dione-protocol.gitbook.io/dione-whitepaper","accessed":{"date-parts":[["2024","9","2"]]},"id":"ITEM-1","issued":{"date-parts":[["0"]]},"title":"Disclaimer | Dione - Whitepaper V1.1","type":"webpage"},"uris":["http://www.mendeley.com/documents/?uuid=09c96e4a-de47-34f7-b054-bb2d7ebcd49e"]}],"mendeley":{"formattedCitation":"[50]","plainTextFormattedCitation":"[50]","previouslyFormattedCitation":"[50]"},"properties":{"noteIndex":0},"schema":"https://github.com/citation-style-language/schema/raw/master/csl-citation.json"}</w:instrText>
      </w:r>
      <w:r w:rsidR="00CD3EDF">
        <w:fldChar w:fldCharType="separate"/>
      </w:r>
      <w:r w:rsidR="00840FA1" w:rsidRPr="00840FA1">
        <w:rPr>
          <w:noProof/>
        </w:rPr>
        <w:t>[50]</w:t>
      </w:r>
      <w:r w:rsidR="00CD3EDF">
        <w:fldChar w:fldCharType="end"/>
      </w:r>
      <w:r w:rsidR="00840FA1">
        <w:t>.</w:t>
      </w:r>
      <w:r w:rsidR="00411029">
        <w:t xml:space="preserve">The primary objectives are to mitigate the environmental impact of the global energy sector by reducing carbon emissions and to facilitate and </w:t>
      </w:r>
      <w:r w:rsidR="00411029">
        <w:lastRenderedPageBreak/>
        <w:t>incentivize retail consumers to adopt a prosumer model, enabling them to participate actively in energy management and generation.</w:t>
      </w:r>
      <w:r w:rsidR="00F95ACF">
        <w:t xml:space="preserve"> Nebra </w:t>
      </w:r>
      <w:r w:rsidR="00BA74F9">
        <w:t xml:space="preserve">works as a </w:t>
      </w:r>
      <w:r w:rsidR="00BA74F9" w:rsidRPr="00BA74F9">
        <w:t>peer-to-peer renewable energy marketplace</w:t>
      </w:r>
      <w:r w:rsidR="00BA74F9">
        <w:t xml:space="preserve"> </w:t>
      </w:r>
      <w:r w:rsidR="00BA74F9" w:rsidRPr="00BA74F9">
        <w:t>where users can buy and sell power units based</w:t>
      </w:r>
      <w:r w:rsidR="00BA74F9">
        <w:t xml:space="preserve"> on their roles in the protocol</w:t>
      </w:r>
      <w:r w:rsidR="00F95ACF">
        <w:t xml:space="preserve">. </w:t>
      </w:r>
      <w:r w:rsidR="00BA74F9">
        <w:t>Dione is powered by renewable energy sources to support own blockchain operations.</w:t>
      </w:r>
      <w:r w:rsidR="00573E0D">
        <w:t xml:space="preserve"> </w:t>
      </w:r>
      <w:r w:rsidR="00BA74F9">
        <w:t xml:space="preserve">By holding DIONE tokens, individuals contribute to the platform's governance and can influence its direction through voting </w:t>
      </w:r>
      <w:r w:rsidR="00BA74F9">
        <w:fldChar w:fldCharType="begin" w:fldLock="1"/>
      </w:r>
      <w:r w:rsidR="00BA74F9">
        <w:instrText>ADDIN CSL_CITATION {"citationItems":[{"id":"ITEM-1","itemData":{"URL":"https://dione-protocol.gitbook.io/dione-whitepaper","accessed":{"date-parts":[["2024","9","2"]]},"id":"ITEM-1","issued":{"date-parts":[["0"]]},"title":"Disclaimer | Dione - Whitepaper V1.1","type":"webpage"},"uris":["http://www.mendeley.com/documents/?uuid=09c96e4a-de47-34f7-b054-bb2d7ebcd49e"]}],"mendeley":{"formattedCitation":"[50]","plainTextFormattedCitation":"[50]","previouslyFormattedCitation":"[50]"},"properties":{"noteIndex":0},"schema":"https://github.com/citation-style-language/schema/raw/master/csl-citation.json"}</w:instrText>
      </w:r>
      <w:r w:rsidR="00BA74F9">
        <w:fldChar w:fldCharType="separate"/>
      </w:r>
      <w:r w:rsidR="00BA74F9" w:rsidRPr="00BA74F9">
        <w:rPr>
          <w:noProof/>
        </w:rPr>
        <w:t>[50]</w:t>
      </w:r>
      <w:r w:rsidR="00BA74F9">
        <w:fldChar w:fldCharType="end"/>
      </w:r>
      <w:r w:rsidR="00BA74F9">
        <w:t>. Token holders can utilize DIONE as a payment method for gas fees, enhancing the token's utility</w:t>
      </w:r>
    </w:p>
    <w:p w:rsidR="00BA74F9" w:rsidRDefault="00BA74F9" w:rsidP="00E0220D">
      <w:pPr>
        <w:rPr>
          <w:lang w:val="en-IN"/>
        </w:rPr>
      </w:pPr>
      <w:r>
        <w:rPr>
          <w:lang w:val="en-IN"/>
        </w:rPr>
        <w:t>DIONE Tokens are ERC-20 standard tokens</w:t>
      </w:r>
      <w:r w:rsidR="006E44B4">
        <w:rPr>
          <w:lang w:val="en-IN"/>
        </w:rPr>
        <w:t xml:space="preserve"> with </w:t>
      </w:r>
      <w:r w:rsidR="006E44B4" w:rsidRPr="006E44B4">
        <w:rPr>
          <w:lang w:val="en-IN"/>
        </w:rPr>
        <w:t>EVM-compatible L1 blockchain</w:t>
      </w:r>
      <w:r w:rsidR="006E44B4">
        <w:rPr>
          <w:lang w:val="en-IN"/>
        </w:rPr>
        <w:t xml:space="preserve"> </w:t>
      </w:r>
      <w:r w:rsidR="006E44B4">
        <w:rPr>
          <w:lang w:val="en-IN"/>
        </w:rPr>
        <w:fldChar w:fldCharType="begin" w:fldLock="1"/>
      </w:r>
      <w:r w:rsidR="00AA565D">
        <w:rPr>
          <w:lang w:val="en-IN"/>
        </w:rPr>
        <w:instrText>ADDIN CSL_CITATION {"citationItems":[{"id":"ITEM-1","itemData":{"author":[{"dropping-particle":"","family":"Findas","given":"The","non-dropping-particle":"","parse-names":false,"suffix":""},{"dropping-particle":"","family":"Team","given":"Tokenomics","non-dropping-particle":"","parse-names":false,"suffix":""}],"id":"ITEM-1","issue":"December","issued":{"date-parts":[["2023"]]},"page":"1-20","title":"Token Economy Summary","type":"article-journal"},"uris":["http://www.mendeley.com/documents/?uuid=1b40e067-a267-4377-8120-088b8e7c36d3"]}],"mendeley":{"formattedCitation":"[51]","plainTextFormattedCitation":"[51]","previouslyFormattedCitation":"[51]"},"properties":{"noteIndex":0},"schema":"https://github.com/citation-style-language/schema/raw/master/csl-citation.json"}</w:instrText>
      </w:r>
      <w:r w:rsidR="006E44B4">
        <w:rPr>
          <w:lang w:val="en-IN"/>
        </w:rPr>
        <w:fldChar w:fldCharType="separate"/>
      </w:r>
      <w:r w:rsidR="006E44B4" w:rsidRPr="006E44B4">
        <w:rPr>
          <w:noProof/>
          <w:lang w:val="en-IN"/>
        </w:rPr>
        <w:t>[51]</w:t>
      </w:r>
      <w:r w:rsidR="006E44B4">
        <w:rPr>
          <w:lang w:val="en-IN"/>
        </w:rPr>
        <w:fldChar w:fldCharType="end"/>
      </w:r>
      <w:r w:rsidR="006E44B4">
        <w:rPr>
          <w:lang w:val="en-IN"/>
        </w:rPr>
        <w:t>.</w:t>
      </w:r>
    </w:p>
    <w:p w:rsidR="006E44B4" w:rsidRDefault="006E44B4" w:rsidP="00E0220D">
      <w:pPr>
        <w:rPr>
          <w:lang w:val="en-IN"/>
        </w:rPr>
      </w:pPr>
      <w:r>
        <w:t>The protocol is designed to facilitate the acquisition of decentralized tokens, thereby driving the adoption of renewable energy and making electricity more accessible to all</w:t>
      </w:r>
      <w:r w:rsidR="00573E0D">
        <w:t>.</w:t>
      </w:r>
    </w:p>
    <w:p w:rsidR="006D3D81" w:rsidRPr="005721B9" w:rsidRDefault="006D3D81" w:rsidP="006D3D81">
      <w:pPr>
        <w:rPr>
          <w:b/>
        </w:rPr>
      </w:pPr>
      <w:r>
        <w:rPr>
          <w:b/>
        </w:rPr>
        <w:t xml:space="preserve">SunContract’s </w:t>
      </w:r>
      <w:r w:rsidRPr="005721B9">
        <w:rPr>
          <w:b/>
        </w:rPr>
        <w:t>SNC Tokens</w:t>
      </w:r>
    </w:p>
    <w:p w:rsidR="006D3D81" w:rsidRDefault="006D3D81" w:rsidP="006D3D81">
      <w:r>
        <w:t xml:space="preserve">SunContract is a platform that directly connects electricity producers and consumers into an electricity pool based on smart contracts a novel approach to peer-to-peer electricity trading </w:t>
      </w:r>
      <w:r>
        <w:fldChar w:fldCharType="begin" w:fldLock="1"/>
      </w:r>
      <w:r>
        <w:instrText>ADDIN CSL_CITATION {"citationItems":[{"id":"ITEM-1","itemData":{"URL":"https://suncontract.org/your-electricity-marketplace/","accessed":{"date-parts":[["2024","9","5"]]},"id":"ITEM-1","issued":{"date-parts":[["0"]]},"title":"Electricity Marketplace for energy buyers and sellers - SunContract","type":"webpage"},"uris":["http://www.mendeley.com/documents/?uuid=aa5fa100-1c24-33b7-9056-4a37485a6314"]}],"mendeley":{"formattedCitation":"[52]","plainTextFormattedCitation":"[52]","previouslyFormattedCitation":"[52]"},"properties":{"noteIndex":0},"schema":"https://github.com/citation-style-language/schema/raw/master/csl-citation.json"}</w:instrText>
      </w:r>
      <w:r>
        <w:fldChar w:fldCharType="separate"/>
      </w:r>
      <w:r w:rsidRPr="006E44B4">
        <w:rPr>
          <w:noProof/>
        </w:rPr>
        <w:t>[52]</w:t>
      </w:r>
      <w:r>
        <w:fldChar w:fldCharType="end"/>
      </w:r>
      <w:r>
        <w:t>. SNC Token is a globally recognized crypto-token, primarily employed for energy trading</w:t>
      </w:r>
      <w:r>
        <w:rPr>
          <w:sz w:val="20"/>
          <w:szCs w:val="20"/>
        </w:rPr>
        <w:t xml:space="preserve"> </w:t>
      </w:r>
      <w:r>
        <w:rPr>
          <w:sz w:val="20"/>
          <w:szCs w:val="20"/>
        </w:rPr>
        <w:fldChar w:fldCharType="begin" w:fldLock="1"/>
      </w:r>
      <w:r>
        <w:rPr>
          <w:sz w:val="20"/>
          <w:szCs w:val="20"/>
        </w:rPr>
        <w:instrText>ADDIN CSL_CITATION {"citationItems":[{"id":"ITEM-1","itemData":{"URL":"https://suncontract.org/snc-token/","accessed":{"date-parts":[["2024","9","5"]]},"id":"ITEM-1","issued":{"date-parts":[["0"]]},"title":"SNC is a digitally tradable currency used for energy payments - SunContract","type":"webpage"},"uris":["http://www.mendeley.com/documents/?uuid=abc49d2e-a3c6-3a35-a715-1b9b143e3c0a"]}],"mendeley":{"formattedCitation":"[53]","plainTextFormattedCitation":"[53]","previouslyFormattedCitation":"[53]"},"properties":{"noteIndex":0},"schema":"https://github.com/citation-style-language/schema/raw/master/csl-citation.json"}</w:instrText>
      </w:r>
      <w:r>
        <w:rPr>
          <w:sz w:val="20"/>
          <w:szCs w:val="20"/>
        </w:rPr>
        <w:fldChar w:fldCharType="separate"/>
      </w:r>
      <w:r w:rsidRPr="006E44B4">
        <w:rPr>
          <w:noProof/>
          <w:sz w:val="20"/>
          <w:szCs w:val="20"/>
        </w:rPr>
        <w:t>[53]</w:t>
      </w:r>
      <w:r>
        <w:rPr>
          <w:sz w:val="20"/>
          <w:szCs w:val="20"/>
        </w:rPr>
        <w:fldChar w:fldCharType="end"/>
      </w:r>
      <w:r>
        <w:rPr>
          <w:sz w:val="20"/>
          <w:szCs w:val="20"/>
        </w:rPr>
        <w:t xml:space="preserve">.  </w:t>
      </w:r>
      <w:r w:rsidRPr="00691F86">
        <w:t>Enable transparent transactions between producers and consumers t</w:t>
      </w:r>
      <w:r>
        <w:t xml:space="preserve">hrough the Pool, based on smart </w:t>
      </w:r>
      <w:r w:rsidRPr="00691F86">
        <w:t xml:space="preserve">contracts </w:t>
      </w:r>
      <w:r>
        <w:t>in order to actually trade electricity one would need to obtain SunContract tokens (SNC). SNC’s will be issued at the SunContract token sale as a software and energy licence to use the Energy Pool. SNC tokens serve as the backbone for all transactions, regardless of the currency used for settlement</w:t>
      </w:r>
    </w:p>
    <w:p w:rsidR="006D3D81" w:rsidRDefault="006D3D81" w:rsidP="006D3D81">
      <w:r>
        <w:t xml:space="preserve">Suncontract energy marketplace </w:t>
      </w:r>
      <w:r w:rsidRPr="008F0688">
        <w:t>enables direct connection of elect</w:t>
      </w:r>
      <w:r>
        <w:t xml:space="preserve">ricity producers and consumers </w:t>
      </w:r>
      <w:r>
        <w:fldChar w:fldCharType="begin" w:fldLock="1"/>
      </w:r>
      <w:r>
        <w:instrText>ADDIN CSL_CITATION {"citationItems":[{"id":"ITEM-1","itemData":{"URL":"https://suncontract.org/suncontracts-snc-token-is-erc20-what-does-this-mean/","accessed":{"date-parts":[["2024","9","5"]]},"id":"ITEM-1","issued":{"date-parts":[["0"]]},"title":"SunContract's SNC Token is ERC20... What does this mean? - SunContract","type":"webpage"},"uris":["http://www.mendeley.com/documents/?uuid=87c82fc3-372e-39e6-8b75-af5f6e2ad620"]}],"mendeley":{"formattedCitation":"[54]","plainTextFormattedCitation":"[54]","previouslyFormattedCitation":"[54]"},"properties":{"noteIndex":0},"schema":"https://github.com/citation-style-language/schema/raw/master/csl-citation.json"}</w:instrText>
      </w:r>
      <w:r>
        <w:fldChar w:fldCharType="separate"/>
      </w:r>
      <w:r w:rsidRPr="006E44B4">
        <w:rPr>
          <w:noProof/>
        </w:rPr>
        <w:t>[54]</w:t>
      </w:r>
      <w:r>
        <w:fldChar w:fldCharType="end"/>
      </w:r>
      <w:r>
        <w:t>.</w:t>
      </w:r>
    </w:p>
    <w:p w:rsidR="006D3D81" w:rsidRPr="00E0220D" w:rsidRDefault="006D3D81" w:rsidP="006D3D81">
      <w:r>
        <w:t>SNC token</w:t>
      </w:r>
      <w:r w:rsidRPr="00691F86">
        <w:t xml:space="preserve"> </w:t>
      </w:r>
      <w:r>
        <w:t xml:space="preserve">were created as </w:t>
      </w:r>
      <w:r w:rsidRPr="00654FA7">
        <w:t>ERC20 tokens and used solely on the Ethereum platform</w:t>
      </w:r>
      <w:r>
        <w:t xml:space="preserve">. </w:t>
      </w:r>
    </w:p>
    <w:p w:rsidR="006C3C65" w:rsidRPr="00B64A04" w:rsidRDefault="00E0220D" w:rsidP="006C3C65">
      <w:pPr>
        <w:rPr>
          <w:b/>
        </w:rPr>
      </w:pPr>
      <w:r>
        <w:rPr>
          <w:b/>
        </w:rPr>
        <w:t>We</w:t>
      </w:r>
      <w:r w:rsidR="00411029">
        <w:rPr>
          <w:b/>
        </w:rPr>
        <w:t>P</w:t>
      </w:r>
      <w:r>
        <w:rPr>
          <w:b/>
        </w:rPr>
        <w:t>ower and WPR token</w:t>
      </w:r>
    </w:p>
    <w:p w:rsidR="006C3C65" w:rsidRDefault="006C3C65" w:rsidP="006C3C65">
      <w:pPr>
        <w:autoSpaceDE w:val="0"/>
        <w:autoSpaceDN w:val="0"/>
        <w:adjustRightInd w:val="0"/>
        <w:spacing w:after="0" w:line="240" w:lineRule="auto"/>
      </w:pPr>
      <w:r w:rsidRPr="00375CAA">
        <w:t>WePower is a blockchain-based green energy trading platform.</w:t>
      </w:r>
      <w:r>
        <w:t xml:space="preserve"> </w:t>
      </w:r>
      <w:r w:rsidR="009037E1">
        <w:t>The WePower platform tokenizes renewable energy, with each WPR token representing 1 kWh of green energy to be generated in the future. Producers can use the platform to create tradable energy tokens, representing their commitment to produce and deliver renewable energy. These tokens can be sold through auctions to energy buyers, with token holders gaining priority access based on their holdings. WPR tokens also serve as a key to participating in the platform, allowing investors to support new or existing renewable energy projects. By tokenizing energy, WePower enables producers to raise capital and facilitates efficient energy trading</w:t>
      </w:r>
      <w:r w:rsidR="00B041E4">
        <w:t>.</w:t>
      </w:r>
    </w:p>
    <w:p w:rsidR="006C3C65" w:rsidRDefault="0075367F" w:rsidP="006C3C65">
      <w:r>
        <w:t xml:space="preserve">WPR </w:t>
      </w:r>
      <w:r w:rsidR="006C3C65">
        <w:t xml:space="preserve">Allows renewable energy producers to raise capital by selling future energy production upfront in the form of tokens. Consumers can purchase energy directly </w:t>
      </w:r>
      <w:r w:rsidR="008D1CF3">
        <w:t xml:space="preserve">from producers using WPR tokens </w:t>
      </w:r>
      <w:r w:rsidR="00E85C08">
        <w:fldChar w:fldCharType="begin" w:fldLock="1"/>
      </w:r>
      <w:r w:rsidR="00AA565D">
        <w:instrText>ADDIN CSL_CITATION {"citationItems":[{"id":"ITEM-1","itemData":{"author":[{"dropping-particle":"","family":"Whitepaper","given":"I C O","non-dropping-particle":"","parse-names":false,"suffix":""}],"id":"ITEM-1","issued":{"date-parts":[["0"]]},"title":"Be the power","type":"article-journal"},"uris":["http://www.mendeley.com/documents/?uuid=bdd71e24-9990-45e0-9035-408268b6b4e5","http://www.mendeley.com/documents/?uuid=be9788a3-9e06-4a59-99be-9c3cabde09f4"]}],"mendeley":{"formattedCitation":"[55]","plainTextFormattedCitation":"[55]","previouslyFormattedCitation":"[55]"},"properties":{"noteIndex":0},"schema":"https://github.com/citation-style-language/schema/raw/master/csl-citation.json"}</w:instrText>
      </w:r>
      <w:r w:rsidR="00E85C08">
        <w:fldChar w:fldCharType="separate"/>
      </w:r>
      <w:r w:rsidR="006E44B4" w:rsidRPr="006E44B4">
        <w:rPr>
          <w:noProof/>
        </w:rPr>
        <w:t>[55]</w:t>
      </w:r>
      <w:r w:rsidR="00E85C08">
        <w:fldChar w:fldCharType="end"/>
      </w:r>
      <w:r w:rsidR="008D1CF3">
        <w:t>.</w:t>
      </w:r>
    </w:p>
    <w:p w:rsidR="00B041E4" w:rsidRDefault="00B041E4" w:rsidP="006C3C65">
      <w:r>
        <w:t>The WePower platform utilizes ERC-20 tokens on the Ethereum blockchain.</w:t>
      </w:r>
    </w:p>
    <w:p w:rsidR="008A5E31" w:rsidRDefault="008A5E31" w:rsidP="006C3C65">
      <w:pPr>
        <w:rPr>
          <w:b/>
        </w:rPr>
      </w:pPr>
      <w:r w:rsidRPr="008A5E31">
        <w:rPr>
          <w:b/>
        </w:rPr>
        <w:t>Efforce and WOZX Tokens</w:t>
      </w:r>
    </w:p>
    <w:p w:rsidR="002605B2" w:rsidRDefault="008A5E31" w:rsidP="008D708E">
      <w:r w:rsidRPr="008D708E">
        <w:t xml:space="preserve">EFFORCE is a blockchain-based energy saving trading </w:t>
      </w:r>
      <w:r w:rsidR="002605B2" w:rsidRPr="008D708E">
        <w:t>platform</w:t>
      </w:r>
      <w:r w:rsidR="002605B2">
        <w:t>. The platform connects those interested in energy efficiency improvements with contributors who can earn tokens as rewards for reducing energy consumption.</w:t>
      </w:r>
      <w:r w:rsidR="00B36600">
        <w:t xml:space="preserve"> </w:t>
      </w:r>
      <w:r w:rsidR="00B36600">
        <w:fldChar w:fldCharType="begin" w:fldLock="1"/>
      </w:r>
      <w:r w:rsidR="00FE76B4">
        <w:instrText>ADDIN CSL_CITATION {"citationItems":[{"id":"ITEM-1","itemData":{"URL":"https://www.efforce.io/","accessed":{"date-parts":[["2024","9","12"]]},"id":"ITEM-1","issued":{"date-parts":[["0"]]},"title":"Energy Efficiency. Reinvented. | EFFORCE","type":"webpage"},"uris":["http://www.mendeley.com/documents/?uuid=75c9636f-fefb-3809-9b6f-a276a0d86a86"]}],"mendeley":{"formattedCitation":"[56]","plainTextFormattedCitation":"[56]","previouslyFormattedCitation":"[56]"},"properties":{"noteIndex":0},"schema":"https://github.com/citation-style-language/schema/raw/master/csl-citation.json"}</w:instrText>
      </w:r>
      <w:r w:rsidR="00B36600">
        <w:fldChar w:fldCharType="separate"/>
      </w:r>
      <w:r w:rsidR="00B36600" w:rsidRPr="00B36600">
        <w:rPr>
          <w:noProof/>
        </w:rPr>
        <w:t>[56]</w:t>
      </w:r>
      <w:r w:rsidR="00B36600">
        <w:fldChar w:fldCharType="end"/>
      </w:r>
      <w:r w:rsidR="008D708E" w:rsidRPr="008D708E">
        <w:t xml:space="preserve">. </w:t>
      </w:r>
      <w:r w:rsidR="002605B2">
        <w:t xml:space="preserve"> This crowdfunding platform rewards Contributors with free energy savings that they can retain, trade, or utilize to offset their energy consumption</w:t>
      </w:r>
      <w:r w:rsidR="008D708E" w:rsidRPr="008D708E">
        <w:t>.</w:t>
      </w:r>
    </w:p>
    <w:p w:rsidR="002605B2" w:rsidRDefault="002605B2" w:rsidP="008D708E">
      <w:r>
        <w:t>The EFFORCE Token (WOZX) is a utility token representing involvement in energy-saving projects initiated by EFFORCE and its community. Token distribution will follow the lock-up policy.</w:t>
      </w:r>
    </w:p>
    <w:p w:rsidR="002605B2" w:rsidRDefault="002605B2" w:rsidP="008D708E">
      <w:r>
        <w:lastRenderedPageBreak/>
        <w:t>A minimum of 1% of the total energy savings generated by all projects will be allocated to all EFFORCE Token holders</w:t>
      </w:r>
      <w:r w:rsidR="008D708E" w:rsidRPr="008D708E">
        <w:t>. Token has three functions; Utility, governance, and value of transfer</w:t>
      </w:r>
      <w:r w:rsidR="00FE76B4">
        <w:fldChar w:fldCharType="begin" w:fldLock="1"/>
      </w:r>
      <w:r w:rsidR="00FE76B4">
        <w:instrText>ADDIN CSL_CITATION {"citationItems":[{"id":"ITEM-1","itemData":{"id":"ITEM-1","issued":{"date-parts":[["0"]]},"title":"Efforce White Paper","type":"article-journal"},"uris":["http://www.mendeley.com/documents/?uuid=66bd63f3-7fae-3325-8969-f695681ab5e7"]}],"mendeley":{"formattedCitation":"[57]","plainTextFormattedCitation":"[57]","previouslyFormattedCitation":"[57]"},"properties":{"noteIndex":0},"schema":"https://github.com/citation-style-language/schema/raw/master/csl-citation.json"}</w:instrText>
      </w:r>
      <w:r w:rsidR="00FE76B4">
        <w:fldChar w:fldCharType="separate"/>
      </w:r>
      <w:r w:rsidR="00FE76B4" w:rsidRPr="00FE76B4">
        <w:rPr>
          <w:noProof/>
        </w:rPr>
        <w:t>[57]</w:t>
      </w:r>
      <w:r w:rsidR="00FE76B4">
        <w:fldChar w:fldCharType="end"/>
      </w:r>
      <w:r w:rsidR="008D708E">
        <w:t xml:space="preserve"> </w:t>
      </w:r>
      <w:r w:rsidR="008D708E" w:rsidRPr="008D708E">
        <w:t>.</w:t>
      </w:r>
      <w:r w:rsidRPr="002605B2">
        <w:t xml:space="preserve"> </w:t>
      </w:r>
      <w:r>
        <w:t>EFFORCE Token holders have the right to participate in general governance, such as voting on the ratio of energy savings redistribution.</w:t>
      </w:r>
    </w:p>
    <w:p w:rsidR="00107D52" w:rsidRDefault="00107D52" w:rsidP="00107D52">
      <w:pPr>
        <w:rPr>
          <w:color w:val="0C232A"/>
          <w:sz w:val="23"/>
          <w:szCs w:val="23"/>
        </w:rPr>
      </w:pPr>
      <w:r w:rsidRPr="00107D52">
        <w:rPr>
          <w:color w:val="0C232A"/>
          <w:sz w:val="23"/>
          <w:szCs w:val="23"/>
        </w:rPr>
        <w:t>Through the wallet, the energy savings obtained over time can be kept</w:t>
      </w:r>
      <w:r w:rsidR="002605B2">
        <w:rPr>
          <w:color w:val="0C232A"/>
          <w:sz w:val="23"/>
          <w:szCs w:val="23"/>
        </w:rPr>
        <w:t xml:space="preserve"> and spent to reduce the</w:t>
      </w:r>
      <w:r>
        <w:rPr>
          <w:color w:val="0C232A"/>
          <w:sz w:val="23"/>
          <w:szCs w:val="23"/>
        </w:rPr>
        <w:t xml:space="preserve"> bill </w:t>
      </w:r>
      <w:r w:rsidRPr="00107D52">
        <w:rPr>
          <w:color w:val="0C232A"/>
          <w:sz w:val="23"/>
          <w:szCs w:val="23"/>
        </w:rPr>
        <w:t>whenever the price of electricity is such as to be convenient for offsetting.</w:t>
      </w:r>
    </w:p>
    <w:p w:rsidR="002605B2" w:rsidRPr="00107D52" w:rsidRDefault="00226BF6" w:rsidP="00107D52">
      <w:pPr>
        <w:rPr>
          <w:color w:val="0C232A"/>
          <w:sz w:val="23"/>
          <w:szCs w:val="23"/>
        </w:rPr>
      </w:pPr>
      <w:r>
        <w:t xml:space="preserve">The EFFORCE Token (WOZX) is a utility token built on the Ethereum blockchain, following the ERC-20 standard. </w:t>
      </w:r>
    </w:p>
    <w:p w:rsidR="006C3C65" w:rsidRPr="00B64A04" w:rsidRDefault="005D31B2" w:rsidP="006C3C65">
      <w:pPr>
        <w:rPr>
          <w:b/>
        </w:rPr>
      </w:pPr>
      <w:r>
        <w:rPr>
          <w:b/>
        </w:rPr>
        <w:t xml:space="preserve">Energymine’s </w:t>
      </w:r>
      <w:r w:rsidR="006C3C65" w:rsidRPr="00B64A04">
        <w:rPr>
          <w:b/>
        </w:rPr>
        <w:t xml:space="preserve">ETK tokens </w:t>
      </w:r>
    </w:p>
    <w:p w:rsidR="00A561DF" w:rsidRDefault="00A561DF" w:rsidP="006C3C65">
      <w:r>
        <w:t>Energi Mine is developing a platform that connects customers with smaller energy producers as well as global eco system and rewards energy-efficient behavior with ETK tokens.</w:t>
      </w:r>
    </w:p>
    <w:p w:rsidR="00426F56" w:rsidRDefault="006C3C65" w:rsidP="006C3C65">
      <w:pPr>
        <w:rPr>
          <w:color w:val="0C232A"/>
          <w:sz w:val="23"/>
          <w:szCs w:val="23"/>
        </w:rPr>
      </w:pPr>
      <w:r>
        <w:rPr>
          <w:color w:val="0C232A"/>
          <w:sz w:val="23"/>
          <w:szCs w:val="23"/>
        </w:rPr>
        <w:t xml:space="preserve">Energi Mine is building an energy eco-system, a new energy market using blockchain. The platform we are building will have two aspects; a peer-to-peer marketplace to buy and sell energy and a reward platform. </w:t>
      </w:r>
      <w:r w:rsidR="00F07C07">
        <w:t>The platform will incorporate a decentralized peer-to-peer energy trading marketplace</w:t>
      </w:r>
      <w:r w:rsidR="00F07C07">
        <w:rPr>
          <w:color w:val="0C232A"/>
          <w:sz w:val="23"/>
          <w:szCs w:val="23"/>
        </w:rPr>
        <w:t xml:space="preserve"> allowing direct trading of electricity between users, without an intermediary</w:t>
      </w:r>
      <w:r w:rsidR="00F07C07">
        <w:t xml:space="preserve"> and a token-based incentive mechanism for energy conservation </w:t>
      </w:r>
      <w:r w:rsidR="003838D0">
        <w:rPr>
          <w:color w:val="0C232A"/>
          <w:sz w:val="23"/>
          <w:szCs w:val="23"/>
        </w:rPr>
        <w:fldChar w:fldCharType="begin" w:fldLock="1"/>
      </w:r>
      <w:r w:rsidR="00FE76B4">
        <w:rPr>
          <w:color w:val="0C232A"/>
          <w:sz w:val="23"/>
          <w:szCs w:val="23"/>
        </w:rPr>
        <w:instrText>ADDIN CSL_CITATION {"citationItems":[{"id":"ITEM-1","itemData":{"author":[{"dropping-particle":"","family":"EnergiMine","given":"","non-dropping-particle":"","parse-names":false,"suffix":""}],"container-title":"Whitepaper","id":"ITEM-1","issue":"5.0","issued":{"date-parts":[["2018"]]},"page":"1-33","title":"EnergiMine White paper version 5.0: Decentralizing global energy markets by rewarding energy efficient behaviour","type":"article-journal"},"uris":["http://www.mendeley.com/documents/?uuid=88205b13-56bd-4fa2-abd1-395091d451a1","http://www.mendeley.com/documents/?uuid=ff572f61-5581-4a2d-9550-04f67842f6c5"]}],"mendeley":{"formattedCitation":"[58]","plainTextFormattedCitation":"[58]","previouslyFormattedCitation":"[58]"},"properties":{"noteIndex":0},"schema":"https://github.com/citation-style-language/schema/raw/master/csl-citation.json"}</w:instrText>
      </w:r>
      <w:r w:rsidR="003838D0">
        <w:rPr>
          <w:color w:val="0C232A"/>
          <w:sz w:val="23"/>
          <w:szCs w:val="23"/>
        </w:rPr>
        <w:fldChar w:fldCharType="separate"/>
      </w:r>
      <w:r w:rsidR="00FE76B4" w:rsidRPr="00FE76B4">
        <w:rPr>
          <w:noProof/>
          <w:color w:val="0C232A"/>
          <w:sz w:val="23"/>
          <w:szCs w:val="23"/>
        </w:rPr>
        <w:t>[58]</w:t>
      </w:r>
      <w:r w:rsidR="003838D0">
        <w:rPr>
          <w:color w:val="0C232A"/>
          <w:sz w:val="23"/>
          <w:szCs w:val="23"/>
        </w:rPr>
        <w:fldChar w:fldCharType="end"/>
      </w:r>
      <w:r w:rsidR="001768B5">
        <w:rPr>
          <w:color w:val="0C232A"/>
          <w:sz w:val="23"/>
          <w:szCs w:val="23"/>
        </w:rPr>
        <w:t>.</w:t>
      </w:r>
      <w:r w:rsidR="00F07C07">
        <w:rPr>
          <w:color w:val="0C232A"/>
          <w:sz w:val="23"/>
          <w:szCs w:val="23"/>
        </w:rPr>
        <w:t xml:space="preserve"> </w:t>
      </w:r>
    </w:p>
    <w:p w:rsidR="006C3C65" w:rsidRDefault="001768B5" w:rsidP="006C3C65">
      <w:r w:rsidRPr="006C3C65">
        <w:t>The platform will utilize Energi Tokens (ETK) to incentivize energy-efficient behaviors, aiming to reduce global energy consumption and create a more sustainable energy ecosystem.</w:t>
      </w:r>
      <w:r w:rsidR="00D82996">
        <w:t xml:space="preserve"> </w:t>
      </w:r>
      <w:r w:rsidR="00426F56">
        <w:t>ETK can be used to pay energy bills, trade energy peer-to-peer, and access EV charging stations through the Energy Mine platform.</w:t>
      </w:r>
    </w:p>
    <w:p w:rsidR="00932ECD" w:rsidRPr="00C4227A" w:rsidRDefault="001768B5" w:rsidP="00426F56">
      <w:r>
        <w:rPr>
          <w:color w:val="0C232A"/>
          <w:sz w:val="23"/>
          <w:szCs w:val="23"/>
        </w:rPr>
        <w:t xml:space="preserve">The tokens will be based on ERC-20 standard </w:t>
      </w:r>
      <w:r w:rsidR="00426F56">
        <w:rPr>
          <w:color w:val="0C232A"/>
          <w:sz w:val="23"/>
          <w:szCs w:val="23"/>
        </w:rPr>
        <w:t>in the Ethereum blockchain.</w:t>
      </w:r>
    </w:p>
    <w:p w:rsidR="00B64A04" w:rsidRDefault="0043243A" w:rsidP="00B64A04">
      <w:pPr>
        <w:rPr>
          <w:b/>
        </w:rPr>
      </w:pPr>
      <w:r w:rsidRPr="00B64A04">
        <w:rPr>
          <w:b/>
        </w:rPr>
        <w:t>SolarCoin</w:t>
      </w:r>
      <w:r w:rsidR="001553E6">
        <w:rPr>
          <w:b/>
        </w:rPr>
        <w:t xml:space="preserve">’ </w:t>
      </w:r>
      <w:r w:rsidR="000269F5">
        <w:rPr>
          <w:b/>
        </w:rPr>
        <w:t>SLR token</w:t>
      </w:r>
      <w:r w:rsidR="00B64A04">
        <w:rPr>
          <w:b/>
        </w:rPr>
        <w:t>:</w:t>
      </w:r>
    </w:p>
    <w:p w:rsidR="0080562F" w:rsidRPr="00B64A04" w:rsidRDefault="00932ECD" w:rsidP="0080562F">
      <w:pPr>
        <w:rPr>
          <w:b/>
        </w:rPr>
      </w:pPr>
      <w:r w:rsidRPr="00932ECD">
        <w:t xml:space="preserve">SolarCoin is a digital asset and currency designed to </w:t>
      </w:r>
      <w:r>
        <w:t xml:space="preserve">support the transition from the </w:t>
      </w:r>
      <w:r w:rsidRPr="00932ECD">
        <w:t>fossil-fuel economy towards a solar-backed economy.</w:t>
      </w:r>
      <w:r w:rsidR="00C054F8">
        <w:rPr>
          <w:rFonts w:ascii="Calibri" w:hAnsi="Calibri" w:cs="Calibri"/>
        </w:rPr>
        <w:t xml:space="preserve"> S</w:t>
      </w:r>
      <w:r>
        <w:rPr>
          <w:rFonts w:ascii="Calibri" w:hAnsi="Calibri" w:cs="Calibri"/>
        </w:rPr>
        <w:t>olar energy producers</w:t>
      </w:r>
      <w:r w:rsidR="00C054F8">
        <w:rPr>
          <w:rFonts w:ascii="Calibri" w:hAnsi="Calibri" w:cs="Calibri"/>
        </w:rPr>
        <w:t xml:space="preserve"> are rewarded with</w:t>
      </w:r>
      <w:r>
        <w:rPr>
          <w:rFonts w:ascii="Calibri" w:hAnsi="Calibri" w:cs="Calibri"/>
        </w:rPr>
        <w:t xml:space="preserve"> blockchain-based digital tokens at the rate of 1 SolarCoin (SLR) per MWh of solar energy produced.</w:t>
      </w:r>
      <w:r>
        <w:t xml:space="preserve"> SolarCoin has similarities to cryptocurrencie</w:t>
      </w:r>
      <w:r w:rsidR="0073662F">
        <w:t xml:space="preserve">s like Bitcoin. </w:t>
      </w:r>
      <w:r w:rsidR="00714FBB">
        <w:t xml:space="preserve"> </w:t>
      </w:r>
      <w:r w:rsidR="00714FBB" w:rsidRPr="00714FBB">
        <w:t>SolarCoin acts as an incentive, stimulating the implementation of solar power worldwide</w:t>
      </w:r>
      <w:r>
        <w:t>.</w:t>
      </w:r>
      <w:r w:rsidRPr="00932ECD">
        <w:rPr>
          <w:rFonts w:ascii="Calibri" w:hAnsi="Calibri" w:cs="Calibri"/>
        </w:rPr>
        <w:t xml:space="preserve"> </w:t>
      </w:r>
      <w:r>
        <w:rPr>
          <w:rFonts w:ascii="Calibri" w:hAnsi="Calibri" w:cs="Calibri"/>
        </w:rPr>
        <w:t>Solar</w:t>
      </w:r>
      <w:r w:rsidR="00F00901">
        <w:rPr>
          <w:rFonts w:ascii="Calibri" w:hAnsi="Calibri" w:cs="Calibri"/>
        </w:rPr>
        <w:t>Coin</w:t>
      </w:r>
      <w:r>
        <w:rPr>
          <w:rFonts w:ascii="Calibri" w:hAnsi="Calibri" w:cs="Calibri"/>
        </w:rPr>
        <w:t xml:space="preserve"> can be collected, redeemed, or used as digital currency. Importantly, they can be traded for government currencies (fiat) on global cryptocurrency exchanges</w:t>
      </w:r>
      <w:r w:rsidR="00B64A04">
        <w:rPr>
          <w:rFonts w:ascii="Calibri" w:hAnsi="Calibri" w:cs="Calibri"/>
        </w:rPr>
        <w:t xml:space="preserve"> </w:t>
      </w:r>
      <w:r w:rsidR="00B64A04">
        <w:rPr>
          <w:rFonts w:ascii="Calibri" w:hAnsi="Calibri" w:cs="Calibri"/>
        </w:rPr>
        <w:fldChar w:fldCharType="begin" w:fldLock="1"/>
      </w:r>
      <w:r w:rsidR="00FE76B4">
        <w:rPr>
          <w:rFonts w:ascii="Calibri" w:hAnsi="Calibri" w:cs="Calibri"/>
        </w:rPr>
        <w:instrText>ADDIN CSL_CITATION {"citationItems":[{"id":"ITEM-1","itemData":{"abstract":"1. Executive Summary Blockchain technology is driving innovation and scale-up in the energy, climate, and environmental sectors. SolarCoin, a blockchain-based digital asset and currency, is designed to accelerate the transition to a clean energy economy. As a blockchain based technology, SolarCoin is global and decentralized, with similarities to cryptocurrencies like Bitcoin. SolarCoin stands out, because unlike these, SolarCoin 'binds' the disbursement of digital coins to useful economic and environmental activity -verifiably produced solar energy. SolarCoin uses the unique characteristics of blockchain technology to create a phenomenon that is: 1. a free, additional reward for solar energy producers 2. the first digital currency to protect natural capital 3. the first global, decentralized, non-governmental solar energy incentive program SolarCoin, an open community project, was created in 2014 by a group of founders and volunteers working together as the SolarCoin Foundation. The SolarCoin Foundation rewards solar energy producers with blockchain-based digital tokens at the rate of 1 SolarCoin (SLR) per 1 MWh of solar energy produced. This paper serves as a call to action for governments, NGOs, and the solar industry to recognize and seize the opportunity of SolarCoin, and thus help drive the global clean energy transformation. 2. Blockchain and SolarCoin Blockchain technology is driving innovation and scale-up in the energy, climate, and environmental sectors. The technology works as a value exchange protocol. Just as TCP/IP is the foundational protocol for the exchange of digital information, blockchain enables the exchange of digital value. A blockchain is a distributed ledger of trusted transactions -a database. Transactions can be transfers of digital tokens representing currency, information, or even the assignment of a library book ID. Blockchains are distributed across large open peer-to-peer networks making them difficult to hack or fail. Because information changes are verified and immutably recorded across a network, records cannot be changed or tampered with.","author":[{"dropping-particle":"","family":"SolarCoin","given":"","non-dropping-particle":"","parse-names":false,"suffix":""}],"container-title":"Https://Solarcoin.Org/","id":"ITEM-1","issued":{"date-parts":[["2018"]]},"number-of-pages":"1-13","title":"SolarCoin: A blockchain-based solar energy incentive","type":"report"},"uris":["http://www.mendeley.com/documents/?uuid=8d20e2c0-f2a2-3e26-89ac-67e0b5b38b53"]}],"mendeley":{"formattedCitation":"[59]","plainTextFormattedCitation":"[59]","previouslyFormattedCitation":"[59]"},"properties":{"noteIndex":0},"schema":"https://github.com/citation-style-language/schema/raw/master/csl-citation.json"}</w:instrText>
      </w:r>
      <w:r w:rsidR="00B64A04">
        <w:rPr>
          <w:rFonts w:ascii="Calibri" w:hAnsi="Calibri" w:cs="Calibri"/>
        </w:rPr>
        <w:fldChar w:fldCharType="separate"/>
      </w:r>
      <w:r w:rsidR="00FE76B4" w:rsidRPr="00FE76B4">
        <w:rPr>
          <w:rFonts w:ascii="Calibri" w:hAnsi="Calibri" w:cs="Calibri"/>
          <w:noProof/>
        </w:rPr>
        <w:t>[59]</w:t>
      </w:r>
      <w:r w:rsidR="00B64A04">
        <w:rPr>
          <w:rFonts w:ascii="Calibri" w:hAnsi="Calibri" w:cs="Calibri"/>
        </w:rPr>
        <w:fldChar w:fldCharType="end"/>
      </w:r>
      <w:r>
        <w:rPr>
          <w:rFonts w:ascii="Calibri" w:hAnsi="Calibri" w:cs="Calibri"/>
        </w:rPr>
        <w:t>.</w:t>
      </w:r>
      <w:r>
        <w:t xml:space="preserve"> </w:t>
      </w:r>
    </w:p>
    <w:p w:rsidR="000269F5" w:rsidRDefault="000269F5" w:rsidP="000269F5">
      <w:r w:rsidRPr="000269F5">
        <w:t>SolarCoins offer a variety of potential applications.</w:t>
      </w:r>
      <w:r>
        <w:t xml:space="preserve"> They can be exchanged on online exchange, used as </w:t>
      </w:r>
      <w:r w:rsidR="00C27FF2">
        <w:t>a payment</w:t>
      </w:r>
      <w:r>
        <w:t xml:space="preserve"> like digital currencies, offered as rewards or incentives for customers, and potentially play a role in a revived carbon trading system through the use of crypto carbon credits.</w:t>
      </w:r>
    </w:p>
    <w:p w:rsidR="004915FC" w:rsidRDefault="008F0688" w:rsidP="002B47FC">
      <w:r>
        <w:t>SolarCoin</w:t>
      </w:r>
      <w:r w:rsidR="003E71CC">
        <w:t xml:space="preserve"> is native coin</w:t>
      </w:r>
      <w:r>
        <w:t xml:space="preserve"> operates on the Energy Web Chain, a blockchain network that utilizes a proof-of-authority consensus algorithm</w:t>
      </w:r>
      <w:r w:rsidR="000269F5">
        <w:t xml:space="preserve"> </w:t>
      </w:r>
      <w:r w:rsidR="000269F5" w:rsidRPr="000269F5">
        <w:t>requires much less energy expenditure and carbon emissions along with extremely low transaction costs</w:t>
      </w:r>
      <w:r>
        <w:t xml:space="preserve"> </w:t>
      </w:r>
      <w:r w:rsidR="005F1403">
        <w:fldChar w:fldCharType="begin" w:fldLock="1"/>
      </w:r>
      <w:r w:rsidR="00FE76B4">
        <w:instrText>ADDIN CSL_CITATION {"citationItems":[{"id":"ITEM-1","itemData":{"URL":"https://solarcoin.org/help-and-faqs","accessed":{"date-parts":[["2024","9","10"]]},"id":"ITEM-1","issued":{"date-parts":[["0"]]},"title":"Help and FAQs — SolarCoin","type":"webpage"},"uris":["http://www.mendeley.com/documents/?uuid=35859ad7-6d12-3dfc-8308-c956bf6163e7"]}],"mendeley":{"formattedCitation":"[60]","plainTextFormattedCitation":"[60]","previouslyFormattedCitation":"[60]"},"properties":{"noteIndex":0},"schema":"https://github.com/citation-style-language/schema/raw/master/csl-citation.json"}</w:instrText>
      </w:r>
      <w:r w:rsidR="005F1403">
        <w:fldChar w:fldCharType="separate"/>
      </w:r>
      <w:r w:rsidR="00FE76B4" w:rsidRPr="00FE76B4">
        <w:rPr>
          <w:noProof/>
        </w:rPr>
        <w:t>[60]</w:t>
      </w:r>
      <w:r w:rsidR="005F1403">
        <w:fldChar w:fldCharType="end"/>
      </w:r>
      <w:r>
        <w:t>.</w:t>
      </w:r>
    </w:p>
    <w:p w:rsidR="0080562F" w:rsidRPr="00B64A04" w:rsidRDefault="00353E83" w:rsidP="0080562F">
      <w:pPr>
        <w:rPr>
          <w:b/>
        </w:rPr>
      </w:pPr>
      <w:r w:rsidRPr="00B64A04">
        <w:rPr>
          <w:b/>
        </w:rPr>
        <w:t>GRID</w:t>
      </w:r>
      <w:r w:rsidR="00FD2942">
        <w:rPr>
          <w:b/>
        </w:rPr>
        <w:t xml:space="preserve"> Plus’s</w:t>
      </w:r>
      <w:r w:rsidR="002531EE">
        <w:rPr>
          <w:b/>
        </w:rPr>
        <w:t xml:space="preserve"> GRID Tokens</w:t>
      </w:r>
    </w:p>
    <w:p w:rsidR="007D11E7" w:rsidRDefault="007D11E7" w:rsidP="00353E83">
      <w:r>
        <w:t xml:space="preserve">Grid+ introduced the Grid+ Smart agent, a device with integrated Ethereum protocol capabilities, that automatically pays for a customer's electricity usage in real time </w:t>
      </w:r>
      <w:r>
        <w:fldChar w:fldCharType="begin" w:fldLock="1"/>
      </w:r>
      <w:r w:rsidR="00263E5A">
        <w:instrText>ADDIN CSL_CITATION {"citationItems":[{"id":"ITEM-1","itemData":{"abstract":"Version 2.3","author":[{"dropping-particle":"","family":"Grid+","given":"","non-dropping-particle":"","parse-names":false,"suffix":""}],"id":"ITEM-1","issued":{"date-parts":[["2017"]]},"title":"Grid+ Whitepaper","type":"article-journal"},"uris":["http://www.mendeley.com/documents/?uuid=7830c8de-011f-33b5-a6bd-7c128d7e81ae"]}],"mendeley":{"formattedCitation":"[61]","plainTextFormattedCitation":"[61]","previouslyFormattedCitation":"[61]"},"properties":{"noteIndex":0},"schema":"https://github.com/citation-style-language/schema/raw/master/csl-citation.json"}</w:instrText>
      </w:r>
      <w:r>
        <w:fldChar w:fldCharType="separate"/>
      </w:r>
      <w:r w:rsidR="00263E5A" w:rsidRPr="00263E5A">
        <w:rPr>
          <w:noProof/>
        </w:rPr>
        <w:t>[61]</w:t>
      </w:r>
      <w:r>
        <w:fldChar w:fldCharType="end"/>
      </w:r>
      <w:r>
        <w:t xml:space="preserve">. The smart agent is an always </w:t>
      </w:r>
      <w:r>
        <w:lastRenderedPageBreak/>
        <w:t xml:space="preserve">connected, internet anabled that provides secure cryptocurrency storage, real-time electricity payment processing, automated electricity trading, and intelligent smart load management. Grid+ utilizes a two-token model. The BOLT token, necessary for the Grid+ platform, is a stable coin pegged to the US dollar. It can be redeemed for $1 worth of energy from Grid+ and is backed by USD reserves. The GRID token allows Grid+ customers to purchase electricity at wholesale rates </w:t>
      </w:r>
      <w:r>
        <w:fldChar w:fldCharType="begin" w:fldLock="1"/>
      </w:r>
      <w:r w:rsidR="00263E5A">
        <w:instrText>ADDIN CSL_CITATION {"citationItems":[{"id":"ITEM-1","itemData":{"URL":"https://coincheckup.com/coins/grid-plus/about","accessed":{"date-parts":[["2024","9","12"]]},"id":"ITEM-1","issued":{"date-parts":[["0"]]},"title":"What is Grid+ - CoinCheckup","type":"webpage"},"uris":["http://www.mendeley.com/documents/?uuid=f1830395-bbe7-30be-b2a2-0cad5bf3a565"]}],"mendeley":{"formattedCitation":"[62]","plainTextFormattedCitation":"[62]","previouslyFormattedCitation":"[62]"},"properties":{"noteIndex":0},"schema":"https://github.com/citation-style-language/schema/raw/master/csl-citation.json"}</w:instrText>
      </w:r>
      <w:r>
        <w:fldChar w:fldCharType="separate"/>
      </w:r>
      <w:r w:rsidR="00263E5A" w:rsidRPr="00263E5A">
        <w:rPr>
          <w:noProof/>
        </w:rPr>
        <w:t>[62]</w:t>
      </w:r>
      <w:r>
        <w:fldChar w:fldCharType="end"/>
      </w:r>
      <w:r>
        <w:t xml:space="preserve">. </w:t>
      </w:r>
    </w:p>
    <w:p w:rsidR="005D31B2" w:rsidRDefault="005D31B2" w:rsidP="006F4944">
      <w:r>
        <w:t>Both tokens are issued on the Ethereum blockchain using the ERC-20 standard.</w:t>
      </w:r>
    </w:p>
    <w:p w:rsidR="00353E83" w:rsidRPr="00D328A3" w:rsidRDefault="005D31B2" w:rsidP="006F4944">
      <w:pPr>
        <w:rPr>
          <w:b/>
        </w:rPr>
      </w:pPr>
      <w:r>
        <w:rPr>
          <w:b/>
        </w:rPr>
        <w:t xml:space="preserve">RowanBlockchain’ </w:t>
      </w:r>
      <w:r w:rsidR="00D328A3">
        <w:rPr>
          <w:b/>
        </w:rPr>
        <w:t xml:space="preserve">ROWN </w:t>
      </w:r>
      <w:r w:rsidR="008C1E53">
        <w:rPr>
          <w:b/>
        </w:rPr>
        <w:t>Coin</w:t>
      </w:r>
    </w:p>
    <w:p w:rsidR="008C1E53" w:rsidRPr="008C1E53" w:rsidRDefault="008C1E53" w:rsidP="008C1E53">
      <w:r w:rsidRPr="008C1E53">
        <w:t>Rowan blockchain is a tokenized platform designed to encourage more homeowners to adopt renewable energy by offering incentives</w:t>
      </w:r>
      <w:r w:rsidR="000B13CB">
        <w:t>.</w:t>
      </w:r>
      <w:r w:rsidR="000B13CB" w:rsidRPr="000B13CB">
        <w:t xml:space="preserve"> </w:t>
      </w:r>
      <w:r w:rsidR="00BF615C">
        <w:t>ROWN</w:t>
      </w:r>
      <w:r w:rsidR="000B13CB">
        <w:t xml:space="preserve"> Coin will serve as a versatile currency for energy transactions, allowing customers to buy and sell energy, pay bills, offset carbon footprints with Rowan NFT Carbon Certificates, charge and service EVs, and more </w:t>
      </w:r>
      <w:r w:rsidR="000B13CB">
        <w:fldChar w:fldCharType="begin" w:fldLock="1"/>
      </w:r>
      <w:r w:rsidR="007D11E7">
        <w:instrText>ADDIN CSL_CITATION {"citationItems":[{"id":"ITEM-1","itemData":{"URL":"https://rowanblockchain.com/rowan-coin/","accessed":{"date-parts":[["2024","9","12"]]},"id":"ITEM-1","issued":{"date-parts":[["0"]]},"title":"Rowan Coin – Rowan Blockchain","type":"webpage"},"uris":["http://www.mendeley.com/documents/?uuid=212e14e3-b529-3936-99af-2dc84ca893d4"]}],"mendeley":{"formattedCitation":"[63]","plainTextFormattedCitation":"[63]","previouslyFormattedCitation":"[63]"},"properties":{"noteIndex":0},"schema":"https://github.com/citation-style-language/schema/raw/master/csl-citation.json"}</w:instrText>
      </w:r>
      <w:r w:rsidR="000B13CB">
        <w:fldChar w:fldCharType="separate"/>
      </w:r>
      <w:r w:rsidR="007D11E7" w:rsidRPr="007D11E7">
        <w:rPr>
          <w:noProof/>
        </w:rPr>
        <w:t>[63]</w:t>
      </w:r>
      <w:r w:rsidR="000B13CB">
        <w:fldChar w:fldCharType="end"/>
      </w:r>
      <w:r w:rsidR="000B13CB">
        <w:t>.</w:t>
      </w:r>
    </w:p>
    <w:p w:rsidR="00D82791" w:rsidRDefault="00406BA8" w:rsidP="00561670">
      <w:r>
        <w:t xml:space="preserve">The Rowan energy introduces a unique proof of generation consensus mechanism to generate tokenized green energy certificate and carbon offset certificates combined and reward for small green energy generators. The Rowan SmartMiner tracks and data is converted into </w:t>
      </w:r>
      <w:r w:rsidR="000B13CB">
        <w:t>tokenized</w:t>
      </w:r>
      <w:r>
        <w:t xml:space="preserve"> certificates on a rowan blockchain</w:t>
      </w:r>
      <w:r w:rsidR="00DD10E2">
        <w:t xml:space="preserve"> </w:t>
      </w:r>
      <w:r w:rsidR="00C15BE9">
        <w:fldChar w:fldCharType="begin" w:fldLock="1"/>
      </w:r>
      <w:r w:rsidR="007D11E7">
        <w:instrText>ADDIN CSL_CITATION {"citationItems":[{"id":"ITEM-1","itemData":{"abstract":"Background-Blockchain Technology","author":[{"dropping-particle":"","family":"Blockchain","given":"Rowan","non-dropping-particle":"","parse-names":false,"suffix":""}],"id":"ITEM-1","issued":{"date-parts":[["0"]]},"title":"Whitepaper A tokenised platform for improving home renewable energy production and encouraging its wider adoption","type":"report"},"uris":["http://www.mendeley.com/documents/?uuid=e59d1bf4-c49a-351f-a9c4-2298243310d5"]}],"mendeley":{"formattedCitation":"[64]","plainTextFormattedCitation":"[64]","previouslyFormattedCitation":"[64]"},"properties":{"noteIndex":0},"schema":"https://github.com/citation-style-language/schema/raw/master/csl-citation.json"}</w:instrText>
      </w:r>
      <w:r w:rsidR="00C15BE9">
        <w:fldChar w:fldCharType="separate"/>
      </w:r>
      <w:r w:rsidR="007D11E7" w:rsidRPr="007D11E7">
        <w:rPr>
          <w:noProof/>
        </w:rPr>
        <w:t>[64]</w:t>
      </w:r>
      <w:r w:rsidR="00C15BE9">
        <w:fldChar w:fldCharType="end"/>
      </w:r>
      <w:r w:rsidR="000B13CB">
        <w:t>.</w:t>
      </w:r>
    </w:p>
    <w:p w:rsidR="000B13CB" w:rsidRDefault="0045277A" w:rsidP="006F4944">
      <w:r>
        <w:t>Rowan energy users can obtain Tokenized Rowan offset certificates, which can be used to offset carbon emissions, and renewable energy certificates, which can be used for peer-to-peer energy trading.</w:t>
      </w:r>
    </w:p>
    <w:p w:rsidR="00282585" w:rsidRDefault="00BF615C" w:rsidP="006F4944">
      <w:r>
        <w:t>ROWN is a na</w:t>
      </w:r>
      <w:r w:rsidR="00282585">
        <w:t>tive coin created on private Rowan</w:t>
      </w:r>
      <w:r>
        <w:t xml:space="preserve"> blockchain.</w:t>
      </w:r>
      <w:r w:rsidR="00282585">
        <w:t xml:space="preserve"> Rowan carbon offset certificates are issued on the Rowan blockchain using the ERC-721 standard.</w:t>
      </w:r>
    </w:p>
    <w:p w:rsidR="00561670" w:rsidRDefault="00561670" w:rsidP="006F4944">
      <w:pPr>
        <w:rPr>
          <w:b/>
        </w:rPr>
      </w:pPr>
      <w:r w:rsidRPr="0045188F">
        <w:rPr>
          <w:b/>
        </w:rPr>
        <w:t>ElectrifyAsia</w:t>
      </w:r>
      <w:r w:rsidR="00662AFB">
        <w:rPr>
          <w:b/>
        </w:rPr>
        <w:t>’ ELEC token</w:t>
      </w:r>
    </w:p>
    <w:p w:rsidR="00D44CB2" w:rsidRDefault="002E0CE8" w:rsidP="00052CE3">
      <w:r>
        <w:t>ElectrifyAsia</w:t>
      </w:r>
      <w:r w:rsidR="002B19CC" w:rsidRPr="002B19CC">
        <w:t xml:space="preserve"> is Southeast Asia's pioneering retail electricity marketplace, offering transparent and secure energy transactions.</w:t>
      </w:r>
      <w:r>
        <w:t xml:space="preserve"> This Electrify</w:t>
      </w:r>
      <w:r w:rsidRPr="002E0CE8">
        <w:t xml:space="preserve"> ecosystem will feature energy-focused smart contracts secured on the blockchain and powered by the ELEC token</w:t>
      </w:r>
      <w:r w:rsidR="00D44CB2">
        <w:t xml:space="preserve"> </w:t>
      </w:r>
      <w:r w:rsidR="00D44CB2">
        <w:fldChar w:fldCharType="begin" w:fldLock="1"/>
      </w:r>
      <w:r w:rsidR="007D11E7">
        <w:instrText>ADDIN CSL_CITATION {"citationItems":[{"id":"ITEM-1","itemData":{"URL":"https://electrify.asia/synergy/","accessed":{"date-parts":[["2024","9","10"]]},"id":"ITEM-1","issued":{"date-parts":[["0"]]},"title":"Synergy – Electrify — Asia's Electric Marketplace","type":"webpage"},"uris":["http://www.mendeley.com/documents/?uuid=3dcb0ed3-122b-3076-9169-d8bf09b6cfb3"]}],"mendeley":{"formattedCitation":"[65]","plainTextFormattedCitation":"[65]","previouslyFormattedCitation":"[65]"},"properties":{"noteIndex":0},"schema":"https://github.com/citation-style-language/schema/raw/master/csl-citation.json"}</w:instrText>
      </w:r>
      <w:r w:rsidR="00D44CB2">
        <w:fldChar w:fldCharType="separate"/>
      </w:r>
      <w:r w:rsidR="007D11E7" w:rsidRPr="007D11E7">
        <w:rPr>
          <w:noProof/>
        </w:rPr>
        <w:t>[65]</w:t>
      </w:r>
      <w:r w:rsidR="00D44CB2">
        <w:fldChar w:fldCharType="end"/>
      </w:r>
      <w:r w:rsidRPr="002E0CE8">
        <w:t>.</w:t>
      </w:r>
      <w:r>
        <w:t xml:space="preserve"> </w:t>
      </w:r>
    </w:p>
    <w:p w:rsidR="00D44CB2" w:rsidRDefault="000B307D" w:rsidP="00052CE3">
      <w:r>
        <w:t>Synergy</w:t>
      </w:r>
      <w:r w:rsidR="00D50D16">
        <w:t xml:space="preserve"> is the p</w:t>
      </w:r>
      <w:r>
        <w:t>eer to peer energy trading Platform</w:t>
      </w:r>
      <w:r w:rsidR="00D44CB2">
        <w:t xml:space="preserve"> hosted in the market place of E</w:t>
      </w:r>
      <w:r w:rsidR="002B19CC">
        <w:t>lectrify’s eco system</w:t>
      </w:r>
      <w:r>
        <w:t xml:space="preserve"> used by ElectrifyAsia</w:t>
      </w:r>
      <w:r w:rsidR="002E0CE8">
        <w:t xml:space="preserve"> </w:t>
      </w:r>
      <w:r w:rsidR="002E0CE8">
        <w:fldChar w:fldCharType="begin" w:fldLock="1"/>
      </w:r>
      <w:r w:rsidR="007D11E7">
        <w:instrText>ADDIN CSL_CITATION {"citationItems":[{"id":"ITEM-1","itemData":{"URL":"https://electrify.asia/","accessed":{"date-parts":[["2024","9","12"]]},"author":[{"dropping-particle":"","family":"Electrify","given":"","non-dropping-particle":"","parse-names":false,"suffix":""}],"id":"ITEM-1","issued":{"date-parts":[["0"]]},"title":"Electrify — Asia's Electric Marketplace – Electrify — Asia's Electric Marketplace","type":"webpage"},"uris":["http://www.mendeley.com/documents/?uuid=fec18314-4f14-3e6d-809b-f1a6f2a8cb86"]}],"mendeley":{"formattedCitation":"[66]","plainTextFormattedCitation":"[66]","previouslyFormattedCitation":"[66]"},"properties":{"noteIndex":0},"schema":"https://github.com/citation-style-language/schema/raw/master/csl-citation.json"}</w:instrText>
      </w:r>
      <w:r w:rsidR="002E0CE8">
        <w:fldChar w:fldCharType="separate"/>
      </w:r>
      <w:r w:rsidR="007D11E7" w:rsidRPr="007D11E7">
        <w:rPr>
          <w:noProof/>
        </w:rPr>
        <w:t>[66]</w:t>
      </w:r>
      <w:r w:rsidR="002E0CE8">
        <w:fldChar w:fldCharType="end"/>
      </w:r>
      <w:r>
        <w:t>.</w:t>
      </w:r>
      <w:r w:rsidR="003F2FB7">
        <w:t xml:space="preserve"> </w:t>
      </w:r>
      <w:r w:rsidR="006F22CD">
        <w:t>Synergy makes it possible for consumers to purchase electricity directly from small-scale renewable energy generators, including rooftop solar and wind power</w:t>
      </w:r>
      <w:r w:rsidR="003F2FB7" w:rsidRPr="003F2FB7">
        <w:t>.</w:t>
      </w:r>
      <w:r w:rsidR="003F2FB7">
        <w:t xml:space="preserve"> </w:t>
      </w:r>
      <w:r w:rsidR="002E0CE8">
        <w:t xml:space="preserve">Synergy will facilitate real-time matches between solar energy producers and consumers, ensuring that all generated solar energy is efficiently </w:t>
      </w:r>
      <w:r w:rsidR="00D44CB2">
        <w:t>utilized.</w:t>
      </w:r>
      <w:r w:rsidR="002E0CE8">
        <w:t xml:space="preserve"> </w:t>
      </w:r>
      <w:r w:rsidR="003F2FB7">
        <w:t>“</w:t>
      </w:r>
      <w:r w:rsidR="003F2FB7" w:rsidRPr="003F2FB7">
        <w:t>PowerPod</w:t>
      </w:r>
      <w:r w:rsidR="003F2FB7">
        <w:t>”</w:t>
      </w:r>
      <w:r w:rsidR="003F2FB7" w:rsidRPr="003F2FB7">
        <w:t>, an IoT smart equipment, has been developed to precisely track and audit the production of a small-scale energy producer.</w:t>
      </w:r>
      <w:r w:rsidR="003F2FB7">
        <w:t xml:space="preserve"> ELECTRIFY’s new Marketplace 2.0 will be the overarching web and mobile platform, allowing consumers to access all of ELECTRIFY’s services</w:t>
      </w:r>
    </w:p>
    <w:p w:rsidR="00D44CB2" w:rsidRDefault="00D44CB2" w:rsidP="00D44CB2">
      <w:r w:rsidRPr="00D44CB2">
        <w:t>The ELEC token serves as a utility token within the Electrify ecosystem, facilitating deposit payments for producers and retailers, transaction fees for energy providers, and</w:t>
      </w:r>
      <w:r>
        <w:t xml:space="preserve"> loyalty rewards for consumers.</w:t>
      </w:r>
    </w:p>
    <w:p w:rsidR="00052CE3" w:rsidRDefault="00D44CB2" w:rsidP="00052CE3">
      <w:pPr>
        <w:rPr>
          <w:rFonts w:cs="Gotham Book"/>
          <w:color w:val="000000"/>
          <w:sz w:val="23"/>
          <w:szCs w:val="23"/>
        </w:rPr>
      </w:pPr>
      <w:r>
        <w:t>The ELEC token, an Ethereum-based ERC-20 token, will serve as an access key to the Electrify Asia ecosystem f</w:t>
      </w:r>
      <w:r w:rsidR="00662AFB">
        <w:t>or both producers and retailers</w:t>
      </w:r>
      <w:r>
        <w:rPr>
          <w:rFonts w:cs="Gotham Book"/>
          <w:color w:val="000000"/>
          <w:sz w:val="23"/>
          <w:szCs w:val="23"/>
        </w:rPr>
        <w:t xml:space="preserve"> </w:t>
      </w:r>
      <w:r w:rsidR="00F642E5">
        <w:rPr>
          <w:rFonts w:cs="Gotham Book"/>
          <w:color w:val="000000"/>
          <w:sz w:val="23"/>
          <w:szCs w:val="23"/>
        </w:rPr>
        <w:fldChar w:fldCharType="begin" w:fldLock="1"/>
      </w:r>
      <w:r w:rsidR="007D11E7">
        <w:rPr>
          <w:rFonts w:cs="Gotham Book"/>
          <w:color w:val="000000"/>
          <w:sz w:val="23"/>
          <w:szCs w:val="23"/>
        </w:rPr>
        <w:instrText>ADDIN CSL_CITATION {"citationItems":[{"id":"ITEM-1","itemData":{"author":[{"dropping-particle":"","family":"Whitepaper","given":"I C O","non-dropping-particle":"","parse-names":false,"suffix":""}],"id":"ITEM-1","issued":{"date-parts":[["0"]]},"title":"ELECTRIFY Be the power","type":"report"},"uris":["http://www.mendeley.com/documents/?uuid=7935ef14-dace-4e22-bbd0-f54069dc3327"]}],"mendeley":{"formattedCitation":"[67]","plainTextFormattedCitation":"[67]","previouslyFormattedCitation":"[67]"},"properties":{"noteIndex":0},"schema":"https://github.com/citation-style-language/schema/raw/master/csl-citation.json"}</w:instrText>
      </w:r>
      <w:r w:rsidR="00F642E5">
        <w:rPr>
          <w:rFonts w:cs="Gotham Book"/>
          <w:color w:val="000000"/>
          <w:sz w:val="23"/>
          <w:szCs w:val="23"/>
        </w:rPr>
        <w:fldChar w:fldCharType="separate"/>
      </w:r>
      <w:r w:rsidR="007D11E7" w:rsidRPr="007D11E7">
        <w:rPr>
          <w:rFonts w:cs="Gotham Book"/>
          <w:noProof/>
          <w:color w:val="000000"/>
          <w:sz w:val="23"/>
          <w:szCs w:val="23"/>
        </w:rPr>
        <w:t>[67]</w:t>
      </w:r>
      <w:r w:rsidR="00F642E5">
        <w:rPr>
          <w:rFonts w:cs="Gotham Book"/>
          <w:color w:val="000000"/>
          <w:sz w:val="23"/>
          <w:szCs w:val="23"/>
        </w:rPr>
        <w:fldChar w:fldCharType="end"/>
      </w:r>
      <w:r w:rsidR="001C0212" w:rsidRPr="001C0212">
        <w:rPr>
          <w:rFonts w:cs="Gotham Book"/>
          <w:color w:val="000000"/>
          <w:sz w:val="23"/>
          <w:szCs w:val="23"/>
        </w:rPr>
        <w:t>.</w:t>
      </w:r>
    </w:p>
    <w:p w:rsidR="00572863" w:rsidRPr="00572863" w:rsidRDefault="00572863" w:rsidP="00572863">
      <w:pPr>
        <w:spacing w:after="0" w:line="240" w:lineRule="auto"/>
        <w:rPr>
          <w:rFonts w:ascii="Times New Roman" w:eastAsia="Times New Roman" w:hAnsi="Times New Roman" w:cs="Times New Roman"/>
          <w:sz w:val="24"/>
          <w:szCs w:val="24"/>
          <w:lang w:val="en-IN" w:eastAsia="en-IN"/>
        </w:rPr>
      </w:pPr>
      <w:r w:rsidRPr="00572863">
        <w:rPr>
          <w:rFonts w:ascii="Times New Roman" w:eastAsia="Times New Roman" w:hAnsi="Times New Roman" w:cs="Times New Roman"/>
          <w:sz w:val="24"/>
          <w:szCs w:val="24"/>
          <w:lang w:val="en-IN" w:eastAsia="en-IN"/>
        </w:rPr>
        <w:t>T</w:t>
      </w:r>
      <w:r w:rsidRPr="00572863">
        <w:t>he case studies are summarized in a tabular format for ease of comparison (see Table 5).</w:t>
      </w:r>
      <w:r>
        <w:t xml:space="preserve"> Also </w:t>
      </w:r>
      <w:r w:rsidR="00745B77">
        <w:t>Characteristic of t</w:t>
      </w:r>
      <w:r>
        <w:t xml:space="preserve">he </w:t>
      </w:r>
      <w:r w:rsidR="00745B77">
        <w:t xml:space="preserve">tokens </w:t>
      </w:r>
      <w:r>
        <w:t>analyzed in this</w:t>
      </w:r>
      <w:r w:rsidR="00745B77">
        <w:t xml:space="preserve"> paper are presented in tabular format in Table 4</w:t>
      </w:r>
      <w:r>
        <w:t>.</w:t>
      </w:r>
    </w:p>
    <w:p w:rsidR="00840FA1" w:rsidRPr="00572863" w:rsidRDefault="00840FA1" w:rsidP="006F4944">
      <w:pPr>
        <w:rPr>
          <w:lang w:val="en-IN"/>
        </w:rPr>
      </w:pPr>
    </w:p>
    <w:p w:rsidR="00840FA1" w:rsidRDefault="00840FA1" w:rsidP="006F4944"/>
    <w:p w:rsidR="00457F67" w:rsidRDefault="00457F67" w:rsidP="006F4944">
      <w:r>
        <w:t>Table</w:t>
      </w:r>
      <w:r w:rsidR="00572863">
        <w:t xml:space="preserve"> 4</w:t>
      </w:r>
      <w:r>
        <w:t xml:space="preserve">: </w:t>
      </w:r>
      <w:r w:rsidR="00D50D16">
        <w:t xml:space="preserve"> </w:t>
      </w:r>
      <w:r w:rsidR="00745B77">
        <w:t xml:space="preserve">Studied </w:t>
      </w:r>
      <w:r w:rsidR="00D50D16">
        <w:t>tokens and</w:t>
      </w:r>
      <w:r w:rsidR="00870E2C">
        <w:t xml:space="preserve"> their characteristics</w:t>
      </w:r>
    </w:p>
    <w:p w:rsidR="00840FA1" w:rsidRDefault="00840FA1" w:rsidP="006F4944"/>
    <w:tbl>
      <w:tblPr>
        <w:tblStyle w:val="TableGrid"/>
        <w:tblW w:w="939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355"/>
        <w:gridCol w:w="1195"/>
        <w:gridCol w:w="663"/>
        <w:gridCol w:w="1031"/>
        <w:gridCol w:w="5153"/>
      </w:tblGrid>
      <w:tr w:rsidR="00354346" w:rsidTr="004621E7">
        <w:trPr>
          <w:trHeight w:val="769"/>
        </w:trPr>
        <w:tc>
          <w:tcPr>
            <w:tcW w:w="0" w:type="auto"/>
          </w:tcPr>
          <w:p w:rsidR="00354346" w:rsidRPr="009E4E5E" w:rsidRDefault="00354346" w:rsidP="00464FC0">
            <w:r w:rsidRPr="009E4E5E">
              <w:t>Company</w:t>
            </w:r>
          </w:p>
        </w:tc>
        <w:tc>
          <w:tcPr>
            <w:tcW w:w="0" w:type="auto"/>
          </w:tcPr>
          <w:p w:rsidR="00354346" w:rsidRPr="009E4E5E" w:rsidRDefault="00354346" w:rsidP="00464FC0">
            <w:r w:rsidRPr="009E4E5E">
              <w:t>Country</w:t>
            </w:r>
          </w:p>
        </w:tc>
        <w:tc>
          <w:tcPr>
            <w:tcW w:w="0" w:type="auto"/>
          </w:tcPr>
          <w:p w:rsidR="00354346" w:rsidRPr="009E4E5E" w:rsidRDefault="00354346" w:rsidP="00464FC0">
            <w:r w:rsidRPr="009E4E5E">
              <w:t>Year</w:t>
            </w:r>
          </w:p>
        </w:tc>
        <w:tc>
          <w:tcPr>
            <w:tcW w:w="0" w:type="auto"/>
          </w:tcPr>
          <w:p w:rsidR="00354346" w:rsidRPr="009E4E5E" w:rsidRDefault="00354346" w:rsidP="00464FC0">
            <w:r w:rsidRPr="009E4E5E">
              <w:t>Energy coin/ Tokens</w:t>
            </w:r>
          </w:p>
        </w:tc>
        <w:tc>
          <w:tcPr>
            <w:tcW w:w="0" w:type="auto"/>
          </w:tcPr>
          <w:p w:rsidR="00354346" w:rsidRPr="009E4E5E" w:rsidRDefault="002531EE" w:rsidP="00464FC0">
            <w:r w:rsidRPr="009E4E5E">
              <w:t>Chracterisitics</w:t>
            </w:r>
          </w:p>
        </w:tc>
      </w:tr>
      <w:tr w:rsidR="00354346" w:rsidTr="004621E7">
        <w:trPr>
          <w:trHeight w:val="769"/>
        </w:trPr>
        <w:tc>
          <w:tcPr>
            <w:tcW w:w="0" w:type="auto"/>
          </w:tcPr>
          <w:p w:rsidR="00354346" w:rsidRPr="009E4E5E" w:rsidRDefault="00354346" w:rsidP="00464FC0">
            <w:r w:rsidRPr="009E4E5E">
              <w:t xml:space="preserve">Power Ledger </w:t>
            </w:r>
          </w:p>
        </w:tc>
        <w:tc>
          <w:tcPr>
            <w:tcW w:w="0" w:type="auto"/>
          </w:tcPr>
          <w:p w:rsidR="00354346" w:rsidRPr="009E4E5E" w:rsidRDefault="00354346" w:rsidP="00464FC0">
            <w:r w:rsidRPr="009E4E5E">
              <w:t>Australia</w:t>
            </w:r>
          </w:p>
        </w:tc>
        <w:tc>
          <w:tcPr>
            <w:tcW w:w="0" w:type="auto"/>
          </w:tcPr>
          <w:p w:rsidR="00354346" w:rsidRPr="009E4E5E" w:rsidRDefault="00354346" w:rsidP="00464FC0">
            <w:pPr>
              <w:jc w:val="center"/>
            </w:pPr>
            <w:r w:rsidRPr="009E4E5E">
              <w:t>2017</w:t>
            </w:r>
          </w:p>
        </w:tc>
        <w:tc>
          <w:tcPr>
            <w:tcW w:w="0" w:type="auto"/>
          </w:tcPr>
          <w:p w:rsidR="00354346" w:rsidRPr="009E4E5E" w:rsidRDefault="00354346" w:rsidP="00464FC0">
            <w:r w:rsidRPr="009E4E5E">
              <w:t>POWR and Sparkz</w:t>
            </w:r>
          </w:p>
        </w:tc>
        <w:tc>
          <w:tcPr>
            <w:tcW w:w="0" w:type="auto"/>
          </w:tcPr>
          <w:p w:rsidR="00354346" w:rsidRPr="009E4E5E" w:rsidRDefault="00354346" w:rsidP="00464FC0">
            <w:r w:rsidRPr="009E4E5E">
              <w:t>POWR (used to access the platform)</w:t>
            </w:r>
          </w:p>
          <w:p w:rsidR="00354346" w:rsidRPr="009E4E5E" w:rsidRDefault="00354346" w:rsidP="00464FC0">
            <w:r w:rsidRPr="009E4E5E">
              <w:t>Sparkz (used for energy transactions)</w:t>
            </w:r>
          </w:p>
        </w:tc>
      </w:tr>
      <w:tr w:rsidR="00840FA1" w:rsidTr="004621E7">
        <w:trPr>
          <w:trHeight w:val="769"/>
        </w:trPr>
        <w:tc>
          <w:tcPr>
            <w:tcW w:w="0" w:type="auto"/>
          </w:tcPr>
          <w:p w:rsidR="00840FA1" w:rsidRPr="009E4E5E" w:rsidRDefault="00840FA1" w:rsidP="00840FA1">
            <w:r w:rsidRPr="009E4E5E">
              <w:t>Dione Protocol</w:t>
            </w:r>
          </w:p>
        </w:tc>
        <w:tc>
          <w:tcPr>
            <w:tcW w:w="0" w:type="auto"/>
          </w:tcPr>
          <w:p w:rsidR="00840FA1" w:rsidRPr="009E4E5E" w:rsidRDefault="008F1660" w:rsidP="00840FA1">
            <w:r w:rsidRPr="009E4E5E">
              <w:t>Canada</w:t>
            </w:r>
          </w:p>
        </w:tc>
        <w:tc>
          <w:tcPr>
            <w:tcW w:w="0" w:type="auto"/>
          </w:tcPr>
          <w:p w:rsidR="00840FA1" w:rsidRPr="009E4E5E" w:rsidRDefault="00282585" w:rsidP="00840FA1">
            <w:pPr>
              <w:jc w:val="center"/>
            </w:pPr>
            <w:r w:rsidRPr="009E4E5E">
              <w:t>2022</w:t>
            </w:r>
          </w:p>
        </w:tc>
        <w:tc>
          <w:tcPr>
            <w:tcW w:w="0" w:type="auto"/>
          </w:tcPr>
          <w:p w:rsidR="00840FA1" w:rsidRPr="009E4E5E" w:rsidRDefault="00840FA1" w:rsidP="00840FA1">
            <w:r w:rsidRPr="009E4E5E">
              <w:t>DIONE</w:t>
            </w:r>
          </w:p>
        </w:tc>
        <w:tc>
          <w:tcPr>
            <w:tcW w:w="0" w:type="auto"/>
          </w:tcPr>
          <w:p w:rsidR="00840FA1" w:rsidRPr="009E4E5E" w:rsidRDefault="00191C11" w:rsidP="00840FA1">
            <w:r w:rsidRPr="009E4E5E">
              <w:t>DIONE can be used as a transaction method for gas fee payments.</w:t>
            </w:r>
          </w:p>
          <w:p w:rsidR="00191C11" w:rsidRPr="009E4E5E" w:rsidRDefault="00191C11" w:rsidP="00840FA1">
            <w:r w:rsidRPr="009E4E5E">
              <w:t>Works as a Governance token also.</w:t>
            </w:r>
          </w:p>
          <w:p w:rsidR="003C76E6" w:rsidRPr="009E4E5E" w:rsidRDefault="003C76E6" w:rsidP="00840FA1">
            <w:r w:rsidRPr="009E4E5E">
              <w:t xml:space="preserve">Validators rewarded with </w:t>
            </w:r>
          </w:p>
          <w:p w:rsidR="00191C11" w:rsidRPr="009E4E5E" w:rsidRDefault="00191C11" w:rsidP="00840FA1"/>
        </w:tc>
      </w:tr>
      <w:tr w:rsidR="00840FA1" w:rsidTr="004621E7">
        <w:trPr>
          <w:trHeight w:val="769"/>
        </w:trPr>
        <w:tc>
          <w:tcPr>
            <w:tcW w:w="0" w:type="auto"/>
          </w:tcPr>
          <w:p w:rsidR="00840FA1" w:rsidRPr="009E4E5E" w:rsidRDefault="00840FA1" w:rsidP="00840FA1">
            <w:r w:rsidRPr="009E4E5E">
              <w:t>SolarCoins</w:t>
            </w:r>
          </w:p>
        </w:tc>
        <w:tc>
          <w:tcPr>
            <w:tcW w:w="0" w:type="auto"/>
          </w:tcPr>
          <w:p w:rsidR="00840FA1" w:rsidRPr="009E4E5E" w:rsidRDefault="00840FA1" w:rsidP="00840FA1">
            <w:r w:rsidRPr="009E4E5E">
              <w:t xml:space="preserve"> USA</w:t>
            </w:r>
          </w:p>
        </w:tc>
        <w:tc>
          <w:tcPr>
            <w:tcW w:w="0" w:type="auto"/>
          </w:tcPr>
          <w:p w:rsidR="00840FA1" w:rsidRPr="009E4E5E" w:rsidRDefault="00840FA1" w:rsidP="00840FA1">
            <w:pPr>
              <w:jc w:val="center"/>
            </w:pPr>
            <w:r w:rsidRPr="009E4E5E">
              <w:t>2014</w:t>
            </w:r>
          </w:p>
        </w:tc>
        <w:tc>
          <w:tcPr>
            <w:tcW w:w="0" w:type="auto"/>
          </w:tcPr>
          <w:p w:rsidR="00840FA1" w:rsidRPr="009E4E5E" w:rsidRDefault="00840FA1" w:rsidP="00840FA1">
            <w:r w:rsidRPr="009E4E5E">
              <w:t>SLR</w:t>
            </w:r>
          </w:p>
        </w:tc>
        <w:tc>
          <w:tcPr>
            <w:tcW w:w="0" w:type="auto"/>
          </w:tcPr>
          <w:p w:rsidR="00840FA1" w:rsidRPr="009E4E5E" w:rsidRDefault="00840FA1" w:rsidP="00840FA1">
            <w:r w:rsidRPr="009E4E5E">
              <w:t>SLR can be exchanged through online exchanges, Can be accepted for payments, like other digital currencies. Also SLR can be used as a reward for customers and could be used as a loyalty program. SLR could play a role in a revived carbon trade system via crypto carbon credits</w:t>
            </w:r>
          </w:p>
          <w:p w:rsidR="00840FA1" w:rsidRPr="009E4E5E" w:rsidRDefault="00840FA1" w:rsidP="00840FA1"/>
        </w:tc>
      </w:tr>
      <w:tr w:rsidR="00840FA1" w:rsidTr="004621E7">
        <w:trPr>
          <w:trHeight w:val="515"/>
        </w:trPr>
        <w:tc>
          <w:tcPr>
            <w:tcW w:w="0" w:type="auto"/>
          </w:tcPr>
          <w:p w:rsidR="00840FA1" w:rsidRPr="009E4E5E" w:rsidRDefault="00840FA1" w:rsidP="00840FA1">
            <w:r w:rsidRPr="009E4E5E">
              <w:t xml:space="preserve">WePower </w:t>
            </w:r>
          </w:p>
        </w:tc>
        <w:tc>
          <w:tcPr>
            <w:tcW w:w="0" w:type="auto"/>
          </w:tcPr>
          <w:p w:rsidR="00840FA1" w:rsidRPr="009E4E5E" w:rsidRDefault="00840FA1" w:rsidP="00840FA1">
            <w:r w:rsidRPr="009E4E5E">
              <w:t>Lithuania</w:t>
            </w:r>
          </w:p>
        </w:tc>
        <w:tc>
          <w:tcPr>
            <w:tcW w:w="0" w:type="auto"/>
          </w:tcPr>
          <w:p w:rsidR="00840FA1" w:rsidRPr="009E4E5E" w:rsidRDefault="00840FA1" w:rsidP="00840FA1">
            <w:pPr>
              <w:jc w:val="center"/>
            </w:pPr>
            <w:r w:rsidRPr="009E4E5E">
              <w:t>2017</w:t>
            </w:r>
          </w:p>
        </w:tc>
        <w:tc>
          <w:tcPr>
            <w:tcW w:w="0" w:type="auto"/>
          </w:tcPr>
          <w:p w:rsidR="00840FA1" w:rsidRPr="009E4E5E" w:rsidRDefault="00840FA1" w:rsidP="00840FA1">
            <w:r w:rsidRPr="009E4E5E">
              <w:t>WPR</w:t>
            </w:r>
          </w:p>
        </w:tc>
        <w:tc>
          <w:tcPr>
            <w:tcW w:w="0" w:type="auto"/>
          </w:tcPr>
          <w:p w:rsidR="00840FA1" w:rsidRPr="009E4E5E" w:rsidRDefault="00840FA1" w:rsidP="00840FA1">
            <w:r w:rsidRPr="009E4E5E">
              <w:t>Each token represents a specific amount of energy to be delivered at a future date</w:t>
            </w:r>
          </w:p>
        </w:tc>
      </w:tr>
      <w:tr w:rsidR="00840FA1" w:rsidTr="004621E7">
        <w:trPr>
          <w:trHeight w:val="252"/>
        </w:trPr>
        <w:tc>
          <w:tcPr>
            <w:tcW w:w="0" w:type="auto"/>
          </w:tcPr>
          <w:p w:rsidR="00840FA1" w:rsidRPr="009E4E5E" w:rsidRDefault="00840FA1" w:rsidP="00840FA1">
            <w:r w:rsidRPr="009E4E5E">
              <w:t>Grid+ (GRID)</w:t>
            </w:r>
          </w:p>
        </w:tc>
        <w:tc>
          <w:tcPr>
            <w:tcW w:w="0" w:type="auto"/>
          </w:tcPr>
          <w:p w:rsidR="00840FA1" w:rsidRPr="009E4E5E" w:rsidRDefault="00840FA1" w:rsidP="00840FA1"/>
        </w:tc>
        <w:tc>
          <w:tcPr>
            <w:tcW w:w="0" w:type="auto"/>
          </w:tcPr>
          <w:p w:rsidR="00840FA1" w:rsidRPr="009E4E5E" w:rsidRDefault="00840FA1" w:rsidP="00840FA1">
            <w:pPr>
              <w:jc w:val="center"/>
            </w:pPr>
            <w:r w:rsidRPr="009E4E5E">
              <w:t>2020</w:t>
            </w:r>
          </w:p>
        </w:tc>
        <w:tc>
          <w:tcPr>
            <w:tcW w:w="0" w:type="auto"/>
          </w:tcPr>
          <w:p w:rsidR="00840FA1" w:rsidRPr="009E4E5E" w:rsidRDefault="00840FA1" w:rsidP="00840FA1">
            <w:r w:rsidRPr="009E4E5E">
              <w:t>GRID</w:t>
            </w:r>
          </w:p>
          <w:p w:rsidR="00840FA1" w:rsidRPr="009E4E5E" w:rsidRDefault="00840FA1" w:rsidP="00840FA1">
            <w:r w:rsidRPr="009E4E5E">
              <w:t>Bolt</w:t>
            </w:r>
          </w:p>
        </w:tc>
        <w:tc>
          <w:tcPr>
            <w:tcW w:w="0" w:type="auto"/>
          </w:tcPr>
          <w:p w:rsidR="00840FA1" w:rsidRPr="009E4E5E" w:rsidRDefault="00840FA1" w:rsidP="00840FA1">
            <w:r w:rsidRPr="009E4E5E">
              <w:t>cryptocurrency operating on the ETH platform, that gives consumers direct access to whole- sale energy markets (USA)</w:t>
            </w:r>
          </w:p>
        </w:tc>
      </w:tr>
      <w:tr w:rsidR="00840FA1" w:rsidTr="004621E7">
        <w:trPr>
          <w:trHeight w:val="252"/>
        </w:trPr>
        <w:tc>
          <w:tcPr>
            <w:tcW w:w="0" w:type="auto"/>
          </w:tcPr>
          <w:p w:rsidR="00840FA1" w:rsidRPr="009E4E5E" w:rsidRDefault="00840FA1" w:rsidP="00840FA1">
            <w:r w:rsidRPr="009E4E5E">
              <w:t>Rowan energy</w:t>
            </w:r>
          </w:p>
        </w:tc>
        <w:tc>
          <w:tcPr>
            <w:tcW w:w="0" w:type="auto"/>
          </w:tcPr>
          <w:p w:rsidR="00840FA1" w:rsidRPr="009E4E5E" w:rsidRDefault="00840FA1" w:rsidP="00840FA1">
            <w:r w:rsidRPr="009E4E5E">
              <w:t>United Kingdom</w:t>
            </w:r>
          </w:p>
        </w:tc>
        <w:tc>
          <w:tcPr>
            <w:tcW w:w="0" w:type="auto"/>
          </w:tcPr>
          <w:p w:rsidR="00840FA1" w:rsidRPr="009E4E5E" w:rsidRDefault="00840FA1" w:rsidP="00840FA1">
            <w:pPr>
              <w:jc w:val="center"/>
            </w:pPr>
          </w:p>
        </w:tc>
        <w:tc>
          <w:tcPr>
            <w:tcW w:w="0" w:type="auto"/>
          </w:tcPr>
          <w:p w:rsidR="00840FA1" w:rsidRPr="009E4E5E" w:rsidRDefault="00840FA1" w:rsidP="00840FA1">
            <w:r w:rsidRPr="009E4E5E">
              <w:t>RWN</w:t>
            </w:r>
          </w:p>
        </w:tc>
        <w:tc>
          <w:tcPr>
            <w:tcW w:w="0" w:type="auto"/>
          </w:tcPr>
          <w:p w:rsidR="00840FA1" w:rsidRPr="009E4E5E" w:rsidRDefault="004906CD" w:rsidP="00840FA1">
            <w:r w:rsidRPr="009E4E5E">
              <w:t>Energy transactions paying bills, Carbon offset certificates, Charge EV etc</w:t>
            </w:r>
          </w:p>
        </w:tc>
      </w:tr>
      <w:tr w:rsidR="00840FA1" w:rsidTr="004621E7">
        <w:trPr>
          <w:trHeight w:val="1032"/>
        </w:trPr>
        <w:tc>
          <w:tcPr>
            <w:tcW w:w="0" w:type="auto"/>
          </w:tcPr>
          <w:p w:rsidR="00840FA1" w:rsidRPr="009E4E5E" w:rsidRDefault="00840FA1" w:rsidP="00840FA1">
            <w:r w:rsidRPr="009E4E5E">
              <w:t>EnergiMine</w:t>
            </w:r>
          </w:p>
        </w:tc>
        <w:tc>
          <w:tcPr>
            <w:tcW w:w="0" w:type="auto"/>
          </w:tcPr>
          <w:p w:rsidR="00840FA1" w:rsidRPr="009E4E5E" w:rsidRDefault="00840FA1" w:rsidP="00840FA1">
            <w:r w:rsidRPr="009E4E5E">
              <w:t>United Kingdom</w:t>
            </w:r>
          </w:p>
        </w:tc>
        <w:tc>
          <w:tcPr>
            <w:tcW w:w="0" w:type="auto"/>
          </w:tcPr>
          <w:p w:rsidR="00840FA1" w:rsidRPr="009E4E5E" w:rsidRDefault="00840FA1" w:rsidP="00840FA1">
            <w:pPr>
              <w:jc w:val="center"/>
            </w:pPr>
            <w:r w:rsidRPr="009E4E5E">
              <w:t>2021</w:t>
            </w:r>
          </w:p>
        </w:tc>
        <w:tc>
          <w:tcPr>
            <w:tcW w:w="0" w:type="auto"/>
          </w:tcPr>
          <w:p w:rsidR="00840FA1" w:rsidRPr="009E4E5E" w:rsidRDefault="00840FA1" w:rsidP="00840FA1">
            <w:r w:rsidRPr="009E4E5E">
              <w:t>ETK</w:t>
            </w:r>
          </w:p>
        </w:tc>
        <w:tc>
          <w:tcPr>
            <w:tcW w:w="0" w:type="auto"/>
          </w:tcPr>
          <w:p w:rsidR="00840FA1" w:rsidRPr="009E4E5E" w:rsidRDefault="00840FA1" w:rsidP="00840FA1">
            <w:r w:rsidRPr="009E4E5E">
              <w:t>Rewards users with ETK tokens for energy saving behavior and using renewable energy. These tokens can be traded or used to pay for energy bills, electric vehicle charging, and other energy related services.</w:t>
            </w:r>
          </w:p>
        </w:tc>
      </w:tr>
      <w:tr w:rsidR="00840FA1" w:rsidTr="004621E7">
        <w:trPr>
          <w:trHeight w:val="252"/>
        </w:trPr>
        <w:tc>
          <w:tcPr>
            <w:tcW w:w="0" w:type="auto"/>
          </w:tcPr>
          <w:p w:rsidR="00840FA1" w:rsidRPr="009E4E5E" w:rsidRDefault="00840FA1" w:rsidP="00840FA1">
            <w:r w:rsidRPr="009E4E5E">
              <w:t>SunContract</w:t>
            </w:r>
          </w:p>
        </w:tc>
        <w:tc>
          <w:tcPr>
            <w:tcW w:w="0" w:type="auto"/>
          </w:tcPr>
          <w:p w:rsidR="00840FA1" w:rsidRPr="009E4E5E" w:rsidRDefault="00840FA1" w:rsidP="00840FA1">
            <w:r w:rsidRPr="009E4E5E">
              <w:t>Slovenia</w:t>
            </w:r>
          </w:p>
        </w:tc>
        <w:tc>
          <w:tcPr>
            <w:tcW w:w="0" w:type="auto"/>
          </w:tcPr>
          <w:p w:rsidR="00840FA1" w:rsidRPr="009E4E5E" w:rsidRDefault="00840FA1" w:rsidP="00840FA1">
            <w:pPr>
              <w:jc w:val="center"/>
            </w:pPr>
            <w:r w:rsidRPr="009E4E5E">
              <w:t>2019</w:t>
            </w:r>
          </w:p>
        </w:tc>
        <w:tc>
          <w:tcPr>
            <w:tcW w:w="0" w:type="auto"/>
          </w:tcPr>
          <w:p w:rsidR="00840FA1" w:rsidRPr="009E4E5E" w:rsidRDefault="00840FA1" w:rsidP="00840FA1">
            <w:r w:rsidRPr="009E4E5E">
              <w:t>SNC</w:t>
            </w:r>
          </w:p>
        </w:tc>
        <w:tc>
          <w:tcPr>
            <w:tcW w:w="0" w:type="auto"/>
          </w:tcPr>
          <w:p w:rsidR="00840FA1" w:rsidRPr="009E4E5E" w:rsidRDefault="00840FA1" w:rsidP="00840FA1">
            <w:r w:rsidRPr="009E4E5E">
              <w:t>Users need SNC tokens to trade on the platform</w:t>
            </w:r>
          </w:p>
        </w:tc>
      </w:tr>
      <w:tr w:rsidR="00840FA1" w:rsidTr="004621E7">
        <w:trPr>
          <w:trHeight w:val="1021"/>
        </w:trPr>
        <w:tc>
          <w:tcPr>
            <w:tcW w:w="0" w:type="auto"/>
          </w:tcPr>
          <w:p w:rsidR="00840FA1" w:rsidRPr="009E4E5E" w:rsidRDefault="00840FA1" w:rsidP="00840FA1">
            <w:r w:rsidRPr="009E4E5E">
              <w:t>ElectrifyAsia</w:t>
            </w:r>
          </w:p>
        </w:tc>
        <w:tc>
          <w:tcPr>
            <w:tcW w:w="0" w:type="auto"/>
          </w:tcPr>
          <w:p w:rsidR="00840FA1" w:rsidRPr="009E4E5E" w:rsidRDefault="00840FA1" w:rsidP="00840FA1">
            <w:r w:rsidRPr="009E4E5E">
              <w:t>Singapore</w:t>
            </w:r>
          </w:p>
        </w:tc>
        <w:tc>
          <w:tcPr>
            <w:tcW w:w="0" w:type="auto"/>
          </w:tcPr>
          <w:p w:rsidR="00840FA1" w:rsidRPr="009E4E5E" w:rsidRDefault="00D50D16" w:rsidP="00840FA1">
            <w:pPr>
              <w:jc w:val="center"/>
            </w:pPr>
            <w:r w:rsidRPr="009E4E5E">
              <w:t>2017</w:t>
            </w:r>
          </w:p>
        </w:tc>
        <w:tc>
          <w:tcPr>
            <w:tcW w:w="0" w:type="auto"/>
          </w:tcPr>
          <w:p w:rsidR="00840FA1" w:rsidRPr="009E4E5E" w:rsidRDefault="00840FA1" w:rsidP="00840FA1">
            <w:r w:rsidRPr="009E4E5E">
              <w:t>ELEC</w:t>
            </w:r>
          </w:p>
        </w:tc>
        <w:tc>
          <w:tcPr>
            <w:tcW w:w="0" w:type="auto"/>
          </w:tcPr>
          <w:p w:rsidR="00840FA1" w:rsidRPr="009E4E5E" w:rsidRDefault="00840FA1" w:rsidP="00840FA1">
            <w:r w:rsidRPr="009E4E5E">
              <w:t>Synergy is the P2P energy trading platform</w:t>
            </w:r>
          </w:p>
          <w:p w:rsidR="00840FA1" w:rsidRPr="009E4E5E" w:rsidRDefault="00840FA1" w:rsidP="00840FA1">
            <w:r w:rsidRPr="009E4E5E">
              <w:t>ELEC used as a deposit to gain access to the Marketplace and list their available energy for sale. ELEC tokens to consumers as part of a loyalty rewards program</w:t>
            </w:r>
          </w:p>
        </w:tc>
      </w:tr>
      <w:tr w:rsidR="00840FA1" w:rsidTr="004621E7">
        <w:trPr>
          <w:trHeight w:val="1021"/>
        </w:trPr>
        <w:tc>
          <w:tcPr>
            <w:tcW w:w="0" w:type="auto"/>
          </w:tcPr>
          <w:p w:rsidR="00840FA1" w:rsidRPr="009E4E5E" w:rsidRDefault="00CB4EE1" w:rsidP="00840FA1">
            <w:r w:rsidRPr="009E4E5E">
              <w:t>Efforce</w:t>
            </w:r>
          </w:p>
        </w:tc>
        <w:tc>
          <w:tcPr>
            <w:tcW w:w="0" w:type="auto"/>
          </w:tcPr>
          <w:p w:rsidR="00840FA1" w:rsidRPr="009E4E5E" w:rsidRDefault="002605B2" w:rsidP="00840FA1">
            <w:r w:rsidRPr="009E4E5E">
              <w:t xml:space="preserve">Bahamas </w:t>
            </w:r>
          </w:p>
        </w:tc>
        <w:tc>
          <w:tcPr>
            <w:tcW w:w="0" w:type="auto"/>
          </w:tcPr>
          <w:p w:rsidR="00840FA1" w:rsidRPr="009E4E5E" w:rsidRDefault="00CB4EE1" w:rsidP="00840FA1">
            <w:pPr>
              <w:jc w:val="center"/>
            </w:pPr>
            <w:r w:rsidRPr="009E4E5E">
              <w:t>2018</w:t>
            </w:r>
          </w:p>
        </w:tc>
        <w:tc>
          <w:tcPr>
            <w:tcW w:w="0" w:type="auto"/>
          </w:tcPr>
          <w:p w:rsidR="00840FA1" w:rsidRPr="009E4E5E" w:rsidRDefault="00CB4EE1" w:rsidP="00840FA1">
            <w:r w:rsidRPr="009E4E5E">
              <w:t>WOZX</w:t>
            </w:r>
          </w:p>
        </w:tc>
        <w:tc>
          <w:tcPr>
            <w:tcW w:w="0" w:type="auto"/>
          </w:tcPr>
          <w:p w:rsidR="00840FA1" w:rsidRPr="009E4E5E" w:rsidRDefault="004906CD" w:rsidP="002605B2">
            <w:r w:rsidRPr="009E4E5E">
              <w:t>The foundational utility token for the EFFORCE platform</w:t>
            </w:r>
          </w:p>
        </w:tc>
      </w:tr>
    </w:tbl>
    <w:p w:rsidR="00224236" w:rsidRDefault="00224236" w:rsidP="00630D8E">
      <w:pPr>
        <w:rPr>
          <w:b/>
        </w:rPr>
      </w:pPr>
    </w:p>
    <w:p w:rsidR="000C6DA1" w:rsidRPr="00263E5A" w:rsidRDefault="00630D8E" w:rsidP="00630D8E">
      <w:pPr>
        <w:rPr>
          <w:rFonts w:ascii="Times New Roman" w:hAnsi="Times New Roman" w:cs="Times New Roman"/>
          <w:b/>
          <w:sz w:val="24"/>
          <w:szCs w:val="24"/>
        </w:rPr>
      </w:pPr>
      <w:r w:rsidRPr="00263E5A">
        <w:rPr>
          <w:rFonts w:ascii="Times New Roman" w:hAnsi="Times New Roman" w:cs="Times New Roman"/>
          <w:b/>
          <w:sz w:val="24"/>
          <w:szCs w:val="24"/>
        </w:rPr>
        <w:t>Discussions</w:t>
      </w:r>
    </w:p>
    <w:p w:rsidR="00EA72CE" w:rsidRDefault="00630D8E" w:rsidP="00EA72CE">
      <w:r w:rsidRPr="00630D8E">
        <w:lastRenderedPageBreak/>
        <w:t xml:space="preserve">The considerations on tokenization in the field of </w:t>
      </w:r>
      <w:r>
        <w:t xml:space="preserve">energy trading is </w:t>
      </w:r>
      <w:r w:rsidRPr="00630D8E">
        <w:t>presented in this study have allowed the autho</w:t>
      </w:r>
      <w:r>
        <w:t>rs to formulate a number of con</w:t>
      </w:r>
      <w:r w:rsidRPr="00630D8E">
        <w:t>clusi</w:t>
      </w:r>
      <w:r w:rsidR="001553E6">
        <w:t>ons.</w:t>
      </w:r>
    </w:p>
    <w:p w:rsidR="00EA72CE" w:rsidRPr="00EA72CE" w:rsidRDefault="00EA72CE" w:rsidP="00EA72CE">
      <w:r w:rsidRPr="00EA72CE">
        <w:t>The development of standardized interoperability protocols can facilitate seamless communication and data exchange between different blockchain platforms and energy systems.</w:t>
      </w:r>
      <w:r>
        <w:t xml:space="preserve"> </w:t>
      </w:r>
      <w:r w:rsidRPr="00EA72CE">
        <w:t>The Internet of Things (IoT) can enable smooth interaction b</w:t>
      </w:r>
      <w:r w:rsidR="00F806EE">
        <w:t>etween smart devices and tokens</w:t>
      </w:r>
      <w:r w:rsidRPr="00EA72CE">
        <w:t xml:space="preserve"> platforms, optimizing energy</w:t>
      </w:r>
      <w:r w:rsidR="00F806EE">
        <w:t xml:space="preserve"> usage and automating processes</w:t>
      </w:r>
      <w:r>
        <w:t xml:space="preserve">. Implementing clear and supportive regulations for P2P energy trading and energy tokens can encourage innovation and wider adoption by governments. </w:t>
      </w:r>
      <w:r w:rsidRPr="00EA72CE">
        <w:t>Regulations should ensure consumer protection from scams and promote responsible use of P2P energy trading platforms.</w:t>
      </w:r>
    </w:p>
    <w:p w:rsidR="00630D8E" w:rsidRDefault="0059494C" w:rsidP="00630D8E">
      <w:r>
        <w:t>Table 5 shows the token’s utility and value propositions.</w:t>
      </w:r>
    </w:p>
    <w:p w:rsidR="003C76E6" w:rsidRPr="00CE1313" w:rsidRDefault="003C76E6" w:rsidP="000C6DA1">
      <w:pPr>
        <w:rPr>
          <w:b/>
          <w:sz w:val="32"/>
          <w:u w:val="single"/>
        </w:rPr>
      </w:pPr>
    </w:p>
    <w:p w:rsidR="00BC533B" w:rsidRDefault="009325C0" w:rsidP="00CE1313">
      <w:r>
        <w:t>Table</w:t>
      </w:r>
      <w:r w:rsidR="00745B77">
        <w:t xml:space="preserve"> 5</w:t>
      </w:r>
      <w:r>
        <w:t>: Utility and Value Propositions of Tokens</w:t>
      </w:r>
    </w:p>
    <w:tbl>
      <w:tblPr>
        <w:tblStyle w:val="TableGrid"/>
        <w:tblW w:w="947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85"/>
        <w:gridCol w:w="4334"/>
        <w:gridCol w:w="3160"/>
      </w:tblGrid>
      <w:tr w:rsidR="00331844" w:rsidRPr="00A27C37" w:rsidTr="00983D79">
        <w:trPr>
          <w:trHeight w:val="294"/>
        </w:trPr>
        <w:tc>
          <w:tcPr>
            <w:tcW w:w="1985" w:type="dxa"/>
          </w:tcPr>
          <w:p w:rsidR="00331844" w:rsidRPr="00A27C37" w:rsidRDefault="00331844" w:rsidP="009A0DB0">
            <w:r w:rsidRPr="00A27C37">
              <w:t>Use Case</w:t>
            </w:r>
          </w:p>
        </w:tc>
        <w:tc>
          <w:tcPr>
            <w:tcW w:w="4334" w:type="dxa"/>
          </w:tcPr>
          <w:p w:rsidR="00331844" w:rsidRPr="00A27C37" w:rsidRDefault="00331844" w:rsidP="009A0DB0">
            <w:r w:rsidRPr="00A27C37">
              <w:t>Description</w:t>
            </w:r>
          </w:p>
        </w:tc>
        <w:tc>
          <w:tcPr>
            <w:tcW w:w="3160" w:type="dxa"/>
          </w:tcPr>
          <w:p w:rsidR="00331844" w:rsidRPr="00A27C37" w:rsidRDefault="00331844" w:rsidP="009A0DB0">
            <w:r w:rsidRPr="00A27C37">
              <w:t>Example of Energy Token</w:t>
            </w:r>
          </w:p>
        </w:tc>
      </w:tr>
      <w:tr w:rsidR="00331844" w:rsidRPr="00A27C37" w:rsidTr="00983D79">
        <w:trPr>
          <w:trHeight w:val="1135"/>
        </w:trPr>
        <w:tc>
          <w:tcPr>
            <w:tcW w:w="1985" w:type="dxa"/>
          </w:tcPr>
          <w:p w:rsidR="00331844" w:rsidRPr="00A27C37" w:rsidRDefault="00331844" w:rsidP="009A0DB0">
            <w:r w:rsidRPr="00A27C37">
              <w:t>Investment</w:t>
            </w:r>
          </w:p>
        </w:tc>
        <w:tc>
          <w:tcPr>
            <w:tcW w:w="4334" w:type="dxa"/>
          </w:tcPr>
          <w:p w:rsidR="00331844" w:rsidRPr="00A27C37" w:rsidRDefault="00331844" w:rsidP="009A0DB0">
            <w:r w:rsidRPr="00A27C37">
              <w:t>Fractional ownership of renewable energy projects, enabling broader investor participation.</w:t>
            </w:r>
          </w:p>
        </w:tc>
        <w:tc>
          <w:tcPr>
            <w:tcW w:w="3160" w:type="dxa"/>
          </w:tcPr>
          <w:p w:rsidR="00331844" w:rsidRPr="00A27C37" w:rsidRDefault="00331844" w:rsidP="009A0DB0">
            <w:r w:rsidRPr="00A27C37">
              <w:t>Power Ledger's POWR token can be used to invest in solar and wind projects.</w:t>
            </w:r>
            <w:r w:rsidR="0075367F">
              <w:t xml:space="preserve"> </w:t>
            </w:r>
            <w:r w:rsidR="00E75766">
              <w:t>WePower WPR tokens used for investment.</w:t>
            </w:r>
          </w:p>
        </w:tc>
      </w:tr>
      <w:tr w:rsidR="00331844" w:rsidRPr="00A27C37" w:rsidTr="00983D79">
        <w:trPr>
          <w:trHeight w:val="1149"/>
        </w:trPr>
        <w:tc>
          <w:tcPr>
            <w:tcW w:w="1985" w:type="dxa"/>
          </w:tcPr>
          <w:p w:rsidR="00331844" w:rsidRPr="00A27C37" w:rsidRDefault="00331844" w:rsidP="009A0DB0">
            <w:r w:rsidRPr="00A27C37">
              <w:t>Trading</w:t>
            </w:r>
          </w:p>
        </w:tc>
        <w:tc>
          <w:tcPr>
            <w:tcW w:w="4334" w:type="dxa"/>
          </w:tcPr>
          <w:p w:rsidR="00331844" w:rsidRPr="00A27C37" w:rsidRDefault="00331844" w:rsidP="009A0DB0">
            <w:r w:rsidRPr="00A27C37">
              <w:t>Secondary market trading of energy tokens for increased liquidity and price discovery.</w:t>
            </w:r>
          </w:p>
        </w:tc>
        <w:tc>
          <w:tcPr>
            <w:tcW w:w="3160" w:type="dxa"/>
          </w:tcPr>
          <w:p w:rsidR="00331844" w:rsidRPr="00A27C37" w:rsidRDefault="0073662F" w:rsidP="009A0DB0">
            <w:r>
              <w:t>SunContract's S</w:t>
            </w:r>
            <w:r w:rsidR="00331844" w:rsidRPr="00A27C37">
              <w:t>N</w:t>
            </w:r>
            <w:r>
              <w:t>C</w:t>
            </w:r>
            <w:r w:rsidR="00331844" w:rsidRPr="00A27C37">
              <w:t xml:space="preserve"> token allows for trading energy directly between consumers and producers.</w:t>
            </w:r>
          </w:p>
        </w:tc>
      </w:tr>
      <w:tr w:rsidR="00331844" w:rsidRPr="00A27C37" w:rsidTr="00983D79">
        <w:trPr>
          <w:trHeight w:val="1430"/>
        </w:trPr>
        <w:tc>
          <w:tcPr>
            <w:tcW w:w="1985" w:type="dxa"/>
          </w:tcPr>
          <w:p w:rsidR="00331844" w:rsidRPr="00A27C37" w:rsidRDefault="00331844" w:rsidP="009A0DB0">
            <w:r w:rsidRPr="00A27C37">
              <w:t>Payments</w:t>
            </w:r>
          </w:p>
        </w:tc>
        <w:tc>
          <w:tcPr>
            <w:tcW w:w="4334" w:type="dxa"/>
          </w:tcPr>
          <w:p w:rsidR="00331844" w:rsidRPr="00A27C37" w:rsidRDefault="00331844" w:rsidP="0075367F">
            <w:r w:rsidRPr="00A27C37">
              <w:t>Streamlined micropayments for peer-to-peer energy transactions .</w:t>
            </w:r>
          </w:p>
        </w:tc>
        <w:tc>
          <w:tcPr>
            <w:tcW w:w="3160" w:type="dxa"/>
          </w:tcPr>
          <w:p w:rsidR="00331844" w:rsidRDefault="00331844" w:rsidP="009A0DB0">
            <w:r w:rsidRPr="00A27C37">
              <w:t xml:space="preserve">Power Ledger's SPARKZ token represents the value of energy traded on the </w:t>
            </w:r>
            <w:r w:rsidR="00CB5201" w:rsidRPr="00A27C37">
              <w:t>platform,</w:t>
            </w:r>
          </w:p>
          <w:p w:rsidR="0073662F" w:rsidRPr="00A27C37" w:rsidRDefault="00C27FF2" w:rsidP="009A0DB0">
            <w:r>
              <w:t>SolarCoins used as payment like digital currencies</w:t>
            </w:r>
          </w:p>
        </w:tc>
      </w:tr>
      <w:tr w:rsidR="00331844" w:rsidRPr="00A27C37" w:rsidTr="00983D79">
        <w:trPr>
          <w:trHeight w:val="1149"/>
        </w:trPr>
        <w:tc>
          <w:tcPr>
            <w:tcW w:w="1985" w:type="dxa"/>
          </w:tcPr>
          <w:p w:rsidR="00331844" w:rsidRDefault="00331844" w:rsidP="009A0DB0">
            <w:r w:rsidRPr="00A27C37">
              <w:t>Carbon Offsetting</w:t>
            </w:r>
          </w:p>
          <w:p w:rsidR="006B3253" w:rsidRPr="00A27C37" w:rsidRDefault="006B3253" w:rsidP="009A0DB0">
            <w:r>
              <w:t>Carbon Credits</w:t>
            </w:r>
          </w:p>
        </w:tc>
        <w:tc>
          <w:tcPr>
            <w:tcW w:w="4334" w:type="dxa"/>
          </w:tcPr>
          <w:p w:rsidR="00331844" w:rsidRPr="00A27C37" w:rsidRDefault="00331844" w:rsidP="009A0DB0">
            <w:r w:rsidRPr="00A27C37">
              <w:t>Tokenization of carbon credits for efficient trading and verification of emissions reductions.</w:t>
            </w:r>
          </w:p>
        </w:tc>
        <w:tc>
          <w:tcPr>
            <w:tcW w:w="3160" w:type="dxa"/>
          </w:tcPr>
          <w:p w:rsidR="00331844" w:rsidRPr="00A27C37" w:rsidRDefault="00745B77" w:rsidP="009A0DB0">
            <w:r>
              <w:t xml:space="preserve">ROWN </w:t>
            </w:r>
            <w:r w:rsidR="00CB5201">
              <w:t>coin</w:t>
            </w:r>
            <w:r w:rsidR="00331844" w:rsidRPr="00A27C37">
              <w:t xml:space="preserve"> can be used to represent carbon credits and facilitate their trading.</w:t>
            </w:r>
          </w:p>
        </w:tc>
      </w:tr>
      <w:tr w:rsidR="00331844" w:rsidRPr="00BE3B33" w:rsidTr="00983D79">
        <w:trPr>
          <w:trHeight w:val="1444"/>
        </w:trPr>
        <w:tc>
          <w:tcPr>
            <w:tcW w:w="1985" w:type="dxa"/>
          </w:tcPr>
          <w:p w:rsidR="00331844" w:rsidRPr="00A27C37" w:rsidRDefault="00331844" w:rsidP="009A0DB0">
            <w:r w:rsidRPr="00A27C37">
              <w:t>Data Access</w:t>
            </w:r>
          </w:p>
        </w:tc>
        <w:tc>
          <w:tcPr>
            <w:tcW w:w="4334" w:type="dxa"/>
          </w:tcPr>
          <w:p w:rsidR="00331844" w:rsidRPr="00A27C37" w:rsidRDefault="00331844" w:rsidP="009A0DB0">
            <w:r w:rsidRPr="00A27C37">
              <w:t>Granting secure access to energy data (e.g., consumption patterns) through token ownership.</w:t>
            </w:r>
          </w:p>
        </w:tc>
        <w:tc>
          <w:tcPr>
            <w:tcW w:w="3160" w:type="dxa"/>
          </w:tcPr>
          <w:p w:rsidR="00331844" w:rsidRPr="00BE3B33" w:rsidRDefault="00331844" w:rsidP="009A0DB0">
            <w:r w:rsidRPr="00A27C37">
              <w:t>Grid+ utilize tokenization principles to incentivize data sharing for grid optimization.</w:t>
            </w:r>
          </w:p>
        </w:tc>
      </w:tr>
    </w:tbl>
    <w:p w:rsidR="00457F67" w:rsidRPr="00E81E83" w:rsidRDefault="00457F67" w:rsidP="00411845"/>
    <w:p w:rsidR="00D07D1D" w:rsidRDefault="00E81E83" w:rsidP="00E81E83">
      <w:pPr>
        <w:spacing w:line="480" w:lineRule="auto"/>
        <w:rPr>
          <w:rFonts w:ascii="Times New Roman" w:hAnsi="Times New Roman" w:cs="Times New Roman"/>
          <w:b/>
          <w:sz w:val="24"/>
          <w:szCs w:val="24"/>
        </w:rPr>
      </w:pPr>
      <w:r w:rsidRPr="00E81E83">
        <w:rPr>
          <w:rFonts w:ascii="Times New Roman" w:hAnsi="Times New Roman" w:cs="Times New Roman"/>
          <w:b/>
          <w:sz w:val="24"/>
          <w:szCs w:val="24"/>
        </w:rPr>
        <w:t>Conclusions</w:t>
      </w:r>
      <w:r w:rsidR="00D07D1D" w:rsidRPr="00E81E83">
        <w:rPr>
          <w:rFonts w:ascii="Times New Roman" w:hAnsi="Times New Roman" w:cs="Times New Roman"/>
          <w:b/>
          <w:sz w:val="24"/>
          <w:szCs w:val="24"/>
        </w:rPr>
        <w:t xml:space="preserve"> and Prospects for Further Studies</w:t>
      </w:r>
      <w:r>
        <w:rPr>
          <w:rFonts w:ascii="Times New Roman" w:hAnsi="Times New Roman" w:cs="Times New Roman"/>
          <w:b/>
          <w:sz w:val="24"/>
          <w:szCs w:val="24"/>
        </w:rPr>
        <w:t>:</w:t>
      </w:r>
    </w:p>
    <w:p w:rsidR="00E81E83" w:rsidRPr="00E81E83" w:rsidRDefault="00E81E83" w:rsidP="00E81E83">
      <w:r w:rsidRPr="00E81E83">
        <w:t xml:space="preserve">The </w:t>
      </w:r>
      <w:r>
        <w:t xml:space="preserve">study in this paper </w:t>
      </w:r>
      <w:r w:rsidRPr="00E81E83">
        <w:t>indicates that the adoption of blockchain technology in the global energy industry is rapidly increasing to address existing challenges and needs.</w:t>
      </w:r>
      <w:r w:rsidR="000249A2">
        <w:t xml:space="preserve"> While energy tokens hold great promise, they also face significant challenges and obstacles.</w:t>
      </w:r>
    </w:p>
    <w:p w:rsidR="00D07D1D" w:rsidRPr="003854B8" w:rsidRDefault="00D07D1D" w:rsidP="00D07D1D">
      <w:pPr>
        <w:spacing w:before="100" w:beforeAutospacing="1" w:after="100" w:afterAutospacing="1" w:line="240" w:lineRule="auto"/>
        <w:rPr>
          <w:rFonts w:ascii="Times New Roman" w:eastAsia="Times New Roman" w:hAnsi="Times New Roman" w:cs="Times New Roman"/>
          <w:sz w:val="24"/>
          <w:szCs w:val="24"/>
        </w:rPr>
      </w:pPr>
      <w:r w:rsidRPr="00EA72CE">
        <w:lastRenderedPageBreak/>
        <w:t xml:space="preserve">Gaining widespread user and utility adoption remains a key challenge. </w:t>
      </w:r>
      <w:r w:rsidR="00EA72CE">
        <w:t xml:space="preserve">Collaboration between industry players and continued investment in research and development can drive innovation and address technical challenges. </w:t>
      </w:r>
      <w:r w:rsidR="00EA72CE" w:rsidRPr="00EA72CE">
        <w:t>Educational efforts and building trust in the technology are crucial.</w:t>
      </w:r>
      <w:r w:rsidR="00EA72CE">
        <w:rPr>
          <w:rFonts w:ascii="Times New Roman" w:eastAsia="Times New Roman" w:hAnsi="Times New Roman" w:cs="Times New Roman"/>
          <w:sz w:val="24"/>
          <w:szCs w:val="24"/>
        </w:rPr>
        <w:t xml:space="preserve"> </w:t>
      </w:r>
      <w:r w:rsidR="00EA72CE">
        <w:t>For energy tokens to be widely adopted, they must integrate seamlessly with existing energy infrastructure.</w:t>
      </w:r>
    </w:p>
    <w:p w:rsidR="000249A2" w:rsidRPr="00263E5A" w:rsidRDefault="000249A2" w:rsidP="000249A2">
      <w:pPr>
        <w:spacing w:before="100" w:beforeAutospacing="1" w:after="100" w:afterAutospacing="1" w:line="240" w:lineRule="auto"/>
      </w:pPr>
      <w:r w:rsidRPr="00263E5A">
        <w:t xml:space="preserve">As the renewable energy sector continues to evolve, tokenization stands out as a key enabler of sustainable practices and economic growth. The intersection of tokenized carbon offsets and </w:t>
      </w:r>
      <w:r w:rsidR="00EA72CE" w:rsidRPr="00263E5A">
        <w:t>blockchain</w:t>
      </w:r>
      <w:r w:rsidRPr="00263E5A">
        <w:t xml:space="preserve"> cybersecurity holds immense promise for financing renewable energy projects </w:t>
      </w:r>
      <w:r w:rsidRPr="00263E5A">
        <w:fldChar w:fldCharType="begin" w:fldLock="1"/>
      </w:r>
      <w:r w:rsidRPr="00263E5A">
        <w:instrText>ADDIN CSL_CITATION {"citationItems":[{"id":"ITEM-1","itemData":{"DOI":"10.1109/COINS57856.2023.10189196","ISBN":"9798350346473","abstract":"Tokenization and blockchain technology might significantly improve the energy industry by making electricity production, transmission, and consumption more open, safe, and effective. Tokenization enables the establishment of digital assets that reflect ownership or access to energy resources and enables blockchain to trace the origin and flow of energy produced. By incorporating these elements, we can build a more distributed and egalitarian energy infrastructure and make it easier to use renewable energy. However, legal barriers, integration with current systems, and scalability remain obstacles to the widespread use of these technologies in the energy industry. Therefore, there is a need for more study and development before the energy industry can ultimately reap the benefits of blockchain and tokenization. Accordingly, in this work, we suggest a systematization of knowledge to capture recent development and summarize research in the blockchain domain and its application to the energy sector.","author":[{"dropping-particle":"","family":"Ilina","given":"Olga","non-dropping-particle":"","parse-names":false,"suffix":""},{"dropping-particle":"","family":"Tagirova","given":"Ksenia","non-dropping-particle":"","parse-names":false,"suffix":""},{"dropping-particle":"","family":"Barger","given":"Artem","non-dropping-particle":"","parse-names":false,"suffix":""},{"dropping-particle":"","family":"Gorgadze","given":"Vladimir","non-dropping-particle":"","parse-names":false,"suffix":""}],"container-title":"2023 IEEE International Conference on Omni-Layer Intelligent Systems, COINS 2023","id":"ITEM-1","issued":{"date-parts":[["2023"]]},"publisher":"Institute of Electrical and Electronics Engineers Inc.","title":"SoK: How Blockchain and Tokenization Will Transform the Energy Sector","type":"paper-conference"},"uris":["http://www.mendeley.com/documents/?uuid=0b660a05-83f9-3b93-92d2-75b64ac79ceb"]}],"mendeley":{"formattedCitation":"[68]","plainTextFormattedCitation":"[68]","previouslyFormattedCitation":"[68]"},"properties":{"noteIndex":0},"schema":"https://github.com/citation-style-language/schema/raw/master/csl-citation.json"}</w:instrText>
      </w:r>
      <w:r w:rsidRPr="00263E5A">
        <w:fldChar w:fldCharType="separate"/>
      </w:r>
      <w:r w:rsidRPr="00263E5A">
        <w:rPr>
          <w:noProof/>
        </w:rPr>
        <w:t>[68]</w:t>
      </w:r>
      <w:r w:rsidRPr="00263E5A">
        <w:fldChar w:fldCharType="end"/>
      </w:r>
      <w:r w:rsidRPr="00263E5A">
        <w:t xml:space="preserve">. Responsible practices and innovative solutions will be key to addressing climate change and securing our digital future, with more efficient trading and tracking of renewable energy assets. </w:t>
      </w:r>
    </w:p>
    <w:p w:rsidR="000249A2" w:rsidRDefault="000249A2" w:rsidP="000249A2"/>
    <w:p w:rsidR="000249A2" w:rsidRDefault="000249A2" w:rsidP="000249A2">
      <w:pPr>
        <w:spacing w:before="100" w:beforeAutospacing="1" w:after="100" w:afterAutospacing="1" w:line="240" w:lineRule="auto"/>
      </w:pPr>
    </w:p>
    <w:p w:rsidR="00457F67" w:rsidRDefault="00457F67" w:rsidP="00411845"/>
    <w:p w:rsidR="008C1E53" w:rsidRDefault="008C1E53" w:rsidP="00411845"/>
    <w:p w:rsidR="00411845" w:rsidRDefault="00760EDA" w:rsidP="00411845">
      <w:pPr>
        <w:sectPr w:rsidR="00411845">
          <w:pgSz w:w="12240" w:h="15840"/>
          <w:pgMar w:top="1440" w:right="1440" w:bottom="1440" w:left="1440" w:header="708" w:footer="708" w:gutter="0"/>
          <w:cols w:space="708"/>
          <w:docGrid w:linePitch="360"/>
        </w:sectPr>
      </w:pPr>
      <w:r>
        <w:t>Table</w:t>
      </w:r>
      <w:r w:rsidR="00745B77">
        <w:t xml:space="preserve"> 6:   Overview of the tokens analyzed in this paper.</w:t>
      </w:r>
    </w:p>
    <w:tbl>
      <w:tblPr>
        <w:tblStyle w:val="TableGrid"/>
        <w:tblpPr w:leftFromText="180" w:rightFromText="180" w:vertAnchor="text" w:horzAnchor="page" w:tblpX="351" w:tblpY="-1009"/>
        <w:tblW w:w="5922" w:type="pct"/>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669"/>
        <w:gridCol w:w="1028"/>
        <w:gridCol w:w="1271"/>
        <w:gridCol w:w="1418"/>
        <w:gridCol w:w="1274"/>
        <w:gridCol w:w="1560"/>
        <w:gridCol w:w="1560"/>
        <w:gridCol w:w="1299"/>
        <w:gridCol w:w="1185"/>
        <w:gridCol w:w="1397"/>
        <w:gridCol w:w="1689"/>
      </w:tblGrid>
      <w:tr w:rsidR="00962B71" w:rsidTr="00962B71">
        <w:trPr>
          <w:cantSplit/>
          <w:trHeight w:val="1184"/>
        </w:trPr>
        <w:tc>
          <w:tcPr>
            <w:tcW w:w="544" w:type="pct"/>
          </w:tcPr>
          <w:p w:rsidR="001553E6" w:rsidRDefault="001553E6" w:rsidP="00BC533B">
            <w:r>
              <w:lastRenderedPageBreak/>
              <w:t>Coin</w:t>
            </w:r>
          </w:p>
        </w:tc>
        <w:tc>
          <w:tcPr>
            <w:tcW w:w="335" w:type="pct"/>
          </w:tcPr>
          <w:p w:rsidR="001553E6" w:rsidRDefault="001553E6" w:rsidP="00BC533B">
            <w:r>
              <w:t>Symbol</w:t>
            </w:r>
          </w:p>
        </w:tc>
        <w:tc>
          <w:tcPr>
            <w:tcW w:w="414" w:type="pct"/>
          </w:tcPr>
          <w:p w:rsidR="001553E6" w:rsidRDefault="001553E6" w:rsidP="00BC533B">
            <w:r>
              <w:t>Consensus Mechanism</w:t>
            </w:r>
          </w:p>
        </w:tc>
        <w:tc>
          <w:tcPr>
            <w:tcW w:w="462" w:type="pct"/>
          </w:tcPr>
          <w:p w:rsidR="001553E6" w:rsidRDefault="001553E6" w:rsidP="00BC533B">
            <w:r>
              <w:t>Blockchain Platform</w:t>
            </w:r>
          </w:p>
        </w:tc>
        <w:tc>
          <w:tcPr>
            <w:tcW w:w="415" w:type="pct"/>
          </w:tcPr>
          <w:p w:rsidR="001553E6" w:rsidRDefault="001553E6" w:rsidP="00BC533B">
            <w:r>
              <w:t>Geographic Focus</w:t>
            </w:r>
          </w:p>
        </w:tc>
        <w:tc>
          <w:tcPr>
            <w:tcW w:w="508" w:type="pct"/>
          </w:tcPr>
          <w:p w:rsidR="001553E6" w:rsidRDefault="001553E6" w:rsidP="00CD4D7F">
            <w:r>
              <w:t>Token Functionality</w:t>
            </w:r>
          </w:p>
        </w:tc>
        <w:tc>
          <w:tcPr>
            <w:tcW w:w="508" w:type="pct"/>
          </w:tcPr>
          <w:p w:rsidR="001553E6" w:rsidRDefault="001553E6" w:rsidP="00BC533B">
            <w:r>
              <w:t xml:space="preserve">Token </w:t>
            </w:r>
          </w:p>
          <w:p w:rsidR="001553E6" w:rsidRDefault="001553E6" w:rsidP="00BC533B">
            <w:r>
              <w:t>Standards</w:t>
            </w:r>
          </w:p>
        </w:tc>
        <w:tc>
          <w:tcPr>
            <w:tcW w:w="423" w:type="pct"/>
          </w:tcPr>
          <w:p w:rsidR="001553E6" w:rsidRDefault="001553E6" w:rsidP="00BC533B">
            <w:r>
              <w:t>Potential Challenges</w:t>
            </w:r>
          </w:p>
        </w:tc>
        <w:tc>
          <w:tcPr>
            <w:tcW w:w="386" w:type="pct"/>
          </w:tcPr>
          <w:p w:rsidR="001553E6" w:rsidRDefault="001553E6" w:rsidP="00BC533B">
            <w:r>
              <w:t>Interoperability</w:t>
            </w:r>
          </w:p>
        </w:tc>
        <w:tc>
          <w:tcPr>
            <w:tcW w:w="455" w:type="pct"/>
          </w:tcPr>
          <w:p w:rsidR="001553E6" w:rsidRDefault="001553E6" w:rsidP="00BC533B">
            <w:r>
              <w:t>Type of energy</w:t>
            </w:r>
          </w:p>
        </w:tc>
        <w:tc>
          <w:tcPr>
            <w:tcW w:w="550" w:type="pct"/>
          </w:tcPr>
          <w:p w:rsidR="001553E6" w:rsidRDefault="001553E6" w:rsidP="00BC533B">
            <w:r>
              <w:t>Total supply</w:t>
            </w:r>
          </w:p>
        </w:tc>
      </w:tr>
      <w:tr w:rsidR="00962B71" w:rsidTr="00962B71">
        <w:trPr>
          <w:trHeight w:val="622"/>
        </w:trPr>
        <w:tc>
          <w:tcPr>
            <w:tcW w:w="544" w:type="pct"/>
          </w:tcPr>
          <w:p w:rsidR="001553E6" w:rsidRDefault="001553E6" w:rsidP="00BC533B">
            <w:r>
              <w:t>Powerledger</w:t>
            </w:r>
          </w:p>
        </w:tc>
        <w:tc>
          <w:tcPr>
            <w:tcW w:w="335" w:type="pct"/>
          </w:tcPr>
          <w:p w:rsidR="001553E6" w:rsidRDefault="001553E6" w:rsidP="00BC533B">
            <w:r>
              <w:rPr>
                <w:sz w:val="24"/>
              </w:rPr>
              <w:t xml:space="preserve">POWR </w:t>
            </w:r>
            <w:r w:rsidRPr="007D7C13">
              <w:rPr>
                <w:sz w:val="24"/>
              </w:rPr>
              <w:t>Sparkz</w:t>
            </w:r>
          </w:p>
        </w:tc>
        <w:tc>
          <w:tcPr>
            <w:tcW w:w="414" w:type="pct"/>
          </w:tcPr>
          <w:p w:rsidR="001553E6" w:rsidRDefault="001553E6" w:rsidP="00BC533B">
            <w:r>
              <w:t>PoS</w:t>
            </w:r>
          </w:p>
          <w:p w:rsidR="001553E6" w:rsidRDefault="001553E6" w:rsidP="00BC533B"/>
        </w:tc>
        <w:tc>
          <w:tcPr>
            <w:tcW w:w="462" w:type="pct"/>
          </w:tcPr>
          <w:p w:rsidR="001553E6" w:rsidRDefault="001553E6" w:rsidP="00552900">
            <w:r>
              <w:t xml:space="preserve">Powerledger blockchain </w:t>
            </w:r>
          </w:p>
          <w:p w:rsidR="001553E6" w:rsidRDefault="001553E6" w:rsidP="00552900">
            <w:r>
              <w:t>(Solana code)</w:t>
            </w:r>
          </w:p>
          <w:p w:rsidR="001553E6" w:rsidRDefault="001553E6" w:rsidP="00552900">
            <w:r>
              <w:t>Ethereum</w:t>
            </w:r>
          </w:p>
          <w:p w:rsidR="001553E6" w:rsidRDefault="001553E6" w:rsidP="00552900">
            <w:r>
              <w:t xml:space="preserve">(Previously) </w:t>
            </w:r>
          </w:p>
        </w:tc>
        <w:tc>
          <w:tcPr>
            <w:tcW w:w="415" w:type="pct"/>
          </w:tcPr>
          <w:p w:rsidR="001553E6" w:rsidRDefault="001553E6" w:rsidP="00BC533B">
            <w:r>
              <w:t>Globally</w:t>
            </w:r>
          </w:p>
        </w:tc>
        <w:tc>
          <w:tcPr>
            <w:tcW w:w="508" w:type="pct"/>
          </w:tcPr>
          <w:p w:rsidR="001553E6" w:rsidRDefault="00962B71" w:rsidP="00962B71">
            <w:r>
              <w:t xml:space="preserve">Platform and </w:t>
            </w:r>
            <w:r w:rsidR="001553E6">
              <w:t xml:space="preserve"> governance rights</w:t>
            </w:r>
            <w:r>
              <w:t>, Transactions</w:t>
            </w:r>
          </w:p>
        </w:tc>
        <w:tc>
          <w:tcPr>
            <w:tcW w:w="508" w:type="pct"/>
          </w:tcPr>
          <w:p w:rsidR="001553E6" w:rsidRDefault="001553E6" w:rsidP="00BC533B">
            <w:r>
              <w:t>Native Coin</w:t>
            </w:r>
          </w:p>
          <w:p w:rsidR="001553E6" w:rsidRDefault="001553E6" w:rsidP="00552900">
            <w:r>
              <w:t>ERC-20</w:t>
            </w:r>
          </w:p>
          <w:p w:rsidR="001553E6" w:rsidRDefault="001553E6" w:rsidP="00552900">
            <w:r>
              <w:t>Standard</w:t>
            </w:r>
          </w:p>
          <w:p w:rsidR="001553E6" w:rsidRDefault="001553E6" w:rsidP="00552900">
            <w:r>
              <w:t>(Previously)</w:t>
            </w:r>
          </w:p>
        </w:tc>
        <w:tc>
          <w:tcPr>
            <w:tcW w:w="423" w:type="pct"/>
          </w:tcPr>
          <w:p w:rsidR="001553E6" w:rsidRDefault="00962B71" w:rsidP="00BC533B">
            <w:r>
              <w:t>scalability, price volatility,</w:t>
            </w:r>
            <w:r w:rsidR="00177ADB">
              <w:t xml:space="preserve"> </w:t>
            </w:r>
            <w:r>
              <w:t>Regulatory</w:t>
            </w:r>
          </w:p>
        </w:tc>
        <w:tc>
          <w:tcPr>
            <w:tcW w:w="386" w:type="pct"/>
          </w:tcPr>
          <w:p w:rsidR="001553E6" w:rsidRDefault="001553E6" w:rsidP="00BC533B">
            <w:r>
              <w:t>Low</w:t>
            </w:r>
          </w:p>
        </w:tc>
        <w:tc>
          <w:tcPr>
            <w:tcW w:w="455" w:type="pct"/>
          </w:tcPr>
          <w:p w:rsidR="001553E6" w:rsidRDefault="001553E6" w:rsidP="00BC533B">
            <w:r>
              <w:t>Renewable energy sources</w:t>
            </w:r>
          </w:p>
        </w:tc>
        <w:tc>
          <w:tcPr>
            <w:tcW w:w="550" w:type="pct"/>
          </w:tcPr>
          <w:p w:rsidR="001553E6" w:rsidRDefault="001553E6" w:rsidP="00BC533B">
            <w:r w:rsidRPr="008C0929">
              <w:t>1 billion</w:t>
            </w:r>
          </w:p>
        </w:tc>
      </w:tr>
      <w:tr w:rsidR="00962B71" w:rsidTr="00962B71">
        <w:trPr>
          <w:trHeight w:val="595"/>
        </w:trPr>
        <w:tc>
          <w:tcPr>
            <w:tcW w:w="544" w:type="pct"/>
          </w:tcPr>
          <w:p w:rsidR="001553E6" w:rsidRDefault="001553E6" w:rsidP="00BC533B">
            <w:r>
              <w:t>Solarcoin Classic</w:t>
            </w:r>
          </w:p>
        </w:tc>
        <w:tc>
          <w:tcPr>
            <w:tcW w:w="335" w:type="pct"/>
          </w:tcPr>
          <w:p w:rsidR="001553E6" w:rsidRDefault="001553E6" w:rsidP="00BC533B">
            <w:r>
              <w:rPr>
                <w:sz w:val="24"/>
              </w:rPr>
              <w:t>SCC</w:t>
            </w:r>
          </w:p>
        </w:tc>
        <w:tc>
          <w:tcPr>
            <w:tcW w:w="414" w:type="pct"/>
          </w:tcPr>
          <w:p w:rsidR="001553E6" w:rsidRDefault="001553E6" w:rsidP="00BC533B">
            <w:r>
              <w:t>PoA</w:t>
            </w:r>
          </w:p>
        </w:tc>
        <w:tc>
          <w:tcPr>
            <w:tcW w:w="462" w:type="pct"/>
          </w:tcPr>
          <w:p w:rsidR="001553E6" w:rsidRDefault="001553E6" w:rsidP="00BC533B">
            <w:r>
              <w:t>Energy Web Chain</w:t>
            </w:r>
          </w:p>
        </w:tc>
        <w:tc>
          <w:tcPr>
            <w:tcW w:w="415" w:type="pct"/>
          </w:tcPr>
          <w:p w:rsidR="001553E6" w:rsidRDefault="001553E6" w:rsidP="00BC533B">
            <w:r>
              <w:t>Globally</w:t>
            </w:r>
          </w:p>
        </w:tc>
        <w:tc>
          <w:tcPr>
            <w:tcW w:w="508" w:type="pct"/>
          </w:tcPr>
          <w:p w:rsidR="001553E6" w:rsidRDefault="003010D3" w:rsidP="00BC533B">
            <w:r>
              <w:t>Rewards</w:t>
            </w:r>
          </w:p>
        </w:tc>
        <w:tc>
          <w:tcPr>
            <w:tcW w:w="508" w:type="pct"/>
          </w:tcPr>
          <w:p w:rsidR="001553E6" w:rsidRDefault="001553E6" w:rsidP="00BC533B"/>
          <w:p w:rsidR="001553E6" w:rsidRDefault="003E71CC" w:rsidP="00BC533B">
            <w:r>
              <w:t>Native token</w:t>
            </w:r>
          </w:p>
        </w:tc>
        <w:tc>
          <w:tcPr>
            <w:tcW w:w="423" w:type="pct"/>
          </w:tcPr>
          <w:p w:rsidR="001553E6" w:rsidRDefault="00177ADB" w:rsidP="00BC533B">
            <w:r>
              <w:t xml:space="preserve">Market </w:t>
            </w:r>
          </w:p>
        </w:tc>
        <w:tc>
          <w:tcPr>
            <w:tcW w:w="386" w:type="pct"/>
          </w:tcPr>
          <w:p w:rsidR="001553E6" w:rsidRDefault="001553E6" w:rsidP="00BC533B">
            <w:r>
              <w:t>Low</w:t>
            </w:r>
          </w:p>
        </w:tc>
        <w:tc>
          <w:tcPr>
            <w:tcW w:w="455" w:type="pct"/>
          </w:tcPr>
          <w:p w:rsidR="001553E6" w:rsidRDefault="001553E6" w:rsidP="00BC533B">
            <w:r>
              <w:t xml:space="preserve">Solar energy </w:t>
            </w:r>
          </w:p>
        </w:tc>
        <w:tc>
          <w:tcPr>
            <w:tcW w:w="550" w:type="pct"/>
          </w:tcPr>
          <w:p w:rsidR="001553E6" w:rsidRDefault="001553E6" w:rsidP="00BC533B">
            <w:r>
              <w:t>98.035 billion</w:t>
            </w:r>
          </w:p>
        </w:tc>
      </w:tr>
      <w:tr w:rsidR="00962B71" w:rsidTr="00962B71">
        <w:trPr>
          <w:trHeight w:val="595"/>
        </w:trPr>
        <w:tc>
          <w:tcPr>
            <w:tcW w:w="544" w:type="pct"/>
          </w:tcPr>
          <w:p w:rsidR="001553E6" w:rsidRDefault="001553E6" w:rsidP="00BC533B">
            <w:r>
              <w:t>WePower</w:t>
            </w:r>
          </w:p>
        </w:tc>
        <w:tc>
          <w:tcPr>
            <w:tcW w:w="335" w:type="pct"/>
          </w:tcPr>
          <w:p w:rsidR="001553E6" w:rsidRDefault="001553E6" w:rsidP="00BC533B">
            <w:r>
              <w:rPr>
                <w:sz w:val="24"/>
              </w:rPr>
              <w:t>WPR</w:t>
            </w:r>
          </w:p>
        </w:tc>
        <w:tc>
          <w:tcPr>
            <w:tcW w:w="414" w:type="pct"/>
          </w:tcPr>
          <w:p w:rsidR="001553E6" w:rsidRDefault="001553E6" w:rsidP="00BC533B">
            <w:r>
              <w:t>DPoS</w:t>
            </w:r>
          </w:p>
        </w:tc>
        <w:tc>
          <w:tcPr>
            <w:tcW w:w="462" w:type="pct"/>
          </w:tcPr>
          <w:p w:rsidR="001553E6" w:rsidRDefault="001553E6" w:rsidP="00636B67">
            <w:r>
              <w:t xml:space="preserve">Ethereum </w:t>
            </w:r>
          </w:p>
        </w:tc>
        <w:tc>
          <w:tcPr>
            <w:tcW w:w="415" w:type="pct"/>
          </w:tcPr>
          <w:p w:rsidR="001553E6" w:rsidRDefault="001553E6" w:rsidP="00BC533B">
            <w:r>
              <w:t>Globally</w:t>
            </w:r>
          </w:p>
        </w:tc>
        <w:tc>
          <w:tcPr>
            <w:tcW w:w="508" w:type="pct"/>
          </w:tcPr>
          <w:p w:rsidR="001553E6" w:rsidRDefault="001553E6" w:rsidP="00BC533B">
            <w:r>
              <w:t>Energy purchase, potential future staking rewards</w:t>
            </w:r>
          </w:p>
        </w:tc>
        <w:tc>
          <w:tcPr>
            <w:tcW w:w="508" w:type="pct"/>
          </w:tcPr>
          <w:p w:rsidR="001553E6" w:rsidRDefault="001553E6" w:rsidP="00BC533B">
            <w:r>
              <w:t>ERC-20</w:t>
            </w:r>
          </w:p>
          <w:p w:rsidR="001553E6" w:rsidRDefault="001553E6" w:rsidP="00BC533B">
            <w:r>
              <w:t>Standard</w:t>
            </w:r>
          </w:p>
        </w:tc>
        <w:tc>
          <w:tcPr>
            <w:tcW w:w="423" w:type="pct"/>
          </w:tcPr>
          <w:p w:rsidR="001553E6" w:rsidRDefault="00097182" w:rsidP="00BC533B">
            <w:r>
              <w:t>Scalability challenges</w:t>
            </w:r>
            <w:r w:rsidR="00177ADB">
              <w:t>,</w:t>
            </w:r>
          </w:p>
          <w:p w:rsidR="00177ADB" w:rsidRDefault="00177ADB" w:rsidP="00BC533B">
            <w:r>
              <w:t>Market adaptation</w:t>
            </w:r>
          </w:p>
        </w:tc>
        <w:tc>
          <w:tcPr>
            <w:tcW w:w="386" w:type="pct"/>
          </w:tcPr>
          <w:p w:rsidR="001553E6" w:rsidRDefault="001553E6" w:rsidP="00BC533B">
            <w:r>
              <w:t>High</w:t>
            </w:r>
          </w:p>
        </w:tc>
        <w:tc>
          <w:tcPr>
            <w:tcW w:w="455" w:type="pct"/>
          </w:tcPr>
          <w:p w:rsidR="001553E6" w:rsidRDefault="001553E6" w:rsidP="00BC533B">
            <w:r>
              <w:t>Renewable energy sources</w:t>
            </w:r>
          </w:p>
        </w:tc>
        <w:tc>
          <w:tcPr>
            <w:tcW w:w="550" w:type="pct"/>
          </w:tcPr>
          <w:p w:rsidR="001553E6" w:rsidRDefault="001553E6" w:rsidP="00BC533B">
            <w:r>
              <w:t>750 million</w:t>
            </w:r>
          </w:p>
          <w:p w:rsidR="001553E6" w:rsidRDefault="001553E6" w:rsidP="00BC533B">
            <w:r>
              <w:rPr>
                <w:rFonts w:ascii="Segoe UI" w:hAnsi="Segoe UI" w:cs="Segoe UI"/>
                <w:color w:val="000000"/>
                <w:sz w:val="20"/>
                <w:szCs w:val="20"/>
              </w:rPr>
              <w:t>745,248,183</w:t>
            </w:r>
          </w:p>
        </w:tc>
      </w:tr>
      <w:tr w:rsidR="00962B71" w:rsidTr="00962B71">
        <w:trPr>
          <w:trHeight w:val="595"/>
        </w:trPr>
        <w:tc>
          <w:tcPr>
            <w:tcW w:w="544" w:type="pct"/>
          </w:tcPr>
          <w:p w:rsidR="001553E6" w:rsidRDefault="001553E6" w:rsidP="00BC533B">
            <w:r>
              <w:t>Grid+</w:t>
            </w:r>
          </w:p>
        </w:tc>
        <w:tc>
          <w:tcPr>
            <w:tcW w:w="335" w:type="pct"/>
          </w:tcPr>
          <w:p w:rsidR="001553E6" w:rsidRDefault="001553E6" w:rsidP="00BC533B">
            <w:r>
              <w:rPr>
                <w:sz w:val="24"/>
              </w:rPr>
              <w:t>GRID</w:t>
            </w:r>
          </w:p>
        </w:tc>
        <w:tc>
          <w:tcPr>
            <w:tcW w:w="414" w:type="pct"/>
          </w:tcPr>
          <w:p w:rsidR="001553E6" w:rsidRDefault="001553E6" w:rsidP="00BC533B">
            <w:r>
              <w:t>Hybrid -  PoS &amp;PoA</w:t>
            </w:r>
          </w:p>
        </w:tc>
        <w:tc>
          <w:tcPr>
            <w:tcW w:w="462" w:type="pct"/>
          </w:tcPr>
          <w:p w:rsidR="001553E6" w:rsidRDefault="001553E6" w:rsidP="00636B67">
            <w:r>
              <w:t xml:space="preserve">Ethereum </w:t>
            </w:r>
          </w:p>
        </w:tc>
        <w:tc>
          <w:tcPr>
            <w:tcW w:w="415" w:type="pct"/>
          </w:tcPr>
          <w:p w:rsidR="001553E6" w:rsidRDefault="001553E6" w:rsidP="00BC533B"/>
        </w:tc>
        <w:tc>
          <w:tcPr>
            <w:tcW w:w="508" w:type="pct"/>
          </w:tcPr>
          <w:p w:rsidR="001553E6" w:rsidRDefault="003010D3" w:rsidP="00BC533B">
            <w:r>
              <w:t>Energy purchases</w:t>
            </w:r>
          </w:p>
        </w:tc>
        <w:tc>
          <w:tcPr>
            <w:tcW w:w="508" w:type="pct"/>
          </w:tcPr>
          <w:p w:rsidR="001553E6" w:rsidRDefault="001553E6" w:rsidP="00BC533B">
            <w:r>
              <w:t>ERC-20 standard</w:t>
            </w:r>
          </w:p>
        </w:tc>
        <w:tc>
          <w:tcPr>
            <w:tcW w:w="423" w:type="pct"/>
          </w:tcPr>
          <w:p w:rsidR="001553E6" w:rsidRDefault="00177ADB" w:rsidP="00BC533B">
            <w:r>
              <w:t>Regulatory hurdles, Price volatility</w:t>
            </w:r>
          </w:p>
        </w:tc>
        <w:tc>
          <w:tcPr>
            <w:tcW w:w="386" w:type="pct"/>
          </w:tcPr>
          <w:p w:rsidR="001553E6" w:rsidRDefault="00CB5201" w:rsidP="00BC533B">
            <w:r>
              <w:t>Low</w:t>
            </w:r>
          </w:p>
        </w:tc>
        <w:tc>
          <w:tcPr>
            <w:tcW w:w="455" w:type="pct"/>
          </w:tcPr>
          <w:p w:rsidR="001553E6" w:rsidRDefault="001553E6" w:rsidP="00BC533B">
            <w:r>
              <w:t>Renewable energy sources</w:t>
            </w:r>
          </w:p>
        </w:tc>
        <w:tc>
          <w:tcPr>
            <w:tcW w:w="550" w:type="pct"/>
          </w:tcPr>
          <w:p w:rsidR="001553E6" w:rsidRDefault="001553E6" w:rsidP="00BC533B">
            <w:r w:rsidRPr="00BA6E05">
              <w:t>300,000,000</w:t>
            </w:r>
          </w:p>
        </w:tc>
      </w:tr>
      <w:tr w:rsidR="00962B71" w:rsidTr="00962B71">
        <w:trPr>
          <w:trHeight w:val="595"/>
        </w:trPr>
        <w:tc>
          <w:tcPr>
            <w:tcW w:w="544" w:type="pct"/>
          </w:tcPr>
          <w:p w:rsidR="001553E6" w:rsidRDefault="001553E6" w:rsidP="00BC533B">
            <w:r>
              <w:t>Efforce</w:t>
            </w:r>
          </w:p>
        </w:tc>
        <w:tc>
          <w:tcPr>
            <w:tcW w:w="335" w:type="pct"/>
          </w:tcPr>
          <w:p w:rsidR="001553E6" w:rsidRDefault="001553E6" w:rsidP="00BC533B">
            <w:r>
              <w:rPr>
                <w:sz w:val="24"/>
              </w:rPr>
              <w:t>WOZX</w:t>
            </w:r>
          </w:p>
        </w:tc>
        <w:tc>
          <w:tcPr>
            <w:tcW w:w="414" w:type="pct"/>
          </w:tcPr>
          <w:p w:rsidR="001553E6" w:rsidRDefault="001553E6" w:rsidP="00BC533B">
            <w:r>
              <w:t xml:space="preserve"> PoSA</w:t>
            </w:r>
          </w:p>
        </w:tc>
        <w:tc>
          <w:tcPr>
            <w:tcW w:w="462" w:type="pct"/>
          </w:tcPr>
          <w:p w:rsidR="001553E6" w:rsidRDefault="001553E6" w:rsidP="00636B67">
            <w:r>
              <w:t xml:space="preserve">Ethereum </w:t>
            </w:r>
          </w:p>
        </w:tc>
        <w:tc>
          <w:tcPr>
            <w:tcW w:w="415" w:type="pct"/>
          </w:tcPr>
          <w:p w:rsidR="001553E6" w:rsidRDefault="001553E6" w:rsidP="00BC533B">
            <w:r>
              <w:t>Globally</w:t>
            </w:r>
          </w:p>
        </w:tc>
        <w:tc>
          <w:tcPr>
            <w:tcW w:w="508" w:type="pct"/>
          </w:tcPr>
          <w:p w:rsidR="001553E6" w:rsidRDefault="001553E6" w:rsidP="00BC533B">
            <w:r>
              <w:t>Platform rights and incentives</w:t>
            </w:r>
          </w:p>
        </w:tc>
        <w:tc>
          <w:tcPr>
            <w:tcW w:w="508" w:type="pct"/>
          </w:tcPr>
          <w:p w:rsidR="001553E6" w:rsidRDefault="001553E6" w:rsidP="00BC533B">
            <w:r>
              <w:t>ERC-20 standard</w:t>
            </w:r>
          </w:p>
        </w:tc>
        <w:tc>
          <w:tcPr>
            <w:tcW w:w="423" w:type="pct"/>
          </w:tcPr>
          <w:p w:rsidR="001553E6" w:rsidRDefault="00962B71" w:rsidP="00BC533B">
            <w:r>
              <w:t>token price volatility,  scalability</w:t>
            </w:r>
          </w:p>
        </w:tc>
        <w:tc>
          <w:tcPr>
            <w:tcW w:w="386" w:type="pct"/>
          </w:tcPr>
          <w:p w:rsidR="001553E6" w:rsidRDefault="001553E6" w:rsidP="00BC533B">
            <w:r>
              <w:t>High</w:t>
            </w:r>
          </w:p>
        </w:tc>
        <w:tc>
          <w:tcPr>
            <w:tcW w:w="455" w:type="pct"/>
          </w:tcPr>
          <w:p w:rsidR="001553E6" w:rsidRDefault="001553E6" w:rsidP="00BC533B">
            <w:r>
              <w:t>Renewable energy sources</w:t>
            </w:r>
          </w:p>
        </w:tc>
        <w:tc>
          <w:tcPr>
            <w:tcW w:w="550" w:type="pct"/>
          </w:tcPr>
          <w:p w:rsidR="001553E6" w:rsidRDefault="001553E6" w:rsidP="00C4083C">
            <w:r w:rsidRPr="00107D52">
              <w:t>1</w:t>
            </w:r>
            <w:r>
              <w:t xml:space="preserve"> bilion</w:t>
            </w:r>
          </w:p>
        </w:tc>
      </w:tr>
      <w:tr w:rsidR="00962B71" w:rsidTr="00962B71">
        <w:trPr>
          <w:trHeight w:val="622"/>
        </w:trPr>
        <w:tc>
          <w:tcPr>
            <w:tcW w:w="544" w:type="pct"/>
          </w:tcPr>
          <w:p w:rsidR="001553E6" w:rsidRDefault="001553E6" w:rsidP="00BC533B">
            <w:r>
              <w:t>Rowan energy</w:t>
            </w:r>
          </w:p>
        </w:tc>
        <w:tc>
          <w:tcPr>
            <w:tcW w:w="335" w:type="pct"/>
          </w:tcPr>
          <w:p w:rsidR="001553E6" w:rsidRDefault="001553E6" w:rsidP="00BC533B">
            <w:pPr>
              <w:rPr>
                <w:sz w:val="24"/>
              </w:rPr>
            </w:pPr>
            <w:r>
              <w:rPr>
                <w:sz w:val="24"/>
              </w:rPr>
              <w:t>RWN</w:t>
            </w:r>
          </w:p>
          <w:p w:rsidR="001553E6" w:rsidRDefault="001553E6" w:rsidP="00BC533B">
            <w:r>
              <w:rPr>
                <w:sz w:val="24"/>
              </w:rPr>
              <w:t>ROC</w:t>
            </w:r>
          </w:p>
        </w:tc>
        <w:tc>
          <w:tcPr>
            <w:tcW w:w="414" w:type="pct"/>
          </w:tcPr>
          <w:p w:rsidR="001553E6" w:rsidRDefault="001553E6" w:rsidP="000C5458">
            <w:r>
              <w:t xml:space="preserve"> PoUG</w:t>
            </w:r>
            <w:r>
              <w:br/>
            </w:r>
          </w:p>
        </w:tc>
        <w:tc>
          <w:tcPr>
            <w:tcW w:w="462" w:type="pct"/>
          </w:tcPr>
          <w:p w:rsidR="001553E6" w:rsidRDefault="001553E6" w:rsidP="00BC533B">
            <w:r w:rsidRPr="00544BAF">
              <w:t>Rowan Blockchain</w:t>
            </w:r>
          </w:p>
        </w:tc>
        <w:tc>
          <w:tcPr>
            <w:tcW w:w="415" w:type="pct"/>
          </w:tcPr>
          <w:p w:rsidR="001553E6" w:rsidRDefault="001553E6" w:rsidP="00BC533B"/>
        </w:tc>
        <w:tc>
          <w:tcPr>
            <w:tcW w:w="508" w:type="pct"/>
          </w:tcPr>
          <w:p w:rsidR="001553E6" w:rsidRDefault="00177ADB" w:rsidP="00BC533B">
            <w:r>
              <w:t>transactions, carbon</w:t>
            </w:r>
            <w:r w:rsidR="00701B3C">
              <w:t xml:space="preserve"> offset, charge EV</w:t>
            </w:r>
          </w:p>
        </w:tc>
        <w:tc>
          <w:tcPr>
            <w:tcW w:w="508" w:type="pct"/>
          </w:tcPr>
          <w:p w:rsidR="001553E6" w:rsidRDefault="001553E6" w:rsidP="00BC533B">
            <w:r>
              <w:t>ERC-721</w:t>
            </w:r>
          </w:p>
          <w:p w:rsidR="001553E6" w:rsidRDefault="001553E6" w:rsidP="00BC533B">
            <w:r>
              <w:t>Standard</w:t>
            </w:r>
          </w:p>
        </w:tc>
        <w:tc>
          <w:tcPr>
            <w:tcW w:w="423" w:type="pct"/>
          </w:tcPr>
          <w:p w:rsidR="001553E6" w:rsidRDefault="00962B71" w:rsidP="00BC533B">
            <w:r>
              <w:t>regulatory uncertainty, token price volatility</w:t>
            </w:r>
          </w:p>
        </w:tc>
        <w:tc>
          <w:tcPr>
            <w:tcW w:w="386" w:type="pct"/>
          </w:tcPr>
          <w:p w:rsidR="001553E6" w:rsidRDefault="001553E6" w:rsidP="00BC533B">
            <w:r>
              <w:t>High</w:t>
            </w:r>
          </w:p>
        </w:tc>
        <w:tc>
          <w:tcPr>
            <w:tcW w:w="455" w:type="pct"/>
          </w:tcPr>
          <w:p w:rsidR="001553E6" w:rsidRDefault="001553E6" w:rsidP="00BC533B"/>
          <w:p w:rsidR="001553E6" w:rsidRDefault="001553E6" w:rsidP="00BC533B">
            <w:r>
              <w:t>carbon offsets</w:t>
            </w:r>
          </w:p>
        </w:tc>
        <w:tc>
          <w:tcPr>
            <w:tcW w:w="550" w:type="pct"/>
          </w:tcPr>
          <w:p w:rsidR="001553E6" w:rsidRDefault="001553E6" w:rsidP="00BC533B">
            <w:r w:rsidRPr="00B42E1F">
              <w:t>545,000,000</w:t>
            </w:r>
          </w:p>
        </w:tc>
      </w:tr>
      <w:tr w:rsidR="00962B71" w:rsidTr="00962B71">
        <w:trPr>
          <w:trHeight w:val="595"/>
        </w:trPr>
        <w:tc>
          <w:tcPr>
            <w:tcW w:w="544" w:type="pct"/>
          </w:tcPr>
          <w:p w:rsidR="001553E6" w:rsidRDefault="001553E6" w:rsidP="00BC533B">
            <w:r>
              <w:rPr>
                <w:sz w:val="24"/>
              </w:rPr>
              <w:t>EnergiMine</w:t>
            </w:r>
          </w:p>
        </w:tc>
        <w:tc>
          <w:tcPr>
            <w:tcW w:w="335" w:type="pct"/>
          </w:tcPr>
          <w:p w:rsidR="001553E6" w:rsidRDefault="001553E6" w:rsidP="00BC533B">
            <w:r>
              <w:t>ETK</w:t>
            </w:r>
          </w:p>
        </w:tc>
        <w:tc>
          <w:tcPr>
            <w:tcW w:w="414" w:type="pct"/>
          </w:tcPr>
          <w:p w:rsidR="001553E6" w:rsidRDefault="001553E6" w:rsidP="00BC533B">
            <w:r>
              <w:t>PoS</w:t>
            </w:r>
          </w:p>
        </w:tc>
        <w:tc>
          <w:tcPr>
            <w:tcW w:w="462" w:type="pct"/>
          </w:tcPr>
          <w:p w:rsidR="001553E6" w:rsidRDefault="001553E6" w:rsidP="00636B67">
            <w:r>
              <w:t xml:space="preserve">Ethereum </w:t>
            </w:r>
          </w:p>
        </w:tc>
        <w:tc>
          <w:tcPr>
            <w:tcW w:w="415" w:type="pct"/>
          </w:tcPr>
          <w:p w:rsidR="001553E6" w:rsidRDefault="001553E6" w:rsidP="00BC533B"/>
        </w:tc>
        <w:tc>
          <w:tcPr>
            <w:tcW w:w="508" w:type="pct"/>
          </w:tcPr>
          <w:p w:rsidR="001553E6" w:rsidRDefault="00962B71" w:rsidP="00BC533B">
            <w:r>
              <w:t>Incentives and Transactions</w:t>
            </w:r>
          </w:p>
        </w:tc>
        <w:tc>
          <w:tcPr>
            <w:tcW w:w="508" w:type="pct"/>
          </w:tcPr>
          <w:p w:rsidR="001553E6" w:rsidRDefault="001553E6" w:rsidP="00BC533B">
            <w:r>
              <w:t>ERC-20</w:t>
            </w:r>
          </w:p>
          <w:p w:rsidR="001553E6" w:rsidRDefault="001553E6" w:rsidP="00BC533B">
            <w:r>
              <w:t>Standard</w:t>
            </w:r>
          </w:p>
        </w:tc>
        <w:tc>
          <w:tcPr>
            <w:tcW w:w="423" w:type="pct"/>
          </w:tcPr>
          <w:p w:rsidR="001553E6" w:rsidRDefault="00097182" w:rsidP="00BC533B">
            <w:r>
              <w:t>Market adoption</w:t>
            </w:r>
          </w:p>
        </w:tc>
        <w:tc>
          <w:tcPr>
            <w:tcW w:w="386" w:type="pct"/>
          </w:tcPr>
          <w:p w:rsidR="001553E6" w:rsidRDefault="001553E6" w:rsidP="00BC533B">
            <w:r>
              <w:t>High</w:t>
            </w:r>
          </w:p>
        </w:tc>
        <w:tc>
          <w:tcPr>
            <w:tcW w:w="455" w:type="pct"/>
          </w:tcPr>
          <w:p w:rsidR="001553E6" w:rsidRDefault="001553E6" w:rsidP="00BC533B">
            <w:r>
              <w:t>Rewards</w:t>
            </w:r>
          </w:p>
        </w:tc>
        <w:tc>
          <w:tcPr>
            <w:tcW w:w="550" w:type="pct"/>
          </w:tcPr>
          <w:p w:rsidR="001553E6" w:rsidRDefault="00760EDA" w:rsidP="00BC533B">
            <w:r w:rsidRPr="00760EDA">
              <w:t>69,017,450</w:t>
            </w:r>
          </w:p>
        </w:tc>
      </w:tr>
      <w:tr w:rsidR="00962B71" w:rsidTr="00962B71">
        <w:trPr>
          <w:trHeight w:val="595"/>
        </w:trPr>
        <w:tc>
          <w:tcPr>
            <w:tcW w:w="544" w:type="pct"/>
          </w:tcPr>
          <w:p w:rsidR="001553E6" w:rsidRDefault="001553E6" w:rsidP="00BC533B">
            <w:pPr>
              <w:rPr>
                <w:sz w:val="24"/>
              </w:rPr>
            </w:pPr>
            <w:r>
              <w:rPr>
                <w:sz w:val="24"/>
              </w:rPr>
              <w:t>SunContract</w:t>
            </w:r>
          </w:p>
        </w:tc>
        <w:tc>
          <w:tcPr>
            <w:tcW w:w="335" w:type="pct"/>
          </w:tcPr>
          <w:p w:rsidR="001553E6" w:rsidRDefault="001553E6" w:rsidP="00BC533B">
            <w:r>
              <w:t>SNC</w:t>
            </w:r>
          </w:p>
        </w:tc>
        <w:tc>
          <w:tcPr>
            <w:tcW w:w="414" w:type="pct"/>
          </w:tcPr>
          <w:p w:rsidR="001553E6" w:rsidRDefault="001553E6" w:rsidP="00BC533B">
            <w:r>
              <w:t>PoS</w:t>
            </w:r>
          </w:p>
        </w:tc>
        <w:tc>
          <w:tcPr>
            <w:tcW w:w="462" w:type="pct"/>
          </w:tcPr>
          <w:p w:rsidR="001553E6" w:rsidRDefault="001553E6" w:rsidP="00BC533B">
            <w:r>
              <w:t>SunContract Chain</w:t>
            </w:r>
          </w:p>
        </w:tc>
        <w:tc>
          <w:tcPr>
            <w:tcW w:w="415" w:type="pct"/>
          </w:tcPr>
          <w:p w:rsidR="001553E6" w:rsidRDefault="001553E6" w:rsidP="00BC533B">
            <w:r>
              <w:t>EU focus</w:t>
            </w:r>
          </w:p>
        </w:tc>
        <w:tc>
          <w:tcPr>
            <w:tcW w:w="508" w:type="pct"/>
          </w:tcPr>
          <w:p w:rsidR="001553E6" w:rsidRDefault="001553E6" w:rsidP="00BC533B">
            <w:r>
              <w:t>Energy purchase, staking rewards, voting on upgrades</w:t>
            </w:r>
          </w:p>
        </w:tc>
        <w:tc>
          <w:tcPr>
            <w:tcW w:w="508" w:type="pct"/>
          </w:tcPr>
          <w:p w:rsidR="001553E6" w:rsidRDefault="001553E6" w:rsidP="00BC533B">
            <w:r>
              <w:t>Native Coin</w:t>
            </w:r>
          </w:p>
        </w:tc>
        <w:tc>
          <w:tcPr>
            <w:tcW w:w="423" w:type="pct"/>
          </w:tcPr>
          <w:p w:rsidR="001553E6" w:rsidRDefault="00097182" w:rsidP="00BC533B">
            <w:r>
              <w:t>Regulatory hurdles</w:t>
            </w:r>
          </w:p>
        </w:tc>
        <w:tc>
          <w:tcPr>
            <w:tcW w:w="386" w:type="pct"/>
          </w:tcPr>
          <w:p w:rsidR="001553E6" w:rsidRDefault="001553E6" w:rsidP="00BC533B">
            <w:r>
              <w:t>Low</w:t>
            </w:r>
          </w:p>
        </w:tc>
        <w:tc>
          <w:tcPr>
            <w:tcW w:w="455" w:type="pct"/>
          </w:tcPr>
          <w:p w:rsidR="001553E6" w:rsidRDefault="001553E6" w:rsidP="00BC533B">
            <w:r>
              <w:t>Solar energy</w:t>
            </w:r>
          </w:p>
        </w:tc>
        <w:tc>
          <w:tcPr>
            <w:tcW w:w="550" w:type="pct"/>
          </w:tcPr>
          <w:p w:rsidR="001553E6" w:rsidRDefault="001553E6" w:rsidP="00BC533B">
            <w:r>
              <w:t>120 million</w:t>
            </w:r>
          </w:p>
          <w:p w:rsidR="001553E6" w:rsidRDefault="001553E6" w:rsidP="00BC533B">
            <w:r>
              <w:rPr>
                <w:rFonts w:ascii="Segoe UI" w:hAnsi="Segoe UI" w:cs="Segoe UI"/>
                <w:color w:val="000000"/>
                <w:sz w:val="20"/>
                <w:szCs w:val="20"/>
              </w:rPr>
              <w:t>122,707,503</w:t>
            </w:r>
          </w:p>
        </w:tc>
      </w:tr>
      <w:tr w:rsidR="00962B71" w:rsidTr="00962B71">
        <w:trPr>
          <w:trHeight w:val="595"/>
        </w:trPr>
        <w:tc>
          <w:tcPr>
            <w:tcW w:w="544" w:type="pct"/>
          </w:tcPr>
          <w:p w:rsidR="001553E6" w:rsidRDefault="001553E6" w:rsidP="00BC533B">
            <w:pPr>
              <w:rPr>
                <w:sz w:val="24"/>
              </w:rPr>
            </w:pPr>
            <w:r>
              <w:rPr>
                <w:sz w:val="24"/>
              </w:rPr>
              <w:lastRenderedPageBreak/>
              <w:t xml:space="preserve"> ElectrifyAsia</w:t>
            </w:r>
          </w:p>
        </w:tc>
        <w:tc>
          <w:tcPr>
            <w:tcW w:w="335" w:type="pct"/>
          </w:tcPr>
          <w:p w:rsidR="001553E6" w:rsidRDefault="001553E6" w:rsidP="00BC533B">
            <w:r>
              <w:rPr>
                <w:sz w:val="24"/>
              </w:rPr>
              <w:t>ELEC</w:t>
            </w:r>
          </w:p>
        </w:tc>
        <w:tc>
          <w:tcPr>
            <w:tcW w:w="414" w:type="pct"/>
          </w:tcPr>
          <w:p w:rsidR="001553E6" w:rsidRDefault="001553E6" w:rsidP="00BC533B">
            <w:r>
              <w:t>PoS</w:t>
            </w:r>
          </w:p>
        </w:tc>
        <w:tc>
          <w:tcPr>
            <w:tcW w:w="462" w:type="pct"/>
          </w:tcPr>
          <w:p w:rsidR="001553E6" w:rsidRDefault="001553E6" w:rsidP="00636B67">
            <w:r>
              <w:t xml:space="preserve">Ethereum </w:t>
            </w:r>
          </w:p>
        </w:tc>
        <w:tc>
          <w:tcPr>
            <w:tcW w:w="415" w:type="pct"/>
          </w:tcPr>
          <w:p w:rsidR="001553E6" w:rsidRDefault="001553E6" w:rsidP="001A73FB">
            <w:r>
              <w:t>Southeast Asia</w:t>
            </w:r>
          </w:p>
        </w:tc>
        <w:tc>
          <w:tcPr>
            <w:tcW w:w="508" w:type="pct"/>
          </w:tcPr>
          <w:p w:rsidR="001553E6" w:rsidRDefault="00962B71" w:rsidP="00BC533B">
            <w:r>
              <w:t>Transaction and rewards</w:t>
            </w:r>
          </w:p>
        </w:tc>
        <w:tc>
          <w:tcPr>
            <w:tcW w:w="508" w:type="pct"/>
          </w:tcPr>
          <w:p w:rsidR="001553E6" w:rsidRDefault="001553E6" w:rsidP="00BC533B">
            <w:r>
              <w:t>ERC-20 standard</w:t>
            </w:r>
          </w:p>
        </w:tc>
        <w:tc>
          <w:tcPr>
            <w:tcW w:w="423" w:type="pct"/>
          </w:tcPr>
          <w:p w:rsidR="001553E6" w:rsidRDefault="00962B71" w:rsidP="00BC533B">
            <w:r>
              <w:t>Market adaptation,</w:t>
            </w:r>
          </w:p>
        </w:tc>
        <w:tc>
          <w:tcPr>
            <w:tcW w:w="386" w:type="pct"/>
          </w:tcPr>
          <w:p w:rsidR="001553E6" w:rsidRDefault="001553E6" w:rsidP="00BC533B">
            <w:r>
              <w:t>High</w:t>
            </w:r>
          </w:p>
        </w:tc>
        <w:tc>
          <w:tcPr>
            <w:tcW w:w="455" w:type="pct"/>
          </w:tcPr>
          <w:p w:rsidR="001553E6" w:rsidRDefault="001553E6" w:rsidP="00BC533B">
            <w:r>
              <w:t>Renewable energy sources</w:t>
            </w:r>
          </w:p>
        </w:tc>
        <w:tc>
          <w:tcPr>
            <w:tcW w:w="550" w:type="pct"/>
          </w:tcPr>
          <w:p w:rsidR="001553E6" w:rsidRDefault="001553E6" w:rsidP="00BC533B">
            <w:r w:rsidRPr="00A2164C">
              <w:rPr>
                <w:rFonts w:ascii="Segoe UI" w:hAnsi="Segoe UI" w:cs="Segoe UI"/>
                <w:color w:val="000000"/>
                <w:sz w:val="20"/>
                <w:szCs w:val="20"/>
              </w:rPr>
              <w:t>750,000,000</w:t>
            </w:r>
          </w:p>
        </w:tc>
      </w:tr>
      <w:tr w:rsidR="00962B71" w:rsidTr="00962B71">
        <w:trPr>
          <w:trHeight w:val="595"/>
        </w:trPr>
        <w:tc>
          <w:tcPr>
            <w:tcW w:w="544" w:type="pct"/>
          </w:tcPr>
          <w:p w:rsidR="001553E6" w:rsidRDefault="001553E6" w:rsidP="00BC533B">
            <w:pPr>
              <w:rPr>
                <w:sz w:val="24"/>
              </w:rPr>
            </w:pPr>
            <w:r>
              <w:rPr>
                <w:sz w:val="24"/>
              </w:rPr>
              <w:t>Dione protocol</w:t>
            </w:r>
          </w:p>
        </w:tc>
        <w:tc>
          <w:tcPr>
            <w:tcW w:w="335" w:type="pct"/>
          </w:tcPr>
          <w:p w:rsidR="001553E6" w:rsidRDefault="001553E6" w:rsidP="00BC533B">
            <w:pPr>
              <w:rPr>
                <w:sz w:val="24"/>
              </w:rPr>
            </w:pPr>
            <w:r>
              <w:rPr>
                <w:sz w:val="24"/>
              </w:rPr>
              <w:t>Dione</w:t>
            </w:r>
          </w:p>
        </w:tc>
        <w:tc>
          <w:tcPr>
            <w:tcW w:w="414" w:type="pct"/>
          </w:tcPr>
          <w:p w:rsidR="001553E6" w:rsidRPr="006B6EC7" w:rsidRDefault="001553E6" w:rsidP="00BC533B">
            <w:r>
              <w:t>PoS</w:t>
            </w:r>
          </w:p>
        </w:tc>
        <w:tc>
          <w:tcPr>
            <w:tcW w:w="462" w:type="pct"/>
          </w:tcPr>
          <w:p w:rsidR="001553E6" w:rsidRDefault="001553E6" w:rsidP="00636B67">
            <w:pPr>
              <w:rPr>
                <w:sz w:val="24"/>
              </w:rPr>
            </w:pPr>
            <w:r>
              <w:rPr>
                <w:sz w:val="24"/>
              </w:rPr>
              <w:t>Ethereum</w:t>
            </w:r>
          </w:p>
          <w:p w:rsidR="001553E6" w:rsidRDefault="001553E6" w:rsidP="00636B67">
            <w:pPr>
              <w:rPr>
                <w:sz w:val="24"/>
              </w:rPr>
            </w:pPr>
            <w:r>
              <w:rPr>
                <w:sz w:val="24"/>
              </w:rPr>
              <w:t>Migrating to</w:t>
            </w:r>
          </w:p>
          <w:p w:rsidR="001553E6" w:rsidRDefault="001553E6" w:rsidP="00636B67">
            <w:pPr>
              <w:rPr>
                <w:sz w:val="24"/>
              </w:rPr>
            </w:pPr>
            <w:r w:rsidRPr="00F87E0E">
              <w:rPr>
                <w:sz w:val="24"/>
              </w:rPr>
              <w:t>Odyssey</w:t>
            </w:r>
          </w:p>
        </w:tc>
        <w:tc>
          <w:tcPr>
            <w:tcW w:w="415" w:type="pct"/>
          </w:tcPr>
          <w:p w:rsidR="001553E6" w:rsidRPr="00FD4620" w:rsidRDefault="001553E6" w:rsidP="001A73FB">
            <w:r>
              <w:t xml:space="preserve"> Globally </w:t>
            </w:r>
          </w:p>
        </w:tc>
        <w:tc>
          <w:tcPr>
            <w:tcW w:w="508" w:type="pct"/>
          </w:tcPr>
          <w:p w:rsidR="001553E6" w:rsidRDefault="001553E6" w:rsidP="00BC533B">
            <w:r>
              <w:t>transactions and governance</w:t>
            </w:r>
          </w:p>
        </w:tc>
        <w:tc>
          <w:tcPr>
            <w:tcW w:w="508" w:type="pct"/>
          </w:tcPr>
          <w:p w:rsidR="001553E6" w:rsidRDefault="001553E6" w:rsidP="00BC533B">
            <w:r>
              <w:t>ERC-20</w:t>
            </w:r>
          </w:p>
          <w:p w:rsidR="001553E6" w:rsidRDefault="001553E6" w:rsidP="00BC533B">
            <w:r>
              <w:t>Standard</w:t>
            </w:r>
          </w:p>
          <w:p w:rsidR="001553E6" w:rsidRPr="00F87E0E" w:rsidRDefault="001553E6" w:rsidP="00F87E0E">
            <w:pPr>
              <w:rPr>
                <w:sz w:val="24"/>
              </w:rPr>
            </w:pPr>
            <w:r>
              <w:rPr>
                <w:sz w:val="24"/>
              </w:rPr>
              <w:t>Migrating to</w:t>
            </w:r>
          </w:p>
          <w:p w:rsidR="001553E6" w:rsidRDefault="001553E6" w:rsidP="00BC533B">
            <w:r>
              <w:t>(Native coin)</w:t>
            </w:r>
          </w:p>
        </w:tc>
        <w:tc>
          <w:tcPr>
            <w:tcW w:w="423" w:type="pct"/>
          </w:tcPr>
          <w:p w:rsidR="001553E6" w:rsidRDefault="00962B71" w:rsidP="00BC533B">
            <w:r>
              <w:t>Scalability, market adoption</w:t>
            </w:r>
          </w:p>
        </w:tc>
        <w:tc>
          <w:tcPr>
            <w:tcW w:w="386" w:type="pct"/>
          </w:tcPr>
          <w:p w:rsidR="001553E6" w:rsidRDefault="001553E6" w:rsidP="00BC533B">
            <w:r>
              <w:t>High</w:t>
            </w:r>
          </w:p>
        </w:tc>
        <w:tc>
          <w:tcPr>
            <w:tcW w:w="455" w:type="pct"/>
          </w:tcPr>
          <w:p w:rsidR="001553E6" w:rsidRDefault="001553E6" w:rsidP="00BC533B">
            <w:r>
              <w:t>Renewable energy sources</w:t>
            </w:r>
          </w:p>
        </w:tc>
        <w:tc>
          <w:tcPr>
            <w:tcW w:w="550" w:type="pct"/>
          </w:tcPr>
          <w:p w:rsidR="001553E6" w:rsidRPr="00BA6E05" w:rsidRDefault="001553E6" w:rsidP="00BC533B">
            <w:pPr>
              <w:rPr>
                <w:rFonts w:ascii="Segoe UI" w:hAnsi="Segoe UI" w:cs="Segoe UI"/>
                <w:color w:val="000000"/>
                <w:sz w:val="20"/>
                <w:szCs w:val="20"/>
              </w:rPr>
            </w:pPr>
            <w:r w:rsidRPr="00933B34">
              <w:rPr>
                <w:rFonts w:ascii="Segoe UI" w:hAnsi="Segoe UI" w:cs="Segoe UI"/>
                <w:color w:val="000000"/>
                <w:sz w:val="20"/>
                <w:szCs w:val="20"/>
              </w:rPr>
              <w:t>9,889,892,473</w:t>
            </w:r>
          </w:p>
        </w:tc>
      </w:tr>
    </w:tbl>
    <w:p w:rsidR="00B24182" w:rsidRDefault="00B24182" w:rsidP="00CE1313"/>
    <w:p w:rsidR="00B24182" w:rsidRDefault="00B24182" w:rsidP="00CE1313"/>
    <w:p w:rsidR="00BC533B" w:rsidRDefault="00BC533B" w:rsidP="00CE1313">
      <w:pPr>
        <w:sectPr w:rsidR="00BC533B" w:rsidSect="00BC533B">
          <w:pgSz w:w="15840" w:h="12240" w:orient="landscape"/>
          <w:pgMar w:top="1440" w:right="1440" w:bottom="1440" w:left="1440" w:header="708" w:footer="708" w:gutter="0"/>
          <w:cols w:space="708"/>
          <w:docGrid w:linePitch="360"/>
        </w:sectPr>
      </w:pPr>
    </w:p>
    <w:p w:rsidR="00CE1313" w:rsidRDefault="00CE1313" w:rsidP="00CE1313"/>
    <w:p w:rsidR="00CE1313" w:rsidRDefault="00CE1313" w:rsidP="00CE1313">
      <w:pPr>
        <w:rPr>
          <w:b/>
          <w:sz w:val="32"/>
          <w:u w:val="single"/>
        </w:rPr>
      </w:pPr>
    </w:p>
    <w:p w:rsidR="00CC4BAF" w:rsidRPr="00CC4BAF" w:rsidRDefault="00E85C08"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E85C08">
        <w:rPr>
          <w:rFonts w:ascii="Times New Roman" w:eastAsia="Times New Roman" w:hAnsi="Times New Roman" w:cs="Times New Roman"/>
          <w:sz w:val="24"/>
          <w:szCs w:val="24"/>
        </w:rPr>
        <w:fldChar w:fldCharType="begin" w:fldLock="1"/>
      </w:r>
      <w:r w:rsidRPr="00E85C08">
        <w:rPr>
          <w:rFonts w:ascii="Times New Roman" w:eastAsia="Times New Roman" w:hAnsi="Times New Roman" w:cs="Times New Roman"/>
          <w:sz w:val="24"/>
          <w:szCs w:val="24"/>
        </w:rPr>
        <w:instrText xml:space="preserve">ADDIN Mendeley Bibliography CSL_BIBLIOGRAPHY </w:instrText>
      </w:r>
      <w:r w:rsidRPr="00E85C08">
        <w:rPr>
          <w:rFonts w:ascii="Times New Roman" w:eastAsia="Times New Roman" w:hAnsi="Times New Roman" w:cs="Times New Roman"/>
          <w:sz w:val="24"/>
          <w:szCs w:val="24"/>
        </w:rPr>
        <w:fldChar w:fldCharType="separate"/>
      </w:r>
      <w:r w:rsidR="00CC4BAF" w:rsidRPr="00CC4BAF">
        <w:rPr>
          <w:rFonts w:ascii="Times New Roman" w:hAnsi="Times New Roman" w:cs="Times New Roman"/>
          <w:noProof/>
          <w:sz w:val="24"/>
          <w:szCs w:val="24"/>
        </w:rPr>
        <w:t>[1]</w:t>
      </w:r>
      <w:r w:rsidR="00CC4BAF" w:rsidRPr="00CC4BAF">
        <w:rPr>
          <w:rFonts w:ascii="Times New Roman" w:hAnsi="Times New Roman" w:cs="Times New Roman"/>
          <w:noProof/>
          <w:sz w:val="24"/>
          <w:szCs w:val="24"/>
        </w:rPr>
        <w:tab/>
        <w:t xml:space="preserve">IEA, “Electricity 2024: Analysis and forecast to 2026,” </w:t>
      </w:r>
      <w:r w:rsidR="00CC4BAF" w:rsidRPr="00CC4BAF">
        <w:rPr>
          <w:rFonts w:ascii="Times New Roman" w:hAnsi="Times New Roman" w:cs="Times New Roman"/>
          <w:i/>
          <w:iCs/>
          <w:noProof/>
          <w:sz w:val="24"/>
          <w:szCs w:val="24"/>
        </w:rPr>
        <w:t>IEA Publ.</w:t>
      </w:r>
      <w:r w:rsidR="00CC4BAF" w:rsidRPr="00CC4BAF">
        <w:rPr>
          <w:rFonts w:ascii="Times New Roman" w:hAnsi="Times New Roman" w:cs="Times New Roman"/>
          <w:noProof/>
          <w:sz w:val="24"/>
          <w:szCs w:val="24"/>
        </w:rPr>
        <w:t>, pp. 1–170, 2024.</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w:t>
      </w:r>
      <w:r w:rsidRPr="00CC4BAF">
        <w:rPr>
          <w:rFonts w:ascii="Times New Roman" w:hAnsi="Times New Roman" w:cs="Times New Roman"/>
          <w:noProof/>
          <w:sz w:val="24"/>
          <w:szCs w:val="24"/>
        </w:rPr>
        <w:tab/>
        <w:t xml:space="preserve">World Economic Forum, “Building Block(chain)s for a Better Planet - Fourth Industrial Revolution for the Earth Series,” </w:t>
      </w:r>
      <w:r w:rsidRPr="00CC4BAF">
        <w:rPr>
          <w:rFonts w:ascii="Times New Roman" w:hAnsi="Times New Roman" w:cs="Times New Roman"/>
          <w:i/>
          <w:iCs/>
          <w:noProof/>
          <w:sz w:val="24"/>
          <w:szCs w:val="24"/>
        </w:rPr>
        <w:t>Weforum.Org</w:t>
      </w:r>
      <w:r w:rsidRPr="00CC4BAF">
        <w:rPr>
          <w:rFonts w:ascii="Times New Roman" w:hAnsi="Times New Roman" w:cs="Times New Roman"/>
          <w:noProof/>
          <w:sz w:val="24"/>
          <w:szCs w:val="24"/>
        </w:rPr>
        <w:t>, no. September, p. 36, 2018.</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w:t>
      </w:r>
      <w:r w:rsidRPr="00CC4BAF">
        <w:rPr>
          <w:rFonts w:ascii="Times New Roman" w:hAnsi="Times New Roman" w:cs="Times New Roman"/>
          <w:noProof/>
          <w:sz w:val="24"/>
          <w:szCs w:val="24"/>
        </w:rPr>
        <w:tab/>
        <w:t xml:space="preserve">World Economic Forum, “Building Block(chain)s for a Better Planet - Fourth Industrial Revolution for the Earth Series,” </w:t>
      </w:r>
      <w:r w:rsidRPr="00CC4BAF">
        <w:rPr>
          <w:rFonts w:ascii="Times New Roman" w:hAnsi="Times New Roman" w:cs="Times New Roman"/>
          <w:i/>
          <w:iCs/>
          <w:noProof/>
          <w:sz w:val="24"/>
          <w:szCs w:val="24"/>
        </w:rPr>
        <w:t>Weforum.Org</w:t>
      </w:r>
      <w:r w:rsidRPr="00CC4BAF">
        <w:rPr>
          <w:rFonts w:ascii="Times New Roman" w:hAnsi="Times New Roman" w:cs="Times New Roman"/>
          <w:noProof/>
          <w:sz w:val="24"/>
          <w:szCs w:val="24"/>
        </w:rPr>
        <w:t>, no. September, p. 36, 2018, [Online]. Available: http://www3.weforum.org/docs/WEF_Building-Blockchains.pdf%0Ahttps://es.weforum.org/reports/building-block-chain-for-a-better-planet</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w:t>
      </w:r>
      <w:r w:rsidRPr="00CC4BAF">
        <w:rPr>
          <w:rFonts w:ascii="Times New Roman" w:hAnsi="Times New Roman" w:cs="Times New Roman"/>
          <w:noProof/>
          <w:sz w:val="24"/>
          <w:szCs w:val="24"/>
        </w:rPr>
        <w:tab/>
        <w:t xml:space="preserve">IRENA, “Innovation Landscape Brief: Peer-To-Peer Electricity Trading,” </w:t>
      </w:r>
      <w:r w:rsidRPr="00CC4BAF">
        <w:rPr>
          <w:rFonts w:ascii="Times New Roman" w:hAnsi="Times New Roman" w:cs="Times New Roman"/>
          <w:i/>
          <w:iCs/>
          <w:noProof/>
          <w:sz w:val="24"/>
          <w:szCs w:val="24"/>
        </w:rPr>
        <w:t>Int. Renew. Energy Agency, Abu Dhabi.</w:t>
      </w:r>
      <w:r w:rsidRPr="00CC4BAF">
        <w:rPr>
          <w:rFonts w:ascii="Times New Roman" w:hAnsi="Times New Roman" w:cs="Times New Roman"/>
          <w:noProof/>
          <w:sz w:val="24"/>
          <w:szCs w:val="24"/>
        </w:rPr>
        <w:t>, pp. 1–20, 2020, [Online]. Available: https://www.irena.org/-/media/Files/IRENA/Agency/Publication/2020/Jul/IRENA_Peer-to-peer_electricity_trading_2020.pdf?la=en&amp;hash=AB7E0CFED5A51CFD75EB2CC1FB635B64329BB439</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w:t>
      </w:r>
      <w:r w:rsidRPr="00CC4BAF">
        <w:rPr>
          <w:rFonts w:ascii="Times New Roman" w:hAnsi="Times New Roman" w:cs="Times New Roman"/>
          <w:noProof/>
          <w:sz w:val="24"/>
          <w:szCs w:val="24"/>
        </w:rPr>
        <w:tab/>
        <w:t xml:space="preserve">S. Jhajhriya and S. Sharma, “Peer-to-Peer Energy Trading: A Review and Indian Scenario,” in </w:t>
      </w:r>
      <w:r w:rsidRPr="00CC4BAF">
        <w:rPr>
          <w:rFonts w:ascii="Times New Roman" w:hAnsi="Times New Roman" w:cs="Times New Roman"/>
          <w:i/>
          <w:iCs/>
          <w:noProof/>
          <w:sz w:val="24"/>
          <w:szCs w:val="24"/>
        </w:rPr>
        <w:t>2022 IEEE Delhi Section Conference, DELCON 2022</w:t>
      </w:r>
      <w:r w:rsidRPr="00CC4BAF">
        <w:rPr>
          <w:rFonts w:ascii="Times New Roman" w:hAnsi="Times New Roman" w:cs="Times New Roman"/>
          <w:noProof/>
          <w:sz w:val="24"/>
          <w:szCs w:val="24"/>
        </w:rPr>
        <w:t>, Institute of Electrical and Electronics Engineers Inc., 2022. doi: 10.1109/DELCON54057.2022.9753221.</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w:t>
      </w:r>
      <w:r w:rsidRPr="00CC4BAF">
        <w:rPr>
          <w:rFonts w:ascii="Times New Roman" w:hAnsi="Times New Roman" w:cs="Times New Roman"/>
          <w:noProof/>
          <w:sz w:val="24"/>
          <w:szCs w:val="24"/>
        </w:rPr>
        <w:tab/>
        <w:t xml:space="preserve">M. Andoni </w:t>
      </w:r>
      <w:r w:rsidRPr="00CC4BAF">
        <w:rPr>
          <w:rFonts w:ascii="Times New Roman" w:hAnsi="Times New Roman" w:cs="Times New Roman"/>
          <w:i/>
          <w:iCs/>
          <w:noProof/>
          <w:sz w:val="24"/>
          <w:szCs w:val="24"/>
        </w:rPr>
        <w:t>et al.</w:t>
      </w:r>
      <w:r w:rsidRPr="00CC4BAF">
        <w:rPr>
          <w:rFonts w:ascii="Times New Roman" w:hAnsi="Times New Roman" w:cs="Times New Roman"/>
          <w:noProof/>
          <w:sz w:val="24"/>
          <w:szCs w:val="24"/>
        </w:rPr>
        <w:t xml:space="preserve">, “Blockchain technology in the energy sector: A systematic review of challenges and opportunities,” Feb. 01, 2019, </w:t>
      </w:r>
      <w:r w:rsidRPr="00CC4BAF">
        <w:rPr>
          <w:rFonts w:ascii="Times New Roman" w:hAnsi="Times New Roman" w:cs="Times New Roman"/>
          <w:i/>
          <w:iCs/>
          <w:noProof/>
          <w:sz w:val="24"/>
          <w:szCs w:val="24"/>
        </w:rPr>
        <w:t>Elsevier Ltd</w:t>
      </w:r>
      <w:r w:rsidRPr="00CC4BAF">
        <w:rPr>
          <w:rFonts w:ascii="Times New Roman" w:hAnsi="Times New Roman" w:cs="Times New Roman"/>
          <w:noProof/>
          <w:sz w:val="24"/>
          <w:szCs w:val="24"/>
        </w:rPr>
        <w:t>. doi: 10.1016/j.rser.2018.10.014.</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[7]</w:t>
      </w:r>
      <w:r w:rsidRPr="00CC4BAF">
        <w:rPr>
          <w:rFonts w:ascii="Times New Roman" w:hAnsi="Times New Roman" w:cs="Times New Roman"/>
          <w:noProof/>
          <w:sz w:val="24"/>
          <w:szCs w:val="24"/>
        </w:rPr>
        <w:tab/>
        <w:t xml:space="preserve">S. Suthar, S. H. C. Cherukuri, and N. M. Pindoriya, “Peer-to-peer energy trading in smart grid: Frameworks, implementation methodologies, and demonstration projects,” </w:t>
      </w:r>
      <w:r w:rsidRPr="00CC4BAF">
        <w:rPr>
          <w:rFonts w:ascii="Times New Roman" w:hAnsi="Times New Roman" w:cs="Times New Roman"/>
          <w:i/>
          <w:iCs/>
          <w:noProof/>
          <w:sz w:val="24"/>
          <w:szCs w:val="24"/>
        </w:rPr>
        <w:t>Electr. Power Syst. Res.</w:t>
      </w:r>
      <w:r w:rsidRPr="00CC4BAF">
        <w:rPr>
          <w:rFonts w:ascii="Times New Roman" w:hAnsi="Times New Roman" w:cs="Times New Roman"/>
          <w:noProof/>
          <w:sz w:val="24"/>
          <w:szCs w:val="24"/>
        </w:rPr>
        <w:t>, vol. 214, no. PA, p. 108907, 2023, doi: 10.1016/j.epsr.2022.108907.</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[8]</w:t>
      </w:r>
      <w:r w:rsidRPr="00CC4BAF">
        <w:rPr>
          <w:rFonts w:ascii="Times New Roman" w:hAnsi="Times New Roman" w:cs="Times New Roman"/>
          <w:noProof/>
          <w:sz w:val="24"/>
          <w:szCs w:val="24"/>
        </w:rPr>
        <w:tab/>
        <w:t>“Blockchain for Electric Utilities: A Path to Low Carbon FutureSynopsis”.</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[9]</w:t>
      </w:r>
      <w:r w:rsidRPr="00CC4BAF">
        <w:rPr>
          <w:rFonts w:ascii="Times New Roman" w:hAnsi="Times New Roman" w:cs="Times New Roman"/>
          <w:noProof/>
          <w:sz w:val="24"/>
          <w:szCs w:val="24"/>
        </w:rPr>
        <w:tab/>
        <w:t>W. Tushar, T. K. Saha, C. Yuen, D. Smith, and H. V. Poor, “Peer-to-Peer Trading in Electricity Networks: An Overview,” Jan. 2020, [Online]. Available: http://arxiv.org/abs/2001.06882</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[10]</w:t>
      </w:r>
      <w:r w:rsidRPr="00CC4BAF">
        <w:rPr>
          <w:rFonts w:ascii="Times New Roman" w:hAnsi="Times New Roman" w:cs="Times New Roman"/>
          <w:noProof/>
          <w:sz w:val="24"/>
          <w:szCs w:val="24"/>
        </w:rPr>
        <w:tab/>
        <w:t xml:space="preserve">O. Jogunola </w:t>
      </w:r>
      <w:r w:rsidRPr="00CC4BAF">
        <w:rPr>
          <w:rFonts w:ascii="Times New Roman" w:hAnsi="Times New Roman" w:cs="Times New Roman"/>
          <w:i/>
          <w:iCs/>
          <w:noProof/>
          <w:sz w:val="24"/>
          <w:szCs w:val="24"/>
        </w:rPr>
        <w:t>et al.</w:t>
      </w:r>
      <w:r w:rsidRPr="00CC4BAF">
        <w:rPr>
          <w:rFonts w:ascii="Times New Roman" w:hAnsi="Times New Roman" w:cs="Times New Roman"/>
          <w:noProof/>
          <w:sz w:val="24"/>
          <w:szCs w:val="24"/>
        </w:rPr>
        <w:t xml:space="preserve">, “Peer-to-Peer Local Energy Market: Opportunities, Barriers, Security, and Implementation Options,” </w:t>
      </w:r>
      <w:r w:rsidRPr="00CC4BAF">
        <w:rPr>
          <w:rFonts w:ascii="Times New Roman" w:hAnsi="Times New Roman" w:cs="Times New Roman"/>
          <w:i/>
          <w:iCs/>
          <w:noProof/>
          <w:sz w:val="24"/>
          <w:szCs w:val="24"/>
        </w:rPr>
        <w:t>IEEE Access</w:t>
      </w:r>
      <w:r w:rsidRPr="00CC4BAF">
        <w:rPr>
          <w:rFonts w:ascii="Times New Roman" w:hAnsi="Times New Roman" w:cs="Times New Roman"/>
          <w:noProof/>
          <w:sz w:val="24"/>
          <w:szCs w:val="24"/>
        </w:rPr>
        <w:t>, vol. 12, no. March, pp. 37873–37890, 2024, doi: 10.1109/ACCESS.2024.3375525.</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[11]</w:t>
      </w:r>
      <w:r w:rsidRPr="00CC4BAF">
        <w:rPr>
          <w:rFonts w:ascii="Times New Roman" w:hAnsi="Times New Roman" w:cs="Times New Roman"/>
          <w:noProof/>
          <w:sz w:val="24"/>
          <w:szCs w:val="24"/>
        </w:rPr>
        <w:tab/>
        <w:t xml:space="preserve">W. Tushar </w:t>
      </w:r>
      <w:r w:rsidRPr="00CC4BAF">
        <w:rPr>
          <w:rFonts w:ascii="Times New Roman" w:hAnsi="Times New Roman" w:cs="Times New Roman"/>
          <w:i/>
          <w:iCs/>
          <w:noProof/>
          <w:sz w:val="24"/>
          <w:szCs w:val="24"/>
        </w:rPr>
        <w:t>et al.</w:t>
      </w:r>
      <w:r w:rsidRPr="00CC4BAF">
        <w:rPr>
          <w:rFonts w:ascii="Times New Roman" w:hAnsi="Times New Roman" w:cs="Times New Roman"/>
          <w:noProof/>
          <w:sz w:val="24"/>
          <w:szCs w:val="24"/>
        </w:rPr>
        <w:t xml:space="preserve">, “A coalition formation game framework for peer-to-peer energy trading,” </w:t>
      </w:r>
      <w:r w:rsidRPr="00CC4BAF">
        <w:rPr>
          <w:rFonts w:ascii="Times New Roman" w:hAnsi="Times New Roman" w:cs="Times New Roman"/>
          <w:i/>
          <w:iCs/>
          <w:noProof/>
          <w:sz w:val="24"/>
          <w:szCs w:val="24"/>
        </w:rPr>
        <w:t>Appl. Energy</w:t>
      </w:r>
      <w:r w:rsidRPr="00CC4BAF">
        <w:rPr>
          <w:rFonts w:ascii="Times New Roman" w:hAnsi="Times New Roman" w:cs="Times New Roman"/>
          <w:noProof/>
          <w:sz w:val="24"/>
          <w:szCs w:val="24"/>
        </w:rPr>
        <w:t>, vol. 261, Mar. 2020, doi: 10.1016/j.apenergy.2019.114436.</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[12]</w:t>
      </w:r>
      <w:r w:rsidRPr="00CC4BAF">
        <w:rPr>
          <w:rFonts w:ascii="Times New Roman" w:hAnsi="Times New Roman" w:cs="Times New Roman"/>
          <w:noProof/>
          <w:sz w:val="24"/>
          <w:szCs w:val="24"/>
        </w:rPr>
        <w:tab/>
        <w:t xml:space="preserve">A. Thomas, M. P. Abraham, and A. G. M. Arya, “Review of Peer-To-Peer Energy Trading for Indian Scenario: Challenges and Opportunities,” in </w:t>
      </w:r>
      <w:r w:rsidRPr="00CC4BAF">
        <w:rPr>
          <w:rFonts w:ascii="Times New Roman" w:hAnsi="Times New Roman" w:cs="Times New Roman"/>
          <w:i/>
          <w:iCs/>
          <w:noProof/>
          <w:sz w:val="24"/>
          <w:szCs w:val="24"/>
        </w:rPr>
        <w:t>ICCISc 2021 - 2021 International Conference on Communication, Control and Information Sciences, Proceedings</w:t>
      </w:r>
      <w:r w:rsidRPr="00CC4BAF">
        <w:rPr>
          <w:rFonts w:ascii="Times New Roman" w:hAnsi="Times New Roman" w:cs="Times New Roman"/>
          <w:noProof/>
          <w:sz w:val="24"/>
          <w:szCs w:val="24"/>
        </w:rPr>
        <w:t>, Institute of Electrical and Electronics Engineers Inc., Jun. 2021. doi: 10.1109/ICCISc52257.2021.9484941.</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lastRenderedPageBreak/>
        <w:t>[13]</w:t>
      </w:r>
      <w:r w:rsidRPr="00CC4BAF">
        <w:rPr>
          <w:rFonts w:ascii="Times New Roman" w:hAnsi="Times New Roman" w:cs="Times New Roman"/>
          <w:noProof/>
          <w:sz w:val="24"/>
          <w:szCs w:val="24"/>
        </w:rPr>
        <w:tab/>
        <w:t xml:space="preserve">M. Rahman, S. Chowdhury, M. Shorfuzzaman, M. K. Hossain, and M. Hammoudeh, “Peer-to-Peer Power Energy Trading in Blockchain Using Efficient Machine Learning Model,” </w:t>
      </w:r>
      <w:r w:rsidRPr="00CC4BAF">
        <w:rPr>
          <w:rFonts w:ascii="Times New Roman" w:hAnsi="Times New Roman" w:cs="Times New Roman"/>
          <w:i/>
          <w:iCs/>
          <w:noProof/>
          <w:sz w:val="24"/>
          <w:szCs w:val="24"/>
        </w:rPr>
        <w:t>Sustain.</w:t>
      </w:r>
      <w:r w:rsidRPr="00CC4BAF">
        <w:rPr>
          <w:rFonts w:ascii="Times New Roman" w:hAnsi="Times New Roman" w:cs="Times New Roman"/>
          <w:noProof/>
          <w:sz w:val="24"/>
          <w:szCs w:val="24"/>
        </w:rPr>
        <w:t>, vol. 15, no. 18, pp. 1–15, 2023, doi: 10.3390/su151813640.</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[14]</w:t>
      </w:r>
      <w:r w:rsidRPr="00CC4BAF">
        <w:rPr>
          <w:rFonts w:ascii="Times New Roman" w:hAnsi="Times New Roman" w:cs="Times New Roman"/>
          <w:noProof/>
          <w:sz w:val="24"/>
          <w:szCs w:val="24"/>
        </w:rPr>
        <w:tab/>
        <w:t xml:space="preserve">S. Shan, S. Yang, V. Becerra, J. Deng, and H. Li, “A Case Study of Existing Peer-to-Peer Energy Trading Platforms: Calling for Integrated Platform Features,” </w:t>
      </w:r>
      <w:r w:rsidRPr="00CC4BAF">
        <w:rPr>
          <w:rFonts w:ascii="Times New Roman" w:hAnsi="Times New Roman" w:cs="Times New Roman"/>
          <w:i/>
          <w:iCs/>
          <w:noProof/>
          <w:sz w:val="24"/>
          <w:szCs w:val="24"/>
        </w:rPr>
        <w:t>Sustainability</w:t>
      </w:r>
      <w:r w:rsidRPr="00CC4BAF">
        <w:rPr>
          <w:rFonts w:ascii="Times New Roman" w:hAnsi="Times New Roman" w:cs="Times New Roman"/>
          <w:noProof/>
          <w:sz w:val="24"/>
          <w:szCs w:val="24"/>
        </w:rPr>
        <w:t>, vol. 15, no. 23, p. 16284, Nov. 2023, doi: 10.3390/su152316284.</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[15]</w:t>
      </w:r>
      <w:r w:rsidRPr="00CC4BAF">
        <w:rPr>
          <w:rFonts w:ascii="Times New Roman" w:hAnsi="Times New Roman" w:cs="Times New Roman"/>
          <w:noProof/>
          <w:sz w:val="24"/>
          <w:szCs w:val="24"/>
        </w:rPr>
        <w:tab/>
        <w:t xml:space="preserve">C. Zhang, J. Wu, C. Long, and M. Cheng, “Review of Existing Peer-to-Peer Energy Trading Projects,” </w:t>
      </w:r>
      <w:r w:rsidRPr="00CC4BAF">
        <w:rPr>
          <w:rFonts w:ascii="Times New Roman" w:hAnsi="Times New Roman" w:cs="Times New Roman"/>
          <w:i/>
          <w:iCs/>
          <w:noProof/>
          <w:sz w:val="24"/>
          <w:szCs w:val="24"/>
        </w:rPr>
        <w:t>Energy Procedia</w:t>
      </w:r>
      <w:r w:rsidRPr="00CC4BAF">
        <w:rPr>
          <w:rFonts w:ascii="Times New Roman" w:hAnsi="Times New Roman" w:cs="Times New Roman"/>
          <w:noProof/>
          <w:sz w:val="24"/>
          <w:szCs w:val="24"/>
        </w:rPr>
        <w:t>, vol. 105, pp. 2563–2568, 2017, doi: 10.1016/j.egypro.2017.03.737.</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[16]</w:t>
      </w:r>
      <w:r w:rsidRPr="00CC4BAF">
        <w:rPr>
          <w:rFonts w:ascii="Times New Roman" w:hAnsi="Times New Roman" w:cs="Times New Roman"/>
          <w:noProof/>
          <w:sz w:val="24"/>
          <w:szCs w:val="24"/>
        </w:rPr>
        <w:tab/>
        <w:t xml:space="preserve">G. Sæther, P. Crespo del Granado, and S. Zaferanlouei, “Peer-to-peer electricity trading in an industrial site: Value of buildings flexibility on peak load reduction,” </w:t>
      </w:r>
      <w:r w:rsidRPr="00CC4BAF">
        <w:rPr>
          <w:rFonts w:ascii="Times New Roman" w:hAnsi="Times New Roman" w:cs="Times New Roman"/>
          <w:i/>
          <w:iCs/>
          <w:noProof/>
          <w:sz w:val="24"/>
          <w:szCs w:val="24"/>
        </w:rPr>
        <w:t>Energy Build.</w:t>
      </w:r>
      <w:r w:rsidRPr="00CC4BAF">
        <w:rPr>
          <w:rFonts w:ascii="Times New Roman" w:hAnsi="Times New Roman" w:cs="Times New Roman"/>
          <w:noProof/>
          <w:sz w:val="24"/>
          <w:szCs w:val="24"/>
        </w:rPr>
        <w:t>, vol. 236, Apr. 2021, doi: 10.1016/j.enbuild.2021.110737.</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[17]</w:t>
      </w:r>
      <w:r w:rsidRPr="00CC4BAF">
        <w:rPr>
          <w:rFonts w:ascii="Times New Roman" w:hAnsi="Times New Roman" w:cs="Times New Roman"/>
          <w:noProof/>
          <w:sz w:val="24"/>
          <w:szCs w:val="24"/>
        </w:rPr>
        <w:tab/>
        <w:t xml:space="preserve">W. Tushar, C. Yuen, H. Mohsenian-Rad, T. Saha, H. V. Poor, and K. L. Wood, “Transforming energy networks via peer-to-peer energy trading: The potential of game-theoretic approaches,” </w:t>
      </w:r>
      <w:r w:rsidRPr="00CC4BAF">
        <w:rPr>
          <w:rFonts w:ascii="Times New Roman" w:hAnsi="Times New Roman" w:cs="Times New Roman"/>
          <w:i/>
          <w:iCs/>
          <w:noProof/>
          <w:sz w:val="24"/>
          <w:szCs w:val="24"/>
        </w:rPr>
        <w:t>IEEE Signal Process. Mag.</w:t>
      </w:r>
      <w:r w:rsidRPr="00CC4BAF">
        <w:rPr>
          <w:rFonts w:ascii="Times New Roman" w:hAnsi="Times New Roman" w:cs="Times New Roman"/>
          <w:noProof/>
          <w:sz w:val="24"/>
          <w:szCs w:val="24"/>
        </w:rPr>
        <w:t>, vol. 35, no. 4, pp. 90–111, Jul. 2018, doi: 10.1109/MSP.2018.2818327.</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[18]</w:t>
      </w:r>
      <w:r w:rsidRPr="00CC4BAF">
        <w:rPr>
          <w:rFonts w:ascii="Times New Roman" w:hAnsi="Times New Roman" w:cs="Times New Roman"/>
          <w:noProof/>
          <w:sz w:val="24"/>
          <w:szCs w:val="24"/>
        </w:rPr>
        <w:tab/>
        <w:t xml:space="preserve">E. A. Soto, L. B. Bosman, E. Wollega, and W. D. Leon-Salas, “Peer-to-peer energy trading: A review of the literature,” </w:t>
      </w:r>
      <w:r w:rsidRPr="00CC4BAF">
        <w:rPr>
          <w:rFonts w:ascii="Times New Roman" w:hAnsi="Times New Roman" w:cs="Times New Roman"/>
          <w:i/>
          <w:iCs/>
          <w:noProof/>
          <w:sz w:val="24"/>
          <w:szCs w:val="24"/>
        </w:rPr>
        <w:t>Appl. Energy</w:t>
      </w:r>
      <w:r w:rsidRPr="00CC4BAF">
        <w:rPr>
          <w:rFonts w:ascii="Times New Roman" w:hAnsi="Times New Roman" w:cs="Times New Roman"/>
          <w:noProof/>
          <w:sz w:val="24"/>
          <w:szCs w:val="24"/>
        </w:rPr>
        <w:t>, vol. 283, Feb. 2021, doi: 10.1016/j.apenergy.2020.116268.</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[19]</w:t>
      </w:r>
      <w:r w:rsidRPr="00CC4BAF">
        <w:rPr>
          <w:rFonts w:ascii="Times New Roman" w:hAnsi="Times New Roman" w:cs="Times New Roman"/>
          <w:noProof/>
          <w:sz w:val="24"/>
          <w:szCs w:val="24"/>
        </w:rPr>
        <w:tab/>
        <w:t>“Trading Platform | Order Group.” Accessed: Sep. 10, 2024. [Online]. Available: https://ordergroup.co/energy-hub/energy-trading/trading-platform/</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[20]</w:t>
      </w:r>
      <w:r w:rsidRPr="00CC4BAF">
        <w:rPr>
          <w:rFonts w:ascii="Times New Roman" w:hAnsi="Times New Roman" w:cs="Times New Roman"/>
          <w:noProof/>
          <w:sz w:val="24"/>
          <w:szCs w:val="24"/>
        </w:rPr>
        <w:tab/>
        <w:t>“Manorama Yearbook | Blockchain Technology | UPSC.” Accessed: Sep. 11, 2024. [Online]. Available: https://www.manoramayearbook.in/current-affairs/india/2024/09/05/blockchain-technology-explained.html</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[21]</w:t>
      </w:r>
      <w:r w:rsidRPr="00CC4BAF">
        <w:rPr>
          <w:rFonts w:ascii="Times New Roman" w:hAnsi="Times New Roman" w:cs="Times New Roman"/>
          <w:noProof/>
          <w:sz w:val="24"/>
          <w:szCs w:val="24"/>
        </w:rPr>
        <w:tab/>
        <w:t xml:space="preserve">H. F. Atlam and G. B. Wills, </w:t>
      </w:r>
      <w:r w:rsidRPr="00CC4BAF">
        <w:rPr>
          <w:rFonts w:ascii="Times New Roman" w:hAnsi="Times New Roman" w:cs="Times New Roman"/>
          <w:i/>
          <w:iCs/>
          <w:noProof/>
          <w:sz w:val="24"/>
          <w:szCs w:val="24"/>
        </w:rPr>
        <w:t>Technical aspects of blockchain and IoT</w:t>
      </w:r>
      <w:r w:rsidRPr="00CC4BAF">
        <w:rPr>
          <w:rFonts w:ascii="Times New Roman" w:hAnsi="Times New Roman" w:cs="Times New Roman"/>
          <w:noProof/>
          <w:sz w:val="24"/>
          <w:szCs w:val="24"/>
        </w:rPr>
        <w:t>, 1st ed., vol. 115. Elsevier Inc., 2019. doi: 10.1016/bs.adcom.2018.10.006.</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[22]</w:t>
      </w:r>
      <w:r w:rsidRPr="00CC4BAF">
        <w:rPr>
          <w:rFonts w:ascii="Times New Roman" w:hAnsi="Times New Roman" w:cs="Times New Roman"/>
          <w:noProof/>
          <w:sz w:val="24"/>
          <w:szCs w:val="24"/>
        </w:rPr>
        <w:tab/>
        <w:t xml:space="preserve">Y. Lu, “The blockchain: State-of-the-art and research challenges,” </w:t>
      </w:r>
      <w:r w:rsidRPr="00CC4BAF">
        <w:rPr>
          <w:rFonts w:ascii="Times New Roman" w:hAnsi="Times New Roman" w:cs="Times New Roman"/>
          <w:i/>
          <w:iCs/>
          <w:noProof/>
          <w:sz w:val="24"/>
          <w:szCs w:val="24"/>
        </w:rPr>
        <w:t>J. Ind. Inf. Integr.</w:t>
      </w:r>
      <w:r w:rsidRPr="00CC4BAF">
        <w:rPr>
          <w:rFonts w:ascii="Times New Roman" w:hAnsi="Times New Roman" w:cs="Times New Roman"/>
          <w:noProof/>
          <w:sz w:val="24"/>
          <w:szCs w:val="24"/>
        </w:rPr>
        <w:t>, vol. 15, no. April, pp. 80–90, 2019, doi: 10.1016/j.jii.2019.04.002.</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[23]</w:t>
      </w:r>
      <w:r w:rsidRPr="00CC4BAF">
        <w:rPr>
          <w:rFonts w:ascii="Times New Roman" w:hAnsi="Times New Roman" w:cs="Times New Roman"/>
          <w:noProof/>
          <w:sz w:val="24"/>
          <w:szCs w:val="24"/>
        </w:rPr>
        <w:tab/>
        <w:t>MINISTRY OF ELECTRONICS &amp; INFORMATION TECHNOLOGY - Government of India, “NATIONAL STRATEGY ON BLOCKCHAIN Towards Enabling Trusted Digital Platforms,” pp. 1–52, 2021.</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[24]</w:t>
      </w:r>
      <w:r w:rsidRPr="00CC4BAF">
        <w:rPr>
          <w:rFonts w:ascii="Times New Roman" w:hAnsi="Times New Roman" w:cs="Times New Roman"/>
          <w:noProof/>
          <w:sz w:val="24"/>
          <w:szCs w:val="24"/>
        </w:rPr>
        <w:tab/>
        <w:t>PwC global power &amp; utilities, “Blockchain-an opportunity for energy producers and consumers?” [Online]. Available: www.pwc.com/utilities</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[25]</w:t>
      </w:r>
      <w:r w:rsidRPr="00CC4BAF">
        <w:rPr>
          <w:rFonts w:ascii="Times New Roman" w:hAnsi="Times New Roman" w:cs="Times New Roman"/>
          <w:noProof/>
          <w:sz w:val="24"/>
          <w:szCs w:val="24"/>
        </w:rPr>
        <w:tab/>
        <w:t>GeeksforGeeks, “Types of Blockchain - GeeksforGeeks,” GeeksforGeeks. Accessed: Sep. 11, 2024. [Online]. Available: https://www.geeksforgeeks.org/types-of-blockchain/?ref=lbp</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[26]</w:t>
      </w:r>
      <w:r w:rsidRPr="00CC4BAF">
        <w:rPr>
          <w:rFonts w:ascii="Times New Roman" w:hAnsi="Times New Roman" w:cs="Times New Roman"/>
          <w:noProof/>
          <w:sz w:val="24"/>
          <w:szCs w:val="24"/>
        </w:rPr>
        <w:tab/>
        <w:t xml:space="preserve">P. Mukherjee and C. Pradhan, “Blockchain 1.0 to blockchain 4.0—The evolutionary transformation of blockchain technology,” in </w:t>
      </w:r>
      <w:r w:rsidRPr="00CC4BAF">
        <w:rPr>
          <w:rFonts w:ascii="Times New Roman" w:hAnsi="Times New Roman" w:cs="Times New Roman"/>
          <w:i/>
          <w:iCs/>
          <w:noProof/>
          <w:sz w:val="24"/>
          <w:szCs w:val="24"/>
        </w:rPr>
        <w:t>Intelligent Systems Reference Library</w:t>
      </w:r>
      <w:r w:rsidRPr="00CC4BAF">
        <w:rPr>
          <w:rFonts w:ascii="Times New Roman" w:hAnsi="Times New Roman" w:cs="Times New Roman"/>
          <w:noProof/>
          <w:sz w:val="24"/>
          <w:szCs w:val="24"/>
        </w:rPr>
        <w:t xml:space="preserve">, vol. 203, Springer Science and Business Media Deutschland GmbH, 2021, pp. 29–49. doi: </w:t>
      </w:r>
      <w:r w:rsidRPr="00CC4BAF">
        <w:rPr>
          <w:rFonts w:ascii="Times New Roman" w:hAnsi="Times New Roman" w:cs="Times New Roman"/>
          <w:noProof/>
          <w:sz w:val="24"/>
          <w:szCs w:val="24"/>
        </w:rPr>
        <w:lastRenderedPageBreak/>
        <w:t>10.1007/978-3-030-69395-4_3.</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[27]</w:t>
      </w:r>
      <w:r w:rsidRPr="00CC4BAF">
        <w:rPr>
          <w:rFonts w:ascii="Times New Roman" w:hAnsi="Times New Roman" w:cs="Times New Roman"/>
          <w:noProof/>
          <w:sz w:val="24"/>
          <w:szCs w:val="24"/>
        </w:rPr>
        <w:tab/>
        <w:t>N. Gopie, “What are smart contracts on blockchain? | IBM,” 2018. Accessed: Sep. 04, 2024. [Online]. Available: https://www.ibm.com/topics/smart-contracts</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[28]</w:t>
      </w:r>
      <w:r w:rsidRPr="00CC4BAF">
        <w:rPr>
          <w:rFonts w:ascii="Times New Roman" w:hAnsi="Times New Roman" w:cs="Times New Roman"/>
          <w:noProof/>
          <w:sz w:val="24"/>
          <w:szCs w:val="24"/>
        </w:rPr>
        <w:tab/>
        <w:t>M. Alharby and A. van Moorsel, “Blockchain Based Smart Contracts : A Systematic Mapping Study,” pp. 125–140, 2017, doi: 10.5121/csit.2017.71011.</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[29]</w:t>
      </w:r>
      <w:r w:rsidRPr="00CC4BAF">
        <w:rPr>
          <w:rFonts w:ascii="Times New Roman" w:hAnsi="Times New Roman" w:cs="Times New Roman"/>
          <w:noProof/>
          <w:sz w:val="24"/>
          <w:szCs w:val="24"/>
        </w:rPr>
        <w:tab/>
        <w:t>“Introduction to Smart Contracts — Solidity 0.8.28 documentation.” Accessed: Sep. 12, 2024. [Online]. Available: https://docs.soliditylang.org/en/latest/introduction-to-smart-contracts.html</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[30]</w:t>
      </w:r>
      <w:r w:rsidRPr="00CC4BAF">
        <w:rPr>
          <w:rFonts w:ascii="Times New Roman" w:hAnsi="Times New Roman" w:cs="Times New Roman"/>
          <w:noProof/>
          <w:sz w:val="24"/>
          <w:szCs w:val="24"/>
        </w:rPr>
        <w:tab/>
        <w:t>B. Kumar Mohanta and D. Jena, “An Overview of Smart Contract and Use cases in Blockchain Technology.”</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[31]</w:t>
      </w:r>
      <w:r w:rsidRPr="00CC4BAF">
        <w:rPr>
          <w:rFonts w:ascii="Times New Roman" w:hAnsi="Times New Roman" w:cs="Times New Roman"/>
          <w:noProof/>
          <w:sz w:val="24"/>
          <w:szCs w:val="24"/>
        </w:rPr>
        <w:tab/>
        <w:t xml:space="preserve">G. Wu, H. P. Wang, X. Lai, M. Wang, D. He, and S. Chan, “A comprehensive survey of smart contract security: State of the art and research directions,” Jun. 01, 2024, </w:t>
      </w:r>
      <w:r w:rsidRPr="00CC4BAF">
        <w:rPr>
          <w:rFonts w:ascii="Times New Roman" w:hAnsi="Times New Roman" w:cs="Times New Roman"/>
          <w:i/>
          <w:iCs/>
          <w:noProof/>
          <w:sz w:val="24"/>
          <w:szCs w:val="24"/>
        </w:rPr>
        <w:t>Academic Press</w:t>
      </w:r>
      <w:r w:rsidRPr="00CC4BAF">
        <w:rPr>
          <w:rFonts w:ascii="Times New Roman" w:hAnsi="Times New Roman" w:cs="Times New Roman"/>
          <w:noProof/>
          <w:sz w:val="24"/>
          <w:szCs w:val="24"/>
        </w:rPr>
        <w:t>. doi: 10.1016/j.jnca.2024.103882.</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[32]</w:t>
      </w:r>
      <w:r w:rsidRPr="00CC4BAF">
        <w:rPr>
          <w:rFonts w:ascii="Times New Roman" w:hAnsi="Times New Roman" w:cs="Times New Roman"/>
          <w:noProof/>
          <w:sz w:val="24"/>
          <w:szCs w:val="24"/>
        </w:rPr>
        <w:tab/>
        <w:t xml:space="preserve">G. Vieira and J. Zhang, “Peer-to-peer energy trading in a microgrid leveraged by smart contracts,” </w:t>
      </w:r>
      <w:r w:rsidRPr="00CC4BAF">
        <w:rPr>
          <w:rFonts w:ascii="Times New Roman" w:hAnsi="Times New Roman" w:cs="Times New Roman"/>
          <w:i/>
          <w:iCs/>
          <w:noProof/>
          <w:sz w:val="24"/>
          <w:szCs w:val="24"/>
        </w:rPr>
        <w:t>Renew. Sustain. Energy Rev.</w:t>
      </w:r>
      <w:r w:rsidRPr="00CC4BAF">
        <w:rPr>
          <w:rFonts w:ascii="Times New Roman" w:hAnsi="Times New Roman" w:cs="Times New Roman"/>
          <w:noProof/>
          <w:sz w:val="24"/>
          <w:szCs w:val="24"/>
        </w:rPr>
        <w:t>, vol. 143, no. January, p. 110900, 2021, doi: 10.1016/j.rser.2021.110900.</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[33]</w:t>
      </w:r>
      <w:r w:rsidRPr="00CC4BAF">
        <w:rPr>
          <w:rFonts w:ascii="Times New Roman" w:hAnsi="Times New Roman" w:cs="Times New Roman"/>
          <w:noProof/>
          <w:sz w:val="24"/>
          <w:szCs w:val="24"/>
        </w:rPr>
        <w:tab/>
        <w:t>“Glossary of Basic Blockchain Terminology - SunContract.”</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[34]</w:t>
      </w:r>
      <w:r w:rsidRPr="00CC4BAF">
        <w:rPr>
          <w:rFonts w:ascii="Times New Roman" w:hAnsi="Times New Roman" w:cs="Times New Roman"/>
          <w:noProof/>
          <w:sz w:val="24"/>
          <w:szCs w:val="24"/>
        </w:rPr>
        <w:tab/>
        <w:t>“Tokenization’s Impact on the Energy Industry | Shift Markets.”</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[35]</w:t>
      </w:r>
      <w:r w:rsidRPr="00CC4BAF">
        <w:rPr>
          <w:rFonts w:ascii="Times New Roman" w:hAnsi="Times New Roman" w:cs="Times New Roman"/>
          <w:noProof/>
          <w:sz w:val="24"/>
          <w:szCs w:val="24"/>
        </w:rPr>
        <w:tab/>
        <w:t>“Energy tokenization: A new way to finance and trade energy - IA Engine.”</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[36]</w:t>
      </w:r>
      <w:r w:rsidRPr="00CC4BAF">
        <w:rPr>
          <w:rFonts w:ascii="Times New Roman" w:hAnsi="Times New Roman" w:cs="Times New Roman"/>
          <w:noProof/>
          <w:sz w:val="24"/>
          <w:szCs w:val="24"/>
        </w:rPr>
        <w:tab/>
        <w:t>“The Rise of Tokenization in Renewable Energy Investments - Aurora Blog.”</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[37]</w:t>
      </w:r>
      <w:r w:rsidRPr="00CC4BAF">
        <w:rPr>
          <w:rFonts w:ascii="Times New Roman" w:hAnsi="Times New Roman" w:cs="Times New Roman"/>
          <w:noProof/>
          <w:sz w:val="24"/>
          <w:szCs w:val="24"/>
        </w:rPr>
        <w:tab/>
        <w:t>T. K. Sharma, “Security Tokens vs. Utility Tokens: A Concise Guide. Blockchain Council,” Blockchain Council. Accessed: Sep. 11, 2024. [Online]. Available: https://www.blockchain-council.org/blockchain/security-tokens-vs-utility-tokens-guide/</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[38]</w:t>
      </w:r>
      <w:r w:rsidRPr="00CC4BAF">
        <w:rPr>
          <w:rFonts w:ascii="Times New Roman" w:hAnsi="Times New Roman" w:cs="Times New Roman"/>
          <w:noProof/>
          <w:sz w:val="24"/>
          <w:szCs w:val="24"/>
        </w:rPr>
        <w:tab/>
        <w:t xml:space="preserve">C. Zhang, “The Analysis of the Risks and Improvements of ERC20 Tokens,” </w:t>
      </w:r>
      <w:r w:rsidRPr="00CC4BAF">
        <w:rPr>
          <w:rFonts w:ascii="Times New Roman" w:hAnsi="Times New Roman" w:cs="Times New Roman"/>
          <w:i/>
          <w:iCs/>
          <w:noProof/>
          <w:sz w:val="24"/>
          <w:szCs w:val="24"/>
        </w:rPr>
        <w:t>Highlights Sci. Eng. Technol.</w:t>
      </w:r>
      <w:r w:rsidRPr="00CC4BAF">
        <w:rPr>
          <w:rFonts w:ascii="Times New Roman" w:hAnsi="Times New Roman" w:cs="Times New Roman"/>
          <w:noProof/>
          <w:sz w:val="24"/>
          <w:szCs w:val="24"/>
        </w:rPr>
        <w:t>, vol. 39, pp. 1093–1097, 2023, doi: 10.54097/hset.v39i.6713.</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[39]</w:t>
      </w:r>
      <w:r w:rsidRPr="00CC4BAF">
        <w:rPr>
          <w:rFonts w:ascii="Times New Roman" w:hAnsi="Times New Roman" w:cs="Times New Roman"/>
          <w:noProof/>
          <w:sz w:val="24"/>
          <w:szCs w:val="24"/>
        </w:rPr>
        <w:tab/>
        <w:t>Crypto.com, “What Are Token Standards? An Overview,” Abgerufen am 17.06.2023. Accessed: Sep. 09, 2024. [Online]. Available: https://crypto.com/university/what-are-token-standards</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[40]</w:t>
      </w:r>
      <w:r w:rsidRPr="00CC4BAF">
        <w:rPr>
          <w:rFonts w:ascii="Times New Roman" w:hAnsi="Times New Roman" w:cs="Times New Roman"/>
          <w:noProof/>
          <w:sz w:val="24"/>
          <w:szCs w:val="24"/>
        </w:rPr>
        <w:tab/>
        <w:t>“What Are Token Standards And How Do They Work? | by U2U Network | U2U Network | Medium.”</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[41]</w:t>
      </w:r>
      <w:r w:rsidRPr="00CC4BAF">
        <w:rPr>
          <w:rFonts w:ascii="Times New Roman" w:hAnsi="Times New Roman" w:cs="Times New Roman"/>
          <w:noProof/>
          <w:sz w:val="24"/>
          <w:szCs w:val="24"/>
        </w:rPr>
        <w:tab/>
        <w:t>Ethereum.org, “ERC-20 Token Standard | ethereum.org,” Ethereum.org. Accessed: Sep. 09, 2024. [Online]. Available: https://ethereum.org/en/developers/docs/standards/tokens/erc-20/</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[42]</w:t>
      </w:r>
      <w:r w:rsidRPr="00CC4BAF">
        <w:rPr>
          <w:rFonts w:ascii="Times New Roman" w:hAnsi="Times New Roman" w:cs="Times New Roman"/>
          <w:noProof/>
          <w:sz w:val="24"/>
          <w:szCs w:val="24"/>
        </w:rPr>
        <w:tab/>
        <w:t>“BEP-20 | Binance Academy.” Accessed: Sep. 09, 2024. [Online]. Available: https://academy.binance.com/en/glossary/bep-20</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[43]</w:t>
      </w:r>
      <w:r w:rsidRPr="00CC4BAF">
        <w:rPr>
          <w:rFonts w:ascii="Times New Roman" w:hAnsi="Times New Roman" w:cs="Times New Roman"/>
          <w:noProof/>
          <w:sz w:val="24"/>
          <w:szCs w:val="24"/>
        </w:rPr>
        <w:tab/>
        <w:t>H. Tarcan, “ERC-721 Non-Fungible Token Standard | ethereum.org.” Accessed: Sep. 09, 2024. [Online]. Available: https://ethereum.org/en/developers/docs/standards/tokens/erc-</w:t>
      </w:r>
      <w:r w:rsidRPr="00CC4BAF">
        <w:rPr>
          <w:rFonts w:ascii="Times New Roman" w:hAnsi="Times New Roman" w:cs="Times New Roman"/>
          <w:noProof/>
          <w:sz w:val="24"/>
          <w:szCs w:val="24"/>
        </w:rPr>
        <w:lastRenderedPageBreak/>
        <w:t>721/</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[44]</w:t>
      </w:r>
      <w:r w:rsidRPr="00CC4BAF">
        <w:rPr>
          <w:rFonts w:ascii="Times New Roman" w:hAnsi="Times New Roman" w:cs="Times New Roman"/>
          <w:noProof/>
          <w:sz w:val="24"/>
          <w:szCs w:val="24"/>
        </w:rPr>
        <w:tab/>
        <w:t>J. Douglas, “ERC-1155 Multi-Token Standard | ethereum.org.” Accessed: Sep. 09, 2024. [Online]. Available: https://ethereum.org/en/developers/docs/standards/tokens/erc-1155/</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[45]</w:t>
      </w:r>
      <w:r w:rsidRPr="00CC4BAF">
        <w:rPr>
          <w:rFonts w:ascii="Times New Roman" w:hAnsi="Times New Roman" w:cs="Times New Roman"/>
          <w:noProof/>
          <w:sz w:val="24"/>
          <w:szCs w:val="24"/>
        </w:rPr>
        <w:tab/>
        <w:t>“ERC-777 Token Standard | ethereum.org.” Accessed: Sep. 09, 2024. [Online]. Available: https://ethereum.org/en/developers/docs/standards/tokens/erc-777/</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[46]</w:t>
      </w:r>
      <w:r w:rsidRPr="00CC4BAF">
        <w:rPr>
          <w:rFonts w:ascii="Times New Roman" w:hAnsi="Times New Roman" w:cs="Times New Roman"/>
          <w:noProof/>
          <w:sz w:val="24"/>
          <w:szCs w:val="24"/>
        </w:rPr>
        <w:tab/>
        <w:t>“Top Energy Tokens by Market Capitalization | CoinMarketCap.” Accessed: Sep. 12, 2024. [Online]. Available: https://coinmarketcap.com/view/energy/</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[47]</w:t>
      </w:r>
      <w:r w:rsidRPr="00CC4BAF">
        <w:rPr>
          <w:rFonts w:ascii="Times New Roman" w:hAnsi="Times New Roman" w:cs="Times New Roman"/>
          <w:noProof/>
          <w:sz w:val="24"/>
          <w:szCs w:val="24"/>
        </w:rPr>
        <w:tab/>
        <w:t>Powerledger, “Powerledger Lightpaper Powerledger introduces its multipurpose blockchain, based on high volume and low fees,” 2023.</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[48]</w:t>
      </w:r>
      <w:r w:rsidRPr="00CC4BAF">
        <w:rPr>
          <w:rFonts w:ascii="Times New Roman" w:hAnsi="Times New Roman" w:cs="Times New Roman"/>
          <w:noProof/>
          <w:sz w:val="24"/>
          <w:szCs w:val="24"/>
        </w:rPr>
        <w:tab/>
        <w:t xml:space="preserve">Power Ledger, “power-ledger-whitepaper,” </w:t>
      </w:r>
      <w:r w:rsidRPr="00CC4BAF">
        <w:rPr>
          <w:rFonts w:ascii="Times New Roman" w:hAnsi="Times New Roman" w:cs="Times New Roman"/>
          <w:i/>
          <w:iCs/>
          <w:noProof/>
          <w:sz w:val="24"/>
          <w:szCs w:val="24"/>
        </w:rPr>
        <w:t>Power-Ledger-Whitepaper</w:t>
      </w:r>
      <w:r w:rsidRPr="00CC4BAF">
        <w:rPr>
          <w:rFonts w:ascii="Times New Roman" w:hAnsi="Times New Roman" w:cs="Times New Roman"/>
          <w:noProof/>
          <w:sz w:val="24"/>
          <w:szCs w:val="24"/>
        </w:rPr>
        <w:t>, 2017.</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[49]</w:t>
      </w:r>
      <w:r w:rsidRPr="00CC4BAF">
        <w:rPr>
          <w:rFonts w:ascii="Times New Roman" w:hAnsi="Times New Roman" w:cs="Times New Roman"/>
          <w:noProof/>
          <w:sz w:val="24"/>
          <w:szCs w:val="24"/>
        </w:rPr>
        <w:tab/>
        <w:t>“Understanding Power Ledger’s Two Tokens: POWR and Sparkz | by Em Elou | Medium.”</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[50]</w:t>
      </w:r>
      <w:r w:rsidRPr="00CC4BAF">
        <w:rPr>
          <w:rFonts w:ascii="Times New Roman" w:hAnsi="Times New Roman" w:cs="Times New Roman"/>
          <w:noProof/>
          <w:sz w:val="24"/>
          <w:szCs w:val="24"/>
        </w:rPr>
        <w:tab/>
        <w:t>“Disclaimer | Dione - Whitepaper V1.1.” Accessed: Sep. 02, 2024. [Online]. Available: https://dione-protocol.gitbook.io/dione-whitepaper</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[51]</w:t>
      </w:r>
      <w:r w:rsidRPr="00CC4BAF">
        <w:rPr>
          <w:rFonts w:ascii="Times New Roman" w:hAnsi="Times New Roman" w:cs="Times New Roman"/>
          <w:noProof/>
          <w:sz w:val="24"/>
          <w:szCs w:val="24"/>
        </w:rPr>
        <w:tab/>
        <w:t>T. Findas and T. Team, “Token Economy Summary,” no. December, pp. 1–20, 2023.</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[52]</w:t>
      </w:r>
      <w:r w:rsidRPr="00CC4BAF">
        <w:rPr>
          <w:rFonts w:ascii="Times New Roman" w:hAnsi="Times New Roman" w:cs="Times New Roman"/>
          <w:noProof/>
          <w:sz w:val="24"/>
          <w:szCs w:val="24"/>
        </w:rPr>
        <w:tab/>
        <w:t>“Electricity Marketplace for energy buyers and sellers - SunContract.” Accessed: Sep. 05, 2024. [Online]. Available: https://suncontract.org/your-electricity-marketplace/</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[53]</w:t>
      </w:r>
      <w:r w:rsidRPr="00CC4BAF">
        <w:rPr>
          <w:rFonts w:ascii="Times New Roman" w:hAnsi="Times New Roman" w:cs="Times New Roman"/>
          <w:noProof/>
          <w:sz w:val="24"/>
          <w:szCs w:val="24"/>
        </w:rPr>
        <w:tab/>
        <w:t>“SNC is a digitally tradable currency used for energy payments - SunContract.” Accessed: Sep. 05, 2024. [Online]. Available: https://suncontract.org/snc-token/</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[54]</w:t>
      </w:r>
      <w:r w:rsidRPr="00CC4BAF">
        <w:rPr>
          <w:rFonts w:ascii="Times New Roman" w:hAnsi="Times New Roman" w:cs="Times New Roman"/>
          <w:noProof/>
          <w:sz w:val="24"/>
          <w:szCs w:val="24"/>
        </w:rPr>
        <w:tab/>
        <w:t>“SunContract’s SNC Token is ERC20... What does this mean? - SunContract.” Accessed: Sep. 05, 2024. [Online]. Available: https://suncontract.org/suncontracts-snc-token-is-erc20-what-does-this-mean/</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[55]</w:t>
      </w:r>
      <w:r w:rsidRPr="00CC4BAF">
        <w:rPr>
          <w:rFonts w:ascii="Times New Roman" w:hAnsi="Times New Roman" w:cs="Times New Roman"/>
          <w:noProof/>
          <w:sz w:val="24"/>
          <w:szCs w:val="24"/>
        </w:rPr>
        <w:tab/>
        <w:t>I. C. O. Whitepaper, “Be the power”.</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[56]</w:t>
      </w:r>
      <w:r w:rsidRPr="00CC4BAF">
        <w:rPr>
          <w:rFonts w:ascii="Times New Roman" w:hAnsi="Times New Roman" w:cs="Times New Roman"/>
          <w:noProof/>
          <w:sz w:val="24"/>
          <w:szCs w:val="24"/>
        </w:rPr>
        <w:tab/>
        <w:t>“Energy Efficiency. Reinvented. | EFFORCE.” Accessed: Sep. 12, 2024. [Online]. Available: https://www.efforce.io/</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[57]</w:t>
      </w:r>
      <w:r w:rsidRPr="00CC4BAF">
        <w:rPr>
          <w:rFonts w:ascii="Times New Roman" w:hAnsi="Times New Roman" w:cs="Times New Roman"/>
          <w:noProof/>
          <w:sz w:val="24"/>
          <w:szCs w:val="24"/>
        </w:rPr>
        <w:tab/>
        <w:t>“Efforce White Paper”.</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[58]</w:t>
      </w:r>
      <w:r w:rsidRPr="00CC4BAF">
        <w:rPr>
          <w:rFonts w:ascii="Times New Roman" w:hAnsi="Times New Roman" w:cs="Times New Roman"/>
          <w:noProof/>
          <w:sz w:val="24"/>
          <w:szCs w:val="24"/>
        </w:rPr>
        <w:tab/>
        <w:t xml:space="preserve">EnergiMine, “EnergiMine White paper version 5.0: Decentralizing global energy markets by rewarding energy efficient behaviour,” </w:t>
      </w:r>
      <w:r w:rsidRPr="00CC4BAF">
        <w:rPr>
          <w:rFonts w:ascii="Times New Roman" w:hAnsi="Times New Roman" w:cs="Times New Roman"/>
          <w:i/>
          <w:iCs/>
          <w:noProof/>
          <w:sz w:val="24"/>
          <w:szCs w:val="24"/>
        </w:rPr>
        <w:t>Whitepaper</w:t>
      </w:r>
      <w:r w:rsidRPr="00CC4BAF">
        <w:rPr>
          <w:rFonts w:ascii="Times New Roman" w:hAnsi="Times New Roman" w:cs="Times New Roman"/>
          <w:noProof/>
          <w:sz w:val="24"/>
          <w:szCs w:val="24"/>
        </w:rPr>
        <w:t>, no. 5.0, pp. 1–33, 2018.</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[59]</w:t>
      </w:r>
      <w:r w:rsidRPr="00CC4BAF">
        <w:rPr>
          <w:rFonts w:ascii="Times New Roman" w:hAnsi="Times New Roman" w:cs="Times New Roman"/>
          <w:noProof/>
          <w:sz w:val="24"/>
          <w:szCs w:val="24"/>
        </w:rPr>
        <w:tab/>
        <w:t>SolarCoin, “SolarCoin: A blockchain-based solar energy incentive,” 2018. [Online]. Available: https://solarcoin.org/sites/default/files/slr-basic-page/2018-07/SolarCoin_Policy_Paper_EN.pdf%0Ahttps://solarcoin.org/sites/default/files/slr-basic-page/2018-02/SolarCoin_Policy_Paper_FINAL.pdf</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[60]</w:t>
      </w:r>
      <w:r w:rsidRPr="00CC4BAF">
        <w:rPr>
          <w:rFonts w:ascii="Times New Roman" w:hAnsi="Times New Roman" w:cs="Times New Roman"/>
          <w:noProof/>
          <w:sz w:val="24"/>
          <w:szCs w:val="24"/>
        </w:rPr>
        <w:tab/>
        <w:t>“Help and FAQs — SolarCoin.” Accessed: Sep. 10, 2024. [Online]. Available: https://solarcoin.org/help-and-faqs</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[61]</w:t>
      </w:r>
      <w:r w:rsidRPr="00CC4BAF">
        <w:rPr>
          <w:rFonts w:ascii="Times New Roman" w:hAnsi="Times New Roman" w:cs="Times New Roman"/>
          <w:noProof/>
          <w:sz w:val="24"/>
          <w:szCs w:val="24"/>
        </w:rPr>
        <w:tab/>
        <w:t>Grid+, “Grid+ Whitepaper,” 2017, [Online]. Available: https://gridplus.io/assets/Gridwhitepaper.pdf</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lastRenderedPageBreak/>
        <w:t>[62]</w:t>
      </w:r>
      <w:r w:rsidRPr="00CC4BAF">
        <w:rPr>
          <w:rFonts w:ascii="Times New Roman" w:hAnsi="Times New Roman" w:cs="Times New Roman"/>
          <w:noProof/>
          <w:sz w:val="24"/>
          <w:szCs w:val="24"/>
        </w:rPr>
        <w:tab/>
        <w:t>“What is Grid+ - CoinCheckup.” Accessed: Sep. 12, 2024. [Online]. Available: https://coincheckup.com/coins/grid-plus/about</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[63]</w:t>
      </w:r>
      <w:r w:rsidRPr="00CC4BAF">
        <w:rPr>
          <w:rFonts w:ascii="Times New Roman" w:hAnsi="Times New Roman" w:cs="Times New Roman"/>
          <w:noProof/>
          <w:sz w:val="24"/>
          <w:szCs w:val="24"/>
        </w:rPr>
        <w:tab/>
        <w:t>“Rowan Coin – Rowan Blockchain.” Accessed: Sep. 12, 2024. [Online]. Available: https://rowanblockchain.com/rowan-coin/</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[64]</w:t>
      </w:r>
      <w:r w:rsidRPr="00CC4BAF">
        <w:rPr>
          <w:rFonts w:ascii="Times New Roman" w:hAnsi="Times New Roman" w:cs="Times New Roman"/>
          <w:noProof/>
          <w:sz w:val="24"/>
          <w:szCs w:val="24"/>
        </w:rPr>
        <w:tab/>
        <w:t>R. Blockchain, “Whitepaper A tokenised platform for improving home renewable energy production and encouraging its wider adoption.”</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[65]</w:t>
      </w:r>
      <w:r w:rsidRPr="00CC4BAF">
        <w:rPr>
          <w:rFonts w:ascii="Times New Roman" w:hAnsi="Times New Roman" w:cs="Times New Roman"/>
          <w:noProof/>
          <w:sz w:val="24"/>
          <w:szCs w:val="24"/>
        </w:rPr>
        <w:tab/>
        <w:t>“Synergy – Electrify — Asia’s Electric Marketplace.” Accessed: Sep. 10, 2024. [Online]. Available: https://electrify.asia/synergy/</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[66]</w:t>
      </w:r>
      <w:r w:rsidRPr="00CC4BAF">
        <w:rPr>
          <w:rFonts w:ascii="Times New Roman" w:hAnsi="Times New Roman" w:cs="Times New Roman"/>
          <w:noProof/>
          <w:sz w:val="24"/>
          <w:szCs w:val="24"/>
        </w:rPr>
        <w:tab/>
        <w:t>Electrify, “Electrify — Asia’s Electric Marketplace – Electrify — Asia’s Electric Marketplace.” Accessed: Sep. 12, 2024. [Online]. Available: https://electrify.asia/</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szCs w:val="24"/>
        </w:rPr>
      </w:pPr>
      <w:r w:rsidRPr="00CC4BAF">
        <w:rPr>
          <w:rFonts w:ascii="Times New Roman" w:hAnsi="Times New Roman" w:cs="Times New Roman"/>
          <w:noProof/>
          <w:sz w:val="24"/>
          <w:szCs w:val="24"/>
        </w:rPr>
        <w:t>[67]</w:t>
      </w:r>
      <w:r w:rsidRPr="00CC4BAF">
        <w:rPr>
          <w:rFonts w:ascii="Times New Roman" w:hAnsi="Times New Roman" w:cs="Times New Roman"/>
          <w:noProof/>
          <w:sz w:val="24"/>
          <w:szCs w:val="24"/>
        </w:rPr>
        <w:tab/>
        <w:t>I. C. O. Whitepaper, “ELECTRIFY Be the power.”</w:t>
      </w:r>
    </w:p>
    <w:p w:rsidR="00CC4BAF" w:rsidRPr="00CC4BAF" w:rsidRDefault="00CC4BAF" w:rsidP="00CC4BAF">
      <w:pPr>
        <w:widowControl w:val="0"/>
        <w:autoSpaceDE w:val="0"/>
        <w:autoSpaceDN w:val="0"/>
        <w:adjustRightInd w:val="0"/>
        <w:spacing w:line="240" w:lineRule="auto"/>
        <w:ind w:left="640" w:hanging="640"/>
        <w:rPr>
          <w:rFonts w:ascii="Times New Roman" w:hAnsi="Times New Roman" w:cs="Times New Roman"/>
          <w:noProof/>
          <w:sz w:val="24"/>
        </w:rPr>
      </w:pPr>
      <w:r w:rsidRPr="00CC4BAF">
        <w:rPr>
          <w:rFonts w:ascii="Times New Roman" w:hAnsi="Times New Roman" w:cs="Times New Roman"/>
          <w:noProof/>
          <w:sz w:val="24"/>
          <w:szCs w:val="24"/>
        </w:rPr>
        <w:t>[68]</w:t>
      </w:r>
      <w:r w:rsidRPr="00CC4BAF">
        <w:rPr>
          <w:rFonts w:ascii="Times New Roman" w:hAnsi="Times New Roman" w:cs="Times New Roman"/>
          <w:noProof/>
          <w:sz w:val="24"/>
          <w:szCs w:val="24"/>
        </w:rPr>
        <w:tab/>
        <w:t xml:space="preserve">O. Ilina, K. Tagirova, A. Barger, and V. Gorgadze, “SoK: How Blockchain and Tokenization Will Transform the Energy Sector,” in </w:t>
      </w:r>
      <w:r w:rsidRPr="00CC4BAF">
        <w:rPr>
          <w:rFonts w:ascii="Times New Roman" w:hAnsi="Times New Roman" w:cs="Times New Roman"/>
          <w:i/>
          <w:iCs/>
          <w:noProof/>
          <w:sz w:val="24"/>
          <w:szCs w:val="24"/>
        </w:rPr>
        <w:t>2023 IEEE International Conference on Omni-Layer Intelligent Systems, COINS 2023</w:t>
      </w:r>
      <w:r w:rsidRPr="00CC4BAF">
        <w:rPr>
          <w:rFonts w:ascii="Times New Roman" w:hAnsi="Times New Roman" w:cs="Times New Roman"/>
          <w:noProof/>
          <w:sz w:val="24"/>
          <w:szCs w:val="24"/>
        </w:rPr>
        <w:t>, Institute of Electrical and Electronics Engineers Inc., 2023. doi: 10.1109/COINS57856.2023.10189196.</w:t>
      </w:r>
    </w:p>
    <w:p w:rsidR="00E85C08" w:rsidRDefault="00E85C08" w:rsidP="00CE1313">
      <w:pPr>
        <w:rPr>
          <w:b/>
          <w:sz w:val="32"/>
          <w:u w:val="single"/>
        </w:rPr>
      </w:pPr>
      <w:r w:rsidRPr="00E85C08">
        <w:rPr>
          <w:rFonts w:ascii="Times New Roman" w:eastAsia="Times New Roman" w:hAnsi="Times New Roman" w:cs="Times New Roman"/>
          <w:sz w:val="24"/>
          <w:szCs w:val="24"/>
        </w:rPr>
        <w:fldChar w:fldCharType="end"/>
      </w:r>
    </w:p>
    <w:p w:rsidR="00E85C08" w:rsidRDefault="00E85C08" w:rsidP="00CE1313">
      <w:pPr>
        <w:rPr>
          <w:b/>
          <w:sz w:val="32"/>
          <w:u w:val="single"/>
        </w:rPr>
      </w:pPr>
    </w:p>
    <w:p w:rsidR="00E85C08" w:rsidRDefault="00E85C08" w:rsidP="00CE1313">
      <w:pPr>
        <w:rPr>
          <w:b/>
          <w:sz w:val="32"/>
          <w:u w:val="single"/>
        </w:rPr>
      </w:pPr>
    </w:p>
    <w:p w:rsidR="00E85C08" w:rsidRDefault="00E85C08" w:rsidP="00CE1313">
      <w:pPr>
        <w:rPr>
          <w:b/>
          <w:sz w:val="32"/>
          <w:u w:val="single"/>
        </w:rPr>
      </w:pPr>
    </w:p>
    <w:p w:rsidR="00E85C08" w:rsidRDefault="00E85C08" w:rsidP="00CE1313">
      <w:pPr>
        <w:rPr>
          <w:b/>
          <w:sz w:val="32"/>
          <w:u w:val="single"/>
        </w:rPr>
      </w:pPr>
    </w:p>
    <w:p w:rsidR="00E85C08" w:rsidRDefault="00E85C08" w:rsidP="00CE1313">
      <w:pPr>
        <w:rPr>
          <w:b/>
          <w:sz w:val="32"/>
          <w:u w:val="single"/>
        </w:rPr>
      </w:pPr>
    </w:p>
    <w:p w:rsidR="00E85C08" w:rsidRDefault="00E85C08" w:rsidP="00CE1313">
      <w:pPr>
        <w:rPr>
          <w:b/>
          <w:sz w:val="32"/>
          <w:u w:val="single"/>
        </w:rPr>
      </w:pPr>
    </w:p>
    <w:p w:rsidR="00E85C08" w:rsidRDefault="00E85C08" w:rsidP="00CE1313">
      <w:pPr>
        <w:rPr>
          <w:b/>
          <w:sz w:val="32"/>
          <w:u w:val="single"/>
        </w:rPr>
      </w:pPr>
    </w:p>
    <w:p w:rsidR="00E85C08" w:rsidRDefault="00E85C08" w:rsidP="00CE1313">
      <w:pPr>
        <w:rPr>
          <w:b/>
          <w:sz w:val="32"/>
          <w:u w:val="single"/>
        </w:rPr>
      </w:pPr>
    </w:p>
    <w:p w:rsidR="00CE1313" w:rsidRPr="00CE1313" w:rsidRDefault="00CE1313" w:rsidP="00CE1313">
      <w:pPr>
        <w:rPr>
          <w:b/>
          <w:sz w:val="32"/>
          <w:u w:val="single"/>
        </w:rPr>
      </w:pPr>
    </w:p>
    <w:sectPr w:rsidR="00CE1313" w:rsidRPr="00CE13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655" w:rsidRDefault="00E77655" w:rsidP="00745B77">
      <w:pPr>
        <w:spacing w:after="0" w:line="240" w:lineRule="auto"/>
      </w:pPr>
      <w:r>
        <w:separator/>
      </w:r>
    </w:p>
  </w:endnote>
  <w:endnote w:type="continuationSeparator" w:id="0">
    <w:p w:rsidR="00E77655" w:rsidRDefault="00E77655" w:rsidP="0074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la">
    <w:altName w:val="Karl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alatinoLinotype-Roman">
    <w:panose1 w:val="00000000000000000000"/>
    <w:charset w:val="00"/>
    <w:family w:val="roman"/>
    <w:notTrueType/>
    <w:pitch w:val="default"/>
    <w:sig w:usb0="00000003" w:usb1="00000000" w:usb2="00000000" w:usb3="00000000" w:csb0="00000001" w:csb1="00000000"/>
  </w:font>
  <w:font w:name="Gotham Book">
    <w:altName w:val="Gotham Boo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655" w:rsidRDefault="00E77655" w:rsidP="00745B77">
      <w:pPr>
        <w:spacing w:after="0" w:line="240" w:lineRule="auto"/>
      </w:pPr>
      <w:r>
        <w:separator/>
      </w:r>
    </w:p>
  </w:footnote>
  <w:footnote w:type="continuationSeparator" w:id="0">
    <w:p w:rsidR="00E77655" w:rsidRDefault="00E77655" w:rsidP="00745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2266"/>
    <w:multiLevelType w:val="multilevel"/>
    <w:tmpl w:val="AD66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66B8A"/>
    <w:multiLevelType w:val="multilevel"/>
    <w:tmpl w:val="BE30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97537"/>
    <w:multiLevelType w:val="hybridMultilevel"/>
    <w:tmpl w:val="8294FE4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89C7864"/>
    <w:multiLevelType w:val="multilevel"/>
    <w:tmpl w:val="BF001C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5E7C99"/>
    <w:multiLevelType w:val="hybridMultilevel"/>
    <w:tmpl w:val="BDCA9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72E6E"/>
    <w:multiLevelType w:val="multilevel"/>
    <w:tmpl w:val="D93A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420D5"/>
    <w:multiLevelType w:val="multilevel"/>
    <w:tmpl w:val="841C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7583D"/>
    <w:multiLevelType w:val="multilevel"/>
    <w:tmpl w:val="C26E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B53D5"/>
    <w:multiLevelType w:val="multilevel"/>
    <w:tmpl w:val="CCF6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803D2"/>
    <w:multiLevelType w:val="multilevel"/>
    <w:tmpl w:val="8676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2F48D9"/>
    <w:multiLevelType w:val="multilevel"/>
    <w:tmpl w:val="D31E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FC1003"/>
    <w:multiLevelType w:val="multilevel"/>
    <w:tmpl w:val="07C6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60EC2"/>
    <w:multiLevelType w:val="hybridMultilevel"/>
    <w:tmpl w:val="F1E43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0808ED"/>
    <w:multiLevelType w:val="multilevel"/>
    <w:tmpl w:val="2326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AA2A6D"/>
    <w:multiLevelType w:val="multilevel"/>
    <w:tmpl w:val="B072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4F6555"/>
    <w:multiLevelType w:val="multilevel"/>
    <w:tmpl w:val="65280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93396C"/>
    <w:multiLevelType w:val="multilevel"/>
    <w:tmpl w:val="3474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0715AB"/>
    <w:multiLevelType w:val="multilevel"/>
    <w:tmpl w:val="E39E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F742C0"/>
    <w:multiLevelType w:val="hybridMultilevel"/>
    <w:tmpl w:val="3F565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8644E6"/>
    <w:multiLevelType w:val="hybridMultilevel"/>
    <w:tmpl w:val="BDCA9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9"/>
  </w:num>
  <w:num w:numId="3">
    <w:abstractNumId w:val="4"/>
  </w:num>
  <w:num w:numId="4">
    <w:abstractNumId w:val="3"/>
  </w:num>
  <w:num w:numId="5">
    <w:abstractNumId w:val="14"/>
  </w:num>
  <w:num w:numId="6">
    <w:abstractNumId w:val="11"/>
  </w:num>
  <w:num w:numId="7">
    <w:abstractNumId w:val="7"/>
  </w:num>
  <w:num w:numId="8">
    <w:abstractNumId w:val="17"/>
  </w:num>
  <w:num w:numId="9">
    <w:abstractNumId w:val="12"/>
  </w:num>
  <w:num w:numId="10">
    <w:abstractNumId w:val="5"/>
  </w:num>
  <w:num w:numId="11">
    <w:abstractNumId w:val="9"/>
  </w:num>
  <w:num w:numId="12">
    <w:abstractNumId w:val="16"/>
  </w:num>
  <w:num w:numId="13">
    <w:abstractNumId w:val="13"/>
  </w:num>
  <w:num w:numId="14">
    <w:abstractNumId w:val="6"/>
  </w:num>
  <w:num w:numId="15">
    <w:abstractNumId w:val="15"/>
  </w:num>
  <w:num w:numId="16">
    <w:abstractNumId w:val="10"/>
  </w:num>
  <w:num w:numId="17">
    <w:abstractNumId w:val="0"/>
  </w:num>
  <w:num w:numId="18">
    <w:abstractNumId w:val="1"/>
  </w:num>
  <w:num w:numId="19">
    <w:abstractNumId w:val="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398"/>
    <w:rsid w:val="00003409"/>
    <w:rsid w:val="00003B25"/>
    <w:rsid w:val="000245A2"/>
    <w:rsid w:val="000249A2"/>
    <w:rsid w:val="000269F5"/>
    <w:rsid w:val="00031802"/>
    <w:rsid w:val="0004150C"/>
    <w:rsid w:val="00046E85"/>
    <w:rsid w:val="00052CE3"/>
    <w:rsid w:val="0005361B"/>
    <w:rsid w:val="00080488"/>
    <w:rsid w:val="0008137A"/>
    <w:rsid w:val="0008412E"/>
    <w:rsid w:val="00097182"/>
    <w:rsid w:val="000A1083"/>
    <w:rsid w:val="000A7ACC"/>
    <w:rsid w:val="000B05A8"/>
    <w:rsid w:val="000B13CB"/>
    <w:rsid w:val="000B307D"/>
    <w:rsid w:val="000C5458"/>
    <w:rsid w:val="000C6402"/>
    <w:rsid w:val="000C6DA1"/>
    <w:rsid w:val="000E3B0C"/>
    <w:rsid w:val="000E485E"/>
    <w:rsid w:val="000E51EE"/>
    <w:rsid w:val="000F18A4"/>
    <w:rsid w:val="000F252B"/>
    <w:rsid w:val="000F6D14"/>
    <w:rsid w:val="00107D52"/>
    <w:rsid w:val="00131716"/>
    <w:rsid w:val="001366E8"/>
    <w:rsid w:val="00143C68"/>
    <w:rsid w:val="001553E6"/>
    <w:rsid w:val="001608F9"/>
    <w:rsid w:val="00163475"/>
    <w:rsid w:val="001768B5"/>
    <w:rsid w:val="00177ADB"/>
    <w:rsid w:val="00191C11"/>
    <w:rsid w:val="00192BCD"/>
    <w:rsid w:val="001A3BCA"/>
    <w:rsid w:val="001A691B"/>
    <w:rsid w:val="001A73FB"/>
    <w:rsid w:val="001A7443"/>
    <w:rsid w:val="001B2A5E"/>
    <w:rsid w:val="001B601F"/>
    <w:rsid w:val="001B6BF4"/>
    <w:rsid w:val="001B740A"/>
    <w:rsid w:val="001B7DA0"/>
    <w:rsid w:val="001C0212"/>
    <w:rsid w:val="001C2E98"/>
    <w:rsid w:val="001C794F"/>
    <w:rsid w:val="001D228E"/>
    <w:rsid w:val="001E097B"/>
    <w:rsid w:val="001E38EC"/>
    <w:rsid w:val="001F04CC"/>
    <w:rsid w:val="0020592C"/>
    <w:rsid w:val="00217EB6"/>
    <w:rsid w:val="00224236"/>
    <w:rsid w:val="002263A6"/>
    <w:rsid w:val="00226BF6"/>
    <w:rsid w:val="002371EB"/>
    <w:rsid w:val="00240248"/>
    <w:rsid w:val="0025151F"/>
    <w:rsid w:val="00251A4E"/>
    <w:rsid w:val="002531EE"/>
    <w:rsid w:val="00255570"/>
    <w:rsid w:val="002605B2"/>
    <w:rsid w:val="00263E5A"/>
    <w:rsid w:val="00273367"/>
    <w:rsid w:val="00281B08"/>
    <w:rsid w:val="00282585"/>
    <w:rsid w:val="002A151C"/>
    <w:rsid w:val="002B19CC"/>
    <w:rsid w:val="002B2675"/>
    <w:rsid w:val="002B270D"/>
    <w:rsid w:val="002B47FC"/>
    <w:rsid w:val="002B5F37"/>
    <w:rsid w:val="002C1607"/>
    <w:rsid w:val="002C21BC"/>
    <w:rsid w:val="002C28A7"/>
    <w:rsid w:val="002C370F"/>
    <w:rsid w:val="002C3F5A"/>
    <w:rsid w:val="002E0CE8"/>
    <w:rsid w:val="002E1B17"/>
    <w:rsid w:val="002F138A"/>
    <w:rsid w:val="003010D3"/>
    <w:rsid w:val="0030198E"/>
    <w:rsid w:val="00306144"/>
    <w:rsid w:val="00313AAF"/>
    <w:rsid w:val="00320281"/>
    <w:rsid w:val="003203ED"/>
    <w:rsid w:val="00331844"/>
    <w:rsid w:val="003319FD"/>
    <w:rsid w:val="0033392F"/>
    <w:rsid w:val="00337070"/>
    <w:rsid w:val="00343A79"/>
    <w:rsid w:val="00352E5F"/>
    <w:rsid w:val="00353E83"/>
    <w:rsid w:val="00354346"/>
    <w:rsid w:val="0036176C"/>
    <w:rsid w:val="00363FE8"/>
    <w:rsid w:val="003648FC"/>
    <w:rsid w:val="003664F9"/>
    <w:rsid w:val="00375CAA"/>
    <w:rsid w:val="0037784B"/>
    <w:rsid w:val="003829FF"/>
    <w:rsid w:val="003838D0"/>
    <w:rsid w:val="003854B8"/>
    <w:rsid w:val="00395A49"/>
    <w:rsid w:val="003A01B6"/>
    <w:rsid w:val="003A0884"/>
    <w:rsid w:val="003A1AB2"/>
    <w:rsid w:val="003B25F2"/>
    <w:rsid w:val="003B4E42"/>
    <w:rsid w:val="003C76E6"/>
    <w:rsid w:val="003E2C74"/>
    <w:rsid w:val="003E6668"/>
    <w:rsid w:val="003E71CC"/>
    <w:rsid w:val="003F2557"/>
    <w:rsid w:val="003F2FB7"/>
    <w:rsid w:val="004024CD"/>
    <w:rsid w:val="00405EB0"/>
    <w:rsid w:val="00406BA8"/>
    <w:rsid w:val="00410533"/>
    <w:rsid w:val="00411029"/>
    <w:rsid w:val="00411845"/>
    <w:rsid w:val="00413552"/>
    <w:rsid w:val="00414E9E"/>
    <w:rsid w:val="00426F56"/>
    <w:rsid w:val="0043243A"/>
    <w:rsid w:val="004373AB"/>
    <w:rsid w:val="004413AB"/>
    <w:rsid w:val="004420FF"/>
    <w:rsid w:val="0045188F"/>
    <w:rsid w:val="0045277A"/>
    <w:rsid w:val="00456A7E"/>
    <w:rsid w:val="00457F67"/>
    <w:rsid w:val="004621E7"/>
    <w:rsid w:val="004633CE"/>
    <w:rsid w:val="00464721"/>
    <w:rsid w:val="00464BF2"/>
    <w:rsid w:val="00464FC0"/>
    <w:rsid w:val="004715FD"/>
    <w:rsid w:val="00475C4E"/>
    <w:rsid w:val="00484D55"/>
    <w:rsid w:val="004858F8"/>
    <w:rsid w:val="004906CD"/>
    <w:rsid w:val="004915FC"/>
    <w:rsid w:val="00493C0C"/>
    <w:rsid w:val="00495B12"/>
    <w:rsid w:val="00496E5A"/>
    <w:rsid w:val="004A4B30"/>
    <w:rsid w:val="004C483C"/>
    <w:rsid w:val="004D149A"/>
    <w:rsid w:val="004D1571"/>
    <w:rsid w:val="004D166F"/>
    <w:rsid w:val="004D2D18"/>
    <w:rsid w:val="004E07EE"/>
    <w:rsid w:val="004E3817"/>
    <w:rsid w:val="004E5808"/>
    <w:rsid w:val="004F19D8"/>
    <w:rsid w:val="004F1A3F"/>
    <w:rsid w:val="004F20B0"/>
    <w:rsid w:val="004F2A50"/>
    <w:rsid w:val="004F3045"/>
    <w:rsid w:val="004F7B7D"/>
    <w:rsid w:val="005018DE"/>
    <w:rsid w:val="005131CD"/>
    <w:rsid w:val="0052175F"/>
    <w:rsid w:val="0052485F"/>
    <w:rsid w:val="00544BAF"/>
    <w:rsid w:val="00544DBE"/>
    <w:rsid w:val="005471D1"/>
    <w:rsid w:val="00552900"/>
    <w:rsid w:val="00552B3A"/>
    <w:rsid w:val="00557F28"/>
    <w:rsid w:val="00561670"/>
    <w:rsid w:val="005721B9"/>
    <w:rsid w:val="00572863"/>
    <w:rsid w:val="00573E0D"/>
    <w:rsid w:val="0057417E"/>
    <w:rsid w:val="00574FE3"/>
    <w:rsid w:val="00580CBA"/>
    <w:rsid w:val="0059494C"/>
    <w:rsid w:val="0059640B"/>
    <w:rsid w:val="005A0CEA"/>
    <w:rsid w:val="005A1678"/>
    <w:rsid w:val="005A6C99"/>
    <w:rsid w:val="005A76B2"/>
    <w:rsid w:val="005D31B2"/>
    <w:rsid w:val="005E0FA3"/>
    <w:rsid w:val="005E5955"/>
    <w:rsid w:val="005F05CA"/>
    <w:rsid w:val="005F1403"/>
    <w:rsid w:val="00611DCE"/>
    <w:rsid w:val="00613D03"/>
    <w:rsid w:val="006167E6"/>
    <w:rsid w:val="00630D8E"/>
    <w:rsid w:val="00636B67"/>
    <w:rsid w:val="006521C1"/>
    <w:rsid w:val="00654FA7"/>
    <w:rsid w:val="006555D3"/>
    <w:rsid w:val="00662AFB"/>
    <w:rsid w:val="00665E6D"/>
    <w:rsid w:val="00675FED"/>
    <w:rsid w:val="00677E70"/>
    <w:rsid w:val="00682835"/>
    <w:rsid w:val="00691F86"/>
    <w:rsid w:val="0069408E"/>
    <w:rsid w:val="006B3253"/>
    <w:rsid w:val="006B3AEC"/>
    <w:rsid w:val="006B5AC2"/>
    <w:rsid w:val="006B6EC7"/>
    <w:rsid w:val="006C19F7"/>
    <w:rsid w:val="006C1D86"/>
    <w:rsid w:val="006C3C65"/>
    <w:rsid w:val="006D0A60"/>
    <w:rsid w:val="006D3D81"/>
    <w:rsid w:val="006E44B4"/>
    <w:rsid w:val="006F22CD"/>
    <w:rsid w:val="006F4944"/>
    <w:rsid w:val="006F51BA"/>
    <w:rsid w:val="006F75C4"/>
    <w:rsid w:val="00701B3C"/>
    <w:rsid w:val="007063F0"/>
    <w:rsid w:val="007114DC"/>
    <w:rsid w:val="00714349"/>
    <w:rsid w:val="007143E9"/>
    <w:rsid w:val="00714FBB"/>
    <w:rsid w:val="007231A9"/>
    <w:rsid w:val="00723BF7"/>
    <w:rsid w:val="0072409E"/>
    <w:rsid w:val="00733A8D"/>
    <w:rsid w:val="0073662F"/>
    <w:rsid w:val="007401BA"/>
    <w:rsid w:val="007406AE"/>
    <w:rsid w:val="00740750"/>
    <w:rsid w:val="00745B77"/>
    <w:rsid w:val="0075367F"/>
    <w:rsid w:val="007564F6"/>
    <w:rsid w:val="00757645"/>
    <w:rsid w:val="00760EDA"/>
    <w:rsid w:val="00772918"/>
    <w:rsid w:val="00772D13"/>
    <w:rsid w:val="00791744"/>
    <w:rsid w:val="00795A70"/>
    <w:rsid w:val="007974C4"/>
    <w:rsid w:val="007A3778"/>
    <w:rsid w:val="007A3D2E"/>
    <w:rsid w:val="007A4B3B"/>
    <w:rsid w:val="007A5138"/>
    <w:rsid w:val="007C005D"/>
    <w:rsid w:val="007D11E7"/>
    <w:rsid w:val="007E1220"/>
    <w:rsid w:val="007E1ACC"/>
    <w:rsid w:val="007E54CD"/>
    <w:rsid w:val="007F0B34"/>
    <w:rsid w:val="007F3C86"/>
    <w:rsid w:val="008018D1"/>
    <w:rsid w:val="00803279"/>
    <w:rsid w:val="0080536D"/>
    <w:rsid w:val="0080562F"/>
    <w:rsid w:val="00817C84"/>
    <w:rsid w:val="00823A9F"/>
    <w:rsid w:val="00825FE7"/>
    <w:rsid w:val="00832DDD"/>
    <w:rsid w:val="00840FA1"/>
    <w:rsid w:val="008448C0"/>
    <w:rsid w:val="00845571"/>
    <w:rsid w:val="00847288"/>
    <w:rsid w:val="00866AC7"/>
    <w:rsid w:val="00870E2C"/>
    <w:rsid w:val="00875FCA"/>
    <w:rsid w:val="00883309"/>
    <w:rsid w:val="008A2944"/>
    <w:rsid w:val="008A58FF"/>
    <w:rsid w:val="008A5E31"/>
    <w:rsid w:val="008A7C6C"/>
    <w:rsid w:val="008C0929"/>
    <w:rsid w:val="008C1E53"/>
    <w:rsid w:val="008D1CF3"/>
    <w:rsid w:val="008D2FBD"/>
    <w:rsid w:val="008D708E"/>
    <w:rsid w:val="008E02C4"/>
    <w:rsid w:val="008E4C34"/>
    <w:rsid w:val="008F0688"/>
    <w:rsid w:val="008F1660"/>
    <w:rsid w:val="00902EA0"/>
    <w:rsid w:val="009037E1"/>
    <w:rsid w:val="00903E68"/>
    <w:rsid w:val="00907217"/>
    <w:rsid w:val="00911C2F"/>
    <w:rsid w:val="009325C0"/>
    <w:rsid w:val="00932ECD"/>
    <w:rsid w:val="00933B34"/>
    <w:rsid w:val="00942322"/>
    <w:rsid w:val="0095405E"/>
    <w:rsid w:val="00955CE2"/>
    <w:rsid w:val="009608B3"/>
    <w:rsid w:val="009619A3"/>
    <w:rsid w:val="00962B71"/>
    <w:rsid w:val="009774C0"/>
    <w:rsid w:val="00981215"/>
    <w:rsid w:val="00983D79"/>
    <w:rsid w:val="0099223D"/>
    <w:rsid w:val="0099366D"/>
    <w:rsid w:val="00996283"/>
    <w:rsid w:val="009A0DB0"/>
    <w:rsid w:val="009B66ED"/>
    <w:rsid w:val="009C1997"/>
    <w:rsid w:val="009C2082"/>
    <w:rsid w:val="009C4386"/>
    <w:rsid w:val="009D06D3"/>
    <w:rsid w:val="009D243B"/>
    <w:rsid w:val="009D64E0"/>
    <w:rsid w:val="009E4E5E"/>
    <w:rsid w:val="00A11CE9"/>
    <w:rsid w:val="00A2164C"/>
    <w:rsid w:val="00A22C01"/>
    <w:rsid w:val="00A27CC1"/>
    <w:rsid w:val="00A30E9A"/>
    <w:rsid w:val="00A51113"/>
    <w:rsid w:val="00A51BE7"/>
    <w:rsid w:val="00A53810"/>
    <w:rsid w:val="00A561DF"/>
    <w:rsid w:val="00A578BD"/>
    <w:rsid w:val="00A655F2"/>
    <w:rsid w:val="00A702AF"/>
    <w:rsid w:val="00A72036"/>
    <w:rsid w:val="00A76D06"/>
    <w:rsid w:val="00A90439"/>
    <w:rsid w:val="00A91E7A"/>
    <w:rsid w:val="00A96A92"/>
    <w:rsid w:val="00A97D81"/>
    <w:rsid w:val="00AA1B7F"/>
    <w:rsid w:val="00AA565D"/>
    <w:rsid w:val="00AA6C55"/>
    <w:rsid w:val="00AB3BBC"/>
    <w:rsid w:val="00AB6B14"/>
    <w:rsid w:val="00AD0453"/>
    <w:rsid w:val="00AD0BB7"/>
    <w:rsid w:val="00AD3A22"/>
    <w:rsid w:val="00AE5E19"/>
    <w:rsid w:val="00AF4EAF"/>
    <w:rsid w:val="00B02D3F"/>
    <w:rsid w:val="00B0407B"/>
    <w:rsid w:val="00B041E4"/>
    <w:rsid w:val="00B106DB"/>
    <w:rsid w:val="00B108AB"/>
    <w:rsid w:val="00B230F6"/>
    <w:rsid w:val="00B24182"/>
    <w:rsid w:val="00B36600"/>
    <w:rsid w:val="00B42E1F"/>
    <w:rsid w:val="00B60F57"/>
    <w:rsid w:val="00B61A32"/>
    <w:rsid w:val="00B635AE"/>
    <w:rsid w:val="00B64A04"/>
    <w:rsid w:val="00B75391"/>
    <w:rsid w:val="00B758FD"/>
    <w:rsid w:val="00B76906"/>
    <w:rsid w:val="00BA1236"/>
    <w:rsid w:val="00BA6E05"/>
    <w:rsid w:val="00BA74F9"/>
    <w:rsid w:val="00BA77E1"/>
    <w:rsid w:val="00BC533B"/>
    <w:rsid w:val="00BD0AC1"/>
    <w:rsid w:val="00BD6505"/>
    <w:rsid w:val="00BE17C6"/>
    <w:rsid w:val="00BE4F5E"/>
    <w:rsid w:val="00BF451B"/>
    <w:rsid w:val="00BF615C"/>
    <w:rsid w:val="00C054F8"/>
    <w:rsid w:val="00C110DD"/>
    <w:rsid w:val="00C15BE9"/>
    <w:rsid w:val="00C16D8C"/>
    <w:rsid w:val="00C21879"/>
    <w:rsid w:val="00C2520F"/>
    <w:rsid w:val="00C27FF2"/>
    <w:rsid w:val="00C336A8"/>
    <w:rsid w:val="00C354CD"/>
    <w:rsid w:val="00C360BA"/>
    <w:rsid w:val="00C365C7"/>
    <w:rsid w:val="00C4083C"/>
    <w:rsid w:val="00C414FF"/>
    <w:rsid w:val="00C4227A"/>
    <w:rsid w:val="00C422AE"/>
    <w:rsid w:val="00C51158"/>
    <w:rsid w:val="00C6403F"/>
    <w:rsid w:val="00C64383"/>
    <w:rsid w:val="00C66456"/>
    <w:rsid w:val="00C96104"/>
    <w:rsid w:val="00CA41B1"/>
    <w:rsid w:val="00CB4EE1"/>
    <w:rsid w:val="00CB5201"/>
    <w:rsid w:val="00CB644D"/>
    <w:rsid w:val="00CB7931"/>
    <w:rsid w:val="00CC3F5D"/>
    <w:rsid w:val="00CC4BAF"/>
    <w:rsid w:val="00CD3EDF"/>
    <w:rsid w:val="00CD4D7F"/>
    <w:rsid w:val="00CE1313"/>
    <w:rsid w:val="00CE20BF"/>
    <w:rsid w:val="00CE2D71"/>
    <w:rsid w:val="00CF1E4F"/>
    <w:rsid w:val="00CF4810"/>
    <w:rsid w:val="00D07D1D"/>
    <w:rsid w:val="00D110BB"/>
    <w:rsid w:val="00D16AF8"/>
    <w:rsid w:val="00D20CEB"/>
    <w:rsid w:val="00D216E5"/>
    <w:rsid w:val="00D27BA8"/>
    <w:rsid w:val="00D328A3"/>
    <w:rsid w:val="00D44CB2"/>
    <w:rsid w:val="00D50B76"/>
    <w:rsid w:val="00D50D16"/>
    <w:rsid w:val="00D82791"/>
    <w:rsid w:val="00D82996"/>
    <w:rsid w:val="00D83294"/>
    <w:rsid w:val="00D86398"/>
    <w:rsid w:val="00D878C3"/>
    <w:rsid w:val="00DA46F8"/>
    <w:rsid w:val="00DB08E8"/>
    <w:rsid w:val="00DB6607"/>
    <w:rsid w:val="00DC3B34"/>
    <w:rsid w:val="00DC5417"/>
    <w:rsid w:val="00DD06B8"/>
    <w:rsid w:val="00DD10E2"/>
    <w:rsid w:val="00DD2146"/>
    <w:rsid w:val="00DD63DB"/>
    <w:rsid w:val="00DD72A4"/>
    <w:rsid w:val="00DD7998"/>
    <w:rsid w:val="00DE4CFD"/>
    <w:rsid w:val="00DF024A"/>
    <w:rsid w:val="00DF050B"/>
    <w:rsid w:val="00DF17F4"/>
    <w:rsid w:val="00DF3061"/>
    <w:rsid w:val="00DF624C"/>
    <w:rsid w:val="00DF6E5D"/>
    <w:rsid w:val="00E0195D"/>
    <w:rsid w:val="00E0220D"/>
    <w:rsid w:val="00E41320"/>
    <w:rsid w:val="00E46E6E"/>
    <w:rsid w:val="00E52CC5"/>
    <w:rsid w:val="00E5671E"/>
    <w:rsid w:val="00E75766"/>
    <w:rsid w:val="00E77655"/>
    <w:rsid w:val="00E77D5A"/>
    <w:rsid w:val="00E81E83"/>
    <w:rsid w:val="00E85C08"/>
    <w:rsid w:val="00E93C5A"/>
    <w:rsid w:val="00E95AC2"/>
    <w:rsid w:val="00E9768A"/>
    <w:rsid w:val="00EA3612"/>
    <w:rsid w:val="00EA6D95"/>
    <w:rsid w:val="00EA72CE"/>
    <w:rsid w:val="00EC054E"/>
    <w:rsid w:val="00ED0083"/>
    <w:rsid w:val="00ED18AD"/>
    <w:rsid w:val="00ED7978"/>
    <w:rsid w:val="00ED7F0C"/>
    <w:rsid w:val="00EF28BE"/>
    <w:rsid w:val="00EF3465"/>
    <w:rsid w:val="00EF3B6F"/>
    <w:rsid w:val="00F00901"/>
    <w:rsid w:val="00F07C07"/>
    <w:rsid w:val="00F109CA"/>
    <w:rsid w:val="00F26EBF"/>
    <w:rsid w:val="00F324E5"/>
    <w:rsid w:val="00F402C6"/>
    <w:rsid w:val="00F44793"/>
    <w:rsid w:val="00F4495A"/>
    <w:rsid w:val="00F47DAE"/>
    <w:rsid w:val="00F5179B"/>
    <w:rsid w:val="00F51C12"/>
    <w:rsid w:val="00F642E5"/>
    <w:rsid w:val="00F64FDC"/>
    <w:rsid w:val="00F713E5"/>
    <w:rsid w:val="00F75363"/>
    <w:rsid w:val="00F7576E"/>
    <w:rsid w:val="00F76E69"/>
    <w:rsid w:val="00F806EE"/>
    <w:rsid w:val="00F8731B"/>
    <w:rsid w:val="00F87E0E"/>
    <w:rsid w:val="00F95ACF"/>
    <w:rsid w:val="00F97AB1"/>
    <w:rsid w:val="00FB31B2"/>
    <w:rsid w:val="00FB44B2"/>
    <w:rsid w:val="00FB44D4"/>
    <w:rsid w:val="00FB73CA"/>
    <w:rsid w:val="00FC12F7"/>
    <w:rsid w:val="00FC2D2C"/>
    <w:rsid w:val="00FD2942"/>
    <w:rsid w:val="00FD4620"/>
    <w:rsid w:val="00FD7ABC"/>
    <w:rsid w:val="00FE271B"/>
    <w:rsid w:val="00FE75FB"/>
    <w:rsid w:val="00FE7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51FA0A"/>
  <w15:chartTrackingRefBased/>
  <w15:docId w15:val="{E7E8C9E4-FA6B-4472-80AC-F0D63C28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398"/>
  </w:style>
  <w:style w:type="paragraph" w:styleId="Heading3">
    <w:name w:val="heading 3"/>
    <w:basedOn w:val="Normal"/>
    <w:link w:val="Heading3Char"/>
    <w:uiPriority w:val="9"/>
    <w:qFormat/>
    <w:rsid w:val="00B75391"/>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6398"/>
    <w:rPr>
      <w:color w:val="0563C1" w:themeColor="hyperlink"/>
      <w:u w:val="single"/>
    </w:rPr>
  </w:style>
  <w:style w:type="table" w:styleId="TableGrid">
    <w:name w:val="Table Grid"/>
    <w:basedOn w:val="TableNormal"/>
    <w:uiPriority w:val="39"/>
    <w:rsid w:val="00D86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3E83"/>
    <w:pPr>
      <w:ind w:left="720"/>
      <w:contextualSpacing/>
    </w:pPr>
  </w:style>
  <w:style w:type="character" w:customStyle="1" w:styleId="A3">
    <w:name w:val="A3"/>
    <w:uiPriority w:val="99"/>
    <w:rsid w:val="0069408E"/>
    <w:rPr>
      <w:rFonts w:cs="Karla"/>
      <w:b/>
      <w:bCs/>
      <w:color w:val="000000"/>
      <w:sz w:val="11"/>
      <w:szCs w:val="11"/>
    </w:rPr>
  </w:style>
  <w:style w:type="paragraph" w:customStyle="1" w:styleId="Default">
    <w:name w:val="Default"/>
    <w:rsid w:val="00903E68"/>
    <w:pPr>
      <w:autoSpaceDE w:val="0"/>
      <w:autoSpaceDN w:val="0"/>
      <w:adjustRightInd w:val="0"/>
      <w:spacing w:after="0" w:line="240" w:lineRule="auto"/>
    </w:pPr>
    <w:rPr>
      <w:rFonts w:ascii="Karla" w:hAnsi="Karla" w:cs="Karla"/>
      <w:color w:val="000000"/>
      <w:sz w:val="24"/>
      <w:szCs w:val="24"/>
    </w:rPr>
  </w:style>
  <w:style w:type="paragraph" w:styleId="NormalWeb">
    <w:name w:val="Normal (Web)"/>
    <w:basedOn w:val="Normal"/>
    <w:uiPriority w:val="99"/>
    <w:semiHidden/>
    <w:unhideWhenUsed/>
    <w:rsid w:val="003854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54B8"/>
    <w:rPr>
      <w:b/>
      <w:bCs/>
    </w:rPr>
  </w:style>
  <w:style w:type="character" w:styleId="FollowedHyperlink">
    <w:name w:val="FollowedHyperlink"/>
    <w:basedOn w:val="DefaultParagraphFont"/>
    <w:uiPriority w:val="99"/>
    <w:semiHidden/>
    <w:unhideWhenUsed/>
    <w:rsid w:val="00C360BA"/>
    <w:rPr>
      <w:color w:val="954F72" w:themeColor="followedHyperlink"/>
      <w:u w:val="single"/>
    </w:rPr>
  </w:style>
  <w:style w:type="character" w:customStyle="1" w:styleId="citation-4">
    <w:name w:val="citation-4"/>
    <w:basedOn w:val="DefaultParagraphFont"/>
    <w:rsid w:val="000A1083"/>
  </w:style>
  <w:style w:type="character" w:customStyle="1" w:styleId="citation-5">
    <w:name w:val="citation-5"/>
    <w:basedOn w:val="DefaultParagraphFont"/>
    <w:rsid w:val="000A1083"/>
  </w:style>
  <w:style w:type="character" w:customStyle="1" w:styleId="Heading3Char">
    <w:name w:val="Heading 3 Char"/>
    <w:basedOn w:val="DefaultParagraphFont"/>
    <w:link w:val="Heading3"/>
    <w:uiPriority w:val="9"/>
    <w:rsid w:val="00B75391"/>
    <w:rPr>
      <w:rFonts w:ascii="Times New Roman" w:eastAsia="Times New Roman" w:hAnsi="Times New Roman" w:cs="Times New Roman"/>
      <w:b/>
      <w:bCs/>
      <w:sz w:val="27"/>
      <w:szCs w:val="27"/>
      <w:lang w:val="en-IN" w:eastAsia="en-IN"/>
    </w:rPr>
  </w:style>
  <w:style w:type="paragraph" w:styleId="Title">
    <w:name w:val="Title"/>
    <w:basedOn w:val="Normal"/>
    <w:next w:val="Normal"/>
    <w:link w:val="TitleChar"/>
    <w:uiPriority w:val="10"/>
    <w:qFormat/>
    <w:rsid w:val="00456A7E"/>
    <w:pPr>
      <w:framePr w:w="9360" w:hSpace="187" w:vSpace="187" w:wrap="notBeside" w:vAnchor="text" w:hAnchor="page" w:xAlign="center" w:y="1"/>
      <w:spacing w:after="0" w:line="240" w:lineRule="auto"/>
      <w:jc w:val="center"/>
    </w:pPr>
    <w:rPr>
      <w:rFonts w:ascii="Times New Roman" w:eastAsia="Times New Roman" w:hAnsi="Times New Roman" w:cs="Times New Roman"/>
      <w:kern w:val="28"/>
      <w:sz w:val="48"/>
      <w:szCs w:val="48"/>
    </w:rPr>
  </w:style>
  <w:style w:type="character" w:customStyle="1" w:styleId="TitleChar">
    <w:name w:val="Title Char"/>
    <w:basedOn w:val="DefaultParagraphFont"/>
    <w:link w:val="Title"/>
    <w:uiPriority w:val="10"/>
    <w:rsid w:val="00456A7E"/>
    <w:rPr>
      <w:rFonts w:ascii="Times New Roman" w:eastAsia="Times New Roman" w:hAnsi="Times New Roman" w:cs="Times New Roman"/>
      <w:kern w:val="28"/>
      <w:sz w:val="48"/>
      <w:szCs w:val="48"/>
    </w:rPr>
  </w:style>
  <w:style w:type="paragraph" w:styleId="Footer">
    <w:name w:val="footer"/>
    <w:basedOn w:val="Normal"/>
    <w:link w:val="FooterChar"/>
    <w:rsid w:val="0095405E"/>
    <w:pPr>
      <w:tabs>
        <w:tab w:val="center" w:pos="4680"/>
        <w:tab w:val="right" w:pos="9360"/>
      </w:tabs>
      <w:spacing w:after="0" w:line="240" w:lineRule="auto"/>
      <w:jc w:val="center"/>
    </w:pPr>
    <w:rPr>
      <w:rFonts w:ascii="Times New Roman" w:eastAsia="SimSun" w:hAnsi="Times New Roman" w:cs="Times New Roman"/>
      <w:sz w:val="20"/>
      <w:szCs w:val="20"/>
    </w:rPr>
  </w:style>
  <w:style w:type="character" w:customStyle="1" w:styleId="FooterChar">
    <w:name w:val="Footer Char"/>
    <w:basedOn w:val="DefaultParagraphFont"/>
    <w:link w:val="Footer"/>
    <w:rsid w:val="0095405E"/>
    <w:rPr>
      <w:rFonts w:ascii="Times New Roman" w:eastAsia="SimSun" w:hAnsi="Times New Roman" w:cs="Times New Roman"/>
      <w:sz w:val="20"/>
      <w:szCs w:val="20"/>
    </w:rPr>
  </w:style>
  <w:style w:type="paragraph" w:customStyle="1" w:styleId="Author">
    <w:name w:val="Author"/>
    <w:rsid w:val="00FB44D4"/>
    <w:pPr>
      <w:spacing w:before="360" w:after="40" w:line="240" w:lineRule="auto"/>
      <w:jc w:val="center"/>
    </w:pPr>
    <w:rPr>
      <w:rFonts w:ascii="Times New Roman" w:eastAsia="SimSun" w:hAnsi="Times New Roman" w:cs="Times New Roman"/>
      <w:noProof/>
    </w:rPr>
  </w:style>
  <w:style w:type="paragraph" w:styleId="Header">
    <w:name w:val="header"/>
    <w:basedOn w:val="Normal"/>
    <w:link w:val="HeaderChar"/>
    <w:uiPriority w:val="99"/>
    <w:unhideWhenUsed/>
    <w:rsid w:val="00745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04">
      <w:bodyDiv w:val="1"/>
      <w:marLeft w:val="0"/>
      <w:marRight w:val="0"/>
      <w:marTop w:val="0"/>
      <w:marBottom w:val="0"/>
      <w:divBdr>
        <w:top w:val="none" w:sz="0" w:space="0" w:color="auto"/>
        <w:left w:val="none" w:sz="0" w:space="0" w:color="auto"/>
        <w:bottom w:val="none" w:sz="0" w:space="0" w:color="auto"/>
        <w:right w:val="none" w:sz="0" w:space="0" w:color="auto"/>
      </w:divBdr>
    </w:div>
    <w:div w:id="32778629">
      <w:bodyDiv w:val="1"/>
      <w:marLeft w:val="0"/>
      <w:marRight w:val="0"/>
      <w:marTop w:val="0"/>
      <w:marBottom w:val="0"/>
      <w:divBdr>
        <w:top w:val="none" w:sz="0" w:space="0" w:color="auto"/>
        <w:left w:val="none" w:sz="0" w:space="0" w:color="auto"/>
        <w:bottom w:val="none" w:sz="0" w:space="0" w:color="auto"/>
        <w:right w:val="none" w:sz="0" w:space="0" w:color="auto"/>
      </w:divBdr>
    </w:div>
    <w:div w:id="67113596">
      <w:bodyDiv w:val="1"/>
      <w:marLeft w:val="0"/>
      <w:marRight w:val="0"/>
      <w:marTop w:val="0"/>
      <w:marBottom w:val="0"/>
      <w:divBdr>
        <w:top w:val="none" w:sz="0" w:space="0" w:color="auto"/>
        <w:left w:val="none" w:sz="0" w:space="0" w:color="auto"/>
        <w:bottom w:val="none" w:sz="0" w:space="0" w:color="auto"/>
        <w:right w:val="none" w:sz="0" w:space="0" w:color="auto"/>
      </w:divBdr>
      <w:divsChild>
        <w:div w:id="554203395">
          <w:marLeft w:val="0"/>
          <w:marRight w:val="0"/>
          <w:marTop w:val="0"/>
          <w:marBottom w:val="0"/>
          <w:divBdr>
            <w:top w:val="none" w:sz="0" w:space="0" w:color="auto"/>
            <w:left w:val="none" w:sz="0" w:space="0" w:color="auto"/>
            <w:bottom w:val="none" w:sz="0" w:space="0" w:color="auto"/>
            <w:right w:val="none" w:sz="0" w:space="0" w:color="auto"/>
          </w:divBdr>
          <w:divsChild>
            <w:div w:id="531265221">
              <w:marLeft w:val="0"/>
              <w:marRight w:val="0"/>
              <w:marTop w:val="0"/>
              <w:marBottom w:val="0"/>
              <w:divBdr>
                <w:top w:val="none" w:sz="0" w:space="0" w:color="auto"/>
                <w:left w:val="none" w:sz="0" w:space="0" w:color="auto"/>
                <w:bottom w:val="none" w:sz="0" w:space="0" w:color="auto"/>
                <w:right w:val="none" w:sz="0" w:space="0" w:color="auto"/>
              </w:divBdr>
              <w:divsChild>
                <w:div w:id="1777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7242">
      <w:bodyDiv w:val="1"/>
      <w:marLeft w:val="0"/>
      <w:marRight w:val="0"/>
      <w:marTop w:val="0"/>
      <w:marBottom w:val="0"/>
      <w:divBdr>
        <w:top w:val="none" w:sz="0" w:space="0" w:color="auto"/>
        <w:left w:val="none" w:sz="0" w:space="0" w:color="auto"/>
        <w:bottom w:val="none" w:sz="0" w:space="0" w:color="auto"/>
        <w:right w:val="none" w:sz="0" w:space="0" w:color="auto"/>
      </w:divBdr>
      <w:divsChild>
        <w:div w:id="28727862">
          <w:marLeft w:val="0"/>
          <w:marRight w:val="0"/>
          <w:marTop w:val="0"/>
          <w:marBottom w:val="0"/>
          <w:divBdr>
            <w:top w:val="none" w:sz="0" w:space="0" w:color="auto"/>
            <w:left w:val="none" w:sz="0" w:space="0" w:color="auto"/>
            <w:bottom w:val="none" w:sz="0" w:space="0" w:color="auto"/>
            <w:right w:val="none" w:sz="0" w:space="0" w:color="auto"/>
          </w:divBdr>
          <w:divsChild>
            <w:div w:id="1078668763">
              <w:marLeft w:val="0"/>
              <w:marRight w:val="0"/>
              <w:marTop w:val="0"/>
              <w:marBottom w:val="0"/>
              <w:divBdr>
                <w:top w:val="none" w:sz="0" w:space="0" w:color="auto"/>
                <w:left w:val="none" w:sz="0" w:space="0" w:color="auto"/>
                <w:bottom w:val="none" w:sz="0" w:space="0" w:color="auto"/>
                <w:right w:val="none" w:sz="0" w:space="0" w:color="auto"/>
              </w:divBdr>
              <w:divsChild>
                <w:div w:id="306978602">
                  <w:marLeft w:val="0"/>
                  <w:marRight w:val="0"/>
                  <w:marTop w:val="0"/>
                  <w:marBottom w:val="0"/>
                  <w:divBdr>
                    <w:top w:val="none" w:sz="0" w:space="0" w:color="auto"/>
                    <w:left w:val="none" w:sz="0" w:space="0" w:color="auto"/>
                    <w:bottom w:val="none" w:sz="0" w:space="0" w:color="auto"/>
                    <w:right w:val="none" w:sz="0" w:space="0" w:color="auto"/>
                  </w:divBdr>
                </w:div>
                <w:div w:id="798304360">
                  <w:marLeft w:val="0"/>
                  <w:marRight w:val="0"/>
                  <w:marTop w:val="0"/>
                  <w:marBottom w:val="0"/>
                  <w:divBdr>
                    <w:top w:val="none" w:sz="0" w:space="0" w:color="auto"/>
                    <w:left w:val="none" w:sz="0" w:space="0" w:color="auto"/>
                    <w:bottom w:val="none" w:sz="0" w:space="0" w:color="auto"/>
                    <w:right w:val="none" w:sz="0" w:space="0" w:color="auto"/>
                  </w:divBdr>
                </w:div>
              </w:divsChild>
            </w:div>
            <w:div w:id="1247156316">
              <w:marLeft w:val="0"/>
              <w:marRight w:val="0"/>
              <w:marTop w:val="0"/>
              <w:marBottom w:val="0"/>
              <w:divBdr>
                <w:top w:val="none" w:sz="0" w:space="0" w:color="auto"/>
                <w:left w:val="none" w:sz="0" w:space="0" w:color="auto"/>
                <w:bottom w:val="none" w:sz="0" w:space="0" w:color="auto"/>
                <w:right w:val="none" w:sz="0" w:space="0" w:color="auto"/>
              </w:divBdr>
              <w:divsChild>
                <w:div w:id="116255186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2032144294">
          <w:marLeft w:val="0"/>
          <w:marRight w:val="0"/>
          <w:marTop w:val="0"/>
          <w:marBottom w:val="0"/>
          <w:divBdr>
            <w:top w:val="none" w:sz="0" w:space="0" w:color="auto"/>
            <w:left w:val="none" w:sz="0" w:space="0" w:color="auto"/>
            <w:bottom w:val="none" w:sz="0" w:space="0" w:color="auto"/>
            <w:right w:val="none" w:sz="0" w:space="0" w:color="auto"/>
          </w:divBdr>
          <w:divsChild>
            <w:div w:id="1563056821">
              <w:marLeft w:val="0"/>
              <w:marRight w:val="0"/>
              <w:marTop w:val="0"/>
              <w:marBottom w:val="0"/>
              <w:divBdr>
                <w:top w:val="none" w:sz="0" w:space="0" w:color="auto"/>
                <w:left w:val="none" w:sz="0" w:space="0" w:color="auto"/>
                <w:bottom w:val="none" w:sz="0" w:space="0" w:color="auto"/>
                <w:right w:val="none" w:sz="0" w:space="0" w:color="auto"/>
              </w:divBdr>
              <w:divsChild>
                <w:div w:id="1943108689">
                  <w:marLeft w:val="0"/>
                  <w:marRight w:val="0"/>
                  <w:marTop w:val="0"/>
                  <w:marBottom w:val="0"/>
                  <w:divBdr>
                    <w:top w:val="none" w:sz="0" w:space="0" w:color="auto"/>
                    <w:left w:val="none" w:sz="0" w:space="0" w:color="auto"/>
                    <w:bottom w:val="none" w:sz="0" w:space="0" w:color="auto"/>
                    <w:right w:val="none" w:sz="0" w:space="0" w:color="auto"/>
                  </w:divBdr>
                </w:div>
                <w:div w:id="1274093929">
                  <w:marLeft w:val="0"/>
                  <w:marRight w:val="0"/>
                  <w:marTop w:val="0"/>
                  <w:marBottom w:val="0"/>
                  <w:divBdr>
                    <w:top w:val="none" w:sz="0" w:space="0" w:color="auto"/>
                    <w:left w:val="none" w:sz="0" w:space="0" w:color="auto"/>
                    <w:bottom w:val="none" w:sz="0" w:space="0" w:color="auto"/>
                    <w:right w:val="none" w:sz="0" w:space="0" w:color="auto"/>
                  </w:divBdr>
                </w:div>
              </w:divsChild>
            </w:div>
            <w:div w:id="624845657">
              <w:marLeft w:val="0"/>
              <w:marRight w:val="0"/>
              <w:marTop w:val="0"/>
              <w:marBottom w:val="0"/>
              <w:divBdr>
                <w:top w:val="none" w:sz="0" w:space="0" w:color="auto"/>
                <w:left w:val="none" w:sz="0" w:space="0" w:color="auto"/>
                <w:bottom w:val="none" w:sz="0" w:space="0" w:color="auto"/>
                <w:right w:val="none" w:sz="0" w:space="0" w:color="auto"/>
              </w:divBdr>
              <w:divsChild>
                <w:div w:id="9629514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844973978">
          <w:marLeft w:val="0"/>
          <w:marRight w:val="0"/>
          <w:marTop w:val="0"/>
          <w:marBottom w:val="0"/>
          <w:divBdr>
            <w:top w:val="none" w:sz="0" w:space="0" w:color="auto"/>
            <w:left w:val="none" w:sz="0" w:space="0" w:color="auto"/>
            <w:bottom w:val="none" w:sz="0" w:space="0" w:color="auto"/>
            <w:right w:val="none" w:sz="0" w:space="0" w:color="auto"/>
          </w:divBdr>
          <w:divsChild>
            <w:div w:id="2121028503">
              <w:marLeft w:val="0"/>
              <w:marRight w:val="0"/>
              <w:marTop w:val="0"/>
              <w:marBottom w:val="0"/>
              <w:divBdr>
                <w:top w:val="none" w:sz="0" w:space="0" w:color="auto"/>
                <w:left w:val="none" w:sz="0" w:space="0" w:color="auto"/>
                <w:bottom w:val="none" w:sz="0" w:space="0" w:color="auto"/>
                <w:right w:val="none" w:sz="0" w:space="0" w:color="auto"/>
              </w:divBdr>
              <w:divsChild>
                <w:div w:id="171221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06196">
          <w:marLeft w:val="0"/>
          <w:marRight w:val="0"/>
          <w:marTop w:val="0"/>
          <w:marBottom w:val="0"/>
          <w:divBdr>
            <w:top w:val="none" w:sz="0" w:space="0" w:color="auto"/>
            <w:left w:val="none" w:sz="0" w:space="0" w:color="auto"/>
            <w:bottom w:val="none" w:sz="0" w:space="0" w:color="auto"/>
            <w:right w:val="none" w:sz="0" w:space="0" w:color="auto"/>
          </w:divBdr>
          <w:divsChild>
            <w:div w:id="1312755262">
              <w:marLeft w:val="0"/>
              <w:marRight w:val="0"/>
              <w:marTop w:val="0"/>
              <w:marBottom w:val="0"/>
              <w:divBdr>
                <w:top w:val="none" w:sz="0" w:space="0" w:color="auto"/>
                <w:left w:val="none" w:sz="0" w:space="0" w:color="auto"/>
                <w:bottom w:val="none" w:sz="0" w:space="0" w:color="auto"/>
                <w:right w:val="none" w:sz="0" w:space="0" w:color="auto"/>
              </w:divBdr>
              <w:divsChild>
                <w:div w:id="107944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49146">
          <w:marLeft w:val="0"/>
          <w:marRight w:val="0"/>
          <w:marTop w:val="0"/>
          <w:marBottom w:val="0"/>
          <w:divBdr>
            <w:top w:val="none" w:sz="0" w:space="0" w:color="auto"/>
            <w:left w:val="none" w:sz="0" w:space="0" w:color="auto"/>
            <w:bottom w:val="none" w:sz="0" w:space="0" w:color="auto"/>
            <w:right w:val="none" w:sz="0" w:space="0" w:color="auto"/>
          </w:divBdr>
          <w:divsChild>
            <w:div w:id="2019427523">
              <w:marLeft w:val="0"/>
              <w:marRight w:val="0"/>
              <w:marTop w:val="0"/>
              <w:marBottom w:val="0"/>
              <w:divBdr>
                <w:top w:val="none" w:sz="0" w:space="0" w:color="auto"/>
                <w:left w:val="none" w:sz="0" w:space="0" w:color="auto"/>
                <w:bottom w:val="none" w:sz="0" w:space="0" w:color="auto"/>
                <w:right w:val="none" w:sz="0" w:space="0" w:color="auto"/>
              </w:divBdr>
              <w:divsChild>
                <w:div w:id="202855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95259">
      <w:bodyDiv w:val="1"/>
      <w:marLeft w:val="0"/>
      <w:marRight w:val="0"/>
      <w:marTop w:val="0"/>
      <w:marBottom w:val="0"/>
      <w:divBdr>
        <w:top w:val="none" w:sz="0" w:space="0" w:color="auto"/>
        <w:left w:val="none" w:sz="0" w:space="0" w:color="auto"/>
        <w:bottom w:val="none" w:sz="0" w:space="0" w:color="auto"/>
        <w:right w:val="none" w:sz="0" w:space="0" w:color="auto"/>
      </w:divBdr>
    </w:div>
    <w:div w:id="86314079">
      <w:bodyDiv w:val="1"/>
      <w:marLeft w:val="0"/>
      <w:marRight w:val="0"/>
      <w:marTop w:val="0"/>
      <w:marBottom w:val="0"/>
      <w:divBdr>
        <w:top w:val="none" w:sz="0" w:space="0" w:color="auto"/>
        <w:left w:val="none" w:sz="0" w:space="0" w:color="auto"/>
        <w:bottom w:val="none" w:sz="0" w:space="0" w:color="auto"/>
        <w:right w:val="none" w:sz="0" w:space="0" w:color="auto"/>
      </w:divBdr>
    </w:div>
    <w:div w:id="115147538">
      <w:bodyDiv w:val="1"/>
      <w:marLeft w:val="0"/>
      <w:marRight w:val="0"/>
      <w:marTop w:val="0"/>
      <w:marBottom w:val="0"/>
      <w:divBdr>
        <w:top w:val="none" w:sz="0" w:space="0" w:color="auto"/>
        <w:left w:val="none" w:sz="0" w:space="0" w:color="auto"/>
        <w:bottom w:val="none" w:sz="0" w:space="0" w:color="auto"/>
        <w:right w:val="none" w:sz="0" w:space="0" w:color="auto"/>
      </w:divBdr>
    </w:div>
    <w:div w:id="130052450">
      <w:bodyDiv w:val="1"/>
      <w:marLeft w:val="0"/>
      <w:marRight w:val="0"/>
      <w:marTop w:val="0"/>
      <w:marBottom w:val="0"/>
      <w:divBdr>
        <w:top w:val="none" w:sz="0" w:space="0" w:color="auto"/>
        <w:left w:val="none" w:sz="0" w:space="0" w:color="auto"/>
        <w:bottom w:val="none" w:sz="0" w:space="0" w:color="auto"/>
        <w:right w:val="none" w:sz="0" w:space="0" w:color="auto"/>
      </w:divBdr>
    </w:div>
    <w:div w:id="137310791">
      <w:bodyDiv w:val="1"/>
      <w:marLeft w:val="0"/>
      <w:marRight w:val="0"/>
      <w:marTop w:val="0"/>
      <w:marBottom w:val="0"/>
      <w:divBdr>
        <w:top w:val="none" w:sz="0" w:space="0" w:color="auto"/>
        <w:left w:val="none" w:sz="0" w:space="0" w:color="auto"/>
        <w:bottom w:val="none" w:sz="0" w:space="0" w:color="auto"/>
        <w:right w:val="none" w:sz="0" w:space="0" w:color="auto"/>
      </w:divBdr>
    </w:div>
    <w:div w:id="206376684">
      <w:bodyDiv w:val="1"/>
      <w:marLeft w:val="0"/>
      <w:marRight w:val="0"/>
      <w:marTop w:val="0"/>
      <w:marBottom w:val="0"/>
      <w:divBdr>
        <w:top w:val="none" w:sz="0" w:space="0" w:color="auto"/>
        <w:left w:val="none" w:sz="0" w:space="0" w:color="auto"/>
        <w:bottom w:val="none" w:sz="0" w:space="0" w:color="auto"/>
        <w:right w:val="none" w:sz="0" w:space="0" w:color="auto"/>
      </w:divBdr>
    </w:div>
    <w:div w:id="269512281">
      <w:bodyDiv w:val="1"/>
      <w:marLeft w:val="0"/>
      <w:marRight w:val="0"/>
      <w:marTop w:val="0"/>
      <w:marBottom w:val="0"/>
      <w:divBdr>
        <w:top w:val="none" w:sz="0" w:space="0" w:color="auto"/>
        <w:left w:val="none" w:sz="0" w:space="0" w:color="auto"/>
        <w:bottom w:val="none" w:sz="0" w:space="0" w:color="auto"/>
        <w:right w:val="none" w:sz="0" w:space="0" w:color="auto"/>
      </w:divBdr>
    </w:div>
    <w:div w:id="283387404">
      <w:bodyDiv w:val="1"/>
      <w:marLeft w:val="0"/>
      <w:marRight w:val="0"/>
      <w:marTop w:val="0"/>
      <w:marBottom w:val="0"/>
      <w:divBdr>
        <w:top w:val="none" w:sz="0" w:space="0" w:color="auto"/>
        <w:left w:val="none" w:sz="0" w:space="0" w:color="auto"/>
        <w:bottom w:val="none" w:sz="0" w:space="0" w:color="auto"/>
        <w:right w:val="none" w:sz="0" w:space="0" w:color="auto"/>
      </w:divBdr>
    </w:div>
    <w:div w:id="366949250">
      <w:bodyDiv w:val="1"/>
      <w:marLeft w:val="0"/>
      <w:marRight w:val="0"/>
      <w:marTop w:val="0"/>
      <w:marBottom w:val="0"/>
      <w:divBdr>
        <w:top w:val="none" w:sz="0" w:space="0" w:color="auto"/>
        <w:left w:val="none" w:sz="0" w:space="0" w:color="auto"/>
        <w:bottom w:val="none" w:sz="0" w:space="0" w:color="auto"/>
        <w:right w:val="none" w:sz="0" w:space="0" w:color="auto"/>
      </w:divBdr>
      <w:divsChild>
        <w:div w:id="849685431">
          <w:marLeft w:val="0"/>
          <w:marRight w:val="0"/>
          <w:marTop w:val="0"/>
          <w:marBottom w:val="0"/>
          <w:divBdr>
            <w:top w:val="single" w:sz="2" w:space="0" w:color="E5E7EB"/>
            <w:left w:val="single" w:sz="2" w:space="0" w:color="E5E7EB"/>
            <w:bottom w:val="single" w:sz="2" w:space="0" w:color="E5E7EB"/>
            <w:right w:val="single" w:sz="2" w:space="0" w:color="E5E7EB"/>
          </w:divBdr>
        </w:div>
        <w:div w:id="8233549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907749">
      <w:bodyDiv w:val="1"/>
      <w:marLeft w:val="0"/>
      <w:marRight w:val="0"/>
      <w:marTop w:val="0"/>
      <w:marBottom w:val="0"/>
      <w:divBdr>
        <w:top w:val="none" w:sz="0" w:space="0" w:color="auto"/>
        <w:left w:val="none" w:sz="0" w:space="0" w:color="auto"/>
        <w:bottom w:val="none" w:sz="0" w:space="0" w:color="auto"/>
        <w:right w:val="none" w:sz="0" w:space="0" w:color="auto"/>
      </w:divBdr>
    </w:div>
    <w:div w:id="440153924">
      <w:bodyDiv w:val="1"/>
      <w:marLeft w:val="0"/>
      <w:marRight w:val="0"/>
      <w:marTop w:val="0"/>
      <w:marBottom w:val="0"/>
      <w:divBdr>
        <w:top w:val="none" w:sz="0" w:space="0" w:color="auto"/>
        <w:left w:val="none" w:sz="0" w:space="0" w:color="auto"/>
        <w:bottom w:val="none" w:sz="0" w:space="0" w:color="auto"/>
        <w:right w:val="none" w:sz="0" w:space="0" w:color="auto"/>
      </w:divBdr>
    </w:div>
    <w:div w:id="549808374">
      <w:bodyDiv w:val="1"/>
      <w:marLeft w:val="0"/>
      <w:marRight w:val="0"/>
      <w:marTop w:val="0"/>
      <w:marBottom w:val="0"/>
      <w:divBdr>
        <w:top w:val="none" w:sz="0" w:space="0" w:color="auto"/>
        <w:left w:val="none" w:sz="0" w:space="0" w:color="auto"/>
        <w:bottom w:val="none" w:sz="0" w:space="0" w:color="auto"/>
        <w:right w:val="none" w:sz="0" w:space="0" w:color="auto"/>
      </w:divBdr>
    </w:div>
    <w:div w:id="597837296">
      <w:bodyDiv w:val="1"/>
      <w:marLeft w:val="0"/>
      <w:marRight w:val="0"/>
      <w:marTop w:val="0"/>
      <w:marBottom w:val="0"/>
      <w:divBdr>
        <w:top w:val="none" w:sz="0" w:space="0" w:color="auto"/>
        <w:left w:val="none" w:sz="0" w:space="0" w:color="auto"/>
        <w:bottom w:val="none" w:sz="0" w:space="0" w:color="auto"/>
        <w:right w:val="none" w:sz="0" w:space="0" w:color="auto"/>
      </w:divBdr>
    </w:div>
    <w:div w:id="610555593">
      <w:bodyDiv w:val="1"/>
      <w:marLeft w:val="0"/>
      <w:marRight w:val="0"/>
      <w:marTop w:val="0"/>
      <w:marBottom w:val="0"/>
      <w:divBdr>
        <w:top w:val="none" w:sz="0" w:space="0" w:color="auto"/>
        <w:left w:val="none" w:sz="0" w:space="0" w:color="auto"/>
        <w:bottom w:val="none" w:sz="0" w:space="0" w:color="auto"/>
        <w:right w:val="none" w:sz="0" w:space="0" w:color="auto"/>
      </w:divBdr>
    </w:div>
    <w:div w:id="647829750">
      <w:bodyDiv w:val="1"/>
      <w:marLeft w:val="0"/>
      <w:marRight w:val="0"/>
      <w:marTop w:val="0"/>
      <w:marBottom w:val="0"/>
      <w:divBdr>
        <w:top w:val="none" w:sz="0" w:space="0" w:color="auto"/>
        <w:left w:val="none" w:sz="0" w:space="0" w:color="auto"/>
        <w:bottom w:val="none" w:sz="0" w:space="0" w:color="auto"/>
        <w:right w:val="none" w:sz="0" w:space="0" w:color="auto"/>
      </w:divBdr>
    </w:div>
    <w:div w:id="726029469">
      <w:bodyDiv w:val="1"/>
      <w:marLeft w:val="0"/>
      <w:marRight w:val="0"/>
      <w:marTop w:val="0"/>
      <w:marBottom w:val="0"/>
      <w:divBdr>
        <w:top w:val="none" w:sz="0" w:space="0" w:color="auto"/>
        <w:left w:val="none" w:sz="0" w:space="0" w:color="auto"/>
        <w:bottom w:val="none" w:sz="0" w:space="0" w:color="auto"/>
        <w:right w:val="none" w:sz="0" w:space="0" w:color="auto"/>
      </w:divBdr>
      <w:divsChild>
        <w:div w:id="453253110">
          <w:marLeft w:val="0"/>
          <w:marRight w:val="0"/>
          <w:marTop w:val="0"/>
          <w:marBottom w:val="0"/>
          <w:divBdr>
            <w:top w:val="none" w:sz="0" w:space="0" w:color="auto"/>
            <w:left w:val="none" w:sz="0" w:space="0" w:color="auto"/>
            <w:bottom w:val="none" w:sz="0" w:space="0" w:color="auto"/>
            <w:right w:val="none" w:sz="0" w:space="0" w:color="auto"/>
          </w:divBdr>
          <w:divsChild>
            <w:div w:id="374619241">
              <w:marLeft w:val="0"/>
              <w:marRight w:val="0"/>
              <w:marTop w:val="0"/>
              <w:marBottom w:val="0"/>
              <w:divBdr>
                <w:top w:val="none" w:sz="0" w:space="0" w:color="auto"/>
                <w:left w:val="none" w:sz="0" w:space="0" w:color="auto"/>
                <w:bottom w:val="none" w:sz="0" w:space="0" w:color="auto"/>
                <w:right w:val="none" w:sz="0" w:space="0" w:color="auto"/>
              </w:divBdr>
            </w:div>
          </w:divsChild>
        </w:div>
        <w:div w:id="852187924">
          <w:marLeft w:val="0"/>
          <w:marRight w:val="0"/>
          <w:marTop w:val="0"/>
          <w:marBottom w:val="0"/>
          <w:divBdr>
            <w:top w:val="none" w:sz="0" w:space="0" w:color="auto"/>
            <w:left w:val="none" w:sz="0" w:space="0" w:color="auto"/>
            <w:bottom w:val="none" w:sz="0" w:space="0" w:color="auto"/>
            <w:right w:val="none" w:sz="0" w:space="0" w:color="auto"/>
          </w:divBdr>
          <w:divsChild>
            <w:div w:id="1191383810">
              <w:marLeft w:val="0"/>
              <w:marRight w:val="0"/>
              <w:marTop w:val="0"/>
              <w:marBottom w:val="0"/>
              <w:divBdr>
                <w:top w:val="none" w:sz="0" w:space="0" w:color="auto"/>
                <w:left w:val="none" w:sz="0" w:space="0" w:color="auto"/>
                <w:bottom w:val="none" w:sz="0" w:space="0" w:color="auto"/>
                <w:right w:val="none" w:sz="0" w:space="0" w:color="auto"/>
              </w:divBdr>
            </w:div>
          </w:divsChild>
        </w:div>
        <w:div w:id="168103029">
          <w:marLeft w:val="0"/>
          <w:marRight w:val="0"/>
          <w:marTop w:val="0"/>
          <w:marBottom w:val="0"/>
          <w:divBdr>
            <w:top w:val="none" w:sz="0" w:space="0" w:color="auto"/>
            <w:left w:val="none" w:sz="0" w:space="0" w:color="auto"/>
            <w:bottom w:val="none" w:sz="0" w:space="0" w:color="auto"/>
            <w:right w:val="none" w:sz="0" w:space="0" w:color="auto"/>
          </w:divBdr>
          <w:divsChild>
            <w:div w:id="687407147">
              <w:marLeft w:val="0"/>
              <w:marRight w:val="0"/>
              <w:marTop w:val="0"/>
              <w:marBottom w:val="0"/>
              <w:divBdr>
                <w:top w:val="none" w:sz="0" w:space="0" w:color="auto"/>
                <w:left w:val="none" w:sz="0" w:space="0" w:color="auto"/>
                <w:bottom w:val="none" w:sz="0" w:space="0" w:color="auto"/>
                <w:right w:val="none" w:sz="0" w:space="0" w:color="auto"/>
              </w:divBdr>
            </w:div>
          </w:divsChild>
        </w:div>
        <w:div w:id="795835952">
          <w:marLeft w:val="0"/>
          <w:marRight w:val="0"/>
          <w:marTop w:val="0"/>
          <w:marBottom w:val="0"/>
          <w:divBdr>
            <w:top w:val="none" w:sz="0" w:space="0" w:color="auto"/>
            <w:left w:val="none" w:sz="0" w:space="0" w:color="auto"/>
            <w:bottom w:val="none" w:sz="0" w:space="0" w:color="auto"/>
            <w:right w:val="none" w:sz="0" w:space="0" w:color="auto"/>
          </w:divBdr>
          <w:divsChild>
            <w:div w:id="1890455251">
              <w:marLeft w:val="0"/>
              <w:marRight w:val="0"/>
              <w:marTop w:val="0"/>
              <w:marBottom w:val="0"/>
              <w:divBdr>
                <w:top w:val="none" w:sz="0" w:space="0" w:color="auto"/>
                <w:left w:val="none" w:sz="0" w:space="0" w:color="auto"/>
                <w:bottom w:val="none" w:sz="0" w:space="0" w:color="auto"/>
                <w:right w:val="none" w:sz="0" w:space="0" w:color="auto"/>
              </w:divBdr>
            </w:div>
          </w:divsChild>
        </w:div>
        <w:div w:id="1150486900">
          <w:marLeft w:val="0"/>
          <w:marRight w:val="0"/>
          <w:marTop w:val="0"/>
          <w:marBottom w:val="0"/>
          <w:divBdr>
            <w:top w:val="none" w:sz="0" w:space="0" w:color="auto"/>
            <w:left w:val="none" w:sz="0" w:space="0" w:color="auto"/>
            <w:bottom w:val="none" w:sz="0" w:space="0" w:color="auto"/>
            <w:right w:val="none" w:sz="0" w:space="0" w:color="auto"/>
          </w:divBdr>
          <w:divsChild>
            <w:div w:id="470441248">
              <w:marLeft w:val="0"/>
              <w:marRight w:val="0"/>
              <w:marTop w:val="0"/>
              <w:marBottom w:val="0"/>
              <w:divBdr>
                <w:top w:val="none" w:sz="0" w:space="0" w:color="auto"/>
                <w:left w:val="none" w:sz="0" w:space="0" w:color="auto"/>
                <w:bottom w:val="none" w:sz="0" w:space="0" w:color="auto"/>
                <w:right w:val="none" w:sz="0" w:space="0" w:color="auto"/>
              </w:divBdr>
            </w:div>
          </w:divsChild>
        </w:div>
        <w:div w:id="2089577051">
          <w:marLeft w:val="0"/>
          <w:marRight w:val="0"/>
          <w:marTop w:val="0"/>
          <w:marBottom w:val="0"/>
          <w:divBdr>
            <w:top w:val="none" w:sz="0" w:space="0" w:color="auto"/>
            <w:left w:val="none" w:sz="0" w:space="0" w:color="auto"/>
            <w:bottom w:val="none" w:sz="0" w:space="0" w:color="auto"/>
            <w:right w:val="none" w:sz="0" w:space="0" w:color="auto"/>
          </w:divBdr>
          <w:divsChild>
            <w:div w:id="704057732">
              <w:marLeft w:val="0"/>
              <w:marRight w:val="0"/>
              <w:marTop w:val="0"/>
              <w:marBottom w:val="0"/>
              <w:divBdr>
                <w:top w:val="none" w:sz="0" w:space="0" w:color="auto"/>
                <w:left w:val="none" w:sz="0" w:space="0" w:color="auto"/>
                <w:bottom w:val="none" w:sz="0" w:space="0" w:color="auto"/>
                <w:right w:val="none" w:sz="0" w:space="0" w:color="auto"/>
              </w:divBdr>
            </w:div>
          </w:divsChild>
        </w:div>
        <w:div w:id="386608023">
          <w:marLeft w:val="0"/>
          <w:marRight w:val="0"/>
          <w:marTop w:val="0"/>
          <w:marBottom w:val="0"/>
          <w:divBdr>
            <w:top w:val="none" w:sz="0" w:space="0" w:color="auto"/>
            <w:left w:val="none" w:sz="0" w:space="0" w:color="auto"/>
            <w:bottom w:val="none" w:sz="0" w:space="0" w:color="auto"/>
            <w:right w:val="none" w:sz="0" w:space="0" w:color="auto"/>
          </w:divBdr>
          <w:divsChild>
            <w:div w:id="1179270579">
              <w:marLeft w:val="0"/>
              <w:marRight w:val="0"/>
              <w:marTop w:val="0"/>
              <w:marBottom w:val="0"/>
              <w:divBdr>
                <w:top w:val="none" w:sz="0" w:space="0" w:color="auto"/>
                <w:left w:val="none" w:sz="0" w:space="0" w:color="auto"/>
                <w:bottom w:val="none" w:sz="0" w:space="0" w:color="auto"/>
                <w:right w:val="none" w:sz="0" w:space="0" w:color="auto"/>
              </w:divBdr>
            </w:div>
          </w:divsChild>
        </w:div>
        <w:div w:id="549072659">
          <w:marLeft w:val="0"/>
          <w:marRight w:val="0"/>
          <w:marTop w:val="0"/>
          <w:marBottom w:val="0"/>
          <w:divBdr>
            <w:top w:val="none" w:sz="0" w:space="0" w:color="auto"/>
            <w:left w:val="none" w:sz="0" w:space="0" w:color="auto"/>
            <w:bottom w:val="none" w:sz="0" w:space="0" w:color="auto"/>
            <w:right w:val="none" w:sz="0" w:space="0" w:color="auto"/>
          </w:divBdr>
          <w:divsChild>
            <w:div w:id="1169566213">
              <w:marLeft w:val="0"/>
              <w:marRight w:val="0"/>
              <w:marTop w:val="0"/>
              <w:marBottom w:val="0"/>
              <w:divBdr>
                <w:top w:val="none" w:sz="0" w:space="0" w:color="auto"/>
                <w:left w:val="none" w:sz="0" w:space="0" w:color="auto"/>
                <w:bottom w:val="none" w:sz="0" w:space="0" w:color="auto"/>
                <w:right w:val="none" w:sz="0" w:space="0" w:color="auto"/>
              </w:divBdr>
            </w:div>
          </w:divsChild>
        </w:div>
        <w:div w:id="1321494836">
          <w:marLeft w:val="0"/>
          <w:marRight w:val="0"/>
          <w:marTop w:val="0"/>
          <w:marBottom w:val="0"/>
          <w:divBdr>
            <w:top w:val="none" w:sz="0" w:space="0" w:color="auto"/>
            <w:left w:val="none" w:sz="0" w:space="0" w:color="auto"/>
            <w:bottom w:val="none" w:sz="0" w:space="0" w:color="auto"/>
            <w:right w:val="none" w:sz="0" w:space="0" w:color="auto"/>
          </w:divBdr>
          <w:divsChild>
            <w:div w:id="58288734">
              <w:marLeft w:val="0"/>
              <w:marRight w:val="0"/>
              <w:marTop w:val="0"/>
              <w:marBottom w:val="0"/>
              <w:divBdr>
                <w:top w:val="none" w:sz="0" w:space="0" w:color="auto"/>
                <w:left w:val="none" w:sz="0" w:space="0" w:color="auto"/>
                <w:bottom w:val="none" w:sz="0" w:space="0" w:color="auto"/>
                <w:right w:val="none" w:sz="0" w:space="0" w:color="auto"/>
              </w:divBdr>
            </w:div>
          </w:divsChild>
        </w:div>
        <w:div w:id="1726832345">
          <w:marLeft w:val="0"/>
          <w:marRight w:val="0"/>
          <w:marTop w:val="0"/>
          <w:marBottom w:val="0"/>
          <w:divBdr>
            <w:top w:val="none" w:sz="0" w:space="0" w:color="auto"/>
            <w:left w:val="none" w:sz="0" w:space="0" w:color="auto"/>
            <w:bottom w:val="none" w:sz="0" w:space="0" w:color="auto"/>
            <w:right w:val="none" w:sz="0" w:space="0" w:color="auto"/>
          </w:divBdr>
          <w:divsChild>
            <w:div w:id="27453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943197">
      <w:bodyDiv w:val="1"/>
      <w:marLeft w:val="0"/>
      <w:marRight w:val="0"/>
      <w:marTop w:val="0"/>
      <w:marBottom w:val="0"/>
      <w:divBdr>
        <w:top w:val="none" w:sz="0" w:space="0" w:color="auto"/>
        <w:left w:val="none" w:sz="0" w:space="0" w:color="auto"/>
        <w:bottom w:val="none" w:sz="0" w:space="0" w:color="auto"/>
        <w:right w:val="none" w:sz="0" w:space="0" w:color="auto"/>
      </w:divBdr>
    </w:div>
    <w:div w:id="743646873">
      <w:bodyDiv w:val="1"/>
      <w:marLeft w:val="0"/>
      <w:marRight w:val="0"/>
      <w:marTop w:val="0"/>
      <w:marBottom w:val="0"/>
      <w:divBdr>
        <w:top w:val="none" w:sz="0" w:space="0" w:color="auto"/>
        <w:left w:val="none" w:sz="0" w:space="0" w:color="auto"/>
        <w:bottom w:val="none" w:sz="0" w:space="0" w:color="auto"/>
        <w:right w:val="none" w:sz="0" w:space="0" w:color="auto"/>
      </w:divBdr>
    </w:div>
    <w:div w:id="771706558">
      <w:bodyDiv w:val="1"/>
      <w:marLeft w:val="0"/>
      <w:marRight w:val="0"/>
      <w:marTop w:val="0"/>
      <w:marBottom w:val="0"/>
      <w:divBdr>
        <w:top w:val="none" w:sz="0" w:space="0" w:color="auto"/>
        <w:left w:val="none" w:sz="0" w:space="0" w:color="auto"/>
        <w:bottom w:val="none" w:sz="0" w:space="0" w:color="auto"/>
        <w:right w:val="none" w:sz="0" w:space="0" w:color="auto"/>
      </w:divBdr>
    </w:div>
    <w:div w:id="860512986">
      <w:bodyDiv w:val="1"/>
      <w:marLeft w:val="0"/>
      <w:marRight w:val="0"/>
      <w:marTop w:val="0"/>
      <w:marBottom w:val="0"/>
      <w:divBdr>
        <w:top w:val="none" w:sz="0" w:space="0" w:color="auto"/>
        <w:left w:val="none" w:sz="0" w:space="0" w:color="auto"/>
        <w:bottom w:val="none" w:sz="0" w:space="0" w:color="auto"/>
        <w:right w:val="none" w:sz="0" w:space="0" w:color="auto"/>
      </w:divBdr>
    </w:div>
    <w:div w:id="904266543">
      <w:bodyDiv w:val="1"/>
      <w:marLeft w:val="0"/>
      <w:marRight w:val="0"/>
      <w:marTop w:val="0"/>
      <w:marBottom w:val="0"/>
      <w:divBdr>
        <w:top w:val="none" w:sz="0" w:space="0" w:color="auto"/>
        <w:left w:val="none" w:sz="0" w:space="0" w:color="auto"/>
        <w:bottom w:val="none" w:sz="0" w:space="0" w:color="auto"/>
        <w:right w:val="none" w:sz="0" w:space="0" w:color="auto"/>
      </w:divBdr>
    </w:div>
    <w:div w:id="1072266256">
      <w:bodyDiv w:val="1"/>
      <w:marLeft w:val="0"/>
      <w:marRight w:val="0"/>
      <w:marTop w:val="0"/>
      <w:marBottom w:val="0"/>
      <w:divBdr>
        <w:top w:val="none" w:sz="0" w:space="0" w:color="auto"/>
        <w:left w:val="none" w:sz="0" w:space="0" w:color="auto"/>
        <w:bottom w:val="none" w:sz="0" w:space="0" w:color="auto"/>
        <w:right w:val="none" w:sz="0" w:space="0" w:color="auto"/>
      </w:divBdr>
    </w:div>
    <w:div w:id="1162740815">
      <w:bodyDiv w:val="1"/>
      <w:marLeft w:val="0"/>
      <w:marRight w:val="0"/>
      <w:marTop w:val="0"/>
      <w:marBottom w:val="0"/>
      <w:divBdr>
        <w:top w:val="none" w:sz="0" w:space="0" w:color="auto"/>
        <w:left w:val="none" w:sz="0" w:space="0" w:color="auto"/>
        <w:bottom w:val="none" w:sz="0" w:space="0" w:color="auto"/>
        <w:right w:val="none" w:sz="0" w:space="0" w:color="auto"/>
      </w:divBdr>
    </w:div>
    <w:div w:id="1169565648">
      <w:bodyDiv w:val="1"/>
      <w:marLeft w:val="0"/>
      <w:marRight w:val="0"/>
      <w:marTop w:val="0"/>
      <w:marBottom w:val="0"/>
      <w:divBdr>
        <w:top w:val="none" w:sz="0" w:space="0" w:color="auto"/>
        <w:left w:val="none" w:sz="0" w:space="0" w:color="auto"/>
        <w:bottom w:val="none" w:sz="0" w:space="0" w:color="auto"/>
        <w:right w:val="none" w:sz="0" w:space="0" w:color="auto"/>
      </w:divBdr>
    </w:div>
    <w:div w:id="1214464323">
      <w:bodyDiv w:val="1"/>
      <w:marLeft w:val="0"/>
      <w:marRight w:val="0"/>
      <w:marTop w:val="0"/>
      <w:marBottom w:val="0"/>
      <w:divBdr>
        <w:top w:val="none" w:sz="0" w:space="0" w:color="auto"/>
        <w:left w:val="none" w:sz="0" w:space="0" w:color="auto"/>
        <w:bottom w:val="none" w:sz="0" w:space="0" w:color="auto"/>
        <w:right w:val="none" w:sz="0" w:space="0" w:color="auto"/>
      </w:divBdr>
      <w:divsChild>
        <w:div w:id="277757204">
          <w:marLeft w:val="0"/>
          <w:marRight w:val="0"/>
          <w:marTop w:val="0"/>
          <w:marBottom w:val="0"/>
          <w:divBdr>
            <w:top w:val="none" w:sz="0" w:space="0" w:color="auto"/>
            <w:left w:val="none" w:sz="0" w:space="0" w:color="auto"/>
            <w:bottom w:val="none" w:sz="0" w:space="0" w:color="auto"/>
            <w:right w:val="none" w:sz="0" w:space="0" w:color="auto"/>
          </w:divBdr>
          <w:divsChild>
            <w:div w:id="758795543">
              <w:marLeft w:val="0"/>
              <w:marRight w:val="0"/>
              <w:marTop w:val="0"/>
              <w:marBottom w:val="0"/>
              <w:divBdr>
                <w:top w:val="none" w:sz="0" w:space="0" w:color="auto"/>
                <w:left w:val="none" w:sz="0" w:space="0" w:color="auto"/>
                <w:bottom w:val="none" w:sz="0" w:space="0" w:color="auto"/>
                <w:right w:val="none" w:sz="0" w:space="0" w:color="auto"/>
              </w:divBdr>
              <w:divsChild>
                <w:div w:id="855533570">
                  <w:marLeft w:val="0"/>
                  <w:marRight w:val="0"/>
                  <w:marTop w:val="0"/>
                  <w:marBottom w:val="0"/>
                  <w:divBdr>
                    <w:top w:val="none" w:sz="0" w:space="0" w:color="auto"/>
                    <w:left w:val="none" w:sz="0" w:space="0" w:color="auto"/>
                    <w:bottom w:val="none" w:sz="0" w:space="0" w:color="auto"/>
                    <w:right w:val="none" w:sz="0" w:space="0" w:color="auto"/>
                  </w:divBdr>
                  <w:divsChild>
                    <w:div w:id="7881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178353">
      <w:bodyDiv w:val="1"/>
      <w:marLeft w:val="0"/>
      <w:marRight w:val="0"/>
      <w:marTop w:val="0"/>
      <w:marBottom w:val="0"/>
      <w:divBdr>
        <w:top w:val="none" w:sz="0" w:space="0" w:color="auto"/>
        <w:left w:val="none" w:sz="0" w:space="0" w:color="auto"/>
        <w:bottom w:val="none" w:sz="0" w:space="0" w:color="auto"/>
        <w:right w:val="none" w:sz="0" w:space="0" w:color="auto"/>
      </w:divBdr>
      <w:divsChild>
        <w:div w:id="1244995695">
          <w:marLeft w:val="0"/>
          <w:marRight w:val="0"/>
          <w:marTop w:val="0"/>
          <w:marBottom w:val="0"/>
          <w:divBdr>
            <w:top w:val="none" w:sz="0" w:space="0" w:color="auto"/>
            <w:left w:val="none" w:sz="0" w:space="0" w:color="auto"/>
            <w:bottom w:val="none" w:sz="0" w:space="0" w:color="auto"/>
            <w:right w:val="none" w:sz="0" w:space="0" w:color="auto"/>
          </w:divBdr>
          <w:divsChild>
            <w:div w:id="424810229">
              <w:marLeft w:val="0"/>
              <w:marRight w:val="0"/>
              <w:marTop w:val="0"/>
              <w:marBottom w:val="0"/>
              <w:divBdr>
                <w:top w:val="none" w:sz="0" w:space="0" w:color="auto"/>
                <w:left w:val="none" w:sz="0" w:space="0" w:color="auto"/>
                <w:bottom w:val="none" w:sz="0" w:space="0" w:color="auto"/>
                <w:right w:val="none" w:sz="0" w:space="0" w:color="auto"/>
              </w:divBdr>
            </w:div>
          </w:divsChild>
        </w:div>
        <w:div w:id="1790973398">
          <w:marLeft w:val="0"/>
          <w:marRight w:val="0"/>
          <w:marTop w:val="0"/>
          <w:marBottom w:val="0"/>
          <w:divBdr>
            <w:top w:val="none" w:sz="0" w:space="0" w:color="auto"/>
            <w:left w:val="none" w:sz="0" w:space="0" w:color="auto"/>
            <w:bottom w:val="none" w:sz="0" w:space="0" w:color="auto"/>
            <w:right w:val="none" w:sz="0" w:space="0" w:color="auto"/>
          </w:divBdr>
          <w:divsChild>
            <w:div w:id="1436245318">
              <w:marLeft w:val="0"/>
              <w:marRight w:val="0"/>
              <w:marTop w:val="0"/>
              <w:marBottom w:val="0"/>
              <w:divBdr>
                <w:top w:val="none" w:sz="0" w:space="0" w:color="auto"/>
                <w:left w:val="none" w:sz="0" w:space="0" w:color="auto"/>
                <w:bottom w:val="none" w:sz="0" w:space="0" w:color="auto"/>
                <w:right w:val="none" w:sz="0" w:space="0" w:color="auto"/>
              </w:divBdr>
            </w:div>
          </w:divsChild>
        </w:div>
        <w:div w:id="73288776">
          <w:marLeft w:val="0"/>
          <w:marRight w:val="0"/>
          <w:marTop w:val="0"/>
          <w:marBottom w:val="0"/>
          <w:divBdr>
            <w:top w:val="none" w:sz="0" w:space="0" w:color="auto"/>
            <w:left w:val="none" w:sz="0" w:space="0" w:color="auto"/>
            <w:bottom w:val="none" w:sz="0" w:space="0" w:color="auto"/>
            <w:right w:val="none" w:sz="0" w:space="0" w:color="auto"/>
          </w:divBdr>
          <w:divsChild>
            <w:div w:id="1082994504">
              <w:marLeft w:val="0"/>
              <w:marRight w:val="0"/>
              <w:marTop w:val="0"/>
              <w:marBottom w:val="0"/>
              <w:divBdr>
                <w:top w:val="none" w:sz="0" w:space="0" w:color="auto"/>
                <w:left w:val="none" w:sz="0" w:space="0" w:color="auto"/>
                <w:bottom w:val="none" w:sz="0" w:space="0" w:color="auto"/>
                <w:right w:val="none" w:sz="0" w:space="0" w:color="auto"/>
              </w:divBdr>
            </w:div>
          </w:divsChild>
        </w:div>
        <w:div w:id="165248451">
          <w:marLeft w:val="0"/>
          <w:marRight w:val="0"/>
          <w:marTop w:val="0"/>
          <w:marBottom w:val="0"/>
          <w:divBdr>
            <w:top w:val="none" w:sz="0" w:space="0" w:color="auto"/>
            <w:left w:val="none" w:sz="0" w:space="0" w:color="auto"/>
            <w:bottom w:val="none" w:sz="0" w:space="0" w:color="auto"/>
            <w:right w:val="none" w:sz="0" w:space="0" w:color="auto"/>
          </w:divBdr>
          <w:divsChild>
            <w:div w:id="31372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3409">
      <w:bodyDiv w:val="1"/>
      <w:marLeft w:val="0"/>
      <w:marRight w:val="0"/>
      <w:marTop w:val="0"/>
      <w:marBottom w:val="0"/>
      <w:divBdr>
        <w:top w:val="none" w:sz="0" w:space="0" w:color="auto"/>
        <w:left w:val="none" w:sz="0" w:space="0" w:color="auto"/>
        <w:bottom w:val="none" w:sz="0" w:space="0" w:color="auto"/>
        <w:right w:val="none" w:sz="0" w:space="0" w:color="auto"/>
      </w:divBdr>
    </w:div>
    <w:div w:id="1447043741">
      <w:bodyDiv w:val="1"/>
      <w:marLeft w:val="0"/>
      <w:marRight w:val="0"/>
      <w:marTop w:val="0"/>
      <w:marBottom w:val="0"/>
      <w:divBdr>
        <w:top w:val="none" w:sz="0" w:space="0" w:color="auto"/>
        <w:left w:val="none" w:sz="0" w:space="0" w:color="auto"/>
        <w:bottom w:val="none" w:sz="0" w:space="0" w:color="auto"/>
        <w:right w:val="none" w:sz="0" w:space="0" w:color="auto"/>
      </w:divBdr>
      <w:divsChild>
        <w:div w:id="2146700912">
          <w:marLeft w:val="0"/>
          <w:marRight w:val="0"/>
          <w:marTop w:val="0"/>
          <w:marBottom w:val="0"/>
          <w:divBdr>
            <w:top w:val="none" w:sz="0" w:space="0" w:color="auto"/>
            <w:left w:val="none" w:sz="0" w:space="0" w:color="auto"/>
            <w:bottom w:val="none" w:sz="0" w:space="0" w:color="auto"/>
            <w:right w:val="none" w:sz="0" w:space="0" w:color="auto"/>
          </w:divBdr>
          <w:divsChild>
            <w:div w:id="725375266">
              <w:marLeft w:val="0"/>
              <w:marRight w:val="0"/>
              <w:marTop w:val="0"/>
              <w:marBottom w:val="0"/>
              <w:divBdr>
                <w:top w:val="none" w:sz="0" w:space="0" w:color="auto"/>
                <w:left w:val="none" w:sz="0" w:space="0" w:color="auto"/>
                <w:bottom w:val="none" w:sz="0" w:space="0" w:color="auto"/>
                <w:right w:val="none" w:sz="0" w:space="0" w:color="auto"/>
              </w:divBdr>
            </w:div>
          </w:divsChild>
        </w:div>
        <w:div w:id="2035226970">
          <w:marLeft w:val="0"/>
          <w:marRight w:val="0"/>
          <w:marTop w:val="0"/>
          <w:marBottom w:val="0"/>
          <w:divBdr>
            <w:top w:val="none" w:sz="0" w:space="0" w:color="auto"/>
            <w:left w:val="none" w:sz="0" w:space="0" w:color="auto"/>
            <w:bottom w:val="none" w:sz="0" w:space="0" w:color="auto"/>
            <w:right w:val="none" w:sz="0" w:space="0" w:color="auto"/>
          </w:divBdr>
          <w:divsChild>
            <w:div w:id="2089187566">
              <w:marLeft w:val="0"/>
              <w:marRight w:val="0"/>
              <w:marTop w:val="0"/>
              <w:marBottom w:val="0"/>
              <w:divBdr>
                <w:top w:val="none" w:sz="0" w:space="0" w:color="auto"/>
                <w:left w:val="none" w:sz="0" w:space="0" w:color="auto"/>
                <w:bottom w:val="none" w:sz="0" w:space="0" w:color="auto"/>
                <w:right w:val="none" w:sz="0" w:space="0" w:color="auto"/>
              </w:divBdr>
            </w:div>
          </w:divsChild>
        </w:div>
        <w:div w:id="2026057735">
          <w:marLeft w:val="0"/>
          <w:marRight w:val="0"/>
          <w:marTop w:val="0"/>
          <w:marBottom w:val="0"/>
          <w:divBdr>
            <w:top w:val="none" w:sz="0" w:space="0" w:color="auto"/>
            <w:left w:val="none" w:sz="0" w:space="0" w:color="auto"/>
            <w:bottom w:val="none" w:sz="0" w:space="0" w:color="auto"/>
            <w:right w:val="none" w:sz="0" w:space="0" w:color="auto"/>
          </w:divBdr>
          <w:divsChild>
            <w:div w:id="849686791">
              <w:marLeft w:val="0"/>
              <w:marRight w:val="0"/>
              <w:marTop w:val="0"/>
              <w:marBottom w:val="0"/>
              <w:divBdr>
                <w:top w:val="none" w:sz="0" w:space="0" w:color="auto"/>
                <w:left w:val="none" w:sz="0" w:space="0" w:color="auto"/>
                <w:bottom w:val="none" w:sz="0" w:space="0" w:color="auto"/>
                <w:right w:val="none" w:sz="0" w:space="0" w:color="auto"/>
              </w:divBdr>
            </w:div>
          </w:divsChild>
        </w:div>
        <w:div w:id="827552542">
          <w:marLeft w:val="0"/>
          <w:marRight w:val="0"/>
          <w:marTop w:val="0"/>
          <w:marBottom w:val="0"/>
          <w:divBdr>
            <w:top w:val="none" w:sz="0" w:space="0" w:color="auto"/>
            <w:left w:val="none" w:sz="0" w:space="0" w:color="auto"/>
            <w:bottom w:val="none" w:sz="0" w:space="0" w:color="auto"/>
            <w:right w:val="none" w:sz="0" w:space="0" w:color="auto"/>
          </w:divBdr>
          <w:divsChild>
            <w:div w:id="177240364">
              <w:marLeft w:val="0"/>
              <w:marRight w:val="0"/>
              <w:marTop w:val="0"/>
              <w:marBottom w:val="0"/>
              <w:divBdr>
                <w:top w:val="none" w:sz="0" w:space="0" w:color="auto"/>
                <w:left w:val="none" w:sz="0" w:space="0" w:color="auto"/>
                <w:bottom w:val="none" w:sz="0" w:space="0" w:color="auto"/>
                <w:right w:val="none" w:sz="0" w:space="0" w:color="auto"/>
              </w:divBdr>
            </w:div>
          </w:divsChild>
        </w:div>
        <w:div w:id="1963799113">
          <w:marLeft w:val="0"/>
          <w:marRight w:val="0"/>
          <w:marTop w:val="0"/>
          <w:marBottom w:val="0"/>
          <w:divBdr>
            <w:top w:val="none" w:sz="0" w:space="0" w:color="auto"/>
            <w:left w:val="none" w:sz="0" w:space="0" w:color="auto"/>
            <w:bottom w:val="none" w:sz="0" w:space="0" w:color="auto"/>
            <w:right w:val="none" w:sz="0" w:space="0" w:color="auto"/>
          </w:divBdr>
          <w:divsChild>
            <w:div w:id="1778014064">
              <w:marLeft w:val="0"/>
              <w:marRight w:val="0"/>
              <w:marTop w:val="0"/>
              <w:marBottom w:val="0"/>
              <w:divBdr>
                <w:top w:val="none" w:sz="0" w:space="0" w:color="auto"/>
                <w:left w:val="none" w:sz="0" w:space="0" w:color="auto"/>
                <w:bottom w:val="none" w:sz="0" w:space="0" w:color="auto"/>
                <w:right w:val="none" w:sz="0" w:space="0" w:color="auto"/>
              </w:divBdr>
            </w:div>
          </w:divsChild>
        </w:div>
        <w:div w:id="1176459465">
          <w:marLeft w:val="0"/>
          <w:marRight w:val="0"/>
          <w:marTop w:val="0"/>
          <w:marBottom w:val="0"/>
          <w:divBdr>
            <w:top w:val="none" w:sz="0" w:space="0" w:color="auto"/>
            <w:left w:val="none" w:sz="0" w:space="0" w:color="auto"/>
            <w:bottom w:val="none" w:sz="0" w:space="0" w:color="auto"/>
            <w:right w:val="none" w:sz="0" w:space="0" w:color="auto"/>
          </w:divBdr>
          <w:divsChild>
            <w:div w:id="646857831">
              <w:marLeft w:val="0"/>
              <w:marRight w:val="0"/>
              <w:marTop w:val="0"/>
              <w:marBottom w:val="0"/>
              <w:divBdr>
                <w:top w:val="none" w:sz="0" w:space="0" w:color="auto"/>
                <w:left w:val="none" w:sz="0" w:space="0" w:color="auto"/>
                <w:bottom w:val="none" w:sz="0" w:space="0" w:color="auto"/>
                <w:right w:val="none" w:sz="0" w:space="0" w:color="auto"/>
              </w:divBdr>
            </w:div>
          </w:divsChild>
        </w:div>
        <w:div w:id="1395853052">
          <w:marLeft w:val="0"/>
          <w:marRight w:val="0"/>
          <w:marTop w:val="0"/>
          <w:marBottom w:val="0"/>
          <w:divBdr>
            <w:top w:val="none" w:sz="0" w:space="0" w:color="auto"/>
            <w:left w:val="none" w:sz="0" w:space="0" w:color="auto"/>
            <w:bottom w:val="none" w:sz="0" w:space="0" w:color="auto"/>
            <w:right w:val="none" w:sz="0" w:space="0" w:color="auto"/>
          </w:divBdr>
          <w:divsChild>
            <w:div w:id="825321311">
              <w:marLeft w:val="0"/>
              <w:marRight w:val="0"/>
              <w:marTop w:val="0"/>
              <w:marBottom w:val="0"/>
              <w:divBdr>
                <w:top w:val="none" w:sz="0" w:space="0" w:color="auto"/>
                <w:left w:val="none" w:sz="0" w:space="0" w:color="auto"/>
                <w:bottom w:val="none" w:sz="0" w:space="0" w:color="auto"/>
                <w:right w:val="none" w:sz="0" w:space="0" w:color="auto"/>
              </w:divBdr>
            </w:div>
          </w:divsChild>
        </w:div>
        <w:div w:id="443773794">
          <w:marLeft w:val="0"/>
          <w:marRight w:val="0"/>
          <w:marTop w:val="0"/>
          <w:marBottom w:val="0"/>
          <w:divBdr>
            <w:top w:val="none" w:sz="0" w:space="0" w:color="auto"/>
            <w:left w:val="none" w:sz="0" w:space="0" w:color="auto"/>
            <w:bottom w:val="none" w:sz="0" w:space="0" w:color="auto"/>
            <w:right w:val="none" w:sz="0" w:space="0" w:color="auto"/>
          </w:divBdr>
          <w:divsChild>
            <w:div w:id="1805921984">
              <w:marLeft w:val="0"/>
              <w:marRight w:val="0"/>
              <w:marTop w:val="0"/>
              <w:marBottom w:val="0"/>
              <w:divBdr>
                <w:top w:val="none" w:sz="0" w:space="0" w:color="auto"/>
                <w:left w:val="none" w:sz="0" w:space="0" w:color="auto"/>
                <w:bottom w:val="none" w:sz="0" w:space="0" w:color="auto"/>
                <w:right w:val="none" w:sz="0" w:space="0" w:color="auto"/>
              </w:divBdr>
            </w:div>
          </w:divsChild>
        </w:div>
        <w:div w:id="202403173">
          <w:marLeft w:val="0"/>
          <w:marRight w:val="0"/>
          <w:marTop w:val="0"/>
          <w:marBottom w:val="0"/>
          <w:divBdr>
            <w:top w:val="none" w:sz="0" w:space="0" w:color="auto"/>
            <w:left w:val="none" w:sz="0" w:space="0" w:color="auto"/>
            <w:bottom w:val="none" w:sz="0" w:space="0" w:color="auto"/>
            <w:right w:val="none" w:sz="0" w:space="0" w:color="auto"/>
          </w:divBdr>
          <w:divsChild>
            <w:div w:id="372537513">
              <w:marLeft w:val="0"/>
              <w:marRight w:val="0"/>
              <w:marTop w:val="0"/>
              <w:marBottom w:val="0"/>
              <w:divBdr>
                <w:top w:val="none" w:sz="0" w:space="0" w:color="auto"/>
                <w:left w:val="none" w:sz="0" w:space="0" w:color="auto"/>
                <w:bottom w:val="none" w:sz="0" w:space="0" w:color="auto"/>
                <w:right w:val="none" w:sz="0" w:space="0" w:color="auto"/>
              </w:divBdr>
            </w:div>
          </w:divsChild>
        </w:div>
        <w:div w:id="1252162478">
          <w:marLeft w:val="0"/>
          <w:marRight w:val="0"/>
          <w:marTop w:val="0"/>
          <w:marBottom w:val="0"/>
          <w:divBdr>
            <w:top w:val="none" w:sz="0" w:space="0" w:color="auto"/>
            <w:left w:val="none" w:sz="0" w:space="0" w:color="auto"/>
            <w:bottom w:val="none" w:sz="0" w:space="0" w:color="auto"/>
            <w:right w:val="none" w:sz="0" w:space="0" w:color="auto"/>
          </w:divBdr>
          <w:divsChild>
            <w:div w:id="162438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71679">
      <w:bodyDiv w:val="1"/>
      <w:marLeft w:val="0"/>
      <w:marRight w:val="0"/>
      <w:marTop w:val="0"/>
      <w:marBottom w:val="0"/>
      <w:divBdr>
        <w:top w:val="none" w:sz="0" w:space="0" w:color="auto"/>
        <w:left w:val="none" w:sz="0" w:space="0" w:color="auto"/>
        <w:bottom w:val="none" w:sz="0" w:space="0" w:color="auto"/>
        <w:right w:val="none" w:sz="0" w:space="0" w:color="auto"/>
      </w:divBdr>
    </w:div>
    <w:div w:id="1849252853">
      <w:bodyDiv w:val="1"/>
      <w:marLeft w:val="0"/>
      <w:marRight w:val="0"/>
      <w:marTop w:val="0"/>
      <w:marBottom w:val="0"/>
      <w:divBdr>
        <w:top w:val="none" w:sz="0" w:space="0" w:color="auto"/>
        <w:left w:val="none" w:sz="0" w:space="0" w:color="auto"/>
        <w:bottom w:val="none" w:sz="0" w:space="0" w:color="auto"/>
        <w:right w:val="none" w:sz="0" w:space="0" w:color="auto"/>
      </w:divBdr>
    </w:div>
    <w:div w:id="1853759575">
      <w:bodyDiv w:val="1"/>
      <w:marLeft w:val="0"/>
      <w:marRight w:val="0"/>
      <w:marTop w:val="0"/>
      <w:marBottom w:val="0"/>
      <w:divBdr>
        <w:top w:val="none" w:sz="0" w:space="0" w:color="auto"/>
        <w:left w:val="none" w:sz="0" w:space="0" w:color="auto"/>
        <w:bottom w:val="none" w:sz="0" w:space="0" w:color="auto"/>
        <w:right w:val="none" w:sz="0" w:space="0" w:color="auto"/>
      </w:divBdr>
    </w:div>
    <w:div w:id="1907372015">
      <w:bodyDiv w:val="1"/>
      <w:marLeft w:val="0"/>
      <w:marRight w:val="0"/>
      <w:marTop w:val="0"/>
      <w:marBottom w:val="0"/>
      <w:divBdr>
        <w:top w:val="none" w:sz="0" w:space="0" w:color="auto"/>
        <w:left w:val="none" w:sz="0" w:space="0" w:color="auto"/>
        <w:bottom w:val="none" w:sz="0" w:space="0" w:color="auto"/>
        <w:right w:val="none" w:sz="0" w:space="0" w:color="auto"/>
      </w:divBdr>
    </w:div>
    <w:div w:id="1984655868">
      <w:bodyDiv w:val="1"/>
      <w:marLeft w:val="0"/>
      <w:marRight w:val="0"/>
      <w:marTop w:val="0"/>
      <w:marBottom w:val="0"/>
      <w:divBdr>
        <w:top w:val="none" w:sz="0" w:space="0" w:color="auto"/>
        <w:left w:val="none" w:sz="0" w:space="0" w:color="auto"/>
        <w:bottom w:val="none" w:sz="0" w:space="0" w:color="auto"/>
        <w:right w:val="none" w:sz="0" w:space="0" w:color="auto"/>
      </w:divBdr>
    </w:div>
    <w:div w:id="2027250124">
      <w:bodyDiv w:val="1"/>
      <w:marLeft w:val="0"/>
      <w:marRight w:val="0"/>
      <w:marTop w:val="0"/>
      <w:marBottom w:val="0"/>
      <w:divBdr>
        <w:top w:val="none" w:sz="0" w:space="0" w:color="auto"/>
        <w:left w:val="none" w:sz="0" w:space="0" w:color="auto"/>
        <w:bottom w:val="none" w:sz="0" w:space="0" w:color="auto"/>
        <w:right w:val="none" w:sz="0" w:space="0" w:color="auto"/>
      </w:divBdr>
    </w:div>
    <w:div w:id="2034568649">
      <w:bodyDiv w:val="1"/>
      <w:marLeft w:val="0"/>
      <w:marRight w:val="0"/>
      <w:marTop w:val="0"/>
      <w:marBottom w:val="0"/>
      <w:divBdr>
        <w:top w:val="none" w:sz="0" w:space="0" w:color="auto"/>
        <w:left w:val="none" w:sz="0" w:space="0" w:color="auto"/>
        <w:bottom w:val="none" w:sz="0" w:space="0" w:color="auto"/>
        <w:right w:val="none" w:sz="0" w:space="0" w:color="auto"/>
      </w:divBdr>
    </w:div>
    <w:div w:id="2093770933">
      <w:bodyDiv w:val="1"/>
      <w:marLeft w:val="0"/>
      <w:marRight w:val="0"/>
      <w:marTop w:val="0"/>
      <w:marBottom w:val="0"/>
      <w:divBdr>
        <w:top w:val="none" w:sz="0" w:space="0" w:color="auto"/>
        <w:left w:val="none" w:sz="0" w:space="0" w:color="auto"/>
        <w:bottom w:val="none" w:sz="0" w:space="0" w:color="auto"/>
        <w:right w:val="none" w:sz="0" w:space="0" w:color="auto"/>
      </w:divBdr>
    </w:div>
    <w:div w:id="2102022030">
      <w:bodyDiv w:val="1"/>
      <w:marLeft w:val="0"/>
      <w:marRight w:val="0"/>
      <w:marTop w:val="0"/>
      <w:marBottom w:val="0"/>
      <w:divBdr>
        <w:top w:val="none" w:sz="0" w:space="0" w:color="auto"/>
        <w:left w:val="none" w:sz="0" w:space="0" w:color="auto"/>
        <w:bottom w:val="none" w:sz="0" w:space="0" w:color="auto"/>
        <w:right w:val="none" w:sz="0" w:space="0" w:color="auto"/>
      </w:divBdr>
    </w:div>
    <w:div w:id="213012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EB66-8CDB-4D53-867D-F825056A4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23602</Words>
  <Characters>134537</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Abhinav Kataki</dc:creator>
  <cp:keywords/>
  <dc:description/>
  <cp:lastModifiedBy>Abhinav Kataki</cp:lastModifiedBy>
  <cp:revision>4</cp:revision>
  <cp:lastPrinted>2024-09-13T08:58:00Z</cp:lastPrinted>
  <dcterms:created xsi:type="dcterms:W3CDTF">2024-09-13T08:55:00Z</dcterms:created>
  <dcterms:modified xsi:type="dcterms:W3CDTF">2024-09-13T08:58:00Z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5d9d6d70-0403-3ebc-8670-c8dde21f6b48</vt:lpwstr>
  </property>
  <property fmtid="{D5CDD505-2E9C-101B-9397-08002B2CF9AE}" pid="24" name="Mendeley Citation Style_1">
    <vt:lpwstr>http://www.zotero.org/styles/ieee</vt:lpwstr>
  </property>
</Properties>
</file>