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FF141" w14:textId="533D2224" w:rsidR="006A73A6" w:rsidRPr="00446C80" w:rsidRDefault="006A73A6" w:rsidP="00446C80">
      <w:pPr>
        <w:spacing w:before="100" w:beforeAutospacing="1" w:after="100" w:afterAutospacing="1" w:line="360" w:lineRule="auto"/>
        <w:jc w:val="center"/>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Deep Eutectic Solvents as Sustainable Solutions for Industrial Gas Separation and </w:t>
      </w:r>
      <w:r w:rsidRPr="002164EB">
        <w:rPr>
          <w:rFonts w:ascii="Times New Roman" w:eastAsia="Times New Roman" w:hAnsi="Times New Roman" w:cs="Times New Roman"/>
          <w:b/>
          <w:bCs/>
          <w:kern w:val="0"/>
          <w:sz w:val="24"/>
          <w:szCs w:val="24"/>
          <w:lang w:eastAsia="en-IN"/>
          <w14:ligatures w14:val="none"/>
        </w:rPr>
        <w:t>Capture</w:t>
      </w:r>
    </w:p>
    <w:p w14:paraId="2E064763" w14:textId="169A7477" w:rsidR="00446C80" w:rsidRPr="00446C80" w:rsidRDefault="00446C80" w:rsidP="00446C80">
      <w:pPr>
        <w:spacing w:before="100" w:beforeAutospacing="1" w:after="100" w:afterAutospacing="1" w:line="360" w:lineRule="auto"/>
        <w:jc w:val="center"/>
        <w:rPr>
          <w:rFonts w:ascii="Times New Roman" w:hAnsi="Times New Roman" w:cs="Times New Roman"/>
          <w:b/>
          <w:bCs/>
          <w:sz w:val="24"/>
          <w:szCs w:val="24"/>
        </w:rPr>
      </w:pPr>
      <w:r w:rsidRPr="00446C80">
        <w:rPr>
          <w:rFonts w:ascii="Times New Roman" w:hAnsi="Times New Roman" w:cs="Times New Roman"/>
          <w:b/>
          <w:bCs/>
          <w:sz w:val="24"/>
          <w:szCs w:val="24"/>
        </w:rPr>
        <w:t>Innovative Approaches in Gas Capture Using Deep Eutectic Solvents: Sustainable Solutions for Greenhouse Gas Management</w:t>
      </w:r>
    </w:p>
    <w:p w14:paraId="43532920" w14:textId="1311126A" w:rsidR="00446C80" w:rsidRPr="00446C80" w:rsidRDefault="00446C80" w:rsidP="00446C80">
      <w:pPr>
        <w:spacing w:before="100" w:beforeAutospacing="1" w:after="100" w:afterAutospacing="1" w:line="360" w:lineRule="auto"/>
        <w:jc w:val="center"/>
        <w:rPr>
          <w:rFonts w:ascii="Times New Roman" w:hAnsi="Times New Roman" w:cs="Times New Roman"/>
          <w:b/>
          <w:bCs/>
          <w:sz w:val="24"/>
          <w:szCs w:val="24"/>
        </w:rPr>
      </w:pPr>
      <w:r w:rsidRPr="00446C80">
        <w:rPr>
          <w:rFonts w:ascii="Times New Roman" w:hAnsi="Times New Roman" w:cs="Times New Roman"/>
          <w:b/>
          <w:bCs/>
          <w:sz w:val="24"/>
          <w:szCs w:val="24"/>
        </w:rPr>
        <w:t>Revolutionizing Industrial Gas Separation: The Role of Deep Eutectic Solvents</w:t>
      </w:r>
    </w:p>
    <w:p w14:paraId="2C44B982" w14:textId="1FF67E54" w:rsidR="00446C80" w:rsidRPr="00446C80" w:rsidRDefault="00446C80" w:rsidP="00446C80">
      <w:pPr>
        <w:spacing w:before="100" w:beforeAutospacing="1" w:after="100" w:afterAutospacing="1" w:line="360" w:lineRule="auto"/>
        <w:jc w:val="center"/>
        <w:rPr>
          <w:rFonts w:ascii="Times New Roman" w:hAnsi="Times New Roman" w:cs="Times New Roman"/>
          <w:b/>
          <w:bCs/>
          <w:sz w:val="24"/>
          <w:szCs w:val="24"/>
        </w:rPr>
      </w:pPr>
      <w:r w:rsidRPr="00446C80">
        <w:rPr>
          <w:rFonts w:ascii="Times New Roman" w:hAnsi="Times New Roman" w:cs="Times New Roman"/>
          <w:b/>
          <w:bCs/>
          <w:sz w:val="24"/>
          <w:szCs w:val="24"/>
        </w:rPr>
        <w:t>Green Innovations in Gas Capture: Deep Eutectic Solvents as Future-Ready Solutions</w:t>
      </w:r>
    </w:p>
    <w:p w14:paraId="6C14A5FB" w14:textId="089A1EC0" w:rsidR="00446C80" w:rsidRPr="006A73A6" w:rsidRDefault="00446C80" w:rsidP="00446C80">
      <w:pPr>
        <w:spacing w:before="100" w:beforeAutospacing="1" w:after="100" w:afterAutospacing="1" w:line="360" w:lineRule="auto"/>
        <w:jc w:val="center"/>
        <w:rPr>
          <w:rFonts w:ascii="Times New Roman" w:eastAsia="Times New Roman" w:hAnsi="Times New Roman" w:cs="Times New Roman"/>
          <w:kern w:val="0"/>
          <w:sz w:val="24"/>
          <w:szCs w:val="24"/>
          <w:lang w:eastAsia="en-IN"/>
          <w14:ligatures w14:val="none"/>
        </w:rPr>
      </w:pPr>
      <w:r w:rsidRPr="0049019B">
        <w:rPr>
          <w:rFonts w:ascii="Times New Roman" w:hAnsi="Times New Roman" w:cs="Times New Roman"/>
          <w:b/>
          <w:bCs/>
          <w:sz w:val="24"/>
          <w:szCs w:val="24"/>
        </w:rPr>
        <w:t xml:space="preserve">Eco-friendly Gas Capture: How Deep Eutectic Solvents are Shaping Industrial </w:t>
      </w:r>
      <w:r w:rsidRPr="0088122C">
        <w:rPr>
          <w:rFonts w:ascii="Times New Roman" w:hAnsi="Times New Roman" w:cs="Times New Roman"/>
          <w:b/>
          <w:bCs/>
          <w:sz w:val="24"/>
          <w:szCs w:val="24"/>
        </w:rPr>
        <w:t>Separation</w:t>
      </w:r>
    </w:p>
    <w:p w14:paraId="17780FB8" w14:textId="77777777" w:rsidR="0049019B"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Abstract:</w:t>
      </w:r>
      <w:r w:rsidRPr="006A73A6">
        <w:rPr>
          <w:rFonts w:ascii="Times New Roman" w:eastAsia="Times New Roman" w:hAnsi="Times New Roman" w:cs="Times New Roman"/>
          <w:kern w:val="0"/>
          <w:sz w:val="24"/>
          <w:szCs w:val="24"/>
          <w:lang w:eastAsia="en-IN"/>
          <w14:ligatures w14:val="none"/>
        </w:rPr>
        <w:t xml:space="preserve"> </w:t>
      </w:r>
      <w:r w:rsidR="0049019B">
        <w:rPr>
          <w:rFonts w:ascii="Times New Roman" w:eastAsia="Times New Roman" w:hAnsi="Times New Roman" w:cs="Times New Roman"/>
          <w:kern w:val="0"/>
          <w:sz w:val="24"/>
          <w:szCs w:val="24"/>
          <w:lang w:eastAsia="en-IN"/>
          <w14:ligatures w14:val="none"/>
        </w:rPr>
        <w:t xml:space="preserve">  </w:t>
      </w:r>
    </w:p>
    <w:p w14:paraId="75D6F1F3" w14:textId="49CEA40B" w:rsidR="006A73A6" w:rsidRPr="006A73A6"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This review article explores the potential of deep eutectic solvents (DESs) as novel and sustainable sorbents for the capture and separation of key industrial gases such as CO2, SO2, and H2S. The paper delves into the mechanistic insights behind the gas separation capabilities of DESs, highlighting their tunable physicochemical properties that enable efficient and selective gas absorption. A detailed analysis of recent research on the application of DESs in CO2 capture, SO2 removal, and H2S separation is presented, showcasing their superior performance compared to traditional methods. The review also discusses the regenerative potential of DESs and their alignment with the principles of green chemistry, underscoring their promise as the next generation of environmentally friendly gas separation technologies.</w:t>
      </w:r>
    </w:p>
    <w:p w14:paraId="520CDEFA" w14:textId="77777777" w:rsidR="006A73A6" w:rsidRPr="006A73A6" w:rsidRDefault="006A73A6" w:rsidP="00446C80">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Introduction </w:t>
      </w:r>
    </w:p>
    <w:p w14:paraId="52D3112F"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Importance of addressing industrial gas emissions (CO2, SO2, H2S) and the need for sustainable solutions</w:t>
      </w:r>
    </w:p>
    <w:p w14:paraId="0647154A"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Limitations of traditional gas separation methods</w:t>
      </w:r>
    </w:p>
    <w:p w14:paraId="700869DB"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Emergence of deep eutectic solvents as innovative sorbents</w:t>
      </w:r>
    </w:p>
    <w:p w14:paraId="363AD086" w14:textId="111000B8"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 xml:space="preserve">In the face of escalating environmental concerns, particularly related to greenhouse gas emissions, the need for innovative and sustainable solutions in industrial gas separation has become increasingly pressing. Traditional methods of gas purification and capture, such as those employing ionic liquids, amino acid salts, and potassium carbonate, have dominated the research landscape for the past two decades [1], [2]. However, these conventional approaches </w:t>
      </w:r>
      <w:r w:rsidRPr="00446C80">
        <w:rPr>
          <w:rFonts w:ascii="Times New Roman" w:eastAsia="Times New Roman" w:hAnsi="Times New Roman" w:cs="Times New Roman"/>
          <w:kern w:val="0"/>
          <w:sz w:val="24"/>
          <w:szCs w:val="24"/>
          <w:lang w:eastAsia="en-IN"/>
          <w14:ligatures w14:val="none"/>
        </w:rPr>
        <w:lastRenderedPageBreak/>
        <w:t xml:space="preserve">are increasingly scrutinized for their environmental impact, with growing emphasis on the principles of green chemistry and the development of more eco-friendly </w:t>
      </w:r>
      <w:proofErr w:type="spellStart"/>
      <w:proofErr w:type="gramStart"/>
      <w:r w:rsidRPr="00446C80">
        <w:rPr>
          <w:rFonts w:ascii="Times New Roman" w:eastAsia="Times New Roman" w:hAnsi="Times New Roman" w:cs="Times New Roman"/>
          <w:kern w:val="0"/>
          <w:sz w:val="24"/>
          <w:szCs w:val="24"/>
          <w:lang w:eastAsia="en-IN"/>
          <w14:ligatures w14:val="none"/>
        </w:rPr>
        <w:t>alternatives.Amidst</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this backdrop, deep eutectic solvents (DESs) have emerged as a groundbreaking class of solvents, offering a promising solution to the challenges faced by traditional gas separation technologies [3]–[7]. DESs are characterized by their unique physicochemical properties, including tunable solubility, viscosity, and polarity, which can be strategically tailored for specific gas separation processes [8], [9]. Moreover, DESs are widely recognized for their biodegradability, sustainability, and environmental compatibility, aligning with the global push for greener and more sustainable industrial practices.</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This</w:t>
      </w:r>
      <w:proofErr w:type="gramEnd"/>
      <w:r w:rsidRPr="00446C80">
        <w:rPr>
          <w:rFonts w:ascii="Times New Roman" w:eastAsia="Times New Roman" w:hAnsi="Times New Roman" w:cs="Times New Roman"/>
          <w:kern w:val="0"/>
          <w:sz w:val="24"/>
          <w:szCs w:val="24"/>
          <w:lang w:eastAsia="en-IN"/>
          <w14:ligatures w14:val="none"/>
        </w:rPr>
        <w:t xml:space="preserve"> review article delves into the potential of DESs as novel and efficient sorbents for the capture and separation of key industrial gases, such as carbon dioxide (CO2), </w:t>
      </w:r>
      <w:proofErr w:type="spellStart"/>
      <w:r w:rsidRPr="00446C80">
        <w:rPr>
          <w:rFonts w:ascii="Times New Roman" w:eastAsia="Times New Roman" w:hAnsi="Times New Roman" w:cs="Times New Roman"/>
          <w:kern w:val="0"/>
          <w:sz w:val="24"/>
          <w:szCs w:val="24"/>
          <w:lang w:eastAsia="en-IN"/>
          <w14:ligatures w14:val="none"/>
        </w:rPr>
        <w:t>sulfur</w:t>
      </w:r>
      <w:proofErr w:type="spellEnd"/>
      <w:r w:rsidRPr="00446C80">
        <w:rPr>
          <w:rFonts w:ascii="Times New Roman" w:eastAsia="Times New Roman" w:hAnsi="Times New Roman" w:cs="Times New Roman"/>
          <w:kern w:val="0"/>
          <w:sz w:val="24"/>
          <w:szCs w:val="24"/>
          <w:lang w:eastAsia="en-IN"/>
          <w14:ligatures w14:val="none"/>
        </w:rPr>
        <w:t xml:space="preserve"> dioxide (SO2), and hydrogen sulfide (H2S). By examining the mechanistic insights behind the gas separation capabilities of DESs, the review aims to elucidate the underlying principles that govern their performance. Furthermore, it presents a comprehensive analysis of the latest research on the application of DESs in CO2 capture, SO2 removal, and H2S separation, highlighting their advantages over conventional methods and their potential for large-scale industrial deployment.</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The</w:t>
      </w:r>
      <w:proofErr w:type="gramEnd"/>
      <w:r w:rsidRPr="00446C80">
        <w:rPr>
          <w:rFonts w:ascii="Times New Roman" w:eastAsia="Times New Roman" w:hAnsi="Times New Roman" w:cs="Times New Roman"/>
          <w:kern w:val="0"/>
          <w:sz w:val="24"/>
          <w:szCs w:val="24"/>
          <w:lang w:eastAsia="en-IN"/>
          <w14:ligatures w14:val="none"/>
        </w:rPr>
        <w:t xml:space="preserve"> investigation into the physicochemical properties of DESs, particularly their solubility, which is crucial for their efficacy as gas separation solvents, forms a central focus of this review. Additionally, the study explores the regenerative potential of DESs, underscoring their ability to be reused in subsequent cycles of gas capture and release, a key feature that enhances their sustainability and economic </w:t>
      </w:r>
      <w:proofErr w:type="spellStart"/>
      <w:proofErr w:type="gramStart"/>
      <w:r w:rsidRPr="00446C80">
        <w:rPr>
          <w:rFonts w:ascii="Times New Roman" w:eastAsia="Times New Roman" w:hAnsi="Times New Roman" w:cs="Times New Roman"/>
          <w:kern w:val="0"/>
          <w:sz w:val="24"/>
          <w:szCs w:val="24"/>
          <w:lang w:eastAsia="en-IN"/>
          <w14:ligatures w14:val="none"/>
        </w:rPr>
        <w:t>viability.By</w:t>
      </w:r>
      <w:proofErr w:type="spellEnd"/>
      <w:proofErr w:type="gramEnd"/>
      <w:r w:rsidRPr="00446C80">
        <w:rPr>
          <w:rFonts w:ascii="Times New Roman" w:eastAsia="Times New Roman" w:hAnsi="Times New Roman" w:cs="Times New Roman"/>
          <w:kern w:val="0"/>
          <w:sz w:val="24"/>
          <w:szCs w:val="24"/>
          <w:lang w:eastAsia="en-IN"/>
          <w14:ligatures w14:val="none"/>
        </w:rPr>
        <w:t xml:space="preserve"> providing a thorough exploration of the advancements in DES-based gas separation technologies, this review article seeks to underscore the transformative role of these novel solvents in addressing the environmental challenges posed by industrial gas emissions. The insights gained from this comprehensive analysis will serve as a valuable resource for researchers, engineers, and industry professionals, guiding them towards the development and implementation of sustainable, efficient, and eco-friendly gas separation solutions. This comprehensive review has highlighted the transformative potential of deep eutectic solvents (DESs) as innovative and sustainable solutions for industrial gas separation and capture. The exploration of the mechanistic insights underlying the gas separation capabilities of DESs has revealed the complex interplay between physical absorption and chemical interactions, which govern their efficiency in capturing key industrial gases such as CO2, SO2, and H2S.The in-depth analysis of the application of DESs in CO2 capture, SO2 removal, and H2S separation has demonstrated their superior performance compared to traditional methods. The tunability of DES properties, particularly their solubility, has enabled the design of tailored solvents capable of selectively and efficiently capturing these harmful gases from industrial </w:t>
      </w:r>
      <w:proofErr w:type="spellStart"/>
      <w:proofErr w:type="gramStart"/>
      <w:r w:rsidRPr="00446C80">
        <w:rPr>
          <w:rFonts w:ascii="Times New Roman" w:eastAsia="Times New Roman" w:hAnsi="Times New Roman" w:cs="Times New Roman"/>
          <w:kern w:val="0"/>
          <w:sz w:val="24"/>
          <w:szCs w:val="24"/>
          <w:lang w:eastAsia="en-IN"/>
          <w14:ligatures w14:val="none"/>
        </w:rPr>
        <w:t>emissions.Moreover</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review has underscored the environmental sustainability and green chemistry principles inherent to DES-based gas separation technologies. Their biodegradability, reduced environmental footprint, and regenerative potential position them as attractive alternatives to conventional gas separation methods, which are often associated with operational challenges and ecological </w:t>
      </w:r>
      <w:proofErr w:type="spellStart"/>
      <w:proofErr w:type="gramStart"/>
      <w:r w:rsidRPr="00446C80">
        <w:rPr>
          <w:rFonts w:ascii="Times New Roman" w:eastAsia="Times New Roman" w:hAnsi="Times New Roman" w:cs="Times New Roman"/>
          <w:kern w:val="0"/>
          <w:sz w:val="24"/>
          <w:szCs w:val="24"/>
          <w:lang w:eastAsia="en-IN"/>
          <w14:ligatures w14:val="none"/>
        </w:rPr>
        <w:t>concerns.While</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research on DES applications in gas separation has yielded promising results, the review has also identified key challenges that need to be addressed to facilitate their widespread adoption. These include the high viscosity of certain DES formulations, the scaling up of DES-based systems to industrial levels, and the need to expand the application of DESs to a broader range of industrially relevant </w:t>
      </w:r>
      <w:proofErr w:type="spellStart"/>
      <w:r w:rsidRPr="00446C80">
        <w:rPr>
          <w:rFonts w:ascii="Times New Roman" w:eastAsia="Times New Roman" w:hAnsi="Times New Roman" w:cs="Times New Roman"/>
          <w:kern w:val="0"/>
          <w:sz w:val="24"/>
          <w:szCs w:val="24"/>
          <w:lang w:eastAsia="en-IN"/>
          <w14:ligatures w14:val="none"/>
        </w:rPr>
        <w:t>gases.The</w:t>
      </w:r>
      <w:proofErr w:type="spellEnd"/>
      <w:r w:rsidRPr="00446C80">
        <w:rPr>
          <w:rFonts w:ascii="Times New Roman" w:eastAsia="Times New Roman" w:hAnsi="Times New Roman" w:cs="Times New Roman"/>
          <w:kern w:val="0"/>
          <w:sz w:val="24"/>
          <w:szCs w:val="24"/>
          <w:lang w:eastAsia="en-IN"/>
          <w14:ligatures w14:val="none"/>
        </w:rPr>
        <w:t xml:space="preserve"> future research directions outlined in this review, such as the optimization of DES compositions, the advancement of process intensification strategies, and the integration of DES-based gas separation with renewable energy sources and carbon utilization, hold significant potential for further enhancing the performance, scalability, and sustainability of these novel solvents. As the global focus on environmental protection and the mitigation of industrial emissions intensifies, deep eutectic solvents have emerged as a beacon of hope, offering a transformative approach to industrial gas separation and treatment. The insights presented in this review serve as a valuable resource for researchers, engineers, and industry professionals, guiding them towards the development and implementation of eco-friendly, efficient, and cost-effective gas separation solutions that can contribute to a more sustainable industrial landscape.</w:t>
      </w:r>
    </w:p>
    <w:p w14:paraId="095E7C93" w14:textId="77777777" w:rsidR="006A73A6" w:rsidRPr="00446C80" w:rsidRDefault="006A73A6" w:rsidP="00446C80">
      <w:pPr>
        <w:spacing w:line="360" w:lineRule="auto"/>
        <w:jc w:val="both"/>
        <w:rPr>
          <w:rFonts w:ascii="Times New Roman" w:hAnsi="Times New Roman" w:cs="Times New Roman"/>
          <w:sz w:val="24"/>
          <w:szCs w:val="24"/>
        </w:rPr>
      </w:pPr>
    </w:p>
    <w:p w14:paraId="6AA6ACFF" w14:textId="08DDC95B"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p>
    <w:p w14:paraId="0DD1FCAF" w14:textId="77777777" w:rsidR="006A73A6" w:rsidRPr="006A73A6" w:rsidRDefault="006A73A6" w:rsidP="00446C80">
      <w:p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Mechanistic Insights into Gas Separation Using Deep Eutectic Solvents </w:t>
      </w:r>
    </w:p>
    <w:p w14:paraId="4BD77E72"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Absorption mechanisms for CO2, SO2, and H2S</w:t>
      </w:r>
    </w:p>
    <w:p w14:paraId="251AB016"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Role of physicochemical properties (solubility, viscosity, etc.) in gas capture efficiency</w:t>
      </w:r>
    </w:p>
    <w:p w14:paraId="0BE1F936"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Influence of DES composition and operating conditions on gas separation performance</w:t>
      </w:r>
    </w:p>
    <w:p w14:paraId="09534796" w14:textId="0BB20BA1" w:rsidR="006A73A6"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 xml:space="preserve">The ability of deep eutectic solvents (DESs) to effectively capture and separate key industrial gases, such as CO2, SO2, and H2S, is underpinned by their unique physicochemical properties and the complex interplay between physical absorption and chemical interactions. Understanding the mechanistic insights behind these gas separation processes is crucial for optimizing the performance of DESs and expanding their application in industrial </w:t>
      </w:r>
      <w:proofErr w:type="spellStart"/>
      <w:proofErr w:type="gramStart"/>
      <w:r w:rsidRPr="00446C80">
        <w:rPr>
          <w:rFonts w:ascii="Times New Roman" w:eastAsia="Times New Roman" w:hAnsi="Times New Roman" w:cs="Times New Roman"/>
          <w:kern w:val="0"/>
          <w:sz w:val="24"/>
          <w:szCs w:val="24"/>
          <w:lang w:eastAsia="en-IN"/>
          <w14:ligatures w14:val="none"/>
        </w:rPr>
        <w:t>settings.Absorption</w:t>
      </w:r>
      <w:proofErr w:type="spellEnd"/>
      <w:proofErr w:type="gramEnd"/>
      <w:r w:rsidRPr="00446C80">
        <w:rPr>
          <w:rFonts w:ascii="Times New Roman" w:eastAsia="Times New Roman" w:hAnsi="Times New Roman" w:cs="Times New Roman"/>
          <w:kern w:val="0"/>
          <w:sz w:val="24"/>
          <w:szCs w:val="24"/>
          <w:lang w:eastAsia="en-IN"/>
          <w14:ligatures w14:val="none"/>
        </w:rPr>
        <w:t xml:space="preserve"> Mechanisms for CO2, SO2, and H2S The mechanism for CO2 capture using DESs is primarily governed by the physical solubility of CO2 in the solvent. The dissolution of CO2 in DESs can be enhanced by adjusting the molar ratio of the DES components, as well as the operating pressure. The chemical composition of the DES also plays a vital role, as it can be tailored to promote specific interactions with CO2 molecules, further improving the absorption </w:t>
      </w:r>
      <w:proofErr w:type="spellStart"/>
      <w:proofErr w:type="gramStart"/>
      <w:r w:rsidRPr="00446C80">
        <w:rPr>
          <w:rFonts w:ascii="Times New Roman" w:eastAsia="Times New Roman" w:hAnsi="Times New Roman" w:cs="Times New Roman"/>
          <w:kern w:val="0"/>
          <w:sz w:val="24"/>
          <w:szCs w:val="24"/>
          <w:lang w:eastAsia="en-IN"/>
          <w14:ligatures w14:val="none"/>
        </w:rPr>
        <w:t>capacity.In</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case of SO2 removal, the mechanism involves a combination of physical </w:t>
      </w:r>
      <w:proofErr w:type="spellStart"/>
      <w:r w:rsidRPr="00446C80">
        <w:rPr>
          <w:rFonts w:ascii="Times New Roman" w:eastAsia="Times New Roman" w:hAnsi="Times New Roman" w:cs="Times New Roman"/>
          <w:kern w:val="0"/>
          <w:sz w:val="24"/>
          <w:szCs w:val="24"/>
          <w:lang w:eastAsia="en-IN"/>
          <w14:ligatures w14:val="none"/>
        </w:rPr>
        <w:t>andchemical</w:t>
      </w:r>
      <w:proofErr w:type="spellEnd"/>
      <w:r w:rsidRPr="00446C80">
        <w:rPr>
          <w:rFonts w:ascii="Times New Roman" w:eastAsia="Times New Roman" w:hAnsi="Times New Roman" w:cs="Times New Roman"/>
          <w:kern w:val="0"/>
          <w:sz w:val="24"/>
          <w:szCs w:val="24"/>
          <w:lang w:eastAsia="en-IN"/>
          <w14:ligatures w14:val="none"/>
        </w:rPr>
        <w:t xml:space="preserve"> processes. While physical solubility contributes to the absorption, the key driver is the chemical reaction between the acidic SO2 and the basic components within the DES structure, particularly the nitrogen-containing moieties or carboxylate anions. This acid-base interaction leads to the formation of stable compounds that can be easily separated from the gas </w:t>
      </w:r>
      <w:proofErr w:type="spellStart"/>
      <w:proofErr w:type="gramStart"/>
      <w:r w:rsidRPr="00446C80">
        <w:rPr>
          <w:rFonts w:ascii="Times New Roman" w:eastAsia="Times New Roman" w:hAnsi="Times New Roman" w:cs="Times New Roman"/>
          <w:kern w:val="0"/>
          <w:sz w:val="24"/>
          <w:szCs w:val="24"/>
          <w:lang w:eastAsia="en-IN"/>
          <w14:ligatures w14:val="none"/>
        </w:rPr>
        <w:t>stream.The</w:t>
      </w:r>
      <w:proofErr w:type="spellEnd"/>
      <w:proofErr w:type="gramEnd"/>
      <w:r w:rsidRPr="00446C80">
        <w:rPr>
          <w:rFonts w:ascii="Times New Roman" w:eastAsia="Times New Roman" w:hAnsi="Times New Roman" w:cs="Times New Roman"/>
          <w:kern w:val="0"/>
          <w:sz w:val="24"/>
          <w:szCs w:val="24"/>
          <w:lang w:eastAsia="en-IN"/>
          <w14:ligatures w14:val="none"/>
        </w:rPr>
        <w:t xml:space="preserve"> absorption of H2S in DESs is predominantly governed by physical dissolution, with the solubility influenced by factors such as the molar ratio of the DES components and the operating temperature and pressure. However, the presence of basic functional groups within the DES structure can also facilitate chemical interactions with the acidic H2S, further enhancing the overall absorption </w:t>
      </w:r>
      <w:proofErr w:type="spellStart"/>
      <w:proofErr w:type="gramStart"/>
      <w:r w:rsidRPr="00446C80">
        <w:rPr>
          <w:rFonts w:ascii="Times New Roman" w:eastAsia="Times New Roman" w:hAnsi="Times New Roman" w:cs="Times New Roman"/>
          <w:kern w:val="0"/>
          <w:sz w:val="24"/>
          <w:szCs w:val="24"/>
          <w:lang w:eastAsia="en-IN"/>
          <w14:ligatures w14:val="none"/>
        </w:rPr>
        <w:t>capacity.Role</w:t>
      </w:r>
      <w:proofErr w:type="spellEnd"/>
      <w:proofErr w:type="gramEnd"/>
      <w:r w:rsidRPr="00446C80">
        <w:rPr>
          <w:rFonts w:ascii="Times New Roman" w:eastAsia="Times New Roman" w:hAnsi="Times New Roman" w:cs="Times New Roman"/>
          <w:kern w:val="0"/>
          <w:sz w:val="24"/>
          <w:szCs w:val="24"/>
          <w:lang w:eastAsia="en-IN"/>
          <w14:ligatures w14:val="none"/>
        </w:rPr>
        <w:t xml:space="preserve"> of Physicochemical Properties in Gas Separation Efficiency The physicochemical properties of DESs, such as solubility, viscosity, and polarity, are crucial determinants of their gas separation performance. The solubility of the target gas in the DES is a critical parameter, as it directly affects the absorption capacity and the equilibrium between the gas and the liquid </w:t>
      </w:r>
      <w:proofErr w:type="spellStart"/>
      <w:proofErr w:type="gramStart"/>
      <w:r w:rsidRPr="00446C80">
        <w:rPr>
          <w:rFonts w:ascii="Times New Roman" w:eastAsia="Times New Roman" w:hAnsi="Times New Roman" w:cs="Times New Roman"/>
          <w:kern w:val="0"/>
          <w:sz w:val="24"/>
          <w:szCs w:val="24"/>
          <w:lang w:eastAsia="en-IN"/>
          <w14:ligatures w14:val="none"/>
        </w:rPr>
        <w:t>phases.Adjusting</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molar ratio of the hydrogen bond acceptor (HBA) and hydrogen bond donor (HBD) components in the DES can significantly influence the solubility of the target gases. This tunability allows for the design of DESs tailored to specific gas separation applications, optimizing the absorption and desorption processes.</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Additionally</w:t>
      </w:r>
      <w:proofErr w:type="gramEnd"/>
      <w:r w:rsidRPr="00446C80">
        <w:rPr>
          <w:rFonts w:ascii="Times New Roman" w:eastAsia="Times New Roman" w:hAnsi="Times New Roman" w:cs="Times New Roman"/>
          <w:kern w:val="0"/>
          <w:sz w:val="24"/>
          <w:szCs w:val="24"/>
          <w:lang w:eastAsia="en-IN"/>
          <w14:ligatures w14:val="none"/>
        </w:rPr>
        <w:t>, the viscosity of the DES plays a vital role in the mass transfer dynamics during the gas absorption and desorption steps. Lower viscosity DESs tend to exhibit enhanced mass transfer rates, facilitating more efficient gas capture and release. The polarity of the DES can also be manipulated to selectively target specific gas molecules, enabling improved selectivity in gas separation processes.</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Influence</w:t>
      </w:r>
      <w:proofErr w:type="gramEnd"/>
      <w:r w:rsidRPr="00446C80">
        <w:rPr>
          <w:rFonts w:ascii="Times New Roman" w:eastAsia="Times New Roman" w:hAnsi="Times New Roman" w:cs="Times New Roman"/>
          <w:kern w:val="0"/>
          <w:sz w:val="24"/>
          <w:szCs w:val="24"/>
          <w:lang w:eastAsia="en-IN"/>
          <w14:ligatures w14:val="none"/>
        </w:rPr>
        <w:t xml:space="preserve"> of DES Composition and Operating Conditions The composition of the DES, in terms of the HBA and HBD components, as well as their molar ratios, has a profound impact on the gas separation performance. Researchers have explored various DES formulations, investigating their respective abilities to capture CO2, remove SO2, and separate H2S.Furthermore, the operating conditions, such as temperature and pressure, can significantly influence the gas absorption and desorption dynamics. By adjusting these parameters, the solubility and chemical interactions between the DES and the target gases can be optimized, leading to improved separation efficiencies and higher selectivity.</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The</w:t>
      </w:r>
      <w:proofErr w:type="gramEnd"/>
      <w:r w:rsidRPr="00446C80">
        <w:rPr>
          <w:rFonts w:ascii="Times New Roman" w:eastAsia="Times New Roman" w:hAnsi="Times New Roman" w:cs="Times New Roman"/>
          <w:kern w:val="0"/>
          <w:sz w:val="24"/>
          <w:szCs w:val="24"/>
          <w:lang w:eastAsia="en-IN"/>
          <w14:ligatures w14:val="none"/>
        </w:rPr>
        <w:t xml:space="preserve"> reversible nature of the interactions between DESs and the captured gases is another crucial factor that enables the regeneration and reuse of the solvents. By manipulating the temperature and pressure conditions, the absorbed gases can be desorbed from the DES, allowing the solvent to be recycled for subsequent gas separation cycles.</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In</w:t>
      </w:r>
      <w:proofErr w:type="gramEnd"/>
      <w:r w:rsidRPr="00446C80">
        <w:rPr>
          <w:rFonts w:ascii="Times New Roman" w:eastAsia="Times New Roman" w:hAnsi="Times New Roman" w:cs="Times New Roman"/>
          <w:kern w:val="0"/>
          <w:sz w:val="24"/>
          <w:szCs w:val="24"/>
          <w:lang w:eastAsia="en-IN"/>
          <w14:ligatures w14:val="none"/>
        </w:rPr>
        <w:t xml:space="preserve"> summary, the mechanistic insights into the gas separation capabilities of deep eutectic solvents highlight the importance of understanding the complex interplay between physical absorption and chemical interactions. The tailorable physicochemical properties of DESs, coupled with their reversible gas capture and release characteristics, position them as promising alternatives to traditional gas separation technologies, paving the way for more sustainable and efficient industrial gas treatment solutions.</w:t>
      </w:r>
    </w:p>
    <w:p w14:paraId="085B0EC6" w14:textId="77777777" w:rsidR="00CE2FA6" w:rsidRDefault="00CE2F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p>
    <w:p w14:paraId="7FB0D9F7" w14:textId="4DAF0CC0" w:rsidR="00CE2FA6" w:rsidRPr="00CE2FA6" w:rsidRDefault="00CE2FA6" w:rsidP="00446C80">
      <w:pPr>
        <w:spacing w:before="100" w:beforeAutospacing="1" w:after="100" w:afterAutospacing="1" w:line="360" w:lineRule="auto"/>
        <w:jc w:val="both"/>
        <w:rPr>
          <w:rFonts w:ascii="Times New Roman" w:eastAsia="Times New Roman" w:hAnsi="Times New Roman" w:cs="Times New Roman"/>
          <w:color w:val="FF0000"/>
          <w:kern w:val="0"/>
          <w:sz w:val="24"/>
          <w:szCs w:val="24"/>
          <w:lang w:eastAsia="en-IN"/>
          <w14:ligatures w14:val="none"/>
        </w:rPr>
      </w:pPr>
      <w:r w:rsidRPr="00CE2FA6">
        <w:rPr>
          <w:rFonts w:ascii="Times New Roman" w:eastAsia="Times New Roman" w:hAnsi="Times New Roman" w:cs="Times New Roman"/>
          <w:color w:val="FF0000"/>
          <w:kern w:val="0"/>
          <w:sz w:val="24"/>
          <w:szCs w:val="24"/>
          <w:lang w:eastAsia="en-IN"/>
          <w14:ligatures w14:val="none"/>
        </w:rPr>
        <w:t xml:space="preserve">The increasing concentration of greenhouse gases (GHGs) in the atmosphere, particularly carbon dioxide (CO₂) and methane (CH₄), has become a pressing global concern due to its contribution to climate change. According to the Intergovernmental Panel on Climate Change (IPCC), anthropogenic emissions of GHGs have been the dominant cause of observed global warming since the mid-20th century (IPCC, 2021). Mitigating these emissions is crucial for limiting the adverse impacts of climate change on ecosystems, human health, and socioeconomic </w:t>
      </w:r>
      <w:proofErr w:type="spellStart"/>
      <w:proofErr w:type="gramStart"/>
      <w:r w:rsidRPr="00CE2FA6">
        <w:rPr>
          <w:rFonts w:ascii="Times New Roman" w:eastAsia="Times New Roman" w:hAnsi="Times New Roman" w:cs="Times New Roman"/>
          <w:color w:val="FF0000"/>
          <w:kern w:val="0"/>
          <w:sz w:val="24"/>
          <w:szCs w:val="24"/>
          <w:lang w:eastAsia="en-IN"/>
          <w14:ligatures w14:val="none"/>
        </w:rPr>
        <w:t>systems.One</w:t>
      </w:r>
      <w:proofErr w:type="spellEnd"/>
      <w:proofErr w:type="gramEnd"/>
      <w:r w:rsidRPr="00CE2FA6">
        <w:rPr>
          <w:rFonts w:ascii="Times New Roman" w:eastAsia="Times New Roman" w:hAnsi="Times New Roman" w:cs="Times New Roman"/>
          <w:color w:val="FF0000"/>
          <w:kern w:val="0"/>
          <w:sz w:val="24"/>
          <w:szCs w:val="24"/>
          <w:lang w:eastAsia="en-IN"/>
          <w14:ligatures w14:val="none"/>
        </w:rPr>
        <w:t xml:space="preserve"> of the key strategies for reducing GHG emissions is the capture and utilization of these gases, particularly CO₂ and CH₄. Carbon capture and storage (CCS) technologies have been developed to separate CO₂ from industrial emissions, such as those from power plants and cement factories, and store it underground or utilize it in various applications (Global CCS Institute, 2021). Similarly, the recovery of methane from biogas, which is produced through the anaerobic digestion of organic matter, can contribute to the production of renewable energy while reducing the environmental impact of biogas production.</w:t>
      </w:r>
      <w:r>
        <w:rPr>
          <w:rFonts w:ascii="Times New Roman" w:eastAsia="Times New Roman" w:hAnsi="Times New Roman" w:cs="Times New Roman"/>
          <w:color w:val="FF0000"/>
          <w:kern w:val="0"/>
          <w:sz w:val="24"/>
          <w:szCs w:val="24"/>
          <w:lang w:eastAsia="en-IN"/>
          <w14:ligatures w14:val="none"/>
        </w:rPr>
        <w:t xml:space="preserve"> </w:t>
      </w:r>
      <w:r w:rsidRPr="00CE2FA6">
        <w:rPr>
          <w:rFonts w:ascii="Times New Roman" w:eastAsia="Times New Roman" w:hAnsi="Times New Roman" w:cs="Times New Roman"/>
          <w:color w:val="FF0000"/>
          <w:kern w:val="0"/>
          <w:sz w:val="24"/>
          <w:szCs w:val="24"/>
          <w:lang w:eastAsia="en-IN"/>
          <w14:ligatures w14:val="none"/>
        </w:rPr>
        <w:t xml:space="preserve">Traditional solvents used in GHG capture processes, such as amine-based solutions, have limitations in terms of efficiency, selectivity, and environmental impact. They often require high energy input for regeneration, have high volatility leading to solvent losses, and can be corrosive to equipment (Rochelle, 2009). Therefore, there is a need for alternative solvents that can overcome these limitations and provide more sustainable solutions for greenhouse gas </w:t>
      </w:r>
      <w:proofErr w:type="spellStart"/>
      <w:proofErr w:type="gramStart"/>
      <w:r w:rsidRPr="00CE2FA6">
        <w:rPr>
          <w:rFonts w:ascii="Times New Roman" w:eastAsia="Times New Roman" w:hAnsi="Times New Roman" w:cs="Times New Roman"/>
          <w:color w:val="FF0000"/>
          <w:kern w:val="0"/>
          <w:sz w:val="24"/>
          <w:szCs w:val="24"/>
          <w:lang w:eastAsia="en-IN"/>
          <w14:ligatures w14:val="none"/>
        </w:rPr>
        <w:t>management.Deep</w:t>
      </w:r>
      <w:proofErr w:type="spellEnd"/>
      <w:proofErr w:type="gramEnd"/>
      <w:r w:rsidRPr="00CE2FA6">
        <w:rPr>
          <w:rFonts w:ascii="Times New Roman" w:eastAsia="Times New Roman" w:hAnsi="Times New Roman" w:cs="Times New Roman"/>
          <w:color w:val="FF0000"/>
          <w:kern w:val="0"/>
          <w:sz w:val="24"/>
          <w:szCs w:val="24"/>
          <w:lang w:eastAsia="en-IN"/>
          <w14:ligatures w14:val="none"/>
        </w:rPr>
        <w:t xml:space="preserve"> eutectic solvents (DES) have emerged as a promising alternative to traditional solvents in various applications, including GHG capture. DES are formed by mixing a hydrogen bond donor with a hydrogen bond acceptor, resulting in a solvent with unique properties such as low volatility, high thermal stability, and tunable solubility (Smith et al., 2014). These properties make DES attractive for use in gas capture processes, as they can selectively absorb CO₂ and CH₄ while being more environmentally friendly and cost-effective compared to traditional </w:t>
      </w:r>
      <w:proofErr w:type="spellStart"/>
      <w:proofErr w:type="gramStart"/>
      <w:r w:rsidRPr="00CE2FA6">
        <w:rPr>
          <w:rFonts w:ascii="Times New Roman" w:eastAsia="Times New Roman" w:hAnsi="Times New Roman" w:cs="Times New Roman"/>
          <w:color w:val="FF0000"/>
          <w:kern w:val="0"/>
          <w:sz w:val="24"/>
          <w:szCs w:val="24"/>
          <w:lang w:eastAsia="en-IN"/>
          <w14:ligatures w14:val="none"/>
        </w:rPr>
        <w:t>solvents.This</w:t>
      </w:r>
      <w:proofErr w:type="spellEnd"/>
      <w:proofErr w:type="gramEnd"/>
      <w:r w:rsidRPr="00CE2FA6">
        <w:rPr>
          <w:rFonts w:ascii="Times New Roman" w:eastAsia="Times New Roman" w:hAnsi="Times New Roman" w:cs="Times New Roman"/>
          <w:color w:val="FF0000"/>
          <w:kern w:val="0"/>
          <w:sz w:val="24"/>
          <w:szCs w:val="24"/>
          <w:lang w:eastAsia="en-IN"/>
          <w14:ligatures w14:val="none"/>
        </w:rPr>
        <w:t xml:space="preserve"> review article aims to provide a comprehensive overview of the applications of deep eutectic solvents in greenhouse gas management, focusing on carbon dioxide capture and methane recovery. It will discuss the advantages of using DES in these processes, the current state of research and development, and the challenges and future prospects of this technology.</w:t>
      </w:r>
    </w:p>
    <w:p w14:paraId="457122C5" w14:textId="77777777" w:rsidR="00CE2FA6" w:rsidRPr="00446C80" w:rsidRDefault="00CE2F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p>
    <w:p w14:paraId="01BF5285" w14:textId="77777777" w:rsidR="006A73A6" w:rsidRPr="006A73A6" w:rsidRDefault="006A73A6" w:rsidP="00446C80">
      <w:p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p>
    <w:p w14:paraId="77224F73" w14:textId="77777777" w:rsidR="006A73A6" w:rsidRPr="006A73A6" w:rsidRDefault="006A73A6" w:rsidP="00446C80">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Application of DESs in Gas Separation Processes 3.1. CO2 Capture </w:t>
      </w:r>
    </w:p>
    <w:p w14:paraId="7A4EEFE0"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Factors affecting CO2 solubility and absorption capacity in DESs</w:t>
      </w:r>
    </w:p>
    <w:p w14:paraId="41556361"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Comparative studies on the performance of various DES formulations</w:t>
      </w:r>
    </w:p>
    <w:p w14:paraId="03D25596"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Potential for CO2 capture and sequestration</w:t>
      </w:r>
    </w:p>
    <w:p w14:paraId="372A0AB3" w14:textId="77777777" w:rsidR="006A73A6" w:rsidRPr="006A73A6" w:rsidRDefault="006A73A6" w:rsidP="00446C80">
      <w:pPr>
        <w:spacing w:beforeAutospacing="1" w:after="0" w:afterAutospacing="1" w:line="360" w:lineRule="auto"/>
        <w:ind w:left="720"/>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3.2. SO2 Removal </w:t>
      </w:r>
    </w:p>
    <w:p w14:paraId="62E93923"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Mechanism of SO2 absorption and chemical interactions with DESs</w:t>
      </w:r>
    </w:p>
    <w:p w14:paraId="2841D1D4"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Influence of temperature, pressure, and DES composition on SO2 capture</w:t>
      </w:r>
    </w:p>
    <w:p w14:paraId="001B6AE4"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Reversibility and regeneration of DESs for SO2 removal</w:t>
      </w:r>
    </w:p>
    <w:p w14:paraId="36E05B22" w14:textId="77777777" w:rsidR="006A73A6" w:rsidRPr="006A73A6" w:rsidRDefault="006A73A6" w:rsidP="00446C80">
      <w:pPr>
        <w:spacing w:beforeAutospacing="1" w:after="0" w:afterAutospacing="1" w:line="360" w:lineRule="auto"/>
        <w:ind w:left="720"/>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3.3. H2S Separation </w:t>
      </w:r>
    </w:p>
    <w:p w14:paraId="58150AEE"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Solubility of H2S in DES-based solvents</w:t>
      </w:r>
    </w:p>
    <w:p w14:paraId="3A51440C"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Comparative analysis with conventional alkanolamine solutions</w:t>
      </w:r>
    </w:p>
    <w:p w14:paraId="5AAC564D"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Regenerative potential and reusability of DESs for H2S treatment</w:t>
      </w:r>
    </w:p>
    <w:p w14:paraId="618EC6CD"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Application of DESs in Gas Separation Processes</w:t>
      </w:r>
    </w:p>
    <w:p w14:paraId="3D6D7E70"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3.1. CO2 Capture</w:t>
      </w:r>
    </w:p>
    <w:p w14:paraId="1A5CD648" w14:textId="47F6F6E7" w:rsidR="006A73A6" w:rsidRPr="00446C80" w:rsidRDefault="006A73A6" w:rsidP="00446C80">
      <w:pPr>
        <w:spacing w:before="100" w:beforeAutospacing="1" w:after="100" w:afterAutospacing="1" w:line="360" w:lineRule="auto"/>
        <w:ind w:left="360"/>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The capture and sequestration of carbon dioxide (CO2) from industrial emissions have become a paramount concern in the global effort to mitigate climate change. As a greenhouse gas, CO2 is a primary contributor to global warming, making its effective separation and removal a critical priority. Deep eutectic solvents have emerged as a promising alternative to traditional CO2 capture methods, offering enhanced efficiency and environmental sustainability.</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Factors</w:t>
      </w:r>
      <w:proofErr w:type="gramEnd"/>
      <w:r w:rsidRPr="00446C80">
        <w:rPr>
          <w:rFonts w:ascii="Times New Roman" w:eastAsia="Times New Roman" w:hAnsi="Times New Roman" w:cs="Times New Roman"/>
          <w:kern w:val="0"/>
          <w:sz w:val="24"/>
          <w:szCs w:val="24"/>
          <w:lang w:eastAsia="en-IN"/>
          <w14:ligatures w14:val="none"/>
        </w:rPr>
        <w:t xml:space="preserve"> Affecting CO2 Solubility and Absorption Capacity in DESs The solubility of CO2 in DESs is a crucial factor that governs their efficiency in CO2 capture. Numerous studies have examined the impact of various parameters on CO2 solubility, including the molar ratio of the DES components and the operating pressure.</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Altamash</w:t>
      </w:r>
      <w:proofErr w:type="gramEnd"/>
      <w:r w:rsidRPr="00446C80">
        <w:rPr>
          <w:rFonts w:ascii="Times New Roman" w:eastAsia="Times New Roman" w:hAnsi="Times New Roman" w:cs="Times New Roman"/>
          <w:kern w:val="0"/>
          <w:sz w:val="24"/>
          <w:szCs w:val="24"/>
          <w:lang w:eastAsia="en-IN"/>
          <w14:ligatures w14:val="none"/>
        </w:rPr>
        <w:t xml:space="preserve"> et al. [8] investigated the CO2 absorption performance of DESs composed of choline chloride and phenylacetic acid at different molar ratios (1:2, 1:3, 1:4). Their findings revealed that increasing the molar ratio of the hydrogen bond donor (phenylacetic acid) to the hydrogen bond acceptor (choline chloride) led to enhanced CO2 solubility, with the 1:3 ratio exhibiting the highest absorption capacity. However, further increasing the ratio to 1:4 resulted in a decline in CO2 uptake, highlighting the importance of optimizing the DES composition for efficient CO2 capture.</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In</w:t>
      </w:r>
      <w:proofErr w:type="gramEnd"/>
      <w:r w:rsidRPr="00446C80">
        <w:rPr>
          <w:rFonts w:ascii="Times New Roman" w:eastAsia="Times New Roman" w:hAnsi="Times New Roman" w:cs="Times New Roman"/>
          <w:kern w:val="0"/>
          <w:sz w:val="24"/>
          <w:szCs w:val="24"/>
          <w:lang w:eastAsia="en-IN"/>
          <w14:ligatures w14:val="none"/>
        </w:rPr>
        <w:t xml:space="preserve"> a related study, Altamash et al. [9] explored the CO2 solubility characteristics of four novel DESs composed of choline chloride and various hydrogen bond donors, including lactic acid, malic acid, and β-alanine. Through rheological analysis, they observed that the DES containing choline chloride and lactic acid, due to its lower viscosity, demonstrated the highest CO2 absorption capacity among the tested formulations.</w:t>
      </w:r>
      <w:r w:rsidR="002164EB">
        <w:rPr>
          <w:rFonts w:ascii="Times New Roman" w:eastAsia="Times New Roman" w:hAnsi="Times New Roman" w:cs="Times New Roman"/>
          <w:kern w:val="0"/>
          <w:sz w:val="24"/>
          <w:szCs w:val="24"/>
          <w:lang w:eastAsia="en-IN"/>
          <w14:ligatures w14:val="none"/>
        </w:rPr>
        <w:t xml:space="preserve"> </w:t>
      </w:r>
      <w:proofErr w:type="gramStart"/>
      <w:r w:rsidRPr="00446C80">
        <w:rPr>
          <w:rFonts w:ascii="Times New Roman" w:eastAsia="Times New Roman" w:hAnsi="Times New Roman" w:cs="Times New Roman"/>
          <w:kern w:val="0"/>
          <w:sz w:val="24"/>
          <w:szCs w:val="24"/>
          <w:lang w:eastAsia="en-IN"/>
          <w14:ligatures w14:val="none"/>
        </w:rPr>
        <w:t>These</w:t>
      </w:r>
      <w:proofErr w:type="gramEnd"/>
      <w:r w:rsidRPr="00446C80">
        <w:rPr>
          <w:rFonts w:ascii="Times New Roman" w:eastAsia="Times New Roman" w:hAnsi="Times New Roman" w:cs="Times New Roman"/>
          <w:kern w:val="0"/>
          <w:sz w:val="24"/>
          <w:szCs w:val="24"/>
          <w:lang w:eastAsia="en-IN"/>
          <w14:ligatures w14:val="none"/>
        </w:rPr>
        <w:t xml:space="preserve"> studies underscore the crucial role of the DES composition, particularly the molar ratio of the HBA and HBD components, in determining the CO2 solubility and, consequently, the overall efficiency of the CO2 capture process. Additionally, the operating pressure was found to have a positive correlation with CO2 solubility, with higher pressures enhancing the absorption capacity across the various DES formulations.</w:t>
      </w:r>
    </w:p>
    <w:p w14:paraId="76953616"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Comparative Studies on DES Performance in CO2 Capture The research on the application of DESs for CO2 capture has also involved comparative analyses, evaluating their performance against traditional solvents and other emerging technologies.</w:t>
      </w:r>
    </w:p>
    <w:p w14:paraId="5548D118"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 xml:space="preserve">In one study, Altamash et al. [8] compared the CO2 solubility in choline chloride-phenylacetic acid DESs with that of conventional amine-based solvents, such as </w:t>
      </w:r>
      <w:proofErr w:type="spellStart"/>
      <w:r w:rsidRPr="00446C80">
        <w:rPr>
          <w:rFonts w:ascii="Times New Roman" w:eastAsia="Times New Roman" w:hAnsi="Times New Roman" w:cs="Times New Roman"/>
          <w:kern w:val="0"/>
          <w:sz w:val="24"/>
          <w:szCs w:val="24"/>
          <w:lang w:eastAsia="en-IN"/>
          <w14:ligatures w14:val="none"/>
        </w:rPr>
        <w:t>monoethanolamine</w:t>
      </w:r>
      <w:proofErr w:type="spellEnd"/>
      <w:r w:rsidRPr="00446C80">
        <w:rPr>
          <w:rFonts w:ascii="Times New Roman" w:eastAsia="Times New Roman" w:hAnsi="Times New Roman" w:cs="Times New Roman"/>
          <w:kern w:val="0"/>
          <w:sz w:val="24"/>
          <w:szCs w:val="24"/>
          <w:lang w:eastAsia="en-IN"/>
          <w14:ligatures w14:val="none"/>
        </w:rPr>
        <w:t xml:space="preserve"> (MEA) and diethanolamine (DEA). Their findings indicated that the DESs exhibited superior CO2 absorption capacity, particularly at higher pressures, making them a more attractive option for post-combustion CO2 capture applications.</w:t>
      </w:r>
    </w:p>
    <w:p w14:paraId="658A5D28"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Furthermore, the reversibility and regenerative potential of DESs have been highlighted as key advantages over amine-based solvents. The ability to desorb the captured CO2 and regenerate the DES for reuse in subsequent capture cycles enhances the overall sustainability and economic viability of DES-based CO2 separation technologies.</w:t>
      </w:r>
    </w:p>
    <w:p w14:paraId="0824C6C3"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Potential for CO2 Capture and Sequestration The promising performance of DESs in CO2 capture, coupled with their environmentally friendly attributes, position them as viable alternatives to traditional methods. The tunability of DES properties, such as solubility and viscosity, allows for the design of tailored solvents that can effectively capture and sequester CO2 from various industrial sources, including power plants, cement factories, and other large emitters.</w:t>
      </w:r>
    </w:p>
    <w:p w14:paraId="05E9EAA7" w14:textId="77777777" w:rsidR="006A73A6" w:rsidRPr="00446C80"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The integration of DES-based CO2 capture systems with emerging technologies, such as carbon capture and storage (CCS) or carbon capture, utilization, and storage (CCUS), holds significant potential. By leveraging the gas separation capabilities of DESs, these integrated systems can contribute to the development of a more sustainable, circular economy, where captured CO2 can be utilized as a feedstock for the production of valuable chemicals or fuels, rather than being released into the atmosphere.</w:t>
      </w:r>
    </w:p>
    <w:p w14:paraId="79DBCAE7" w14:textId="77777777" w:rsidR="006A73A6" w:rsidRDefault="006A73A6" w:rsidP="00446C80">
      <w:pPr>
        <w:pStyle w:val="ListParagraph"/>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Overall, the research on the application of DESs for CO2 capture has demonstrated their effectiveness, efficiency, and alignment with the principles of green chemistry. As the global focus on mitigating climate change continues to intensify, DES-based technologies offer a promising pathway towards more sustainable and eco-friendly solutions for industrial CO2 management.</w:t>
      </w:r>
    </w:p>
    <w:p w14:paraId="7C659599"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Benefits of Deep Eutectic Solvents</w:t>
      </w:r>
    </w:p>
    <w:p w14:paraId="60290C29"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Deep eutectic solvents (DES) are gaining recognition in various fields, particularly in green chemistry, due to their unique properties and advantages over traditional solvents. This section explores the multifaceted benefits of DES, emphasizing their sustainability, efficiency, cost-effectiveness, and versatility in applications.</w:t>
      </w:r>
    </w:p>
    <w:p w14:paraId="21C46B38"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1. Environmental Sustainability</w:t>
      </w:r>
    </w:p>
    <w:p w14:paraId="07521385"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One of the most significant advantages of deep eutectic solvents is their potential for environmental sustainability. DES are often composed of natural and biodegradable components, which can significantly reduce their ecological footprint compared to conventional organic solvents.</w:t>
      </w:r>
    </w:p>
    <w:p w14:paraId="72C3966D"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Biodegradability: Many DES formulations utilize naturally derived substances such as sugars or organic acids as hydrogen bond donors or acceptors. This characteristic enhances their biodegradability, making them less harmful to the environment upon disposal. For instance, natural deep eutectic solvents (NADES) have shown promising results in terms of environmental impact assessments, indicating that they can be a greener alternative to traditional </w:t>
      </w:r>
      <w:proofErr w:type="gramStart"/>
      <w:r w:rsidRPr="00CE2FA6">
        <w:rPr>
          <w:rFonts w:ascii="Times New Roman" w:eastAsia="Times New Roman" w:hAnsi="Times New Roman" w:cs="Times New Roman"/>
          <w:color w:val="7030A0"/>
          <w:kern w:val="0"/>
          <w:sz w:val="24"/>
          <w:szCs w:val="24"/>
          <w:lang w:eastAsia="en-IN"/>
          <w14:ligatures w14:val="none"/>
        </w:rPr>
        <w:t>solvents .</w:t>
      </w:r>
      <w:proofErr w:type="gramEnd"/>
    </w:p>
    <w:p w14:paraId="546ECDE1"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Low Toxicity: DES typically exhibit lower toxicity levels than many organic solvents. This is particularly important in industrial applications where solvent exposure can pose health risks to workers and consumers alike. The reduced toxicity of DES allows for safer handling and application in various processes, including pharmaceuticals and food </w:t>
      </w:r>
      <w:proofErr w:type="gramStart"/>
      <w:r w:rsidRPr="00CE2FA6">
        <w:rPr>
          <w:rFonts w:ascii="Times New Roman" w:eastAsia="Times New Roman" w:hAnsi="Times New Roman" w:cs="Times New Roman"/>
          <w:color w:val="7030A0"/>
          <w:kern w:val="0"/>
          <w:sz w:val="24"/>
          <w:szCs w:val="24"/>
          <w:lang w:eastAsia="en-IN"/>
          <w14:ligatures w14:val="none"/>
        </w:rPr>
        <w:t>production .</w:t>
      </w:r>
      <w:proofErr w:type="gramEnd"/>
    </w:p>
    <w:p w14:paraId="39DD1B5D"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Reduced Volatility: DES have low vapor pressures compared to traditional solvents, which minimizes emissions into the atmosphere. This property not only reduces air pollution but also decreases the risk of inhalation exposure for workers in industrial </w:t>
      </w:r>
      <w:proofErr w:type="gramStart"/>
      <w:r w:rsidRPr="00CE2FA6">
        <w:rPr>
          <w:rFonts w:ascii="Times New Roman" w:eastAsia="Times New Roman" w:hAnsi="Times New Roman" w:cs="Times New Roman"/>
          <w:color w:val="7030A0"/>
          <w:kern w:val="0"/>
          <w:sz w:val="24"/>
          <w:szCs w:val="24"/>
          <w:lang w:eastAsia="en-IN"/>
          <w14:ligatures w14:val="none"/>
        </w:rPr>
        <w:t>settings .</w:t>
      </w:r>
      <w:proofErr w:type="gramEnd"/>
    </w:p>
    <w:p w14:paraId="726F8477"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2. High Efficiency in Gas Capture</w:t>
      </w:r>
    </w:p>
    <w:p w14:paraId="3B39C696"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Deep eutectic solvents have shown remarkable efficiency in capturing greenhouse gases (GHGs), particularly carbon dioxide (CO₂). Their unique physicochemical properties make them suitable for various gas absorption applications.</w:t>
      </w:r>
    </w:p>
    <w:p w14:paraId="32843DFD"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Enhanced Absorption Capacity: DES can be engineered to optimize their absorption capacities for specific gases. For example, certain DES formulations have been found to absorb CO₂ more effectively than conventional amine-based solvents. This is crucial for carbon capture and storage (CCS) technologies aimed at mitigating climate </w:t>
      </w:r>
      <w:proofErr w:type="gramStart"/>
      <w:r w:rsidRPr="00CE2FA6">
        <w:rPr>
          <w:rFonts w:ascii="Times New Roman" w:eastAsia="Times New Roman" w:hAnsi="Times New Roman" w:cs="Times New Roman"/>
          <w:color w:val="7030A0"/>
          <w:kern w:val="0"/>
          <w:sz w:val="24"/>
          <w:szCs w:val="24"/>
          <w:lang w:eastAsia="en-IN"/>
          <w14:ligatures w14:val="none"/>
        </w:rPr>
        <w:t>change .</w:t>
      </w:r>
      <w:proofErr w:type="gramEnd"/>
    </w:p>
    <w:p w14:paraId="164AD00E"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Selective Gas Capture: The tunability of DES allows for the design of solvent systems that selectively capture specific gases while minimizing the absorption of others. This selective nature is beneficial in processes where the separation of gases is necessary, such as in biogas upgrading or flue gas </w:t>
      </w:r>
      <w:proofErr w:type="gramStart"/>
      <w:r w:rsidRPr="00CE2FA6">
        <w:rPr>
          <w:rFonts w:ascii="Times New Roman" w:eastAsia="Times New Roman" w:hAnsi="Times New Roman" w:cs="Times New Roman"/>
          <w:color w:val="7030A0"/>
          <w:kern w:val="0"/>
          <w:sz w:val="24"/>
          <w:szCs w:val="24"/>
          <w:lang w:eastAsia="en-IN"/>
          <w14:ligatures w14:val="none"/>
        </w:rPr>
        <w:t>treatment .</w:t>
      </w:r>
      <w:proofErr w:type="gramEnd"/>
    </w:p>
    <w:p w14:paraId="4F1C64F4"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3. Cost-Effectiveness</w:t>
      </w:r>
    </w:p>
    <w:p w14:paraId="0F59C381"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The economic viability of deep eutectic solvents is another compelling benefit. Their cost-effectiveness stems from several factors:</w:t>
      </w:r>
    </w:p>
    <w:p w14:paraId="01ADDDB2"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Low Production Costs: The raw materials used to synthesize DES are often inexpensive and widely available. Common components include choline chloride and urea or other simple organic compounds that do not require complex synthesis </w:t>
      </w:r>
      <w:proofErr w:type="gramStart"/>
      <w:r w:rsidRPr="00CE2FA6">
        <w:rPr>
          <w:rFonts w:ascii="Times New Roman" w:eastAsia="Times New Roman" w:hAnsi="Times New Roman" w:cs="Times New Roman"/>
          <w:color w:val="7030A0"/>
          <w:kern w:val="0"/>
          <w:sz w:val="24"/>
          <w:szCs w:val="24"/>
          <w:lang w:eastAsia="en-IN"/>
          <w14:ligatures w14:val="none"/>
        </w:rPr>
        <w:t>processes .</w:t>
      </w:r>
      <w:proofErr w:type="gramEnd"/>
      <w:r w:rsidRPr="00CE2FA6">
        <w:rPr>
          <w:rFonts w:ascii="Times New Roman" w:eastAsia="Times New Roman" w:hAnsi="Times New Roman" w:cs="Times New Roman"/>
          <w:color w:val="7030A0"/>
          <w:kern w:val="0"/>
          <w:sz w:val="24"/>
          <w:szCs w:val="24"/>
          <w:lang w:eastAsia="en-IN"/>
          <w14:ligatures w14:val="none"/>
        </w:rPr>
        <w:t xml:space="preserve"> This accessibility contributes to lower overall production costs compared to traditional solvents.</w:t>
      </w:r>
    </w:p>
    <w:p w14:paraId="061EA12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Recyclability: Many DES can be reused multiple times without significant loss of performance, which further reduces operational costs in industrial applications. The ability to recycle these solvents minimizes waste generation and lowers the costs associated with solvent </w:t>
      </w:r>
      <w:proofErr w:type="gramStart"/>
      <w:r w:rsidRPr="00CE2FA6">
        <w:rPr>
          <w:rFonts w:ascii="Times New Roman" w:eastAsia="Times New Roman" w:hAnsi="Times New Roman" w:cs="Times New Roman"/>
          <w:color w:val="7030A0"/>
          <w:kern w:val="0"/>
          <w:sz w:val="24"/>
          <w:szCs w:val="24"/>
          <w:lang w:eastAsia="en-IN"/>
          <w14:ligatures w14:val="none"/>
        </w:rPr>
        <w:t>disposal .</w:t>
      </w:r>
      <w:proofErr w:type="gramEnd"/>
    </w:p>
    <w:p w14:paraId="60180997"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Energy Efficiency: The low boiling points of many DES allow for energy-efficient processes, as they can operate at lower temperatures than traditional solvents. This energy efficiency translates into reduced operational costs and a smaller carbon footprint for processes utilizing </w:t>
      </w:r>
      <w:proofErr w:type="gramStart"/>
      <w:r w:rsidRPr="00CE2FA6">
        <w:rPr>
          <w:rFonts w:ascii="Times New Roman" w:eastAsia="Times New Roman" w:hAnsi="Times New Roman" w:cs="Times New Roman"/>
          <w:color w:val="7030A0"/>
          <w:kern w:val="0"/>
          <w:sz w:val="24"/>
          <w:szCs w:val="24"/>
          <w:lang w:eastAsia="en-IN"/>
          <w14:ligatures w14:val="none"/>
        </w:rPr>
        <w:t>DES .</w:t>
      </w:r>
      <w:proofErr w:type="gramEnd"/>
    </w:p>
    <w:p w14:paraId="1534C2D6"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4. Versatility Across Applications</w:t>
      </w:r>
    </w:p>
    <w:p w14:paraId="24233FE5"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Deep eutectic solvents are highly versatile and can be applied across a wide range of fields:</w:t>
      </w:r>
    </w:p>
    <w:p w14:paraId="7756F7D9"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Extraction Processes: DES have been successfully employed in the extraction of natural products, such as essential oils and bioactive compounds from plants. Their ability to dissolve a variety of organic compounds makes them suitable for use in food and pharmaceutical </w:t>
      </w:r>
      <w:proofErr w:type="gramStart"/>
      <w:r w:rsidRPr="00CE2FA6">
        <w:rPr>
          <w:rFonts w:ascii="Times New Roman" w:eastAsia="Times New Roman" w:hAnsi="Times New Roman" w:cs="Times New Roman"/>
          <w:color w:val="7030A0"/>
          <w:kern w:val="0"/>
          <w:sz w:val="24"/>
          <w:szCs w:val="24"/>
          <w:lang w:eastAsia="en-IN"/>
          <w14:ligatures w14:val="none"/>
        </w:rPr>
        <w:t>industries .</w:t>
      </w:r>
      <w:proofErr w:type="gramEnd"/>
    </w:p>
    <w:p w14:paraId="5E6F40DB"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Catalysis: In chemical synthesis, DES can act as both solvent and catalyst, facilitating various reactions while providing a more environmentally friendly alternative to traditional catalytic systems. Their unique properties allow for improved reaction rates and yields in organic </w:t>
      </w:r>
      <w:proofErr w:type="gramStart"/>
      <w:r w:rsidRPr="00CE2FA6">
        <w:rPr>
          <w:rFonts w:ascii="Times New Roman" w:eastAsia="Times New Roman" w:hAnsi="Times New Roman" w:cs="Times New Roman"/>
          <w:color w:val="7030A0"/>
          <w:kern w:val="0"/>
          <w:sz w:val="24"/>
          <w:szCs w:val="24"/>
          <w:lang w:eastAsia="en-IN"/>
          <w14:ligatures w14:val="none"/>
        </w:rPr>
        <w:t>synthesis .</w:t>
      </w:r>
      <w:proofErr w:type="gramEnd"/>
    </w:p>
    <w:p w14:paraId="6D1809AB"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Electrochemistry: The ionic nature of some DES makes them suitable for use in electrochemical applications, including battery electrolytes and fuel cells. Their high ionic conductivity enhances performance in these systems compared to conventional </w:t>
      </w:r>
      <w:proofErr w:type="gramStart"/>
      <w:r w:rsidRPr="00CE2FA6">
        <w:rPr>
          <w:rFonts w:ascii="Times New Roman" w:eastAsia="Times New Roman" w:hAnsi="Times New Roman" w:cs="Times New Roman"/>
          <w:color w:val="7030A0"/>
          <w:kern w:val="0"/>
          <w:sz w:val="24"/>
          <w:szCs w:val="24"/>
          <w:lang w:eastAsia="en-IN"/>
          <w14:ligatures w14:val="none"/>
        </w:rPr>
        <w:t>electrolytes .</w:t>
      </w:r>
      <w:proofErr w:type="gramEnd"/>
    </w:p>
    <w:p w14:paraId="4E37C57A"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5. Tailor-Made Properties</w:t>
      </w:r>
    </w:p>
    <w:p w14:paraId="4C9FC9F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The ability to customize deep eutectic solvents is a significant advantage that enhances their applicability:</w:t>
      </w:r>
    </w:p>
    <w:p w14:paraId="2912D641"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Tunable Physicochemical Properties: By varying the composition of the components used to create a DES, researchers can tailor its properties such as viscosity, density, polarity, and thermal stability. This tunability allows for the optimization of DES for specific applications or </w:t>
      </w:r>
      <w:proofErr w:type="gramStart"/>
      <w:r w:rsidRPr="00CE2FA6">
        <w:rPr>
          <w:rFonts w:ascii="Times New Roman" w:eastAsia="Times New Roman" w:hAnsi="Times New Roman" w:cs="Times New Roman"/>
          <w:color w:val="7030A0"/>
          <w:kern w:val="0"/>
          <w:sz w:val="24"/>
          <w:szCs w:val="24"/>
          <w:lang w:eastAsia="en-IN"/>
          <w14:ligatures w14:val="none"/>
        </w:rPr>
        <w:t>processes .</w:t>
      </w:r>
      <w:proofErr w:type="gramEnd"/>
    </w:p>
    <w:p w14:paraId="52B23BD3"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 xml:space="preserve">Phase Behavior Control: The phase behavior of DES can be manipulated by adjusting temperature or water content, allowing for fine-tuning during processes like extraction or </w:t>
      </w:r>
      <w:proofErr w:type="gramStart"/>
      <w:r w:rsidRPr="00CE2FA6">
        <w:rPr>
          <w:rFonts w:ascii="Times New Roman" w:eastAsia="Times New Roman" w:hAnsi="Times New Roman" w:cs="Times New Roman"/>
          <w:color w:val="7030A0"/>
          <w:kern w:val="0"/>
          <w:sz w:val="24"/>
          <w:szCs w:val="24"/>
          <w:lang w:eastAsia="en-IN"/>
          <w14:ligatures w14:val="none"/>
        </w:rPr>
        <w:t>separation .</w:t>
      </w:r>
      <w:proofErr w:type="gramEnd"/>
      <w:r w:rsidRPr="00CE2FA6">
        <w:rPr>
          <w:rFonts w:ascii="Times New Roman" w:eastAsia="Times New Roman" w:hAnsi="Times New Roman" w:cs="Times New Roman"/>
          <w:color w:val="7030A0"/>
          <w:kern w:val="0"/>
          <w:sz w:val="24"/>
          <w:szCs w:val="24"/>
          <w:lang w:eastAsia="en-IN"/>
          <w14:ligatures w14:val="none"/>
        </w:rPr>
        <w:t xml:space="preserve"> This control over phase behavior is critical for achieving desired results in various chemical processes.</w:t>
      </w:r>
    </w:p>
    <w:p w14:paraId="1AAE010B"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Conclusion</w:t>
      </w:r>
    </w:p>
    <w:p w14:paraId="3E459BB7" w14:textId="206AD259" w:rsidR="00CE2FA6" w:rsidRDefault="00CE2FA6" w:rsidP="00CE2FA6">
      <w:pPr>
        <w:spacing w:before="100" w:beforeAutospacing="1" w:after="100" w:afterAutospacing="1" w:line="360" w:lineRule="auto"/>
        <w:jc w:val="both"/>
        <w:rPr>
          <w:rFonts w:ascii="Times New Roman" w:eastAsia="Times New Roman" w:hAnsi="Times New Roman" w:cs="Times New Roman"/>
          <w:color w:val="7030A0"/>
          <w:kern w:val="0"/>
          <w:sz w:val="24"/>
          <w:szCs w:val="24"/>
          <w:lang w:eastAsia="en-IN"/>
          <w14:ligatures w14:val="none"/>
        </w:rPr>
      </w:pPr>
      <w:r w:rsidRPr="00CE2FA6">
        <w:rPr>
          <w:rFonts w:ascii="Times New Roman" w:eastAsia="Times New Roman" w:hAnsi="Times New Roman" w:cs="Times New Roman"/>
          <w:color w:val="7030A0"/>
          <w:kern w:val="0"/>
          <w:sz w:val="24"/>
          <w:szCs w:val="24"/>
          <w:lang w:eastAsia="en-IN"/>
          <w14:ligatures w14:val="none"/>
        </w:rPr>
        <w:t>Deep eutectic solvents represent a transformative approach within green chemistry due to their numerous benefits encompassing environmental sustainability, efficiency in gas capture, cost-effectiveness, versatility across applications, and customizable properties. As research continues to explore and expand the potential uses of DES, they are likely to play an increasingly important role in developing sustainable solutions across various industries. Their ability to replace traditional solvents with greener alternatives positions them as key players in addressing environmental challenges while maintaining economic viability.</w:t>
      </w:r>
    </w:p>
    <w:p w14:paraId="6C3D8E0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Applications in Greenhouse Gas Management</w:t>
      </w:r>
    </w:p>
    <w:p w14:paraId="107D9143"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Deep eutectic solvents have shown great potential in addressing the pressing issue of greenhouse gas emissions, particularly in the capture and utilization of carbon dioxide (CO₂) and methane (CH₄). Their unique properties make them suitable for various applications in greenhouse gas management.</w:t>
      </w:r>
    </w:p>
    <w:p w14:paraId="3C3A632C"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Carbon Dioxide Capture</w:t>
      </w:r>
    </w:p>
    <w:p w14:paraId="26FB72CA"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One of the most promising applications of deep eutectic solvents is in the field of carbon dioxide capture. DES can selectively absorb CO₂ from industrial emissions, such as those from power plants, cement factories, and steel mills, contributing to the mitigation of climate change.</w:t>
      </w:r>
    </w:p>
    <w:p w14:paraId="176F872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 xml:space="preserve">The absorption mechanism of CO₂ in DES typically involves the formation of carbamate, carbonate, or bicarbonate species, depending on the specific components of the solvent. For example, DES formed by combining </w:t>
      </w:r>
      <w:proofErr w:type="spellStart"/>
      <w:r w:rsidRPr="00CE2FA6">
        <w:rPr>
          <w:rFonts w:ascii="Times New Roman" w:eastAsia="Times New Roman" w:hAnsi="Times New Roman" w:cs="Times New Roman"/>
          <w:color w:val="00B050"/>
          <w:kern w:val="0"/>
          <w:sz w:val="24"/>
          <w:szCs w:val="24"/>
          <w:lang w:eastAsia="en-IN"/>
          <w14:ligatures w14:val="none"/>
        </w:rPr>
        <w:t>monoethanolamine</w:t>
      </w:r>
      <w:proofErr w:type="spellEnd"/>
      <w:r w:rsidRPr="00CE2FA6">
        <w:rPr>
          <w:rFonts w:ascii="Times New Roman" w:eastAsia="Times New Roman" w:hAnsi="Times New Roman" w:cs="Times New Roman"/>
          <w:color w:val="00B050"/>
          <w:kern w:val="0"/>
          <w:sz w:val="24"/>
          <w:szCs w:val="24"/>
          <w:lang w:eastAsia="en-IN"/>
          <w14:ligatures w14:val="none"/>
        </w:rPr>
        <w:t xml:space="preserve"> (MEA) and imidazole (</w:t>
      </w:r>
      <w:proofErr w:type="spellStart"/>
      <w:r w:rsidRPr="00CE2FA6">
        <w:rPr>
          <w:rFonts w:ascii="Times New Roman" w:eastAsia="Times New Roman" w:hAnsi="Times New Roman" w:cs="Times New Roman"/>
          <w:color w:val="00B050"/>
          <w:kern w:val="0"/>
          <w:sz w:val="24"/>
          <w:szCs w:val="24"/>
          <w:lang w:eastAsia="en-IN"/>
          <w14:ligatures w14:val="none"/>
        </w:rPr>
        <w:t>Im</w:t>
      </w:r>
      <w:proofErr w:type="spellEnd"/>
      <w:r w:rsidRPr="00CE2FA6">
        <w:rPr>
          <w:rFonts w:ascii="Times New Roman" w:eastAsia="Times New Roman" w:hAnsi="Times New Roman" w:cs="Times New Roman"/>
          <w:color w:val="00B050"/>
          <w:kern w:val="0"/>
          <w:sz w:val="24"/>
          <w:szCs w:val="24"/>
          <w:lang w:eastAsia="en-IN"/>
          <w14:ligatures w14:val="none"/>
        </w:rPr>
        <w:t>) with ethylene glycol (EG) can absorb CO₂ through the formation of carbamate and carbonate species. The high affinity of DES for CO₂ is attributed to the presence of hydrogen bond donors and acceptors, which facilitate the interaction between the solvent and the gas.</w:t>
      </w:r>
    </w:p>
    <w:p w14:paraId="2C9FA50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 xml:space="preserve">Researchers have explored various strategies to enhance the CO₂ absorption capacity of DES, such as modifying the composition of the solvent or combining DES with other technologies like membrane separation or adsorption processes. For instance, a study by </w:t>
      </w:r>
      <w:proofErr w:type="spellStart"/>
      <w:r w:rsidRPr="00CE2FA6">
        <w:rPr>
          <w:rFonts w:ascii="Times New Roman" w:eastAsia="Times New Roman" w:hAnsi="Times New Roman" w:cs="Times New Roman"/>
          <w:color w:val="00B050"/>
          <w:kern w:val="0"/>
          <w:sz w:val="24"/>
          <w:szCs w:val="24"/>
          <w:lang w:eastAsia="en-IN"/>
          <w14:ligatures w14:val="none"/>
        </w:rPr>
        <w:t>Manafpour</w:t>
      </w:r>
      <w:proofErr w:type="spellEnd"/>
      <w:r w:rsidRPr="00CE2FA6">
        <w:rPr>
          <w:rFonts w:ascii="Times New Roman" w:eastAsia="Times New Roman" w:hAnsi="Times New Roman" w:cs="Times New Roman"/>
          <w:color w:val="00B050"/>
          <w:kern w:val="0"/>
          <w:sz w:val="24"/>
          <w:szCs w:val="24"/>
          <w:lang w:eastAsia="en-IN"/>
          <w14:ligatures w14:val="none"/>
        </w:rPr>
        <w:t xml:space="preserve"> et al. (2024) reported the development of an environmentally friendly DES composed of </w:t>
      </w:r>
      <w:proofErr w:type="spellStart"/>
      <w:r w:rsidRPr="00CE2FA6">
        <w:rPr>
          <w:rFonts w:ascii="Times New Roman" w:eastAsia="Times New Roman" w:hAnsi="Times New Roman" w:cs="Times New Roman"/>
          <w:color w:val="00B050"/>
          <w:kern w:val="0"/>
          <w:sz w:val="24"/>
          <w:szCs w:val="24"/>
          <w:lang w:eastAsia="en-IN"/>
          <w14:ligatures w14:val="none"/>
        </w:rPr>
        <w:t>tetrapropylammonium</w:t>
      </w:r>
      <w:proofErr w:type="spellEnd"/>
      <w:r w:rsidRPr="00CE2FA6">
        <w:rPr>
          <w:rFonts w:ascii="Times New Roman" w:eastAsia="Times New Roman" w:hAnsi="Times New Roman" w:cs="Times New Roman"/>
          <w:color w:val="00B050"/>
          <w:kern w:val="0"/>
          <w:sz w:val="24"/>
          <w:szCs w:val="24"/>
          <w:lang w:eastAsia="en-IN"/>
          <w14:ligatures w14:val="none"/>
        </w:rPr>
        <w:t xml:space="preserve"> bromide (TPAB) and formic acid (Fa) for efficient CO₂ capture. The DES exhibited high CO₂ solubility at different temperatures and molar ratios, with the TPAB-Fa (1:2) showing the highest absorption capacity.</w:t>
      </w:r>
    </w:p>
    <w:p w14:paraId="0389CAB1"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 xml:space="preserve">The regeneration and reusability of DES in CO₂ capture processes are crucial factors for their practical application. Studies have demonstrated the feasibility of regenerating DES through pressure reduction or temperature increase, with high desorption efficiencies achieved at relatively low temperatures compared to conventional solvents. For example, </w:t>
      </w:r>
      <w:proofErr w:type="spellStart"/>
      <w:r w:rsidRPr="00CE2FA6">
        <w:rPr>
          <w:rFonts w:ascii="Times New Roman" w:eastAsia="Times New Roman" w:hAnsi="Times New Roman" w:cs="Times New Roman"/>
          <w:color w:val="00B050"/>
          <w:kern w:val="0"/>
          <w:sz w:val="24"/>
          <w:szCs w:val="24"/>
          <w:lang w:eastAsia="en-IN"/>
          <w14:ligatures w14:val="none"/>
        </w:rPr>
        <w:t>Manafpour</w:t>
      </w:r>
      <w:proofErr w:type="spellEnd"/>
      <w:r w:rsidRPr="00CE2FA6">
        <w:rPr>
          <w:rFonts w:ascii="Times New Roman" w:eastAsia="Times New Roman" w:hAnsi="Times New Roman" w:cs="Times New Roman"/>
          <w:color w:val="00B050"/>
          <w:kern w:val="0"/>
          <w:sz w:val="24"/>
          <w:szCs w:val="24"/>
          <w:lang w:eastAsia="en-IN"/>
          <w14:ligatures w14:val="none"/>
        </w:rPr>
        <w:t xml:space="preserve"> et al. (2024) reported that the TPAB-Fa (1:2) DES reached high desorption efficiency at approximately vacuum pressure and a temperature of 65°C, which is considerably lower than other studies.</w:t>
      </w:r>
    </w:p>
    <w:p w14:paraId="5831AC09"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Methane Recovery</w:t>
      </w:r>
    </w:p>
    <w:p w14:paraId="04A1B6E8"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In addition to CO₂ capture, deep eutectic solvents can also be employed in the recovery of methane from biogas. Biogas, which is produced through the anaerobic digestion of organic matter, typically contains a mixture of methane and carbon dioxide. The selective absorption of CO₂ by DES allows for the enrichment of methane, making it suitable for use as a renewable energy source.</w:t>
      </w:r>
    </w:p>
    <w:p w14:paraId="4AF28965"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The recovery of methane from biogas using DES involves the selective absorption of CO₂, leaving behind a methane-rich stream. This process contributes to the utilization of renewable energy resources and reduces the environmental impact of biogas production.</w:t>
      </w:r>
    </w:p>
    <w:p w14:paraId="558DBA7C"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Integration with Renewable Energy</w:t>
      </w:r>
    </w:p>
    <w:p w14:paraId="39381C3C"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Deep eutectic solvents can be integrated with renewable energy sources to create sustainable energy cycles. For example, DES systems can be coupled with solar thermal energy or waste heat from industrial processes to provide the necessary heat for regeneration during CO₂ desorption.</w:t>
      </w:r>
    </w:p>
    <w:p w14:paraId="38A006EF"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The integration of DES with renewable energy sources not only enhances the efficiency of greenhouse gas management but also promotes the development of sustainable energy systems. By utilizing waste heat or renewable energy for the regeneration of DES, the overall energy consumption and carbon footprint of the process can be reduced.</w:t>
      </w:r>
    </w:p>
    <w:p w14:paraId="6E36D032"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Economic and Environmental Benefits</w:t>
      </w:r>
    </w:p>
    <w:p w14:paraId="47DDF20B"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The use of deep eutectic solvents in greenhouse gas management offers several economic and environmental benefits. DES are often derived from natural and renewable sources, making them more environmentally friendly compared to traditional solvents. Additionally, the relatively low cost of raw materials and the simplicity of the synthesis process contribute to the cost-effectiveness of DES-based technologies.</w:t>
      </w:r>
    </w:p>
    <w:p w14:paraId="289B6EC8"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The high efficiency and selectivity of DES in capturing greenhouse gases can lead to significant reductions in emissions, contributing to the mitigation of climate change. Moreover, the integration of DES with renewable energy sources promotes the development of sustainable energy systems, further enhancing the environmental benefits of these technologies.</w:t>
      </w:r>
    </w:p>
    <w:p w14:paraId="6DF5BFE0"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Challenges and Future Prospects</w:t>
      </w:r>
    </w:p>
    <w:p w14:paraId="07CEF0AF"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Despite the promising applications of deep eutectic solvents in greenhouse gas management, there are still challenges that need to be addressed. One of the main challenges is the optimization of DES composition for specific applications, as the performance of the solvent can vary depending on the choice of components and their molar ratios.</w:t>
      </w:r>
    </w:p>
    <w:p w14:paraId="28F42A3D"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Another challenge is the scale-up of DES-based technologies from laboratory to industrial scale. While DES have shown promising results in small-scale experiments, the feasibility and economic viability of large-scale applications need to be further investigated.</w:t>
      </w:r>
    </w:p>
    <w:p w14:paraId="3A0536A2" w14:textId="77777777"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color w:val="00B050"/>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Future research should focus on developing more efficient and selective DES for greenhouse gas capture, as well as exploring new applications and integration strategies with renewable energy sources. Additionally, the long-term stability and reusability of DES in industrial processes need to be assessed to ensure their sustainability and cost-effectiveness.</w:t>
      </w:r>
    </w:p>
    <w:p w14:paraId="27153186" w14:textId="750DC1D6" w:rsidR="00CE2FA6" w:rsidRPr="00CE2FA6" w:rsidRDefault="00CE2FA6" w:rsidP="00CE2FA6">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CE2FA6">
        <w:rPr>
          <w:rFonts w:ascii="Times New Roman" w:eastAsia="Times New Roman" w:hAnsi="Times New Roman" w:cs="Times New Roman"/>
          <w:color w:val="00B050"/>
          <w:kern w:val="0"/>
          <w:sz w:val="24"/>
          <w:szCs w:val="24"/>
          <w:lang w:eastAsia="en-IN"/>
          <w14:ligatures w14:val="none"/>
        </w:rPr>
        <w:t xml:space="preserve">In conclusion, deep eutectic solvents have great potential in addressing the challenge of greenhouse gas emissions through their application in carbon dioxide capture and methane recovery. Their unique properties, such as high absorption capacity, selectivity, and </w:t>
      </w:r>
      <w:proofErr w:type="spellStart"/>
      <w:r w:rsidRPr="00CE2FA6">
        <w:rPr>
          <w:rFonts w:ascii="Times New Roman" w:eastAsia="Times New Roman" w:hAnsi="Times New Roman" w:cs="Times New Roman"/>
          <w:color w:val="00B050"/>
          <w:kern w:val="0"/>
          <w:sz w:val="24"/>
          <w:szCs w:val="24"/>
          <w:lang w:eastAsia="en-IN"/>
          <w14:ligatures w14:val="none"/>
        </w:rPr>
        <w:t>regenerability</w:t>
      </w:r>
      <w:proofErr w:type="spellEnd"/>
      <w:r w:rsidRPr="00CE2FA6">
        <w:rPr>
          <w:rFonts w:ascii="Times New Roman" w:eastAsia="Times New Roman" w:hAnsi="Times New Roman" w:cs="Times New Roman"/>
          <w:color w:val="00B050"/>
          <w:kern w:val="0"/>
          <w:sz w:val="24"/>
          <w:szCs w:val="24"/>
          <w:lang w:eastAsia="en-IN"/>
          <w14:ligatures w14:val="none"/>
        </w:rPr>
        <w:t>, make them attractive alternatives to traditional solvents. The integration of DES with renewable energy sources further enhances their sustainability and environmental benefits. As research continues to advance in this field, deep eutectic solvents are poised to play a significant role in the development of sustainable greenhouse gas management strategies.</w:t>
      </w:r>
    </w:p>
    <w:p w14:paraId="4F2211C8"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3. Applications in Gas Capture</w:t>
      </w:r>
    </w:p>
    <w:p w14:paraId="6910F800"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 xml:space="preserve">The application of Deep Eutectic Solvents (DESs) in gas capture has garnered significant attention due to their eco-friendly nature, tunable physical properties, and cost-effectiveness compared to traditional solvents. DESs are emerging as the next generation of solvents for capturing harmful gases, including carbon dioxide (CO2), </w:t>
      </w:r>
      <w:proofErr w:type="spellStart"/>
      <w:r w:rsidRPr="007A6CC5">
        <w:rPr>
          <w:rFonts w:ascii="Times New Roman" w:eastAsia="Times New Roman" w:hAnsi="Times New Roman" w:cs="Times New Roman"/>
          <w:b/>
          <w:bCs/>
          <w:color w:val="FF0000"/>
          <w:kern w:val="0"/>
          <w:sz w:val="24"/>
          <w:szCs w:val="24"/>
          <w:lang w:eastAsia="en-IN"/>
          <w14:ligatures w14:val="none"/>
        </w:rPr>
        <w:t>sulfur</w:t>
      </w:r>
      <w:proofErr w:type="spellEnd"/>
      <w:r w:rsidRPr="007A6CC5">
        <w:rPr>
          <w:rFonts w:ascii="Times New Roman" w:eastAsia="Times New Roman" w:hAnsi="Times New Roman" w:cs="Times New Roman"/>
          <w:b/>
          <w:bCs/>
          <w:color w:val="FF0000"/>
          <w:kern w:val="0"/>
          <w:sz w:val="24"/>
          <w:szCs w:val="24"/>
          <w:lang w:eastAsia="en-IN"/>
          <w14:ligatures w14:val="none"/>
        </w:rPr>
        <w:t xml:space="preserve"> dioxide (SO2), and hydrogen sulfide (H2S), from industrial emissions. Their application promises to mitigate the environmental impact of greenhouse gases and acid-forming gases. This section reviews the role of DESs in capturing these key gases, focusing on their mechanisms, effectiveness, and potential for industrial scaling.</w:t>
      </w:r>
    </w:p>
    <w:p w14:paraId="4B0709BE"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680D8D85"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3.1. CO2 Capture</w:t>
      </w:r>
    </w:p>
    <w:p w14:paraId="6AFB1CCD"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 xml:space="preserve">Revolutionizing Carbon Sequestration: DESs in </w:t>
      </w:r>
      <w:proofErr w:type="gramStart"/>
      <w:r w:rsidRPr="007A6CC5">
        <w:rPr>
          <w:rFonts w:ascii="Times New Roman" w:eastAsia="Times New Roman" w:hAnsi="Times New Roman" w:cs="Times New Roman"/>
          <w:b/>
          <w:bCs/>
          <w:color w:val="FF0000"/>
          <w:kern w:val="0"/>
          <w:sz w:val="24"/>
          <w:szCs w:val="24"/>
          <w:lang w:eastAsia="en-IN"/>
          <w14:ligatures w14:val="none"/>
        </w:rPr>
        <w:t>Post-Combustion</w:t>
      </w:r>
      <w:proofErr w:type="gramEnd"/>
      <w:r w:rsidRPr="007A6CC5">
        <w:rPr>
          <w:rFonts w:ascii="Times New Roman" w:eastAsia="Times New Roman" w:hAnsi="Times New Roman" w:cs="Times New Roman"/>
          <w:b/>
          <w:bCs/>
          <w:color w:val="FF0000"/>
          <w:kern w:val="0"/>
          <w:sz w:val="24"/>
          <w:szCs w:val="24"/>
          <w:lang w:eastAsia="en-IN"/>
          <w14:ligatures w14:val="none"/>
        </w:rPr>
        <w:t xml:space="preserve"> CO2 Capture</w:t>
      </w:r>
    </w:p>
    <w:p w14:paraId="3E8CDD7B"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Carbon dioxide (CO2) is one of the primary contributors to global warming, primarily emitted through fossil fuel combustion in power plants, vehicles, and various industrial processes. Capturing CO2 efficiently and economically is critical for reducing its atmospheric concentration and combating climate change. Traditional CO2 capture technologies, such as those using amines and ionic liquids, have been extensively explored, but they pose challenges, including high energy consumption, corrosivity, and regeneration inefficiencies.</w:t>
      </w:r>
    </w:p>
    <w:p w14:paraId="3D199F0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1AF5FC1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Deep Eutectic Solvents (DESs) offer an innovative solution to these challenges. Their unique ability to form eutectic mixtures at low temperatures with minimal environmental impact makes them ideal candidates for CO2 capture. The key advantage of DESs lies in their tunable properties: by adjusting the ratio of the hydrogen bond donor (HBD) and hydrogen bond acceptor (HBA), the solubility of CO2 can be optimized. Additionally, DESs are non-volatile, non-toxic, and biodegradable, making them suitable for large-scale industrial applications without causing secondary environmental pollution.</w:t>
      </w:r>
    </w:p>
    <w:p w14:paraId="69D43167"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0C7827B8"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 xml:space="preserve">Studies have demonstrated that CO2 solubility in DESs depends on several factors, including temperature, pressure, and the specific HBA-HBD combination. For instance, Altamash et al. [1] conducted experiments on DESs composed of choline chloride and phenylacetic acid at different molar ratios (1:2, 1:3, 1:4), finding that higher pressures and lower temperatures </w:t>
      </w:r>
      <w:proofErr w:type="spellStart"/>
      <w:r w:rsidRPr="007A6CC5">
        <w:rPr>
          <w:rFonts w:ascii="Times New Roman" w:eastAsia="Times New Roman" w:hAnsi="Times New Roman" w:cs="Times New Roman"/>
          <w:b/>
          <w:bCs/>
          <w:color w:val="FF0000"/>
          <w:kern w:val="0"/>
          <w:sz w:val="24"/>
          <w:szCs w:val="24"/>
          <w:lang w:eastAsia="en-IN"/>
          <w14:ligatures w14:val="none"/>
        </w:rPr>
        <w:t>favored</w:t>
      </w:r>
      <w:proofErr w:type="spellEnd"/>
      <w:r w:rsidRPr="007A6CC5">
        <w:rPr>
          <w:rFonts w:ascii="Times New Roman" w:eastAsia="Times New Roman" w:hAnsi="Times New Roman" w:cs="Times New Roman"/>
          <w:b/>
          <w:bCs/>
          <w:color w:val="FF0000"/>
          <w:kern w:val="0"/>
          <w:sz w:val="24"/>
          <w:szCs w:val="24"/>
          <w:lang w:eastAsia="en-IN"/>
          <w14:ligatures w14:val="none"/>
        </w:rPr>
        <w:t xml:space="preserve"> increased CO2 absorption. The study reported that DESs with a molar ratio of 1:3 exhibited better performance than 1:2 or 1:4, indicating the critical role of molar ratios in tuning CO2 solubility.</w:t>
      </w:r>
    </w:p>
    <w:p w14:paraId="7898758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0BE12139"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Another promising aspect of DESs for CO2 capture is their low viscosity compared to ionic liquids, which facilitates better mass transfer and absorption kinetics. Betaine-based DESs (Betaine-Lactic Acid, Betaine-Malic Acid) have been particularly effective in CO2 absorption due to their lower viscosity and high solubility. According to Zhang et al. [2], Betaine-Lactic Acid (1:1) and Betaine-Malic Acid (1:1) DESs achieved maximum CO2 uptakes of 4.4 mmol/g and 3.5 mmol/g, respectively, at 298.15 K and 50 bar.</w:t>
      </w:r>
    </w:p>
    <w:p w14:paraId="56C43A48"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40FCCD4C"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The cyclic nature of DES-based CO2 capture also offers significant benefits. DESs can be regenerated through moderate temperature or pressure adjustments, making them highly suitable for repeated use. This cyclic capability is crucial for reducing operational costs in industrial-scale applications.</w:t>
      </w:r>
    </w:p>
    <w:p w14:paraId="3D5CC117"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2A685916"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Challenges in CO2 Capture: Despite the promising results, there are challenges to overcome, including the need for further optimization of DES formulations to improve CO2 capture efficiency. High viscosities in certain DES formulations can inhibit mass transfer, limiting their performance. However, ongoing research is focused on identifying DES mixtures with lower viscosities while maintaining high CO2 solubility.</w:t>
      </w:r>
    </w:p>
    <w:p w14:paraId="002E70A5"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10A420A4"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The Role of Temperature, Pressure, and Molar Ratios in CO2 Absorption by DESs</w:t>
      </w:r>
    </w:p>
    <w:p w14:paraId="0384FDFD"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 xml:space="preserve">One of the most important variables in CO2 capture using DESs is temperature. Studies consistently show that lower temperatures </w:t>
      </w:r>
      <w:proofErr w:type="spellStart"/>
      <w:r w:rsidRPr="007A6CC5">
        <w:rPr>
          <w:rFonts w:ascii="Times New Roman" w:eastAsia="Times New Roman" w:hAnsi="Times New Roman" w:cs="Times New Roman"/>
          <w:b/>
          <w:bCs/>
          <w:color w:val="FF0000"/>
          <w:kern w:val="0"/>
          <w:sz w:val="24"/>
          <w:szCs w:val="24"/>
          <w:lang w:eastAsia="en-IN"/>
          <w14:ligatures w14:val="none"/>
        </w:rPr>
        <w:t>favor</w:t>
      </w:r>
      <w:proofErr w:type="spellEnd"/>
      <w:r w:rsidRPr="007A6CC5">
        <w:rPr>
          <w:rFonts w:ascii="Times New Roman" w:eastAsia="Times New Roman" w:hAnsi="Times New Roman" w:cs="Times New Roman"/>
          <w:b/>
          <w:bCs/>
          <w:color w:val="FF0000"/>
          <w:kern w:val="0"/>
          <w:sz w:val="24"/>
          <w:szCs w:val="24"/>
          <w:lang w:eastAsia="en-IN"/>
          <w14:ligatures w14:val="none"/>
        </w:rPr>
        <w:t xml:space="preserve"> CO2 solubility in DESs, as observed in both laboratory and pilot-scale investigations. However, the challenge arises when industrial applications demand higher temperature conditions, which typically reduce the solubility of CO2 in DESs. Therefore, researchers are investigating DESs that can operate efficiently under a wider range of temperatures.</w:t>
      </w:r>
    </w:p>
    <w:p w14:paraId="20107C8E"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33870E9D" w14:textId="77777777" w:rsid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Pressure also plays a crucial role in gas capture efficiency. Higher pressures increase the CO2 solubility in DESs, making them highly effective for post-combustion capture where pressures can be controlled. The impact of pressure has been well documented, and studies suggest that adjusting the molar ratios of the DES components further enhances performance under varying pressure conditions.</w:t>
      </w:r>
    </w:p>
    <w:tbl>
      <w:tblPr>
        <w:tblStyle w:val="TableGrid"/>
        <w:tblW w:w="0" w:type="auto"/>
        <w:tblLook w:val="04A0" w:firstRow="1" w:lastRow="0" w:firstColumn="1" w:lastColumn="0" w:noHBand="0" w:noVBand="1"/>
      </w:tblPr>
      <w:tblGrid>
        <w:gridCol w:w="9016"/>
      </w:tblGrid>
      <w:tr w:rsidR="00404239" w:rsidRPr="00404239" w14:paraId="235FA758" w14:textId="77777777" w:rsidTr="00404239">
        <w:tc>
          <w:tcPr>
            <w:tcW w:w="9016" w:type="dxa"/>
          </w:tcPr>
          <w:p w14:paraId="0E851ABE" w14:textId="77777777" w:rsidR="00404239" w:rsidRPr="00404239" w:rsidRDefault="00404239" w:rsidP="00727948">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404239">
              <w:rPr>
                <w:rFonts w:ascii="Times New Roman" w:eastAsia="Times New Roman" w:hAnsi="Times New Roman" w:cs="Times New Roman"/>
                <w:b/>
                <w:bCs/>
                <w:kern w:val="0"/>
                <w:sz w:val="27"/>
                <w:szCs w:val="27"/>
                <w:lang w:eastAsia="en-IN"/>
                <w14:ligatures w14:val="none"/>
              </w:rPr>
              <w:t>Table 1: CO2 Solubility in Various Deep Eutectic Solvents (DESs)</w:t>
            </w:r>
          </w:p>
        </w:tc>
      </w:tr>
      <w:tr w:rsidR="00404239" w14:paraId="521B2A6C" w14:textId="77777777" w:rsidTr="00404239">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gridCol w:w="1074"/>
              <w:gridCol w:w="1539"/>
              <w:gridCol w:w="1122"/>
              <w:gridCol w:w="1566"/>
              <w:gridCol w:w="1428"/>
            </w:tblGrid>
            <w:tr w:rsidR="00404239" w:rsidRPr="00404239" w14:paraId="303E3EF1" w14:textId="77777777" w:rsidTr="00727948">
              <w:trPr>
                <w:tblHeader/>
                <w:tblCellSpacing w:w="15" w:type="dxa"/>
              </w:trPr>
              <w:tc>
                <w:tcPr>
                  <w:tcW w:w="0" w:type="auto"/>
                  <w:vAlign w:val="center"/>
                  <w:hideMark/>
                </w:tcPr>
                <w:p w14:paraId="27A396EA"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DES Composition</w:t>
                  </w:r>
                </w:p>
              </w:tc>
              <w:tc>
                <w:tcPr>
                  <w:tcW w:w="0" w:type="auto"/>
                  <w:vAlign w:val="center"/>
                  <w:hideMark/>
                </w:tcPr>
                <w:p w14:paraId="49E14E79"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Molar Ratio (HBA</w:t>
                  </w:r>
                </w:p>
                <w:p w14:paraId="638C4C06" w14:textId="77777777" w:rsidR="00404239" w:rsidRPr="00404239" w:rsidRDefault="00404239" w:rsidP="00727948">
                  <w:pPr>
                    <w:spacing w:after="0" w:line="240" w:lineRule="auto"/>
                    <w:jc w:val="center"/>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w:t>
                  </w:r>
                </w:p>
              </w:tc>
              <w:tc>
                <w:tcPr>
                  <w:tcW w:w="0" w:type="auto"/>
                  <w:vAlign w:val="center"/>
                  <w:hideMark/>
                </w:tcPr>
                <w:p w14:paraId="184D7ABE"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Temperature (K)</w:t>
                  </w:r>
                </w:p>
              </w:tc>
              <w:tc>
                <w:tcPr>
                  <w:tcW w:w="0" w:type="auto"/>
                  <w:vAlign w:val="center"/>
                  <w:hideMark/>
                </w:tcPr>
                <w:p w14:paraId="6F6A8876"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Pressure (bar)</w:t>
                  </w:r>
                </w:p>
              </w:tc>
              <w:tc>
                <w:tcPr>
                  <w:tcW w:w="0" w:type="auto"/>
                  <w:vAlign w:val="center"/>
                  <w:hideMark/>
                </w:tcPr>
                <w:p w14:paraId="650214F8"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CO2 Uptake (mmol CO2/g DES)</w:t>
                  </w:r>
                </w:p>
              </w:tc>
              <w:tc>
                <w:tcPr>
                  <w:tcW w:w="0" w:type="auto"/>
                  <w:vAlign w:val="center"/>
                  <w:hideMark/>
                </w:tcPr>
                <w:p w14:paraId="1BEB62E9" w14:textId="77777777" w:rsidR="00404239" w:rsidRPr="00404239" w:rsidRDefault="00404239" w:rsidP="00727948">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Reference</w:t>
                  </w:r>
                </w:p>
              </w:tc>
            </w:tr>
            <w:tr w:rsidR="00404239" w:rsidRPr="00404239" w14:paraId="376ED0F4" w14:textId="77777777" w:rsidTr="00727948">
              <w:trPr>
                <w:tblCellSpacing w:w="15" w:type="dxa"/>
              </w:trPr>
              <w:tc>
                <w:tcPr>
                  <w:tcW w:w="0" w:type="auto"/>
                  <w:vAlign w:val="center"/>
                  <w:hideMark/>
                </w:tcPr>
                <w:p w14:paraId="5F01632A"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Choline Chloride + Phenylacetic Acid</w:t>
                  </w:r>
                </w:p>
              </w:tc>
              <w:tc>
                <w:tcPr>
                  <w:tcW w:w="0" w:type="auto"/>
                  <w:vAlign w:val="center"/>
                  <w:hideMark/>
                </w:tcPr>
                <w:p w14:paraId="53462443"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1:3</w:t>
                  </w:r>
                </w:p>
              </w:tc>
              <w:tc>
                <w:tcPr>
                  <w:tcW w:w="0" w:type="auto"/>
                  <w:vAlign w:val="center"/>
                  <w:hideMark/>
                </w:tcPr>
                <w:p w14:paraId="44EA0EA8"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298.15</w:t>
                  </w:r>
                </w:p>
              </w:tc>
              <w:tc>
                <w:tcPr>
                  <w:tcW w:w="0" w:type="auto"/>
                  <w:vAlign w:val="center"/>
                  <w:hideMark/>
                </w:tcPr>
                <w:p w14:paraId="62412795"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50</w:t>
                  </w:r>
                </w:p>
              </w:tc>
              <w:tc>
                <w:tcPr>
                  <w:tcW w:w="0" w:type="auto"/>
                  <w:vAlign w:val="center"/>
                  <w:hideMark/>
                </w:tcPr>
                <w:p w14:paraId="78987630"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3.8</w:t>
                  </w:r>
                </w:p>
              </w:tc>
              <w:tc>
                <w:tcPr>
                  <w:tcW w:w="0" w:type="auto"/>
                  <w:vAlign w:val="center"/>
                  <w:hideMark/>
                </w:tcPr>
                <w:p w14:paraId="0BFB0155"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Altamash et al. (2019)</w:t>
                  </w:r>
                </w:p>
              </w:tc>
            </w:tr>
            <w:tr w:rsidR="00404239" w:rsidRPr="00404239" w14:paraId="6AD6872D" w14:textId="77777777" w:rsidTr="00727948">
              <w:trPr>
                <w:tblCellSpacing w:w="15" w:type="dxa"/>
              </w:trPr>
              <w:tc>
                <w:tcPr>
                  <w:tcW w:w="0" w:type="auto"/>
                  <w:vAlign w:val="center"/>
                  <w:hideMark/>
                </w:tcPr>
                <w:p w14:paraId="3152E786"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Betaine + Lactic Acid</w:t>
                  </w:r>
                </w:p>
              </w:tc>
              <w:tc>
                <w:tcPr>
                  <w:tcW w:w="0" w:type="auto"/>
                  <w:vAlign w:val="center"/>
                  <w:hideMark/>
                </w:tcPr>
                <w:p w14:paraId="5488D313"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1:1</w:t>
                  </w:r>
                </w:p>
              </w:tc>
              <w:tc>
                <w:tcPr>
                  <w:tcW w:w="0" w:type="auto"/>
                  <w:vAlign w:val="center"/>
                  <w:hideMark/>
                </w:tcPr>
                <w:p w14:paraId="2016601D"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298.15</w:t>
                  </w:r>
                </w:p>
              </w:tc>
              <w:tc>
                <w:tcPr>
                  <w:tcW w:w="0" w:type="auto"/>
                  <w:vAlign w:val="center"/>
                  <w:hideMark/>
                </w:tcPr>
                <w:p w14:paraId="1571F4B5"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50</w:t>
                  </w:r>
                </w:p>
              </w:tc>
              <w:tc>
                <w:tcPr>
                  <w:tcW w:w="0" w:type="auto"/>
                  <w:vAlign w:val="center"/>
                  <w:hideMark/>
                </w:tcPr>
                <w:p w14:paraId="4FC571C2"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4.4</w:t>
                  </w:r>
                </w:p>
              </w:tc>
              <w:tc>
                <w:tcPr>
                  <w:tcW w:w="0" w:type="auto"/>
                  <w:vAlign w:val="center"/>
                  <w:hideMark/>
                </w:tcPr>
                <w:p w14:paraId="64AA0D8B"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Zhang et al. (2024)</w:t>
                  </w:r>
                </w:p>
              </w:tc>
            </w:tr>
            <w:tr w:rsidR="00404239" w:rsidRPr="00404239" w14:paraId="1DD688B1" w14:textId="77777777" w:rsidTr="00727948">
              <w:trPr>
                <w:tblCellSpacing w:w="15" w:type="dxa"/>
              </w:trPr>
              <w:tc>
                <w:tcPr>
                  <w:tcW w:w="0" w:type="auto"/>
                  <w:vAlign w:val="center"/>
                  <w:hideMark/>
                </w:tcPr>
                <w:p w14:paraId="430CC8F3"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Betaine + Malic Acid</w:t>
                  </w:r>
                </w:p>
              </w:tc>
              <w:tc>
                <w:tcPr>
                  <w:tcW w:w="0" w:type="auto"/>
                  <w:vAlign w:val="center"/>
                  <w:hideMark/>
                </w:tcPr>
                <w:p w14:paraId="5C85F901"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1:1</w:t>
                  </w:r>
                </w:p>
              </w:tc>
              <w:tc>
                <w:tcPr>
                  <w:tcW w:w="0" w:type="auto"/>
                  <w:vAlign w:val="center"/>
                  <w:hideMark/>
                </w:tcPr>
                <w:p w14:paraId="1AAE7654"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318.15</w:t>
                  </w:r>
                </w:p>
              </w:tc>
              <w:tc>
                <w:tcPr>
                  <w:tcW w:w="0" w:type="auto"/>
                  <w:vAlign w:val="center"/>
                  <w:hideMark/>
                </w:tcPr>
                <w:p w14:paraId="31FE3BA0"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50</w:t>
                  </w:r>
                </w:p>
              </w:tc>
              <w:tc>
                <w:tcPr>
                  <w:tcW w:w="0" w:type="auto"/>
                  <w:vAlign w:val="center"/>
                  <w:hideMark/>
                </w:tcPr>
                <w:p w14:paraId="01422B11"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3.5</w:t>
                  </w:r>
                </w:p>
              </w:tc>
              <w:tc>
                <w:tcPr>
                  <w:tcW w:w="0" w:type="auto"/>
                  <w:vAlign w:val="center"/>
                  <w:hideMark/>
                </w:tcPr>
                <w:p w14:paraId="627AD8A8"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Zhang et al. (2024)</w:t>
                  </w:r>
                </w:p>
              </w:tc>
            </w:tr>
            <w:tr w:rsidR="00404239" w:rsidRPr="00404239" w14:paraId="1C9BBB42" w14:textId="77777777" w:rsidTr="00727948">
              <w:trPr>
                <w:tblCellSpacing w:w="15" w:type="dxa"/>
              </w:trPr>
              <w:tc>
                <w:tcPr>
                  <w:tcW w:w="0" w:type="auto"/>
                  <w:vAlign w:val="center"/>
                  <w:hideMark/>
                </w:tcPr>
                <w:p w14:paraId="4A469D35"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Choline Chloride + Urea</w:t>
                  </w:r>
                </w:p>
              </w:tc>
              <w:tc>
                <w:tcPr>
                  <w:tcW w:w="0" w:type="auto"/>
                  <w:vAlign w:val="center"/>
                  <w:hideMark/>
                </w:tcPr>
                <w:p w14:paraId="1209C8DB"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1:2</w:t>
                  </w:r>
                </w:p>
              </w:tc>
              <w:tc>
                <w:tcPr>
                  <w:tcW w:w="0" w:type="auto"/>
                  <w:vAlign w:val="center"/>
                  <w:hideMark/>
                </w:tcPr>
                <w:p w14:paraId="1C6B41CB"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298.15</w:t>
                  </w:r>
                </w:p>
              </w:tc>
              <w:tc>
                <w:tcPr>
                  <w:tcW w:w="0" w:type="auto"/>
                  <w:vAlign w:val="center"/>
                  <w:hideMark/>
                </w:tcPr>
                <w:p w14:paraId="59C7C01E"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40</w:t>
                  </w:r>
                </w:p>
              </w:tc>
              <w:tc>
                <w:tcPr>
                  <w:tcW w:w="0" w:type="auto"/>
                  <w:vAlign w:val="center"/>
                  <w:hideMark/>
                </w:tcPr>
                <w:p w14:paraId="5F2221A7"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2.9</w:t>
                  </w:r>
                </w:p>
              </w:tc>
              <w:tc>
                <w:tcPr>
                  <w:tcW w:w="0" w:type="auto"/>
                  <w:vAlign w:val="center"/>
                  <w:hideMark/>
                </w:tcPr>
                <w:p w14:paraId="3B71ECF1"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Deng et al. (2018)</w:t>
                  </w:r>
                </w:p>
              </w:tc>
            </w:tr>
            <w:tr w:rsidR="00404239" w:rsidRPr="00404239" w14:paraId="3E7FAD89" w14:textId="77777777" w:rsidTr="00727948">
              <w:trPr>
                <w:tblCellSpacing w:w="15" w:type="dxa"/>
              </w:trPr>
              <w:tc>
                <w:tcPr>
                  <w:tcW w:w="0" w:type="auto"/>
                  <w:vAlign w:val="center"/>
                  <w:hideMark/>
                </w:tcPr>
                <w:p w14:paraId="1D6BA76C"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Choline Chloride + Ethylene Glycol</w:t>
                  </w:r>
                </w:p>
              </w:tc>
              <w:tc>
                <w:tcPr>
                  <w:tcW w:w="0" w:type="auto"/>
                  <w:vAlign w:val="center"/>
                  <w:hideMark/>
                </w:tcPr>
                <w:p w14:paraId="4602A8E9"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1:4</w:t>
                  </w:r>
                </w:p>
              </w:tc>
              <w:tc>
                <w:tcPr>
                  <w:tcW w:w="0" w:type="auto"/>
                  <w:vAlign w:val="center"/>
                  <w:hideMark/>
                </w:tcPr>
                <w:p w14:paraId="6F16C1D7"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298.15</w:t>
                  </w:r>
                </w:p>
              </w:tc>
              <w:tc>
                <w:tcPr>
                  <w:tcW w:w="0" w:type="auto"/>
                  <w:vAlign w:val="center"/>
                  <w:hideMark/>
                </w:tcPr>
                <w:p w14:paraId="57175515"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30</w:t>
                  </w:r>
                </w:p>
              </w:tc>
              <w:tc>
                <w:tcPr>
                  <w:tcW w:w="0" w:type="auto"/>
                  <w:vAlign w:val="center"/>
                  <w:hideMark/>
                </w:tcPr>
                <w:p w14:paraId="3527E9C3"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2.6</w:t>
                  </w:r>
                </w:p>
              </w:tc>
              <w:tc>
                <w:tcPr>
                  <w:tcW w:w="0" w:type="auto"/>
                  <w:vAlign w:val="center"/>
                  <w:hideMark/>
                </w:tcPr>
                <w:p w14:paraId="573F9D3A" w14:textId="77777777" w:rsidR="00404239" w:rsidRPr="00404239" w:rsidRDefault="00404239" w:rsidP="00727948">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Guo et al. (2020)</w:t>
                  </w:r>
                </w:p>
              </w:tc>
            </w:tr>
          </w:tbl>
          <w:p w14:paraId="43313716" w14:textId="77777777" w:rsidR="00404239" w:rsidRDefault="00404239"/>
        </w:tc>
      </w:tr>
    </w:tbl>
    <w:p w14:paraId="5F485D79"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7636CCE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3.2. SO2 Removal</w:t>
      </w:r>
    </w:p>
    <w:p w14:paraId="2F5F09D1"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Battling Acid Rain: Efficient SO2 Capture with Deep Eutectic Solvents</w:t>
      </w:r>
    </w:p>
    <w:p w14:paraId="6C08596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roofErr w:type="spellStart"/>
      <w:r w:rsidRPr="007A6CC5">
        <w:rPr>
          <w:rFonts w:ascii="Times New Roman" w:eastAsia="Times New Roman" w:hAnsi="Times New Roman" w:cs="Times New Roman"/>
          <w:b/>
          <w:bCs/>
          <w:color w:val="FF0000"/>
          <w:kern w:val="0"/>
          <w:sz w:val="24"/>
          <w:szCs w:val="24"/>
          <w:lang w:eastAsia="en-IN"/>
          <w14:ligatures w14:val="none"/>
        </w:rPr>
        <w:t>Sulfur</w:t>
      </w:r>
      <w:proofErr w:type="spellEnd"/>
      <w:r w:rsidRPr="007A6CC5">
        <w:rPr>
          <w:rFonts w:ascii="Times New Roman" w:eastAsia="Times New Roman" w:hAnsi="Times New Roman" w:cs="Times New Roman"/>
          <w:b/>
          <w:bCs/>
          <w:color w:val="FF0000"/>
          <w:kern w:val="0"/>
          <w:sz w:val="24"/>
          <w:szCs w:val="24"/>
          <w:lang w:eastAsia="en-IN"/>
          <w14:ligatures w14:val="none"/>
        </w:rPr>
        <w:t xml:space="preserve"> dioxide (SO2) is a major pollutant emitted from the burning of fossil fuels in power plants and industries. SO2 contributes to the formation of acid rain, which can severely damage ecosystems, infrastructure, and human health. Traditional SO2 capture technologies, such as flue gas desulfurization (FGD) systems, rely on chemical absorbents like lime or limestone, which produce a large amount of waste material and have high operational costs.</w:t>
      </w:r>
    </w:p>
    <w:p w14:paraId="175A093A"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7420BD06"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Deep Eutectic Solvents (DESs) present a sustainable and efficient alternative for SO2 removal. The key advantage of DESs in SO2 capture lies in their ability to chemically react with SO2, forming stable compounds that can be easily separated from the gas stream. This chemical absorption process, combined with their environmentally benign properties, makes DESs a promising solution for reducing SO2 emissions in industries.</w:t>
      </w:r>
    </w:p>
    <w:p w14:paraId="27008FE9"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5B9D9384"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Research by Deng et al. [3] explored the absorption capacity of SO2 in DESs composed of choline chloride and lactic acid, demonstrating that DESs are capable of capturing SO2 even at low partial pressures. The chemical interaction between the acidic SO2 and the basic components of DESs (e.g., carboxylate anions) allows for high absorption rates, especially under low-temperature conditions. In fact, SO2 absorption in DESs has been shown to outperform conventional solvents, such as amines, under similar conditions.</w:t>
      </w:r>
    </w:p>
    <w:p w14:paraId="47311FCC"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429D9DB7"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Zhang et al. [4] conducted experiments on Betaine-based DESs, showing that the absorption of SO2 was enhanced at lower temperatures (30°C) and low partial pressures. Additionally, their study revealed that varying the molar ratio of HBA to HBD did not significantly affect SO2 capture, indicating that DESs provide flexibility in their formulations without sacrificing performance.</w:t>
      </w:r>
    </w:p>
    <w:p w14:paraId="33B84FB2"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40D62DD1"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The Reversible Nature of SO2 Absorption: Enhancing DES Reusability</w:t>
      </w:r>
    </w:p>
    <w:p w14:paraId="73A86FB5"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One of the most attractive features of DESs for SO2 removal is their ability to regenerate. After absorbing SO2, DESs can release the captured gas through heating or pressure changes, allowing for the solvent to be reused in multiple cycles. This regeneration capability is a significant advantage over traditional absorbents, which often degrade or lose efficiency after several cycles of use.</w:t>
      </w:r>
    </w:p>
    <w:p w14:paraId="1FD26938"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661B4390"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In a study by Zhang et al. [4], DESs were tested for their ability to release captured SO2 through thermal desorption. The results indicated that DESs could be regenerated with minimal loss of absorption capacity, even after multiple cycles. This cyclic absorption-desorption process underscores the economic viability of DESs for long-term use in industrial gas treatment.</w:t>
      </w:r>
    </w:p>
    <w:p w14:paraId="3EFBCA52"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5C8D91EA"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The ability of DESs to operate under low partial pressure conditions further enhances their applicability in industrial settings where SO2 concentrations are relatively low. For instance, flue gases from coal-fired power plants often contain SO2 at low concentrations, making DESs an ideal solution for capturing and removing the pollutant before it is released into the atmosphere.</w:t>
      </w:r>
    </w:p>
    <w:p w14:paraId="3E23ADF3"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79D52B59" w14:textId="77777777" w:rsid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Challenges in SO2 Removal: Despite their advantages, DESs face challenges related to the energy requirements for regeneration. While DESs require less energy compared to traditional solvents, optimizing the desorption process to minimize energy consumption is critical for large-scale applications. Furthermore, more research is needed to explore the long-term stability of DESs in continuous operations involving SO2 absorption and desorption cycles.</w:t>
      </w:r>
    </w:p>
    <w:tbl>
      <w:tblPr>
        <w:tblStyle w:val="TableGrid"/>
        <w:tblW w:w="0" w:type="auto"/>
        <w:tblLook w:val="04A0" w:firstRow="1" w:lastRow="0" w:firstColumn="1" w:lastColumn="0" w:noHBand="0" w:noVBand="1"/>
      </w:tblPr>
      <w:tblGrid>
        <w:gridCol w:w="9016"/>
      </w:tblGrid>
      <w:tr w:rsidR="00404239" w:rsidRPr="00404239" w14:paraId="557F4500" w14:textId="77777777" w:rsidTr="001E20E4">
        <w:tc>
          <w:tcPr>
            <w:tcW w:w="9016" w:type="dxa"/>
          </w:tcPr>
          <w:p w14:paraId="6AE45AE0" w14:textId="77777777" w:rsidR="00404239" w:rsidRPr="00404239" w:rsidRDefault="00404239" w:rsidP="001E20E4">
            <w:pPr>
              <w:spacing w:before="100" w:beforeAutospacing="1" w:after="100" w:afterAutospacing="1"/>
              <w:outlineLvl w:val="2"/>
              <w:rPr>
                <w:rFonts w:ascii="Times New Roman" w:eastAsia="Times New Roman" w:hAnsi="Times New Roman" w:cs="Times New Roman"/>
                <w:b/>
                <w:bCs/>
                <w:kern w:val="0"/>
                <w:sz w:val="27"/>
                <w:szCs w:val="27"/>
                <w:lang w:eastAsia="en-IN"/>
                <w14:ligatures w14:val="none"/>
              </w:rPr>
            </w:pPr>
            <w:r w:rsidRPr="00404239">
              <w:rPr>
                <w:rFonts w:ascii="Times New Roman" w:eastAsia="Times New Roman" w:hAnsi="Times New Roman" w:cs="Times New Roman"/>
                <w:b/>
                <w:bCs/>
                <w:kern w:val="0"/>
                <w:sz w:val="27"/>
                <w:szCs w:val="27"/>
                <w:lang w:eastAsia="en-IN"/>
                <w14:ligatures w14:val="none"/>
              </w:rPr>
              <w:t>Table 2: SO2 Absorption in DESs under Various Conditions</w:t>
            </w:r>
          </w:p>
        </w:tc>
      </w:tr>
      <w:tr w:rsidR="00404239" w14:paraId="12F600F9" w14:textId="77777777" w:rsidTr="001E20E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831"/>
              <w:gridCol w:w="1470"/>
              <w:gridCol w:w="1142"/>
              <w:gridCol w:w="1064"/>
              <w:gridCol w:w="1550"/>
              <w:gridCol w:w="1184"/>
            </w:tblGrid>
            <w:tr w:rsidR="00404239" w:rsidRPr="00404239" w14:paraId="61C82C91" w14:textId="77777777" w:rsidTr="001E20E4">
              <w:trPr>
                <w:tblHeader/>
                <w:tblCellSpacing w:w="15" w:type="dxa"/>
              </w:trPr>
              <w:tc>
                <w:tcPr>
                  <w:tcW w:w="0" w:type="auto"/>
                  <w:vAlign w:val="center"/>
                  <w:hideMark/>
                </w:tcPr>
                <w:p w14:paraId="0E86F422"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DES Composition</w:t>
                  </w:r>
                </w:p>
              </w:tc>
              <w:tc>
                <w:tcPr>
                  <w:tcW w:w="0" w:type="auto"/>
                  <w:vAlign w:val="center"/>
                  <w:hideMark/>
                </w:tcPr>
                <w:p w14:paraId="6A507BBD"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Molar Ratio (HBA</w:t>
                  </w:r>
                </w:p>
                <w:p w14:paraId="2CA7F520" w14:textId="77777777" w:rsidR="00404239" w:rsidRPr="00404239" w:rsidRDefault="00404239" w:rsidP="001E20E4">
                  <w:pPr>
                    <w:spacing w:after="0" w:line="240" w:lineRule="auto"/>
                    <w:jc w:val="center"/>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w:t>
                  </w:r>
                </w:p>
              </w:tc>
              <w:tc>
                <w:tcPr>
                  <w:tcW w:w="0" w:type="auto"/>
                  <w:vAlign w:val="center"/>
                  <w:hideMark/>
                </w:tcPr>
                <w:p w14:paraId="4273A2F1"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Temperature (°C)</w:t>
                  </w:r>
                </w:p>
              </w:tc>
              <w:tc>
                <w:tcPr>
                  <w:tcW w:w="0" w:type="auto"/>
                  <w:vAlign w:val="center"/>
                  <w:hideMark/>
                </w:tcPr>
                <w:p w14:paraId="693EDAFA"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SO2 Partial Pressure (bar)</w:t>
                  </w:r>
                </w:p>
              </w:tc>
              <w:tc>
                <w:tcPr>
                  <w:tcW w:w="0" w:type="auto"/>
                  <w:vAlign w:val="center"/>
                  <w:hideMark/>
                </w:tcPr>
                <w:p w14:paraId="2B63AA73"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SO2 Uptake (mmol SO2/g DES)</w:t>
                  </w:r>
                </w:p>
              </w:tc>
              <w:tc>
                <w:tcPr>
                  <w:tcW w:w="0" w:type="auto"/>
                  <w:vAlign w:val="center"/>
                  <w:hideMark/>
                </w:tcPr>
                <w:p w14:paraId="298EBA65"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Regeneration Capability</w:t>
                  </w:r>
                </w:p>
              </w:tc>
              <w:tc>
                <w:tcPr>
                  <w:tcW w:w="0" w:type="auto"/>
                  <w:vAlign w:val="center"/>
                  <w:hideMark/>
                </w:tcPr>
                <w:p w14:paraId="63918C81" w14:textId="77777777" w:rsidR="00404239" w:rsidRPr="00404239" w:rsidRDefault="00404239" w:rsidP="001E20E4">
                  <w:pPr>
                    <w:spacing w:after="0" w:line="240" w:lineRule="auto"/>
                    <w:jc w:val="center"/>
                    <w:rPr>
                      <w:rFonts w:ascii="Times New Roman" w:eastAsia="Times New Roman" w:hAnsi="Times New Roman" w:cs="Times New Roman"/>
                      <w:b/>
                      <w:bCs/>
                      <w:kern w:val="0"/>
                      <w:sz w:val="24"/>
                      <w:szCs w:val="24"/>
                      <w:lang w:eastAsia="en-IN"/>
                      <w14:ligatures w14:val="none"/>
                    </w:rPr>
                  </w:pPr>
                  <w:r w:rsidRPr="00404239">
                    <w:rPr>
                      <w:rFonts w:ascii="Times New Roman" w:eastAsia="Times New Roman" w:hAnsi="Times New Roman" w:cs="Times New Roman"/>
                      <w:b/>
                      <w:bCs/>
                      <w:kern w:val="0"/>
                      <w:sz w:val="24"/>
                      <w:szCs w:val="24"/>
                      <w:lang w:eastAsia="en-IN"/>
                      <w14:ligatures w14:val="none"/>
                    </w:rPr>
                    <w:t>Reference</w:t>
                  </w:r>
                </w:p>
              </w:tc>
            </w:tr>
            <w:tr w:rsidR="00404239" w:rsidRPr="00404239" w14:paraId="4199FE6D" w14:textId="77777777" w:rsidTr="001E20E4">
              <w:trPr>
                <w:tblCellSpacing w:w="15" w:type="dxa"/>
              </w:trPr>
              <w:tc>
                <w:tcPr>
                  <w:tcW w:w="0" w:type="auto"/>
                  <w:vAlign w:val="center"/>
                  <w:hideMark/>
                </w:tcPr>
                <w:p w14:paraId="5762B29B"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Choline Chloride + Lactic Acid</w:t>
                  </w:r>
                </w:p>
              </w:tc>
              <w:tc>
                <w:tcPr>
                  <w:tcW w:w="0" w:type="auto"/>
                  <w:vAlign w:val="center"/>
                  <w:hideMark/>
                </w:tcPr>
                <w:p w14:paraId="006ACEC9"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1:2</w:t>
                  </w:r>
                </w:p>
              </w:tc>
              <w:tc>
                <w:tcPr>
                  <w:tcW w:w="0" w:type="auto"/>
                  <w:vAlign w:val="center"/>
                  <w:hideMark/>
                </w:tcPr>
                <w:p w14:paraId="1C8BACC5"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30</w:t>
                  </w:r>
                </w:p>
              </w:tc>
              <w:tc>
                <w:tcPr>
                  <w:tcW w:w="0" w:type="auto"/>
                  <w:vAlign w:val="center"/>
                  <w:hideMark/>
                </w:tcPr>
                <w:p w14:paraId="356FBA70"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0.1</w:t>
                  </w:r>
                </w:p>
              </w:tc>
              <w:tc>
                <w:tcPr>
                  <w:tcW w:w="0" w:type="auto"/>
                  <w:vAlign w:val="center"/>
                  <w:hideMark/>
                </w:tcPr>
                <w:p w14:paraId="1A503ADC"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5.1</w:t>
                  </w:r>
                </w:p>
              </w:tc>
              <w:tc>
                <w:tcPr>
                  <w:tcW w:w="0" w:type="auto"/>
                  <w:vAlign w:val="center"/>
                  <w:hideMark/>
                </w:tcPr>
                <w:p w14:paraId="12EED5C1"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High</w:t>
                  </w:r>
                </w:p>
              </w:tc>
              <w:tc>
                <w:tcPr>
                  <w:tcW w:w="0" w:type="auto"/>
                  <w:vAlign w:val="center"/>
                  <w:hideMark/>
                </w:tcPr>
                <w:p w14:paraId="6F8AF9B1"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Deng et al. (2024)</w:t>
                  </w:r>
                </w:p>
              </w:tc>
            </w:tr>
            <w:tr w:rsidR="00404239" w:rsidRPr="00404239" w14:paraId="7DD9DBC0" w14:textId="77777777" w:rsidTr="001E20E4">
              <w:trPr>
                <w:tblCellSpacing w:w="15" w:type="dxa"/>
              </w:trPr>
              <w:tc>
                <w:tcPr>
                  <w:tcW w:w="0" w:type="auto"/>
                  <w:vAlign w:val="center"/>
                  <w:hideMark/>
                </w:tcPr>
                <w:p w14:paraId="4BC270A4"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Betaine + Ethylene Glycol</w:t>
                  </w:r>
                </w:p>
              </w:tc>
              <w:tc>
                <w:tcPr>
                  <w:tcW w:w="0" w:type="auto"/>
                  <w:vAlign w:val="center"/>
                  <w:hideMark/>
                </w:tcPr>
                <w:p w14:paraId="7D6823A2"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1:3</w:t>
                  </w:r>
                </w:p>
              </w:tc>
              <w:tc>
                <w:tcPr>
                  <w:tcW w:w="0" w:type="auto"/>
                  <w:vAlign w:val="center"/>
                  <w:hideMark/>
                </w:tcPr>
                <w:p w14:paraId="1F2BF8D0"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40</w:t>
                  </w:r>
                </w:p>
              </w:tc>
              <w:tc>
                <w:tcPr>
                  <w:tcW w:w="0" w:type="auto"/>
                  <w:vAlign w:val="center"/>
                  <w:hideMark/>
                </w:tcPr>
                <w:p w14:paraId="74F4F9E2"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0.05</w:t>
                  </w:r>
                </w:p>
              </w:tc>
              <w:tc>
                <w:tcPr>
                  <w:tcW w:w="0" w:type="auto"/>
                  <w:vAlign w:val="center"/>
                  <w:hideMark/>
                </w:tcPr>
                <w:p w14:paraId="75234763"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4.8</w:t>
                  </w:r>
                </w:p>
              </w:tc>
              <w:tc>
                <w:tcPr>
                  <w:tcW w:w="0" w:type="auto"/>
                  <w:vAlign w:val="center"/>
                  <w:hideMark/>
                </w:tcPr>
                <w:p w14:paraId="65769D92"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Moderate</w:t>
                  </w:r>
                </w:p>
              </w:tc>
              <w:tc>
                <w:tcPr>
                  <w:tcW w:w="0" w:type="auto"/>
                  <w:vAlign w:val="center"/>
                  <w:hideMark/>
                </w:tcPr>
                <w:p w14:paraId="1287C694"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Zhang et al. (2024)</w:t>
                  </w:r>
                </w:p>
              </w:tc>
            </w:tr>
            <w:tr w:rsidR="00404239" w:rsidRPr="00404239" w14:paraId="491F12CF" w14:textId="77777777" w:rsidTr="001E20E4">
              <w:trPr>
                <w:tblCellSpacing w:w="15" w:type="dxa"/>
              </w:trPr>
              <w:tc>
                <w:tcPr>
                  <w:tcW w:w="0" w:type="auto"/>
                  <w:vAlign w:val="center"/>
                  <w:hideMark/>
                </w:tcPr>
                <w:p w14:paraId="29D05999"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L-Carnitine + Ethylene Glycol</w:t>
                  </w:r>
                </w:p>
              </w:tc>
              <w:tc>
                <w:tcPr>
                  <w:tcW w:w="0" w:type="auto"/>
                  <w:vAlign w:val="center"/>
                  <w:hideMark/>
                </w:tcPr>
                <w:p w14:paraId="390A1E5F"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1:3</w:t>
                  </w:r>
                </w:p>
              </w:tc>
              <w:tc>
                <w:tcPr>
                  <w:tcW w:w="0" w:type="auto"/>
                  <w:vAlign w:val="center"/>
                  <w:hideMark/>
                </w:tcPr>
                <w:p w14:paraId="543BE98B"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30</w:t>
                  </w:r>
                </w:p>
              </w:tc>
              <w:tc>
                <w:tcPr>
                  <w:tcW w:w="0" w:type="auto"/>
                  <w:vAlign w:val="center"/>
                  <w:hideMark/>
                </w:tcPr>
                <w:p w14:paraId="197B5AD5"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0.08</w:t>
                  </w:r>
                </w:p>
              </w:tc>
              <w:tc>
                <w:tcPr>
                  <w:tcW w:w="0" w:type="auto"/>
                  <w:vAlign w:val="center"/>
                  <w:hideMark/>
                </w:tcPr>
                <w:p w14:paraId="2C584EFC"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5.0</w:t>
                  </w:r>
                </w:p>
              </w:tc>
              <w:tc>
                <w:tcPr>
                  <w:tcW w:w="0" w:type="auto"/>
                  <w:vAlign w:val="center"/>
                  <w:hideMark/>
                </w:tcPr>
                <w:p w14:paraId="52DAD676"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High</w:t>
                  </w:r>
                </w:p>
              </w:tc>
              <w:tc>
                <w:tcPr>
                  <w:tcW w:w="0" w:type="auto"/>
                  <w:vAlign w:val="center"/>
                  <w:hideMark/>
                </w:tcPr>
                <w:p w14:paraId="3062608F"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Zhang et al. (2024)</w:t>
                  </w:r>
                </w:p>
              </w:tc>
            </w:tr>
            <w:tr w:rsidR="00404239" w:rsidRPr="00404239" w14:paraId="59D3E312" w14:textId="77777777" w:rsidTr="001E20E4">
              <w:trPr>
                <w:tblCellSpacing w:w="15" w:type="dxa"/>
              </w:trPr>
              <w:tc>
                <w:tcPr>
                  <w:tcW w:w="0" w:type="auto"/>
                  <w:vAlign w:val="center"/>
                  <w:hideMark/>
                </w:tcPr>
                <w:p w14:paraId="48216644"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Choline Chloride + Urea</w:t>
                  </w:r>
                </w:p>
              </w:tc>
              <w:tc>
                <w:tcPr>
                  <w:tcW w:w="0" w:type="auto"/>
                  <w:vAlign w:val="center"/>
                  <w:hideMark/>
                </w:tcPr>
                <w:p w14:paraId="445D1B17"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1:2</w:t>
                  </w:r>
                </w:p>
              </w:tc>
              <w:tc>
                <w:tcPr>
                  <w:tcW w:w="0" w:type="auto"/>
                  <w:vAlign w:val="center"/>
                  <w:hideMark/>
                </w:tcPr>
                <w:p w14:paraId="42E519C5"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25</w:t>
                  </w:r>
                </w:p>
              </w:tc>
              <w:tc>
                <w:tcPr>
                  <w:tcW w:w="0" w:type="auto"/>
                  <w:vAlign w:val="center"/>
                  <w:hideMark/>
                </w:tcPr>
                <w:p w14:paraId="6A1A814A"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0.09</w:t>
                  </w:r>
                </w:p>
              </w:tc>
              <w:tc>
                <w:tcPr>
                  <w:tcW w:w="0" w:type="auto"/>
                  <w:vAlign w:val="center"/>
                  <w:hideMark/>
                </w:tcPr>
                <w:p w14:paraId="15DEF536"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4.3</w:t>
                  </w:r>
                </w:p>
              </w:tc>
              <w:tc>
                <w:tcPr>
                  <w:tcW w:w="0" w:type="auto"/>
                  <w:vAlign w:val="center"/>
                  <w:hideMark/>
                </w:tcPr>
                <w:p w14:paraId="2571DFBA"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High</w:t>
                  </w:r>
                </w:p>
              </w:tc>
              <w:tc>
                <w:tcPr>
                  <w:tcW w:w="0" w:type="auto"/>
                  <w:vAlign w:val="center"/>
                  <w:hideMark/>
                </w:tcPr>
                <w:p w14:paraId="1CA0A482" w14:textId="77777777" w:rsidR="00404239" w:rsidRPr="00404239" w:rsidRDefault="00404239" w:rsidP="001E20E4">
                  <w:pPr>
                    <w:spacing w:after="0" w:line="240" w:lineRule="auto"/>
                    <w:rPr>
                      <w:rFonts w:ascii="Times New Roman" w:eastAsia="Times New Roman" w:hAnsi="Times New Roman" w:cs="Times New Roman"/>
                      <w:kern w:val="0"/>
                      <w:sz w:val="24"/>
                      <w:szCs w:val="24"/>
                      <w:lang w:eastAsia="en-IN"/>
                      <w14:ligatures w14:val="none"/>
                    </w:rPr>
                  </w:pPr>
                  <w:r w:rsidRPr="00404239">
                    <w:rPr>
                      <w:rFonts w:ascii="Times New Roman" w:eastAsia="Times New Roman" w:hAnsi="Times New Roman" w:cs="Times New Roman"/>
                      <w:kern w:val="0"/>
                      <w:sz w:val="24"/>
                      <w:szCs w:val="24"/>
                      <w:lang w:eastAsia="en-IN"/>
                      <w14:ligatures w14:val="none"/>
                    </w:rPr>
                    <w:t>Guo et al. (2021)</w:t>
                  </w:r>
                </w:p>
              </w:tc>
            </w:tr>
          </w:tbl>
          <w:p w14:paraId="30BB0D32" w14:textId="77777777" w:rsidR="00404239" w:rsidRDefault="00404239" w:rsidP="001E20E4"/>
        </w:tc>
      </w:tr>
    </w:tbl>
    <w:p w14:paraId="30669810" w14:textId="77777777" w:rsidR="00404239" w:rsidRPr="007A6CC5" w:rsidRDefault="00404239"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01ED0101"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7C4C26A7"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3.3. Other Gas Separations (e.g., H2S)</w:t>
      </w:r>
    </w:p>
    <w:p w14:paraId="1073C3B8"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H2S Absorption: A New Frontier for Deep Eutectic Solvents</w:t>
      </w:r>
    </w:p>
    <w:p w14:paraId="44281561"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Hydrogen sulfide (H2S) is a toxic and corrosive gas commonly found in natural gas, petroleum, and wastewater treatment facilities. The removal of H2S is essential for both environmental protection and industrial safety. Traditional H2S removal methods often rely on aqueous amine solutions, which are effective but pose challenges, including high energy consumption, corrosion, and environmental hazards.</w:t>
      </w:r>
    </w:p>
    <w:p w14:paraId="50C8F22B"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47FF43D9"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 xml:space="preserve">Recent research has shown that DESs have significant potential for H2S capture due to their tunable physical and chemical properties. For example, Guo et al. [5] explored the solubility of H2S in a DES composed of </w:t>
      </w:r>
      <w:proofErr w:type="spellStart"/>
      <w:r w:rsidRPr="007A6CC5">
        <w:rPr>
          <w:rFonts w:ascii="Times New Roman" w:eastAsia="Times New Roman" w:hAnsi="Times New Roman" w:cs="Times New Roman"/>
          <w:b/>
          <w:bCs/>
          <w:color w:val="FF0000"/>
          <w:kern w:val="0"/>
          <w:sz w:val="24"/>
          <w:szCs w:val="24"/>
          <w:lang w:eastAsia="en-IN"/>
          <w14:ligatures w14:val="none"/>
        </w:rPr>
        <w:t>tetrabutyl</w:t>
      </w:r>
      <w:proofErr w:type="spellEnd"/>
      <w:r w:rsidRPr="007A6CC5">
        <w:rPr>
          <w:rFonts w:ascii="Times New Roman" w:eastAsia="Times New Roman" w:hAnsi="Times New Roman" w:cs="Times New Roman"/>
          <w:b/>
          <w:bCs/>
          <w:color w:val="FF0000"/>
          <w:kern w:val="0"/>
          <w:sz w:val="24"/>
          <w:szCs w:val="24"/>
          <w:lang w:eastAsia="en-IN"/>
          <w14:ligatures w14:val="none"/>
        </w:rPr>
        <w:t xml:space="preserve"> ammonium bromide (TBAB) and caprolactam at varying molar ratios. The study demonstrated that a 1:1 molar ratio of TBAB to caprolactam exhibited superior H2S solubility, with peak absorption occurring at 303.15 K. The solubility of H2S in DESs is influenced by the ratio of HBA to HBD, with higher ratios generally resulting in lower solubility.</w:t>
      </w:r>
    </w:p>
    <w:p w14:paraId="26DAA8B6" w14:textId="77777777" w:rsidR="007A6CC5" w:rsidRPr="007A6CC5"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6C5C2C98" w14:textId="2D870F88" w:rsidR="006A73A6" w:rsidRDefault="007A6CC5"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r w:rsidRPr="007A6CC5">
        <w:rPr>
          <w:rFonts w:ascii="Times New Roman" w:eastAsia="Times New Roman" w:hAnsi="Times New Roman" w:cs="Times New Roman"/>
          <w:b/>
          <w:bCs/>
          <w:color w:val="FF0000"/>
          <w:kern w:val="0"/>
          <w:sz w:val="24"/>
          <w:szCs w:val="24"/>
          <w:lang w:eastAsia="en-IN"/>
          <w14:ligatures w14:val="none"/>
        </w:rPr>
        <w:t>The primary mechanism for H2S absorption in DESs is physical interaction, where the gas dissolves in the solvent without undergoing a chemical reaction.</w:t>
      </w:r>
    </w:p>
    <w:p w14:paraId="12E2AF7C" w14:textId="57C4A688" w:rsidR="00CE2FA6" w:rsidRDefault="00CE2FA6" w:rsidP="007A6CC5">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How do deep eutectic solvents contribute to reducing greenhouse gas emissions in industrial processes</w:t>
      </w:r>
    </w:p>
    <w:p w14:paraId="060802BE"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Deep eutectic solvents (DES) have gained attention as a promising solution for reducing greenhouse gas (GHG) emissions in industrial processes. Their unique properties and capabilities make them particularly effective for carbon dioxide (CO₂) capture and utilization, which are critical components of strategies aimed at mitigating climate change. This section discusses how DES contribute to lowering GHG emissions by enhancing CO₂ capture efficiency, facilitating methane recovery, and integrating with renewable energy systems.</w:t>
      </w:r>
    </w:p>
    <w:p w14:paraId="7C5DEB84"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1. Enhanced Carbon Dioxide Capture</w:t>
      </w:r>
    </w:p>
    <w:p w14:paraId="3A212582"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One of the primary applications of deep eutectic solvents is in the capture of CO₂ from industrial emissions. Traditional solvents used for CO₂ capture often face challenges such as high volatility, corrosiveness, and significant energy requirements for regeneration. In contrast, DES offer several advantages that enhance their effectiveness in capturing CO₂:</w:t>
      </w:r>
    </w:p>
    <w:p w14:paraId="24A8BE20"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High Affinity for CO₂: DES are designed to have a high solubility for CO₂, which allows them to absorb larger quantities of the gas compared to conventional solvents. Research has shown that specific DES formulations can achieve higher absorption capacities due to their unique molecular interactions, which include physical and chemical absorption </w:t>
      </w:r>
      <w:proofErr w:type="gramStart"/>
      <w:r w:rsidRPr="00CE2FA6">
        <w:rPr>
          <w:rFonts w:ascii="Times New Roman" w:hAnsi="Times New Roman" w:cs="Times New Roman"/>
          <w:color w:val="BF8F00" w:themeColor="accent4" w:themeShade="BF"/>
          <w:sz w:val="24"/>
          <w:szCs w:val="24"/>
        </w:rPr>
        <w:t>mechanisms .</w:t>
      </w:r>
      <w:proofErr w:type="gramEnd"/>
      <w:r w:rsidRPr="00CE2FA6">
        <w:rPr>
          <w:rFonts w:ascii="Times New Roman" w:hAnsi="Times New Roman" w:cs="Times New Roman"/>
          <w:color w:val="BF8F00" w:themeColor="accent4" w:themeShade="BF"/>
          <w:sz w:val="24"/>
          <w:szCs w:val="24"/>
        </w:rPr>
        <w:t xml:space="preserve"> For instance, the combination of choline chloride with various hydrogen bond donors has been demonstrated to yield high CO₂ solubility under different conditions.</w:t>
      </w:r>
    </w:p>
    <w:p w14:paraId="7892998E"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Lower Energy Requirements: The regeneration process for DES is generally more energy-efficient than that of traditional solvents. Many DES can be regenerated at lower temperatures or through pressure reduction, significantly reducing the energy input required for solvent </w:t>
      </w:r>
      <w:proofErr w:type="gramStart"/>
      <w:r w:rsidRPr="00CE2FA6">
        <w:rPr>
          <w:rFonts w:ascii="Times New Roman" w:hAnsi="Times New Roman" w:cs="Times New Roman"/>
          <w:color w:val="BF8F00" w:themeColor="accent4" w:themeShade="BF"/>
          <w:sz w:val="24"/>
          <w:szCs w:val="24"/>
        </w:rPr>
        <w:t>recovery .</w:t>
      </w:r>
      <w:proofErr w:type="gramEnd"/>
      <w:r w:rsidRPr="00CE2FA6">
        <w:rPr>
          <w:rFonts w:ascii="Times New Roman" w:hAnsi="Times New Roman" w:cs="Times New Roman"/>
          <w:color w:val="BF8F00" w:themeColor="accent4" w:themeShade="BF"/>
          <w:sz w:val="24"/>
          <w:szCs w:val="24"/>
        </w:rPr>
        <w:t xml:space="preserve"> This characteristic not only lowers operational costs but also minimizes the carbon footprint associated with the regeneration process.</w:t>
      </w:r>
    </w:p>
    <w:p w14:paraId="2B19C4D0"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Tunable Properties: The ability to customize the composition of DES allows researchers to optimize their performance for specific applications. By adjusting the ratios of hydrogen bond donors and acceptors, it is possible to tailor the solvent's properties to enhance its CO₂ absorption capacity and </w:t>
      </w:r>
      <w:proofErr w:type="gramStart"/>
      <w:r w:rsidRPr="00CE2FA6">
        <w:rPr>
          <w:rFonts w:ascii="Times New Roman" w:hAnsi="Times New Roman" w:cs="Times New Roman"/>
          <w:color w:val="BF8F00" w:themeColor="accent4" w:themeShade="BF"/>
          <w:sz w:val="24"/>
          <w:szCs w:val="24"/>
        </w:rPr>
        <w:t>selectivity .</w:t>
      </w:r>
      <w:proofErr w:type="gramEnd"/>
      <w:r w:rsidRPr="00CE2FA6">
        <w:rPr>
          <w:rFonts w:ascii="Times New Roman" w:hAnsi="Times New Roman" w:cs="Times New Roman"/>
          <w:color w:val="BF8F00" w:themeColor="accent4" w:themeShade="BF"/>
          <w:sz w:val="24"/>
          <w:szCs w:val="24"/>
        </w:rPr>
        <w:t xml:space="preserve"> This tunability makes DES versatile tools in various industrial settings.</w:t>
      </w:r>
    </w:p>
    <w:p w14:paraId="16A02C84"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2. Methane Recovery from Biogas</w:t>
      </w:r>
    </w:p>
    <w:p w14:paraId="19D88C56"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In addition to CO₂ capture, deep eutectic solvents can also facilitate the recovery of methane from biogas. Biogas is a renewable energy source produced through anaerobic digestion and typically contains a mixture of methane and carbon dioxide. The selective absorption of CO₂ by DES allows for the enrichment of methane in biogas streams:</w:t>
      </w:r>
    </w:p>
    <w:p w14:paraId="238C848E"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Selective Absorption: By utilizing DES that preferentially absorb CO₂ over methane, industries can effectively separate these gases, resulting in a methane-rich product suitable for use as a clean fuel source. This process not only enhances the utilization of renewable energy but also reduces GHG emissions associated with fossil fuel combustion.</w:t>
      </w:r>
    </w:p>
    <w:p w14:paraId="60C5EFBC"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Energy Efficiency: The recovery process using DES can operate under mild conditions without requiring extensive energy inputs or complex separation technologies. This simplicity contributes to lower operational costs and improved economic feasibility for biogas upgrading </w:t>
      </w:r>
      <w:proofErr w:type="gramStart"/>
      <w:r w:rsidRPr="00CE2FA6">
        <w:rPr>
          <w:rFonts w:ascii="Times New Roman" w:hAnsi="Times New Roman" w:cs="Times New Roman"/>
          <w:color w:val="BF8F00" w:themeColor="accent4" w:themeShade="BF"/>
          <w:sz w:val="24"/>
          <w:szCs w:val="24"/>
        </w:rPr>
        <w:t>systems .</w:t>
      </w:r>
      <w:proofErr w:type="gramEnd"/>
    </w:p>
    <w:p w14:paraId="248AE953"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3. Integration with Renewable Energy Systems</w:t>
      </w:r>
    </w:p>
    <w:p w14:paraId="0025C975"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The integration of deep eutectic solvents into renewable energy systems further amplifies their impact on reducing GHG emissions:</w:t>
      </w:r>
    </w:p>
    <w:p w14:paraId="44AE38BD"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Utilization of Waste Heat: DES can be coupled with renewable energy sources such as solar thermal energy or waste heat from industrial processes to provide the necessary heat for solvent regeneration during CO₂ capture. By using waste heat, industries can significantly reduce their reliance on fossil fuels and lower their overall carbon </w:t>
      </w:r>
      <w:proofErr w:type="gramStart"/>
      <w:r w:rsidRPr="00CE2FA6">
        <w:rPr>
          <w:rFonts w:ascii="Times New Roman" w:hAnsi="Times New Roman" w:cs="Times New Roman"/>
          <w:color w:val="BF8F00" w:themeColor="accent4" w:themeShade="BF"/>
          <w:sz w:val="24"/>
          <w:szCs w:val="24"/>
        </w:rPr>
        <w:t>footprint .</w:t>
      </w:r>
      <w:proofErr w:type="gramEnd"/>
    </w:p>
    <w:p w14:paraId="6AC37D15"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Electrochemical Applications: In electrochemical processes, such as fuel cells and dye-sensitized solar cells (DSSCs), DES can serve as eco-friendly electrolytes that facilitate efficient energy conversion while minimizing environmental impacts. Their low toxicity and biodegradability make them suitable alternatives to conventional organic electrolytes that often pose safety and environmental </w:t>
      </w:r>
      <w:proofErr w:type="gramStart"/>
      <w:r w:rsidRPr="00CE2FA6">
        <w:rPr>
          <w:rFonts w:ascii="Times New Roman" w:hAnsi="Times New Roman" w:cs="Times New Roman"/>
          <w:color w:val="BF8F00" w:themeColor="accent4" w:themeShade="BF"/>
          <w:sz w:val="24"/>
          <w:szCs w:val="24"/>
        </w:rPr>
        <w:t>risks .</w:t>
      </w:r>
      <w:proofErr w:type="gramEnd"/>
    </w:p>
    <w:p w14:paraId="68A26F5C"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4. Life-Cycle Assessment and Sustainability</w:t>
      </w:r>
    </w:p>
    <w:p w14:paraId="3A97095E"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While deep eutectic solvents present numerous benefits in reducing GHG emissions, it is essential to consider their overall sustainability through life-cycle assessments (LCA). Research indicates that while some DES formulations may have higher environmental impacts during production compared to traditional solvents, their operational advantages often lead to lower overall emissions when used in industrial </w:t>
      </w:r>
      <w:proofErr w:type="gramStart"/>
      <w:r w:rsidRPr="00CE2FA6">
        <w:rPr>
          <w:rFonts w:ascii="Times New Roman" w:hAnsi="Times New Roman" w:cs="Times New Roman"/>
          <w:color w:val="BF8F00" w:themeColor="accent4" w:themeShade="BF"/>
          <w:sz w:val="24"/>
          <w:szCs w:val="24"/>
        </w:rPr>
        <w:t>applications .</w:t>
      </w:r>
      <w:proofErr w:type="gramEnd"/>
    </w:p>
    <w:p w14:paraId="4F4F3908"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 xml:space="preserve">Comparative Environmental Impact: Studies have shown that certain DESs exhibit lower environmental impacts than conventional solvents like dichloromethane or ethyl acetate but may have higher impacts than alcohols like methanol or </w:t>
      </w:r>
      <w:proofErr w:type="gramStart"/>
      <w:r w:rsidRPr="00CE2FA6">
        <w:rPr>
          <w:rFonts w:ascii="Times New Roman" w:hAnsi="Times New Roman" w:cs="Times New Roman"/>
          <w:color w:val="BF8F00" w:themeColor="accent4" w:themeShade="BF"/>
          <w:sz w:val="24"/>
          <w:szCs w:val="24"/>
        </w:rPr>
        <w:t>ethanol .</w:t>
      </w:r>
      <w:proofErr w:type="gramEnd"/>
      <w:r w:rsidRPr="00CE2FA6">
        <w:rPr>
          <w:rFonts w:ascii="Times New Roman" w:hAnsi="Times New Roman" w:cs="Times New Roman"/>
          <w:color w:val="BF8F00" w:themeColor="accent4" w:themeShade="BF"/>
          <w:sz w:val="24"/>
          <w:szCs w:val="24"/>
        </w:rPr>
        <w:t xml:space="preserve"> Therefore, careful selection and optimization of DES formulations are crucial for maximizing their environmental benefits.</w:t>
      </w:r>
    </w:p>
    <w:p w14:paraId="2D4BD89A" w14:textId="77777777"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Conclusion</w:t>
      </w:r>
    </w:p>
    <w:p w14:paraId="64BEA5D9" w14:textId="51C1469D" w:rsidR="00CE2FA6" w:rsidRPr="00CE2FA6" w:rsidRDefault="00CE2FA6" w:rsidP="00CE2FA6">
      <w:pPr>
        <w:spacing w:before="100" w:beforeAutospacing="1" w:after="100" w:afterAutospacing="1" w:line="360" w:lineRule="auto"/>
        <w:jc w:val="both"/>
        <w:rPr>
          <w:rFonts w:ascii="Times New Roman" w:hAnsi="Times New Roman" w:cs="Times New Roman"/>
          <w:color w:val="BF8F00" w:themeColor="accent4" w:themeShade="BF"/>
          <w:sz w:val="24"/>
          <w:szCs w:val="24"/>
        </w:rPr>
      </w:pPr>
      <w:r w:rsidRPr="00CE2FA6">
        <w:rPr>
          <w:rFonts w:ascii="Times New Roman" w:hAnsi="Times New Roman" w:cs="Times New Roman"/>
          <w:color w:val="BF8F00" w:themeColor="accent4" w:themeShade="BF"/>
          <w:sz w:val="24"/>
          <w:szCs w:val="24"/>
        </w:rPr>
        <w:t>Deep eutectic solvents represent a significant advancement in strategies aimed at reducing greenhouse gas emissions from industrial processes. Their high affinity for CO₂, lower energy requirements for regeneration, selective absorption capabilities, and potential integration with renewable energy systems position them as valuable tools in combating climate change. As research continues to evolve in this field, further optimization and understanding of deep eutectic solvents will be essential in maximizing their effectiveness and sustainability in greenhouse gas management</w:t>
      </w:r>
    </w:p>
    <w:p w14:paraId="4E80C832" w14:textId="77777777" w:rsidR="00CE2FA6" w:rsidRDefault="00CE2FA6" w:rsidP="007A6CC5">
      <w:pPr>
        <w:spacing w:before="100" w:beforeAutospacing="1" w:after="100" w:afterAutospacing="1" w:line="360" w:lineRule="auto"/>
        <w:jc w:val="both"/>
        <w:rPr>
          <w:rFonts w:ascii="Segoe UI" w:hAnsi="Segoe UI" w:cs="Segoe UI"/>
          <w:sz w:val="45"/>
          <w:szCs w:val="45"/>
        </w:rPr>
      </w:pPr>
    </w:p>
    <w:p w14:paraId="438693EA" w14:textId="77777777" w:rsidR="00CE2FA6" w:rsidRPr="006A73A6" w:rsidRDefault="00CE2FA6" w:rsidP="007A6CC5">
      <w:pPr>
        <w:spacing w:before="100" w:beforeAutospacing="1" w:after="100" w:afterAutospacing="1" w:line="360" w:lineRule="auto"/>
        <w:jc w:val="both"/>
        <w:rPr>
          <w:rFonts w:ascii="Times New Roman" w:eastAsia="Times New Roman" w:hAnsi="Times New Roman" w:cs="Times New Roman"/>
          <w:b/>
          <w:bCs/>
          <w:color w:val="FF0000"/>
          <w:kern w:val="0"/>
          <w:sz w:val="24"/>
          <w:szCs w:val="24"/>
          <w:lang w:eastAsia="en-IN"/>
          <w14:ligatures w14:val="none"/>
        </w:rPr>
      </w:pPr>
    </w:p>
    <w:p w14:paraId="2077AEED" w14:textId="77777777" w:rsidR="006A73A6" w:rsidRPr="006A73A6" w:rsidRDefault="006A73A6" w:rsidP="00446C80">
      <w:pPr>
        <w:numPr>
          <w:ilvl w:val="0"/>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 xml:space="preserve">Challenges and Future Perspectives </w:t>
      </w:r>
    </w:p>
    <w:p w14:paraId="2A7E839B"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Addressing high viscosity of some DES formulations</w:t>
      </w:r>
    </w:p>
    <w:p w14:paraId="528B8C0D"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Scaling up DES-based gas separation technologies</w:t>
      </w:r>
    </w:p>
    <w:p w14:paraId="4E88B825"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Expanding the application of DESs to other industrially relevant gases</w:t>
      </w:r>
    </w:p>
    <w:p w14:paraId="6E0D5315"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kern w:val="0"/>
          <w:sz w:val="24"/>
          <w:szCs w:val="24"/>
          <w:lang w:eastAsia="en-IN"/>
          <w14:ligatures w14:val="none"/>
        </w:rPr>
      </w:pPr>
      <w:r w:rsidRPr="006A73A6">
        <w:rPr>
          <w:rFonts w:ascii="Times New Roman" w:eastAsia="Times New Roman" w:hAnsi="Times New Roman" w:cs="Times New Roman"/>
          <w:b/>
          <w:bCs/>
          <w:kern w:val="0"/>
          <w:sz w:val="24"/>
          <w:szCs w:val="24"/>
          <w:lang w:eastAsia="en-IN"/>
          <w14:ligatures w14:val="none"/>
        </w:rPr>
        <w:t>Integrating DES-based gas separation with renewable energy sources</w:t>
      </w:r>
    </w:p>
    <w:p w14:paraId="0845A7BA"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Challenges and Future Perspectives</w:t>
      </w:r>
    </w:p>
    <w:p w14:paraId="787E20B6" w14:textId="5747FBE4"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While the application of deep eutectic solvents (DESs) in gas separation processes has shown significant promise, there are several challenges that need to be addressed to facilitate their widespread adoption and implementation in industrial settings.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 xml:space="preserve">Addressing High Viscosity of Some DES Formulations One of the key challenges associated with DESs is the high viscosity of certain formulations, which can impede mass transfer during the gas absorption and desorption stages. The elevated viscosity can lead to reduced gas diffusion rates and decreased absorption capacities, hindering the overall efficiency of the gas separation </w:t>
      </w:r>
      <w:proofErr w:type="spellStart"/>
      <w:proofErr w:type="gramStart"/>
      <w:r w:rsidRPr="00446C80">
        <w:rPr>
          <w:rFonts w:ascii="Times New Roman" w:eastAsia="Times New Roman" w:hAnsi="Times New Roman" w:cs="Times New Roman"/>
          <w:kern w:val="0"/>
          <w:sz w:val="24"/>
          <w:szCs w:val="24"/>
          <w:lang w:eastAsia="en-IN"/>
          <w14:ligatures w14:val="none"/>
        </w:rPr>
        <w:t>process.Researchers</w:t>
      </w:r>
      <w:proofErr w:type="spellEnd"/>
      <w:proofErr w:type="gramEnd"/>
      <w:r w:rsidRPr="00446C80">
        <w:rPr>
          <w:rFonts w:ascii="Times New Roman" w:eastAsia="Times New Roman" w:hAnsi="Times New Roman" w:cs="Times New Roman"/>
          <w:kern w:val="0"/>
          <w:sz w:val="24"/>
          <w:szCs w:val="24"/>
          <w:lang w:eastAsia="en-IN"/>
          <w14:ligatures w14:val="none"/>
        </w:rPr>
        <w:t xml:space="preserve"> have identified several strategies to address this issue, including the use of additives, temperature adjustment, and the development of novel DES compositions with inherently lower viscosities. Exploring the impact of different hydrogen bond acceptors and donors, as well as their molar ratios, on the viscosity characteristics of DESs is an active area of research that could yield valuable insights for improving their performance in gas separation applications.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Scaling Up DES-Based Gas Separation Technologies While laboratory and bench-scale studies have demonstrated the promising capabilities of DESs in gas separation, the successful scaling up of these technologies to industrial levels remains a significant challenge. Factors such as the design of efficient gas-liquid contactors, the optimization of operating parameters, and the integration of DES-based systems into existing industrial processes require thorough investigation and engineering expertise.</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Addressing scale-up challenges and demonstrating the viability of DES-based gas separation systems in pilot-scale or commercial-scale operations is crucial for transitioning these technologies from the research phase to real-world implementation. Collaborative efforts between academic researchers, technology developers, and industrial partners will be essential in overcoming these scaling hurdles.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Expanding the Application of DESs to Other Industrially Relevant Gases The current research on DES-based gas separation has primarily focused on the capture and separation of CO2, SO2, and H2S. However, there is significant potential for expanding the application of these novel solvents to a broader range of industrially relevant gases, such as nitrogen oxides (NOx), volatile organic compounds (VOCs), and other hazardous air pollutants.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Investigating the gas solubility, selectivity, and separation performance of DESs for these additional gas species will broaden the scope of their utility in industrial gas treatment and environmental remediation. This line of research could lead to the development of tailored DES formulations capable of addressing a wide variety of gas separation challenges faced by various industries.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Integrating DES-Based Gas Separation with Renewable Energy Sources The inherent sustainability and environmental compatibility of DESs present an opportunity to integrate their gas separation capabilities with renewable energy sources, further enhancing the overall environmental and economic benefits of these technologies.</w:t>
      </w:r>
      <w:r w:rsidR="00446C80" w:rsidRPr="00446C80">
        <w:rPr>
          <w:rFonts w:ascii="Times New Roman" w:eastAsia="Times New Roman" w:hAnsi="Times New Roman" w:cs="Times New Roman"/>
          <w:kern w:val="0"/>
          <w:sz w:val="24"/>
          <w:szCs w:val="24"/>
          <w:lang w:eastAsia="en-IN"/>
          <w14:ligatures w14:val="none"/>
        </w:rPr>
        <w:t xml:space="preserve"> </w:t>
      </w:r>
      <w:r w:rsidRPr="00446C80">
        <w:rPr>
          <w:rFonts w:ascii="Times New Roman" w:eastAsia="Times New Roman" w:hAnsi="Times New Roman" w:cs="Times New Roman"/>
          <w:kern w:val="0"/>
          <w:sz w:val="24"/>
          <w:szCs w:val="24"/>
          <w:lang w:eastAsia="en-IN"/>
          <w14:ligatures w14:val="none"/>
        </w:rPr>
        <w:t xml:space="preserve">Coupling DES-based gas separation systems with renewable energy generation, such as solar or wind power, could enable the development of carbon-neutral or even carbon-negative industrial processes. This integration could involve the use of renewable energy to power the gas desorption and DES regeneration steps, minimizing the carbon footprint associated with the gas separation </w:t>
      </w:r>
      <w:proofErr w:type="spellStart"/>
      <w:proofErr w:type="gramStart"/>
      <w:r w:rsidRPr="00446C80">
        <w:rPr>
          <w:rFonts w:ascii="Times New Roman" w:eastAsia="Times New Roman" w:hAnsi="Times New Roman" w:cs="Times New Roman"/>
          <w:kern w:val="0"/>
          <w:sz w:val="24"/>
          <w:szCs w:val="24"/>
          <w:lang w:eastAsia="en-IN"/>
          <w14:ligatures w14:val="none"/>
        </w:rPr>
        <w:t>operations.Exploring</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these synergies between DES-based gas separation and renewable energy systems could pave the way for the creation of truly sustainable and eco-friendly industrial gas treatment solutions, aligning with the global push towards a low-carbon economy.</w:t>
      </w:r>
    </w:p>
    <w:p w14:paraId="19B9D11E"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Future Outlook and Research Directions As the research on the application of deep eutectic solvents in gas separation continues to evolve, several promising future directions and research areas emerge:</w:t>
      </w:r>
    </w:p>
    <w:p w14:paraId="08982E10"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1.</w:t>
      </w:r>
      <w:r w:rsidRPr="00446C80">
        <w:rPr>
          <w:rFonts w:ascii="Times New Roman" w:eastAsia="Times New Roman" w:hAnsi="Times New Roman" w:cs="Times New Roman"/>
          <w:kern w:val="0"/>
          <w:sz w:val="24"/>
          <w:szCs w:val="24"/>
          <w:lang w:eastAsia="en-IN"/>
          <w14:ligatures w14:val="none"/>
        </w:rPr>
        <w:tab/>
        <w:t>Optimization of DES formulations: Ongoing investigations into the design and synthesis of novel DES compositions with tailored physicochemical properties, targeting enhanced gas solubility, selectivity, and regeneration capabilities.</w:t>
      </w:r>
    </w:p>
    <w:p w14:paraId="512BDE33"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2.</w:t>
      </w:r>
      <w:r w:rsidRPr="00446C80">
        <w:rPr>
          <w:rFonts w:ascii="Times New Roman" w:eastAsia="Times New Roman" w:hAnsi="Times New Roman" w:cs="Times New Roman"/>
          <w:kern w:val="0"/>
          <w:sz w:val="24"/>
          <w:szCs w:val="24"/>
          <w:lang w:eastAsia="en-IN"/>
          <w14:ligatures w14:val="none"/>
        </w:rPr>
        <w:tab/>
        <w:t>Mechanistic understanding: Further studies to elucidate the underlying mechanisms governing the gas-DES interactions, including the role of specific functional groups, hydrogen bonding, and other intermolecular forces.</w:t>
      </w:r>
    </w:p>
    <w:p w14:paraId="1AF821D2"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3.</w:t>
      </w:r>
      <w:r w:rsidRPr="00446C80">
        <w:rPr>
          <w:rFonts w:ascii="Times New Roman" w:eastAsia="Times New Roman" w:hAnsi="Times New Roman" w:cs="Times New Roman"/>
          <w:kern w:val="0"/>
          <w:sz w:val="24"/>
          <w:szCs w:val="24"/>
          <w:lang w:eastAsia="en-IN"/>
          <w14:ligatures w14:val="none"/>
        </w:rPr>
        <w:tab/>
        <w:t>Process intensification: Advancements in the development of efficient gas-liquid contactors, membrane-based separation technologies, and integrated DES-based systems to improve the overall efficiency and scalability of gas separation processes.</w:t>
      </w:r>
    </w:p>
    <w:p w14:paraId="3C364038"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4.</w:t>
      </w:r>
      <w:r w:rsidRPr="00446C80">
        <w:rPr>
          <w:rFonts w:ascii="Times New Roman" w:eastAsia="Times New Roman" w:hAnsi="Times New Roman" w:cs="Times New Roman"/>
          <w:kern w:val="0"/>
          <w:sz w:val="24"/>
          <w:szCs w:val="24"/>
          <w:lang w:eastAsia="en-IN"/>
          <w14:ligatures w14:val="none"/>
        </w:rPr>
        <w:tab/>
        <w:t>Techno-economic and life cycle assessments: Comprehensive evaluations of the economic viability and environmental impact of DES-based gas separation technologies, informing their commercialization and widespread adoption.</w:t>
      </w:r>
    </w:p>
    <w:p w14:paraId="084A7066"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5.</w:t>
      </w:r>
      <w:r w:rsidRPr="00446C80">
        <w:rPr>
          <w:rFonts w:ascii="Times New Roman" w:eastAsia="Times New Roman" w:hAnsi="Times New Roman" w:cs="Times New Roman"/>
          <w:kern w:val="0"/>
          <w:sz w:val="24"/>
          <w:szCs w:val="24"/>
          <w:lang w:eastAsia="en-IN"/>
          <w14:ligatures w14:val="none"/>
        </w:rPr>
        <w:tab/>
        <w:t>Exploration of new gas separation applications: Expanding the application of DESs to capture and separate a broader range of industrially relevant gases, such as NOx, VOCs, and other emerging pollutants.</w:t>
      </w:r>
    </w:p>
    <w:p w14:paraId="2AC6BA8B"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6.</w:t>
      </w:r>
      <w:r w:rsidRPr="00446C80">
        <w:rPr>
          <w:rFonts w:ascii="Times New Roman" w:eastAsia="Times New Roman" w:hAnsi="Times New Roman" w:cs="Times New Roman"/>
          <w:kern w:val="0"/>
          <w:sz w:val="24"/>
          <w:szCs w:val="24"/>
          <w:lang w:eastAsia="en-IN"/>
          <w14:ligatures w14:val="none"/>
        </w:rPr>
        <w:tab/>
        <w:t>Integration with renewable energy and carbon utilization: Synergistic integration of DES-based gas separation with renewable energy sources and carbon capture and utilization (CCU) technologies to create sustainable, closed-loop industrial processes.</w:t>
      </w:r>
    </w:p>
    <w:p w14:paraId="31ECEDB1" w14:textId="24EF36E5" w:rsidR="006A73A6" w:rsidRPr="006A73A6"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By addressing the existing challenges and pursuing these future research directions, the application of deep eutectic solvents in gas separation processes holds the promise of revolutionizing the way industries manage and mitigate their environmental impact, paving the way for a more sustainable and eco-friendly future.</w:t>
      </w:r>
    </w:p>
    <w:p w14:paraId="10393F33" w14:textId="77777777" w:rsidR="006A73A6" w:rsidRPr="006A73A6" w:rsidRDefault="006A73A6" w:rsidP="00446C80">
      <w:pPr>
        <w:numPr>
          <w:ilvl w:val="0"/>
          <w:numId w:val="1"/>
        </w:numPr>
        <w:spacing w:before="100" w:beforeAutospacing="1" w:after="100" w:afterAutospacing="1" w:line="360" w:lineRule="auto"/>
        <w:jc w:val="both"/>
        <w:rPr>
          <w:rFonts w:ascii="Times New Roman" w:eastAsia="Times New Roman" w:hAnsi="Times New Roman" w:cs="Times New Roman"/>
          <w:b/>
          <w:bCs/>
          <w:color w:val="000000" w:themeColor="text1"/>
          <w:kern w:val="0"/>
          <w:sz w:val="24"/>
          <w:szCs w:val="24"/>
          <w:lang w:eastAsia="en-IN"/>
          <w14:ligatures w14:val="none"/>
        </w:rPr>
      </w:pPr>
      <w:r w:rsidRPr="006A73A6">
        <w:rPr>
          <w:rFonts w:ascii="Times New Roman" w:eastAsia="Times New Roman" w:hAnsi="Times New Roman" w:cs="Times New Roman"/>
          <w:b/>
          <w:bCs/>
          <w:color w:val="000000" w:themeColor="text1"/>
          <w:kern w:val="0"/>
          <w:sz w:val="24"/>
          <w:szCs w:val="24"/>
          <w:lang w:eastAsia="en-IN"/>
          <w14:ligatures w14:val="none"/>
        </w:rPr>
        <w:t xml:space="preserve">Conclusion </w:t>
      </w:r>
    </w:p>
    <w:p w14:paraId="7F3A30A9" w14:textId="77777777" w:rsidR="006A73A6" w:rsidRPr="006A73A6"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color w:val="000000" w:themeColor="text1"/>
          <w:kern w:val="0"/>
          <w:sz w:val="24"/>
          <w:szCs w:val="24"/>
          <w:lang w:eastAsia="en-IN"/>
          <w14:ligatures w14:val="none"/>
        </w:rPr>
      </w:pPr>
      <w:r w:rsidRPr="006A73A6">
        <w:rPr>
          <w:rFonts w:ascii="Times New Roman" w:eastAsia="Times New Roman" w:hAnsi="Times New Roman" w:cs="Times New Roman"/>
          <w:b/>
          <w:bCs/>
          <w:color w:val="000000" w:themeColor="text1"/>
          <w:kern w:val="0"/>
          <w:sz w:val="24"/>
          <w:szCs w:val="24"/>
          <w:lang w:eastAsia="en-IN"/>
          <w14:ligatures w14:val="none"/>
        </w:rPr>
        <w:t>Summary of the key findings and advantages of DESs as sustainable gas separation agents</w:t>
      </w:r>
    </w:p>
    <w:p w14:paraId="7669B8E1" w14:textId="77777777" w:rsidR="006A73A6" w:rsidRPr="00446C80" w:rsidRDefault="006A73A6" w:rsidP="00446C80">
      <w:pPr>
        <w:numPr>
          <w:ilvl w:val="1"/>
          <w:numId w:val="1"/>
        </w:numPr>
        <w:spacing w:before="100" w:beforeAutospacing="1" w:after="100" w:afterAutospacing="1" w:line="360" w:lineRule="auto"/>
        <w:jc w:val="both"/>
        <w:rPr>
          <w:rFonts w:ascii="Times New Roman" w:eastAsia="Times New Roman" w:hAnsi="Times New Roman" w:cs="Times New Roman"/>
          <w:b/>
          <w:bCs/>
          <w:color w:val="000000" w:themeColor="text1"/>
          <w:kern w:val="0"/>
          <w:sz w:val="24"/>
          <w:szCs w:val="24"/>
          <w:lang w:eastAsia="en-IN"/>
          <w14:ligatures w14:val="none"/>
        </w:rPr>
      </w:pPr>
      <w:r w:rsidRPr="006A73A6">
        <w:rPr>
          <w:rFonts w:ascii="Times New Roman" w:eastAsia="Times New Roman" w:hAnsi="Times New Roman" w:cs="Times New Roman"/>
          <w:b/>
          <w:bCs/>
          <w:color w:val="000000" w:themeColor="text1"/>
          <w:kern w:val="0"/>
          <w:sz w:val="24"/>
          <w:szCs w:val="24"/>
          <w:lang w:eastAsia="en-IN"/>
          <w14:ligatures w14:val="none"/>
        </w:rPr>
        <w:t>Outlook on the future of DES-based technologies in industrial gas treatment and environmental remediation</w:t>
      </w:r>
    </w:p>
    <w:p w14:paraId="18635418" w14:textId="100FB284"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446C80">
        <w:rPr>
          <w:rFonts w:ascii="Times New Roman" w:eastAsia="Times New Roman" w:hAnsi="Times New Roman" w:cs="Times New Roman"/>
          <w:kern w:val="0"/>
          <w:sz w:val="24"/>
          <w:szCs w:val="24"/>
          <w:lang w:eastAsia="en-IN"/>
          <w14:ligatures w14:val="none"/>
        </w:rPr>
        <w:t xml:space="preserve">This comprehensive review has highlighted the transformative potential of deep eutectic solvents (DESs) as innovative and sustainable solutions for industrial gas separation and capture. The exploration of the mechanistic insights underlying the gas separation capabilities of DESs has revealed the complex interplay between physical absorption and chemical interactions, which govern their efficiency in capturing key industrial gases such as CO2, SO2, and H2S.The in-depth analysis of the application of DESs in CO2 capture, SO2 removal, and H2S separation has demonstrated their superior performance compared to traditional methods. The tunability of DES properties, particularly their solubility, has enabled the design of tailored solvents capable of selectively and efficiently capturing these harmful gases from industrial </w:t>
      </w:r>
      <w:proofErr w:type="spellStart"/>
      <w:proofErr w:type="gramStart"/>
      <w:r w:rsidRPr="00446C80">
        <w:rPr>
          <w:rFonts w:ascii="Times New Roman" w:eastAsia="Times New Roman" w:hAnsi="Times New Roman" w:cs="Times New Roman"/>
          <w:kern w:val="0"/>
          <w:sz w:val="24"/>
          <w:szCs w:val="24"/>
          <w:lang w:eastAsia="en-IN"/>
          <w14:ligatures w14:val="none"/>
        </w:rPr>
        <w:t>emissions.Moreover</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review has underscored the environmental sustainability and green chemistry principles inherent to DES-based gas separation technologies. Their biodegradability, reduced environmental footprint, and regenerative potential position them as attractive alternatives to conventional gas separation methods, which are often associated with operational challenges and ecological </w:t>
      </w:r>
      <w:proofErr w:type="spellStart"/>
      <w:proofErr w:type="gramStart"/>
      <w:r w:rsidRPr="00446C80">
        <w:rPr>
          <w:rFonts w:ascii="Times New Roman" w:eastAsia="Times New Roman" w:hAnsi="Times New Roman" w:cs="Times New Roman"/>
          <w:kern w:val="0"/>
          <w:sz w:val="24"/>
          <w:szCs w:val="24"/>
          <w:lang w:eastAsia="en-IN"/>
          <w14:ligatures w14:val="none"/>
        </w:rPr>
        <w:t>concerns.While</w:t>
      </w:r>
      <w:proofErr w:type="spellEnd"/>
      <w:proofErr w:type="gramEnd"/>
      <w:r w:rsidRPr="00446C80">
        <w:rPr>
          <w:rFonts w:ascii="Times New Roman" w:eastAsia="Times New Roman" w:hAnsi="Times New Roman" w:cs="Times New Roman"/>
          <w:kern w:val="0"/>
          <w:sz w:val="24"/>
          <w:szCs w:val="24"/>
          <w:lang w:eastAsia="en-IN"/>
          <w14:ligatures w14:val="none"/>
        </w:rPr>
        <w:t xml:space="preserve"> the research on DES applications in gas separation has yielded promising results, the review has also identified key challenges that need to be addressed to facilitate their widespread adoption. These include the high viscosity of certain DES formulations, the scaling up of DES-based systems to industrial levels, and the need to expand the application of DESs to a broader range of industrially relevant </w:t>
      </w:r>
      <w:proofErr w:type="spellStart"/>
      <w:r w:rsidRPr="00446C80">
        <w:rPr>
          <w:rFonts w:ascii="Times New Roman" w:eastAsia="Times New Roman" w:hAnsi="Times New Roman" w:cs="Times New Roman"/>
          <w:kern w:val="0"/>
          <w:sz w:val="24"/>
          <w:szCs w:val="24"/>
          <w:lang w:eastAsia="en-IN"/>
          <w14:ligatures w14:val="none"/>
        </w:rPr>
        <w:t>gases.The</w:t>
      </w:r>
      <w:proofErr w:type="spellEnd"/>
      <w:r w:rsidRPr="00446C80">
        <w:rPr>
          <w:rFonts w:ascii="Times New Roman" w:eastAsia="Times New Roman" w:hAnsi="Times New Roman" w:cs="Times New Roman"/>
          <w:kern w:val="0"/>
          <w:sz w:val="24"/>
          <w:szCs w:val="24"/>
          <w:lang w:eastAsia="en-IN"/>
          <w14:ligatures w14:val="none"/>
        </w:rPr>
        <w:t xml:space="preserve"> future research directions outlined in this review, such as the optimization of DES compositions, the advancement of process intensification strategies, and the integration of DES-based gas separation with renewable energy sources and carbon utilization, hold significant potential for further enhancing the performance, scalability, and sustainability of these novel </w:t>
      </w:r>
      <w:proofErr w:type="spellStart"/>
      <w:r w:rsidRPr="00446C80">
        <w:rPr>
          <w:rFonts w:ascii="Times New Roman" w:eastAsia="Times New Roman" w:hAnsi="Times New Roman" w:cs="Times New Roman"/>
          <w:kern w:val="0"/>
          <w:sz w:val="24"/>
          <w:szCs w:val="24"/>
          <w:lang w:eastAsia="en-IN"/>
          <w14:ligatures w14:val="none"/>
        </w:rPr>
        <w:t>solvents.As</w:t>
      </w:r>
      <w:proofErr w:type="spellEnd"/>
      <w:r w:rsidRPr="00446C80">
        <w:rPr>
          <w:rFonts w:ascii="Times New Roman" w:eastAsia="Times New Roman" w:hAnsi="Times New Roman" w:cs="Times New Roman"/>
          <w:kern w:val="0"/>
          <w:sz w:val="24"/>
          <w:szCs w:val="24"/>
          <w:lang w:eastAsia="en-IN"/>
          <w14:ligatures w14:val="none"/>
        </w:rPr>
        <w:t xml:space="preserve"> the global focus on environmental protection and the mitigation of industrial emissions intensifies, deep eutectic solvents have emerged as a beacon of hope, offering a transformative approach to industrial gas separation and treatment. The insights presented in this review serve as a valuable resource for researchers, engineers, and industry professionals, guiding them towards the development and implementation of eco-friendly, efficient, and cost-effective gas separation solutions that can contribute to a more sustainable industrial landscape.</w:t>
      </w:r>
    </w:p>
    <w:p w14:paraId="359DEB9F" w14:textId="77777777" w:rsidR="006A73A6" w:rsidRPr="00446C80" w:rsidRDefault="006A73A6" w:rsidP="00446C80">
      <w:pPr>
        <w:spacing w:line="360" w:lineRule="auto"/>
        <w:jc w:val="both"/>
        <w:rPr>
          <w:rFonts w:ascii="Times New Roman" w:hAnsi="Times New Roman" w:cs="Times New Roman"/>
          <w:sz w:val="24"/>
          <w:szCs w:val="24"/>
        </w:rPr>
      </w:pPr>
    </w:p>
    <w:p w14:paraId="0B108E68" w14:textId="77777777" w:rsidR="006A73A6" w:rsidRPr="006A73A6" w:rsidRDefault="006A73A6" w:rsidP="00446C80">
      <w:pPr>
        <w:spacing w:before="100" w:beforeAutospacing="1" w:after="100" w:afterAutospacing="1" w:line="360" w:lineRule="auto"/>
        <w:ind w:left="1440"/>
        <w:jc w:val="both"/>
        <w:rPr>
          <w:rFonts w:ascii="Times New Roman" w:eastAsia="Times New Roman" w:hAnsi="Times New Roman" w:cs="Times New Roman"/>
          <w:b/>
          <w:bCs/>
          <w:color w:val="FF0000"/>
          <w:kern w:val="0"/>
          <w:sz w:val="24"/>
          <w:szCs w:val="24"/>
          <w:lang w:eastAsia="en-IN"/>
          <w14:ligatures w14:val="none"/>
        </w:rPr>
      </w:pPr>
    </w:p>
    <w:p w14:paraId="50E688BF" w14:textId="77777777" w:rsidR="006A73A6" w:rsidRPr="006A73A6"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References (at least 20):</w:t>
      </w:r>
    </w:p>
    <w:p w14:paraId="22F6C46B"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[1] </w:t>
      </w:r>
      <w:proofErr w:type="spellStart"/>
      <w:r w:rsidRPr="006A73A6">
        <w:rPr>
          <w:rFonts w:ascii="Times New Roman" w:eastAsia="Times New Roman" w:hAnsi="Times New Roman" w:cs="Times New Roman"/>
          <w:kern w:val="0"/>
          <w:sz w:val="24"/>
          <w:szCs w:val="24"/>
          <w:lang w:eastAsia="en-IN"/>
          <w14:ligatures w14:val="none"/>
        </w:rPr>
        <w:t>Elhamarnah</w:t>
      </w:r>
      <w:proofErr w:type="spellEnd"/>
      <w:r w:rsidRPr="006A73A6">
        <w:rPr>
          <w:rFonts w:ascii="Times New Roman" w:eastAsia="Times New Roman" w:hAnsi="Times New Roman" w:cs="Times New Roman"/>
          <w:kern w:val="0"/>
          <w:sz w:val="24"/>
          <w:szCs w:val="24"/>
          <w:lang w:eastAsia="en-IN"/>
          <w14:ligatures w14:val="none"/>
        </w:rPr>
        <w:t xml:space="preserve">, Y., &amp; </w:t>
      </w:r>
      <w:proofErr w:type="spellStart"/>
      <w:r w:rsidRPr="006A73A6">
        <w:rPr>
          <w:rFonts w:ascii="Times New Roman" w:eastAsia="Times New Roman" w:hAnsi="Times New Roman" w:cs="Times New Roman"/>
          <w:kern w:val="0"/>
          <w:sz w:val="24"/>
          <w:szCs w:val="24"/>
          <w:lang w:eastAsia="en-IN"/>
          <w14:ligatures w14:val="none"/>
        </w:rPr>
        <w:t>Qiblawey</w:t>
      </w:r>
      <w:proofErr w:type="spellEnd"/>
      <w:r w:rsidRPr="006A73A6">
        <w:rPr>
          <w:rFonts w:ascii="Times New Roman" w:eastAsia="Times New Roman" w:hAnsi="Times New Roman" w:cs="Times New Roman"/>
          <w:kern w:val="0"/>
          <w:sz w:val="24"/>
          <w:szCs w:val="24"/>
          <w:lang w:eastAsia="en-IN"/>
          <w14:ligatures w14:val="none"/>
        </w:rPr>
        <w:t>, H. (2024). Deep Eutectic Solvents as A Sustainable Solution in Gas Separation: A Mini Review. IOP Conference Series: Earth and Environmental Science, 1393, 012003.</w:t>
      </w:r>
    </w:p>
    <w:p w14:paraId="1BBD5745"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 [2] Altamash, T., </w:t>
      </w:r>
      <w:proofErr w:type="spellStart"/>
      <w:r w:rsidRPr="006A73A6">
        <w:rPr>
          <w:rFonts w:ascii="Times New Roman" w:eastAsia="Times New Roman" w:hAnsi="Times New Roman" w:cs="Times New Roman"/>
          <w:kern w:val="0"/>
          <w:sz w:val="24"/>
          <w:szCs w:val="24"/>
          <w:lang w:eastAsia="en-IN"/>
          <w14:ligatures w14:val="none"/>
        </w:rPr>
        <w:t>Atilhan</w:t>
      </w:r>
      <w:proofErr w:type="spellEnd"/>
      <w:r w:rsidRPr="006A73A6">
        <w:rPr>
          <w:rFonts w:ascii="Times New Roman" w:eastAsia="Times New Roman" w:hAnsi="Times New Roman" w:cs="Times New Roman"/>
          <w:kern w:val="0"/>
          <w:sz w:val="24"/>
          <w:szCs w:val="24"/>
          <w:lang w:eastAsia="en-IN"/>
          <w14:ligatures w14:val="none"/>
        </w:rPr>
        <w:t>, M., Aliyan, A., Ullah, R., Nasser, M., &amp; Aparicio, S. (2017). Rheological, Thermodynamic, and Gas Solubility Properties of Phenylacetic Acid-Based Deep Eutectic Solvents. Chemical Engineering &amp; Technology, 40(4), 778-790.</w:t>
      </w:r>
    </w:p>
    <w:p w14:paraId="5A7B792A"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 [3] Altamash, T., </w:t>
      </w:r>
      <w:proofErr w:type="spellStart"/>
      <w:r w:rsidRPr="006A73A6">
        <w:rPr>
          <w:rFonts w:ascii="Times New Roman" w:eastAsia="Times New Roman" w:hAnsi="Times New Roman" w:cs="Times New Roman"/>
          <w:kern w:val="0"/>
          <w:sz w:val="24"/>
          <w:szCs w:val="24"/>
          <w:lang w:eastAsia="en-IN"/>
          <w14:ligatures w14:val="none"/>
        </w:rPr>
        <w:t>Atilhan</w:t>
      </w:r>
      <w:proofErr w:type="spellEnd"/>
      <w:r w:rsidRPr="006A73A6">
        <w:rPr>
          <w:rFonts w:ascii="Times New Roman" w:eastAsia="Times New Roman" w:hAnsi="Times New Roman" w:cs="Times New Roman"/>
          <w:kern w:val="0"/>
          <w:sz w:val="24"/>
          <w:szCs w:val="24"/>
          <w:lang w:eastAsia="en-IN"/>
          <w14:ligatures w14:val="none"/>
        </w:rPr>
        <w:t xml:space="preserve">, M., Aliyan, A., Ullah, R., Nasser, M., &amp; Aparicio, S. (2018). Gas solubility and rheological behavior study of betaine and alanine based natural deep eutectic solvents (NADES). Journal of Molecular Liquids, 256, 286-295. </w:t>
      </w:r>
    </w:p>
    <w:p w14:paraId="432BBE5B"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[4] Zhang, K., Ren, S., Hou, Y., &amp; Wu, W. (2016). Efficient absorption of SO2 with low-partial pressures by environmentally benign functional deep eutectic solvents. Journal of Hazardous Materials, 320, 529-535. </w:t>
      </w:r>
    </w:p>
    <w:p w14:paraId="2EC2ECFC"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[5] Deng, D., Liu, X., &amp; Gao, B. (2017). Physicochemical Properties and Investigation of Azole-Based Deep Eutectic Solvents as Efficient and Reversible SO2 Absorbents. Industrial &amp; Engineering Chemistry Research, 56(44), 12502-12509. </w:t>
      </w:r>
    </w:p>
    <w:p w14:paraId="30456B5B"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[6] Guo, B., Duan, E., Zhong, Y., Gao, L., Zhang, X., &amp; Zhao, D. (2011). Absorption and Oxidation of H2S in Caprolactam </w:t>
      </w:r>
      <w:proofErr w:type="spellStart"/>
      <w:r w:rsidRPr="006A73A6">
        <w:rPr>
          <w:rFonts w:ascii="Times New Roman" w:eastAsia="Times New Roman" w:hAnsi="Times New Roman" w:cs="Times New Roman"/>
          <w:kern w:val="0"/>
          <w:sz w:val="24"/>
          <w:szCs w:val="24"/>
          <w:lang w:eastAsia="en-IN"/>
          <w14:ligatures w14:val="none"/>
        </w:rPr>
        <w:t>Tetrabutyl</w:t>
      </w:r>
      <w:proofErr w:type="spellEnd"/>
      <w:r w:rsidRPr="006A73A6">
        <w:rPr>
          <w:rFonts w:ascii="Times New Roman" w:eastAsia="Times New Roman" w:hAnsi="Times New Roman" w:cs="Times New Roman"/>
          <w:kern w:val="0"/>
          <w:sz w:val="24"/>
          <w:szCs w:val="24"/>
          <w:lang w:eastAsia="en-IN"/>
          <w14:ligatures w14:val="none"/>
        </w:rPr>
        <w:t xml:space="preserve"> Ammonium Bromide Ionic Liquid. Energy &amp; Fuels, 25(1), 159-161.</w:t>
      </w:r>
    </w:p>
    <w:p w14:paraId="5C186AD9"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 [7] </w:t>
      </w:r>
      <w:proofErr w:type="spellStart"/>
      <w:r w:rsidRPr="006A73A6">
        <w:rPr>
          <w:rFonts w:ascii="Times New Roman" w:eastAsia="Times New Roman" w:hAnsi="Times New Roman" w:cs="Times New Roman"/>
          <w:kern w:val="0"/>
          <w:sz w:val="24"/>
          <w:szCs w:val="24"/>
          <w:lang w:eastAsia="en-IN"/>
          <w14:ligatures w14:val="none"/>
        </w:rPr>
        <w:t>Elhamarnah</w:t>
      </w:r>
      <w:proofErr w:type="spellEnd"/>
      <w:r w:rsidRPr="006A73A6">
        <w:rPr>
          <w:rFonts w:ascii="Times New Roman" w:eastAsia="Times New Roman" w:hAnsi="Times New Roman" w:cs="Times New Roman"/>
          <w:kern w:val="0"/>
          <w:sz w:val="24"/>
          <w:szCs w:val="24"/>
          <w:lang w:eastAsia="en-IN"/>
          <w14:ligatures w14:val="none"/>
        </w:rPr>
        <w:t xml:space="preserve">, Y., </w:t>
      </w:r>
      <w:proofErr w:type="spellStart"/>
      <w:r w:rsidRPr="006A73A6">
        <w:rPr>
          <w:rFonts w:ascii="Times New Roman" w:eastAsia="Times New Roman" w:hAnsi="Times New Roman" w:cs="Times New Roman"/>
          <w:kern w:val="0"/>
          <w:sz w:val="24"/>
          <w:szCs w:val="24"/>
          <w:lang w:eastAsia="en-IN"/>
          <w14:ligatures w14:val="none"/>
        </w:rPr>
        <w:t>Qiblawey</w:t>
      </w:r>
      <w:proofErr w:type="spellEnd"/>
      <w:r w:rsidRPr="006A73A6">
        <w:rPr>
          <w:rFonts w:ascii="Times New Roman" w:eastAsia="Times New Roman" w:hAnsi="Times New Roman" w:cs="Times New Roman"/>
          <w:kern w:val="0"/>
          <w:sz w:val="24"/>
          <w:szCs w:val="24"/>
          <w:lang w:eastAsia="en-IN"/>
          <w14:ligatures w14:val="none"/>
        </w:rPr>
        <w:t xml:space="preserve">, H., Nasser, M., &amp; Benamor, A. (2019). A comprehensive review on the rheological behavior of imidazolium based ionic liquids and natural deep eutectic solvents. Journal of Molecular Liquids, 277, 932-958. </w:t>
      </w:r>
    </w:p>
    <w:p w14:paraId="24A959A3" w14:textId="77777777" w:rsidR="006A73A6"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[8] </w:t>
      </w:r>
      <w:proofErr w:type="spellStart"/>
      <w:r w:rsidRPr="006A73A6">
        <w:rPr>
          <w:rFonts w:ascii="Times New Roman" w:eastAsia="Times New Roman" w:hAnsi="Times New Roman" w:cs="Times New Roman"/>
          <w:kern w:val="0"/>
          <w:sz w:val="24"/>
          <w:szCs w:val="24"/>
          <w:lang w:eastAsia="en-IN"/>
          <w14:ligatures w14:val="none"/>
        </w:rPr>
        <w:t>Elhamarnah</w:t>
      </w:r>
      <w:proofErr w:type="spellEnd"/>
      <w:r w:rsidRPr="006A73A6">
        <w:rPr>
          <w:rFonts w:ascii="Times New Roman" w:eastAsia="Times New Roman" w:hAnsi="Times New Roman" w:cs="Times New Roman"/>
          <w:kern w:val="0"/>
          <w:sz w:val="24"/>
          <w:szCs w:val="24"/>
          <w:lang w:eastAsia="en-IN"/>
          <w14:ligatures w14:val="none"/>
        </w:rPr>
        <w:t xml:space="preserve">, Y., </w:t>
      </w:r>
      <w:proofErr w:type="spellStart"/>
      <w:r w:rsidRPr="006A73A6">
        <w:rPr>
          <w:rFonts w:ascii="Times New Roman" w:eastAsia="Times New Roman" w:hAnsi="Times New Roman" w:cs="Times New Roman"/>
          <w:kern w:val="0"/>
          <w:sz w:val="24"/>
          <w:szCs w:val="24"/>
          <w:lang w:eastAsia="en-IN"/>
          <w14:ligatures w14:val="none"/>
        </w:rPr>
        <w:t>Qiblawey</w:t>
      </w:r>
      <w:proofErr w:type="spellEnd"/>
      <w:r w:rsidRPr="006A73A6">
        <w:rPr>
          <w:rFonts w:ascii="Times New Roman" w:eastAsia="Times New Roman" w:hAnsi="Times New Roman" w:cs="Times New Roman"/>
          <w:kern w:val="0"/>
          <w:sz w:val="24"/>
          <w:szCs w:val="24"/>
          <w:lang w:eastAsia="en-IN"/>
          <w14:ligatures w14:val="none"/>
        </w:rPr>
        <w:t>, H., &amp; Nasser, M. (2024). A review on Deep eutectic solvents as the emerging class of green solvents for membrane fabrication and separations. Journal of Molecular Liquids, 398, 124250.</w:t>
      </w:r>
    </w:p>
    <w:p w14:paraId="081DB6C6" w14:textId="77777777" w:rsidR="00446C80" w:rsidRPr="00446C80" w:rsidRDefault="006A73A6" w:rsidP="00446C80">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6A73A6">
        <w:rPr>
          <w:rFonts w:ascii="Times New Roman" w:eastAsia="Times New Roman" w:hAnsi="Times New Roman" w:cs="Times New Roman"/>
          <w:kern w:val="0"/>
          <w:sz w:val="24"/>
          <w:szCs w:val="24"/>
          <w:lang w:eastAsia="en-IN"/>
          <w14:ligatures w14:val="none"/>
        </w:rPr>
        <w:t xml:space="preserve"> [9] </w:t>
      </w:r>
      <w:proofErr w:type="spellStart"/>
      <w:r w:rsidRPr="006A73A6">
        <w:rPr>
          <w:rFonts w:ascii="Times New Roman" w:eastAsia="Times New Roman" w:hAnsi="Times New Roman" w:cs="Times New Roman"/>
          <w:kern w:val="0"/>
          <w:sz w:val="24"/>
          <w:szCs w:val="24"/>
          <w:lang w:eastAsia="en-IN"/>
          <w14:ligatures w14:val="none"/>
        </w:rPr>
        <w:t>Elhamarnah</w:t>
      </w:r>
      <w:proofErr w:type="spellEnd"/>
      <w:r w:rsidRPr="006A73A6">
        <w:rPr>
          <w:rFonts w:ascii="Times New Roman" w:eastAsia="Times New Roman" w:hAnsi="Times New Roman" w:cs="Times New Roman"/>
          <w:kern w:val="0"/>
          <w:sz w:val="24"/>
          <w:szCs w:val="24"/>
          <w:lang w:eastAsia="en-IN"/>
          <w14:ligatures w14:val="none"/>
        </w:rPr>
        <w:t xml:space="preserve">, Y., </w:t>
      </w:r>
      <w:proofErr w:type="spellStart"/>
      <w:r w:rsidRPr="006A73A6">
        <w:rPr>
          <w:rFonts w:ascii="Times New Roman" w:eastAsia="Times New Roman" w:hAnsi="Times New Roman" w:cs="Times New Roman"/>
          <w:kern w:val="0"/>
          <w:sz w:val="24"/>
          <w:szCs w:val="24"/>
          <w:lang w:eastAsia="en-IN"/>
          <w14:ligatures w14:val="none"/>
        </w:rPr>
        <w:t>Alkhouzaam</w:t>
      </w:r>
      <w:proofErr w:type="spellEnd"/>
      <w:r w:rsidRPr="006A73A6">
        <w:rPr>
          <w:rFonts w:ascii="Times New Roman" w:eastAsia="Times New Roman" w:hAnsi="Times New Roman" w:cs="Times New Roman"/>
          <w:kern w:val="0"/>
          <w:sz w:val="24"/>
          <w:szCs w:val="24"/>
          <w:lang w:eastAsia="en-IN"/>
          <w14:ligatures w14:val="none"/>
        </w:rPr>
        <w:t xml:space="preserve">, A., </w:t>
      </w:r>
      <w:proofErr w:type="spellStart"/>
      <w:r w:rsidRPr="006A73A6">
        <w:rPr>
          <w:rFonts w:ascii="Times New Roman" w:eastAsia="Times New Roman" w:hAnsi="Times New Roman" w:cs="Times New Roman"/>
          <w:kern w:val="0"/>
          <w:sz w:val="24"/>
          <w:szCs w:val="24"/>
          <w:lang w:eastAsia="en-IN"/>
          <w14:ligatures w14:val="none"/>
        </w:rPr>
        <w:t>Qiblawey</w:t>
      </w:r>
      <w:proofErr w:type="spellEnd"/>
      <w:r w:rsidRPr="006A73A6">
        <w:rPr>
          <w:rFonts w:ascii="Times New Roman" w:eastAsia="Times New Roman" w:hAnsi="Times New Roman" w:cs="Times New Roman"/>
          <w:kern w:val="0"/>
          <w:sz w:val="24"/>
          <w:szCs w:val="24"/>
          <w:lang w:eastAsia="en-IN"/>
          <w14:ligatures w14:val="none"/>
        </w:rPr>
        <w:t xml:space="preserve">, H., &amp; Nasser, M. (2024). Enhancing the properties and performance of </w:t>
      </w:r>
      <w:proofErr w:type="spellStart"/>
      <w:r w:rsidRPr="006A73A6">
        <w:rPr>
          <w:rFonts w:ascii="Times New Roman" w:eastAsia="Times New Roman" w:hAnsi="Times New Roman" w:cs="Times New Roman"/>
          <w:kern w:val="0"/>
          <w:sz w:val="24"/>
          <w:szCs w:val="24"/>
          <w:lang w:eastAsia="en-IN"/>
          <w14:ligatures w14:val="none"/>
        </w:rPr>
        <w:t>polysulfone</w:t>
      </w:r>
      <w:proofErr w:type="spellEnd"/>
      <w:r w:rsidRPr="006A73A6">
        <w:rPr>
          <w:rFonts w:ascii="Times New Roman" w:eastAsia="Times New Roman" w:hAnsi="Times New Roman" w:cs="Times New Roman"/>
          <w:kern w:val="0"/>
          <w:sz w:val="24"/>
          <w:szCs w:val="24"/>
          <w:lang w:eastAsia="en-IN"/>
          <w14:ligatures w14:val="none"/>
        </w:rPr>
        <w:t xml:space="preserve"> ultrafiltration membranes using citric acid based deep eutectic solvent additives. Journal of Environmental Chemical Engineering, 12(2), 112110. </w:t>
      </w:r>
    </w:p>
    <w:sectPr w:rsidR="00446C80" w:rsidRPr="00446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B462A"/>
    <w:multiLevelType w:val="multilevel"/>
    <w:tmpl w:val="D82C9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9053B"/>
    <w:multiLevelType w:val="multilevel"/>
    <w:tmpl w:val="C6986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4631406">
    <w:abstractNumId w:val="0"/>
  </w:num>
  <w:num w:numId="2" w16cid:durableId="1922254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QzNzUxNbAwNjMzM7BU0lEKTi0uzszPAykwrAUAtaP8dywAAAA="/>
  </w:docVars>
  <w:rsids>
    <w:rsidRoot w:val="006A73A6"/>
    <w:rsid w:val="001738BE"/>
    <w:rsid w:val="002164EB"/>
    <w:rsid w:val="00404239"/>
    <w:rsid w:val="00446C80"/>
    <w:rsid w:val="0049019B"/>
    <w:rsid w:val="004A3F9A"/>
    <w:rsid w:val="00664BAF"/>
    <w:rsid w:val="006A73A6"/>
    <w:rsid w:val="007853AD"/>
    <w:rsid w:val="007A11AB"/>
    <w:rsid w:val="007A6CC5"/>
    <w:rsid w:val="0088122C"/>
    <w:rsid w:val="00AA15BE"/>
    <w:rsid w:val="00B4124C"/>
    <w:rsid w:val="00CE2FA6"/>
    <w:rsid w:val="00CE3D23"/>
    <w:rsid w:val="00F426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5087B"/>
  <w15:chartTrackingRefBased/>
  <w15:docId w15:val="{70C1BFD0-8D52-4EC9-A2B6-26CCE9A2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6A73A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whitespace-normal">
    <w:name w:val="whitespace-normal"/>
    <w:basedOn w:val="Normal"/>
    <w:rsid w:val="006A73A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max-w-0">
    <w:name w:val="max-w-0"/>
    <w:basedOn w:val="DefaultParagraphFont"/>
    <w:rsid w:val="006A73A6"/>
  </w:style>
  <w:style w:type="paragraph" w:styleId="ListParagraph">
    <w:name w:val="List Paragraph"/>
    <w:basedOn w:val="Normal"/>
    <w:uiPriority w:val="34"/>
    <w:qFormat/>
    <w:rsid w:val="006A73A6"/>
    <w:pPr>
      <w:ind w:left="720"/>
      <w:contextualSpacing/>
    </w:pPr>
  </w:style>
  <w:style w:type="table" w:styleId="TableGrid">
    <w:name w:val="Table Grid"/>
    <w:basedOn w:val="TableNormal"/>
    <w:uiPriority w:val="39"/>
    <w:rsid w:val="00404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70202">
      <w:bodyDiv w:val="1"/>
      <w:marLeft w:val="0"/>
      <w:marRight w:val="0"/>
      <w:marTop w:val="0"/>
      <w:marBottom w:val="0"/>
      <w:divBdr>
        <w:top w:val="none" w:sz="0" w:space="0" w:color="auto"/>
        <w:left w:val="none" w:sz="0" w:space="0" w:color="auto"/>
        <w:bottom w:val="none" w:sz="0" w:space="0" w:color="auto"/>
        <w:right w:val="none" w:sz="0" w:space="0" w:color="auto"/>
      </w:divBdr>
    </w:div>
    <w:div w:id="429471906">
      <w:bodyDiv w:val="1"/>
      <w:marLeft w:val="0"/>
      <w:marRight w:val="0"/>
      <w:marTop w:val="0"/>
      <w:marBottom w:val="0"/>
      <w:divBdr>
        <w:top w:val="none" w:sz="0" w:space="0" w:color="auto"/>
        <w:left w:val="none" w:sz="0" w:space="0" w:color="auto"/>
        <w:bottom w:val="none" w:sz="0" w:space="0" w:color="auto"/>
        <w:right w:val="none" w:sz="0" w:space="0" w:color="auto"/>
      </w:divBdr>
      <w:divsChild>
        <w:div w:id="1405177241">
          <w:marLeft w:val="0"/>
          <w:marRight w:val="0"/>
          <w:marTop w:val="0"/>
          <w:marBottom w:val="0"/>
          <w:divBdr>
            <w:top w:val="single" w:sz="2" w:space="0" w:color="E5E7EB"/>
            <w:left w:val="single" w:sz="2" w:space="0" w:color="E5E7EB"/>
            <w:bottom w:val="single" w:sz="2" w:space="0" w:color="E5E7EB"/>
            <w:right w:val="single" w:sz="2" w:space="0" w:color="E5E7EB"/>
          </w:divBdr>
          <w:divsChild>
            <w:div w:id="2004577416">
              <w:marLeft w:val="0"/>
              <w:marRight w:val="0"/>
              <w:marTop w:val="0"/>
              <w:marBottom w:val="0"/>
              <w:divBdr>
                <w:top w:val="single" w:sz="2" w:space="0" w:color="auto"/>
                <w:left w:val="single" w:sz="2" w:space="0" w:color="auto"/>
                <w:bottom w:val="single" w:sz="2" w:space="0" w:color="auto"/>
                <w:right w:val="single" w:sz="2" w:space="0" w:color="auto"/>
              </w:divBdr>
              <w:divsChild>
                <w:div w:id="170415179">
                  <w:marLeft w:val="0"/>
                  <w:marRight w:val="0"/>
                  <w:marTop w:val="0"/>
                  <w:marBottom w:val="0"/>
                  <w:divBdr>
                    <w:top w:val="single" w:sz="2" w:space="0" w:color="auto"/>
                    <w:left w:val="single" w:sz="2" w:space="0" w:color="auto"/>
                    <w:bottom w:val="single" w:sz="2" w:space="0" w:color="auto"/>
                    <w:right w:val="single" w:sz="2" w:space="0" w:color="auto"/>
                  </w:divBdr>
                  <w:divsChild>
                    <w:div w:id="1275019112">
                      <w:marLeft w:val="0"/>
                      <w:marRight w:val="0"/>
                      <w:marTop w:val="0"/>
                      <w:marBottom w:val="0"/>
                      <w:divBdr>
                        <w:top w:val="single" w:sz="2" w:space="0" w:color="E5E7EB"/>
                        <w:left w:val="single" w:sz="2" w:space="0" w:color="E5E7EB"/>
                        <w:bottom w:val="single" w:sz="2" w:space="0" w:color="E5E7EB"/>
                        <w:right w:val="single" w:sz="2" w:space="0" w:color="E5E7EB"/>
                      </w:divBdr>
                      <w:divsChild>
                        <w:div w:id="572551184">
                          <w:marLeft w:val="0"/>
                          <w:marRight w:val="0"/>
                          <w:marTop w:val="0"/>
                          <w:marBottom w:val="0"/>
                          <w:divBdr>
                            <w:top w:val="single" w:sz="2" w:space="0" w:color="E5E7EB"/>
                            <w:left w:val="single" w:sz="2" w:space="0" w:color="E5E7EB"/>
                            <w:bottom w:val="single" w:sz="2" w:space="0" w:color="E5E7EB"/>
                            <w:right w:val="single" w:sz="2" w:space="0" w:color="E5E7EB"/>
                          </w:divBdr>
                          <w:divsChild>
                            <w:div w:id="203559745">
                              <w:marLeft w:val="0"/>
                              <w:marRight w:val="0"/>
                              <w:marTop w:val="0"/>
                              <w:marBottom w:val="0"/>
                              <w:divBdr>
                                <w:top w:val="single" w:sz="2" w:space="0" w:color="E5E7EB"/>
                                <w:left w:val="single" w:sz="2" w:space="0" w:color="E5E7EB"/>
                                <w:bottom w:val="single" w:sz="2" w:space="0" w:color="E5E7EB"/>
                                <w:right w:val="single" w:sz="2" w:space="0" w:color="E5E7EB"/>
                              </w:divBdr>
                              <w:divsChild>
                                <w:div w:id="718281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835535619">
                  <w:marLeft w:val="0"/>
                  <w:marRight w:val="0"/>
                  <w:marTop w:val="0"/>
                  <w:marBottom w:val="0"/>
                  <w:divBdr>
                    <w:top w:val="single" w:sz="2" w:space="0" w:color="auto"/>
                    <w:left w:val="single" w:sz="2" w:space="0" w:color="auto"/>
                    <w:bottom w:val="single" w:sz="2" w:space="0" w:color="auto"/>
                    <w:right w:val="single" w:sz="2" w:space="0" w:color="auto"/>
                  </w:divBdr>
                  <w:divsChild>
                    <w:div w:id="18163229">
                      <w:marLeft w:val="0"/>
                      <w:marRight w:val="0"/>
                      <w:marTop w:val="0"/>
                      <w:marBottom w:val="0"/>
                      <w:divBdr>
                        <w:top w:val="single" w:sz="2" w:space="0" w:color="E5E7EB"/>
                        <w:left w:val="single" w:sz="2" w:space="0" w:color="E5E7EB"/>
                        <w:bottom w:val="single" w:sz="2" w:space="0" w:color="E5E7EB"/>
                        <w:right w:val="single" w:sz="2" w:space="0" w:color="E5E7EB"/>
                      </w:divBdr>
                      <w:divsChild>
                        <w:div w:id="871840480">
                          <w:marLeft w:val="0"/>
                          <w:marRight w:val="0"/>
                          <w:marTop w:val="0"/>
                          <w:marBottom w:val="0"/>
                          <w:divBdr>
                            <w:top w:val="single" w:sz="2" w:space="0" w:color="E5E7EB"/>
                            <w:left w:val="single" w:sz="2" w:space="0" w:color="E5E7EB"/>
                            <w:bottom w:val="single" w:sz="2" w:space="0" w:color="E5E7EB"/>
                            <w:right w:val="single" w:sz="2" w:space="0" w:color="E5E7EB"/>
                          </w:divBdr>
                          <w:divsChild>
                            <w:div w:id="1494685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367862">
                          <w:marLeft w:val="0"/>
                          <w:marRight w:val="0"/>
                          <w:marTop w:val="0"/>
                          <w:marBottom w:val="0"/>
                          <w:divBdr>
                            <w:top w:val="single" w:sz="2" w:space="0" w:color="E5E7EB"/>
                            <w:left w:val="single" w:sz="2" w:space="0" w:color="E5E7EB"/>
                            <w:bottom w:val="single" w:sz="2" w:space="0" w:color="E5E7EB"/>
                            <w:right w:val="single" w:sz="2" w:space="0" w:color="E5E7EB"/>
                          </w:divBdr>
                          <w:divsChild>
                            <w:div w:id="11201460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30021037">
      <w:bodyDiv w:val="1"/>
      <w:marLeft w:val="0"/>
      <w:marRight w:val="0"/>
      <w:marTop w:val="0"/>
      <w:marBottom w:val="0"/>
      <w:divBdr>
        <w:top w:val="none" w:sz="0" w:space="0" w:color="auto"/>
        <w:left w:val="none" w:sz="0" w:space="0" w:color="auto"/>
        <w:bottom w:val="none" w:sz="0" w:space="0" w:color="auto"/>
        <w:right w:val="none" w:sz="0" w:space="0" w:color="auto"/>
      </w:divBdr>
    </w:div>
    <w:div w:id="743913064">
      <w:bodyDiv w:val="1"/>
      <w:marLeft w:val="0"/>
      <w:marRight w:val="0"/>
      <w:marTop w:val="0"/>
      <w:marBottom w:val="0"/>
      <w:divBdr>
        <w:top w:val="none" w:sz="0" w:space="0" w:color="auto"/>
        <w:left w:val="none" w:sz="0" w:space="0" w:color="auto"/>
        <w:bottom w:val="none" w:sz="0" w:space="0" w:color="auto"/>
        <w:right w:val="none" w:sz="0" w:space="0" w:color="auto"/>
      </w:divBdr>
    </w:div>
    <w:div w:id="900596115">
      <w:bodyDiv w:val="1"/>
      <w:marLeft w:val="0"/>
      <w:marRight w:val="0"/>
      <w:marTop w:val="0"/>
      <w:marBottom w:val="0"/>
      <w:divBdr>
        <w:top w:val="none" w:sz="0" w:space="0" w:color="auto"/>
        <w:left w:val="none" w:sz="0" w:space="0" w:color="auto"/>
        <w:bottom w:val="none" w:sz="0" w:space="0" w:color="auto"/>
        <w:right w:val="none" w:sz="0" w:space="0" w:color="auto"/>
      </w:divBdr>
    </w:div>
    <w:div w:id="1171290515">
      <w:bodyDiv w:val="1"/>
      <w:marLeft w:val="0"/>
      <w:marRight w:val="0"/>
      <w:marTop w:val="0"/>
      <w:marBottom w:val="0"/>
      <w:divBdr>
        <w:top w:val="none" w:sz="0" w:space="0" w:color="auto"/>
        <w:left w:val="none" w:sz="0" w:space="0" w:color="auto"/>
        <w:bottom w:val="none" w:sz="0" w:space="0" w:color="auto"/>
        <w:right w:val="none" w:sz="0" w:space="0" w:color="auto"/>
      </w:divBdr>
    </w:div>
    <w:div w:id="1198544968">
      <w:bodyDiv w:val="1"/>
      <w:marLeft w:val="0"/>
      <w:marRight w:val="0"/>
      <w:marTop w:val="0"/>
      <w:marBottom w:val="0"/>
      <w:divBdr>
        <w:top w:val="none" w:sz="0" w:space="0" w:color="auto"/>
        <w:left w:val="none" w:sz="0" w:space="0" w:color="auto"/>
        <w:bottom w:val="none" w:sz="0" w:space="0" w:color="auto"/>
        <w:right w:val="none" w:sz="0" w:space="0" w:color="auto"/>
      </w:divBdr>
    </w:div>
    <w:div w:id="1497647491">
      <w:bodyDiv w:val="1"/>
      <w:marLeft w:val="0"/>
      <w:marRight w:val="0"/>
      <w:marTop w:val="0"/>
      <w:marBottom w:val="0"/>
      <w:divBdr>
        <w:top w:val="none" w:sz="0" w:space="0" w:color="auto"/>
        <w:left w:val="none" w:sz="0" w:space="0" w:color="auto"/>
        <w:bottom w:val="none" w:sz="0" w:space="0" w:color="auto"/>
        <w:right w:val="none" w:sz="0" w:space="0" w:color="auto"/>
      </w:divBdr>
    </w:div>
    <w:div w:id="1531718007">
      <w:bodyDiv w:val="1"/>
      <w:marLeft w:val="0"/>
      <w:marRight w:val="0"/>
      <w:marTop w:val="0"/>
      <w:marBottom w:val="0"/>
      <w:divBdr>
        <w:top w:val="none" w:sz="0" w:space="0" w:color="auto"/>
        <w:left w:val="none" w:sz="0" w:space="0" w:color="auto"/>
        <w:bottom w:val="none" w:sz="0" w:space="0" w:color="auto"/>
        <w:right w:val="none" w:sz="0" w:space="0" w:color="auto"/>
      </w:divBdr>
      <w:divsChild>
        <w:div w:id="387344835">
          <w:marLeft w:val="0"/>
          <w:marRight w:val="0"/>
          <w:marTop w:val="0"/>
          <w:marBottom w:val="0"/>
          <w:divBdr>
            <w:top w:val="none" w:sz="0" w:space="0" w:color="auto"/>
            <w:left w:val="none" w:sz="0" w:space="0" w:color="auto"/>
            <w:bottom w:val="none" w:sz="0" w:space="0" w:color="auto"/>
            <w:right w:val="none" w:sz="0" w:space="0" w:color="auto"/>
          </w:divBdr>
          <w:divsChild>
            <w:div w:id="449516205">
              <w:marLeft w:val="0"/>
              <w:marRight w:val="0"/>
              <w:marTop w:val="0"/>
              <w:marBottom w:val="0"/>
              <w:divBdr>
                <w:top w:val="none" w:sz="0" w:space="0" w:color="auto"/>
                <w:left w:val="none" w:sz="0" w:space="0" w:color="auto"/>
                <w:bottom w:val="none" w:sz="0" w:space="0" w:color="auto"/>
                <w:right w:val="none" w:sz="0" w:space="0" w:color="auto"/>
              </w:divBdr>
              <w:divsChild>
                <w:div w:id="110245702">
                  <w:marLeft w:val="0"/>
                  <w:marRight w:val="0"/>
                  <w:marTop w:val="0"/>
                  <w:marBottom w:val="0"/>
                  <w:divBdr>
                    <w:top w:val="none" w:sz="0" w:space="0" w:color="auto"/>
                    <w:left w:val="none" w:sz="0" w:space="0" w:color="auto"/>
                    <w:bottom w:val="none" w:sz="0" w:space="0" w:color="auto"/>
                    <w:right w:val="none" w:sz="0" w:space="0" w:color="auto"/>
                  </w:divBdr>
                  <w:divsChild>
                    <w:div w:id="756023561">
                      <w:marLeft w:val="0"/>
                      <w:marRight w:val="0"/>
                      <w:marTop w:val="0"/>
                      <w:marBottom w:val="0"/>
                      <w:divBdr>
                        <w:top w:val="none" w:sz="0" w:space="0" w:color="auto"/>
                        <w:left w:val="none" w:sz="0" w:space="0" w:color="auto"/>
                        <w:bottom w:val="none" w:sz="0" w:space="0" w:color="auto"/>
                        <w:right w:val="none" w:sz="0" w:space="0" w:color="auto"/>
                      </w:divBdr>
                      <w:divsChild>
                        <w:div w:id="608508544">
                          <w:marLeft w:val="0"/>
                          <w:marRight w:val="0"/>
                          <w:marTop w:val="0"/>
                          <w:marBottom w:val="0"/>
                          <w:divBdr>
                            <w:top w:val="none" w:sz="0" w:space="0" w:color="auto"/>
                            <w:left w:val="none" w:sz="0" w:space="0" w:color="auto"/>
                            <w:bottom w:val="none" w:sz="0" w:space="0" w:color="auto"/>
                            <w:right w:val="none" w:sz="0" w:space="0" w:color="auto"/>
                          </w:divBdr>
                          <w:divsChild>
                            <w:div w:id="11701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17468">
                      <w:marLeft w:val="0"/>
                      <w:marRight w:val="0"/>
                      <w:marTop w:val="0"/>
                      <w:marBottom w:val="0"/>
                      <w:divBdr>
                        <w:top w:val="none" w:sz="0" w:space="0" w:color="auto"/>
                        <w:left w:val="none" w:sz="0" w:space="0" w:color="auto"/>
                        <w:bottom w:val="none" w:sz="0" w:space="0" w:color="auto"/>
                        <w:right w:val="none" w:sz="0" w:space="0" w:color="auto"/>
                      </w:divBdr>
                      <w:divsChild>
                        <w:div w:id="836068226">
                          <w:marLeft w:val="0"/>
                          <w:marRight w:val="0"/>
                          <w:marTop w:val="0"/>
                          <w:marBottom w:val="0"/>
                          <w:divBdr>
                            <w:top w:val="none" w:sz="0" w:space="0" w:color="auto"/>
                            <w:left w:val="none" w:sz="0" w:space="0" w:color="auto"/>
                            <w:bottom w:val="none" w:sz="0" w:space="0" w:color="auto"/>
                            <w:right w:val="none" w:sz="0" w:space="0" w:color="auto"/>
                          </w:divBdr>
                          <w:divsChild>
                            <w:div w:id="590165844">
                              <w:marLeft w:val="0"/>
                              <w:marRight w:val="0"/>
                              <w:marTop w:val="0"/>
                              <w:marBottom w:val="0"/>
                              <w:divBdr>
                                <w:top w:val="none" w:sz="0" w:space="0" w:color="auto"/>
                                <w:left w:val="none" w:sz="0" w:space="0" w:color="auto"/>
                                <w:bottom w:val="none" w:sz="0" w:space="0" w:color="auto"/>
                                <w:right w:val="none" w:sz="0" w:space="0" w:color="auto"/>
                              </w:divBdr>
                              <w:divsChild>
                                <w:div w:id="8444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179975">
          <w:marLeft w:val="0"/>
          <w:marRight w:val="0"/>
          <w:marTop w:val="0"/>
          <w:marBottom w:val="0"/>
          <w:divBdr>
            <w:top w:val="none" w:sz="0" w:space="0" w:color="auto"/>
            <w:left w:val="none" w:sz="0" w:space="0" w:color="auto"/>
            <w:bottom w:val="none" w:sz="0" w:space="0" w:color="auto"/>
            <w:right w:val="none" w:sz="0" w:space="0" w:color="auto"/>
          </w:divBdr>
          <w:divsChild>
            <w:div w:id="1376807491">
              <w:marLeft w:val="0"/>
              <w:marRight w:val="0"/>
              <w:marTop w:val="0"/>
              <w:marBottom w:val="0"/>
              <w:divBdr>
                <w:top w:val="none" w:sz="0" w:space="0" w:color="auto"/>
                <w:left w:val="none" w:sz="0" w:space="0" w:color="auto"/>
                <w:bottom w:val="none" w:sz="0" w:space="0" w:color="auto"/>
                <w:right w:val="none" w:sz="0" w:space="0" w:color="auto"/>
              </w:divBdr>
              <w:divsChild>
                <w:div w:id="638152067">
                  <w:marLeft w:val="0"/>
                  <w:marRight w:val="0"/>
                  <w:marTop w:val="0"/>
                  <w:marBottom w:val="0"/>
                  <w:divBdr>
                    <w:top w:val="none" w:sz="0" w:space="0" w:color="auto"/>
                    <w:left w:val="none" w:sz="0" w:space="0" w:color="auto"/>
                    <w:bottom w:val="none" w:sz="0" w:space="0" w:color="auto"/>
                    <w:right w:val="none" w:sz="0" w:space="0" w:color="auto"/>
                  </w:divBdr>
                  <w:divsChild>
                    <w:div w:id="966396757">
                      <w:marLeft w:val="0"/>
                      <w:marRight w:val="0"/>
                      <w:marTop w:val="0"/>
                      <w:marBottom w:val="0"/>
                      <w:divBdr>
                        <w:top w:val="none" w:sz="0" w:space="0" w:color="auto"/>
                        <w:left w:val="none" w:sz="0" w:space="0" w:color="auto"/>
                        <w:bottom w:val="none" w:sz="0" w:space="0" w:color="auto"/>
                        <w:right w:val="none" w:sz="0" w:space="0" w:color="auto"/>
                      </w:divBdr>
                      <w:divsChild>
                        <w:div w:id="2104060812">
                          <w:marLeft w:val="0"/>
                          <w:marRight w:val="0"/>
                          <w:marTop w:val="0"/>
                          <w:marBottom w:val="0"/>
                          <w:divBdr>
                            <w:top w:val="none" w:sz="0" w:space="0" w:color="auto"/>
                            <w:left w:val="none" w:sz="0" w:space="0" w:color="auto"/>
                            <w:bottom w:val="none" w:sz="0" w:space="0" w:color="auto"/>
                            <w:right w:val="none" w:sz="0" w:space="0" w:color="auto"/>
                          </w:divBdr>
                          <w:divsChild>
                            <w:div w:id="12074942">
                              <w:marLeft w:val="0"/>
                              <w:marRight w:val="0"/>
                              <w:marTop w:val="0"/>
                              <w:marBottom w:val="0"/>
                              <w:divBdr>
                                <w:top w:val="none" w:sz="0" w:space="0" w:color="auto"/>
                                <w:left w:val="none" w:sz="0" w:space="0" w:color="auto"/>
                                <w:bottom w:val="none" w:sz="0" w:space="0" w:color="auto"/>
                                <w:right w:val="none" w:sz="0" w:space="0" w:color="auto"/>
                              </w:divBdr>
                            </w:div>
                          </w:divsChild>
                        </w:div>
                        <w:div w:id="2053267604">
                          <w:marLeft w:val="0"/>
                          <w:marRight w:val="0"/>
                          <w:marTop w:val="0"/>
                          <w:marBottom w:val="0"/>
                          <w:divBdr>
                            <w:top w:val="none" w:sz="0" w:space="0" w:color="auto"/>
                            <w:left w:val="none" w:sz="0" w:space="0" w:color="auto"/>
                            <w:bottom w:val="none" w:sz="0" w:space="0" w:color="auto"/>
                            <w:right w:val="none" w:sz="0" w:space="0" w:color="auto"/>
                          </w:divBdr>
                        </w:div>
                      </w:divsChild>
                    </w:div>
                    <w:div w:id="471217677">
                      <w:marLeft w:val="0"/>
                      <w:marRight w:val="0"/>
                      <w:marTop w:val="0"/>
                      <w:marBottom w:val="0"/>
                      <w:divBdr>
                        <w:top w:val="none" w:sz="0" w:space="0" w:color="auto"/>
                        <w:left w:val="none" w:sz="0" w:space="0" w:color="auto"/>
                        <w:bottom w:val="none" w:sz="0" w:space="0" w:color="auto"/>
                        <w:right w:val="none" w:sz="0" w:space="0" w:color="auto"/>
                      </w:divBdr>
                      <w:divsChild>
                        <w:div w:id="1615285921">
                          <w:marLeft w:val="0"/>
                          <w:marRight w:val="0"/>
                          <w:marTop w:val="0"/>
                          <w:marBottom w:val="0"/>
                          <w:divBdr>
                            <w:top w:val="none" w:sz="0" w:space="0" w:color="auto"/>
                            <w:left w:val="none" w:sz="0" w:space="0" w:color="auto"/>
                            <w:bottom w:val="none" w:sz="0" w:space="0" w:color="auto"/>
                            <w:right w:val="none" w:sz="0" w:space="0" w:color="auto"/>
                          </w:divBdr>
                          <w:divsChild>
                            <w:div w:id="1127507484">
                              <w:marLeft w:val="0"/>
                              <w:marRight w:val="0"/>
                              <w:marTop w:val="0"/>
                              <w:marBottom w:val="0"/>
                              <w:divBdr>
                                <w:top w:val="none" w:sz="0" w:space="0" w:color="auto"/>
                                <w:left w:val="none" w:sz="0" w:space="0" w:color="auto"/>
                                <w:bottom w:val="none" w:sz="0" w:space="0" w:color="auto"/>
                                <w:right w:val="none" w:sz="0" w:space="0" w:color="auto"/>
                              </w:divBdr>
                              <w:divsChild>
                                <w:div w:id="97013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454782">
          <w:marLeft w:val="0"/>
          <w:marRight w:val="0"/>
          <w:marTop w:val="0"/>
          <w:marBottom w:val="0"/>
          <w:divBdr>
            <w:top w:val="none" w:sz="0" w:space="0" w:color="auto"/>
            <w:left w:val="none" w:sz="0" w:space="0" w:color="auto"/>
            <w:bottom w:val="none" w:sz="0" w:space="0" w:color="auto"/>
            <w:right w:val="none" w:sz="0" w:space="0" w:color="auto"/>
          </w:divBdr>
          <w:divsChild>
            <w:div w:id="841815444">
              <w:marLeft w:val="0"/>
              <w:marRight w:val="0"/>
              <w:marTop w:val="0"/>
              <w:marBottom w:val="0"/>
              <w:divBdr>
                <w:top w:val="none" w:sz="0" w:space="0" w:color="auto"/>
                <w:left w:val="none" w:sz="0" w:space="0" w:color="auto"/>
                <w:bottom w:val="none" w:sz="0" w:space="0" w:color="auto"/>
                <w:right w:val="none" w:sz="0" w:space="0" w:color="auto"/>
              </w:divBdr>
              <w:divsChild>
                <w:div w:id="507869837">
                  <w:marLeft w:val="0"/>
                  <w:marRight w:val="0"/>
                  <w:marTop w:val="0"/>
                  <w:marBottom w:val="0"/>
                  <w:divBdr>
                    <w:top w:val="none" w:sz="0" w:space="0" w:color="auto"/>
                    <w:left w:val="none" w:sz="0" w:space="0" w:color="auto"/>
                    <w:bottom w:val="none" w:sz="0" w:space="0" w:color="auto"/>
                    <w:right w:val="none" w:sz="0" w:space="0" w:color="auto"/>
                  </w:divBdr>
                  <w:divsChild>
                    <w:div w:id="1539079797">
                      <w:marLeft w:val="0"/>
                      <w:marRight w:val="0"/>
                      <w:marTop w:val="0"/>
                      <w:marBottom w:val="0"/>
                      <w:divBdr>
                        <w:top w:val="none" w:sz="0" w:space="0" w:color="auto"/>
                        <w:left w:val="none" w:sz="0" w:space="0" w:color="auto"/>
                        <w:bottom w:val="none" w:sz="0" w:space="0" w:color="auto"/>
                        <w:right w:val="none" w:sz="0" w:space="0" w:color="auto"/>
                      </w:divBdr>
                      <w:divsChild>
                        <w:div w:id="507988866">
                          <w:marLeft w:val="0"/>
                          <w:marRight w:val="0"/>
                          <w:marTop w:val="0"/>
                          <w:marBottom w:val="0"/>
                          <w:divBdr>
                            <w:top w:val="none" w:sz="0" w:space="0" w:color="auto"/>
                            <w:left w:val="none" w:sz="0" w:space="0" w:color="auto"/>
                            <w:bottom w:val="none" w:sz="0" w:space="0" w:color="auto"/>
                            <w:right w:val="none" w:sz="0" w:space="0" w:color="auto"/>
                          </w:divBdr>
                          <w:divsChild>
                            <w:div w:id="184628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576209">
                      <w:marLeft w:val="0"/>
                      <w:marRight w:val="0"/>
                      <w:marTop w:val="0"/>
                      <w:marBottom w:val="0"/>
                      <w:divBdr>
                        <w:top w:val="none" w:sz="0" w:space="0" w:color="auto"/>
                        <w:left w:val="none" w:sz="0" w:space="0" w:color="auto"/>
                        <w:bottom w:val="none" w:sz="0" w:space="0" w:color="auto"/>
                        <w:right w:val="none" w:sz="0" w:space="0" w:color="auto"/>
                      </w:divBdr>
                      <w:divsChild>
                        <w:div w:id="1357077664">
                          <w:marLeft w:val="0"/>
                          <w:marRight w:val="0"/>
                          <w:marTop w:val="0"/>
                          <w:marBottom w:val="0"/>
                          <w:divBdr>
                            <w:top w:val="none" w:sz="0" w:space="0" w:color="auto"/>
                            <w:left w:val="none" w:sz="0" w:space="0" w:color="auto"/>
                            <w:bottom w:val="none" w:sz="0" w:space="0" w:color="auto"/>
                            <w:right w:val="none" w:sz="0" w:space="0" w:color="auto"/>
                          </w:divBdr>
                          <w:divsChild>
                            <w:div w:id="2122914109">
                              <w:marLeft w:val="0"/>
                              <w:marRight w:val="0"/>
                              <w:marTop w:val="0"/>
                              <w:marBottom w:val="0"/>
                              <w:divBdr>
                                <w:top w:val="none" w:sz="0" w:space="0" w:color="auto"/>
                                <w:left w:val="none" w:sz="0" w:space="0" w:color="auto"/>
                                <w:bottom w:val="none" w:sz="0" w:space="0" w:color="auto"/>
                                <w:right w:val="none" w:sz="0" w:space="0" w:color="auto"/>
                              </w:divBdr>
                              <w:divsChild>
                                <w:div w:id="20849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200624">
          <w:marLeft w:val="0"/>
          <w:marRight w:val="0"/>
          <w:marTop w:val="0"/>
          <w:marBottom w:val="0"/>
          <w:divBdr>
            <w:top w:val="none" w:sz="0" w:space="0" w:color="auto"/>
            <w:left w:val="none" w:sz="0" w:space="0" w:color="auto"/>
            <w:bottom w:val="none" w:sz="0" w:space="0" w:color="auto"/>
            <w:right w:val="none" w:sz="0" w:space="0" w:color="auto"/>
          </w:divBdr>
          <w:divsChild>
            <w:div w:id="999770261">
              <w:marLeft w:val="0"/>
              <w:marRight w:val="0"/>
              <w:marTop w:val="0"/>
              <w:marBottom w:val="0"/>
              <w:divBdr>
                <w:top w:val="none" w:sz="0" w:space="0" w:color="auto"/>
                <w:left w:val="none" w:sz="0" w:space="0" w:color="auto"/>
                <w:bottom w:val="none" w:sz="0" w:space="0" w:color="auto"/>
                <w:right w:val="none" w:sz="0" w:space="0" w:color="auto"/>
              </w:divBdr>
              <w:divsChild>
                <w:div w:id="1838568302">
                  <w:marLeft w:val="0"/>
                  <w:marRight w:val="0"/>
                  <w:marTop w:val="0"/>
                  <w:marBottom w:val="0"/>
                  <w:divBdr>
                    <w:top w:val="none" w:sz="0" w:space="0" w:color="auto"/>
                    <w:left w:val="none" w:sz="0" w:space="0" w:color="auto"/>
                    <w:bottom w:val="none" w:sz="0" w:space="0" w:color="auto"/>
                    <w:right w:val="none" w:sz="0" w:space="0" w:color="auto"/>
                  </w:divBdr>
                  <w:divsChild>
                    <w:div w:id="340090159">
                      <w:marLeft w:val="0"/>
                      <w:marRight w:val="0"/>
                      <w:marTop w:val="0"/>
                      <w:marBottom w:val="0"/>
                      <w:divBdr>
                        <w:top w:val="none" w:sz="0" w:space="0" w:color="auto"/>
                        <w:left w:val="none" w:sz="0" w:space="0" w:color="auto"/>
                        <w:bottom w:val="none" w:sz="0" w:space="0" w:color="auto"/>
                        <w:right w:val="none" w:sz="0" w:space="0" w:color="auto"/>
                      </w:divBdr>
                      <w:divsChild>
                        <w:div w:id="812412505">
                          <w:marLeft w:val="0"/>
                          <w:marRight w:val="0"/>
                          <w:marTop w:val="0"/>
                          <w:marBottom w:val="0"/>
                          <w:divBdr>
                            <w:top w:val="none" w:sz="0" w:space="0" w:color="auto"/>
                            <w:left w:val="none" w:sz="0" w:space="0" w:color="auto"/>
                            <w:bottom w:val="none" w:sz="0" w:space="0" w:color="auto"/>
                            <w:right w:val="none" w:sz="0" w:space="0" w:color="auto"/>
                          </w:divBdr>
                          <w:divsChild>
                            <w:div w:id="633943669">
                              <w:marLeft w:val="0"/>
                              <w:marRight w:val="0"/>
                              <w:marTop w:val="0"/>
                              <w:marBottom w:val="0"/>
                              <w:divBdr>
                                <w:top w:val="none" w:sz="0" w:space="0" w:color="auto"/>
                                <w:left w:val="none" w:sz="0" w:space="0" w:color="auto"/>
                                <w:bottom w:val="none" w:sz="0" w:space="0" w:color="auto"/>
                                <w:right w:val="none" w:sz="0" w:space="0" w:color="auto"/>
                              </w:divBdr>
                            </w:div>
                          </w:divsChild>
                        </w:div>
                        <w:div w:id="1966764180">
                          <w:marLeft w:val="0"/>
                          <w:marRight w:val="0"/>
                          <w:marTop w:val="0"/>
                          <w:marBottom w:val="0"/>
                          <w:divBdr>
                            <w:top w:val="none" w:sz="0" w:space="0" w:color="auto"/>
                            <w:left w:val="none" w:sz="0" w:space="0" w:color="auto"/>
                            <w:bottom w:val="none" w:sz="0" w:space="0" w:color="auto"/>
                            <w:right w:val="none" w:sz="0" w:space="0" w:color="auto"/>
                          </w:divBdr>
                        </w:div>
                      </w:divsChild>
                    </w:div>
                    <w:div w:id="999888513">
                      <w:marLeft w:val="0"/>
                      <w:marRight w:val="0"/>
                      <w:marTop w:val="0"/>
                      <w:marBottom w:val="0"/>
                      <w:divBdr>
                        <w:top w:val="none" w:sz="0" w:space="0" w:color="auto"/>
                        <w:left w:val="none" w:sz="0" w:space="0" w:color="auto"/>
                        <w:bottom w:val="none" w:sz="0" w:space="0" w:color="auto"/>
                        <w:right w:val="none" w:sz="0" w:space="0" w:color="auto"/>
                      </w:divBdr>
                      <w:divsChild>
                        <w:div w:id="1620913951">
                          <w:marLeft w:val="0"/>
                          <w:marRight w:val="0"/>
                          <w:marTop w:val="0"/>
                          <w:marBottom w:val="0"/>
                          <w:divBdr>
                            <w:top w:val="none" w:sz="0" w:space="0" w:color="auto"/>
                            <w:left w:val="none" w:sz="0" w:space="0" w:color="auto"/>
                            <w:bottom w:val="none" w:sz="0" w:space="0" w:color="auto"/>
                            <w:right w:val="none" w:sz="0" w:space="0" w:color="auto"/>
                          </w:divBdr>
                          <w:divsChild>
                            <w:div w:id="2092776481">
                              <w:marLeft w:val="0"/>
                              <w:marRight w:val="0"/>
                              <w:marTop w:val="0"/>
                              <w:marBottom w:val="0"/>
                              <w:divBdr>
                                <w:top w:val="none" w:sz="0" w:space="0" w:color="auto"/>
                                <w:left w:val="none" w:sz="0" w:space="0" w:color="auto"/>
                                <w:bottom w:val="none" w:sz="0" w:space="0" w:color="auto"/>
                                <w:right w:val="none" w:sz="0" w:space="0" w:color="auto"/>
                              </w:divBdr>
                              <w:divsChild>
                                <w:div w:id="7755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387455">
          <w:marLeft w:val="0"/>
          <w:marRight w:val="0"/>
          <w:marTop w:val="0"/>
          <w:marBottom w:val="0"/>
          <w:divBdr>
            <w:top w:val="none" w:sz="0" w:space="0" w:color="auto"/>
            <w:left w:val="none" w:sz="0" w:space="0" w:color="auto"/>
            <w:bottom w:val="none" w:sz="0" w:space="0" w:color="auto"/>
            <w:right w:val="none" w:sz="0" w:space="0" w:color="auto"/>
          </w:divBdr>
          <w:divsChild>
            <w:div w:id="1698195389">
              <w:marLeft w:val="0"/>
              <w:marRight w:val="0"/>
              <w:marTop w:val="0"/>
              <w:marBottom w:val="0"/>
              <w:divBdr>
                <w:top w:val="none" w:sz="0" w:space="0" w:color="auto"/>
                <w:left w:val="none" w:sz="0" w:space="0" w:color="auto"/>
                <w:bottom w:val="none" w:sz="0" w:space="0" w:color="auto"/>
                <w:right w:val="none" w:sz="0" w:space="0" w:color="auto"/>
              </w:divBdr>
              <w:divsChild>
                <w:div w:id="1288512877">
                  <w:marLeft w:val="0"/>
                  <w:marRight w:val="0"/>
                  <w:marTop w:val="0"/>
                  <w:marBottom w:val="0"/>
                  <w:divBdr>
                    <w:top w:val="none" w:sz="0" w:space="0" w:color="auto"/>
                    <w:left w:val="none" w:sz="0" w:space="0" w:color="auto"/>
                    <w:bottom w:val="none" w:sz="0" w:space="0" w:color="auto"/>
                    <w:right w:val="none" w:sz="0" w:space="0" w:color="auto"/>
                  </w:divBdr>
                  <w:divsChild>
                    <w:div w:id="22675996">
                      <w:marLeft w:val="0"/>
                      <w:marRight w:val="0"/>
                      <w:marTop w:val="0"/>
                      <w:marBottom w:val="0"/>
                      <w:divBdr>
                        <w:top w:val="none" w:sz="0" w:space="0" w:color="auto"/>
                        <w:left w:val="none" w:sz="0" w:space="0" w:color="auto"/>
                        <w:bottom w:val="none" w:sz="0" w:space="0" w:color="auto"/>
                        <w:right w:val="none" w:sz="0" w:space="0" w:color="auto"/>
                      </w:divBdr>
                      <w:divsChild>
                        <w:div w:id="684479721">
                          <w:marLeft w:val="0"/>
                          <w:marRight w:val="0"/>
                          <w:marTop w:val="0"/>
                          <w:marBottom w:val="0"/>
                          <w:divBdr>
                            <w:top w:val="none" w:sz="0" w:space="0" w:color="auto"/>
                            <w:left w:val="none" w:sz="0" w:space="0" w:color="auto"/>
                            <w:bottom w:val="none" w:sz="0" w:space="0" w:color="auto"/>
                            <w:right w:val="none" w:sz="0" w:space="0" w:color="auto"/>
                          </w:divBdr>
                          <w:divsChild>
                            <w:div w:id="18883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04203">
                      <w:marLeft w:val="0"/>
                      <w:marRight w:val="0"/>
                      <w:marTop w:val="0"/>
                      <w:marBottom w:val="0"/>
                      <w:divBdr>
                        <w:top w:val="none" w:sz="0" w:space="0" w:color="auto"/>
                        <w:left w:val="none" w:sz="0" w:space="0" w:color="auto"/>
                        <w:bottom w:val="none" w:sz="0" w:space="0" w:color="auto"/>
                        <w:right w:val="none" w:sz="0" w:space="0" w:color="auto"/>
                      </w:divBdr>
                      <w:divsChild>
                        <w:div w:id="1086417634">
                          <w:marLeft w:val="0"/>
                          <w:marRight w:val="0"/>
                          <w:marTop w:val="0"/>
                          <w:marBottom w:val="0"/>
                          <w:divBdr>
                            <w:top w:val="none" w:sz="0" w:space="0" w:color="auto"/>
                            <w:left w:val="none" w:sz="0" w:space="0" w:color="auto"/>
                            <w:bottom w:val="none" w:sz="0" w:space="0" w:color="auto"/>
                            <w:right w:val="none" w:sz="0" w:space="0" w:color="auto"/>
                          </w:divBdr>
                          <w:divsChild>
                            <w:div w:id="582954449">
                              <w:marLeft w:val="0"/>
                              <w:marRight w:val="0"/>
                              <w:marTop w:val="0"/>
                              <w:marBottom w:val="0"/>
                              <w:divBdr>
                                <w:top w:val="none" w:sz="0" w:space="0" w:color="auto"/>
                                <w:left w:val="none" w:sz="0" w:space="0" w:color="auto"/>
                                <w:bottom w:val="none" w:sz="0" w:space="0" w:color="auto"/>
                                <w:right w:val="none" w:sz="0" w:space="0" w:color="auto"/>
                              </w:divBdr>
                              <w:divsChild>
                                <w:div w:id="201931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68229">
          <w:marLeft w:val="0"/>
          <w:marRight w:val="0"/>
          <w:marTop w:val="0"/>
          <w:marBottom w:val="0"/>
          <w:divBdr>
            <w:top w:val="none" w:sz="0" w:space="0" w:color="auto"/>
            <w:left w:val="none" w:sz="0" w:space="0" w:color="auto"/>
            <w:bottom w:val="none" w:sz="0" w:space="0" w:color="auto"/>
            <w:right w:val="none" w:sz="0" w:space="0" w:color="auto"/>
          </w:divBdr>
          <w:divsChild>
            <w:div w:id="1261523016">
              <w:marLeft w:val="0"/>
              <w:marRight w:val="0"/>
              <w:marTop w:val="0"/>
              <w:marBottom w:val="0"/>
              <w:divBdr>
                <w:top w:val="none" w:sz="0" w:space="0" w:color="auto"/>
                <w:left w:val="none" w:sz="0" w:space="0" w:color="auto"/>
                <w:bottom w:val="none" w:sz="0" w:space="0" w:color="auto"/>
                <w:right w:val="none" w:sz="0" w:space="0" w:color="auto"/>
              </w:divBdr>
              <w:divsChild>
                <w:div w:id="1767144795">
                  <w:marLeft w:val="0"/>
                  <w:marRight w:val="0"/>
                  <w:marTop w:val="0"/>
                  <w:marBottom w:val="0"/>
                  <w:divBdr>
                    <w:top w:val="none" w:sz="0" w:space="0" w:color="auto"/>
                    <w:left w:val="none" w:sz="0" w:space="0" w:color="auto"/>
                    <w:bottom w:val="none" w:sz="0" w:space="0" w:color="auto"/>
                    <w:right w:val="none" w:sz="0" w:space="0" w:color="auto"/>
                  </w:divBdr>
                  <w:divsChild>
                    <w:div w:id="1004669385">
                      <w:marLeft w:val="0"/>
                      <w:marRight w:val="0"/>
                      <w:marTop w:val="0"/>
                      <w:marBottom w:val="0"/>
                      <w:divBdr>
                        <w:top w:val="none" w:sz="0" w:space="0" w:color="auto"/>
                        <w:left w:val="none" w:sz="0" w:space="0" w:color="auto"/>
                        <w:bottom w:val="none" w:sz="0" w:space="0" w:color="auto"/>
                        <w:right w:val="none" w:sz="0" w:space="0" w:color="auto"/>
                      </w:divBdr>
                      <w:divsChild>
                        <w:div w:id="322974200">
                          <w:marLeft w:val="0"/>
                          <w:marRight w:val="0"/>
                          <w:marTop w:val="0"/>
                          <w:marBottom w:val="0"/>
                          <w:divBdr>
                            <w:top w:val="none" w:sz="0" w:space="0" w:color="auto"/>
                            <w:left w:val="none" w:sz="0" w:space="0" w:color="auto"/>
                            <w:bottom w:val="none" w:sz="0" w:space="0" w:color="auto"/>
                            <w:right w:val="none" w:sz="0" w:space="0" w:color="auto"/>
                          </w:divBdr>
                          <w:divsChild>
                            <w:div w:id="935675189">
                              <w:marLeft w:val="0"/>
                              <w:marRight w:val="0"/>
                              <w:marTop w:val="0"/>
                              <w:marBottom w:val="0"/>
                              <w:divBdr>
                                <w:top w:val="none" w:sz="0" w:space="0" w:color="auto"/>
                                <w:left w:val="none" w:sz="0" w:space="0" w:color="auto"/>
                                <w:bottom w:val="none" w:sz="0" w:space="0" w:color="auto"/>
                                <w:right w:val="none" w:sz="0" w:space="0" w:color="auto"/>
                              </w:divBdr>
                            </w:div>
                          </w:divsChild>
                        </w:div>
                        <w:div w:id="362291674">
                          <w:marLeft w:val="0"/>
                          <w:marRight w:val="0"/>
                          <w:marTop w:val="0"/>
                          <w:marBottom w:val="0"/>
                          <w:divBdr>
                            <w:top w:val="none" w:sz="0" w:space="0" w:color="auto"/>
                            <w:left w:val="none" w:sz="0" w:space="0" w:color="auto"/>
                            <w:bottom w:val="none" w:sz="0" w:space="0" w:color="auto"/>
                            <w:right w:val="none" w:sz="0" w:space="0" w:color="auto"/>
                          </w:divBdr>
                        </w:div>
                      </w:divsChild>
                    </w:div>
                    <w:div w:id="114176450">
                      <w:marLeft w:val="0"/>
                      <w:marRight w:val="0"/>
                      <w:marTop w:val="0"/>
                      <w:marBottom w:val="0"/>
                      <w:divBdr>
                        <w:top w:val="none" w:sz="0" w:space="0" w:color="auto"/>
                        <w:left w:val="none" w:sz="0" w:space="0" w:color="auto"/>
                        <w:bottom w:val="none" w:sz="0" w:space="0" w:color="auto"/>
                        <w:right w:val="none" w:sz="0" w:space="0" w:color="auto"/>
                      </w:divBdr>
                      <w:divsChild>
                        <w:div w:id="688063188">
                          <w:marLeft w:val="0"/>
                          <w:marRight w:val="0"/>
                          <w:marTop w:val="0"/>
                          <w:marBottom w:val="0"/>
                          <w:divBdr>
                            <w:top w:val="none" w:sz="0" w:space="0" w:color="auto"/>
                            <w:left w:val="none" w:sz="0" w:space="0" w:color="auto"/>
                            <w:bottom w:val="none" w:sz="0" w:space="0" w:color="auto"/>
                            <w:right w:val="none" w:sz="0" w:space="0" w:color="auto"/>
                          </w:divBdr>
                          <w:divsChild>
                            <w:div w:id="2076391669">
                              <w:marLeft w:val="0"/>
                              <w:marRight w:val="0"/>
                              <w:marTop w:val="0"/>
                              <w:marBottom w:val="0"/>
                              <w:divBdr>
                                <w:top w:val="none" w:sz="0" w:space="0" w:color="auto"/>
                                <w:left w:val="none" w:sz="0" w:space="0" w:color="auto"/>
                                <w:bottom w:val="none" w:sz="0" w:space="0" w:color="auto"/>
                                <w:right w:val="none" w:sz="0" w:space="0" w:color="auto"/>
                              </w:divBdr>
                              <w:divsChild>
                                <w:div w:id="21163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360854">
          <w:marLeft w:val="0"/>
          <w:marRight w:val="0"/>
          <w:marTop w:val="0"/>
          <w:marBottom w:val="0"/>
          <w:divBdr>
            <w:top w:val="none" w:sz="0" w:space="0" w:color="auto"/>
            <w:left w:val="none" w:sz="0" w:space="0" w:color="auto"/>
            <w:bottom w:val="none" w:sz="0" w:space="0" w:color="auto"/>
            <w:right w:val="none" w:sz="0" w:space="0" w:color="auto"/>
          </w:divBdr>
          <w:divsChild>
            <w:div w:id="2018772619">
              <w:marLeft w:val="0"/>
              <w:marRight w:val="0"/>
              <w:marTop w:val="0"/>
              <w:marBottom w:val="0"/>
              <w:divBdr>
                <w:top w:val="none" w:sz="0" w:space="0" w:color="auto"/>
                <w:left w:val="none" w:sz="0" w:space="0" w:color="auto"/>
                <w:bottom w:val="none" w:sz="0" w:space="0" w:color="auto"/>
                <w:right w:val="none" w:sz="0" w:space="0" w:color="auto"/>
              </w:divBdr>
              <w:divsChild>
                <w:div w:id="1733507212">
                  <w:marLeft w:val="0"/>
                  <w:marRight w:val="0"/>
                  <w:marTop w:val="0"/>
                  <w:marBottom w:val="0"/>
                  <w:divBdr>
                    <w:top w:val="none" w:sz="0" w:space="0" w:color="auto"/>
                    <w:left w:val="none" w:sz="0" w:space="0" w:color="auto"/>
                    <w:bottom w:val="none" w:sz="0" w:space="0" w:color="auto"/>
                    <w:right w:val="none" w:sz="0" w:space="0" w:color="auto"/>
                  </w:divBdr>
                  <w:divsChild>
                    <w:div w:id="402876005">
                      <w:marLeft w:val="0"/>
                      <w:marRight w:val="0"/>
                      <w:marTop w:val="0"/>
                      <w:marBottom w:val="0"/>
                      <w:divBdr>
                        <w:top w:val="none" w:sz="0" w:space="0" w:color="auto"/>
                        <w:left w:val="none" w:sz="0" w:space="0" w:color="auto"/>
                        <w:bottom w:val="none" w:sz="0" w:space="0" w:color="auto"/>
                        <w:right w:val="none" w:sz="0" w:space="0" w:color="auto"/>
                      </w:divBdr>
                      <w:divsChild>
                        <w:div w:id="1704666662">
                          <w:marLeft w:val="0"/>
                          <w:marRight w:val="0"/>
                          <w:marTop w:val="0"/>
                          <w:marBottom w:val="0"/>
                          <w:divBdr>
                            <w:top w:val="none" w:sz="0" w:space="0" w:color="auto"/>
                            <w:left w:val="none" w:sz="0" w:space="0" w:color="auto"/>
                            <w:bottom w:val="none" w:sz="0" w:space="0" w:color="auto"/>
                            <w:right w:val="none" w:sz="0" w:space="0" w:color="auto"/>
                          </w:divBdr>
                          <w:divsChild>
                            <w:div w:id="4433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11718">
                      <w:marLeft w:val="0"/>
                      <w:marRight w:val="0"/>
                      <w:marTop w:val="0"/>
                      <w:marBottom w:val="0"/>
                      <w:divBdr>
                        <w:top w:val="none" w:sz="0" w:space="0" w:color="auto"/>
                        <w:left w:val="none" w:sz="0" w:space="0" w:color="auto"/>
                        <w:bottom w:val="none" w:sz="0" w:space="0" w:color="auto"/>
                        <w:right w:val="none" w:sz="0" w:space="0" w:color="auto"/>
                      </w:divBdr>
                      <w:divsChild>
                        <w:div w:id="1577934183">
                          <w:marLeft w:val="0"/>
                          <w:marRight w:val="0"/>
                          <w:marTop w:val="0"/>
                          <w:marBottom w:val="0"/>
                          <w:divBdr>
                            <w:top w:val="none" w:sz="0" w:space="0" w:color="auto"/>
                            <w:left w:val="none" w:sz="0" w:space="0" w:color="auto"/>
                            <w:bottom w:val="none" w:sz="0" w:space="0" w:color="auto"/>
                            <w:right w:val="none" w:sz="0" w:space="0" w:color="auto"/>
                          </w:divBdr>
                          <w:divsChild>
                            <w:div w:id="1423837474">
                              <w:marLeft w:val="0"/>
                              <w:marRight w:val="0"/>
                              <w:marTop w:val="0"/>
                              <w:marBottom w:val="0"/>
                              <w:divBdr>
                                <w:top w:val="none" w:sz="0" w:space="0" w:color="auto"/>
                                <w:left w:val="none" w:sz="0" w:space="0" w:color="auto"/>
                                <w:bottom w:val="none" w:sz="0" w:space="0" w:color="auto"/>
                                <w:right w:val="none" w:sz="0" w:space="0" w:color="auto"/>
                              </w:divBdr>
                              <w:divsChild>
                                <w:div w:id="163193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952714">
          <w:marLeft w:val="0"/>
          <w:marRight w:val="0"/>
          <w:marTop w:val="0"/>
          <w:marBottom w:val="0"/>
          <w:divBdr>
            <w:top w:val="none" w:sz="0" w:space="0" w:color="auto"/>
            <w:left w:val="none" w:sz="0" w:space="0" w:color="auto"/>
            <w:bottom w:val="none" w:sz="0" w:space="0" w:color="auto"/>
            <w:right w:val="none" w:sz="0" w:space="0" w:color="auto"/>
          </w:divBdr>
          <w:divsChild>
            <w:div w:id="836044744">
              <w:marLeft w:val="0"/>
              <w:marRight w:val="0"/>
              <w:marTop w:val="0"/>
              <w:marBottom w:val="0"/>
              <w:divBdr>
                <w:top w:val="none" w:sz="0" w:space="0" w:color="auto"/>
                <w:left w:val="none" w:sz="0" w:space="0" w:color="auto"/>
                <w:bottom w:val="none" w:sz="0" w:space="0" w:color="auto"/>
                <w:right w:val="none" w:sz="0" w:space="0" w:color="auto"/>
              </w:divBdr>
              <w:divsChild>
                <w:div w:id="1776441335">
                  <w:marLeft w:val="0"/>
                  <w:marRight w:val="0"/>
                  <w:marTop w:val="0"/>
                  <w:marBottom w:val="0"/>
                  <w:divBdr>
                    <w:top w:val="none" w:sz="0" w:space="0" w:color="auto"/>
                    <w:left w:val="none" w:sz="0" w:space="0" w:color="auto"/>
                    <w:bottom w:val="none" w:sz="0" w:space="0" w:color="auto"/>
                    <w:right w:val="none" w:sz="0" w:space="0" w:color="auto"/>
                  </w:divBdr>
                  <w:divsChild>
                    <w:div w:id="1057751108">
                      <w:marLeft w:val="0"/>
                      <w:marRight w:val="0"/>
                      <w:marTop w:val="0"/>
                      <w:marBottom w:val="0"/>
                      <w:divBdr>
                        <w:top w:val="none" w:sz="0" w:space="0" w:color="auto"/>
                        <w:left w:val="none" w:sz="0" w:space="0" w:color="auto"/>
                        <w:bottom w:val="none" w:sz="0" w:space="0" w:color="auto"/>
                        <w:right w:val="none" w:sz="0" w:space="0" w:color="auto"/>
                      </w:divBdr>
                      <w:divsChild>
                        <w:div w:id="1980770432">
                          <w:marLeft w:val="0"/>
                          <w:marRight w:val="0"/>
                          <w:marTop w:val="0"/>
                          <w:marBottom w:val="0"/>
                          <w:divBdr>
                            <w:top w:val="none" w:sz="0" w:space="0" w:color="auto"/>
                            <w:left w:val="none" w:sz="0" w:space="0" w:color="auto"/>
                            <w:bottom w:val="none" w:sz="0" w:space="0" w:color="auto"/>
                            <w:right w:val="none" w:sz="0" w:space="0" w:color="auto"/>
                          </w:divBdr>
                          <w:divsChild>
                            <w:div w:id="135924563">
                              <w:marLeft w:val="0"/>
                              <w:marRight w:val="0"/>
                              <w:marTop w:val="0"/>
                              <w:marBottom w:val="0"/>
                              <w:divBdr>
                                <w:top w:val="none" w:sz="0" w:space="0" w:color="auto"/>
                                <w:left w:val="none" w:sz="0" w:space="0" w:color="auto"/>
                                <w:bottom w:val="none" w:sz="0" w:space="0" w:color="auto"/>
                                <w:right w:val="none" w:sz="0" w:space="0" w:color="auto"/>
                              </w:divBdr>
                            </w:div>
                          </w:divsChild>
                        </w:div>
                        <w:div w:id="1388603531">
                          <w:marLeft w:val="0"/>
                          <w:marRight w:val="0"/>
                          <w:marTop w:val="0"/>
                          <w:marBottom w:val="0"/>
                          <w:divBdr>
                            <w:top w:val="none" w:sz="0" w:space="0" w:color="auto"/>
                            <w:left w:val="none" w:sz="0" w:space="0" w:color="auto"/>
                            <w:bottom w:val="none" w:sz="0" w:space="0" w:color="auto"/>
                            <w:right w:val="none" w:sz="0" w:space="0" w:color="auto"/>
                          </w:divBdr>
                        </w:div>
                      </w:divsChild>
                    </w:div>
                    <w:div w:id="929391158">
                      <w:marLeft w:val="0"/>
                      <w:marRight w:val="0"/>
                      <w:marTop w:val="0"/>
                      <w:marBottom w:val="0"/>
                      <w:divBdr>
                        <w:top w:val="none" w:sz="0" w:space="0" w:color="auto"/>
                        <w:left w:val="none" w:sz="0" w:space="0" w:color="auto"/>
                        <w:bottom w:val="none" w:sz="0" w:space="0" w:color="auto"/>
                        <w:right w:val="none" w:sz="0" w:space="0" w:color="auto"/>
                      </w:divBdr>
                      <w:divsChild>
                        <w:div w:id="115880865">
                          <w:marLeft w:val="0"/>
                          <w:marRight w:val="0"/>
                          <w:marTop w:val="0"/>
                          <w:marBottom w:val="0"/>
                          <w:divBdr>
                            <w:top w:val="none" w:sz="0" w:space="0" w:color="auto"/>
                            <w:left w:val="none" w:sz="0" w:space="0" w:color="auto"/>
                            <w:bottom w:val="none" w:sz="0" w:space="0" w:color="auto"/>
                            <w:right w:val="none" w:sz="0" w:space="0" w:color="auto"/>
                          </w:divBdr>
                          <w:divsChild>
                            <w:div w:id="1941449387">
                              <w:marLeft w:val="0"/>
                              <w:marRight w:val="0"/>
                              <w:marTop w:val="0"/>
                              <w:marBottom w:val="0"/>
                              <w:divBdr>
                                <w:top w:val="none" w:sz="0" w:space="0" w:color="auto"/>
                                <w:left w:val="none" w:sz="0" w:space="0" w:color="auto"/>
                                <w:bottom w:val="none" w:sz="0" w:space="0" w:color="auto"/>
                                <w:right w:val="none" w:sz="0" w:space="0" w:color="auto"/>
                              </w:divBdr>
                              <w:divsChild>
                                <w:div w:id="64600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440601">
          <w:marLeft w:val="0"/>
          <w:marRight w:val="0"/>
          <w:marTop w:val="0"/>
          <w:marBottom w:val="0"/>
          <w:divBdr>
            <w:top w:val="none" w:sz="0" w:space="0" w:color="auto"/>
            <w:left w:val="none" w:sz="0" w:space="0" w:color="auto"/>
            <w:bottom w:val="none" w:sz="0" w:space="0" w:color="auto"/>
            <w:right w:val="none" w:sz="0" w:space="0" w:color="auto"/>
          </w:divBdr>
          <w:divsChild>
            <w:div w:id="1122962240">
              <w:marLeft w:val="0"/>
              <w:marRight w:val="0"/>
              <w:marTop w:val="0"/>
              <w:marBottom w:val="0"/>
              <w:divBdr>
                <w:top w:val="none" w:sz="0" w:space="0" w:color="auto"/>
                <w:left w:val="none" w:sz="0" w:space="0" w:color="auto"/>
                <w:bottom w:val="none" w:sz="0" w:space="0" w:color="auto"/>
                <w:right w:val="none" w:sz="0" w:space="0" w:color="auto"/>
              </w:divBdr>
              <w:divsChild>
                <w:div w:id="396319305">
                  <w:marLeft w:val="0"/>
                  <w:marRight w:val="0"/>
                  <w:marTop w:val="0"/>
                  <w:marBottom w:val="0"/>
                  <w:divBdr>
                    <w:top w:val="none" w:sz="0" w:space="0" w:color="auto"/>
                    <w:left w:val="none" w:sz="0" w:space="0" w:color="auto"/>
                    <w:bottom w:val="none" w:sz="0" w:space="0" w:color="auto"/>
                    <w:right w:val="none" w:sz="0" w:space="0" w:color="auto"/>
                  </w:divBdr>
                  <w:divsChild>
                    <w:div w:id="457840846">
                      <w:marLeft w:val="0"/>
                      <w:marRight w:val="0"/>
                      <w:marTop w:val="0"/>
                      <w:marBottom w:val="0"/>
                      <w:divBdr>
                        <w:top w:val="none" w:sz="0" w:space="0" w:color="auto"/>
                        <w:left w:val="none" w:sz="0" w:space="0" w:color="auto"/>
                        <w:bottom w:val="none" w:sz="0" w:space="0" w:color="auto"/>
                        <w:right w:val="none" w:sz="0" w:space="0" w:color="auto"/>
                      </w:divBdr>
                      <w:divsChild>
                        <w:div w:id="1524854535">
                          <w:marLeft w:val="0"/>
                          <w:marRight w:val="0"/>
                          <w:marTop w:val="0"/>
                          <w:marBottom w:val="0"/>
                          <w:divBdr>
                            <w:top w:val="none" w:sz="0" w:space="0" w:color="auto"/>
                            <w:left w:val="none" w:sz="0" w:space="0" w:color="auto"/>
                            <w:bottom w:val="none" w:sz="0" w:space="0" w:color="auto"/>
                            <w:right w:val="none" w:sz="0" w:space="0" w:color="auto"/>
                          </w:divBdr>
                          <w:divsChild>
                            <w:div w:id="154567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00659">
                      <w:marLeft w:val="0"/>
                      <w:marRight w:val="0"/>
                      <w:marTop w:val="0"/>
                      <w:marBottom w:val="0"/>
                      <w:divBdr>
                        <w:top w:val="none" w:sz="0" w:space="0" w:color="auto"/>
                        <w:left w:val="none" w:sz="0" w:space="0" w:color="auto"/>
                        <w:bottom w:val="none" w:sz="0" w:space="0" w:color="auto"/>
                        <w:right w:val="none" w:sz="0" w:space="0" w:color="auto"/>
                      </w:divBdr>
                      <w:divsChild>
                        <w:div w:id="942342557">
                          <w:marLeft w:val="0"/>
                          <w:marRight w:val="0"/>
                          <w:marTop w:val="0"/>
                          <w:marBottom w:val="0"/>
                          <w:divBdr>
                            <w:top w:val="none" w:sz="0" w:space="0" w:color="auto"/>
                            <w:left w:val="none" w:sz="0" w:space="0" w:color="auto"/>
                            <w:bottom w:val="none" w:sz="0" w:space="0" w:color="auto"/>
                            <w:right w:val="none" w:sz="0" w:space="0" w:color="auto"/>
                          </w:divBdr>
                          <w:divsChild>
                            <w:div w:id="470828151">
                              <w:marLeft w:val="0"/>
                              <w:marRight w:val="0"/>
                              <w:marTop w:val="0"/>
                              <w:marBottom w:val="0"/>
                              <w:divBdr>
                                <w:top w:val="none" w:sz="0" w:space="0" w:color="auto"/>
                                <w:left w:val="none" w:sz="0" w:space="0" w:color="auto"/>
                                <w:bottom w:val="none" w:sz="0" w:space="0" w:color="auto"/>
                                <w:right w:val="none" w:sz="0" w:space="0" w:color="auto"/>
                              </w:divBdr>
                              <w:divsChild>
                                <w:div w:id="48840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203199">
          <w:marLeft w:val="0"/>
          <w:marRight w:val="0"/>
          <w:marTop w:val="0"/>
          <w:marBottom w:val="0"/>
          <w:divBdr>
            <w:top w:val="none" w:sz="0" w:space="0" w:color="auto"/>
            <w:left w:val="none" w:sz="0" w:space="0" w:color="auto"/>
            <w:bottom w:val="none" w:sz="0" w:space="0" w:color="auto"/>
            <w:right w:val="none" w:sz="0" w:space="0" w:color="auto"/>
          </w:divBdr>
          <w:divsChild>
            <w:div w:id="765152754">
              <w:marLeft w:val="0"/>
              <w:marRight w:val="0"/>
              <w:marTop w:val="0"/>
              <w:marBottom w:val="0"/>
              <w:divBdr>
                <w:top w:val="none" w:sz="0" w:space="0" w:color="auto"/>
                <w:left w:val="none" w:sz="0" w:space="0" w:color="auto"/>
                <w:bottom w:val="none" w:sz="0" w:space="0" w:color="auto"/>
                <w:right w:val="none" w:sz="0" w:space="0" w:color="auto"/>
              </w:divBdr>
              <w:divsChild>
                <w:div w:id="1704092733">
                  <w:marLeft w:val="0"/>
                  <w:marRight w:val="0"/>
                  <w:marTop w:val="0"/>
                  <w:marBottom w:val="0"/>
                  <w:divBdr>
                    <w:top w:val="none" w:sz="0" w:space="0" w:color="auto"/>
                    <w:left w:val="none" w:sz="0" w:space="0" w:color="auto"/>
                    <w:bottom w:val="none" w:sz="0" w:space="0" w:color="auto"/>
                    <w:right w:val="none" w:sz="0" w:space="0" w:color="auto"/>
                  </w:divBdr>
                  <w:divsChild>
                    <w:div w:id="70929784">
                      <w:marLeft w:val="0"/>
                      <w:marRight w:val="0"/>
                      <w:marTop w:val="0"/>
                      <w:marBottom w:val="0"/>
                      <w:divBdr>
                        <w:top w:val="none" w:sz="0" w:space="0" w:color="auto"/>
                        <w:left w:val="none" w:sz="0" w:space="0" w:color="auto"/>
                        <w:bottom w:val="none" w:sz="0" w:space="0" w:color="auto"/>
                        <w:right w:val="none" w:sz="0" w:space="0" w:color="auto"/>
                      </w:divBdr>
                      <w:divsChild>
                        <w:div w:id="1338847510">
                          <w:marLeft w:val="0"/>
                          <w:marRight w:val="0"/>
                          <w:marTop w:val="0"/>
                          <w:marBottom w:val="0"/>
                          <w:divBdr>
                            <w:top w:val="none" w:sz="0" w:space="0" w:color="auto"/>
                            <w:left w:val="none" w:sz="0" w:space="0" w:color="auto"/>
                            <w:bottom w:val="none" w:sz="0" w:space="0" w:color="auto"/>
                            <w:right w:val="none" w:sz="0" w:space="0" w:color="auto"/>
                          </w:divBdr>
                          <w:divsChild>
                            <w:div w:id="916868564">
                              <w:marLeft w:val="0"/>
                              <w:marRight w:val="0"/>
                              <w:marTop w:val="0"/>
                              <w:marBottom w:val="0"/>
                              <w:divBdr>
                                <w:top w:val="none" w:sz="0" w:space="0" w:color="auto"/>
                                <w:left w:val="none" w:sz="0" w:space="0" w:color="auto"/>
                                <w:bottom w:val="none" w:sz="0" w:space="0" w:color="auto"/>
                                <w:right w:val="none" w:sz="0" w:space="0" w:color="auto"/>
                              </w:divBdr>
                            </w:div>
                          </w:divsChild>
                        </w:div>
                        <w:div w:id="1039666844">
                          <w:marLeft w:val="0"/>
                          <w:marRight w:val="0"/>
                          <w:marTop w:val="0"/>
                          <w:marBottom w:val="0"/>
                          <w:divBdr>
                            <w:top w:val="none" w:sz="0" w:space="0" w:color="auto"/>
                            <w:left w:val="none" w:sz="0" w:space="0" w:color="auto"/>
                            <w:bottom w:val="none" w:sz="0" w:space="0" w:color="auto"/>
                            <w:right w:val="none" w:sz="0" w:space="0" w:color="auto"/>
                          </w:divBdr>
                        </w:div>
                      </w:divsChild>
                    </w:div>
                    <w:div w:id="1470319580">
                      <w:marLeft w:val="0"/>
                      <w:marRight w:val="0"/>
                      <w:marTop w:val="0"/>
                      <w:marBottom w:val="0"/>
                      <w:divBdr>
                        <w:top w:val="none" w:sz="0" w:space="0" w:color="auto"/>
                        <w:left w:val="none" w:sz="0" w:space="0" w:color="auto"/>
                        <w:bottom w:val="none" w:sz="0" w:space="0" w:color="auto"/>
                        <w:right w:val="none" w:sz="0" w:space="0" w:color="auto"/>
                      </w:divBdr>
                      <w:divsChild>
                        <w:div w:id="673727365">
                          <w:marLeft w:val="0"/>
                          <w:marRight w:val="0"/>
                          <w:marTop w:val="0"/>
                          <w:marBottom w:val="0"/>
                          <w:divBdr>
                            <w:top w:val="none" w:sz="0" w:space="0" w:color="auto"/>
                            <w:left w:val="none" w:sz="0" w:space="0" w:color="auto"/>
                            <w:bottom w:val="none" w:sz="0" w:space="0" w:color="auto"/>
                            <w:right w:val="none" w:sz="0" w:space="0" w:color="auto"/>
                          </w:divBdr>
                          <w:divsChild>
                            <w:div w:id="1871412834">
                              <w:marLeft w:val="0"/>
                              <w:marRight w:val="0"/>
                              <w:marTop w:val="0"/>
                              <w:marBottom w:val="0"/>
                              <w:divBdr>
                                <w:top w:val="none" w:sz="0" w:space="0" w:color="auto"/>
                                <w:left w:val="none" w:sz="0" w:space="0" w:color="auto"/>
                                <w:bottom w:val="none" w:sz="0" w:space="0" w:color="auto"/>
                                <w:right w:val="none" w:sz="0" w:space="0" w:color="auto"/>
                              </w:divBdr>
                              <w:divsChild>
                                <w:div w:id="47233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600512">
          <w:marLeft w:val="0"/>
          <w:marRight w:val="0"/>
          <w:marTop w:val="0"/>
          <w:marBottom w:val="0"/>
          <w:divBdr>
            <w:top w:val="none" w:sz="0" w:space="0" w:color="auto"/>
            <w:left w:val="none" w:sz="0" w:space="0" w:color="auto"/>
            <w:bottom w:val="none" w:sz="0" w:space="0" w:color="auto"/>
            <w:right w:val="none" w:sz="0" w:space="0" w:color="auto"/>
          </w:divBdr>
          <w:divsChild>
            <w:div w:id="891036722">
              <w:marLeft w:val="0"/>
              <w:marRight w:val="0"/>
              <w:marTop w:val="0"/>
              <w:marBottom w:val="0"/>
              <w:divBdr>
                <w:top w:val="none" w:sz="0" w:space="0" w:color="auto"/>
                <w:left w:val="none" w:sz="0" w:space="0" w:color="auto"/>
                <w:bottom w:val="none" w:sz="0" w:space="0" w:color="auto"/>
                <w:right w:val="none" w:sz="0" w:space="0" w:color="auto"/>
              </w:divBdr>
              <w:divsChild>
                <w:div w:id="453182135">
                  <w:marLeft w:val="0"/>
                  <w:marRight w:val="0"/>
                  <w:marTop w:val="0"/>
                  <w:marBottom w:val="0"/>
                  <w:divBdr>
                    <w:top w:val="none" w:sz="0" w:space="0" w:color="auto"/>
                    <w:left w:val="none" w:sz="0" w:space="0" w:color="auto"/>
                    <w:bottom w:val="none" w:sz="0" w:space="0" w:color="auto"/>
                    <w:right w:val="none" w:sz="0" w:space="0" w:color="auto"/>
                  </w:divBdr>
                  <w:divsChild>
                    <w:div w:id="1921676500">
                      <w:marLeft w:val="0"/>
                      <w:marRight w:val="0"/>
                      <w:marTop w:val="0"/>
                      <w:marBottom w:val="0"/>
                      <w:divBdr>
                        <w:top w:val="none" w:sz="0" w:space="0" w:color="auto"/>
                        <w:left w:val="none" w:sz="0" w:space="0" w:color="auto"/>
                        <w:bottom w:val="none" w:sz="0" w:space="0" w:color="auto"/>
                        <w:right w:val="none" w:sz="0" w:space="0" w:color="auto"/>
                      </w:divBdr>
                      <w:divsChild>
                        <w:div w:id="1416974992">
                          <w:marLeft w:val="0"/>
                          <w:marRight w:val="0"/>
                          <w:marTop w:val="0"/>
                          <w:marBottom w:val="0"/>
                          <w:divBdr>
                            <w:top w:val="none" w:sz="0" w:space="0" w:color="auto"/>
                            <w:left w:val="none" w:sz="0" w:space="0" w:color="auto"/>
                            <w:bottom w:val="none" w:sz="0" w:space="0" w:color="auto"/>
                            <w:right w:val="none" w:sz="0" w:space="0" w:color="auto"/>
                          </w:divBdr>
                          <w:divsChild>
                            <w:div w:id="118837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948591">
      <w:bodyDiv w:val="1"/>
      <w:marLeft w:val="0"/>
      <w:marRight w:val="0"/>
      <w:marTop w:val="0"/>
      <w:marBottom w:val="0"/>
      <w:divBdr>
        <w:top w:val="none" w:sz="0" w:space="0" w:color="auto"/>
        <w:left w:val="none" w:sz="0" w:space="0" w:color="auto"/>
        <w:bottom w:val="none" w:sz="0" w:space="0" w:color="auto"/>
        <w:right w:val="none" w:sz="0" w:space="0" w:color="auto"/>
      </w:divBdr>
      <w:divsChild>
        <w:div w:id="2095783159">
          <w:marLeft w:val="0"/>
          <w:marRight w:val="0"/>
          <w:marTop w:val="0"/>
          <w:marBottom w:val="0"/>
          <w:divBdr>
            <w:top w:val="single" w:sz="2" w:space="0" w:color="E5E7EB"/>
            <w:left w:val="single" w:sz="2" w:space="0" w:color="E5E7EB"/>
            <w:bottom w:val="single" w:sz="2" w:space="0" w:color="E5E7EB"/>
            <w:right w:val="single" w:sz="2" w:space="0" w:color="E5E7EB"/>
          </w:divBdr>
          <w:divsChild>
            <w:div w:id="1772234454">
              <w:marLeft w:val="0"/>
              <w:marRight w:val="0"/>
              <w:marTop w:val="0"/>
              <w:marBottom w:val="0"/>
              <w:divBdr>
                <w:top w:val="single" w:sz="2" w:space="0" w:color="auto"/>
                <w:left w:val="single" w:sz="2" w:space="0" w:color="auto"/>
                <w:bottom w:val="single" w:sz="2" w:space="0" w:color="auto"/>
                <w:right w:val="single" w:sz="2" w:space="0" w:color="auto"/>
              </w:divBdr>
              <w:divsChild>
                <w:div w:id="1739090337">
                  <w:marLeft w:val="0"/>
                  <w:marRight w:val="0"/>
                  <w:marTop w:val="0"/>
                  <w:marBottom w:val="0"/>
                  <w:divBdr>
                    <w:top w:val="single" w:sz="2" w:space="0" w:color="auto"/>
                    <w:left w:val="single" w:sz="2" w:space="0" w:color="auto"/>
                    <w:bottom w:val="single" w:sz="2" w:space="0" w:color="auto"/>
                    <w:right w:val="single" w:sz="2" w:space="0" w:color="auto"/>
                  </w:divBdr>
                  <w:divsChild>
                    <w:div w:id="1032072711">
                      <w:marLeft w:val="0"/>
                      <w:marRight w:val="0"/>
                      <w:marTop w:val="0"/>
                      <w:marBottom w:val="0"/>
                      <w:divBdr>
                        <w:top w:val="single" w:sz="2" w:space="0" w:color="E5E7EB"/>
                        <w:left w:val="single" w:sz="2" w:space="0" w:color="E5E7EB"/>
                        <w:bottom w:val="single" w:sz="2" w:space="0" w:color="E5E7EB"/>
                        <w:right w:val="single" w:sz="2" w:space="0" w:color="E5E7EB"/>
                      </w:divBdr>
                      <w:divsChild>
                        <w:div w:id="1954938965">
                          <w:marLeft w:val="0"/>
                          <w:marRight w:val="0"/>
                          <w:marTop w:val="0"/>
                          <w:marBottom w:val="0"/>
                          <w:divBdr>
                            <w:top w:val="single" w:sz="2" w:space="0" w:color="E5E7EB"/>
                            <w:left w:val="single" w:sz="2" w:space="0" w:color="E5E7EB"/>
                            <w:bottom w:val="single" w:sz="2" w:space="0" w:color="E5E7EB"/>
                            <w:right w:val="single" w:sz="2" w:space="0" w:color="E5E7EB"/>
                          </w:divBdr>
                          <w:divsChild>
                            <w:div w:id="1420173934">
                              <w:marLeft w:val="0"/>
                              <w:marRight w:val="0"/>
                              <w:marTop w:val="0"/>
                              <w:marBottom w:val="0"/>
                              <w:divBdr>
                                <w:top w:val="single" w:sz="2" w:space="0" w:color="E5E7EB"/>
                                <w:left w:val="single" w:sz="2" w:space="0" w:color="E5E7EB"/>
                                <w:bottom w:val="single" w:sz="2" w:space="0" w:color="E5E7EB"/>
                                <w:right w:val="single" w:sz="2" w:space="0" w:color="E5E7EB"/>
                              </w:divBdr>
                              <w:divsChild>
                                <w:div w:id="1200357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66947253">
                  <w:marLeft w:val="0"/>
                  <w:marRight w:val="0"/>
                  <w:marTop w:val="0"/>
                  <w:marBottom w:val="0"/>
                  <w:divBdr>
                    <w:top w:val="single" w:sz="2" w:space="0" w:color="auto"/>
                    <w:left w:val="single" w:sz="2" w:space="0" w:color="auto"/>
                    <w:bottom w:val="single" w:sz="2" w:space="0" w:color="auto"/>
                    <w:right w:val="single" w:sz="2" w:space="0" w:color="auto"/>
                  </w:divBdr>
                  <w:divsChild>
                    <w:div w:id="583685406">
                      <w:marLeft w:val="0"/>
                      <w:marRight w:val="0"/>
                      <w:marTop w:val="0"/>
                      <w:marBottom w:val="0"/>
                      <w:divBdr>
                        <w:top w:val="single" w:sz="2" w:space="0" w:color="E5E7EB"/>
                        <w:left w:val="single" w:sz="2" w:space="0" w:color="E5E7EB"/>
                        <w:bottom w:val="single" w:sz="2" w:space="0" w:color="E5E7EB"/>
                        <w:right w:val="single" w:sz="2" w:space="0" w:color="E5E7EB"/>
                      </w:divBdr>
                      <w:divsChild>
                        <w:div w:id="1513377934">
                          <w:marLeft w:val="0"/>
                          <w:marRight w:val="0"/>
                          <w:marTop w:val="0"/>
                          <w:marBottom w:val="0"/>
                          <w:divBdr>
                            <w:top w:val="single" w:sz="2" w:space="0" w:color="E5E7EB"/>
                            <w:left w:val="single" w:sz="2" w:space="0" w:color="E5E7EB"/>
                            <w:bottom w:val="single" w:sz="2" w:space="0" w:color="E5E7EB"/>
                            <w:right w:val="single" w:sz="2" w:space="0" w:color="E5E7EB"/>
                          </w:divBdr>
                          <w:divsChild>
                            <w:div w:id="2098868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3196133">
                          <w:marLeft w:val="0"/>
                          <w:marRight w:val="0"/>
                          <w:marTop w:val="0"/>
                          <w:marBottom w:val="0"/>
                          <w:divBdr>
                            <w:top w:val="single" w:sz="2" w:space="0" w:color="E5E7EB"/>
                            <w:left w:val="single" w:sz="2" w:space="0" w:color="E5E7EB"/>
                            <w:bottom w:val="single" w:sz="2" w:space="0" w:color="E5E7EB"/>
                            <w:right w:val="single" w:sz="2" w:space="0" w:color="E5E7EB"/>
                          </w:divBdr>
                          <w:divsChild>
                            <w:div w:id="1798260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644503376">
      <w:bodyDiv w:val="1"/>
      <w:marLeft w:val="0"/>
      <w:marRight w:val="0"/>
      <w:marTop w:val="0"/>
      <w:marBottom w:val="0"/>
      <w:divBdr>
        <w:top w:val="none" w:sz="0" w:space="0" w:color="auto"/>
        <w:left w:val="none" w:sz="0" w:space="0" w:color="auto"/>
        <w:bottom w:val="none" w:sz="0" w:space="0" w:color="auto"/>
        <w:right w:val="none" w:sz="0" w:space="0" w:color="auto"/>
      </w:divBdr>
    </w:div>
    <w:div w:id="204459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27</Pages>
  <Words>8282</Words>
  <Characters>50529</Characters>
  <Application>Microsoft Office Word</Application>
  <DocSecurity>0</DocSecurity>
  <Lines>875</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Masooma Siddiqui</dc:creator>
  <cp:keywords/>
  <dc:description/>
  <cp:lastModifiedBy>Masooma Siddiqui</cp:lastModifiedBy>
  <cp:revision>6</cp:revision>
  <dcterms:created xsi:type="dcterms:W3CDTF">2024-09-24T16:57:00Z</dcterms:created>
  <dcterms:modified xsi:type="dcterms:W3CDTF">2024-09-24T18:46:00Z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90407fef-8fca-47e3-8677-bbbb5986d9bc</vt:lpwstr>
  </property>
</Properties>
</file>