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374E" w:rsidRPr="00D8391A" w:rsidRDefault="0063374E" w:rsidP="005B0548">
      <w:pPr>
        <w:pStyle w:val="NormalWeb"/>
        <w:spacing w:line="360" w:lineRule="auto"/>
        <w:contextualSpacing/>
        <w:jc w:val="center"/>
        <w:rPr>
          <w:b/>
          <w:bCs/>
          <w:sz w:val="36"/>
          <w:szCs w:val="32"/>
          <w:u w:val="single"/>
        </w:rPr>
      </w:pPr>
      <w:r w:rsidRPr="00D8391A">
        <w:rPr>
          <w:b/>
          <w:bCs/>
          <w:sz w:val="36"/>
          <w:szCs w:val="32"/>
          <w:u w:val="single"/>
        </w:rPr>
        <w:t xml:space="preserve">Non-Communicable Diseases in India: Prevalence, Risk Factors, and Economic Burden - A </w:t>
      </w:r>
      <w:r w:rsidR="009C57F4" w:rsidRPr="00D8391A">
        <w:rPr>
          <w:b/>
          <w:bCs/>
          <w:sz w:val="36"/>
          <w:szCs w:val="32"/>
          <w:u w:val="single"/>
        </w:rPr>
        <w:t>Comprehensive Literature Review</w:t>
      </w:r>
    </w:p>
    <w:p w:rsidR="006A17FB" w:rsidRPr="000855CA" w:rsidRDefault="006A17FB" w:rsidP="005B0548">
      <w:pPr>
        <w:pStyle w:val="NormalWeb"/>
        <w:contextualSpacing/>
        <w:jc w:val="right"/>
        <w:rPr>
          <w:bCs/>
          <w:sz w:val="28"/>
          <w:szCs w:val="32"/>
        </w:rPr>
      </w:pPr>
      <w:r w:rsidRPr="00B4723C">
        <w:rPr>
          <w:bCs/>
          <w:sz w:val="32"/>
          <w:szCs w:val="32"/>
        </w:rPr>
        <w:t xml:space="preserve">                                                     </w:t>
      </w:r>
      <w:r w:rsidRPr="000855CA">
        <w:rPr>
          <w:bCs/>
          <w:sz w:val="28"/>
          <w:szCs w:val="32"/>
        </w:rPr>
        <w:t>Himasri Barman</w:t>
      </w:r>
    </w:p>
    <w:p w:rsidR="004D3F98" w:rsidRPr="004D3F98" w:rsidRDefault="006A17FB" w:rsidP="004D3F98">
      <w:pPr>
        <w:pStyle w:val="NormalWeb"/>
        <w:contextualSpacing/>
        <w:jc w:val="right"/>
        <w:rPr>
          <w:bCs/>
          <w:sz w:val="28"/>
          <w:szCs w:val="32"/>
        </w:rPr>
      </w:pPr>
      <w:r w:rsidRPr="000855CA">
        <w:rPr>
          <w:bCs/>
          <w:sz w:val="28"/>
          <w:szCs w:val="32"/>
        </w:rPr>
        <w:t xml:space="preserve">                                                                      </w:t>
      </w:r>
      <w:r w:rsidR="004D3F98" w:rsidRPr="004D3F98">
        <w:rPr>
          <w:bCs/>
          <w:sz w:val="28"/>
          <w:szCs w:val="32"/>
        </w:rPr>
        <w:t>PhD research scholar</w:t>
      </w:r>
    </w:p>
    <w:p w:rsidR="004D3F98" w:rsidRPr="004D3F98" w:rsidRDefault="004D3F98" w:rsidP="004D3F98">
      <w:pPr>
        <w:pStyle w:val="NormalWeb"/>
        <w:contextualSpacing/>
        <w:jc w:val="right"/>
        <w:rPr>
          <w:bCs/>
          <w:sz w:val="28"/>
          <w:szCs w:val="32"/>
        </w:rPr>
      </w:pPr>
      <w:r w:rsidRPr="004D3F98">
        <w:rPr>
          <w:bCs/>
          <w:sz w:val="28"/>
          <w:szCs w:val="32"/>
        </w:rPr>
        <w:t>Dept. of Humanities &amp; Social Sciences</w:t>
      </w:r>
    </w:p>
    <w:p w:rsidR="004D3F98" w:rsidRPr="004D3F98" w:rsidRDefault="004D3F98" w:rsidP="004D3F98">
      <w:pPr>
        <w:pStyle w:val="NormalWeb"/>
        <w:contextualSpacing/>
        <w:jc w:val="right"/>
        <w:rPr>
          <w:bCs/>
          <w:sz w:val="28"/>
          <w:szCs w:val="32"/>
        </w:rPr>
      </w:pPr>
      <w:r w:rsidRPr="004D3F98">
        <w:rPr>
          <w:bCs/>
          <w:sz w:val="28"/>
          <w:szCs w:val="32"/>
        </w:rPr>
        <w:t>Indian Institute of Information Technology Guwahati</w:t>
      </w:r>
    </w:p>
    <w:p w:rsidR="004D3F98" w:rsidRPr="004D3F98" w:rsidRDefault="004D3F98" w:rsidP="004D3F98">
      <w:pPr>
        <w:pStyle w:val="NormalWeb"/>
        <w:contextualSpacing/>
        <w:jc w:val="right"/>
        <w:rPr>
          <w:bCs/>
          <w:sz w:val="28"/>
          <w:szCs w:val="32"/>
        </w:rPr>
      </w:pPr>
      <w:r w:rsidRPr="004D3F98">
        <w:rPr>
          <w:bCs/>
          <w:sz w:val="28"/>
          <w:szCs w:val="32"/>
        </w:rPr>
        <w:t>Bongora, Guwahati-781015, India  </w:t>
      </w:r>
    </w:p>
    <w:p w:rsidR="00F32F4D" w:rsidRPr="009B6C12" w:rsidRDefault="00F32F4D" w:rsidP="004D3F98">
      <w:pPr>
        <w:pStyle w:val="NormalWeb"/>
        <w:contextualSpacing/>
        <w:jc w:val="right"/>
        <w:rPr>
          <w:bCs/>
          <w:sz w:val="28"/>
          <w:szCs w:val="32"/>
        </w:rPr>
      </w:pPr>
    </w:p>
    <w:p w:rsidR="00BB3544" w:rsidRPr="00D8391A" w:rsidRDefault="00C7247A" w:rsidP="004C5C75">
      <w:pPr>
        <w:spacing w:before="161" w:line="360" w:lineRule="auto"/>
        <w:ind w:left="220"/>
        <w:jc w:val="both"/>
        <w:rPr>
          <w:b/>
          <w:sz w:val="36"/>
          <w:szCs w:val="32"/>
        </w:rPr>
      </w:pPr>
      <w:r w:rsidRPr="00D8391A">
        <w:rPr>
          <w:b/>
          <w:sz w:val="36"/>
          <w:szCs w:val="32"/>
        </w:rPr>
        <w:t>Abstract:</w:t>
      </w:r>
      <w:r w:rsidR="009B6C12" w:rsidRPr="00D8391A">
        <w:rPr>
          <w:b/>
          <w:sz w:val="36"/>
          <w:szCs w:val="32"/>
        </w:rPr>
        <w:t xml:space="preserve"> </w:t>
      </w:r>
    </w:p>
    <w:p w:rsidR="005B0548" w:rsidRDefault="005B0548" w:rsidP="007A38E3">
      <w:pPr>
        <w:pStyle w:val="Heading1"/>
        <w:tabs>
          <w:tab w:val="left" w:pos="941"/>
        </w:tabs>
        <w:spacing w:line="360" w:lineRule="auto"/>
        <w:ind w:left="221"/>
        <w:jc w:val="both"/>
        <w:rPr>
          <w:b w:val="0"/>
          <w:sz w:val="32"/>
          <w:szCs w:val="32"/>
        </w:rPr>
      </w:pPr>
      <w:r w:rsidRPr="00411A2D">
        <w:rPr>
          <w:b w:val="0"/>
          <w:sz w:val="32"/>
          <w:szCs w:val="32"/>
        </w:rPr>
        <w:t xml:space="preserve">This study presents a comprehensive review of non-communicable diseases (NCDs) in Northeast India, focusing on prevalence, risk factors, ethnic disparities, and economic burden. Analysis of recent literature reveals a high prevalence of hypertension (25.9%) and pre-hypertension (44.5%) in urban Naga populations, with significant tobacco use (84%) and alcohol consumption (67%) across genders. Ethnic disparities were observed, with non-Bodo women showing higher susceptibility to hypertension and obesity compared to Bodo women, particularly above age 40. The economic impact of NCDs is substantial, with approximately two-thirds of affected households experiencing catastrophic health expenditure, concentrated among the poor. Existing health insurance schemes were found ineffective in protecting against NCD-related economic shocks. The review also highlights inadequacies in healthcare worker training and data collection systems for NCDs. The study identifies critical research gaps, </w:t>
      </w:r>
      <w:r w:rsidRPr="00411A2D">
        <w:rPr>
          <w:b w:val="0"/>
          <w:sz w:val="32"/>
          <w:szCs w:val="32"/>
        </w:rPr>
        <w:lastRenderedPageBreak/>
        <w:t xml:space="preserve">including the need for comprehensive data on NCD risk factors and evaluation of intervention effectiveness, providing direction for future research and policy formulation in the region. </w:t>
      </w:r>
      <w:r>
        <w:rPr>
          <w:b w:val="0"/>
          <w:sz w:val="32"/>
          <w:szCs w:val="32"/>
        </w:rPr>
        <w:t xml:space="preserve">                           </w:t>
      </w:r>
    </w:p>
    <w:p w:rsidR="007A38E3" w:rsidRPr="007A38E3" w:rsidRDefault="007A38E3" w:rsidP="007A38E3">
      <w:pPr>
        <w:pStyle w:val="Heading1"/>
        <w:tabs>
          <w:tab w:val="left" w:pos="941"/>
        </w:tabs>
        <w:spacing w:line="360" w:lineRule="auto"/>
        <w:ind w:left="221"/>
        <w:jc w:val="both"/>
        <w:rPr>
          <w:sz w:val="32"/>
          <w:szCs w:val="32"/>
        </w:rPr>
      </w:pPr>
      <w:r w:rsidRPr="007A38E3">
        <w:rPr>
          <w:sz w:val="32"/>
          <w:szCs w:val="32"/>
        </w:rPr>
        <w:t xml:space="preserve">Keywords: </w:t>
      </w:r>
      <w:r w:rsidRPr="007A38E3">
        <w:rPr>
          <w:b w:val="0"/>
          <w:i/>
          <w:iCs/>
          <w:sz w:val="32"/>
          <w:szCs w:val="32"/>
        </w:rPr>
        <w:t>Non-Communicable Diseases, Northeast India, Health Economics, Ethnic Disparities, Risk Factors</w:t>
      </w:r>
    </w:p>
    <w:p w:rsidR="007A38E3" w:rsidRPr="007A38E3" w:rsidRDefault="007A38E3" w:rsidP="007A38E3">
      <w:pPr>
        <w:pStyle w:val="Heading1"/>
        <w:tabs>
          <w:tab w:val="left" w:pos="941"/>
        </w:tabs>
        <w:spacing w:line="360" w:lineRule="auto"/>
        <w:ind w:left="221"/>
        <w:jc w:val="both"/>
        <w:rPr>
          <w:sz w:val="32"/>
          <w:szCs w:val="32"/>
        </w:rPr>
      </w:pPr>
      <w:r w:rsidRPr="007A38E3">
        <w:rPr>
          <w:sz w:val="32"/>
          <w:szCs w:val="32"/>
          <w:u w:val="single"/>
        </w:rPr>
        <w:t>Introduction</w:t>
      </w:r>
    </w:p>
    <w:p w:rsidR="005B0548" w:rsidRDefault="005B0548" w:rsidP="005B0548">
      <w:pPr>
        <w:pStyle w:val="Heading1"/>
        <w:tabs>
          <w:tab w:val="left" w:pos="941"/>
        </w:tabs>
        <w:spacing w:line="360" w:lineRule="auto"/>
        <w:ind w:left="221"/>
        <w:jc w:val="both"/>
        <w:rPr>
          <w:b w:val="0"/>
          <w:sz w:val="32"/>
          <w:szCs w:val="32"/>
        </w:rPr>
      </w:pPr>
      <w:r w:rsidRPr="00411A2D">
        <w:rPr>
          <w:b w:val="0"/>
          <w:sz w:val="32"/>
          <w:szCs w:val="32"/>
        </w:rPr>
        <w:t xml:space="preserve">Health is a fundamental human right that everyone intends to acquire. Significant health issues that significantly affect human well-being have surfaced in India. The burden of non-communicable illnesses (NCDs) is increasing in India and is now higher than the burden for communicable diseases such as TB, HIV, and vector- or water-borne infections. This country is going through a rapid health change. It is believed that non-communicable diseases, such as diabetes, cancer, chronic respiratory conditions, and cardiovascular disorders, cause about 60% of all fatalities. Significantly fewer years of potentially productive life are lost as a result of NCDs. Over time, it is also anticipated that losses from heart disease, stroke, and diabetes-related early deaths will rise. The National Programme for Prevention and Control of Cancer, Diabetes, Cardiovascular Diseases, and Stroke (NPCDCS) was established in 2010 to prevent and control major NCDs. Its main objectives are early diagnosis, management, referral, and strengthening infrastructure and human resource development. The NPCDCS aims to manage programs by establishing NCD cells at the national, state, and district levels. Additionally, NCD clinics will be built at the district </w:t>
      </w:r>
      <w:r w:rsidRPr="00411A2D">
        <w:rPr>
          <w:b w:val="0"/>
          <w:sz w:val="32"/>
          <w:szCs w:val="32"/>
        </w:rPr>
        <w:lastRenderedPageBreak/>
        <w:t xml:space="preserve">and community health center levels to offer early diagnosis, treatment, and follow-up services for common NCDs. Under the scheme, patients visiting the NCD clinics would receive free diagnostic equipment and medication. Additionally, facilities for emergency cardiac care are being established in designated districts through the construction of Cardiac Care Units (CCUs). In the designated districts, daycare centers have been put up to offer cancer care. In 100 districts spread across 21 states, the initiative was put into place between 2010 and 2012. Examining the first stage of the program's implementation assisted in locating the bottlenecks, and, in turn, the program was re-strategized and scaled up. The program aims to cover the entire country by March 2017. The modified strategies are as follows: Fostering health through behavior modification with the help of the media, civil society, community organizations, etc. Outreach camps are intended to provide opportunistic screening for early identification of common malignancies, diabetes, and hypertension at various levels of the health care delivery system, starting at the sub-center. The early diagnosis, treatment, and follow-up of chronic non-communicable diseases, particularly cancer, diabetes, CVDs, and stroke, through the establishment of NCD clinics. Increase capacity for prevention, early diagnosis, treatment, IEC/BCC, operational research, and rehabilitation at different healthcare levels. Offer assistance with diagnostic and affordable treatment at the primary, secondary, and tertiary health care levels. Support the creation of an extensive surveillance system and database for non-communicable diseases (NCDs), keeping an eye on risk factors, mortality, and morbidity. Current efforts under the National Prevention of Chronic Diseases (NPCDCS) include several significant initiatives, such as the </w:t>
      </w:r>
      <w:r w:rsidRPr="00411A2D">
        <w:rPr>
          <w:b w:val="0"/>
          <w:sz w:val="32"/>
          <w:szCs w:val="32"/>
        </w:rPr>
        <w:lastRenderedPageBreak/>
        <w:t xml:space="preserve">inclusion of guidelines for the prevention and management of chronic kidney disease (CKD) and chronic obstructive pulmonary disease (COPD), which are major causes of death related to NCDs. 2. A pilot project called "Integration of AYUSH with NPCDCS" has been launched in six districts across the nation to help with the early detection of common cancers, hypertension, and diabetes in the community. Guidelines for launching "population-based screening of common NCDs" using frontline and healthcare workers under the current Primary Healthcare System are being issued to the States. For the prevention and treatment of common diseases, NPCDCS services are integrated with AYUSH facilities and approaches. The integration of RNTCP with NPCDCS is another initiative. Through this integration, a national strategy for "bi-directional screening," early detection, and better management of tuberculosis and diabetes co-morbidities in India has been developed. Similar to many other portions of India, Assam faces a serious health threat from NCDs. The region's most prevalent common non-communicable diseases (NCDs) are usually cancer, diabetes, hypertension, cardiovascular disease, and chronic respiratory disorders. Several risk factors, including dietary practices, consumption of tobacco and alcohol, physical inactivity, and pollution, have been associated with NCDs. Non-communicable diseases (NCDs) have risen substantially in India, according to NFHS-5 (2019–21). During 2015 and 2016, the prevalence of hypertension increased to 11% in women and 24% in men. In most states/UTs in NFHS-5, the prevalence of overweight or obesity has elevated in contrast with NFHS-4. Women's share increases to 24 percent nationally, while men's share rises to 23 percent. In the states of Kerala, Andhra Pradesh, Goa, Sikkim, </w:t>
      </w:r>
      <w:r w:rsidRPr="00411A2D">
        <w:rPr>
          <w:b w:val="0"/>
          <w:sz w:val="32"/>
          <w:szCs w:val="32"/>
        </w:rPr>
        <w:lastRenderedPageBreak/>
        <w:t xml:space="preserve">Manipur, Delhi, Tamil Nadu, </w:t>
      </w:r>
      <w:r w:rsidR="000E5BE1" w:rsidRPr="00411A2D">
        <w:rPr>
          <w:b w:val="0"/>
          <w:sz w:val="32"/>
          <w:szCs w:val="32"/>
        </w:rPr>
        <w:t>Pondicherry</w:t>
      </w:r>
      <w:r w:rsidRPr="00411A2D">
        <w:rPr>
          <w:b w:val="0"/>
          <w:sz w:val="32"/>
          <w:szCs w:val="32"/>
        </w:rPr>
        <w:t>, Punjab, Chandigarh, and Lakshadweep, between 34 and 46% of women are overweight or obese. Consequently, the prevalence of non-communicable diseases has also sharply increased, with the prevalence of hypertension among men and women rising from 15% and 11% to 24% and 21% in NFHS-5. Approximately 6.37 lakh sample homes from 707 districts (as of March 2017) across 28 States, 8 UTs, and 7</w:t>
      </w:r>
      <w:r w:rsidR="000E5BE1" w:rsidRPr="00411A2D">
        <w:rPr>
          <w:b w:val="0"/>
          <w:sz w:val="32"/>
          <w:szCs w:val="32"/>
        </w:rPr>
        <w:t>, 24, 115</w:t>
      </w:r>
      <w:r w:rsidRPr="00411A2D">
        <w:rPr>
          <w:b w:val="0"/>
          <w:sz w:val="32"/>
          <w:szCs w:val="32"/>
        </w:rPr>
        <w:t xml:space="preserve"> women and 1,01,839 men participated in the NFHS-5 survey, which produced disaggregated estimates down to the district level. The Indian government has taken several steps and launched various programs to fight non-communicable diseases (NCDs). Launched in 2010, the National Programme for Prevention and Control of Diabetes, Cardiovascular Diseases, and Stroke (NPCDCS) is a significant program that focuses on health promotion, prevention, and rehabilitation while aiming to provide early diagnosis and management of NCDs. To provide health insurance coverage for secondary and tertiary care through Health and Wellness Centers for NCD screening and management, Ayushman Bharat was introduced in 2018. This study aims to address critical research gaps in the context of NCDs in Northeast India, with a specific focus on the states of Assam and Nagaland. By examining the prevalence of NCD risk factors, assessing the economic burden on households, and investigating ethnic disparities in cardiovascular disease (CVD) risk factors, this research seeks to contribute valuable insights to inform targeted interventions and public health strategies in the region.</w:t>
      </w:r>
    </w:p>
    <w:p w:rsidR="000E5BE1" w:rsidRDefault="000E5BE1" w:rsidP="004C5C75">
      <w:pPr>
        <w:pStyle w:val="BodyText"/>
        <w:spacing w:line="360" w:lineRule="auto"/>
        <w:ind w:right="217"/>
        <w:jc w:val="both"/>
        <w:rPr>
          <w:bCs/>
          <w:sz w:val="32"/>
          <w:szCs w:val="32"/>
        </w:rPr>
      </w:pPr>
    </w:p>
    <w:p w:rsidR="000E5BE1" w:rsidRDefault="000E5BE1" w:rsidP="004C5C75">
      <w:pPr>
        <w:pStyle w:val="BodyText"/>
        <w:spacing w:line="360" w:lineRule="auto"/>
        <w:ind w:right="217"/>
        <w:jc w:val="both"/>
        <w:rPr>
          <w:bCs/>
          <w:sz w:val="32"/>
          <w:szCs w:val="32"/>
        </w:rPr>
      </w:pPr>
    </w:p>
    <w:p w:rsidR="000E5BE1" w:rsidRDefault="000E5BE1" w:rsidP="004C5C75">
      <w:pPr>
        <w:pStyle w:val="BodyText"/>
        <w:spacing w:line="360" w:lineRule="auto"/>
        <w:ind w:right="217"/>
        <w:jc w:val="both"/>
        <w:rPr>
          <w:bCs/>
          <w:sz w:val="32"/>
          <w:szCs w:val="32"/>
        </w:rPr>
      </w:pPr>
    </w:p>
    <w:p w:rsidR="001A495A" w:rsidRPr="00D8391A" w:rsidRDefault="001A495A" w:rsidP="004C5C75">
      <w:pPr>
        <w:pStyle w:val="BodyText"/>
        <w:spacing w:line="360" w:lineRule="auto"/>
        <w:ind w:right="217"/>
        <w:jc w:val="both"/>
        <w:rPr>
          <w:b/>
          <w:bCs/>
          <w:sz w:val="36"/>
          <w:szCs w:val="32"/>
          <w:u w:val="single"/>
        </w:rPr>
      </w:pPr>
      <w:r w:rsidRPr="00D8391A">
        <w:rPr>
          <w:b/>
          <w:bCs/>
          <w:sz w:val="36"/>
          <w:szCs w:val="32"/>
          <w:u w:val="single"/>
        </w:rPr>
        <w:t>Major Research Works Reviewed:</w:t>
      </w:r>
    </w:p>
    <w:p w:rsidR="00AC2EEA" w:rsidRPr="00AC2EEA" w:rsidRDefault="00AC2EEA" w:rsidP="00AC2EEA">
      <w:pPr>
        <w:spacing w:after="200" w:line="360" w:lineRule="auto"/>
        <w:contextualSpacing/>
        <w:jc w:val="both"/>
        <w:rPr>
          <w:sz w:val="32"/>
          <w:szCs w:val="32"/>
        </w:rPr>
      </w:pPr>
      <w:r w:rsidRPr="00411A2D">
        <w:rPr>
          <w:sz w:val="32"/>
          <w:szCs w:val="32"/>
        </w:rPr>
        <w:t xml:space="preserve">The review of literature plays an important role in ascertaining the outcome of any research problem, and this work includes an extensive review of the existing and available literature so that the problem can be addressed scientifically and effectively. There are various trends of literature available on non-communicable diseases (NCDs). Some relevant literature reviews are discussed here: NCDs are responsible for a significant proportion of mortality and morbidity in India. Major risk factors for NCDs include smoking, alcohol abuse, sedentary lifestyles, rapid urbanization, changes in lifestyle, and unhealthy diets. NCDs pose a substantial economic burden, with significant out-of-pocket expenditures for healthcare, particularly for cardiovascular diseases, diabetes, and chronic obstructive pulmonary disease (COPD). There are significant regional variations in the prevalence of NCD risk factors such as tobacco use, alcohol consumption, and obesity. Empowerment of the community through effective health education and the use of trained public health personnel, along with the provision of free health care and social insurance, would prove beneficial in effectively controlling the growing prevalence of NCDs. India must orient the health system towards prevention, screening, early intervention, and new treatment modalities to reduce the burden of NCDs. Evidence-based clinical practice and appropriate use of technologies should be promoted at all levels of health care (Upadhyay, R. P. 2012). Kataria et al. (2020) analyzed to reduce the incidence, prevalence, morbidity, and mortality of NCDs in India, ultimately achieving the country's NCD targets. For </w:t>
      </w:r>
      <w:r w:rsidRPr="00411A2D">
        <w:rPr>
          <w:sz w:val="32"/>
          <w:szCs w:val="32"/>
        </w:rPr>
        <w:lastRenderedPageBreak/>
        <w:t xml:space="preserve">this purpose, a second web-based survey was used to identify 15 key priority research questions using a linear mixed-effect regression model. The study identified 15 key research questions, including strengthening healthcare systems, improving access to NCD screening, diagnosis, and treatment, assessing government policies, evaluating prevention programs (e.g., tobacco control and environmental improvements), and developing research tools to monitor NCDs. To produce the evidence base for selecting and implementing non-communicable disease programs and policies in India, investments are needed and should be guided by a national research agenda for the prevention and control of NCD. Need for a structured approach to guide research efforts that can inform policies, programs, and healthcare delivery systems effectively. Misra et al. (2014) found that tobacco use, alcohol use, and unhealthy diet habits were high among men and women in this population and were major NCD risk factors at 84% overall (men 94%, women 73%). Older individuals had higher hypertension (26% had hypertension; 24% were aware, 17% treated, and 2.4% controlled) prevalence compared to younger individuals. Therefore, culturally appropriate tobacco cessation services integrated with health services delivery are urgently required to enhance the quit rate in this population. Alcohol consumption is 67% overall (men 82%, women 50%). While men are more than women, this population was also very high. The low rates of diabetes in our study could be due to a high level of physical activity; 86% reported vigorous activity (men 91%, women 82%)., low rates of overweight (16% overweight) and abdominal obesity (11% abdominal obesity), and low detection rates. An unhealthy diet (68% consumed less than five servings of fruits and vegetables per day) was more prevalent </w:t>
      </w:r>
      <w:r w:rsidRPr="00411A2D">
        <w:rPr>
          <w:sz w:val="32"/>
          <w:szCs w:val="32"/>
        </w:rPr>
        <w:lastRenderedPageBreak/>
        <w:t xml:space="preserve">among the illiterates, which could be resolved by better education. Tobacco use among men and women in this study was significantly higher than the general population in Assam and other tribal populations. Non-users of tobacco and those consuming more fruits and vegetables had a higher prevalence of overweight. Treatment and control of hypertension were also lower than in the general population due to inadequate access to health care. High levels of physical activity were observed, contributing to lower rates of overweight and abdominal obesity. Upadhyay, R. P. (2012). Regarding assessing the household economic burden of non-communicable diseases, a study by Verma et al. (2021) found that households were economically vulnerable to illness from NCDs, with around two-thirds of households with NCDs incurring catastrophic expenditure. Catastrophic expenditures (as per WHO, any health expenditure that is more than 40% of the paying capacity of patients) were concentrated amongst the poor. Approximately two-thirds of households with NCDs experienced CHE. Due to out-of-pocket expenditure on the treatment of NCDs, quality level declines pushed people to poverty. Households spent significantly beyond the 10% threshold, with poor households experiencing greater overshoot. In India, catastrophic expenditure (hospitalization-related expenses and procedures) was higher than the WHO estimate for developing countries due to paucity of insurance coverage, and RSBY and the National Health Mission were ineffective in protecting poor households from economic shocks and the quality and availability of basic amenities at healthcare centers in rural areas of India. This situation demands state-specific policies be done that regard the contextual variations and budgetary allocations for the health sector should be revised with increased prioritization. </w:t>
      </w:r>
      <w:r w:rsidRPr="00411A2D">
        <w:rPr>
          <w:sz w:val="32"/>
          <w:szCs w:val="32"/>
        </w:rPr>
        <w:lastRenderedPageBreak/>
        <w:t xml:space="preserve">NCD-related OOPE pushed many households into poverty, deepening the poverty levels among already poor households. There were substantial differences in CHE and impoverishment across states, with poorer states and those with higher NCD burdens experiencing more significant impacts. Absence of insurance, use of private healthcare providers, rural residence, and belonging to the poorest expenditure quintile were associated with a higher likelihood of CHE. The study by Sanglir et al. (2023) found a prevalence of 25.9% for hypertension and 44.5% for pre-hypertension among the participants. Prehypertension is considerably high in this community. Efforts to target screening of males &gt;40 years, history of hypertension in the family, current alcohol users, and overweight/obese individuals in this community, increase awareness regarding hypertension and its risk factors (with emphasis on avoiding tobacco/alcohol, coping with stressors, and controlling body weight by consuming a healthy diet), and improve the community's health-seeking behavior. Regarding CVD risk factors, Hazarika et al. (2023) found that risk factors like hypertension, pre-hypertension, and obesity were reported to increase more severely in urban non-Bodo women than in Bodo premenopausal women. A higher degree of physical activity was associated with a lower blood glucose level. Culturally sensitive, peer-led community and healthcare professional education is a necessary step in CVD prevention. Non-Bodo premenopausal women exhibited almost double the susceptibility to hypertension, pre-hypertension, and obesity compared to Bodo women. This trend was even more pronounced in women over 40 years old. The risk of hypertension increased significantly with age, showing a 16-fold increase in non-Bodo women and an 11-fold increase in Bodo women over 40 compared to those </w:t>
      </w:r>
      <w:r w:rsidRPr="00411A2D">
        <w:rPr>
          <w:sz w:val="32"/>
          <w:szCs w:val="32"/>
        </w:rPr>
        <w:lastRenderedPageBreak/>
        <w:t xml:space="preserve">under 40. Non-Bodo women had higher BMI and blood pressure levels compared to Bodo women. Physical activity showed an inverse association with blood sugar levels, potentially explaining the lower incidence of diabetes among Bodo women. According to the literature that is currently available, it was observed that there is a lack of a comprehensive and consensus-based research agenda for non-communicable disease (NCD) prevention and control in India, despite the significant contribution of NCDs to mortality in India and a lack of comprehensive data on non-communicable disease (NCD) risk factors. There is a need for detailed assessment and profiling of these risk factors to inform targeted interventions and public health strategies (Kataria et al. 2020; Misra et al. 2014). The Verma et al. (2021) study pertains to the lack of comprehensive understanding regarding the extent and impact of catastrophic health expenditure (CHE) due to non-communicable diseases (NCDs) in India. Specifically, there is insufficient knowledge about the socio-economic determinants influencing CHE and the consequent impoverishment effects on households. From the study by Upadhyay, R. P. (2012), it was clear that India lacks a robust and regular system for collecting data on non-communicable diseases (NCDs) that is both comprehensive and of high quality. There is a significant gap in the training and knowledge of healthcare workers, particularly primary care providers, regarding NCDs. The roles of various health sectors (public, private, and voluntary) in providing care for NCDs are not well defined. Economic Impact Analysis: There is a need for more methodologically sound research on the economic burden of NCDs on the general population and government bodies. There is no regular system for collecting data on non-communicable diseases (NCDs) due to a lack of trained </w:t>
      </w:r>
      <w:r w:rsidRPr="00411A2D">
        <w:rPr>
          <w:sz w:val="32"/>
          <w:szCs w:val="32"/>
        </w:rPr>
        <w:lastRenderedPageBreak/>
        <w:t>healthcare workers and primary care providers armed with inadequate knowledge and skills, which create increasing issues related to non-communicable diseases (NCDs) disease. There is a paucity of data on the burden and factors associated with hypertension among the Nagas living in urban environments, particularly in Dimapur, Nagaland. There is a need for more research focused on the 30-50-year age group among the Nagas to understand hypertension prevalence and risk factors. Existing studies do not sufficiently address the cultural and lifestyle factors unique to the Nagas that may influence hypertension and its risk factors. Sanglir et al. (2023). There is a scarcity of data on cardiovascular disease (CVD) risk factors specifically in Kokrajhar, particularly among Bodo and non-Bodo premenopausal women. Existing studies have not sufficiently explored the differences in CVD risk factors between BODO and non-BODO women, highlighting an ethnic disparity that needs further investigation. There is a gap in understanding how age, particularly above 40 years, affects the susceptibility to CVD risk factors among these groups. The relationship between physical activity and blood sugar levels and its impact on CVD risk among different ethnic groups remains underexplored. Hazarika et al. (2023)</w:t>
      </w:r>
    </w:p>
    <w:p w:rsidR="007A38E3" w:rsidRPr="000E5BE1" w:rsidRDefault="007A38E3" w:rsidP="007A38E3">
      <w:pPr>
        <w:spacing w:after="200" w:line="360" w:lineRule="auto"/>
        <w:contextualSpacing/>
        <w:jc w:val="both"/>
        <w:rPr>
          <w:b/>
          <w:sz w:val="32"/>
          <w:szCs w:val="32"/>
          <w:u w:val="single"/>
        </w:rPr>
      </w:pPr>
      <w:r w:rsidRPr="000E5BE1">
        <w:rPr>
          <w:b/>
          <w:bCs/>
          <w:sz w:val="32"/>
          <w:szCs w:val="32"/>
          <w:u w:val="single"/>
        </w:rPr>
        <w:t>Objective of the Study</w:t>
      </w:r>
    </w:p>
    <w:p w:rsidR="00AC2EEA" w:rsidRDefault="00AC2EEA" w:rsidP="00AC2EEA">
      <w:pPr>
        <w:spacing w:after="200" w:line="360" w:lineRule="auto"/>
        <w:contextualSpacing/>
        <w:jc w:val="both"/>
        <w:rPr>
          <w:sz w:val="32"/>
          <w:szCs w:val="32"/>
        </w:rPr>
      </w:pPr>
      <w:r w:rsidRPr="00AC2EEA">
        <w:rPr>
          <w:sz w:val="32"/>
          <w:szCs w:val="32"/>
        </w:rPr>
        <w:t xml:space="preserve">The major objectives of the proposed study are </w:t>
      </w:r>
    </w:p>
    <w:p w:rsidR="00AC2EEA" w:rsidRDefault="00AC2EEA" w:rsidP="00AC2EEA">
      <w:pPr>
        <w:pStyle w:val="ListParagraph"/>
        <w:numPr>
          <w:ilvl w:val="0"/>
          <w:numId w:val="28"/>
        </w:numPr>
        <w:spacing w:after="200" w:line="360" w:lineRule="auto"/>
        <w:jc w:val="both"/>
        <w:rPr>
          <w:sz w:val="32"/>
          <w:szCs w:val="32"/>
        </w:rPr>
      </w:pPr>
      <w:r>
        <w:rPr>
          <w:sz w:val="32"/>
          <w:szCs w:val="32"/>
        </w:rPr>
        <w:lastRenderedPageBreak/>
        <w:t>T</w:t>
      </w:r>
      <w:r w:rsidRPr="00AC2EEA">
        <w:rPr>
          <w:sz w:val="32"/>
          <w:szCs w:val="32"/>
        </w:rPr>
        <w:t xml:space="preserve">o assess the prevalence and distribution of major NCD risk factors (such as hypertension, obesity, tobacco use, and alcohol consumption) among different categories of people in, particularly in Assam, NCDs in India. </w:t>
      </w:r>
    </w:p>
    <w:p w:rsidR="00AC2EEA" w:rsidRPr="00AC2EEA" w:rsidRDefault="00AC2EEA" w:rsidP="00AC2EEA">
      <w:pPr>
        <w:pStyle w:val="ListParagraph"/>
        <w:numPr>
          <w:ilvl w:val="0"/>
          <w:numId w:val="28"/>
        </w:numPr>
        <w:spacing w:after="200" w:line="360" w:lineRule="auto"/>
        <w:jc w:val="both"/>
        <w:rPr>
          <w:sz w:val="32"/>
          <w:szCs w:val="32"/>
        </w:rPr>
      </w:pPr>
      <w:r w:rsidRPr="00AC2EEA">
        <w:rPr>
          <w:sz w:val="32"/>
          <w:szCs w:val="32"/>
        </w:rPr>
        <w:t>To identify culturally appropriate strategies for NCD prevention and control.</w:t>
      </w:r>
    </w:p>
    <w:p w:rsidR="00AC2EEA" w:rsidRDefault="00AC2EEA" w:rsidP="007A38E3">
      <w:pPr>
        <w:spacing w:after="200" w:line="360" w:lineRule="auto"/>
        <w:contextualSpacing/>
        <w:jc w:val="both"/>
        <w:rPr>
          <w:sz w:val="32"/>
          <w:szCs w:val="32"/>
        </w:rPr>
      </w:pPr>
    </w:p>
    <w:p w:rsidR="007A38E3" w:rsidRPr="007A38E3" w:rsidRDefault="007A38E3" w:rsidP="007A38E3">
      <w:pPr>
        <w:spacing w:after="200" w:line="360" w:lineRule="auto"/>
        <w:contextualSpacing/>
        <w:jc w:val="both"/>
        <w:rPr>
          <w:b/>
          <w:sz w:val="32"/>
          <w:szCs w:val="32"/>
          <w:u w:val="single"/>
        </w:rPr>
      </w:pPr>
      <w:r w:rsidRPr="007A38E3">
        <w:rPr>
          <w:b/>
          <w:bCs/>
          <w:sz w:val="32"/>
          <w:szCs w:val="32"/>
          <w:u w:val="single"/>
        </w:rPr>
        <w:t>Methodology of the study</w:t>
      </w:r>
    </w:p>
    <w:p w:rsidR="00AC2EEA" w:rsidRDefault="00AC2EEA" w:rsidP="00AC2EEA">
      <w:pPr>
        <w:spacing w:after="200" w:line="360" w:lineRule="auto"/>
        <w:contextualSpacing/>
        <w:jc w:val="both"/>
        <w:rPr>
          <w:sz w:val="32"/>
          <w:szCs w:val="32"/>
        </w:rPr>
      </w:pPr>
      <w:r w:rsidRPr="00411A2D">
        <w:rPr>
          <w:sz w:val="32"/>
          <w:szCs w:val="32"/>
        </w:rPr>
        <w:t>The present study attempts to examine the prevalence and distribution of major NCD risk factors and address NCD risk factors and economic burden using secondary data sources from the National Family Health Survey, government reports, and policy documents and has tried to study addressing NCD risk factors and economic burden in the region in this systematic review through empirical analysis of secondary data. Along with that, extensive analysis of relevant literature review gathered from conducting a comprehensive search of academic databases such as Scopus, Web of Science, and Google Scholar, which were searched using search terms related to NCD. The study also identified those areas where research is lacking or inconsistent to highlight gaps in the existing knowledge base.</w:t>
      </w:r>
    </w:p>
    <w:p w:rsidR="00AC2EEA" w:rsidRDefault="00AC2EEA" w:rsidP="007A38E3">
      <w:pPr>
        <w:spacing w:after="200" w:line="360" w:lineRule="auto"/>
        <w:contextualSpacing/>
        <w:jc w:val="both"/>
        <w:rPr>
          <w:sz w:val="32"/>
          <w:szCs w:val="32"/>
        </w:rPr>
      </w:pPr>
    </w:p>
    <w:p w:rsidR="007A38E3" w:rsidRPr="007A38E3" w:rsidRDefault="007A38E3" w:rsidP="007A38E3">
      <w:pPr>
        <w:spacing w:after="200" w:line="360" w:lineRule="auto"/>
        <w:contextualSpacing/>
        <w:jc w:val="both"/>
        <w:rPr>
          <w:b/>
          <w:sz w:val="32"/>
          <w:szCs w:val="32"/>
          <w:u w:val="single"/>
        </w:rPr>
      </w:pPr>
      <w:r w:rsidRPr="007A38E3">
        <w:rPr>
          <w:b/>
          <w:bCs/>
          <w:sz w:val="32"/>
          <w:szCs w:val="32"/>
          <w:u w:val="single"/>
        </w:rPr>
        <w:t>Discussion &amp; Conclusion:</w:t>
      </w:r>
    </w:p>
    <w:p w:rsidR="00AC2EEA" w:rsidRPr="00411A2D" w:rsidRDefault="00AC2EEA" w:rsidP="00AC2EEA">
      <w:pPr>
        <w:spacing w:after="200" w:line="360" w:lineRule="auto"/>
        <w:contextualSpacing/>
        <w:jc w:val="both"/>
        <w:rPr>
          <w:sz w:val="32"/>
          <w:szCs w:val="32"/>
        </w:rPr>
      </w:pPr>
      <w:r w:rsidRPr="00411A2D">
        <w:rPr>
          <w:sz w:val="32"/>
          <w:szCs w:val="32"/>
        </w:rPr>
        <w:lastRenderedPageBreak/>
        <w:t>This study assesses the major responsible risk factors for the prevalence of NCD, the importance of high levels of physical activity, and factors liable for the poor performance of the healthcare system in the Northeast. The present study finds a higher prevalence of hypertension (25.9%) and pre-hypertension (44.5%) found among urban tribal communities in Nagaland, tobacco use (84% overall), alcohol consumption (67% overall), unhealthy diet habits among Mishing tribes in Assam, and lower rates of diabetes and obesity due to high levels of physical activity in India. There is a higher prevalence of hypertension, pre-hypertension, and obesity in non-Bodo women compared to Bodo women. The study highlights the importance of physical activity, as high levels of physical activity were associated with lower rates of overweight, obesity, and diabetes in some populations. According to this study, the main reasons for the failures of government initiatives for NCD management are a lack of trained healthcare workers and inadequate knowledge among primary care providers. There is an increasing rate of significant economic burden on households, particularly among the poor, regarding catastrophic health expenditure (CHE) due to NCDs. A sound system of culturally appropriate interventions, such as tobacco cessation services, targeted screening programs, and healthcare professional education in CVD prevention, will increase the efficient management of NCD.</w:t>
      </w:r>
    </w:p>
    <w:p w:rsidR="0046282C" w:rsidRPr="00B4723C" w:rsidRDefault="0046282C" w:rsidP="004C5C75">
      <w:pPr>
        <w:spacing w:after="200" w:line="360" w:lineRule="auto"/>
        <w:contextualSpacing/>
        <w:jc w:val="both"/>
        <w:rPr>
          <w:b/>
          <w:sz w:val="32"/>
          <w:szCs w:val="32"/>
          <w:u w:val="single"/>
        </w:rPr>
      </w:pPr>
    </w:p>
    <w:p w:rsidR="00FA06DA" w:rsidRPr="00D8391A" w:rsidRDefault="00785788" w:rsidP="004C5C75">
      <w:pPr>
        <w:spacing w:after="200" w:line="360" w:lineRule="auto"/>
        <w:ind w:hanging="720"/>
        <w:contextualSpacing/>
        <w:jc w:val="both"/>
        <w:rPr>
          <w:b/>
          <w:sz w:val="32"/>
          <w:szCs w:val="32"/>
        </w:rPr>
      </w:pPr>
      <w:r w:rsidRPr="00D8391A">
        <w:rPr>
          <w:b/>
          <w:sz w:val="32"/>
          <w:szCs w:val="32"/>
        </w:rPr>
        <w:t xml:space="preserve">    </w:t>
      </w:r>
      <w:r w:rsidR="003F01A7" w:rsidRPr="00D8391A">
        <w:rPr>
          <w:b/>
          <w:sz w:val="36"/>
          <w:szCs w:val="32"/>
          <w:u w:val="single"/>
        </w:rPr>
        <w:t>References</w:t>
      </w:r>
      <w:r w:rsidR="003F01A7" w:rsidRPr="00D8391A">
        <w:rPr>
          <w:b/>
          <w:sz w:val="32"/>
          <w:szCs w:val="32"/>
        </w:rPr>
        <w:t>:</w:t>
      </w:r>
    </w:p>
    <w:p w:rsidR="0046282C" w:rsidRPr="00B4723C" w:rsidRDefault="0046282C" w:rsidP="004C5C75">
      <w:pPr>
        <w:pStyle w:val="BodyText"/>
        <w:numPr>
          <w:ilvl w:val="0"/>
          <w:numId w:val="18"/>
        </w:numPr>
        <w:spacing w:after="200" w:line="360" w:lineRule="auto"/>
        <w:ind w:right="217"/>
        <w:contextualSpacing/>
        <w:jc w:val="both"/>
        <w:rPr>
          <w:sz w:val="32"/>
          <w:szCs w:val="32"/>
          <w:lang w:val="en-IN"/>
        </w:rPr>
      </w:pPr>
      <w:r w:rsidRPr="00B4723C">
        <w:rPr>
          <w:sz w:val="32"/>
          <w:szCs w:val="32"/>
        </w:rPr>
        <w:lastRenderedPageBreak/>
        <w:t>Kataria, I., Siddiqui, M., Gillespie, T., Goodman, M., Dhillon, P. K., Bann, C., &amp;Squiers, L. (2020). A research agenda for non-communicable disease prevention and control in India. </w:t>
      </w:r>
      <w:r w:rsidRPr="00B4723C">
        <w:rPr>
          <w:i/>
          <w:iCs/>
          <w:sz w:val="32"/>
          <w:szCs w:val="32"/>
        </w:rPr>
        <w:t>Health Research Policy and Systems</w:t>
      </w:r>
      <w:r w:rsidRPr="00B4723C">
        <w:rPr>
          <w:sz w:val="32"/>
          <w:szCs w:val="32"/>
        </w:rPr>
        <w:t>, </w:t>
      </w:r>
      <w:r w:rsidRPr="00B4723C">
        <w:rPr>
          <w:i/>
          <w:iCs/>
          <w:sz w:val="32"/>
          <w:szCs w:val="32"/>
        </w:rPr>
        <w:t>18</w:t>
      </w:r>
      <w:r w:rsidRPr="00B4723C">
        <w:rPr>
          <w:sz w:val="32"/>
          <w:szCs w:val="32"/>
        </w:rPr>
        <w:t>, 1-7.</w:t>
      </w:r>
    </w:p>
    <w:p w:rsidR="0046282C" w:rsidRPr="00B4723C" w:rsidRDefault="0046282C" w:rsidP="004C5C75">
      <w:pPr>
        <w:pStyle w:val="BodyText"/>
        <w:numPr>
          <w:ilvl w:val="0"/>
          <w:numId w:val="18"/>
        </w:numPr>
        <w:spacing w:after="200" w:line="360" w:lineRule="auto"/>
        <w:ind w:right="217"/>
        <w:contextualSpacing/>
        <w:jc w:val="both"/>
        <w:rPr>
          <w:sz w:val="32"/>
          <w:szCs w:val="32"/>
          <w:lang w:val="en-IN"/>
        </w:rPr>
      </w:pPr>
      <w:r w:rsidRPr="00B4723C">
        <w:rPr>
          <w:sz w:val="32"/>
          <w:szCs w:val="32"/>
        </w:rPr>
        <w:t>Misra, P. J., Mini, G. K., &amp;Thankappan, K. R. (2014). Risk factor profile for non-communicable diseases among Mishing tribes in Assam, India: Results from a WHO STEPs survey. </w:t>
      </w:r>
      <w:r w:rsidRPr="00B4723C">
        <w:rPr>
          <w:i/>
          <w:iCs/>
          <w:sz w:val="32"/>
          <w:szCs w:val="32"/>
        </w:rPr>
        <w:t>Indian Journal of Medical Research</w:t>
      </w:r>
      <w:r w:rsidRPr="00B4723C">
        <w:rPr>
          <w:sz w:val="32"/>
          <w:szCs w:val="32"/>
        </w:rPr>
        <w:t>, </w:t>
      </w:r>
      <w:r w:rsidRPr="00B4723C">
        <w:rPr>
          <w:i/>
          <w:iCs/>
          <w:sz w:val="32"/>
          <w:szCs w:val="32"/>
        </w:rPr>
        <w:t>140</w:t>
      </w:r>
      <w:r w:rsidRPr="00B4723C">
        <w:rPr>
          <w:sz w:val="32"/>
          <w:szCs w:val="32"/>
        </w:rPr>
        <w:t>(3), 370-378.</w:t>
      </w:r>
    </w:p>
    <w:p w:rsidR="0046282C" w:rsidRPr="00B4723C" w:rsidRDefault="0046282C" w:rsidP="004C5C75">
      <w:pPr>
        <w:pStyle w:val="BodyText"/>
        <w:numPr>
          <w:ilvl w:val="0"/>
          <w:numId w:val="18"/>
        </w:numPr>
        <w:spacing w:after="200" w:line="360" w:lineRule="auto"/>
        <w:ind w:right="217"/>
        <w:contextualSpacing/>
        <w:jc w:val="both"/>
        <w:rPr>
          <w:sz w:val="32"/>
          <w:szCs w:val="32"/>
          <w:lang w:val="en-IN"/>
        </w:rPr>
      </w:pPr>
      <w:r w:rsidRPr="00B4723C">
        <w:rPr>
          <w:sz w:val="32"/>
          <w:szCs w:val="32"/>
        </w:rPr>
        <w:t>Verma, V. R., Kumar, P., &amp; Dash, U. (2021). Assessing the household economic burden of non-communicable diseases in India: evidence from repeated cross-sectional surveys. </w:t>
      </w:r>
      <w:r w:rsidRPr="00B4723C">
        <w:rPr>
          <w:i/>
          <w:iCs/>
          <w:sz w:val="32"/>
          <w:szCs w:val="32"/>
        </w:rPr>
        <w:t>BMC public health</w:t>
      </w:r>
      <w:r w:rsidRPr="00B4723C">
        <w:rPr>
          <w:sz w:val="32"/>
          <w:szCs w:val="32"/>
        </w:rPr>
        <w:t>, </w:t>
      </w:r>
      <w:r w:rsidRPr="00B4723C">
        <w:rPr>
          <w:i/>
          <w:iCs/>
          <w:sz w:val="32"/>
          <w:szCs w:val="32"/>
        </w:rPr>
        <w:t>21</w:t>
      </w:r>
      <w:r w:rsidRPr="00B4723C">
        <w:rPr>
          <w:sz w:val="32"/>
          <w:szCs w:val="32"/>
        </w:rPr>
        <w:t>(1), 881.</w:t>
      </w:r>
    </w:p>
    <w:p w:rsidR="0046282C" w:rsidRPr="00B4723C" w:rsidRDefault="0046282C" w:rsidP="004C5C75">
      <w:pPr>
        <w:pStyle w:val="BodyText"/>
        <w:numPr>
          <w:ilvl w:val="0"/>
          <w:numId w:val="18"/>
        </w:numPr>
        <w:spacing w:after="200" w:line="360" w:lineRule="auto"/>
        <w:ind w:right="217"/>
        <w:contextualSpacing/>
        <w:jc w:val="both"/>
        <w:rPr>
          <w:sz w:val="32"/>
          <w:szCs w:val="32"/>
          <w:lang w:val="en-IN"/>
        </w:rPr>
      </w:pPr>
      <w:r w:rsidRPr="00B4723C">
        <w:rPr>
          <w:sz w:val="32"/>
          <w:szCs w:val="32"/>
        </w:rPr>
        <w:t>Upadhyay, R. P. (2012). An overview of the burden of non-communicable diseases in India. </w:t>
      </w:r>
      <w:r w:rsidRPr="00B4723C">
        <w:rPr>
          <w:i/>
          <w:iCs/>
          <w:sz w:val="32"/>
          <w:szCs w:val="32"/>
        </w:rPr>
        <w:t>Iranian journal of public health</w:t>
      </w:r>
      <w:r w:rsidRPr="00B4723C">
        <w:rPr>
          <w:sz w:val="32"/>
          <w:szCs w:val="32"/>
        </w:rPr>
        <w:t>, </w:t>
      </w:r>
      <w:r w:rsidRPr="00B4723C">
        <w:rPr>
          <w:i/>
          <w:iCs/>
          <w:sz w:val="32"/>
          <w:szCs w:val="32"/>
        </w:rPr>
        <w:t>41</w:t>
      </w:r>
      <w:r w:rsidRPr="00B4723C">
        <w:rPr>
          <w:sz w:val="32"/>
          <w:szCs w:val="32"/>
        </w:rPr>
        <w:t>(3), 1.</w:t>
      </w:r>
    </w:p>
    <w:p w:rsidR="0046282C" w:rsidRPr="00B4723C" w:rsidRDefault="0046282C" w:rsidP="004C5C75">
      <w:pPr>
        <w:pStyle w:val="BodyText"/>
        <w:numPr>
          <w:ilvl w:val="0"/>
          <w:numId w:val="18"/>
        </w:numPr>
        <w:spacing w:after="200" w:line="360" w:lineRule="auto"/>
        <w:ind w:right="217"/>
        <w:contextualSpacing/>
        <w:jc w:val="both"/>
        <w:rPr>
          <w:sz w:val="32"/>
          <w:szCs w:val="32"/>
          <w:lang w:val="en-IN"/>
        </w:rPr>
      </w:pPr>
      <w:r w:rsidRPr="00B4723C">
        <w:rPr>
          <w:sz w:val="32"/>
          <w:szCs w:val="32"/>
        </w:rPr>
        <w:t>Sanglir, M., Ramesh, R. M., Mathew, Z., George, K., Angami, S., &amp; Prasad, J. H. (2023). Prevalence and determinants of hypertension among urban tribal communities in Nagaland, India—A community-based study. </w:t>
      </w:r>
      <w:r w:rsidRPr="00B4723C">
        <w:rPr>
          <w:i/>
          <w:iCs/>
          <w:sz w:val="32"/>
          <w:szCs w:val="32"/>
        </w:rPr>
        <w:t>Journal of Family Medicine and Primary Care</w:t>
      </w:r>
      <w:r w:rsidRPr="00B4723C">
        <w:rPr>
          <w:sz w:val="32"/>
          <w:szCs w:val="32"/>
        </w:rPr>
        <w:t>, </w:t>
      </w:r>
      <w:r w:rsidRPr="00B4723C">
        <w:rPr>
          <w:i/>
          <w:iCs/>
          <w:sz w:val="32"/>
          <w:szCs w:val="32"/>
        </w:rPr>
        <w:t>12</w:t>
      </w:r>
      <w:r w:rsidRPr="00B4723C">
        <w:rPr>
          <w:sz w:val="32"/>
          <w:szCs w:val="32"/>
        </w:rPr>
        <w:t>(1), 76-82.</w:t>
      </w:r>
    </w:p>
    <w:p w:rsidR="00151B85" w:rsidRPr="00B72C20" w:rsidRDefault="0046282C" w:rsidP="004C5C75">
      <w:pPr>
        <w:pStyle w:val="BodyText"/>
        <w:numPr>
          <w:ilvl w:val="0"/>
          <w:numId w:val="18"/>
        </w:numPr>
        <w:spacing w:after="200" w:line="360" w:lineRule="auto"/>
        <w:ind w:right="217"/>
        <w:contextualSpacing/>
        <w:jc w:val="both"/>
        <w:rPr>
          <w:sz w:val="32"/>
          <w:szCs w:val="32"/>
          <w:lang w:val="en-IN"/>
        </w:rPr>
      </w:pPr>
      <w:r w:rsidRPr="00B4723C">
        <w:rPr>
          <w:sz w:val="32"/>
          <w:szCs w:val="32"/>
          <w:lang w:val="en-IN"/>
        </w:rPr>
        <w:t>Hazarika, A., Nath, S., Mazumder, A., &amp;Sonowal, S (2023). A Comparative Study of  CVD Risk Factor  among the  Premenopausal  Bodo Women &amp; Non Bodo Women Working in Kokrajhar Medical College Assam. Journal of Cardiovascular Disease Research</w:t>
      </w:r>
      <w:r w:rsidR="00B72C20">
        <w:rPr>
          <w:sz w:val="32"/>
          <w:szCs w:val="32"/>
          <w:lang w:val="en-IN"/>
        </w:rPr>
        <w:t>.</w:t>
      </w:r>
    </w:p>
    <w:sectPr w:rsidR="00151B85" w:rsidRPr="00B72C20" w:rsidSect="002F2564">
      <w:footerReference w:type="default" r:id="rId8"/>
      <w:pgSz w:w="16834" w:h="11909" w:orient="landscape" w:code="9"/>
      <w:pgMar w:top="659" w:right="1440" w:bottom="1152" w:left="1440"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0798" w:rsidRDefault="00450798" w:rsidP="00A47589">
      <w:r>
        <w:separator/>
      </w:r>
    </w:p>
  </w:endnote>
  <w:endnote w:type="continuationSeparator" w:id="1">
    <w:p w:rsidR="00450798" w:rsidRDefault="00450798" w:rsidP="00A4758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2EE9" w:rsidRDefault="002079E0">
    <w:pPr>
      <w:pStyle w:val="Footer"/>
      <w:jc w:val="center"/>
    </w:pPr>
    <w:r w:rsidRPr="004804E8">
      <w:rPr>
        <w:rFonts w:ascii="Calibri" w:hAnsi="Calibri"/>
        <w:sz w:val="22"/>
        <w:szCs w:val="22"/>
      </w:rPr>
      <w:fldChar w:fldCharType="begin"/>
    </w:r>
    <w:r w:rsidR="006C2EE9" w:rsidRPr="004804E8">
      <w:rPr>
        <w:rFonts w:ascii="Calibri" w:hAnsi="Calibri"/>
        <w:sz w:val="22"/>
        <w:szCs w:val="22"/>
      </w:rPr>
      <w:instrText xml:space="preserve"> PAGE   \* MERGEFORMAT </w:instrText>
    </w:r>
    <w:r w:rsidRPr="004804E8">
      <w:rPr>
        <w:rFonts w:ascii="Calibri" w:hAnsi="Calibri"/>
        <w:sz w:val="22"/>
        <w:szCs w:val="22"/>
      </w:rPr>
      <w:fldChar w:fldCharType="separate"/>
    </w:r>
    <w:r w:rsidR="004D3F98">
      <w:rPr>
        <w:rFonts w:ascii="Calibri" w:hAnsi="Calibri"/>
        <w:noProof/>
        <w:sz w:val="22"/>
        <w:szCs w:val="22"/>
      </w:rPr>
      <w:t>1</w:t>
    </w:r>
    <w:r w:rsidRPr="004804E8">
      <w:rPr>
        <w:rFonts w:ascii="Calibri" w:hAnsi="Calibri"/>
        <w:sz w:val="22"/>
        <w:szCs w:val="22"/>
      </w:rPr>
      <w:fldChar w:fldCharType="end"/>
    </w:r>
  </w:p>
  <w:p w:rsidR="006C2EE9" w:rsidRDefault="006C2EE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0798" w:rsidRDefault="00450798" w:rsidP="00A47589">
      <w:r>
        <w:separator/>
      </w:r>
    </w:p>
  </w:footnote>
  <w:footnote w:type="continuationSeparator" w:id="1">
    <w:p w:rsidR="00450798" w:rsidRDefault="00450798" w:rsidP="00A4758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35pt;height:11.35pt" o:bullet="t">
        <v:imagedata r:id="rId1" o:title="mso9D2"/>
      </v:shape>
    </w:pict>
  </w:numPicBullet>
  <w:abstractNum w:abstractNumId="0">
    <w:nsid w:val="057A4C77"/>
    <w:multiLevelType w:val="hybridMultilevel"/>
    <w:tmpl w:val="567C5838"/>
    <w:lvl w:ilvl="0" w:tplc="40090001">
      <w:start w:val="1"/>
      <w:numFmt w:val="bullet"/>
      <w:lvlText w:val=""/>
      <w:lvlJc w:val="left"/>
      <w:pPr>
        <w:ind w:left="0" w:hanging="360"/>
      </w:pPr>
      <w:rPr>
        <w:rFonts w:ascii="Symbol" w:hAnsi="Symbol" w:hint="default"/>
      </w:rPr>
    </w:lvl>
    <w:lvl w:ilvl="1" w:tplc="40090003" w:tentative="1">
      <w:start w:val="1"/>
      <w:numFmt w:val="bullet"/>
      <w:lvlText w:val="o"/>
      <w:lvlJc w:val="left"/>
      <w:pPr>
        <w:ind w:left="720" w:hanging="360"/>
      </w:pPr>
      <w:rPr>
        <w:rFonts w:ascii="Courier New" w:hAnsi="Courier New" w:cs="Courier New" w:hint="default"/>
      </w:rPr>
    </w:lvl>
    <w:lvl w:ilvl="2" w:tplc="40090005" w:tentative="1">
      <w:start w:val="1"/>
      <w:numFmt w:val="bullet"/>
      <w:lvlText w:val=""/>
      <w:lvlJc w:val="left"/>
      <w:pPr>
        <w:ind w:left="1440" w:hanging="360"/>
      </w:pPr>
      <w:rPr>
        <w:rFonts w:ascii="Wingdings" w:hAnsi="Wingdings" w:hint="default"/>
      </w:rPr>
    </w:lvl>
    <w:lvl w:ilvl="3" w:tplc="40090001" w:tentative="1">
      <w:start w:val="1"/>
      <w:numFmt w:val="bullet"/>
      <w:lvlText w:val=""/>
      <w:lvlJc w:val="left"/>
      <w:pPr>
        <w:ind w:left="2160" w:hanging="360"/>
      </w:pPr>
      <w:rPr>
        <w:rFonts w:ascii="Symbol" w:hAnsi="Symbol" w:hint="default"/>
      </w:rPr>
    </w:lvl>
    <w:lvl w:ilvl="4" w:tplc="40090003" w:tentative="1">
      <w:start w:val="1"/>
      <w:numFmt w:val="bullet"/>
      <w:lvlText w:val="o"/>
      <w:lvlJc w:val="left"/>
      <w:pPr>
        <w:ind w:left="2880" w:hanging="360"/>
      </w:pPr>
      <w:rPr>
        <w:rFonts w:ascii="Courier New" w:hAnsi="Courier New" w:cs="Courier New" w:hint="default"/>
      </w:rPr>
    </w:lvl>
    <w:lvl w:ilvl="5" w:tplc="40090005" w:tentative="1">
      <w:start w:val="1"/>
      <w:numFmt w:val="bullet"/>
      <w:lvlText w:val=""/>
      <w:lvlJc w:val="left"/>
      <w:pPr>
        <w:ind w:left="3600" w:hanging="360"/>
      </w:pPr>
      <w:rPr>
        <w:rFonts w:ascii="Wingdings" w:hAnsi="Wingdings" w:hint="default"/>
      </w:rPr>
    </w:lvl>
    <w:lvl w:ilvl="6" w:tplc="40090001" w:tentative="1">
      <w:start w:val="1"/>
      <w:numFmt w:val="bullet"/>
      <w:lvlText w:val=""/>
      <w:lvlJc w:val="left"/>
      <w:pPr>
        <w:ind w:left="4320" w:hanging="360"/>
      </w:pPr>
      <w:rPr>
        <w:rFonts w:ascii="Symbol" w:hAnsi="Symbol" w:hint="default"/>
      </w:rPr>
    </w:lvl>
    <w:lvl w:ilvl="7" w:tplc="40090003" w:tentative="1">
      <w:start w:val="1"/>
      <w:numFmt w:val="bullet"/>
      <w:lvlText w:val="o"/>
      <w:lvlJc w:val="left"/>
      <w:pPr>
        <w:ind w:left="5040" w:hanging="360"/>
      </w:pPr>
      <w:rPr>
        <w:rFonts w:ascii="Courier New" w:hAnsi="Courier New" w:cs="Courier New" w:hint="default"/>
      </w:rPr>
    </w:lvl>
    <w:lvl w:ilvl="8" w:tplc="40090005" w:tentative="1">
      <w:start w:val="1"/>
      <w:numFmt w:val="bullet"/>
      <w:lvlText w:val=""/>
      <w:lvlJc w:val="left"/>
      <w:pPr>
        <w:ind w:left="5760" w:hanging="360"/>
      </w:pPr>
      <w:rPr>
        <w:rFonts w:ascii="Wingdings" w:hAnsi="Wingdings" w:hint="default"/>
      </w:rPr>
    </w:lvl>
  </w:abstractNum>
  <w:abstractNum w:abstractNumId="1">
    <w:nsid w:val="0A7C5977"/>
    <w:multiLevelType w:val="hybridMultilevel"/>
    <w:tmpl w:val="DEFABB62"/>
    <w:lvl w:ilvl="0" w:tplc="187CA426">
      <w:start w:val="1"/>
      <w:numFmt w:val="decimal"/>
      <w:lvlText w:val="%1."/>
      <w:lvlJc w:val="left"/>
      <w:pPr>
        <w:ind w:left="450" w:hanging="360"/>
      </w:pPr>
      <w:rPr>
        <w:rFonts w:hint="default"/>
        <w:w w:val="100"/>
        <w:lang w:val="en-US" w:eastAsia="en-US" w:bidi="ar-SA"/>
      </w:rPr>
    </w:lvl>
    <w:lvl w:ilvl="1" w:tplc="F956F2FC">
      <w:numFmt w:val="bullet"/>
      <w:lvlText w:val="•"/>
      <w:lvlJc w:val="left"/>
      <w:pPr>
        <w:ind w:left="1826" w:hanging="360"/>
      </w:pPr>
      <w:rPr>
        <w:rFonts w:hint="default"/>
        <w:lang w:val="en-US" w:eastAsia="en-US" w:bidi="ar-SA"/>
      </w:rPr>
    </w:lvl>
    <w:lvl w:ilvl="2" w:tplc="69708058">
      <w:numFmt w:val="bullet"/>
      <w:lvlText w:val="•"/>
      <w:lvlJc w:val="left"/>
      <w:pPr>
        <w:ind w:left="2712" w:hanging="360"/>
      </w:pPr>
      <w:rPr>
        <w:rFonts w:hint="default"/>
        <w:lang w:val="en-US" w:eastAsia="en-US" w:bidi="ar-SA"/>
      </w:rPr>
    </w:lvl>
    <w:lvl w:ilvl="3" w:tplc="28245D7C">
      <w:numFmt w:val="bullet"/>
      <w:lvlText w:val="•"/>
      <w:lvlJc w:val="left"/>
      <w:pPr>
        <w:ind w:left="3598" w:hanging="360"/>
      </w:pPr>
      <w:rPr>
        <w:rFonts w:hint="default"/>
        <w:lang w:val="en-US" w:eastAsia="en-US" w:bidi="ar-SA"/>
      </w:rPr>
    </w:lvl>
    <w:lvl w:ilvl="4" w:tplc="C89A6B3E">
      <w:numFmt w:val="bullet"/>
      <w:lvlText w:val="•"/>
      <w:lvlJc w:val="left"/>
      <w:pPr>
        <w:ind w:left="4484" w:hanging="360"/>
      </w:pPr>
      <w:rPr>
        <w:rFonts w:hint="default"/>
        <w:lang w:val="en-US" w:eastAsia="en-US" w:bidi="ar-SA"/>
      </w:rPr>
    </w:lvl>
    <w:lvl w:ilvl="5" w:tplc="80883E6C">
      <w:numFmt w:val="bullet"/>
      <w:lvlText w:val="•"/>
      <w:lvlJc w:val="left"/>
      <w:pPr>
        <w:ind w:left="5370" w:hanging="360"/>
      </w:pPr>
      <w:rPr>
        <w:rFonts w:hint="default"/>
        <w:lang w:val="en-US" w:eastAsia="en-US" w:bidi="ar-SA"/>
      </w:rPr>
    </w:lvl>
    <w:lvl w:ilvl="6" w:tplc="0F685B2C">
      <w:numFmt w:val="bullet"/>
      <w:lvlText w:val="•"/>
      <w:lvlJc w:val="left"/>
      <w:pPr>
        <w:ind w:left="6256" w:hanging="360"/>
      </w:pPr>
      <w:rPr>
        <w:rFonts w:hint="default"/>
        <w:lang w:val="en-US" w:eastAsia="en-US" w:bidi="ar-SA"/>
      </w:rPr>
    </w:lvl>
    <w:lvl w:ilvl="7" w:tplc="FE26A40C">
      <w:numFmt w:val="bullet"/>
      <w:lvlText w:val="•"/>
      <w:lvlJc w:val="left"/>
      <w:pPr>
        <w:ind w:left="7142" w:hanging="360"/>
      </w:pPr>
      <w:rPr>
        <w:rFonts w:hint="default"/>
        <w:lang w:val="en-US" w:eastAsia="en-US" w:bidi="ar-SA"/>
      </w:rPr>
    </w:lvl>
    <w:lvl w:ilvl="8" w:tplc="C9B49140">
      <w:numFmt w:val="bullet"/>
      <w:lvlText w:val="•"/>
      <w:lvlJc w:val="left"/>
      <w:pPr>
        <w:ind w:left="8028" w:hanging="360"/>
      </w:pPr>
      <w:rPr>
        <w:rFonts w:hint="default"/>
        <w:lang w:val="en-US" w:eastAsia="en-US" w:bidi="ar-SA"/>
      </w:rPr>
    </w:lvl>
  </w:abstractNum>
  <w:abstractNum w:abstractNumId="2">
    <w:nsid w:val="0AC736F8"/>
    <w:multiLevelType w:val="hybridMultilevel"/>
    <w:tmpl w:val="0E2ABDA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0E340EA2"/>
    <w:multiLevelType w:val="multilevel"/>
    <w:tmpl w:val="17522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571E64"/>
    <w:multiLevelType w:val="hybridMultilevel"/>
    <w:tmpl w:val="3D74F53C"/>
    <w:lvl w:ilvl="0" w:tplc="96ACB834">
      <w:start w:val="1"/>
      <w:numFmt w:val="lowerLetter"/>
      <w:lvlText w:val="%1."/>
      <w:lvlJc w:val="left"/>
      <w:pPr>
        <w:ind w:left="720" w:hanging="360"/>
      </w:pPr>
      <w:rPr>
        <w:rFonts w:hint="default"/>
        <w:sz w:val="28"/>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nsid w:val="135546BE"/>
    <w:multiLevelType w:val="hybridMultilevel"/>
    <w:tmpl w:val="DA348BB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nsid w:val="15853CFD"/>
    <w:multiLevelType w:val="multilevel"/>
    <w:tmpl w:val="F208C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4F337BF"/>
    <w:multiLevelType w:val="hybridMultilevel"/>
    <w:tmpl w:val="BB4C0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B435570"/>
    <w:multiLevelType w:val="multilevel"/>
    <w:tmpl w:val="D5524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C363FFF"/>
    <w:multiLevelType w:val="multilevel"/>
    <w:tmpl w:val="D8E68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5B5F25"/>
    <w:multiLevelType w:val="multilevel"/>
    <w:tmpl w:val="8C6A5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CA86A9F"/>
    <w:multiLevelType w:val="hybridMultilevel"/>
    <w:tmpl w:val="5DAAAAEE"/>
    <w:lvl w:ilvl="0" w:tplc="04090001">
      <w:start w:val="1"/>
      <w:numFmt w:val="bullet"/>
      <w:lvlText w:val=""/>
      <w:lvlJc w:val="left"/>
      <w:pPr>
        <w:ind w:left="940" w:hanging="360"/>
      </w:pPr>
      <w:rPr>
        <w:rFonts w:ascii="Symbol" w:hAnsi="Symbol" w:hint="default"/>
      </w:rPr>
    </w:lvl>
    <w:lvl w:ilvl="1" w:tplc="04090003" w:tentative="1">
      <w:start w:val="1"/>
      <w:numFmt w:val="bullet"/>
      <w:lvlText w:val="o"/>
      <w:lvlJc w:val="left"/>
      <w:pPr>
        <w:ind w:left="1660" w:hanging="360"/>
      </w:pPr>
      <w:rPr>
        <w:rFonts w:ascii="Courier New" w:hAnsi="Courier New" w:cs="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cs="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cs="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12">
    <w:nsid w:val="3169563A"/>
    <w:multiLevelType w:val="multilevel"/>
    <w:tmpl w:val="5F801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998488C"/>
    <w:multiLevelType w:val="hybridMultilevel"/>
    <w:tmpl w:val="D8AA93B8"/>
    <w:lvl w:ilvl="0" w:tplc="03622DEA">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ED662BA"/>
    <w:multiLevelType w:val="multilevel"/>
    <w:tmpl w:val="F208C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32B0377"/>
    <w:multiLevelType w:val="multilevel"/>
    <w:tmpl w:val="326E1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4F740F"/>
    <w:multiLevelType w:val="multilevel"/>
    <w:tmpl w:val="77CE7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4726235"/>
    <w:multiLevelType w:val="multilevel"/>
    <w:tmpl w:val="B2CAA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AEF5A54"/>
    <w:multiLevelType w:val="hybridMultilevel"/>
    <w:tmpl w:val="001EE14A"/>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nsid w:val="5EFA7685"/>
    <w:multiLevelType w:val="multilevel"/>
    <w:tmpl w:val="2788F0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1791848"/>
    <w:multiLevelType w:val="multilevel"/>
    <w:tmpl w:val="8BE2B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2DE338D"/>
    <w:multiLevelType w:val="multilevel"/>
    <w:tmpl w:val="E7C4D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3395067"/>
    <w:multiLevelType w:val="hybridMultilevel"/>
    <w:tmpl w:val="7A604E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nsid w:val="689A3077"/>
    <w:multiLevelType w:val="hybridMultilevel"/>
    <w:tmpl w:val="0E10F70E"/>
    <w:lvl w:ilvl="0" w:tplc="04090001">
      <w:start w:val="1"/>
      <w:numFmt w:val="bullet"/>
      <w:lvlText w:val=""/>
      <w:lvlJc w:val="left"/>
      <w:pPr>
        <w:ind w:left="941" w:hanging="360"/>
      </w:pPr>
      <w:rPr>
        <w:rFonts w:ascii="Symbol" w:hAnsi="Symbol" w:hint="default"/>
      </w:rPr>
    </w:lvl>
    <w:lvl w:ilvl="1" w:tplc="04090003" w:tentative="1">
      <w:start w:val="1"/>
      <w:numFmt w:val="bullet"/>
      <w:lvlText w:val="o"/>
      <w:lvlJc w:val="left"/>
      <w:pPr>
        <w:ind w:left="1661" w:hanging="360"/>
      </w:pPr>
      <w:rPr>
        <w:rFonts w:ascii="Courier New" w:hAnsi="Courier New" w:cs="Courier New" w:hint="default"/>
      </w:rPr>
    </w:lvl>
    <w:lvl w:ilvl="2" w:tplc="04090005" w:tentative="1">
      <w:start w:val="1"/>
      <w:numFmt w:val="bullet"/>
      <w:lvlText w:val=""/>
      <w:lvlJc w:val="left"/>
      <w:pPr>
        <w:ind w:left="2381" w:hanging="360"/>
      </w:pPr>
      <w:rPr>
        <w:rFonts w:ascii="Wingdings" w:hAnsi="Wingdings" w:hint="default"/>
      </w:rPr>
    </w:lvl>
    <w:lvl w:ilvl="3" w:tplc="04090001" w:tentative="1">
      <w:start w:val="1"/>
      <w:numFmt w:val="bullet"/>
      <w:lvlText w:val=""/>
      <w:lvlJc w:val="left"/>
      <w:pPr>
        <w:ind w:left="3101" w:hanging="360"/>
      </w:pPr>
      <w:rPr>
        <w:rFonts w:ascii="Symbol" w:hAnsi="Symbol" w:hint="default"/>
      </w:rPr>
    </w:lvl>
    <w:lvl w:ilvl="4" w:tplc="04090003" w:tentative="1">
      <w:start w:val="1"/>
      <w:numFmt w:val="bullet"/>
      <w:lvlText w:val="o"/>
      <w:lvlJc w:val="left"/>
      <w:pPr>
        <w:ind w:left="3821" w:hanging="360"/>
      </w:pPr>
      <w:rPr>
        <w:rFonts w:ascii="Courier New" w:hAnsi="Courier New" w:cs="Courier New" w:hint="default"/>
      </w:rPr>
    </w:lvl>
    <w:lvl w:ilvl="5" w:tplc="04090005" w:tentative="1">
      <w:start w:val="1"/>
      <w:numFmt w:val="bullet"/>
      <w:lvlText w:val=""/>
      <w:lvlJc w:val="left"/>
      <w:pPr>
        <w:ind w:left="4541" w:hanging="360"/>
      </w:pPr>
      <w:rPr>
        <w:rFonts w:ascii="Wingdings" w:hAnsi="Wingdings" w:hint="default"/>
      </w:rPr>
    </w:lvl>
    <w:lvl w:ilvl="6" w:tplc="04090001" w:tentative="1">
      <w:start w:val="1"/>
      <w:numFmt w:val="bullet"/>
      <w:lvlText w:val=""/>
      <w:lvlJc w:val="left"/>
      <w:pPr>
        <w:ind w:left="5261" w:hanging="360"/>
      </w:pPr>
      <w:rPr>
        <w:rFonts w:ascii="Symbol" w:hAnsi="Symbol" w:hint="default"/>
      </w:rPr>
    </w:lvl>
    <w:lvl w:ilvl="7" w:tplc="04090003" w:tentative="1">
      <w:start w:val="1"/>
      <w:numFmt w:val="bullet"/>
      <w:lvlText w:val="o"/>
      <w:lvlJc w:val="left"/>
      <w:pPr>
        <w:ind w:left="5981" w:hanging="360"/>
      </w:pPr>
      <w:rPr>
        <w:rFonts w:ascii="Courier New" w:hAnsi="Courier New" w:cs="Courier New" w:hint="default"/>
      </w:rPr>
    </w:lvl>
    <w:lvl w:ilvl="8" w:tplc="04090005" w:tentative="1">
      <w:start w:val="1"/>
      <w:numFmt w:val="bullet"/>
      <w:lvlText w:val=""/>
      <w:lvlJc w:val="left"/>
      <w:pPr>
        <w:ind w:left="6701" w:hanging="360"/>
      </w:pPr>
      <w:rPr>
        <w:rFonts w:ascii="Wingdings" w:hAnsi="Wingdings" w:hint="default"/>
      </w:rPr>
    </w:lvl>
  </w:abstractNum>
  <w:abstractNum w:abstractNumId="24">
    <w:nsid w:val="6BB71097"/>
    <w:multiLevelType w:val="multilevel"/>
    <w:tmpl w:val="31D40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2E229C1"/>
    <w:multiLevelType w:val="hybridMultilevel"/>
    <w:tmpl w:val="F54AA0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nsid w:val="75AB7D85"/>
    <w:multiLevelType w:val="hybridMultilevel"/>
    <w:tmpl w:val="7100AF10"/>
    <w:lvl w:ilvl="0" w:tplc="AE9C0352">
      <w:numFmt w:val="bullet"/>
      <w:lvlText w:val="•"/>
      <w:lvlJc w:val="left"/>
      <w:pPr>
        <w:ind w:left="220" w:hanging="720"/>
      </w:pPr>
      <w:rPr>
        <w:rFonts w:ascii="Times New Roman" w:eastAsia="Times New Roman" w:hAnsi="Times New Roman" w:cs="Times New Roman" w:hint="default"/>
        <w:w w:val="100"/>
        <w:sz w:val="24"/>
        <w:szCs w:val="24"/>
        <w:lang w:val="en-US" w:eastAsia="en-US" w:bidi="ar-SA"/>
      </w:rPr>
    </w:lvl>
    <w:lvl w:ilvl="1" w:tplc="9FE45E50">
      <w:numFmt w:val="bullet"/>
      <w:lvlText w:val="•"/>
      <w:lvlJc w:val="left"/>
      <w:pPr>
        <w:ind w:left="1178" w:hanging="720"/>
      </w:pPr>
      <w:rPr>
        <w:rFonts w:hint="default"/>
        <w:lang w:val="en-US" w:eastAsia="en-US" w:bidi="ar-SA"/>
      </w:rPr>
    </w:lvl>
    <w:lvl w:ilvl="2" w:tplc="98AC7704">
      <w:numFmt w:val="bullet"/>
      <w:lvlText w:val="•"/>
      <w:lvlJc w:val="left"/>
      <w:pPr>
        <w:ind w:left="2136" w:hanging="720"/>
      </w:pPr>
      <w:rPr>
        <w:rFonts w:hint="default"/>
        <w:lang w:val="en-US" w:eastAsia="en-US" w:bidi="ar-SA"/>
      </w:rPr>
    </w:lvl>
    <w:lvl w:ilvl="3" w:tplc="5776C2AC">
      <w:numFmt w:val="bullet"/>
      <w:lvlText w:val="•"/>
      <w:lvlJc w:val="left"/>
      <w:pPr>
        <w:ind w:left="3094" w:hanging="720"/>
      </w:pPr>
      <w:rPr>
        <w:rFonts w:hint="default"/>
        <w:lang w:val="en-US" w:eastAsia="en-US" w:bidi="ar-SA"/>
      </w:rPr>
    </w:lvl>
    <w:lvl w:ilvl="4" w:tplc="F64416B4">
      <w:numFmt w:val="bullet"/>
      <w:lvlText w:val="•"/>
      <w:lvlJc w:val="left"/>
      <w:pPr>
        <w:ind w:left="4052" w:hanging="720"/>
      </w:pPr>
      <w:rPr>
        <w:rFonts w:hint="default"/>
        <w:lang w:val="en-US" w:eastAsia="en-US" w:bidi="ar-SA"/>
      </w:rPr>
    </w:lvl>
    <w:lvl w:ilvl="5" w:tplc="6D167710">
      <w:numFmt w:val="bullet"/>
      <w:lvlText w:val="•"/>
      <w:lvlJc w:val="left"/>
      <w:pPr>
        <w:ind w:left="5010" w:hanging="720"/>
      </w:pPr>
      <w:rPr>
        <w:rFonts w:hint="default"/>
        <w:lang w:val="en-US" w:eastAsia="en-US" w:bidi="ar-SA"/>
      </w:rPr>
    </w:lvl>
    <w:lvl w:ilvl="6" w:tplc="458A3518">
      <w:numFmt w:val="bullet"/>
      <w:lvlText w:val="•"/>
      <w:lvlJc w:val="left"/>
      <w:pPr>
        <w:ind w:left="5968" w:hanging="720"/>
      </w:pPr>
      <w:rPr>
        <w:rFonts w:hint="default"/>
        <w:lang w:val="en-US" w:eastAsia="en-US" w:bidi="ar-SA"/>
      </w:rPr>
    </w:lvl>
    <w:lvl w:ilvl="7" w:tplc="29562E88">
      <w:numFmt w:val="bullet"/>
      <w:lvlText w:val="•"/>
      <w:lvlJc w:val="left"/>
      <w:pPr>
        <w:ind w:left="6926" w:hanging="720"/>
      </w:pPr>
      <w:rPr>
        <w:rFonts w:hint="default"/>
        <w:lang w:val="en-US" w:eastAsia="en-US" w:bidi="ar-SA"/>
      </w:rPr>
    </w:lvl>
    <w:lvl w:ilvl="8" w:tplc="6E5AD3BE">
      <w:numFmt w:val="bullet"/>
      <w:lvlText w:val="•"/>
      <w:lvlJc w:val="left"/>
      <w:pPr>
        <w:ind w:left="7884" w:hanging="720"/>
      </w:pPr>
      <w:rPr>
        <w:rFonts w:hint="default"/>
        <w:lang w:val="en-US" w:eastAsia="en-US" w:bidi="ar-SA"/>
      </w:rPr>
    </w:lvl>
  </w:abstractNum>
  <w:abstractNum w:abstractNumId="27">
    <w:nsid w:val="7BA66538"/>
    <w:multiLevelType w:val="multilevel"/>
    <w:tmpl w:val="B1DA7C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26"/>
  </w:num>
  <w:num w:numId="3">
    <w:abstractNumId w:val="11"/>
  </w:num>
  <w:num w:numId="4">
    <w:abstractNumId w:val="1"/>
  </w:num>
  <w:num w:numId="5">
    <w:abstractNumId w:val="4"/>
  </w:num>
  <w:num w:numId="6">
    <w:abstractNumId w:val="5"/>
  </w:num>
  <w:num w:numId="7">
    <w:abstractNumId w:val="22"/>
  </w:num>
  <w:num w:numId="8">
    <w:abstractNumId w:val="25"/>
  </w:num>
  <w:num w:numId="9">
    <w:abstractNumId w:val="8"/>
  </w:num>
  <w:num w:numId="10">
    <w:abstractNumId w:val="12"/>
  </w:num>
  <w:num w:numId="11">
    <w:abstractNumId w:val="16"/>
  </w:num>
  <w:num w:numId="12">
    <w:abstractNumId w:val="20"/>
  </w:num>
  <w:num w:numId="13">
    <w:abstractNumId w:val="17"/>
  </w:num>
  <w:num w:numId="14">
    <w:abstractNumId w:val="3"/>
  </w:num>
  <w:num w:numId="15">
    <w:abstractNumId w:val="21"/>
  </w:num>
  <w:num w:numId="16">
    <w:abstractNumId w:val="2"/>
  </w:num>
  <w:num w:numId="17">
    <w:abstractNumId w:val="18"/>
  </w:num>
  <w:num w:numId="18">
    <w:abstractNumId w:val="0"/>
  </w:num>
  <w:num w:numId="19">
    <w:abstractNumId w:val="27"/>
  </w:num>
  <w:num w:numId="20">
    <w:abstractNumId w:val="10"/>
  </w:num>
  <w:num w:numId="21">
    <w:abstractNumId w:val="6"/>
  </w:num>
  <w:num w:numId="22">
    <w:abstractNumId w:val="14"/>
  </w:num>
  <w:num w:numId="23">
    <w:abstractNumId w:val="9"/>
    <w:lvlOverride w:ilvl="0">
      <w:lvl w:ilvl="0">
        <w:numFmt w:val="bullet"/>
        <w:lvlText w:val="o"/>
        <w:lvlJc w:val="left"/>
        <w:pPr>
          <w:tabs>
            <w:tab w:val="num" w:pos="720"/>
          </w:tabs>
          <w:ind w:left="720" w:hanging="360"/>
        </w:pPr>
        <w:rPr>
          <w:rFonts w:ascii="Courier New" w:hAnsi="Courier New" w:hint="default"/>
          <w:sz w:val="20"/>
        </w:rPr>
      </w:lvl>
    </w:lvlOverride>
  </w:num>
  <w:num w:numId="24">
    <w:abstractNumId w:val="15"/>
    <w:lvlOverride w:ilvl="0">
      <w:lvl w:ilvl="0">
        <w:numFmt w:val="bullet"/>
        <w:lvlText w:val="o"/>
        <w:lvlJc w:val="left"/>
        <w:pPr>
          <w:tabs>
            <w:tab w:val="num" w:pos="720"/>
          </w:tabs>
          <w:ind w:left="720" w:hanging="360"/>
        </w:pPr>
        <w:rPr>
          <w:rFonts w:ascii="Courier New" w:hAnsi="Courier New" w:hint="default"/>
          <w:sz w:val="20"/>
        </w:rPr>
      </w:lvl>
    </w:lvlOverride>
  </w:num>
  <w:num w:numId="25">
    <w:abstractNumId w:val="23"/>
  </w:num>
  <w:num w:numId="26">
    <w:abstractNumId w:val="24"/>
  </w:num>
  <w:num w:numId="27">
    <w:abstractNumId w:val="19"/>
  </w:num>
  <w:num w:numId="2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hdrShapeDefaults>
    <o:shapedefaults v:ext="edit" spidmax="8194"/>
  </w:hdrShapeDefaults>
  <w:footnotePr>
    <w:footnote w:id="0"/>
    <w:footnote w:id="1"/>
  </w:footnotePr>
  <w:endnotePr>
    <w:endnote w:id="0"/>
    <w:endnote w:id="1"/>
  </w:endnotePr>
  <w:compat/>
  <w:rsids>
    <w:rsidRoot w:val="00C81F55"/>
    <w:rsid w:val="0000187C"/>
    <w:rsid w:val="00001B9D"/>
    <w:rsid w:val="00002DCA"/>
    <w:rsid w:val="0000404E"/>
    <w:rsid w:val="00006611"/>
    <w:rsid w:val="00010203"/>
    <w:rsid w:val="000105C0"/>
    <w:rsid w:val="000129E7"/>
    <w:rsid w:val="0002155E"/>
    <w:rsid w:val="00024EA2"/>
    <w:rsid w:val="00031E3A"/>
    <w:rsid w:val="00037370"/>
    <w:rsid w:val="00037B09"/>
    <w:rsid w:val="00040CB9"/>
    <w:rsid w:val="00042BBE"/>
    <w:rsid w:val="00045692"/>
    <w:rsid w:val="00046499"/>
    <w:rsid w:val="00046C67"/>
    <w:rsid w:val="0005270A"/>
    <w:rsid w:val="00052892"/>
    <w:rsid w:val="00053D86"/>
    <w:rsid w:val="000575D6"/>
    <w:rsid w:val="00060917"/>
    <w:rsid w:val="000627BE"/>
    <w:rsid w:val="00063EE1"/>
    <w:rsid w:val="00065F37"/>
    <w:rsid w:val="0006673C"/>
    <w:rsid w:val="00067A14"/>
    <w:rsid w:val="00073676"/>
    <w:rsid w:val="0008133F"/>
    <w:rsid w:val="0008363D"/>
    <w:rsid w:val="000855CA"/>
    <w:rsid w:val="00085783"/>
    <w:rsid w:val="00092E01"/>
    <w:rsid w:val="00096F06"/>
    <w:rsid w:val="00097174"/>
    <w:rsid w:val="000A015A"/>
    <w:rsid w:val="000A3EE6"/>
    <w:rsid w:val="000A7D63"/>
    <w:rsid w:val="000B3B08"/>
    <w:rsid w:val="000C4426"/>
    <w:rsid w:val="000C6AB7"/>
    <w:rsid w:val="000D656B"/>
    <w:rsid w:val="000D6C4B"/>
    <w:rsid w:val="000D6EAC"/>
    <w:rsid w:val="000D7468"/>
    <w:rsid w:val="000E3034"/>
    <w:rsid w:val="000E5BE1"/>
    <w:rsid w:val="000F063B"/>
    <w:rsid w:val="000F2B28"/>
    <w:rsid w:val="000F4FF4"/>
    <w:rsid w:val="001057DA"/>
    <w:rsid w:val="0010603B"/>
    <w:rsid w:val="00106C6D"/>
    <w:rsid w:val="0011138C"/>
    <w:rsid w:val="00113874"/>
    <w:rsid w:val="001154B3"/>
    <w:rsid w:val="00117630"/>
    <w:rsid w:val="0012350F"/>
    <w:rsid w:val="00124F81"/>
    <w:rsid w:val="0012580F"/>
    <w:rsid w:val="00126068"/>
    <w:rsid w:val="00126467"/>
    <w:rsid w:val="00127BE7"/>
    <w:rsid w:val="00131125"/>
    <w:rsid w:val="0013465E"/>
    <w:rsid w:val="00137C96"/>
    <w:rsid w:val="00141FAF"/>
    <w:rsid w:val="00144337"/>
    <w:rsid w:val="00144D10"/>
    <w:rsid w:val="00145F0A"/>
    <w:rsid w:val="0014618F"/>
    <w:rsid w:val="0015047F"/>
    <w:rsid w:val="0015054C"/>
    <w:rsid w:val="00150AF4"/>
    <w:rsid w:val="001519B4"/>
    <w:rsid w:val="00151B85"/>
    <w:rsid w:val="001520BF"/>
    <w:rsid w:val="0015246D"/>
    <w:rsid w:val="00154201"/>
    <w:rsid w:val="0015587E"/>
    <w:rsid w:val="0015609E"/>
    <w:rsid w:val="001562B3"/>
    <w:rsid w:val="0015676A"/>
    <w:rsid w:val="00156880"/>
    <w:rsid w:val="001617D7"/>
    <w:rsid w:val="00174959"/>
    <w:rsid w:val="00174F4E"/>
    <w:rsid w:val="00177C90"/>
    <w:rsid w:val="00177DF2"/>
    <w:rsid w:val="001872BF"/>
    <w:rsid w:val="0019318A"/>
    <w:rsid w:val="00197230"/>
    <w:rsid w:val="001A1432"/>
    <w:rsid w:val="001A45CF"/>
    <w:rsid w:val="001A495A"/>
    <w:rsid w:val="001A6E0C"/>
    <w:rsid w:val="001A78AB"/>
    <w:rsid w:val="001B0E0E"/>
    <w:rsid w:val="001B195D"/>
    <w:rsid w:val="001B3227"/>
    <w:rsid w:val="001B4CD2"/>
    <w:rsid w:val="001B605A"/>
    <w:rsid w:val="001C0B16"/>
    <w:rsid w:val="001C393E"/>
    <w:rsid w:val="001C39A3"/>
    <w:rsid w:val="001C3B5B"/>
    <w:rsid w:val="001C78EF"/>
    <w:rsid w:val="001D1347"/>
    <w:rsid w:val="001D6E1F"/>
    <w:rsid w:val="001D7272"/>
    <w:rsid w:val="001D73D5"/>
    <w:rsid w:val="001E27DE"/>
    <w:rsid w:val="001E29B7"/>
    <w:rsid w:val="001E2F0D"/>
    <w:rsid w:val="001E3918"/>
    <w:rsid w:val="001F0F33"/>
    <w:rsid w:val="001F20C9"/>
    <w:rsid w:val="001F3351"/>
    <w:rsid w:val="001F4A64"/>
    <w:rsid w:val="001F5EE4"/>
    <w:rsid w:val="001F5EF3"/>
    <w:rsid w:val="002005C0"/>
    <w:rsid w:val="002015D9"/>
    <w:rsid w:val="0020281D"/>
    <w:rsid w:val="00204543"/>
    <w:rsid w:val="00204C02"/>
    <w:rsid w:val="002061CF"/>
    <w:rsid w:val="002079E0"/>
    <w:rsid w:val="002079EC"/>
    <w:rsid w:val="00212CF1"/>
    <w:rsid w:val="00214FD1"/>
    <w:rsid w:val="0021736E"/>
    <w:rsid w:val="0022302D"/>
    <w:rsid w:val="002276F6"/>
    <w:rsid w:val="00230509"/>
    <w:rsid w:val="002314A1"/>
    <w:rsid w:val="00231DA4"/>
    <w:rsid w:val="00236655"/>
    <w:rsid w:val="002401A3"/>
    <w:rsid w:val="00241A23"/>
    <w:rsid w:val="00242C40"/>
    <w:rsid w:val="00247E81"/>
    <w:rsid w:val="002520F2"/>
    <w:rsid w:val="002525A7"/>
    <w:rsid w:val="00253F19"/>
    <w:rsid w:val="0025610F"/>
    <w:rsid w:val="00256505"/>
    <w:rsid w:val="00262FF5"/>
    <w:rsid w:val="002667B1"/>
    <w:rsid w:val="002725C8"/>
    <w:rsid w:val="00280067"/>
    <w:rsid w:val="002836F3"/>
    <w:rsid w:val="00286CC7"/>
    <w:rsid w:val="002925AE"/>
    <w:rsid w:val="00294333"/>
    <w:rsid w:val="00296390"/>
    <w:rsid w:val="002A19E8"/>
    <w:rsid w:val="002A3CAA"/>
    <w:rsid w:val="002A5A76"/>
    <w:rsid w:val="002A5B89"/>
    <w:rsid w:val="002A7A31"/>
    <w:rsid w:val="002B02EF"/>
    <w:rsid w:val="002B70C7"/>
    <w:rsid w:val="002C258A"/>
    <w:rsid w:val="002C25E8"/>
    <w:rsid w:val="002C4A41"/>
    <w:rsid w:val="002D2797"/>
    <w:rsid w:val="002D29BD"/>
    <w:rsid w:val="002D5D94"/>
    <w:rsid w:val="002D7FF1"/>
    <w:rsid w:val="002E4324"/>
    <w:rsid w:val="002E4327"/>
    <w:rsid w:val="002F2230"/>
    <w:rsid w:val="002F2564"/>
    <w:rsid w:val="002F50C7"/>
    <w:rsid w:val="002F702E"/>
    <w:rsid w:val="002F783E"/>
    <w:rsid w:val="00300BA2"/>
    <w:rsid w:val="00304C2E"/>
    <w:rsid w:val="003054AA"/>
    <w:rsid w:val="00305C70"/>
    <w:rsid w:val="00306208"/>
    <w:rsid w:val="003078FC"/>
    <w:rsid w:val="00307B5F"/>
    <w:rsid w:val="003101DD"/>
    <w:rsid w:val="00312A3D"/>
    <w:rsid w:val="0031480F"/>
    <w:rsid w:val="00314F0C"/>
    <w:rsid w:val="00320EFD"/>
    <w:rsid w:val="00321E1C"/>
    <w:rsid w:val="00322274"/>
    <w:rsid w:val="00323C4B"/>
    <w:rsid w:val="0032684E"/>
    <w:rsid w:val="003275B5"/>
    <w:rsid w:val="00331206"/>
    <w:rsid w:val="00331876"/>
    <w:rsid w:val="00340121"/>
    <w:rsid w:val="00341A6A"/>
    <w:rsid w:val="00342FD7"/>
    <w:rsid w:val="003452F6"/>
    <w:rsid w:val="00346643"/>
    <w:rsid w:val="00353FB4"/>
    <w:rsid w:val="00355405"/>
    <w:rsid w:val="003608D5"/>
    <w:rsid w:val="003611A5"/>
    <w:rsid w:val="0036796D"/>
    <w:rsid w:val="00370EEA"/>
    <w:rsid w:val="00372030"/>
    <w:rsid w:val="003805E3"/>
    <w:rsid w:val="00380620"/>
    <w:rsid w:val="003814EE"/>
    <w:rsid w:val="00381729"/>
    <w:rsid w:val="003830D1"/>
    <w:rsid w:val="00384447"/>
    <w:rsid w:val="00393B6F"/>
    <w:rsid w:val="003954C2"/>
    <w:rsid w:val="003A1021"/>
    <w:rsid w:val="003A3C94"/>
    <w:rsid w:val="003A493A"/>
    <w:rsid w:val="003A5BBA"/>
    <w:rsid w:val="003A7E6F"/>
    <w:rsid w:val="003B0A36"/>
    <w:rsid w:val="003B2FDE"/>
    <w:rsid w:val="003B4C2C"/>
    <w:rsid w:val="003C21D7"/>
    <w:rsid w:val="003C30BA"/>
    <w:rsid w:val="003C7BD5"/>
    <w:rsid w:val="003C7CDE"/>
    <w:rsid w:val="003D1659"/>
    <w:rsid w:val="003D203C"/>
    <w:rsid w:val="003D2E71"/>
    <w:rsid w:val="003D7A20"/>
    <w:rsid w:val="003E087B"/>
    <w:rsid w:val="003E3324"/>
    <w:rsid w:val="003E36B9"/>
    <w:rsid w:val="003E4C4D"/>
    <w:rsid w:val="003E5342"/>
    <w:rsid w:val="003F01A7"/>
    <w:rsid w:val="003F15D1"/>
    <w:rsid w:val="003F164B"/>
    <w:rsid w:val="003F1960"/>
    <w:rsid w:val="003F6FAA"/>
    <w:rsid w:val="003F7773"/>
    <w:rsid w:val="004076CA"/>
    <w:rsid w:val="00410FB1"/>
    <w:rsid w:val="004155C4"/>
    <w:rsid w:val="00416583"/>
    <w:rsid w:val="0041797E"/>
    <w:rsid w:val="0042143C"/>
    <w:rsid w:val="00422981"/>
    <w:rsid w:val="00423D23"/>
    <w:rsid w:val="00430F48"/>
    <w:rsid w:val="0043591B"/>
    <w:rsid w:val="0043671D"/>
    <w:rsid w:val="00441EC6"/>
    <w:rsid w:val="00444999"/>
    <w:rsid w:val="004449D6"/>
    <w:rsid w:val="004453D6"/>
    <w:rsid w:val="00445714"/>
    <w:rsid w:val="00450798"/>
    <w:rsid w:val="00452571"/>
    <w:rsid w:val="00452EAF"/>
    <w:rsid w:val="004531C5"/>
    <w:rsid w:val="004534A1"/>
    <w:rsid w:val="004571E7"/>
    <w:rsid w:val="004575B2"/>
    <w:rsid w:val="004610CE"/>
    <w:rsid w:val="0046282C"/>
    <w:rsid w:val="0046365F"/>
    <w:rsid w:val="00463B07"/>
    <w:rsid w:val="00464005"/>
    <w:rsid w:val="004652AB"/>
    <w:rsid w:val="00465759"/>
    <w:rsid w:val="00466496"/>
    <w:rsid w:val="004701E7"/>
    <w:rsid w:val="00472043"/>
    <w:rsid w:val="004744AD"/>
    <w:rsid w:val="004744E0"/>
    <w:rsid w:val="00482231"/>
    <w:rsid w:val="004840E0"/>
    <w:rsid w:val="00486BB3"/>
    <w:rsid w:val="0048799C"/>
    <w:rsid w:val="00490BF0"/>
    <w:rsid w:val="004937C4"/>
    <w:rsid w:val="00493800"/>
    <w:rsid w:val="004A151D"/>
    <w:rsid w:val="004A1996"/>
    <w:rsid w:val="004A2CA7"/>
    <w:rsid w:val="004A336A"/>
    <w:rsid w:val="004A48F4"/>
    <w:rsid w:val="004B2AF6"/>
    <w:rsid w:val="004B3FC3"/>
    <w:rsid w:val="004B4222"/>
    <w:rsid w:val="004C04D5"/>
    <w:rsid w:val="004C15D3"/>
    <w:rsid w:val="004C5C75"/>
    <w:rsid w:val="004C6B15"/>
    <w:rsid w:val="004D3F98"/>
    <w:rsid w:val="004D4E24"/>
    <w:rsid w:val="004D75CF"/>
    <w:rsid w:val="004E01F8"/>
    <w:rsid w:val="004E2245"/>
    <w:rsid w:val="004E26F3"/>
    <w:rsid w:val="004E37D9"/>
    <w:rsid w:val="004E60A4"/>
    <w:rsid w:val="004F0F4E"/>
    <w:rsid w:val="004F1125"/>
    <w:rsid w:val="004F1791"/>
    <w:rsid w:val="005021F7"/>
    <w:rsid w:val="00502DE7"/>
    <w:rsid w:val="005032D1"/>
    <w:rsid w:val="005051FA"/>
    <w:rsid w:val="00505991"/>
    <w:rsid w:val="005109B7"/>
    <w:rsid w:val="005111D3"/>
    <w:rsid w:val="00515089"/>
    <w:rsid w:val="00522534"/>
    <w:rsid w:val="0052405C"/>
    <w:rsid w:val="00526FF8"/>
    <w:rsid w:val="00527260"/>
    <w:rsid w:val="00527D8B"/>
    <w:rsid w:val="005316B0"/>
    <w:rsid w:val="0053347A"/>
    <w:rsid w:val="00534E4F"/>
    <w:rsid w:val="005445B9"/>
    <w:rsid w:val="0054539A"/>
    <w:rsid w:val="0054542B"/>
    <w:rsid w:val="00550216"/>
    <w:rsid w:val="00553B75"/>
    <w:rsid w:val="00554F02"/>
    <w:rsid w:val="0055688D"/>
    <w:rsid w:val="00560A2C"/>
    <w:rsid w:val="00561ACD"/>
    <w:rsid w:val="005626C5"/>
    <w:rsid w:val="00562A12"/>
    <w:rsid w:val="00564B27"/>
    <w:rsid w:val="0058126A"/>
    <w:rsid w:val="005820DA"/>
    <w:rsid w:val="00585A77"/>
    <w:rsid w:val="005903A5"/>
    <w:rsid w:val="005917EC"/>
    <w:rsid w:val="005978F3"/>
    <w:rsid w:val="0059793B"/>
    <w:rsid w:val="005A1492"/>
    <w:rsid w:val="005A4B8F"/>
    <w:rsid w:val="005A4F67"/>
    <w:rsid w:val="005A7109"/>
    <w:rsid w:val="005B0548"/>
    <w:rsid w:val="005B0E6E"/>
    <w:rsid w:val="005B3880"/>
    <w:rsid w:val="005B4AEA"/>
    <w:rsid w:val="005B7C5F"/>
    <w:rsid w:val="005C0D2B"/>
    <w:rsid w:val="005C25FB"/>
    <w:rsid w:val="005C4A54"/>
    <w:rsid w:val="005C51AF"/>
    <w:rsid w:val="005C5894"/>
    <w:rsid w:val="005C69E1"/>
    <w:rsid w:val="005C72BB"/>
    <w:rsid w:val="005D0C23"/>
    <w:rsid w:val="005D16A1"/>
    <w:rsid w:val="005D288C"/>
    <w:rsid w:val="005D3414"/>
    <w:rsid w:val="005D3733"/>
    <w:rsid w:val="005D5D91"/>
    <w:rsid w:val="005D5FDB"/>
    <w:rsid w:val="005E04DE"/>
    <w:rsid w:val="005E1459"/>
    <w:rsid w:val="005E4397"/>
    <w:rsid w:val="005E4E1F"/>
    <w:rsid w:val="005E707A"/>
    <w:rsid w:val="005E7D11"/>
    <w:rsid w:val="005F061B"/>
    <w:rsid w:val="005F15C3"/>
    <w:rsid w:val="005F1C30"/>
    <w:rsid w:val="005F22B4"/>
    <w:rsid w:val="005F38FE"/>
    <w:rsid w:val="005F427E"/>
    <w:rsid w:val="005F4952"/>
    <w:rsid w:val="005F51FF"/>
    <w:rsid w:val="005F5824"/>
    <w:rsid w:val="005F5E8F"/>
    <w:rsid w:val="00600053"/>
    <w:rsid w:val="00602018"/>
    <w:rsid w:val="00603688"/>
    <w:rsid w:val="00604FE8"/>
    <w:rsid w:val="0060627C"/>
    <w:rsid w:val="0060789B"/>
    <w:rsid w:val="00607A2E"/>
    <w:rsid w:val="00610372"/>
    <w:rsid w:val="00614C59"/>
    <w:rsid w:val="00621AC1"/>
    <w:rsid w:val="0062248A"/>
    <w:rsid w:val="00622EBF"/>
    <w:rsid w:val="0062503B"/>
    <w:rsid w:val="00625A5B"/>
    <w:rsid w:val="00627F00"/>
    <w:rsid w:val="00631171"/>
    <w:rsid w:val="0063374E"/>
    <w:rsid w:val="006406A8"/>
    <w:rsid w:val="00643335"/>
    <w:rsid w:val="0064660D"/>
    <w:rsid w:val="00650275"/>
    <w:rsid w:val="0065344F"/>
    <w:rsid w:val="00653ECC"/>
    <w:rsid w:val="006557C4"/>
    <w:rsid w:val="0065658F"/>
    <w:rsid w:val="00657BAD"/>
    <w:rsid w:val="006619F1"/>
    <w:rsid w:val="00663813"/>
    <w:rsid w:val="00666BBF"/>
    <w:rsid w:val="006716CD"/>
    <w:rsid w:val="00671838"/>
    <w:rsid w:val="00673B21"/>
    <w:rsid w:val="00673E69"/>
    <w:rsid w:val="006752E1"/>
    <w:rsid w:val="00677202"/>
    <w:rsid w:val="00681D69"/>
    <w:rsid w:val="0068613D"/>
    <w:rsid w:val="006879C3"/>
    <w:rsid w:val="006905FF"/>
    <w:rsid w:val="006929E8"/>
    <w:rsid w:val="00697A17"/>
    <w:rsid w:val="006A17FB"/>
    <w:rsid w:val="006A3333"/>
    <w:rsid w:val="006A4F98"/>
    <w:rsid w:val="006A7D51"/>
    <w:rsid w:val="006B4B5C"/>
    <w:rsid w:val="006C059B"/>
    <w:rsid w:val="006C14ED"/>
    <w:rsid w:val="006C2EE9"/>
    <w:rsid w:val="006C4BBC"/>
    <w:rsid w:val="006C5312"/>
    <w:rsid w:val="006D0475"/>
    <w:rsid w:val="006D0E92"/>
    <w:rsid w:val="006D12D6"/>
    <w:rsid w:val="006D5F2B"/>
    <w:rsid w:val="006E0368"/>
    <w:rsid w:val="006E1074"/>
    <w:rsid w:val="006E26B4"/>
    <w:rsid w:val="006E6815"/>
    <w:rsid w:val="006E7396"/>
    <w:rsid w:val="006F0C21"/>
    <w:rsid w:val="006F10C9"/>
    <w:rsid w:val="0070086B"/>
    <w:rsid w:val="0070292E"/>
    <w:rsid w:val="00705464"/>
    <w:rsid w:val="007119DE"/>
    <w:rsid w:val="007128F7"/>
    <w:rsid w:val="007145E5"/>
    <w:rsid w:val="0071516B"/>
    <w:rsid w:val="00721D05"/>
    <w:rsid w:val="007228CF"/>
    <w:rsid w:val="00723523"/>
    <w:rsid w:val="00726FD0"/>
    <w:rsid w:val="00732B0C"/>
    <w:rsid w:val="00733827"/>
    <w:rsid w:val="0073510D"/>
    <w:rsid w:val="00736782"/>
    <w:rsid w:val="0073689B"/>
    <w:rsid w:val="00747250"/>
    <w:rsid w:val="0074753E"/>
    <w:rsid w:val="00750A13"/>
    <w:rsid w:val="00752B90"/>
    <w:rsid w:val="00764304"/>
    <w:rsid w:val="007649CD"/>
    <w:rsid w:val="00764B71"/>
    <w:rsid w:val="00764EA9"/>
    <w:rsid w:val="0076561B"/>
    <w:rsid w:val="00771DCE"/>
    <w:rsid w:val="00771E46"/>
    <w:rsid w:val="00775EC3"/>
    <w:rsid w:val="0077695F"/>
    <w:rsid w:val="007825F8"/>
    <w:rsid w:val="00783EA1"/>
    <w:rsid w:val="00784997"/>
    <w:rsid w:val="00785788"/>
    <w:rsid w:val="00787501"/>
    <w:rsid w:val="00790C5B"/>
    <w:rsid w:val="007932FA"/>
    <w:rsid w:val="007A03F0"/>
    <w:rsid w:val="007A148B"/>
    <w:rsid w:val="007A38E3"/>
    <w:rsid w:val="007A47BD"/>
    <w:rsid w:val="007A6C26"/>
    <w:rsid w:val="007A7323"/>
    <w:rsid w:val="007B28BF"/>
    <w:rsid w:val="007B314A"/>
    <w:rsid w:val="007B5FBC"/>
    <w:rsid w:val="007C3D89"/>
    <w:rsid w:val="007C6D59"/>
    <w:rsid w:val="007E1118"/>
    <w:rsid w:val="007E3075"/>
    <w:rsid w:val="007E312E"/>
    <w:rsid w:val="007E376D"/>
    <w:rsid w:val="007E3F3C"/>
    <w:rsid w:val="007E4FB0"/>
    <w:rsid w:val="007E6300"/>
    <w:rsid w:val="007E7289"/>
    <w:rsid w:val="007F1C81"/>
    <w:rsid w:val="007F1CDC"/>
    <w:rsid w:val="007F3941"/>
    <w:rsid w:val="007F4994"/>
    <w:rsid w:val="007F7632"/>
    <w:rsid w:val="00802099"/>
    <w:rsid w:val="0080305A"/>
    <w:rsid w:val="00806DC4"/>
    <w:rsid w:val="00811B48"/>
    <w:rsid w:val="0081209D"/>
    <w:rsid w:val="008127E5"/>
    <w:rsid w:val="00815D7A"/>
    <w:rsid w:val="00823966"/>
    <w:rsid w:val="008265BC"/>
    <w:rsid w:val="00827BE5"/>
    <w:rsid w:val="00831463"/>
    <w:rsid w:val="0083419D"/>
    <w:rsid w:val="0084246E"/>
    <w:rsid w:val="00842F94"/>
    <w:rsid w:val="00852189"/>
    <w:rsid w:val="0085267D"/>
    <w:rsid w:val="008576BF"/>
    <w:rsid w:val="00865AFD"/>
    <w:rsid w:val="008741A9"/>
    <w:rsid w:val="008759A4"/>
    <w:rsid w:val="00880BF4"/>
    <w:rsid w:val="00881447"/>
    <w:rsid w:val="008821D5"/>
    <w:rsid w:val="00882A3C"/>
    <w:rsid w:val="00883F38"/>
    <w:rsid w:val="0088606D"/>
    <w:rsid w:val="00893130"/>
    <w:rsid w:val="008937E7"/>
    <w:rsid w:val="00893C1F"/>
    <w:rsid w:val="00894DF0"/>
    <w:rsid w:val="00897894"/>
    <w:rsid w:val="008A6DC2"/>
    <w:rsid w:val="008B0F7F"/>
    <w:rsid w:val="008B14EA"/>
    <w:rsid w:val="008B39FA"/>
    <w:rsid w:val="008B406B"/>
    <w:rsid w:val="008B5A8F"/>
    <w:rsid w:val="008C04A4"/>
    <w:rsid w:val="008C1E70"/>
    <w:rsid w:val="008C3B10"/>
    <w:rsid w:val="008C6604"/>
    <w:rsid w:val="008D232D"/>
    <w:rsid w:val="008D5623"/>
    <w:rsid w:val="008E0394"/>
    <w:rsid w:val="008E2717"/>
    <w:rsid w:val="008F20BE"/>
    <w:rsid w:val="008F4506"/>
    <w:rsid w:val="008F66F4"/>
    <w:rsid w:val="008F6A78"/>
    <w:rsid w:val="008F724C"/>
    <w:rsid w:val="00902E03"/>
    <w:rsid w:val="00905377"/>
    <w:rsid w:val="0090765E"/>
    <w:rsid w:val="0090777D"/>
    <w:rsid w:val="00912198"/>
    <w:rsid w:val="00913AF6"/>
    <w:rsid w:val="009176F6"/>
    <w:rsid w:val="00924BAA"/>
    <w:rsid w:val="0093215A"/>
    <w:rsid w:val="0093363E"/>
    <w:rsid w:val="0093392A"/>
    <w:rsid w:val="00933D64"/>
    <w:rsid w:val="00935111"/>
    <w:rsid w:val="0093636F"/>
    <w:rsid w:val="00936441"/>
    <w:rsid w:val="0094012A"/>
    <w:rsid w:val="00942726"/>
    <w:rsid w:val="009472B1"/>
    <w:rsid w:val="00947CF9"/>
    <w:rsid w:val="009505CE"/>
    <w:rsid w:val="009519F0"/>
    <w:rsid w:val="009562FE"/>
    <w:rsid w:val="009568E5"/>
    <w:rsid w:val="009619F7"/>
    <w:rsid w:val="0096244D"/>
    <w:rsid w:val="009635B2"/>
    <w:rsid w:val="00963E68"/>
    <w:rsid w:val="009758D4"/>
    <w:rsid w:val="0098202B"/>
    <w:rsid w:val="00983E8C"/>
    <w:rsid w:val="00984875"/>
    <w:rsid w:val="00985AF4"/>
    <w:rsid w:val="00986A09"/>
    <w:rsid w:val="0098791F"/>
    <w:rsid w:val="00991B21"/>
    <w:rsid w:val="0099227B"/>
    <w:rsid w:val="0099242C"/>
    <w:rsid w:val="009926CB"/>
    <w:rsid w:val="0099466D"/>
    <w:rsid w:val="0099766F"/>
    <w:rsid w:val="00997842"/>
    <w:rsid w:val="009A01B1"/>
    <w:rsid w:val="009A3538"/>
    <w:rsid w:val="009A42FF"/>
    <w:rsid w:val="009A44EE"/>
    <w:rsid w:val="009A48DC"/>
    <w:rsid w:val="009A75BC"/>
    <w:rsid w:val="009B2950"/>
    <w:rsid w:val="009B29CF"/>
    <w:rsid w:val="009B6C12"/>
    <w:rsid w:val="009B77D7"/>
    <w:rsid w:val="009C1FCB"/>
    <w:rsid w:val="009C2BF5"/>
    <w:rsid w:val="009C2DBD"/>
    <w:rsid w:val="009C3B03"/>
    <w:rsid w:val="009C551D"/>
    <w:rsid w:val="009C57F4"/>
    <w:rsid w:val="009C59EA"/>
    <w:rsid w:val="009D0060"/>
    <w:rsid w:val="009D097B"/>
    <w:rsid w:val="009D1236"/>
    <w:rsid w:val="009D18AC"/>
    <w:rsid w:val="009D3146"/>
    <w:rsid w:val="009E03B9"/>
    <w:rsid w:val="009E0633"/>
    <w:rsid w:val="009E165E"/>
    <w:rsid w:val="009E40A1"/>
    <w:rsid w:val="009E61E0"/>
    <w:rsid w:val="009E76A8"/>
    <w:rsid w:val="009F1880"/>
    <w:rsid w:val="009F4939"/>
    <w:rsid w:val="00A00745"/>
    <w:rsid w:val="00A00795"/>
    <w:rsid w:val="00A05CB7"/>
    <w:rsid w:val="00A0672D"/>
    <w:rsid w:val="00A0747F"/>
    <w:rsid w:val="00A1189F"/>
    <w:rsid w:val="00A12758"/>
    <w:rsid w:val="00A13762"/>
    <w:rsid w:val="00A139CD"/>
    <w:rsid w:val="00A13E6F"/>
    <w:rsid w:val="00A145A8"/>
    <w:rsid w:val="00A2169A"/>
    <w:rsid w:val="00A22AED"/>
    <w:rsid w:val="00A24382"/>
    <w:rsid w:val="00A265C8"/>
    <w:rsid w:val="00A277DD"/>
    <w:rsid w:val="00A27B5B"/>
    <w:rsid w:val="00A27EA9"/>
    <w:rsid w:val="00A35DA5"/>
    <w:rsid w:val="00A40FB2"/>
    <w:rsid w:val="00A44254"/>
    <w:rsid w:val="00A44BF5"/>
    <w:rsid w:val="00A464EB"/>
    <w:rsid w:val="00A4708F"/>
    <w:rsid w:val="00A47589"/>
    <w:rsid w:val="00A510A5"/>
    <w:rsid w:val="00A61949"/>
    <w:rsid w:val="00A65B7B"/>
    <w:rsid w:val="00A70D86"/>
    <w:rsid w:val="00A752F8"/>
    <w:rsid w:val="00A763B6"/>
    <w:rsid w:val="00A82566"/>
    <w:rsid w:val="00A90DDB"/>
    <w:rsid w:val="00A93161"/>
    <w:rsid w:val="00AA30A9"/>
    <w:rsid w:val="00AA47E4"/>
    <w:rsid w:val="00AA5C1E"/>
    <w:rsid w:val="00AA6D3C"/>
    <w:rsid w:val="00AB07F0"/>
    <w:rsid w:val="00AB0967"/>
    <w:rsid w:val="00AB3127"/>
    <w:rsid w:val="00AB35A4"/>
    <w:rsid w:val="00AB665C"/>
    <w:rsid w:val="00AB706A"/>
    <w:rsid w:val="00AB7979"/>
    <w:rsid w:val="00AC2671"/>
    <w:rsid w:val="00AC2EEA"/>
    <w:rsid w:val="00AC503F"/>
    <w:rsid w:val="00AD0344"/>
    <w:rsid w:val="00AD1C50"/>
    <w:rsid w:val="00AD29C8"/>
    <w:rsid w:val="00AD3B48"/>
    <w:rsid w:val="00AD5C76"/>
    <w:rsid w:val="00AE0052"/>
    <w:rsid w:val="00AE1325"/>
    <w:rsid w:val="00AE2382"/>
    <w:rsid w:val="00AE7AB6"/>
    <w:rsid w:val="00AF0165"/>
    <w:rsid w:val="00AF2E98"/>
    <w:rsid w:val="00AF3FAC"/>
    <w:rsid w:val="00B03528"/>
    <w:rsid w:val="00B06CE7"/>
    <w:rsid w:val="00B06D47"/>
    <w:rsid w:val="00B07E46"/>
    <w:rsid w:val="00B12345"/>
    <w:rsid w:val="00B132F8"/>
    <w:rsid w:val="00B139E7"/>
    <w:rsid w:val="00B15998"/>
    <w:rsid w:val="00B15A77"/>
    <w:rsid w:val="00B205E1"/>
    <w:rsid w:val="00B21296"/>
    <w:rsid w:val="00B27292"/>
    <w:rsid w:val="00B30DAA"/>
    <w:rsid w:val="00B35B5F"/>
    <w:rsid w:val="00B367B3"/>
    <w:rsid w:val="00B407DD"/>
    <w:rsid w:val="00B4723C"/>
    <w:rsid w:val="00B47FC4"/>
    <w:rsid w:val="00B5071F"/>
    <w:rsid w:val="00B5080F"/>
    <w:rsid w:val="00B54B2D"/>
    <w:rsid w:val="00B56ADE"/>
    <w:rsid w:val="00B5774A"/>
    <w:rsid w:val="00B60671"/>
    <w:rsid w:val="00B625FB"/>
    <w:rsid w:val="00B63209"/>
    <w:rsid w:val="00B656FF"/>
    <w:rsid w:val="00B67A85"/>
    <w:rsid w:val="00B72C20"/>
    <w:rsid w:val="00B75952"/>
    <w:rsid w:val="00B769EB"/>
    <w:rsid w:val="00B77DBD"/>
    <w:rsid w:val="00B77DE0"/>
    <w:rsid w:val="00B82E52"/>
    <w:rsid w:val="00B842A9"/>
    <w:rsid w:val="00B878A9"/>
    <w:rsid w:val="00B87CAE"/>
    <w:rsid w:val="00B90768"/>
    <w:rsid w:val="00B928EE"/>
    <w:rsid w:val="00B92A4F"/>
    <w:rsid w:val="00B94499"/>
    <w:rsid w:val="00B94A33"/>
    <w:rsid w:val="00BA03F9"/>
    <w:rsid w:val="00BA61E7"/>
    <w:rsid w:val="00BB0355"/>
    <w:rsid w:val="00BB2CEB"/>
    <w:rsid w:val="00BB3544"/>
    <w:rsid w:val="00BB763C"/>
    <w:rsid w:val="00BC7DC0"/>
    <w:rsid w:val="00BD1E0A"/>
    <w:rsid w:val="00BD7497"/>
    <w:rsid w:val="00BE1C7D"/>
    <w:rsid w:val="00BE3868"/>
    <w:rsid w:val="00BE4913"/>
    <w:rsid w:val="00BE5112"/>
    <w:rsid w:val="00BE55DA"/>
    <w:rsid w:val="00BF0B38"/>
    <w:rsid w:val="00BF0B9C"/>
    <w:rsid w:val="00BF22B7"/>
    <w:rsid w:val="00BF33E1"/>
    <w:rsid w:val="00BF4C7D"/>
    <w:rsid w:val="00BF59F7"/>
    <w:rsid w:val="00BF5C53"/>
    <w:rsid w:val="00C0438A"/>
    <w:rsid w:val="00C0558C"/>
    <w:rsid w:val="00C07757"/>
    <w:rsid w:val="00C077AA"/>
    <w:rsid w:val="00C077F7"/>
    <w:rsid w:val="00C116EF"/>
    <w:rsid w:val="00C11A2F"/>
    <w:rsid w:val="00C162E5"/>
    <w:rsid w:val="00C16F6E"/>
    <w:rsid w:val="00C17ED7"/>
    <w:rsid w:val="00C21F8E"/>
    <w:rsid w:val="00C24267"/>
    <w:rsid w:val="00C2535F"/>
    <w:rsid w:val="00C25B7D"/>
    <w:rsid w:val="00C26A10"/>
    <w:rsid w:val="00C27F8A"/>
    <w:rsid w:val="00C304C9"/>
    <w:rsid w:val="00C32473"/>
    <w:rsid w:val="00C3742E"/>
    <w:rsid w:val="00C40BCD"/>
    <w:rsid w:val="00C41729"/>
    <w:rsid w:val="00C41EE8"/>
    <w:rsid w:val="00C44CC7"/>
    <w:rsid w:val="00C45C27"/>
    <w:rsid w:val="00C51C6F"/>
    <w:rsid w:val="00C52F8F"/>
    <w:rsid w:val="00C555F6"/>
    <w:rsid w:val="00C57456"/>
    <w:rsid w:val="00C603B9"/>
    <w:rsid w:val="00C63757"/>
    <w:rsid w:val="00C6539D"/>
    <w:rsid w:val="00C6548A"/>
    <w:rsid w:val="00C655EB"/>
    <w:rsid w:val="00C714D9"/>
    <w:rsid w:val="00C7247A"/>
    <w:rsid w:val="00C7466F"/>
    <w:rsid w:val="00C76EF4"/>
    <w:rsid w:val="00C8069A"/>
    <w:rsid w:val="00C8126D"/>
    <w:rsid w:val="00C81F55"/>
    <w:rsid w:val="00C83A0F"/>
    <w:rsid w:val="00C861A0"/>
    <w:rsid w:val="00C87082"/>
    <w:rsid w:val="00C9280D"/>
    <w:rsid w:val="00C93EE4"/>
    <w:rsid w:val="00C94DED"/>
    <w:rsid w:val="00C95B47"/>
    <w:rsid w:val="00C95D56"/>
    <w:rsid w:val="00CA0F2E"/>
    <w:rsid w:val="00CA45C8"/>
    <w:rsid w:val="00CA7399"/>
    <w:rsid w:val="00CB04AD"/>
    <w:rsid w:val="00CB14DD"/>
    <w:rsid w:val="00CC342F"/>
    <w:rsid w:val="00CC5A1D"/>
    <w:rsid w:val="00CD0BA0"/>
    <w:rsid w:val="00CE0EA5"/>
    <w:rsid w:val="00CE3EE2"/>
    <w:rsid w:val="00CF0EC9"/>
    <w:rsid w:val="00CF3C05"/>
    <w:rsid w:val="00CF4C6E"/>
    <w:rsid w:val="00CF7D88"/>
    <w:rsid w:val="00D01149"/>
    <w:rsid w:val="00D01E3B"/>
    <w:rsid w:val="00D04B4B"/>
    <w:rsid w:val="00D05B25"/>
    <w:rsid w:val="00D07A1F"/>
    <w:rsid w:val="00D13B89"/>
    <w:rsid w:val="00D142E0"/>
    <w:rsid w:val="00D15126"/>
    <w:rsid w:val="00D301D5"/>
    <w:rsid w:val="00D32282"/>
    <w:rsid w:val="00D3255E"/>
    <w:rsid w:val="00D3699B"/>
    <w:rsid w:val="00D41F25"/>
    <w:rsid w:val="00D4385F"/>
    <w:rsid w:val="00D44471"/>
    <w:rsid w:val="00D54937"/>
    <w:rsid w:val="00D60E15"/>
    <w:rsid w:val="00D61159"/>
    <w:rsid w:val="00D62F0B"/>
    <w:rsid w:val="00D664BE"/>
    <w:rsid w:val="00D713E2"/>
    <w:rsid w:val="00D74524"/>
    <w:rsid w:val="00D8055A"/>
    <w:rsid w:val="00D80EEF"/>
    <w:rsid w:val="00D81A35"/>
    <w:rsid w:val="00D81D64"/>
    <w:rsid w:val="00D8391A"/>
    <w:rsid w:val="00D85D46"/>
    <w:rsid w:val="00D9338B"/>
    <w:rsid w:val="00DA0E42"/>
    <w:rsid w:val="00DB01A8"/>
    <w:rsid w:val="00DB05ED"/>
    <w:rsid w:val="00DB064D"/>
    <w:rsid w:val="00DB0AF2"/>
    <w:rsid w:val="00DB1999"/>
    <w:rsid w:val="00DB2467"/>
    <w:rsid w:val="00DC2EAC"/>
    <w:rsid w:val="00DC49DF"/>
    <w:rsid w:val="00DC5785"/>
    <w:rsid w:val="00DC6009"/>
    <w:rsid w:val="00DC747E"/>
    <w:rsid w:val="00DC7E97"/>
    <w:rsid w:val="00DD24ED"/>
    <w:rsid w:val="00DD3075"/>
    <w:rsid w:val="00DD38B4"/>
    <w:rsid w:val="00DD4F93"/>
    <w:rsid w:val="00DE057A"/>
    <w:rsid w:val="00DE19E4"/>
    <w:rsid w:val="00DE3754"/>
    <w:rsid w:val="00DE6D23"/>
    <w:rsid w:val="00DE7B38"/>
    <w:rsid w:val="00DF0EEC"/>
    <w:rsid w:val="00DF26B6"/>
    <w:rsid w:val="00DF6656"/>
    <w:rsid w:val="00E0060E"/>
    <w:rsid w:val="00E00E1A"/>
    <w:rsid w:val="00E04A54"/>
    <w:rsid w:val="00E10CF6"/>
    <w:rsid w:val="00E10E6C"/>
    <w:rsid w:val="00E11003"/>
    <w:rsid w:val="00E143FF"/>
    <w:rsid w:val="00E22837"/>
    <w:rsid w:val="00E23043"/>
    <w:rsid w:val="00E25240"/>
    <w:rsid w:val="00E3366D"/>
    <w:rsid w:val="00E33B2B"/>
    <w:rsid w:val="00E37372"/>
    <w:rsid w:val="00E41452"/>
    <w:rsid w:val="00E50DFA"/>
    <w:rsid w:val="00E5263E"/>
    <w:rsid w:val="00E528B7"/>
    <w:rsid w:val="00E53A9D"/>
    <w:rsid w:val="00E54C13"/>
    <w:rsid w:val="00E61907"/>
    <w:rsid w:val="00E65C0E"/>
    <w:rsid w:val="00E75BF5"/>
    <w:rsid w:val="00E778DA"/>
    <w:rsid w:val="00E819A6"/>
    <w:rsid w:val="00E844B2"/>
    <w:rsid w:val="00E865A6"/>
    <w:rsid w:val="00E874BC"/>
    <w:rsid w:val="00E87600"/>
    <w:rsid w:val="00E9165E"/>
    <w:rsid w:val="00E97E21"/>
    <w:rsid w:val="00EA3AB1"/>
    <w:rsid w:val="00EA3E52"/>
    <w:rsid w:val="00EA4A81"/>
    <w:rsid w:val="00EA4FA0"/>
    <w:rsid w:val="00EB0B05"/>
    <w:rsid w:val="00EB43A9"/>
    <w:rsid w:val="00EB481B"/>
    <w:rsid w:val="00EB5A52"/>
    <w:rsid w:val="00EC3E7D"/>
    <w:rsid w:val="00EC42CF"/>
    <w:rsid w:val="00EC53FC"/>
    <w:rsid w:val="00EC7136"/>
    <w:rsid w:val="00ED5D0D"/>
    <w:rsid w:val="00ED6AC4"/>
    <w:rsid w:val="00EE1365"/>
    <w:rsid w:val="00EE238E"/>
    <w:rsid w:val="00EE4851"/>
    <w:rsid w:val="00EE4D99"/>
    <w:rsid w:val="00EE6036"/>
    <w:rsid w:val="00EE668E"/>
    <w:rsid w:val="00EF40B8"/>
    <w:rsid w:val="00EF76EC"/>
    <w:rsid w:val="00F00A5D"/>
    <w:rsid w:val="00F05648"/>
    <w:rsid w:val="00F10AAA"/>
    <w:rsid w:val="00F10D12"/>
    <w:rsid w:val="00F15DB7"/>
    <w:rsid w:val="00F17D35"/>
    <w:rsid w:val="00F20194"/>
    <w:rsid w:val="00F2059F"/>
    <w:rsid w:val="00F205A2"/>
    <w:rsid w:val="00F32330"/>
    <w:rsid w:val="00F32F4D"/>
    <w:rsid w:val="00F35836"/>
    <w:rsid w:val="00F35A4E"/>
    <w:rsid w:val="00F35CDE"/>
    <w:rsid w:val="00F36948"/>
    <w:rsid w:val="00F50A90"/>
    <w:rsid w:val="00F5381E"/>
    <w:rsid w:val="00F53F54"/>
    <w:rsid w:val="00F55D7E"/>
    <w:rsid w:val="00F55EE3"/>
    <w:rsid w:val="00F5624D"/>
    <w:rsid w:val="00F644F3"/>
    <w:rsid w:val="00F74A6B"/>
    <w:rsid w:val="00F74E05"/>
    <w:rsid w:val="00F76F37"/>
    <w:rsid w:val="00F8087F"/>
    <w:rsid w:val="00F81C51"/>
    <w:rsid w:val="00F8233D"/>
    <w:rsid w:val="00F86466"/>
    <w:rsid w:val="00F86F1E"/>
    <w:rsid w:val="00F913AD"/>
    <w:rsid w:val="00F958D8"/>
    <w:rsid w:val="00F95FC8"/>
    <w:rsid w:val="00F97C53"/>
    <w:rsid w:val="00FA06DA"/>
    <w:rsid w:val="00FA0C28"/>
    <w:rsid w:val="00FA7A72"/>
    <w:rsid w:val="00FB09BB"/>
    <w:rsid w:val="00FC12E1"/>
    <w:rsid w:val="00FD036A"/>
    <w:rsid w:val="00FD5E37"/>
    <w:rsid w:val="00FD75A1"/>
    <w:rsid w:val="00FE065F"/>
    <w:rsid w:val="00FE24A4"/>
    <w:rsid w:val="00FE4CDA"/>
    <w:rsid w:val="00FE5BEF"/>
    <w:rsid w:val="00FE7651"/>
    <w:rsid w:val="00FF7E8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1F55"/>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1"/>
    <w:qFormat/>
    <w:rsid w:val="004A1996"/>
    <w:pPr>
      <w:widowControl w:val="0"/>
      <w:autoSpaceDE w:val="0"/>
      <w:autoSpaceDN w:val="0"/>
      <w:spacing w:before="79"/>
      <w:ind w:left="220"/>
      <w:outlineLvl w:val="0"/>
    </w:pPr>
    <w:rPr>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C81F55"/>
    <w:pPr>
      <w:ind w:left="720"/>
      <w:contextualSpacing/>
    </w:pPr>
  </w:style>
  <w:style w:type="paragraph" w:styleId="Footer">
    <w:name w:val="footer"/>
    <w:basedOn w:val="Normal"/>
    <w:link w:val="FooterChar"/>
    <w:uiPriority w:val="99"/>
    <w:rsid w:val="00C81F55"/>
    <w:pPr>
      <w:tabs>
        <w:tab w:val="center" w:pos="4680"/>
        <w:tab w:val="right" w:pos="9360"/>
      </w:tabs>
    </w:pPr>
  </w:style>
  <w:style w:type="character" w:customStyle="1" w:styleId="FooterChar">
    <w:name w:val="Footer Char"/>
    <w:basedOn w:val="DefaultParagraphFont"/>
    <w:link w:val="Footer"/>
    <w:uiPriority w:val="99"/>
    <w:rsid w:val="00C81F55"/>
    <w:rPr>
      <w:rFonts w:ascii="Times New Roman" w:eastAsia="Times New Roman" w:hAnsi="Times New Roman" w:cs="Times New Roman"/>
      <w:sz w:val="28"/>
      <w:szCs w:val="28"/>
    </w:rPr>
  </w:style>
  <w:style w:type="character" w:styleId="Emphasis">
    <w:name w:val="Emphasis"/>
    <w:basedOn w:val="DefaultParagraphFont"/>
    <w:qFormat/>
    <w:rsid w:val="00C81F55"/>
    <w:rPr>
      <w:i/>
      <w:iCs/>
    </w:rPr>
  </w:style>
  <w:style w:type="character" w:customStyle="1" w:styleId="apple-converted-space">
    <w:name w:val="apple-converted-space"/>
    <w:basedOn w:val="DefaultParagraphFont"/>
    <w:rsid w:val="00C81F55"/>
  </w:style>
  <w:style w:type="character" w:styleId="CommentReference">
    <w:name w:val="annotation reference"/>
    <w:basedOn w:val="DefaultParagraphFont"/>
    <w:uiPriority w:val="99"/>
    <w:semiHidden/>
    <w:unhideWhenUsed/>
    <w:rsid w:val="001D6E1F"/>
    <w:rPr>
      <w:sz w:val="16"/>
      <w:szCs w:val="16"/>
    </w:rPr>
  </w:style>
  <w:style w:type="paragraph" w:styleId="CommentText">
    <w:name w:val="annotation text"/>
    <w:basedOn w:val="Normal"/>
    <w:link w:val="CommentTextChar"/>
    <w:uiPriority w:val="99"/>
    <w:semiHidden/>
    <w:unhideWhenUsed/>
    <w:rsid w:val="001D6E1F"/>
    <w:rPr>
      <w:sz w:val="20"/>
      <w:szCs w:val="20"/>
    </w:rPr>
  </w:style>
  <w:style w:type="character" w:customStyle="1" w:styleId="CommentTextChar">
    <w:name w:val="Comment Text Char"/>
    <w:basedOn w:val="DefaultParagraphFont"/>
    <w:link w:val="CommentText"/>
    <w:uiPriority w:val="99"/>
    <w:semiHidden/>
    <w:rsid w:val="001D6E1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D6E1F"/>
    <w:rPr>
      <w:b/>
      <w:bCs/>
    </w:rPr>
  </w:style>
  <w:style w:type="character" w:customStyle="1" w:styleId="CommentSubjectChar">
    <w:name w:val="Comment Subject Char"/>
    <w:basedOn w:val="CommentTextChar"/>
    <w:link w:val="CommentSubject"/>
    <w:uiPriority w:val="99"/>
    <w:semiHidden/>
    <w:rsid w:val="001D6E1F"/>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1D6E1F"/>
    <w:rPr>
      <w:rFonts w:ascii="Tahoma" w:hAnsi="Tahoma" w:cs="Tahoma"/>
      <w:sz w:val="16"/>
      <w:szCs w:val="16"/>
    </w:rPr>
  </w:style>
  <w:style w:type="character" w:customStyle="1" w:styleId="BalloonTextChar">
    <w:name w:val="Balloon Text Char"/>
    <w:basedOn w:val="DefaultParagraphFont"/>
    <w:link w:val="BalloonText"/>
    <w:uiPriority w:val="99"/>
    <w:semiHidden/>
    <w:rsid w:val="001D6E1F"/>
    <w:rPr>
      <w:rFonts w:ascii="Tahoma" w:eastAsia="Times New Roman" w:hAnsi="Tahoma" w:cs="Tahoma"/>
      <w:sz w:val="16"/>
      <w:szCs w:val="16"/>
    </w:rPr>
  </w:style>
  <w:style w:type="character" w:customStyle="1" w:styleId="Heading1Char">
    <w:name w:val="Heading 1 Char"/>
    <w:basedOn w:val="DefaultParagraphFont"/>
    <w:link w:val="Heading1"/>
    <w:uiPriority w:val="1"/>
    <w:rsid w:val="004A1996"/>
    <w:rPr>
      <w:rFonts w:ascii="Times New Roman" w:eastAsia="Times New Roman" w:hAnsi="Times New Roman" w:cs="Times New Roman"/>
      <w:b/>
      <w:bCs/>
      <w:sz w:val="24"/>
      <w:szCs w:val="24"/>
    </w:rPr>
  </w:style>
  <w:style w:type="paragraph" w:styleId="BodyText">
    <w:name w:val="Body Text"/>
    <w:basedOn w:val="Normal"/>
    <w:link w:val="BodyTextChar"/>
    <w:uiPriority w:val="1"/>
    <w:qFormat/>
    <w:rsid w:val="004A1996"/>
    <w:pPr>
      <w:widowControl w:val="0"/>
      <w:autoSpaceDE w:val="0"/>
      <w:autoSpaceDN w:val="0"/>
    </w:pPr>
    <w:rPr>
      <w:sz w:val="24"/>
      <w:szCs w:val="24"/>
    </w:rPr>
  </w:style>
  <w:style w:type="character" w:customStyle="1" w:styleId="BodyTextChar">
    <w:name w:val="Body Text Char"/>
    <w:basedOn w:val="DefaultParagraphFont"/>
    <w:link w:val="BodyText"/>
    <w:uiPriority w:val="1"/>
    <w:rsid w:val="004A1996"/>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4A1996"/>
    <w:pPr>
      <w:widowControl w:val="0"/>
      <w:autoSpaceDE w:val="0"/>
      <w:autoSpaceDN w:val="0"/>
    </w:pPr>
    <w:rPr>
      <w:sz w:val="22"/>
      <w:szCs w:val="22"/>
    </w:rPr>
  </w:style>
  <w:style w:type="character" w:styleId="Hyperlink">
    <w:name w:val="Hyperlink"/>
    <w:basedOn w:val="DefaultParagraphFont"/>
    <w:uiPriority w:val="99"/>
    <w:unhideWhenUsed/>
    <w:rsid w:val="004A1996"/>
    <w:rPr>
      <w:color w:val="0000FF" w:themeColor="hyperlink"/>
      <w:u w:val="single"/>
    </w:rPr>
  </w:style>
  <w:style w:type="paragraph" w:styleId="Header">
    <w:name w:val="header"/>
    <w:basedOn w:val="Normal"/>
    <w:link w:val="HeaderChar"/>
    <w:uiPriority w:val="99"/>
    <w:semiHidden/>
    <w:unhideWhenUsed/>
    <w:rsid w:val="00D61159"/>
    <w:pPr>
      <w:tabs>
        <w:tab w:val="center" w:pos="4680"/>
        <w:tab w:val="right" w:pos="9360"/>
      </w:tabs>
    </w:pPr>
  </w:style>
  <w:style w:type="character" w:customStyle="1" w:styleId="HeaderChar">
    <w:name w:val="Header Char"/>
    <w:basedOn w:val="DefaultParagraphFont"/>
    <w:link w:val="Header"/>
    <w:uiPriority w:val="99"/>
    <w:semiHidden/>
    <w:rsid w:val="00D61159"/>
    <w:rPr>
      <w:rFonts w:ascii="Times New Roman" w:eastAsia="Times New Roman" w:hAnsi="Times New Roman" w:cs="Times New Roman"/>
      <w:sz w:val="28"/>
      <w:szCs w:val="28"/>
    </w:rPr>
  </w:style>
  <w:style w:type="paragraph" w:styleId="NormalWeb">
    <w:name w:val="Normal (Web)"/>
    <w:basedOn w:val="Normal"/>
    <w:uiPriority w:val="99"/>
    <w:unhideWhenUsed/>
    <w:rsid w:val="00F35CDE"/>
    <w:pPr>
      <w:spacing w:before="100" w:beforeAutospacing="1" w:after="100" w:afterAutospacing="1"/>
    </w:pPr>
    <w:rPr>
      <w:sz w:val="24"/>
      <w:szCs w:val="24"/>
    </w:rPr>
  </w:style>
  <w:style w:type="character" w:customStyle="1" w:styleId="UnresolvedMention1">
    <w:name w:val="Unresolved Mention1"/>
    <w:basedOn w:val="DefaultParagraphFont"/>
    <w:uiPriority w:val="99"/>
    <w:semiHidden/>
    <w:unhideWhenUsed/>
    <w:rsid w:val="007B28BF"/>
    <w:rPr>
      <w:color w:val="605E5C"/>
      <w:shd w:val="clear" w:color="auto" w:fill="E1DFDD"/>
    </w:rPr>
  </w:style>
  <w:style w:type="paragraph" w:customStyle="1" w:styleId="whitespace-normal">
    <w:name w:val="whitespace-normal"/>
    <w:basedOn w:val="Normal"/>
    <w:rsid w:val="00464005"/>
    <w:pPr>
      <w:spacing w:before="100" w:beforeAutospacing="1" w:after="100" w:afterAutospacing="1"/>
    </w:pPr>
    <w:rPr>
      <w:sz w:val="24"/>
      <w:szCs w:val="24"/>
      <w:lang w:val="en-IN" w:eastAsia="en-IN"/>
    </w:rPr>
  </w:style>
  <w:style w:type="paragraph" w:customStyle="1" w:styleId="whitespace-pre-wrap">
    <w:name w:val="whitespace-pre-wrap"/>
    <w:basedOn w:val="Normal"/>
    <w:rsid w:val="00464005"/>
    <w:pPr>
      <w:spacing w:before="100" w:beforeAutospacing="1" w:after="100" w:afterAutospacing="1"/>
    </w:pPr>
    <w:rPr>
      <w:sz w:val="24"/>
      <w:szCs w:val="24"/>
      <w:lang w:val="en-IN" w:eastAsia="en-IN"/>
    </w:rPr>
  </w:style>
  <w:style w:type="character" w:customStyle="1" w:styleId="UnresolvedMention">
    <w:name w:val="Unresolved Mention"/>
    <w:basedOn w:val="DefaultParagraphFont"/>
    <w:uiPriority w:val="99"/>
    <w:semiHidden/>
    <w:unhideWhenUsed/>
    <w:rsid w:val="00D13B89"/>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32005933">
      <w:bodyDiv w:val="1"/>
      <w:marLeft w:val="0"/>
      <w:marRight w:val="0"/>
      <w:marTop w:val="0"/>
      <w:marBottom w:val="0"/>
      <w:divBdr>
        <w:top w:val="none" w:sz="0" w:space="0" w:color="auto"/>
        <w:left w:val="none" w:sz="0" w:space="0" w:color="auto"/>
        <w:bottom w:val="none" w:sz="0" w:space="0" w:color="auto"/>
        <w:right w:val="none" w:sz="0" w:space="0" w:color="auto"/>
      </w:divBdr>
    </w:div>
    <w:div w:id="50928846">
      <w:bodyDiv w:val="1"/>
      <w:marLeft w:val="0"/>
      <w:marRight w:val="0"/>
      <w:marTop w:val="0"/>
      <w:marBottom w:val="0"/>
      <w:divBdr>
        <w:top w:val="none" w:sz="0" w:space="0" w:color="auto"/>
        <w:left w:val="none" w:sz="0" w:space="0" w:color="auto"/>
        <w:bottom w:val="none" w:sz="0" w:space="0" w:color="auto"/>
        <w:right w:val="none" w:sz="0" w:space="0" w:color="auto"/>
      </w:divBdr>
    </w:div>
    <w:div w:id="59982074">
      <w:bodyDiv w:val="1"/>
      <w:marLeft w:val="0"/>
      <w:marRight w:val="0"/>
      <w:marTop w:val="0"/>
      <w:marBottom w:val="0"/>
      <w:divBdr>
        <w:top w:val="none" w:sz="0" w:space="0" w:color="auto"/>
        <w:left w:val="none" w:sz="0" w:space="0" w:color="auto"/>
        <w:bottom w:val="none" w:sz="0" w:space="0" w:color="auto"/>
        <w:right w:val="none" w:sz="0" w:space="0" w:color="auto"/>
      </w:divBdr>
    </w:div>
    <w:div w:id="114568679">
      <w:bodyDiv w:val="1"/>
      <w:marLeft w:val="0"/>
      <w:marRight w:val="0"/>
      <w:marTop w:val="0"/>
      <w:marBottom w:val="0"/>
      <w:divBdr>
        <w:top w:val="none" w:sz="0" w:space="0" w:color="auto"/>
        <w:left w:val="none" w:sz="0" w:space="0" w:color="auto"/>
        <w:bottom w:val="none" w:sz="0" w:space="0" w:color="auto"/>
        <w:right w:val="none" w:sz="0" w:space="0" w:color="auto"/>
      </w:divBdr>
    </w:div>
    <w:div w:id="127673509">
      <w:bodyDiv w:val="1"/>
      <w:marLeft w:val="0"/>
      <w:marRight w:val="0"/>
      <w:marTop w:val="0"/>
      <w:marBottom w:val="0"/>
      <w:divBdr>
        <w:top w:val="none" w:sz="0" w:space="0" w:color="auto"/>
        <w:left w:val="none" w:sz="0" w:space="0" w:color="auto"/>
        <w:bottom w:val="none" w:sz="0" w:space="0" w:color="auto"/>
        <w:right w:val="none" w:sz="0" w:space="0" w:color="auto"/>
      </w:divBdr>
    </w:div>
    <w:div w:id="132675691">
      <w:bodyDiv w:val="1"/>
      <w:marLeft w:val="0"/>
      <w:marRight w:val="0"/>
      <w:marTop w:val="0"/>
      <w:marBottom w:val="0"/>
      <w:divBdr>
        <w:top w:val="none" w:sz="0" w:space="0" w:color="auto"/>
        <w:left w:val="none" w:sz="0" w:space="0" w:color="auto"/>
        <w:bottom w:val="none" w:sz="0" w:space="0" w:color="auto"/>
        <w:right w:val="none" w:sz="0" w:space="0" w:color="auto"/>
      </w:divBdr>
    </w:div>
    <w:div w:id="133330328">
      <w:bodyDiv w:val="1"/>
      <w:marLeft w:val="0"/>
      <w:marRight w:val="0"/>
      <w:marTop w:val="0"/>
      <w:marBottom w:val="0"/>
      <w:divBdr>
        <w:top w:val="none" w:sz="0" w:space="0" w:color="auto"/>
        <w:left w:val="none" w:sz="0" w:space="0" w:color="auto"/>
        <w:bottom w:val="none" w:sz="0" w:space="0" w:color="auto"/>
        <w:right w:val="none" w:sz="0" w:space="0" w:color="auto"/>
      </w:divBdr>
    </w:div>
    <w:div w:id="137503867">
      <w:bodyDiv w:val="1"/>
      <w:marLeft w:val="0"/>
      <w:marRight w:val="0"/>
      <w:marTop w:val="0"/>
      <w:marBottom w:val="0"/>
      <w:divBdr>
        <w:top w:val="none" w:sz="0" w:space="0" w:color="auto"/>
        <w:left w:val="none" w:sz="0" w:space="0" w:color="auto"/>
        <w:bottom w:val="none" w:sz="0" w:space="0" w:color="auto"/>
        <w:right w:val="none" w:sz="0" w:space="0" w:color="auto"/>
      </w:divBdr>
    </w:div>
    <w:div w:id="147213593">
      <w:bodyDiv w:val="1"/>
      <w:marLeft w:val="0"/>
      <w:marRight w:val="0"/>
      <w:marTop w:val="0"/>
      <w:marBottom w:val="0"/>
      <w:divBdr>
        <w:top w:val="none" w:sz="0" w:space="0" w:color="auto"/>
        <w:left w:val="none" w:sz="0" w:space="0" w:color="auto"/>
        <w:bottom w:val="none" w:sz="0" w:space="0" w:color="auto"/>
        <w:right w:val="none" w:sz="0" w:space="0" w:color="auto"/>
      </w:divBdr>
    </w:div>
    <w:div w:id="158277823">
      <w:bodyDiv w:val="1"/>
      <w:marLeft w:val="0"/>
      <w:marRight w:val="0"/>
      <w:marTop w:val="0"/>
      <w:marBottom w:val="0"/>
      <w:divBdr>
        <w:top w:val="none" w:sz="0" w:space="0" w:color="auto"/>
        <w:left w:val="none" w:sz="0" w:space="0" w:color="auto"/>
        <w:bottom w:val="none" w:sz="0" w:space="0" w:color="auto"/>
        <w:right w:val="none" w:sz="0" w:space="0" w:color="auto"/>
      </w:divBdr>
    </w:div>
    <w:div w:id="162168443">
      <w:bodyDiv w:val="1"/>
      <w:marLeft w:val="0"/>
      <w:marRight w:val="0"/>
      <w:marTop w:val="0"/>
      <w:marBottom w:val="0"/>
      <w:divBdr>
        <w:top w:val="none" w:sz="0" w:space="0" w:color="auto"/>
        <w:left w:val="none" w:sz="0" w:space="0" w:color="auto"/>
        <w:bottom w:val="none" w:sz="0" w:space="0" w:color="auto"/>
        <w:right w:val="none" w:sz="0" w:space="0" w:color="auto"/>
      </w:divBdr>
    </w:div>
    <w:div w:id="182132907">
      <w:bodyDiv w:val="1"/>
      <w:marLeft w:val="0"/>
      <w:marRight w:val="0"/>
      <w:marTop w:val="0"/>
      <w:marBottom w:val="0"/>
      <w:divBdr>
        <w:top w:val="none" w:sz="0" w:space="0" w:color="auto"/>
        <w:left w:val="none" w:sz="0" w:space="0" w:color="auto"/>
        <w:bottom w:val="none" w:sz="0" w:space="0" w:color="auto"/>
        <w:right w:val="none" w:sz="0" w:space="0" w:color="auto"/>
      </w:divBdr>
    </w:div>
    <w:div w:id="192038200">
      <w:bodyDiv w:val="1"/>
      <w:marLeft w:val="0"/>
      <w:marRight w:val="0"/>
      <w:marTop w:val="0"/>
      <w:marBottom w:val="0"/>
      <w:divBdr>
        <w:top w:val="none" w:sz="0" w:space="0" w:color="auto"/>
        <w:left w:val="none" w:sz="0" w:space="0" w:color="auto"/>
        <w:bottom w:val="none" w:sz="0" w:space="0" w:color="auto"/>
        <w:right w:val="none" w:sz="0" w:space="0" w:color="auto"/>
      </w:divBdr>
    </w:div>
    <w:div w:id="232550778">
      <w:bodyDiv w:val="1"/>
      <w:marLeft w:val="0"/>
      <w:marRight w:val="0"/>
      <w:marTop w:val="0"/>
      <w:marBottom w:val="0"/>
      <w:divBdr>
        <w:top w:val="none" w:sz="0" w:space="0" w:color="auto"/>
        <w:left w:val="none" w:sz="0" w:space="0" w:color="auto"/>
        <w:bottom w:val="none" w:sz="0" w:space="0" w:color="auto"/>
        <w:right w:val="none" w:sz="0" w:space="0" w:color="auto"/>
      </w:divBdr>
    </w:div>
    <w:div w:id="235240196">
      <w:bodyDiv w:val="1"/>
      <w:marLeft w:val="0"/>
      <w:marRight w:val="0"/>
      <w:marTop w:val="0"/>
      <w:marBottom w:val="0"/>
      <w:divBdr>
        <w:top w:val="none" w:sz="0" w:space="0" w:color="auto"/>
        <w:left w:val="none" w:sz="0" w:space="0" w:color="auto"/>
        <w:bottom w:val="none" w:sz="0" w:space="0" w:color="auto"/>
        <w:right w:val="none" w:sz="0" w:space="0" w:color="auto"/>
      </w:divBdr>
    </w:div>
    <w:div w:id="245235882">
      <w:bodyDiv w:val="1"/>
      <w:marLeft w:val="0"/>
      <w:marRight w:val="0"/>
      <w:marTop w:val="0"/>
      <w:marBottom w:val="0"/>
      <w:divBdr>
        <w:top w:val="none" w:sz="0" w:space="0" w:color="auto"/>
        <w:left w:val="none" w:sz="0" w:space="0" w:color="auto"/>
        <w:bottom w:val="none" w:sz="0" w:space="0" w:color="auto"/>
        <w:right w:val="none" w:sz="0" w:space="0" w:color="auto"/>
      </w:divBdr>
    </w:div>
    <w:div w:id="250353369">
      <w:bodyDiv w:val="1"/>
      <w:marLeft w:val="0"/>
      <w:marRight w:val="0"/>
      <w:marTop w:val="0"/>
      <w:marBottom w:val="0"/>
      <w:divBdr>
        <w:top w:val="none" w:sz="0" w:space="0" w:color="auto"/>
        <w:left w:val="none" w:sz="0" w:space="0" w:color="auto"/>
        <w:bottom w:val="none" w:sz="0" w:space="0" w:color="auto"/>
        <w:right w:val="none" w:sz="0" w:space="0" w:color="auto"/>
      </w:divBdr>
    </w:div>
    <w:div w:id="255746924">
      <w:bodyDiv w:val="1"/>
      <w:marLeft w:val="0"/>
      <w:marRight w:val="0"/>
      <w:marTop w:val="0"/>
      <w:marBottom w:val="0"/>
      <w:divBdr>
        <w:top w:val="none" w:sz="0" w:space="0" w:color="auto"/>
        <w:left w:val="none" w:sz="0" w:space="0" w:color="auto"/>
        <w:bottom w:val="none" w:sz="0" w:space="0" w:color="auto"/>
        <w:right w:val="none" w:sz="0" w:space="0" w:color="auto"/>
      </w:divBdr>
    </w:div>
    <w:div w:id="260648040">
      <w:bodyDiv w:val="1"/>
      <w:marLeft w:val="0"/>
      <w:marRight w:val="0"/>
      <w:marTop w:val="0"/>
      <w:marBottom w:val="0"/>
      <w:divBdr>
        <w:top w:val="none" w:sz="0" w:space="0" w:color="auto"/>
        <w:left w:val="none" w:sz="0" w:space="0" w:color="auto"/>
        <w:bottom w:val="none" w:sz="0" w:space="0" w:color="auto"/>
        <w:right w:val="none" w:sz="0" w:space="0" w:color="auto"/>
      </w:divBdr>
    </w:div>
    <w:div w:id="286786396">
      <w:bodyDiv w:val="1"/>
      <w:marLeft w:val="0"/>
      <w:marRight w:val="0"/>
      <w:marTop w:val="0"/>
      <w:marBottom w:val="0"/>
      <w:divBdr>
        <w:top w:val="none" w:sz="0" w:space="0" w:color="auto"/>
        <w:left w:val="none" w:sz="0" w:space="0" w:color="auto"/>
        <w:bottom w:val="none" w:sz="0" w:space="0" w:color="auto"/>
        <w:right w:val="none" w:sz="0" w:space="0" w:color="auto"/>
      </w:divBdr>
    </w:div>
    <w:div w:id="300617470">
      <w:bodyDiv w:val="1"/>
      <w:marLeft w:val="0"/>
      <w:marRight w:val="0"/>
      <w:marTop w:val="0"/>
      <w:marBottom w:val="0"/>
      <w:divBdr>
        <w:top w:val="none" w:sz="0" w:space="0" w:color="auto"/>
        <w:left w:val="none" w:sz="0" w:space="0" w:color="auto"/>
        <w:bottom w:val="none" w:sz="0" w:space="0" w:color="auto"/>
        <w:right w:val="none" w:sz="0" w:space="0" w:color="auto"/>
      </w:divBdr>
    </w:div>
    <w:div w:id="302467553">
      <w:bodyDiv w:val="1"/>
      <w:marLeft w:val="0"/>
      <w:marRight w:val="0"/>
      <w:marTop w:val="0"/>
      <w:marBottom w:val="0"/>
      <w:divBdr>
        <w:top w:val="none" w:sz="0" w:space="0" w:color="auto"/>
        <w:left w:val="none" w:sz="0" w:space="0" w:color="auto"/>
        <w:bottom w:val="none" w:sz="0" w:space="0" w:color="auto"/>
        <w:right w:val="none" w:sz="0" w:space="0" w:color="auto"/>
      </w:divBdr>
    </w:div>
    <w:div w:id="314459788">
      <w:bodyDiv w:val="1"/>
      <w:marLeft w:val="0"/>
      <w:marRight w:val="0"/>
      <w:marTop w:val="0"/>
      <w:marBottom w:val="0"/>
      <w:divBdr>
        <w:top w:val="none" w:sz="0" w:space="0" w:color="auto"/>
        <w:left w:val="none" w:sz="0" w:space="0" w:color="auto"/>
        <w:bottom w:val="none" w:sz="0" w:space="0" w:color="auto"/>
        <w:right w:val="none" w:sz="0" w:space="0" w:color="auto"/>
      </w:divBdr>
    </w:div>
    <w:div w:id="315643677">
      <w:bodyDiv w:val="1"/>
      <w:marLeft w:val="0"/>
      <w:marRight w:val="0"/>
      <w:marTop w:val="0"/>
      <w:marBottom w:val="0"/>
      <w:divBdr>
        <w:top w:val="none" w:sz="0" w:space="0" w:color="auto"/>
        <w:left w:val="none" w:sz="0" w:space="0" w:color="auto"/>
        <w:bottom w:val="none" w:sz="0" w:space="0" w:color="auto"/>
        <w:right w:val="none" w:sz="0" w:space="0" w:color="auto"/>
      </w:divBdr>
    </w:div>
    <w:div w:id="329719310">
      <w:bodyDiv w:val="1"/>
      <w:marLeft w:val="0"/>
      <w:marRight w:val="0"/>
      <w:marTop w:val="0"/>
      <w:marBottom w:val="0"/>
      <w:divBdr>
        <w:top w:val="none" w:sz="0" w:space="0" w:color="auto"/>
        <w:left w:val="none" w:sz="0" w:space="0" w:color="auto"/>
        <w:bottom w:val="none" w:sz="0" w:space="0" w:color="auto"/>
        <w:right w:val="none" w:sz="0" w:space="0" w:color="auto"/>
      </w:divBdr>
    </w:div>
    <w:div w:id="332074564">
      <w:bodyDiv w:val="1"/>
      <w:marLeft w:val="0"/>
      <w:marRight w:val="0"/>
      <w:marTop w:val="0"/>
      <w:marBottom w:val="0"/>
      <w:divBdr>
        <w:top w:val="none" w:sz="0" w:space="0" w:color="auto"/>
        <w:left w:val="none" w:sz="0" w:space="0" w:color="auto"/>
        <w:bottom w:val="none" w:sz="0" w:space="0" w:color="auto"/>
        <w:right w:val="none" w:sz="0" w:space="0" w:color="auto"/>
      </w:divBdr>
    </w:div>
    <w:div w:id="357045470">
      <w:bodyDiv w:val="1"/>
      <w:marLeft w:val="0"/>
      <w:marRight w:val="0"/>
      <w:marTop w:val="0"/>
      <w:marBottom w:val="0"/>
      <w:divBdr>
        <w:top w:val="none" w:sz="0" w:space="0" w:color="auto"/>
        <w:left w:val="none" w:sz="0" w:space="0" w:color="auto"/>
        <w:bottom w:val="none" w:sz="0" w:space="0" w:color="auto"/>
        <w:right w:val="none" w:sz="0" w:space="0" w:color="auto"/>
      </w:divBdr>
    </w:div>
    <w:div w:id="364138629">
      <w:bodyDiv w:val="1"/>
      <w:marLeft w:val="0"/>
      <w:marRight w:val="0"/>
      <w:marTop w:val="0"/>
      <w:marBottom w:val="0"/>
      <w:divBdr>
        <w:top w:val="none" w:sz="0" w:space="0" w:color="auto"/>
        <w:left w:val="none" w:sz="0" w:space="0" w:color="auto"/>
        <w:bottom w:val="none" w:sz="0" w:space="0" w:color="auto"/>
        <w:right w:val="none" w:sz="0" w:space="0" w:color="auto"/>
      </w:divBdr>
    </w:div>
    <w:div w:id="367335881">
      <w:bodyDiv w:val="1"/>
      <w:marLeft w:val="0"/>
      <w:marRight w:val="0"/>
      <w:marTop w:val="0"/>
      <w:marBottom w:val="0"/>
      <w:divBdr>
        <w:top w:val="none" w:sz="0" w:space="0" w:color="auto"/>
        <w:left w:val="none" w:sz="0" w:space="0" w:color="auto"/>
        <w:bottom w:val="none" w:sz="0" w:space="0" w:color="auto"/>
        <w:right w:val="none" w:sz="0" w:space="0" w:color="auto"/>
      </w:divBdr>
    </w:div>
    <w:div w:id="376664858">
      <w:bodyDiv w:val="1"/>
      <w:marLeft w:val="0"/>
      <w:marRight w:val="0"/>
      <w:marTop w:val="0"/>
      <w:marBottom w:val="0"/>
      <w:divBdr>
        <w:top w:val="none" w:sz="0" w:space="0" w:color="auto"/>
        <w:left w:val="none" w:sz="0" w:space="0" w:color="auto"/>
        <w:bottom w:val="none" w:sz="0" w:space="0" w:color="auto"/>
        <w:right w:val="none" w:sz="0" w:space="0" w:color="auto"/>
      </w:divBdr>
    </w:div>
    <w:div w:id="396976087">
      <w:bodyDiv w:val="1"/>
      <w:marLeft w:val="0"/>
      <w:marRight w:val="0"/>
      <w:marTop w:val="0"/>
      <w:marBottom w:val="0"/>
      <w:divBdr>
        <w:top w:val="none" w:sz="0" w:space="0" w:color="auto"/>
        <w:left w:val="none" w:sz="0" w:space="0" w:color="auto"/>
        <w:bottom w:val="none" w:sz="0" w:space="0" w:color="auto"/>
        <w:right w:val="none" w:sz="0" w:space="0" w:color="auto"/>
      </w:divBdr>
    </w:div>
    <w:div w:id="397290147">
      <w:bodyDiv w:val="1"/>
      <w:marLeft w:val="0"/>
      <w:marRight w:val="0"/>
      <w:marTop w:val="0"/>
      <w:marBottom w:val="0"/>
      <w:divBdr>
        <w:top w:val="none" w:sz="0" w:space="0" w:color="auto"/>
        <w:left w:val="none" w:sz="0" w:space="0" w:color="auto"/>
        <w:bottom w:val="none" w:sz="0" w:space="0" w:color="auto"/>
        <w:right w:val="none" w:sz="0" w:space="0" w:color="auto"/>
      </w:divBdr>
    </w:div>
    <w:div w:id="402263569">
      <w:bodyDiv w:val="1"/>
      <w:marLeft w:val="0"/>
      <w:marRight w:val="0"/>
      <w:marTop w:val="0"/>
      <w:marBottom w:val="0"/>
      <w:divBdr>
        <w:top w:val="none" w:sz="0" w:space="0" w:color="auto"/>
        <w:left w:val="none" w:sz="0" w:space="0" w:color="auto"/>
        <w:bottom w:val="none" w:sz="0" w:space="0" w:color="auto"/>
        <w:right w:val="none" w:sz="0" w:space="0" w:color="auto"/>
      </w:divBdr>
    </w:div>
    <w:div w:id="411510446">
      <w:bodyDiv w:val="1"/>
      <w:marLeft w:val="0"/>
      <w:marRight w:val="0"/>
      <w:marTop w:val="0"/>
      <w:marBottom w:val="0"/>
      <w:divBdr>
        <w:top w:val="none" w:sz="0" w:space="0" w:color="auto"/>
        <w:left w:val="none" w:sz="0" w:space="0" w:color="auto"/>
        <w:bottom w:val="none" w:sz="0" w:space="0" w:color="auto"/>
        <w:right w:val="none" w:sz="0" w:space="0" w:color="auto"/>
      </w:divBdr>
    </w:div>
    <w:div w:id="415978378">
      <w:bodyDiv w:val="1"/>
      <w:marLeft w:val="0"/>
      <w:marRight w:val="0"/>
      <w:marTop w:val="0"/>
      <w:marBottom w:val="0"/>
      <w:divBdr>
        <w:top w:val="none" w:sz="0" w:space="0" w:color="auto"/>
        <w:left w:val="none" w:sz="0" w:space="0" w:color="auto"/>
        <w:bottom w:val="none" w:sz="0" w:space="0" w:color="auto"/>
        <w:right w:val="none" w:sz="0" w:space="0" w:color="auto"/>
      </w:divBdr>
    </w:div>
    <w:div w:id="416369732">
      <w:bodyDiv w:val="1"/>
      <w:marLeft w:val="0"/>
      <w:marRight w:val="0"/>
      <w:marTop w:val="0"/>
      <w:marBottom w:val="0"/>
      <w:divBdr>
        <w:top w:val="none" w:sz="0" w:space="0" w:color="auto"/>
        <w:left w:val="none" w:sz="0" w:space="0" w:color="auto"/>
        <w:bottom w:val="none" w:sz="0" w:space="0" w:color="auto"/>
        <w:right w:val="none" w:sz="0" w:space="0" w:color="auto"/>
      </w:divBdr>
    </w:div>
    <w:div w:id="426853015">
      <w:bodyDiv w:val="1"/>
      <w:marLeft w:val="0"/>
      <w:marRight w:val="0"/>
      <w:marTop w:val="0"/>
      <w:marBottom w:val="0"/>
      <w:divBdr>
        <w:top w:val="none" w:sz="0" w:space="0" w:color="auto"/>
        <w:left w:val="none" w:sz="0" w:space="0" w:color="auto"/>
        <w:bottom w:val="none" w:sz="0" w:space="0" w:color="auto"/>
        <w:right w:val="none" w:sz="0" w:space="0" w:color="auto"/>
      </w:divBdr>
    </w:div>
    <w:div w:id="429161418">
      <w:bodyDiv w:val="1"/>
      <w:marLeft w:val="0"/>
      <w:marRight w:val="0"/>
      <w:marTop w:val="0"/>
      <w:marBottom w:val="0"/>
      <w:divBdr>
        <w:top w:val="none" w:sz="0" w:space="0" w:color="auto"/>
        <w:left w:val="none" w:sz="0" w:space="0" w:color="auto"/>
        <w:bottom w:val="none" w:sz="0" w:space="0" w:color="auto"/>
        <w:right w:val="none" w:sz="0" w:space="0" w:color="auto"/>
      </w:divBdr>
    </w:div>
    <w:div w:id="433593353">
      <w:bodyDiv w:val="1"/>
      <w:marLeft w:val="0"/>
      <w:marRight w:val="0"/>
      <w:marTop w:val="0"/>
      <w:marBottom w:val="0"/>
      <w:divBdr>
        <w:top w:val="none" w:sz="0" w:space="0" w:color="auto"/>
        <w:left w:val="none" w:sz="0" w:space="0" w:color="auto"/>
        <w:bottom w:val="none" w:sz="0" w:space="0" w:color="auto"/>
        <w:right w:val="none" w:sz="0" w:space="0" w:color="auto"/>
      </w:divBdr>
    </w:div>
    <w:div w:id="433864002">
      <w:bodyDiv w:val="1"/>
      <w:marLeft w:val="0"/>
      <w:marRight w:val="0"/>
      <w:marTop w:val="0"/>
      <w:marBottom w:val="0"/>
      <w:divBdr>
        <w:top w:val="none" w:sz="0" w:space="0" w:color="auto"/>
        <w:left w:val="none" w:sz="0" w:space="0" w:color="auto"/>
        <w:bottom w:val="none" w:sz="0" w:space="0" w:color="auto"/>
        <w:right w:val="none" w:sz="0" w:space="0" w:color="auto"/>
      </w:divBdr>
    </w:div>
    <w:div w:id="459691978">
      <w:bodyDiv w:val="1"/>
      <w:marLeft w:val="0"/>
      <w:marRight w:val="0"/>
      <w:marTop w:val="0"/>
      <w:marBottom w:val="0"/>
      <w:divBdr>
        <w:top w:val="none" w:sz="0" w:space="0" w:color="auto"/>
        <w:left w:val="none" w:sz="0" w:space="0" w:color="auto"/>
        <w:bottom w:val="none" w:sz="0" w:space="0" w:color="auto"/>
        <w:right w:val="none" w:sz="0" w:space="0" w:color="auto"/>
      </w:divBdr>
    </w:div>
    <w:div w:id="473104804">
      <w:bodyDiv w:val="1"/>
      <w:marLeft w:val="0"/>
      <w:marRight w:val="0"/>
      <w:marTop w:val="0"/>
      <w:marBottom w:val="0"/>
      <w:divBdr>
        <w:top w:val="none" w:sz="0" w:space="0" w:color="auto"/>
        <w:left w:val="none" w:sz="0" w:space="0" w:color="auto"/>
        <w:bottom w:val="none" w:sz="0" w:space="0" w:color="auto"/>
        <w:right w:val="none" w:sz="0" w:space="0" w:color="auto"/>
      </w:divBdr>
    </w:div>
    <w:div w:id="500118087">
      <w:bodyDiv w:val="1"/>
      <w:marLeft w:val="0"/>
      <w:marRight w:val="0"/>
      <w:marTop w:val="0"/>
      <w:marBottom w:val="0"/>
      <w:divBdr>
        <w:top w:val="none" w:sz="0" w:space="0" w:color="auto"/>
        <w:left w:val="none" w:sz="0" w:space="0" w:color="auto"/>
        <w:bottom w:val="none" w:sz="0" w:space="0" w:color="auto"/>
        <w:right w:val="none" w:sz="0" w:space="0" w:color="auto"/>
      </w:divBdr>
    </w:div>
    <w:div w:id="502740328">
      <w:bodyDiv w:val="1"/>
      <w:marLeft w:val="0"/>
      <w:marRight w:val="0"/>
      <w:marTop w:val="0"/>
      <w:marBottom w:val="0"/>
      <w:divBdr>
        <w:top w:val="none" w:sz="0" w:space="0" w:color="auto"/>
        <w:left w:val="none" w:sz="0" w:space="0" w:color="auto"/>
        <w:bottom w:val="none" w:sz="0" w:space="0" w:color="auto"/>
        <w:right w:val="none" w:sz="0" w:space="0" w:color="auto"/>
      </w:divBdr>
    </w:div>
    <w:div w:id="516309992">
      <w:bodyDiv w:val="1"/>
      <w:marLeft w:val="0"/>
      <w:marRight w:val="0"/>
      <w:marTop w:val="0"/>
      <w:marBottom w:val="0"/>
      <w:divBdr>
        <w:top w:val="none" w:sz="0" w:space="0" w:color="auto"/>
        <w:left w:val="none" w:sz="0" w:space="0" w:color="auto"/>
        <w:bottom w:val="none" w:sz="0" w:space="0" w:color="auto"/>
        <w:right w:val="none" w:sz="0" w:space="0" w:color="auto"/>
      </w:divBdr>
    </w:div>
    <w:div w:id="526408361">
      <w:bodyDiv w:val="1"/>
      <w:marLeft w:val="0"/>
      <w:marRight w:val="0"/>
      <w:marTop w:val="0"/>
      <w:marBottom w:val="0"/>
      <w:divBdr>
        <w:top w:val="none" w:sz="0" w:space="0" w:color="auto"/>
        <w:left w:val="none" w:sz="0" w:space="0" w:color="auto"/>
        <w:bottom w:val="none" w:sz="0" w:space="0" w:color="auto"/>
        <w:right w:val="none" w:sz="0" w:space="0" w:color="auto"/>
      </w:divBdr>
    </w:div>
    <w:div w:id="528300461">
      <w:bodyDiv w:val="1"/>
      <w:marLeft w:val="0"/>
      <w:marRight w:val="0"/>
      <w:marTop w:val="0"/>
      <w:marBottom w:val="0"/>
      <w:divBdr>
        <w:top w:val="none" w:sz="0" w:space="0" w:color="auto"/>
        <w:left w:val="none" w:sz="0" w:space="0" w:color="auto"/>
        <w:bottom w:val="none" w:sz="0" w:space="0" w:color="auto"/>
        <w:right w:val="none" w:sz="0" w:space="0" w:color="auto"/>
      </w:divBdr>
    </w:div>
    <w:div w:id="530916201">
      <w:bodyDiv w:val="1"/>
      <w:marLeft w:val="0"/>
      <w:marRight w:val="0"/>
      <w:marTop w:val="0"/>
      <w:marBottom w:val="0"/>
      <w:divBdr>
        <w:top w:val="none" w:sz="0" w:space="0" w:color="auto"/>
        <w:left w:val="none" w:sz="0" w:space="0" w:color="auto"/>
        <w:bottom w:val="none" w:sz="0" w:space="0" w:color="auto"/>
        <w:right w:val="none" w:sz="0" w:space="0" w:color="auto"/>
      </w:divBdr>
    </w:div>
    <w:div w:id="532042572">
      <w:bodyDiv w:val="1"/>
      <w:marLeft w:val="0"/>
      <w:marRight w:val="0"/>
      <w:marTop w:val="0"/>
      <w:marBottom w:val="0"/>
      <w:divBdr>
        <w:top w:val="none" w:sz="0" w:space="0" w:color="auto"/>
        <w:left w:val="none" w:sz="0" w:space="0" w:color="auto"/>
        <w:bottom w:val="none" w:sz="0" w:space="0" w:color="auto"/>
        <w:right w:val="none" w:sz="0" w:space="0" w:color="auto"/>
      </w:divBdr>
    </w:div>
    <w:div w:id="541404322">
      <w:bodyDiv w:val="1"/>
      <w:marLeft w:val="0"/>
      <w:marRight w:val="0"/>
      <w:marTop w:val="0"/>
      <w:marBottom w:val="0"/>
      <w:divBdr>
        <w:top w:val="none" w:sz="0" w:space="0" w:color="auto"/>
        <w:left w:val="none" w:sz="0" w:space="0" w:color="auto"/>
        <w:bottom w:val="none" w:sz="0" w:space="0" w:color="auto"/>
        <w:right w:val="none" w:sz="0" w:space="0" w:color="auto"/>
      </w:divBdr>
    </w:div>
    <w:div w:id="576548981">
      <w:bodyDiv w:val="1"/>
      <w:marLeft w:val="0"/>
      <w:marRight w:val="0"/>
      <w:marTop w:val="0"/>
      <w:marBottom w:val="0"/>
      <w:divBdr>
        <w:top w:val="none" w:sz="0" w:space="0" w:color="auto"/>
        <w:left w:val="none" w:sz="0" w:space="0" w:color="auto"/>
        <w:bottom w:val="none" w:sz="0" w:space="0" w:color="auto"/>
        <w:right w:val="none" w:sz="0" w:space="0" w:color="auto"/>
      </w:divBdr>
    </w:div>
    <w:div w:id="580602260">
      <w:bodyDiv w:val="1"/>
      <w:marLeft w:val="0"/>
      <w:marRight w:val="0"/>
      <w:marTop w:val="0"/>
      <w:marBottom w:val="0"/>
      <w:divBdr>
        <w:top w:val="none" w:sz="0" w:space="0" w:color="auto"/>
        <w:left w:val="none" w:sz="0" w:space="0" w:color="auto"/>
        <w:bottom w:val="none" w:sz="0" w:space="0" w:color="auto"/>
        <w:right w:val="none" w:sz="0" w:space="0" w:color="auto"/>
      </w:divBdr>
    </w:div>
    <w:div w:id="580798890">
      <w:bodyDiv w:val="1"/>
      <w:marLeft w:val="0"/>
      <w:marRight w:val="0"/>
      <w:marTop w:val="0"/>
      <w:marBottom w:val="0"/>
      <w:divBdr>
        <w:top w:val="none" w:sz="0" w:space="0" w:color="auto"/>
        <w:left w:val="none" w:sz="0" w:space="0" w:color="auto"/>
        <w:bottom w:val="none" w:sz="0" w:space="0" w:color="auto"/>
        <w:right w:val="none" w:sz="0" w:space="0" w:color="auto"/>
      </w:divBdr>
    </w:div>
    <w:div w:id="589238686">
      <w:bodyDiv w:val="1"/>
      <w:marLeft w:val="0"/>
      <w:marRight w:val="0"/>
      <w:marTop w:val="0"/>
      <w:marBottom w:val="0"/>
      <w:divBdr>
        <w:top w:val="none" w:sz="0" w:space="0" w:color="auto"/>
        <w:left w:val="none" w:sz="0" w:space="0" w:color="auto"/>
        <w:bottom w:val="none" w:sz="0" w:space="0" w:color="auto"/>
        <w:right w:val="none" w:sz="0" w:space="0" w:color="auto"/>
      </w:divBdr>
    </w:div>
    <w:div w:id="591285105">
      <w:bodyDiv w:val="1"/>
      <w:marLeft w:val="0"/>
      <w:marRight w:val="0"/>
      <w:marTop w:val="0"/>
      <w:marBottom w:val="0"/>
      <w:divBdr>
        <w:top w:val="none" w:sz="0" w:space="0" w:color="auto"/>
        <w:left w:val="none" w:sz="0" w:space="0" w:color="auto"/>
        <w:bottom w:val="none" w:sz="0" w:space="0" w:color="auto"/>
        <w:right w:val="none" w:sz="0" w:space="0" w:color="auto"/>
      </w:divBdr>
    </w:div>
    <w:div w:id="601305811">
      <w:bodyDiv w:val="1"/>
      <w:marLeft w:val="0"/>
      <w:marRight w:val="0"/>
      <w:marTop w:val="0"/>
      <w:marBottom w:val="0"/>
      <w:divBdr>
        <w:top w:val="none" w:sz="0" w:space="0" w:color="auto"/>
        <w:left w:val="none" w:sz="0" w:space="0" w:color="auto"/>
        <w:bottom w:val="none" w:sz="0" w:space="0" w:color="auto"/>
        <w:right w:val="none" w:sz="0" w:space="0" w:color="auto"/>
      </w:divBdr>
    </w:div>
    <w:div w:id="606356676">
      <w:bodyDiv w:val="1"/>
      <w:marLeft w:val="0"/>
      <w:marRight w:val="0"/>
      <w:marTop w:val="0"/>
      <w:marBottom w:val="0"/>
      <w:divBdr>
        <w:top w:val="none" w:sz="0" w:space="0" w:color="auto"/>
        <w:left w:val="none" w:sz="0" w:space="0" w:color="auto"/>
        <w:bottom w:val="none" w:sz="0" w:space="0" w:color="auto"/>
        <w:right w:val="none" w:sz="0" w:space="0" w:color="auto"/>
      </w:divBdr>
    </w:div>
    <w:div w:id="607584924">
      <w:bodyDiv w:val="1"/>
      <w:marLeft w:val="0"/>
      <w:marRight w:val="0"/>
      <w:marTop w:val="0"/>
      <w:marBottom w:val="0"/>
      <w:divBdr>
        <w:top w:val="none" w:sz="0" w:space="0" w:color="auto"/>
        <w:left w:val="none" w:sz="0" w:space="0" w:color="auto"/>
        <w:bottom w:val="none" w:sz="0" w:space="0" w:color="auto"/>
        <w:right w:val="none" w:sz="0" w:space="0" w:color="auto"/>
      </w:divBdr>
    </w:div>
    <w:div w:id="640964234">
      <w:bodyDiv w:val="1"/>
      <w:marLeft w:val="0"/>
      <w:marRight w:val="0"/>
      <w:marTop w:val="0"/>
      <w:marBottom w:val="0"/>
      <w:divBdr>
        <w:top w:val="none" w:sz="0" w:space="0" w:color="auto"/>
        <w:left w:val="none" w:sz="0" w:space="0" w:color="auto"/>
        <w:bottom w:val="none" w:sz="0" w:space="0" w:color="auto"/>
        <w:right w:val="none" w:sz="0" w:space="0" w:color="auto"/>
      </w:divBdr>
    </w:div>
    <w:div w:id="656232581">
      <w:bodyDiv w:val="1"/>
      <w:marLeft w:val="0"/>
      <w:marRight w:val="0"/>
      <w:marTop w:val="0"/>
      <w:marBottom w:val="0"/>
      <w:divBdr>
        <w:top w:val="none" w:sz="0" w:space="0" w:color="auto"/>
        <w:left w:val="none" w:sz="0" w:space="0" w:color="auto"/>
        <w:bottom w:val="none" w:sz="0" w:space="0" w:color="auto"/>
        <w:right w:val="none" w:sz="0" w:space="0" w:color="auto"/>
      </w:divBdr>
    </w:div>
    <w:div w:id="665979154">
      <w:bodyDiv w:val="1"/>
      <w:marLeft w:val="0"/>
      <w:marRight w:val="0"/>
      <w:marTop w:val="0"/>
      <w:marBottom w:val="0"/>
      <w:divBdr>
        <w:top w:val="none" w:sz="0" w:space="0" w:color="auto"/>
        <w:left w:val="none" w:sz="0" w:space="0" w:color="auto"/>
        <w:bottom w:val="none" w:sz="0" w:space="0" w:color="auto"/>
        <w:right w:val="none" w:sz="0" w:space="0" w:color="auto"/>
      </w:divBdr>
    </w:div>
    <w:div w:id="675959691">
      <w:bodyDiv w:val="1"/>
      <w:marLeft w:val="0"/>
      <w:marRight w:val="0"/>
      <w:marTop w:val="0"/>
      <w:marBottom w:val="0"/>
      <w:divBdr>
        <w:top w:val="none" w:sz="0" w:space="0" w:color="auto"/>
        <w:left w:val="none" w:sz="0" w:space="0" w:color="auto"/>
        <w:bottom w:val="none" w:sz="0" w:space="0" w:color="auto"/>
        <w:right w:val="none" w:sz="0" w:space="0" w:color="auto"/>
      </w:divBdr>
    </w:div>
    <w:div w:id="685181761">
      <w:bodyDiv w:val="1"/>
      <w:marLeft w:val="0"/>
      <w:marRight w:val="0"/>
      <w:marTop w:val="0"/>
      <w:marBottom w:val="0"/>
      <w:divBdr>
        <w:top w:val="none" w:sz="0" w:space="0" w:color="auto"/>
        <w:left w:val="none" w:sz="0" w:space="0" w:color="auto"/>
        <w:bottom w:val="none" w:sz="0" w:space="0" w:color="auto"/>
        <w:right w:val="none" w:sz="0" w:space="0" w:color="auto"/>
      </w:divBdr>
    </w:div>
    <w:div w:id="703483800">
      <w:bodyDiv w:val="1"/>
      <w:marLeft w:val="0"/>
      <w:marRight w:val="0"/>
      <w:marTop w:val="0"/>
      <w:marBottom w:val="0"/>
      <w:divBdr>
        <w:top w:val="none" w:sz="0" w:space="0" w:color="auto"/>
        <w:left w:val="none" w:sz="0" w:space="0" w:color="auto"/>
        <w:bottom w:val="none" w:sz="0" w:space="0" w:color="auto"/>
        <w:right w:val="none" w:sz="0" w:space="0" w:color="auto"/>
      </w:divBdr>
    </w:div>
    <w:div w:id="713309486">
      <w:bodyDiv w:val="1"/>
      <w:marLeft w:val="0"/>
      <w:marRight w:val="0"/>
      <w:marTop w:val="0"/>
      <w:marBottom w:val="0"/>
      <w:divBdr>
        <w:top w:val="none" w:sz="0" w:space="0" w:color="auto"/>
        <w:left w:val="none" w:sz="0" w:space="0" w:color="auto"/>
        <w:bottom w:val="none" w:sz="0" w:space="0" w:color="auto"/>
        <w:right w:val="none" w:sz="0" w:space="0" w:color="auto"/>
      </w:divBdr>
    </w:div>
    <w:div w:id="724959852">
      <w:bodyDiv w:val="1"/>
      <w:marLeft w:val="0"/>
      <w:marRight w:val="0"/>
      <w:marTop w:val="0"/>
      <w:marBottom w:val="0"/>
      <w:divBdr>
        <w:top w:val="none" w:sz="0" w:space="0" w:color="auto"/>
        <w:left w:val="none" w:sz="0" w:space="0" w:color="auto"/>
        <w:bottom w:val="none" w:sz="0" w:space="0" w:color="auto"/>
        <w:right w:val="none" w:sz="0" w:space="0" w:color="auto"/>
      </w:divBdr>
    </w:div>
    <w:div w:id="734357879">
      <w:bodyDiv w:val="1"/>
      <w:marLeft w:val="0"/>
      <w:marRight w:val="0"/>
      <w:marTop w:val="0"/>
      <w:marBottom w:val="0"/>
      <w:divBdr>
        <w:top w:val="none" w:sz="0" w:space="0" w:color="auto"/>
        <w:left w:val="none" w:sz="0" w:space="0" w:color="auto"/>
        <w:bottom w:val="none" w:sz="0" w:space="0" w:color="auto"/>
        <w:right w:val="none" w:sz="0" w:space="0" w:color="auto"/>
      </w:divBdr>
    </w:div>
    <w:div w:id="762989121">
      <w:bodyDiv w:val="1"/>
      <w:marLeft w:val="0"/>
      <w:marRight w:val="0"/>
      <w:marTop w:val="0"/>
      <w:marBottom w:val="0"/>
      <w:divBdr>
        <w:top w:val="none" w:sz="0" w:space="0" w:color="auto"/>
        <w:left w:val="none" w:sz="0" w:space="0" w:color="auto"/>
        <w:bottom w:val="none" w:sz="0" w:space="0" w:color="auto"/>
        <w:right w:val="none" w:sz="0" w:space="0" w:color="auto"/>
      </w:divBdr>
    </w:div>
    <w:div w:id="766776453">
      <w:bodyDiv w:val="1"/>
      <w:marLeft w:val="0"/>
      <w:marRight w:val="0"/>
      <w:marTop w:val="0"/>
      <w:marBottom w:val="0"/>
      <w:divBdr>
        <w:top w:val="none" w:sz="0" w:space="0" w:color="auto"/>
        <w:left w:val="none" w:sz="0" w:space="0" w:color="auto"/>
        <w:bottom w:val="none" w:sz="0" w:space="0" w:color="auto"/>
        <w:right w:val="none" w:sz="0" w:space="0" w:color="auto"/>
      </w:divBdr>
    </w:div>
    <w:div w:id="777875801">
      <w:bodyDiv w:val="1"/>
      <w:marLeft w:val="0"/>
      <w:marRight w:val="0"/>
      <w:marTop w:val="0"/>
      <w:marBottom w:val="0"/>
      <w:divBdr>
        <w:top w:val="none" w:sz="0" w:space="0" w:color="auto"/>
        <w:left w:val="none" w:sz="0" w:space="0" w:color="auto"/>
        <w:bottom w:val="none" w:sz="0" w:space="0" w:color="auto"/>
        <w:right w:val="none" w:sz="0" w:space="0" w:color="auto"/>
      </w:divBdr>
    </w:div>
    <w:div w:id="778065979">
      <w:bodyDiv w:val="1"/>
      <w:marLeft w:val="0"/>
      <w:marRight w:val="0"/>
      <w:marTop w:val="0"/>
      <w:marBottom w:val="0"/>
      <w:divBdr>
        <w:top w:val="none" w:sz="0" w:space="0" w:color="auto"/>
        <w:left w:val="none" w:sz="0" w:space="0" w:color="auto"/>
        <w:bottom w:val="none" w:sz="0" w:space="0" w:color="auto"/>
        <w:right w:val="none" w:sz="0" w:space="0" w:color="auto"/>
      </w:divBdr>
    </w:div>
    <w:div w:id="788620278">
      <w:bodyDiv w:val="1"/>
      <w:marLeft w:val="0"/>
      <w:marRight w:val="0"/>
      <w:marTop w:val="0"/>
      <w:marBottom w:val="0"/>
      <w:divBdr>
        <w:top w:val="none" w:sz="0" w:space="0" w:color="auto"/>
        <w:left w:val="none" w:sz="0" w:space="0" w:color="auto"/>
        <w:bottom w:val="none" w:sz="0" w:space="0" w:color="auto"/>
        <w:right w:val="none" w:sz="0" w:space="0" w:color="auto"/>
      </w:divBdr>
    </w:div>
    <w:div w:id="789009675">
      <w:bodyDiv w:val="1"/>
      <w:marLeft w:val="0"/>
      <w:marRight w:val="0"/>
      <w:marTop w:val="0"/>
      <w:marBottom w:val="0"/>
      <w:divBdr>
        <w:top w:val="none" w:sz="0" w:space="0" w:color="auto"/>
        <w:left w:val="none" w:sz="0" w:space="0" w:color="auto"/>
        <w:bottom w:val="none" w:sz="0" w:space="0" w:color="auto"/>
        <w:right w:val="none" w:sz="0" w:space="0" w:color="auto"/>
      </w:divBdr>
    </w:div>
    <w:div w:id="834496528">
      <w:bodyDiv w:val="1"/>
      <w:marLeft w:val="0"/>
      <w:marRight w:val="0"/>
      <w:marTop w:val="0"/>
      <w:marBottom w:val="0"/>
      <w:divBdr>
        <w:top w:val="none" w:sz="0" w:space="0" w:color="auto"/>
        <w:left w:val="none" w:sz="0" w:space="0" w:color="auto"/>
        <w:bottom w:val="none" w:sz="0" w:space="0" w:color="auto"/>
        <w:right w:val="none" w:sz="0" w:space="0" w:color="auto"/>
      </w:divBdr>
    </w:div>
    <w:div w:id="838469004">
      <w:bodyDiv w:val="1"/>
      <w:marLeft w:val="0"/>
      <w:marRight w:val="0"/>
      <w:marTop w:val="0"/>
      <w:marBottom w:val="0"/>
      <w:divBdr>
        <w:top w:val="none" w:sz="0" w:space="0" w:color="auto"/>
        <w:left w:val="none" w:sz="0" w:space="0" w:color="auto"/>
        <w:bottom w:val="none" w:sz="0" w:space="0" w:color="auto"/>
        <w:right w:val="none" w:sz="0" w:space="0" w:color="auto"/>
      </w:divBdr>
    </w:div>
    <w:div w:id="843589621">
      <w:bodyDiv w:val="1"/>
      <w:marLeft w:val="0"/>
      <w:marRight w:val="0"/>
      <w:marTop w:val="0"/>
      <w:marBottom w:val="0"/>
      <w:divBdr>
        <w:top w:val="none" w:sz="0" w:space="0" w:color="auto"/>
        <w:left w:val="none" w:sz="0" w:space="0" w:color="auto"/>
        <w:bottom w:val="none" w:sz="0" w:space="0" w:color="auto"/>
        <w:right w:val="none" w:sz="0" w:space="0" w:color="auto"/>
      </w:divBdr>
    </w:div>
    <w:div w:id="867526694">
      <w:bodyDiv w:val="1"/>
      <w:marLeft w:val="0"/>
      <w:marRight w:val="0"/>
      <w:marTop w:val="0"/>
      <w:marBottom w:val="0"/>
      <w:divBdr>
        <w:top w:val="none" w:sz="0" w:space="0" w:color="auto"/>
        <w:left w:val="none" w:sz="0" w:space="0" w:color="auto"/>
        <w:bottom w:val="none" w:sz="0" w:space="0" w:color="auto"/>
        <w:right w:val="none" w:sz="0" w:space="0" w:color="auto"/>
      </w:divBdr>
    </w:div>
    <w:div w:id="897713343">
      <w:bodyDiv w:val="1"/>
      <w:marLeft w:val="0"/>
      <w:marRight w:val="0"/>
      <w:marTop w:val="0"/>
      <w:marBottom w:val="0"/>
      <w:divBdr>
        <w:top w:val="none" w:sz="0" w:space="0" w:color="auto"/>
        <w:left w:val="none" w:sz="0" w:space="0" w:color="auto"/>
        <w:bottom w:val="none" w:sz="0" w:space="0" w:color="auto"/>
        <w:right w:val="none" w:sz="0" w:space="0" w:color="auto"/>
      </w:divBdr>
    </w:div>
    <w:div w:id="901984409">
      <w:bodyDiv w:val="1"/>
      <w:marLeft w:val="0"/>
      <w:marRight w:val="0"/>
      <w:marTop w:val="0"/>
      <w:marBottom w:val="0"/>
      <w:divBdr>
        <w:top w:val="none" w:sz="0" w:space="0" w:color="auto"/>
        <w:left w:val="none" w:sz="0" w:space="0" w:color="auto"/>
        <w:bottom w:val="none" w:sz="0" w:space="0" w:color="auto"/>
        <w:right w:val="none" w:sz="0" w:space="0" w:color="auto"/>
      </w:divBdr>
      <w:divsChild>
        <w:div w:id="741098450">
          <w:marLeft w:val="0"/>
          <w:marRight w:val="0"/>
          <w:marTop w:val="0"/>
          <w:marBottom w:val="0"/>
          <w:divBdr>
            <w:top w:val="none" w:sz="0" w:space="0" w:color="auto"/>
            <w:left w:val="none" w:sz="0" w:space="0" w:color="auto"/>
            <w:bottom w:val="none" w:sz="0" w:space="0" w:color="auto"/>
            <w:right w:val="none" w:sz="0" w:space="0" w:color="auto"/>
          </w:divBdr>
        </w:div>
        <w:div w:id="1885947945">
          <w:marLeft w:val="0"/>
          <w:marRight w:val="0"/>
          <w:marTop w:val="0"/>
          <w:marBottom w:val="0"/>
          <w:divBdr>
            <w:top w:val="none" w:sz="0" w:space="0" w:color="auto"/>
            <w:left w:val="none" w:sz="0" w:space="0" w:color="auto"/>
            <w:bottom w:val="none" w:sz="0" w:space="0" w:color="auto"/>
            <w:right w:val="none" w:sz="0" w:space="0" w:color="auto"/>
          </w:divBdr>
        </w:div>
        <w:div w:id="730425172">
          <w:marLeft w:val="0"/>
          <w:marRight w:val="0"/>
          <w:marTop w:val="0"/>
          <w:marBottom w:val="0"/>
          <w:divBdr>
            <w:top w:val="none" w:sz="0" w:space="0" w:color="auto"/>
            <w:left w:val="none" w:sz="0" w:space="0" w:color="auto"/>
            <w:bottom w:val="none" w:sz="0" w:space="0" w:color="auto"/>
            <w:right w:val="none" w:sz="0" w:space="0" w:color="auto"/>
          </w:divBdr>
          <w:divsChild>
            <w:div w:id="1739522479">
              <w:marLeft w:val="0"/>
              <w:marRight w:val="0"/>
              <w:marTop w:val="0"/>
              <w:marBottom w:val="0"/>
              <w:divBdr>
                <w:top w:val="none" w:sz="0" w:space="0" w:color="auto"/>
                <w:left w:val="none" w:sz="0" w:space="0" w:color="auto"/>
                <w:bottom w:val="none" w:sz="0" w:space="0" w:color="auto"/>
                <w:right w:val="none" w:sz="0" w:space="0" w:color="auto"/>
              </w:divBdr>
            </w:div>
            <w:div w:id="37081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618416">
      <w:bodyDiv w:val="1"/>
      <w:marLeft w:val="0"/>
      <w:marRight w:val="0"/>
      <w:marTop w:val="0"/>
      <w:marBottom w:val="0"/>
      <w:divBdr>
        <w:top w:val="none" w:sz="0" w:space="0" w:color="auto"/>
        <w:left w:val="none" w:sz="0" w:space="0" w:color="auto"/>
        <w:bottom w:val="none" w:sz="0" w:space="0" w:color="auto"/>
        <w:right w:val="none" w:sz="0" w:space="0" w:color="auto"/>
      </w:divBdr>
    </w:div>
    <w:div w:id="916789911">
      <w:bodyDiv w:val="1"/>
      <w:marLeft w:val="0"/>
      <w:marRight w:val="0"/>
      <w:marTop w:val="0"/>
      <w:marBottom w:val="0"/>
      <w:divBdr>
        <w:top w:val="none" w:sz="0" w:space="0" w:color="auto"/>
        <w:left w:val="none" w:sz="0" w:space="0" w:color="auto"/>
        <w:bottom w:val="none" w:sz="0" w:space="0" w:color="auto"/>
        <w:right w:val="none" w:sz="0" w:space="0" w:color="auto"/>
      </w:divBdr>
    </w:div>
    <w:div w:id="919603193">
      <w:bodyDiv w:val="1"/>
      <w:marLeft w:val="0"/>
      <w:marRight w:val="0"/>
      <w:marTop w:val="0"/>
      <w:marBottom w:val="0"/>
      <w:divBdr>
        <w:top w:val="none" w:sz="0" w:space="0" w:color="auto"/>
        <w:left w:val="none" w:sz="0" w:space="0" w:color="auto"/>
        <w:bottom w:val="none" w:sz="0" w:space="0" w:color="auto"/>
        <w:right w:val="none" w:sz="0" w:space="0" w:color="auto"/>
      </w:divBdr>
    </w:div>
    <w:div w:id="923224420">
      <w:bodyDiv w:val="1"/>
      <w:marLeft w:val="0"/>
      <w:marRight w:val="0"/>
      <w:marTop w:val="0"/>
      <w:marBottom w:val="0"/>
      <w:divBdr>
        <w:top w:val="none" w:sz="0" w:space="0" w:color="auto"/>
        <w:left w:val="none" w:sz="0" w:space="0" w:color="auto"/>
        <w:bottom w:val="none" w:sz="0" w:space="0" w:color="auto"/>
        <w:right w:val="none" w:sz="0" w:space="0" w:color="auto"/>
      </w:divBdr>
    </w:div>
    <w:div w:id="934480388">
      <w:bodyDiv w:val="1"/>
      <w:marLeft w:val="0"/>
      <w:marRight w:val="0"/>
      <w:marTop w:val="0"/>
      <w:marBottom w:val="0"/>
      <w:divBdr>
        <w:top w:val="none" w:sz="0" w:space="0" w:color="auto"/>
        <w:left w:val="none" w:sz="0" w:space="0" w:color="auto"/>
        <w:bottom w:val="none" w:sz="0" w:space="0" w:color="auto"/>
        <w:right w:val="none" w:sz="0" w:space="0" w:color="auto"/>
      </w:divBdr>
    </w:div>
    <w:div w:id="954795192">
      <w:bodyDiv w:val="1"/>
      <w:marLeft w:val="0"/>
      <w:marRight w:val="0"/>
      <w:marTop w:val="0"/>
      <w:marBottom w:val="0"/>
      <w:divBdr>
        <w:top w:val="none" w:sz="0" w:space="0" w:color="auto"/>
        <w:left w:val="none" w:sz="0" w:space="0" w:color="auto"/>
        <w:bottom w:val="none" w:sz="0" w:space="0" w:color="auto"/>
        <w:right w:val="none" w:sz="0" w:space="0" w:color="auto"/>
      </w:divBdr>
    </w:div>
    <w:div w:id="957760499">
      <w:bodyDiv w:val="1"/>
      <w:marLeft w:val="0"/>
      <w:marRight w:val="0"/>
      <w:marTop w:val="0"/>
      <w:marBottom w:val="0"/>
      <w:divBdr>
        <w:top w:val="none" w:sz="0" w:space="0" w:color="auto"/>
        <w:left w:val="none" w:sz="0" w:space="0" w:color="auto"/>
        <w:bottom w:val="none" w:sz="0" w:space="0" w:color="auto"/>
        <w:right w:val="none" w:sz="0" w:space="0" w:color="auto"/>
      </w:divBdr>
    </w:div>
    <w:div w:id="994071477">
      <w:bodyDiv w:val="1"/>
      <w:marLeft w:val="0"/>
      <w:marRight w:val="0"/>
      <w:marTop w:val="0"/>
      <w:marBottom w:val="0"/>
      <w:divBdr>
        <w:top w:val="none" w:sz="0" w:space="0" w:color="auto"/>
        <w:left w:val="none" w:sz="0" w:space="0" w:color="auto"/>
        <w:bottom w:val="none" w:sz="0" w:space="0" w:color="auto"/>
        <w:right w:val="none" w:sz="0" w:space="0" w:color="auto"/>
      </w:divBdr>
    </w:div>
    <w:div w:id="994182723">
      <w:bodyDiv w:val="1"/>
      <w:marLeft w:val="0"/>
      <w:marRight w:val="0"/>
      <w:marTop w:val="0"/>
      <w:marBottom w:val="0"/>
      <w:divBdr>
        <w:top w:val="none" w:sz="0" w:space="0" w:color="auto"/>
        <w:left w:val="none" w:sz="0" w:space="0" w:color="auto"/>
        <w:bottom w:val="none" w:sz="0" w:space="0" w:color="auto"/>
        <w:right w:val="none" w:sz="0" w:space="0" w:color="auto"/>
      </w:divBdr>
    </w:div>
    <w:div w:id="994190199">
      <w:bodyDiv w:val="1"/>
      <w:marLeft w:val="0"/>
      <w:marRight w:val="0"/>
      <w:marTop w:val="0"/>
      <w:marBottom w:val="0"/>
      <w:divBdr>
        <w:top w:val="none" w:sz="0" w:space="0" w:color="auto"/>
        <w:left w:val="none" w:sz="0" w:space="0" w:color="auto"/>
        <w:bottom w:val="none" w:sz="0" w:space="0" w:color="auto"/>
        <w:right w:val="none" w:sz="0" w:space="0" w:color="auto"/>
      </w:divBdr>
    </w:div>
    <w:div w:id="1043099010">
      <w:bodyDiv w:val="1"/>
      <w:marLeft w:val="0"/>
      <w:marRight w:val="0"/>
      <w:marTop w:val="0"/>
      <w:marBottom w:val="0"/>
      <w:divBdr>
        <w:top w:val="none" w:sz="0" w:space="0" w:color="auto"/>
        <w:left w:val="none" w:sz="0" w:space="0" w:color="auto"/>
        <w:bottom w:val="none" w:sz="0" w:space="0" w:color="auto"/>
        <w:right w:val="none" w:sz="0" w:space="0" w:color="auto"/>
      </w:divBdr>
    </w:div>
    <w:div w:id="1056048646">
      <w:bodyDiv w:val="1"/>
      <w:marLeft w:val="0"/>
      <w:marRight w:val="0"/>
      <w:marTop w:val="0"/>
      <w:marBottom w:val="0"/>
      <w:divBdr>
        <w:top w:val="none" w:sz="0" w:space="0" w:color="auto"/>
        <w:left w:val="none" w:sz="0" w:space="0" w:color="auto"/>
        <w:bottom w:val="none" w:sz="0" w:space="0" w:color="auto"/>
        <w:right w:val="none" w:sz="0" w:space="0" w:color="auto"/>
      </w:divBdr>
    </w:div>
    <w:div w:id="1073355859">
      <w:bodyDiv w:val="1"/>
      <w:marLeft w:val="0"/>
      <w:marRight w:val="0"/>
      <w:marTop w:val="0"/>
      <w:marBottom w:val="0"/>
      <w:divBdr>
        <w:top w:val="none" w:sz="0" w:space="0" w:color="auto"/>
        <w:left w:val="none" w:sz="0" w:space="0" w:color="auto"/>
        <w:bottom w:val="none" w:sz="0" w:space="0" w:color="auto"/>
        <w:right w:val="none" w:sz="0" w:space="0" w:color="auto"/>
      </w:divBdr>
    </w:div>
    <w:div w:id="1119837137">
      <w:bodyDiv w:val="1"/>
      <w:marLeft w:val="0"/>
      <w:marRight w:val="0"/>
      <w:marTop w:val="0"/>
      <w:marBottom w:val="0"/>
      <w:divBdr>
        <w:top w:val="none" w:sz="0" w:space="0" w:color="auto"/>
        <w:left w:val="none" w:sz="0" w:space="0" w:color="auto"/>
        <w:bottom w:val="none" w:sz="0" w:space="0" w:color="auto"/>
        <w:right w:val="none" w:sz="0" w:space="0" w:color="auto"/>
      </w:divBdr>
    </w:div>
    <w:div w:id="1121651465">
      <w:bodyDiv w:val="1"/>
      <w:marLeft w:val="0"/>
      <w:marRight w:val="0"/>
      <w:marTop w:val="0"/>
      <w:marBottom w:val="0"/>
      <w:divBdr>
        <w:top w:val="none" w:sz="0" w:space="0" w:color="auto"/>
        <w:left w:val="none" w:sz="0" w:space="0" w:color="auto"/>
        <w:bottom w:val="none" w:sz="0" w:space="0" w:color="auto"/>
        <w:right w:val="none" w:sz="0" w:space="0" w:color="auto"/>
      </w:divBdr>
    </w:div>
    <w:div w:id="1149126951">
      <w:bodyDiv w:val="1"/>
      <w:marLeft w:val="0"/>
      <w:marRight w:val="0"/>
      <w:marTop w:val="0"/>
      <w:marBottom w:val="0"/>
      <w:divBdr>
        <w:top w:val="none" w:sz="0" w:space="0" w:color="auto"/>
        <w:left w:val="none" w:sz="0" w:space="0" w:color="auto"/>
        <w:bottom w:val="none" w:sz="0" w:space="0" w:color="auto"/>
        <w:right w:val="none" w:sz="0" w:space="0" w:color="auto"/>
      </w:divBdr>
    </w:div>
    <w:div w:id="1197768478">
      <w:bodyDiv w:val="1"/>
      <w:marLeft w:val="0"/>
      <w:marRight w:val="0"/>
      <w:marTop w:val="0"/>
      <w:marBottom w:val="0"/>
      <w:divBdr>
        <w:top w:val="none" w:sz="0" w:space="0" w:color="auto"/>
        <w:left w:val="none" w:sz="0" w:space="0" w:color="auto"/>
        <w:bottom w:val="none" w:sz="0" w:space="0" w:color="auto"/>
        <w:right w:val="none" w:sz="0" w:space="0" w:color="auto"/>
      </w:divBdr>
    </w:div>
    <w:div w:id="1208368967">
      <w:bodyDiv w:val="1"/>
      <w:marLeft w:val="0"/>
      <w:marRight w:val="0"/>
      <w:marTop w:val="0"/>
      <w:marBottom w:val="0"/>
      <w:divBdr>
        <w:top w:val="none" w:sz="0" w:space="0" w:color="auto"/>
        <w:left w:val="none" w:sz="0" w:space="0" w:color="auto"/>
        <w:bottom w:val="none" w:sz="0" w:space="0" w:color="auto"/>
        <w:right w:val="none" w:sz="0" w:space="0" w:color="auto"/>
      </w:divBdr>
    </w:div>
    <w:div w:id="1208958014">
      <w:bodyDiv w:val="1"/>
      <w:marLeft w:val="0"/>
      <w:marRight w:val="0"/>
      <w:marTop w:val="0"/>
      <w:marBottom w:val="0"/>
      <w:divBdr>
        <w:top w:val="none" w:sz="0" w:space="0" w:color="auto"/>
        <w:left w:val="none" w:sz="0" w:space="0" w:color="auto"/>
        <w:bottom w:val="none" w:sz="0" w:space="0" w:color="auto"/>
        <w:right w:val="none" w:sz="0" w:space="0" w:color="auto"/>
      </w:divBdr>
    </w:div>
    <w:div w:id="1235355205">
      <w:bodyDiv w:val="1"/>
      <w:marLeft w:val="0"/>
      <w:marRight w:val="0"/>
      <w:marTop w:val="0"/>
      <w:marBottom w:val="0"/>
      <w:divBdr>
        <w:top w:val="none" w:sz="0" w:space="0" w:color="auto"/>
        <w:left w:val="none" w:sz="0" w:space="0" w:color="auto"/>
        <w:bottom w:val="none" w:sz="0" w:space="0" w:color="auto"/>
        <w:right w:val="none" w:sz="0" w:space="0" w:color="auto"/>
      </w:divBdr>
    </w:div>
    <w:div w:id="1236089193">
      <w:bodyDiv w:val="1"/>
      <w:marLeft w:val="0"/>
      <w:marRight w:val="0"/>
      <w:marTop w:val="0"/>
      <w:marBottom w:val="0"/>
      <w:divBdr>
        <w:top w:val="none" w:sz="0" w:space="0" w:color="auto"/>
        <w:left w:val="none" w:sz="0" w:space="0" w:color="auto"/>
        <w:bottom w:val="none" w:sz="0" w:space="0" w:color="auto"/>
        <w:right w:val="none" w:sz="0" w:space="0" w:color="auto"/>
      </w:divBdr>
    </w:div>
    <w:div w:id="1238856435">
      <w:bodyDiv w:val="1"/>
      <w:marLeft w:val="0"/>
      <w:marRight w:val="0"/>
      <w:marTop w:val="0"/>
      <w:marBottom w:val="0"/>
      <w:divBdr>
        <w:top w:val="none" w:sz="0" w:space="0" w:color="auto"/>
        <w:left w:val="none" w:sz="0" w:space="0" w:color="auto"/>
        <w:bottom w:val="none" w:sz="0" w:space="0" w:color="auto"/>
        <w:right w:val="none" w:sz="0" w:space="0" w:color="auto"/>
      </w:divBdr>
    </w:div>
    <w:div w:id="1243225101">
      <w:bodyDiv w:val="1"/>
      <w:marLeft w:val="0"/>
      <w:marRight w:val="0"/>
      <w:marTop w:val="0"/>
      <w:marBottom w:val="0"/>
      <w:divBdr>
        <w:top w:val="none" w:sz="0" w:space="0" w:color="auto"/>
        <w:left w:val="none" w:sz="0" w:space="0" w:color="auto"/>
        <w:bottom w:val="none" w:sz="0" w:space="0" w:color="auto"/>
        <w:right w:val="none" w:sz="0" w:space="0" w:color="auto"/>
      </w:divBdr>
    </w:div>
    <w:div w:id="1248230943">
      <w:bodyDiv w:val="1"/>
      <w:marLeft w:val="0"/>
      <w:marRight w:val="0"/>
      <w:marTop w:val="0"/>
      <w:marBottom w:val="0"/>
      <w:divBdr>
        <w:top w:val="none" w:sz="0" w:space="0" w:color="auto"/>
        <w:left w:val="none" w:sz="0" w:space="0" w:color="auto"/>
        <w:bottom w:val="none" w:sz="0" w:space="0" w:color="auto"/>
        <w:right w:val="none" w:sz="0" w:space="0" w:color="auto"/>
      </w:divBdr>
    </w:div>
    <w:div w:id="1260525832">
      <w:bodyDiv w:val="1"/>
      <w:marLeft w:val="0"/>
      <w:marRight w:val="0"/>
      <w:marTop w:val="0"/>
      <w:marBottom w:val="0"/>
      <w:divBdr>
        <w:top w:val="none" w:sz="0" w:space="0" w:color="auto"/>
        <w:left w:val="none" w:sz="0" w:space="0" w:color="auto"/>
        <w:bottom w:val="none" w:sz="0" w:space="0" w:color="auto"/>
        <w:right w:val="none" w:sz="0" w:space="0" w:color="auto"/>
      </w:divBdr>
      <w:divsChild>
        <w:div w:id="2011372013">
          <w:marLeft w:val="0"/>
          <w:marRight w:val="0"/>
          <w:marTop w:val="0"/>
          <w:marBottom w:val="0"/>
          <w:divBdr>
            <w:top w:val="none" w:sz="0" w:space="0" w:color="auto"/>
            <w:left w:val="none" w:sz="0" w:space="0" w:color="auto"/>
            <w:bottom w:val="none" w:sz="0" w:space="0" w:color="auto"/>
            <w:right w:val="none" w:sz="0" w:space="0" w:color="auto"/>
          </w:divBdr>
        </w:div>
        <w:div w:id="482701658">
          <w:marLeft w:val="0"/>
          <w:marRight w:val="0"/>
          <w:marTop w:val="0"/>
          <w:marBottom w:val="0"/>
          <w:divBdr>
            <w:top w:val="none" w:sz="0" w:space="0" w:color="auto"/>
            <w:left w:val="none" w:sz="0" w:space="0" w:color="auto"/>
            <w:bottom w:val="none" w:sz="0" w:space="0" w:color="auto"/>
            <w:right w:val="none" w:sz="0" w:space="0" w:color="auto"/>
          </w:divBdr>
        </w:div>
        <w:div w:id="1005477700">
          <w:marLeft w:val="0"/>
          <w:marRight w:val="0"/>
          <w:marTop w:val="0"/>
          <w:marBottom w:val="0"/>
          <w:divBdr>
            <w:top w:val="none" w:sz="0" w:space="0" w:color="auto"/>
            <w:left w:val="none" w:sz="0" w:space="0" w:color="auto"/>
            <w:bottom w:val="none" w:sz="0" w:space="0" w:color="auto"/>
            <w:right w:val="none" w:sz="0" w:space="0" w:color="auto"/>
          </w:divBdr>
          <w:divsChild>
            <w:div w:id="965350142">
              <w:marLeft w:val="0"/>
              <w:marRight w:val="0"/>
              <w:marTop w:val="0"/>
              <w:marBottom w:val="0"/>
              <w:divBdr>
                <w:top w:val="none" w:sz="0" w:space="0" w:color="auto"/>
                <w:left w:val="none" w:sz="0" w:space="0" w:color="auto"/>
                <w:bottom w:val="none" w:sz="0" w:space="0" w:color="auto"/>
                <w:right w:val="none" w:sz="0" w:space="0" w:color="auto"/>
              </w:divBdr>
            </w:div>
            <w:div w:id="54317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321702">
      <w:bodyDiv w:val="1"/>
      <w:marLeft w:val="0"/>
      <w:marRight w:val="0"/>
      <w:marTop w:val="0"/>
      <w:marBottom w:val="0"/>
      <w:divBdr>
        <w:top w:val="none" w:sz="0" w:space="0" w:color="auto"/>
        <w:left w:val="none" w:sz="0" w:space="0" w:color="auto"/>
        <w:bottom w:val="none" w:sz="0" w:space="0" w:color="auto"/>
        <w:right w:val="none" w:sz="0" w:space="0" w:color="auto"/>
      </w:divBdr>
    </w:div>
    <w:div w:id="1276594031">
      <w:bodyDiv w:val="1"/>
      <w:marLeft w:val="0"/>
      <w:marRight w:val="0"/>
      <w:marTop w:val="0"/>
      <w:marBottom w:val="0"/>
      <w:divBdr>
        <w:top w:val="none" w:sz="0" w:space="0" w:color="auto"/>
        <w:left w:val="none" w:sz="0" w:space="0" w:color="auto"/>
        <w:bottom w:val="none" w:sz="0" w:space="0" w:color="auto"/>
        <w:right w:val="none" w:sz="0" w:space="0" w:color="auto"/>
      </w:divBdr>
    </w:div>
    <w:div w:id="1283682268">
      <w:bodyDiv w:val="1"/>
      <w:marLeft w:val="0"/>
      <w:marRight w:val="0"/>
      <w:marTop w:val="0"/>
      <w:marBottom w:val="0"/>
      <w:divBdr>
        <w:top w:val="none" w:sz="0" w:space="0" w:color="auto"/>
        <w:left w:val="none" w:sz="0" w:space="0" w:color="auto"/>
        <w:bottom w:val="none" w:sz="0" w:space="0" w:color="auto"/>
        <w:right w:val="none" w:sz="0" w:space="0" w:color="auto"/>
      </w:divBdr>
    </w:div>
    <w:div w:id="1332903543">
      <w:bodyDiv w:val="1"/>
      <w:marLeft w:val="0"/>
      <w:marRight w:val="0"/>
      <w:marTop w:val="0"/>
      <w:marBottom w:val="0"/>
      <w:divBdr>
        <w:top w:val="none" w:sz="0" w:space="0" w:color="auto"/>
        <w:left w:val="none" w:sz="0" w:space="0" w:color="auto"/>
        <w:bottom w:val="none" w:sz="0" w:space="0" w:color="auto"/>
        <w:right w:val="none" w:sz="0" w:space="0" w:color="auto"/>
      </w:divBdr>
    </w:div>
    <w:div w:id="1336229066">
      <w:bodyDiv w:val="1"/>
      <w:marLeft w:val="0"/>
      <w:marRight w:val="0"/>
      <w:marTop w:val="0"/>
      <w:marBottom w:val="0"/>
      <w:divBdr>
        <w:top w:val="none" w:sz="0" w:space="0" w:color="auto"/>
        <w:left w:val="none" w:sz="0" w:space="0" w:color="auto"/>
        <w:bottom w:val="none" w:sz="0" w:space="0" w:color="auto"/>
        <w:right w:val="none" w:sz="0" w:space="0" w:color="auto"/>
      </w:divBdr>
    </w:div>
    <w:div w:id="1339848538">
      <w:bodyDiv w:val="1"/>
      <w:marLeft w:val="0"/>
      <w:marRight w:val="0"/>
      <w:marTop w:val="0"/>
      <w:marBottom w:val="0"/>
      <w:divBdr>
        <w:top w:val="none" w:sz="0" w:space="0" w:color="auto"/>
        <w:left w:val="none" w:sz="0" w:space="0" w:color="auto"/>
        <w:bottom w:val="none" w:sz="0" w:space="0" w:color="auto"/>
        <w:right w:val="none" w:sz="0" w:space="0" w:color="auto"/>
      </w:divBdr>
    </w:div>
    <w:div w:id="1410998156">
      <w:bodyDiv w:val="1"/>
      <w:marLeft w:val="0"/>
      <w:marRight w:val="0"/>
      <w:marTop w:val="0"/>
      <w:marBottom w:val="0"/>
      <w:divBdr>
        <w:top w:val="none" w:sz="0" w:space="0" w:color="auto"/>
        <w:left w:val="none" w:sz="0" w:space="0" w:color="auto"/>
        <w:bottom w:val="none" w:sz="0" w:space="0" w:color="auto"/>
        <w:right w:val="none" w:sz="0" w:space="0" w:color="auto"/>
      </w:divBdr>
    </w:div>
    <w:div w:id="1443037889">
      <w:bodyDiv w:val="1"/>
      <w:marLeft w:val="0"/>
      <w:marRight w:val="0"/>
      <w:marTop w:val="0"/>
      <w:marBottom w:val="0"/>
      <w:divBdr>
        <w:top w:val="none" w:sz="0" w:space="0" w:color="auto"/>
        <w:left w:val="none" w:sz="0" w:space="0" w:color="auto"/>
        <w:bottom w:val="none" w:sz="0" w:space="0" w:color="auto"/>
        <w:right w:val="none" w:sz="0" w:space="0" w:color="auto"/>
      </w:divBdr>
    </w:div>
    <w:div w:id="1445928836">
      <w:bodyDiv w:val="1"/>
      <w:marLeft w:val="0"/>
      <w:marRight w:val="0"/>
      <w:marTop w:val="0"/>
      <w:marBottom w:val="0"/>
      <w:divBdr>
        <w:top w:val="none" w:sz="0" w:space="0" w:color="auto"/>
        <w:left w:val="none" w:sz="0" w:space="0" w:color="auto"/>
        <w:bottom w:val="none" w:sz="0" w:space="0" w:color="auto"/>
        <w:right w:val="none" w:sz="0" w:space="0" w:color="auto"/>
      </w:divBdr>
    </w:div>
    <w:div w:id="1449200754">
      <w:bodyDiv w:val="1"/>
      <w:marLeft w:val="0"/>
      <w:marRight w:val="0"/>
      <w:marTop w:val="0"/>
      <w:marBottom w:val="0"/>
      <w:divBdr>
        <w:top w:val="none" w:sz="0" w:space="0" w:color="auto"/>
        <w:left w:val="none" w:sz="0" w:space="0" w:color="auto"/>
        <w:bottom w:val="none" w:sz="0" w:space="0" w:color="auto"/>
        <w:right w:val="none" w:sz="0" w:space="0" w:color="auto"/>
      </w:divBdr>
    </w:div>
    <w:div w:id="1476146540">
      <w:bodyDiv w:val="1"/>
      <w:marLeft w:val="0"/>
      <w:marRight w:val="0"/>
      <w:marTop w:val="0"/>
      <w:marBottom w:val="0"/>
      <w:divBdr>
        <w:top w:val="none" w:sz="0" w:space="0" w:color="auto"/>
        <w:left w:val="none" w:sz="0" w:space="0" w:color="auto"/>
        <w:bottom w:val="none" w:sz="0" w:space="0" w:color="auto"/>
        <w:right w:val="none" w:sz="0" w:space="0" w:color="auto"/>
      </w:divBdr>
    </w:div>
    <w:div w:id="1477453982">
      <w:bodyDiv w:val="1"/>
      <w:marLeft w:val="0"/>
      <w:marRight w:val="0"/>
      <w:marTop w:val="0"/>
      <w:marBottom w:val="0"/>
      <w:divBdr>
        <w:top w:val="none" w:sz="0" w:space="0" w:color="auto"/>
        <w:left w:val="none" w:sz="0" w:space="0" w:color="auto"/>
        <w:bottom w:val="none" w:sz="0" w:space="0" w:color="auto"/>
        <w:right w:val="none" w:sz="0" w:space="0" w:color="auto"/>
      </w:divBdr>
    </w:div>
    <w:div w:id="1486584706">
      <w:bodyDiv w:val="1"/>
      <w:marLeft w:val="0"/>
      <w:marRight w:val="0"/>
      <w:marTop w:val="0"/>
      <w:marBottom w:val="0"/>
      <w:divBdr>
        <w:top w:val="none" w:sz="0" w:space="0" w:color="auto"/>
        <w:left w:val="none" w:sz="0" w:space="0" w:color="auto"/>
        <w:bottom w:val="none" w:sz="0" w:space="0" w:color="auto"/>
        <w:right w:val="none" w:sz="0" w:space="0" w:color="auto"/>
      </w:divBdr>
    </w:div>
    <w:div w:id="1487360793">
      <w:bodyDiv w:val="1"/>
      <w:marLeft w:val="0"/>
      <w:marRight w:val="0"/>
      <w:marTop w:val="0"/>
      <w:marBottom w:val="0"/>
      <w:divBdr>
        <w:top w:val="none" w:sz="0" w:space="0" w:color="auto"/>
        <w:left w:val="none" w:sz="0" w:space="0" w:color="auto"/>
        <w:bottom w:val="none" w:sz="0" w:space="0" w:color="auto"/>
        <w:right w:val="none" w:sz="0" w:space="0" w:color="auto"/>
      </w:divBdr>
    </w:div>
    <w:div w:id="1520002691">
      <w:bodyDiv w:val="1"/>
      <w:marLeft w:val="0"/>
      <w:marRight w:val="0"/>
      <w:marTop w:val="0"/>
      <w:marBottom w:val="0"/>
      <w:divBdr>
        <w:top w:val="none" w:sz="0" w:space="0" w:color="auto"/>
        <w:left w:val="none" w:sz="0" w:space="0" w:color="auto"/>
        <w:bottom w:val="none" w:sz="0" w:space="0" w:color="auto"/>
        <w:right w:val="none" w:sz="0" w:space="0" w:color="auto"/>
      </w:divBdr>
    </w:div>
    <w:div w:id="1536653635">
      <w:bodyDiv w:val="1"/>
      <w:marLeft w:val="0"/>
      <w:marRight w:val="0"/>
      <w:marTop w:val="0"/>
      <w:marBottom w:val="0"/>
      <w:divBdr>
        <w:top w:val="none" w:sz="0" w:space="0" w:color="auto"/>
        <w:left w:val="none" w:sz="0" w:space="0" w:color="auto"/>
        <w:bottom w:val="none" w:sz="0" w:space="0" w:color="auto"/>
        <w:right w:val="none" w:sz="0" w:space="0" w:color="auto"/>
      </w:divBdr>
    </w:div>
    <w:div w:id="1547983019">
      <w:bodyDiv w:val="1"/>
      <w:marLeft w:val="0"/>
      <w:marRight w:val="0"/>
      <w:marTop w:val="0"/>
      <w:marBottom w:val="0"/>
      <w:divBdr>
        <w:top w:val="none" w:sz="0" w:space="0" w:color="auto"/>
        <w:left w:val="none" w:sz="0" w:space="0" w:color="auto"/>
        <w:bottom w:val="none" w:sz="0" w:space="0" w:color="auto"/>
        <w:right w:val="none" w:sz="0" w:space="0" w:color="auto"/>
      </w:divBdr>
    </w:div>
    <w:div w:id="1551452144">
      <w:bodyDiv w:val="1"/>
      <w:marLeft w:val="0"/>
      <w:marRight w:val="0"/>
      <w:marTop w:val="0"/>
      <w:marBottom w:val="0"/>
      <w:divBdr>
        <w:top w:val="none" w:sz="0" w:space="0" w:color="auto"/>
        <w:left w:val="none" w:sz="0" w:space="0" w:color="auto"/>
        <w:bottom w:val="none" w:sz="0" w:space="0" w:color="auto"/>
        <w:right w:val="none" w:sz="0" w:space="0" w:color="auto"/>
      </w:divBdr>
    </w:div>
    <w:div w:id="1568496018">
      <w:bodyDiv w:val="1"/>
      <w:marLeft w:val="0"/>
      <w:marRight w:val="0"/>
      <w:marTop w:val="0"/>
      <w:marBottom w:val="0"/>
      <w:divBdr>
        <w:top w:val="none" w:sz="0" w:space="0" w:color="auto"/>
        <w:left w:val="none" w:sz="0" w:space="0" w:color="auto"/>
        <w:bottom w:val="none" w:sz="0" w:space="0" w:color="auto"/>
        <w:right w:val="none" w:sz="0" w:space="0" w:color="auto"/>
      </w:divBdr>
    </w:div>
    <w:div w:id="1589774275">
      <w:bodyDiv w:val="1"/>
      <w:marLeft w:val="0"/>
      <w:marRight w:val="0"/>
      <w:marTop w:val="0"/>
      <w:marBottom w:val="0"/>
      <w:divBdr>
        <w:top w:val="none" w:sz="0" w:space="0" w:color="auto"/>
        <w:left w:val="none" w:sz="0" w:space="0" w:color="auto"/>
        <w:bottom w:val="none" w:sz="0" w:space="0" w:color="auto"/>
        <w:right w:val="none" w:sz="0" w:space="0" w:color="auto"/>
      </w:divBdr>
    </w:div>
    <w:div w:id="1598562116">
      <w:bodyDiv w:val="1"/>
      <w:marLeft w:val="0"/>
      <w:marRight w:val="0"/>
      <w:marTop w:val="0"/>
      <w:marBottom w:val="0"/>
      <w:divBdr>
        <w:top w:val="none" w:sz="0" w:space="0" w:color="auto"/>
        <w:left w:val="none" w:sz="0" w:space="0" w:color="auto"/>
        <w:bottom w:val="none" w:sz="0" w:space="0" w:color="auto"/>
        <w:right w:val="none" w:sz="0" w:space="0" w:color="auto"/>
      </w:divBdr>
    </w:div>
    <w:div w:id="1635867966">
      <w:bodyDiv w:val="1"/>
      <w:marLeft w:val="0"/>
      <w:marRight w:val="0"/>
      <w:marTop w:val="0"/>
      <w:marBottom w:val="0"/>
      <w:divBdr>
        <w:top w:val="none" w:sz="0" w:space="0" w:color="auto"/>
        <w:left w:val="none" w:sz="0" w:space="0" w:color="auto"/>
        <w:bottom w:val="none" w:sz="0" w:space="0" w:color="auto"/>
        <w:right w:val="none" w:sz="0" w:space="0" w:color="auto"/>
      </w:divBdr>
    </w:div>
    <w:div w:id="1661807179">
      <w:bodyDiv w:val="1"/>
      <w:marLeft w:val="0"/>
      <w:marRight w:val="0"/>
      <w:marTop w:val="0"/>
      <w:marBottom w:val="0"/>
      <w:divBdr>
        <w:top w:val="none" w:sz="0" w:space="0" w:color="auto"/>
        <w:left w:val="none" w:sz="0" w:space="0" w:color="auto"/>
        <w:bottom w:val="none" w:sz="0" w:space="0" w:color="auto"/>
        <w:right w:val="none" w:sz="0" w:space="0" w:color="auto"/>
      </w:divBdr>
    </w:div>
    <w:div w:id="1672832016">
      <w:bodyDiv w:val="1"/>
      <w:marLeft w:val="0"/>
      <w:marRight w:val="0"/>
      <w:marTop w:val="0"/>
      <w:marBottom w:val="0"/>
      <w:divBdr>
        <w:top w:val="none" w:sz="0" w:space="0" w:color="auto"/>
        <w:left w:val="none" w:sz="0" w:space="0" w:color="auto"/>
        <w:bottom w:val="none" w:sz="0" w:space="0" w:color="auto"/>
        <w:right w:val="none" w:sz="0" w:space="0" w:color="auto"/>
      </w:divBdr>
    </w:div>
    <w:div w:id="1712918970">
      <w:bodyDiv w:val="1"/>
      <w:marLeft w:val="0"/>
      <w:marRight w:val="0"/>
      <w:marTop w:val="0"/>
      <w:marBottom w:val="0"/>
      <w:divBdr>
        <w:top w:val="none" w:sz="0" w:space="0" w:color="auto"/>
        <w:left w:val="none" w:sz="0" w:space="0" w:color="auto"/>
        <w:bottom w:val="none" w:sz="0" w:space="0" w:color="auto"/>
        <w:right w:val="none" w:sz="0" w:space="0" w:color="auto"/>
      </w:divBdr>
    </w:div>
    <w:div w:id="1715425264">
      <w:bodyDiv w:val="1"/>
      <w:marLeft w:val="0"/>
      <w:marRight w:val="0"/>
      <w:marTop w:val="0"/>
      <w:marBottom w:val="0"/>
      <w:divBdr>
        <w:top w:val="none" w:sz="0" w:space="0" w:color="auto"/>
        <w:left w:val="none" w:sz="0" w:space="0" w:color="auto"/>
        <w:bottom w:val="none" w:sz="0" w:space="0" w:color="auto"/>
        <w:right w:val="none" w:sz="0" w:space="0" w:color="auto"/>
      </w:divBdr>
    </w:div>
    <w:div w:id="1748266948">
      <w:bodyDiv w:val="1"/>
      <w:marLeft w:val="0"/>
      <w:marRight w:val="0"/>
      <w:marTop w:val="0"/>
      <w:marBottom w:val="0"/>
      <w:divBdr>
        <w:top w:val="none" w:sz="0" w:space="0" w:color="auto"/>
        <w:left w:val="none" w:sz="0" w:space="0" w:color="auto"/>
        <w:bottom w:val="none" w:sz="0" w:space="0" w:color="auto"/>
        <w:right w:val="none" w:sz="0" w:space="0" w:color="auto"/>
      </w:divBdr>
    </w:div>
    <w:div w:id="1754425284">
      <w:bodyDiv w:val="1"/>
      <w:marLeft w:val="0"/>
      <w:marRight w:val="0"/>
      <w:marTop w:val="0"/>
      <w:marBottom w:val="0"/>
      <w:divBdr>
        <w:top w:val="none" w:sz="0" w:space="0" w:color="auto"/>
        <w:left w:val="none" w:sz="0" w:space="0" w:color="auto"/>
        <w:bottom w:val="none" w:sz="0" w:space="0" w:color="auto"/>
        <w:right w:val="none" w:sz="0" w:space="0" w:color="auto"/>
      </w:divBdr>
    </w:div>
    <w:div w:id="1757243849">
      <w:bodyDiv w:val="1"/>
      <w:marLeft w:val="0"/>
      <w:marRight w:val="0"/>
      <w:marTop w:val="0"/>
      <w:marBottom w:val="0"/>
      <w:divBdr>
        <w:top w:val="none" w:sz="0" w:space="0" w:color="auto"/>
        <w:left w:val="none" w:sz="0" w:space="0" w:color="auto"/>
        <w:bottom w:val="none" w:sz="0" w:space="0" w:color="auto"/>
        <w:right w:val="none" w:sz="0" w:space="0" w:color="auto"/>
      </w:divBdr>
    </w:div>
    <w:div w:id="1776822799">
      <w:bodyDiv w:val="1"/>
      <w:marLeft w:val="0"/>
      <w:marRight w:val="0"/>
      <w:marTop w:val="0"/>
      <w:marBottom w:val="0"/>
      <w:divBdr>
        <w:top w:val="none" w:sz="0" w:space="0" w:color="auto"/>
        <w:left w:val="none" w:sz="0" w:space="0" w:color="auto"/>
        <w:bottom w:val="none" w:sz="0" w:space="0" w:color="auto"/>
        <w:right w:val="none" w:sz="0" w:space="0" w:color="auto"/>
      </w:divBdr>
    </w:div>
    <w:div w:id="1776903500">
      <w:bodyDiv w:val="1"/>
      <w:marLeft w:val="0"/>
      <w:marRight w:val="0"/>
      <w:marTop w:val="0"/>
      <w:marBottom w:val="0"/>
      <w:divBdr>
        <w:top w:val="none" w:sz="0" w:space="0" w:color="auto"/>
        <w:left w:val="none" w:sz="0" w:space="0" w:color="auto"/>
        <w:bottom w:val="none" w:sz="0" w:space="0" w:color="auto"/>
        <w:right w:val="none" w:sz="0" w:space="0" w:color="auto"/>
      </w:divBdr>
    </w:div>
    <w:div w:id="1778674168">
      <w:bodyDiv w:val="1"/>
      <w:marLeft w:val="0"/>
      <w:marRight w:val="0"/>
      <w:marTop w:val="0"/>
      <w:marBottom w:val="0"/>
      <w:divBdr>
        <w:top w:val="none" w:sz="0" w:space="0" w:color="auto"/>
        <w:left w:val="none" w:sz="0" w:space="0" w:color="auto"/>
        <w:bottom w:val="none" w:sz="0" w:space="0" w:color="auto"/>
        <w:right w:val="none" w:sz="0" w:space="0" w:color="auto"/>
      </w:divBdr>
    </w:div>
    <w:div w:id="1781871290">
      <w:bodyDiv w:val="1"/>
      <w:marLeft w:val="0"/>
      <w:marRight w:val="0"/>
      <w:marTop w:val="0"/>
      <w:marBottom w:val="0"/>
      <w:divBdr>
        <w:top w:val="none" w:sz="0" w:space="0" w:color="auto"/>
        <w:left w:val="none" w:sz="0" w:space="0" w:color="auto"/>
        <w:bottom w:val="none" w:sz="0" w:space="0" w:color="auto"/>
        <w:right w:val="none" w:sz="0" w:space="0" w:color="auto"/>
      </w:divBdr>
    </w:div>
    <w:div w:id="1787307168">
      <w:bodyDiv w:val="1"/>
      <w:marLeft w:val="0"/>
      <w:marRight w:val="0"/>
      <w:marTop w:val="0"/>
      <w:marBottom w:val="0"/>
      <w:divBdr>
        <w:top w:val="none" w:sz="0" w:space="0" w:color="auto"/>
        <w:left w:val="none" w:sz="0" w:space="0" w:color="auto"/>
        <w:bottom w:val="none" w:sz="0" w:space="0" w:color="auto"/>
        <w:right w:val="none" w:sz="0" w:space="0" w:color="auto"/>
      </w:divBdr>
    </w:div>
    <w:div w:id="1803226689">
      <w:bodyDiv w:val="1"/>
      <w:marLeft w:val="0"/>
      <w:marRight w:val="0"/>
      <w:marTop w:val="0"/>
      <w:marBottom w:val="0"/>
      <w:divBdr>
        <w:top w:val="none" w:sz="0" w:space="0" w:color="auto"/>
        <w:left w:val="none" w:sz="0" w:space="0" w:color="auto"/>
        <w:bottom w:val="none" w:sz="0" w:space="0" w:color="auto"/>
        <w:right w:val="none" w:sz="0" w:space="0" w:color="auto"/>
      </w:divBdr>
    </w:div>
    <w:div w:id="1819615177">
      <w:bodyDiv w:val="1"/>
      <w:marLeft w:val="0"/>
      <w:marRight w:val="0"/>
      <w:marTop w:val="0"/>
      <w:marBottom w:val="0"/>
      <w:divBdr>
        <w:top w:val="none" w:sz="0" w:space="0" w:color="auto"/>
        <w:left w:val="none" w:sz="0" w:space="0" w:color="auto"/>
        <w:bottom w:val="none" w:sz="0" w:space="0" w:color="auto"/>
        <w:right w:val="none" w:sz="0" w:space="0" w:color="auto"/>
      </w:divBdr>
    </w:div>
    <w:div w:id="1823889568">
      <w:bodyDiv w:val="1"/>
      <w:marLeft w:val="0"/>
      <w:marRight w:val="0"/>
      <w:marTop w:val="0"/>
      <w:marBottom w:val="0"/>
      <w:divBdr>
        <w:top w:val="none" w:sz="0" w:space="0" w:color="auto"/>
        <w:left w:val="none" w:sz="0" w:space="0" w:color="auto"/>
        <w:bottom w:val="none" w:sz="0" w:space="0" w:color="auto"/>
        <w:right w:val="none" w:sz="0" w:space="0" w:color="auto"/>
      </w:divBdr>
    </w:div>
    <w:div w:id="1828207733">
      <w:bodyDiv w:val="1"/>
      <w:marLeft w:val="0"/>
      <w:marRight w:val="0"/>
      <w:marTop w:val="0"/>
      <w:marBottom w:val="0"/>
      <w:divBdr>
        <w:top w:val="none" w:sz="0" w:space="0" w:color="auto"/>
        <w:left w:val="none" w:sz="0" w:space="0" w:color="auto"/>
        <w:bottom w:val="none" w:sz="0" w:space="0" w:color="auto"/>
        <w:right w:val="none" w:sz="0" w:space="0" w:color="auto"/>
      </w:divBdr>
    </w:div>
    <w:div w:id="1830444871">
      <w:bodyDiv w:val="1"/>
      <w:marLeft w:val="0"/>
      <w:marRight w:val="0"/>
      <w:marTop w:val="0"/>
      <w:marBottom w:val="0"/>
      <w:divBdr>
        <w:top w:val="none" w:sz="0" w:space="0" w:color="auto"/>
        <w:left w:val="none" w:sz="0" w:space="0" w:color="auto"/>
        <w:bottom w:val="none" w:sz="0" w:space="0" w:color="auto"/>
        <w:right w:val="none" w:sz="0" w:space="0" w:color="auto"/>
      </w:divBdr>
    </w:div>
    <w:div w:id="1837456548">
      <w:bodyDiv w:val="1"/>
      <w:marLeft w:val="0"/>
      <w:marRight w:val="0"/>
      <w:marTop w:val="0"/>
      <w:marBottom w:val="0"/>
      <w:divBdr>
        <w:top w:val="none" w:sz="0" w:space="0" w:color="auto"/>
        <w:left w:val="none" w:sz="0" w:space="0" w:color="auto"/>
        <w:bottom w:val="none" w:sz="0" w:space="0" w:color="auto"/>
        <w:right w:val="none" w:sz="0" w:space="0" w:color="auto"/>
      </w:divBdr>
    </w:div>
    <w:div w:id="1855074453">
      <w:bodyDiv w:val="1"/>
      <w:marLeft w:val="0"/>
      <w:marRight w:val="0"/>
      <w:marTop w:val="0"/>
      <w:marBottom w:val="0"/>
      <w:divBdr>
        <w:top w:val="none" w:sz="0" w:space="0" w:color="auto"/>
        <w:left w:val="none" w:sz="0" w:space="0" w:color="auto"/>
        <w:bottom w:val="none" w:sz="0" w:space="0" w:color="auto"/>
        <w:right w:val="none" w:sz="0" w:space="0" w:color="auto"/>
      </w:divBdr>
    </w:div>
    <w:div w:id="1857766709">
      <w:bodyDiv w:val="1"/>
      <w:marLeft w:val="0"/>
      <w:marRight w:val="0"/>
      <w:marTop w:val="0"/>
      <w:marBottom w:val="0"/>
      <w:divBdr>
        <w:top w:val="none" w:sz="0" w:space="0" w:color="auto"/>
        <w:left w:val="none" w:sz="0" w:space="0" w:color="auto"/>
        <w:bottom w:val="none" w:sz="0" w:space="0" w:color="auto"/>
        <w:right w:val="none" w:sz="0" w:space="0" w:color="auto"/>
      </w:divBdr>
    </w:div>
    <w:div w:id="1867058157">
      <w:bodyDiv w:val="1"/>
      <w:marLeft w:val="0"/>
      <w:marRight w:val="0"/>
      <w:marTop w:val="0"/>
      <w:marBottom w:val="0"/>
      <w:divBdr>
        <w:top w:val="none" w:sz="0" w:space="0" w:color="auto"/>
        <w:left w:val="none" w:sz="0" w:space="0" w:color="auto"/>
        <w:bottom w:val="none" w:sz="0" w:space="0" w:color="auto"/>
        <w:right w:val="none" w:sz="0" w:space="0" w:color="auto"/>
      </w:divBdr>
    </w:div>
    <w:div w:id="1871067585">
      <w:bodyDiv w:val="1"/>
      <w:marLeft w:val="0"/>
      <w:marRight w:val="0"/>
      <w:marTop w:val="0"/>
      <w:marBottom w:val="0"/>
      <w:divBdr>
        <w:top w:val="none" w:sz="0" w:space="0" w:color="auto"/>
        <w:left w:val="none" w:sz="0" w:space="0" w:color="auto"/>
        <w:bottom w:val="none" w:sz="0" w:space="0" w:color="auto"/>
        <w:right w:val="none" w:sz="0" w:space="0" w:color="auto"/>
      </w:divBdr>
    </w:div>
    <w:div w:id="1874925625">
      <w:bodyDiv w:val="1"/>
      <w:marLeft w:val="0"/>
      <w:marRight w:val="0"/>
      <w:marTop w:val="0"/>
      <w:marBottom w:val="0"/>
      <w:divBdr>
        <w:top w:val="none" w:sz="0" w:space="0" w:color="auto"/>
        <w:left w:val="none" w:sz="0" w:space="0" w:color="auto"/>
        <w:bottom w:val="none" w:sz="0" w:space="0" w:color="auto"/>
        <w:right w:val="none" w:sz="0" w:space="0" w:color="auto"/>
      </w:divBdr>
    </w:div>
    <w:div w:id="1888688054">
      <w:bodyDiv w:val="1"/>
      <w:marLeft w:val="0"/>
      <w:marRight w:val="0"/>
      <w:marTop w:val="0"/>
      <w:marBottom w:val="0"/>
      <w:divBdr>
        <w:top w:val="none" w:sz="0" w:space="0" w:color="auto"/>
        <w:left w:val="none" w:sz="0" w:space="0" w:color="auto"/>
        <w:bottom w:val="none" w:sz="0" w:space="0" w:color="auto"/>
        <w:right w:val="none" w:sz="0" w:space="0" w:color="auto"/>
      </w:divBdr>
    </w:div>
    <w:div w:id="1892226382">
      <w:bodyDiv w:val="1"/>
      <w:marLeft w:val="0"/>
      <w:marRight w:val="0"/>
      <w:marTop w:val="0"/>
      <w:marBottom w:val="0"/>
      <w:divBdr>
        <w:top w:val="none" w:sz="0" w:space="0" w:color="auto"/>
        <w:left w:val="none" w:sz="0" w:space="0" w:color="auto"/>
        <w:bottom w:val="none" w:sz="0" w:space="0" w:color="auto"/>
        <w:right w:val="none" w:sz="0" w:space="0" w:color="auto"/>
      </w:divBdr>
    </w:div>
    <w:div w:id="1896507147">
      <w:bodyDiv w:val="1"/>
      <w:marLeft w:val="0"/>
      <w:marRight w:val="0"/>
      <w:marTop w:val="0"/>
      <w:marBottom w:val="0"/>
      <w:divBdr>
        <w:top w:val="none" w:sz="0" w:space="0" w:color="auto"/>
        <w:left w:val="none" w:sz="0" w:space="0" w:color="auto"/>
        <w:bottom w:val="none" w:sz="0" w:space="0" w:color="auto"/>
        <w:right w:val="none" w:sz="0" w:space="0" w:color="auto"/>
      </w:divBdr>
    </w:div>
    <w:div w:id="1937982475">
      <w:bodyDiv w:val="1"/>
      <w:marLeft w:val="0"/>
      <w:marRight w:val="0"/>
      <w:marTop w:val="0"/>
      <w:marBottom w:val="0"/>
      <w:divBdr>
        <w:top w:val="none" w:sz="0" w:space="0" w:color="auto"/>
        <w:left w:val="none" w:sz="0" w:space="0" w:color="auto"/>
        <w:bottom w:val="none" w:sz="0" w:space="0" w:color="auto"/>
        <w:right w:val="none" w:sz="0" w:space="0" w:color="auto"/>
      </w:divBdr>
    </w:div>
    <w:div w:id="1947688042">
      <w:bodyDiv w:val="1"/>
      <w:marLeft w:val="0"/>
      <w:marRight w:val="0"/>
      <w:marTop w:val="0"/>
      <w:marBottom w:val="0"/>
      <w:divBdr>
        <w:top w:val="none" w:sz="0" w:space="0" w:color="auto"/>
        <w:left w:val="none" w:sz="0" w:space="0" w:color="auto"/>
        <w:bottom w:val="none" w:sz="0" w:space="0" w:color="auto"/>
        <w:right w:val="none" w:sz="0" w:space="0" w:color="auto"/>
      </w:divBdr>
    </w:div>
    <w:div w:id="1962418731">
      <w:bodyDiv w:val="1"/>
      <w:marLeft w:val="0"/>
      <w:marRight w:val="0"/>
      <w:marTop w:val="0"/>
      <w:marBottom w:val="0"/>
      <w:divBdr>
        <w:top w:val="none" w:sz="0" w:space="0" w:color="auto"/>
        <w:left w:val="none" w:sz="0" w:space="0" w:color="auto"/>
        <w:bottom w:val="none" w:sz="0" w:space="0" w:color="auto"/>
        <w:right w:val="none" w:sz="0" w:space="0" w:color="auto"/>
      </w:divBdr>
    </w:div>
    <w:div w:id="1966546712">
      <w:bodyDiv w:val="1"/>
      <w:marLeft w:val="0"/>
      <w:marRight w:val="0"/>
      <w:marTop w:val="0"/>
      <w:marBottom w:val="0"/>
      <w:divBdr>
        <w:top w:val="none" w:sz="0" w:space="0" w:color="auto"/>
        <w:left w:val="none" w:sz="0" w:space="0" w:color="auto"/>
        <w:bottom w:val="none" w:sz="0" w:space="0" w:color="auto"/>
        <w:right w:val="none" w:sz="0" w:space="0" w:color="auto"/>
      </w:divBdr>
    </w:div>
    <w:div w:id="2007587404">
      <w:bodyDiv w:val="1"/>
      <w:marLeft w:val="0"/>
      <w:marRight w:val="0"/>
      <w:marTop w:val="0"/>
      <w:marBottom w:val="0"/>
      <w:divBdr>
        <w:top w:val="none" w:sz="0" w:space="0" w:color="auto"/>
        <w:left w:val="none" w:sz="0" w:space="0" w:color="auto"/>
        <w:bottom w:val="none" w:sz="0" w:space="0" w:color="auto"/>
        <w:right w:val="none" w:sz="0" w:space="0" w:color="auto"/>
      </w:divBdr>
    </w:div>
    <w:div w:id="2021277040">
      <w:bodyDiv w:val="1"/>
      <w:marLeft w:val="0"/>
      <w:marRight w:val="0"/>
      <w:marTop w:val="0"/>
      <w:marBottom w:val="0"/>
      <w:divBdr>
        <w:top w:val="none" w:sz="0" w:space="0" w:color="auto"/>
        <w:left w:val="none" w:sz="0" w:space="0" w:color="auto"/>
        <w:bottom w:val="none" w:sz="0" w:space="0" w:color="auto"/>
        <w:right w:val="none" w:sz="0" w:space="0" w:color="auto"/>
      </w:divBdr>
    </w:div>
    <w:div w:id="2024898538">
      <w:bodyDiv w:val="1"/>
      <w:marLeft w:val="0"/>
      <w:marRight w:val="0"/>
      <w:marTop w:val="0"/>
      <w:marBottom w:val="0"/>
      <w:divBdr>
        <w:top w:val="none" w:sz="0" w:space="0" w:color="auto"/>
        <w:left w:val="none" w:sz="0" w:space="0" w:color="auto"/>
        <w:bottom w:val="none" w:sz="0" w:space="0" w:color="auto"/>
        <w:right w:val="none" w:sz="0" w:space="0" w:color="auto"/>
      </w:divBdr>
    </w:div>
    <w:div w:id="2028174034">
      <w:bodyDiv w:val="1"/>
      <w:marLeft w:val="0"/>
      <w:marRight w:val="0"/>
      <w:marTop w:val="0"/>
      <w:marBottom w:val="0"/>
      <w:divBdr>
        <w:top w:val="none" w:sz="0" w:space="0" w:color="auto"/>
        <w:left w:val="none" w:sz="0" w:space="0" w:color="auto"/>
        <w:bottom w:val="none" w:sz="0" w:space="0" w:color="auto"/>
        <w:right w:val="none" w:sz="0" w:space="0" w:color="auto"/>
      </w:divBdr>
    </w:div>
    <w:div w:id="2042901897">
      <w:bodyDiv w:val="1"/>
      <w:marLeft w:val="0"/>
      <w:marRight w:val="0"/>
      <w:marTop w:val="0"/>
      <w:marBottom w:val="0"/>
      <w:divBdr>
        <w:top w:val="none" w:sz="0" w:space="0" w:color="auto"/>
        <w:left w:val="none" w:sz="0" w:space="0" w:color="auto"/>
        <w:bottom w:val="none" w:sz="0" w:space="0" w:color="auto"/>
        <w:right w:val="none" w:sz="0" w:space="0" w:color="auto"/>
      </w:divBdr>
    </w:div>
    <w:div w:id="2048724023">
      <w:bodyDiv w:val="1"/>
      <w:marLeft w:val="0"/>
      <w:marRight w:val="0"/>
      <w:marTop w:val="0"/>
      <w:marBottom w:val="0"/>
      <w:divBdr>
        <w:top w:val="none" w:sz="0" w:space="0" w:color="auto"/>
        <w:left w:val="none" w:sz="0" w:space="0" w:color="auto"/>
        <w:bottom w:val="none" w:sz="0" w:space="0" w:color="auto"/>
        <w:right w:val="none" w:sz="0" w:space="0" w:color="auto"/>
      </w:divBdr>
    </w:div>
    <w:div w:id="2062438699">
      <w:bodyDiv w:val="1"/>
      <w:marLeft w:val="0"/>
      <w:marRight w:val="0"/>
      <w:marTop w:val="0"/>
      <w:marBottom w:val="0"/>
      <w:divBdr>
        <w:top w:val="none" w:sz="0" w:space="0" w:color="auto"/>
        <w:left w:val="none" w:sz="0" w:space="0" w:color="auto"/>
        <w:bottom w:val="none" w:sz="0" w:space="0" w:color="auto"/>
        <w:right w:val="none" w:sz="0" w:space="0" w:color="auto"/>
      </w:divBdr>
    </w:div>
    <w:div w:id="2073577926">
      <w:bodyDiv w:val="1"/>
      <w:marLeft w:val="0"/>
      <w:marRight w:val="0"/>
      <w:marTop w:val="0"/>
      <w:marBottom w:val="0"/>
      <w:divBdr>
        <w:top w:val="none" w:sz="0" w:space="0" w:color="auto"/>
        <w:left w:val="none" w:sz="0" w:space="0" w:color="auto"/>
        <w:bottom w:val="none" w:sz="0" w:space="0" w:color="auto"/>
        <w:right w:val="none" w:sz="0" w:space="0" w:color="auto"/>
      </w:divBdr>
    </w:div>
    <w:div w:id="2083529094">
      <w:bodyDiv w:val="1"/>
      <w:marLeft w:val="0"/>
      <w:marRight w:val="0"/>
      <w:marTop w:val="0"/>
      <w:marBottom w:val="0"/>
      <w:divBdr>
        <w:top w:val="none" w:sz="0" w:space="0" w:color="auto"/>
        <w:left w:val="none" w:sz="0" w:space="0" w:color="auto"/>
        <w:bottom w:val="none" w:sz="0" w:space="0" w:color="auto"/>
        <w:right w:val="none" w:sz="0" w:space="0" w:color="auto"/>
      </w:divBdr>
    </w:div>
    <w:div w:id="2097088153">
      <w:bodyDiv w:val="1"/>
      <w:marLeft w:val="0"/>
      <w:marRight w:val="0"/>
      <w:marTop w:val="0"/>
      <w:marBottom w:val="0"/>
      <w:divBdr>
        <w:top w:val="none" w:sz="0" w:space="0" w:color="auto"/>
        <w:left w:val="none" w:sz="0" w:space="0" w:color="auto"/>
        <w:bottom w:val="none" w:sz="0" w:space="0" w:color="auto"/>
        <w:right w:val="none" w:sz="0" w:space="0" w:color="auto"/>
      </w:divBdr>
    </w:div>
    <w:div w:id="2123525921">
      <w:bodyDiv w:val="1"/>
      <w:marLeft w:val="0"/>
      <w:marRight w:val="0"/>
      <w:marTop w:val="0"/>
      <w:marBottom w:val="0"/>
      <w:divBdr>
        <w:top w:val="none" w:sz="0" w:space="0" w:color="auto"/>
        <w:left w:val="none" w:sz="0" w:space="0" w:color="auto"/>
        <w:bottom w:val="none" w:sz="0" w:space="0" w:color="auto"/>
        <w:right w:val="none" w:sz="0" w:space="0" w:color="auto"/>
      </w:divBdr>
    </w:div>
    <w:div w:id="2125035778">
      <w:bodyDiv w:val="1"/>
      <w:marLeft w:val="0"/>
      <w:marRight w:val="0"/>
      <w:marTop w:val="0"/>
      <w:marBottom w:val="0"/>
      <w:divBdr>
        <w:top w:val="none" w:sz="0" w:space="0" w:color="auto"/>
        <w:left w:val="none" w:sz="0" w:space="0" w:color="auto"/>
        <w:bottom w:val="none" w:sz="0" w:space="0" w:color="auto"/>
        <w:right w:val="none" w:sz="0" w:space="0" w:color="auto"/>
      </w:divBdr>
    </w:div>
    <w:div w:id="2143494521">
      <w:bodyDiv w:val="1"/>
      <w:marLeft w:val="0"/>
      <w:marRight w:val="0"/>
      <w:marTop w:val="0"/>
      <w:marBottom w:val="0"/>
      <w:divBdr>
        <w:top w:val="none" w:sz="0" w:space="0" w:color="auto"/>
        <w:left w:val="none" w:sz="0" w:space="0" w:color="auto"/>
        <w:bottom w:val="none" w:sz="0" w:space="0" w:color="auto"/>
        <w:right w:val="none" w:sz="0" w:space="0" w:color="auto"/>
      </w:divBdr>
    </w:div>
    <w:div w:id="2146198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GOV23</b:Tag>
    <b:SourceType>InternetSite</b:SourceType>
    <b:Guid>{DF35069B-215D-411B-936D-C961DE53A028}</b:Guid>
    <b:Author>
      <b:Author>
        <b:NameList>
          <b:Person>
            <b:Last>Irrigation</b:Last>
            <b:First>GOVERNMENT</b:First>
            <b:Middle>OF ASSAM</b:Middle>
          </b:Person>
        </b:NameList>
      </b:Author>
    </b:Author>
    <b:Title>Water User Association</b:Title>
    <b:Year>2023</b:Year>
    <b:InternetSiteTitle>Irrigation Department</b:InternetSiteTitle>
    <b:Month>sep</b:Month>
    <b:Day>07</b:Day>
    <b:URL>https://irrigation.assam.gov.in/</b:URL>
    <b:RefOrder>1</b:RefOrder>
  </b:Source>
  <b:Source>
    <b:Tag>DIR22</b:Tag>
    <b:SourceType>Book</b:SourceType>
    <b:Guid>{05B7B678-9381-447E-8EC5-7D8E53B54425}</b:Guid>
    <b:Author>
      <b:Author>
        <b:NameList>
          <b:Person>
            <b:Last>STATISTICS</b:Last>
            <b:First>DIRECTORATE</b:First>
            <b:Middle>OF ECONOMICS AND</b:Middle>
          </b:Person>
        </b:NameList>
      </b:Author>
    </b:Author>
    <b:Title>STATISTICAL HANDBOOK</b:Title>
    <b:Year>2022</b:Year>
    <b:City>GUWAHATI-28</b:City>
    <b:Publisher>GOVERMENT OF ASSAM</b:Publisher>
    <b:RefOrder>2</b:RefOrder>
  </b:Source>
</b:Sources>
</file>

<file path=customXml/itemProps1.xml><?xml version="1.0" encoding="utf-8"?>
<ds:datastoreItem xmlns:ds="http://schemas.openxmlformats.org/officeDocument/2006/customXml" ds:itemID="{2DC43DCD-AAD8-4496-AF72-19E42D832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1608</TotalTime>
  <Pages>14</Pages>
  <Words>3388</Words>
  <Characters>19316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Himashri</dc:creator>
  <cp:lastModifiedBy>HIMASRI BARMAN</cp:lastModifiedBy>
  <cp:revision>412</cp:revision>
  <dcterms:created xsi:type="dcterms:W3CDTF">2023-09-04T16:01:00Z</dcterms:created>
  <dcterms:modified xsi:type="dcterms:W3CDTF">2024-09-24T16:34:00Z</dcterms:modified>
</cp:coreProperties>
</file>