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31B" w:rsidRDefault="00313425">
      <w:pPr>
        <w:rPr>
          <w:rFonts w:ascii="Times New Roman" w:hAnsi="Times New Roman" w:cs="Times New Roman"/>
          <w:b/>
          <w:sz w:val="36"/>
          <w:szCs w:val="36"/>
        </w:rPr>
      </w:pPr>
      <w:bookmarkStart w:id="0" w:name="_GoBack"/>
      <w:bookmarkEnd w:id="0"/>
      <w:r>
        <w:rPr>
          <w:rFonts w:ascii="Times New Roman" w:hAnsi="Times New Roman" w:cs="Times New Roman"/>
          <w:b/>
          <w:sz w:val="36"/>
          <w:szCs w:val="36"/>
        </w:rPr>
        <w:t xml:space="preserve">2 </w:t>
      </w:r>
      <w:r w:rsidR="0037191D" w:rsidRPr="0037191D">
        <w:rPr>
          <w:rFonts w:ascii="Times New Roman" w:hAnsi="Times New Roman" w:cs="Times New Roman"/>
          <w:b/>
          <w:sz w:val="36"/>
          <w:szCs w:val="36"/>
        </w:rPr>
        <w:t>Theoretical Underpinning</w:t>
      </w:r>
    </w:p>
    <w:p w:rsidR="00683FF0" w:rsidRDefault="00313425">
      <w:pPr>
        <w:rPr>
          <w:rFonts w:ascii="Times New Roman" w:hAnsi="Times New Roman" w:cs="Times New Roman"/>
          <w:b/>
          <w:sz w:val="32"/>
          <w:szCs w:val="32"/>
        </w:rPr>
      </w:pPr>
      <w:r>
        <w:rPr>
          <w:rFonts w:ascii="Times New Roman" w:hAnsi="Times New Roman" w:cs="Times New Roman"/>
          <w:b/>
          <w:sz w:val="32"/>
          <w:szCs w:val="32"/>
        </w:rPr>
        <w:t xml:space="preserve">2.1 </w:t>
      </w:r>
      <w:r w:rsidR="00683FF0" w:rsidRPr="00683FF0">
        <w:rPr>
          <w:rFonts w:ascii="Times New Roman" w:hAnsi="Times New Roman" w:cs="Times New Roman"/>
          <w:b/>
          <w:sz w:val="32"/>
          <w:szCs w:val="32"/>
        </w:rPr>
        <w:t>Resource Based View</w:t>
      </w:r>
    </w:p>
    <w:p w:rsidR="00AA7D23" w:rsidRDefault="007457D8" w:rsidP="00FB6092">
      <w:pPr>
        <w:spacing w:line="360" w:lineRule="auto"/>
        <w:jc w:val="both"/>
        <w:rPr>
          <w:rFonts w:ascii="Times New Roman" w:hAnsi="Times New Roman" w:cs="Times New Roman"/>
          <w:sz w:val="24"/>
          <w:szCs w:val="24"/>
        </w:rPr>
      </w:pPr>
      <w:r w:rsidRPr="007457D8">
        <w:rPr>
          <w:rFonts w:ascii="Times New Roman" w:hAnsi="Times New Roman" w:cs="Times New Roman"/>
          <w:color w:val="FF0000"/>
          <w:sz w:val="24"/>
          <w:szCs w:val="24"/>
        </w:rPr>
        <w:t xml:space="preserve">Penrose's 1959 </w:t>
      </w:r>
      <w:r w:rsidRPr="007457D8">
        <w:rPr>
          <w:rFonts w:ascii="Times New Roman" w:hAnsi="Times New Roman" w:cs="Times New Roman"/>
          <w:sz w:val="24"/>
          <w:szCs w:val="24"/>
        </w:rPr>
        <w:t>theory of firm growth starts from the premise that a company's identity is defined by its resources rather than its products. This laid the groundwork for the Resource-Based Approach, which has recently become a crucial aspect of strategic management</w:t>
      </w:r>
      <w:r>
        <w:rPr>
          <w:rFonts w:ascii="Times New Roman" w:hAnsi="Times New Roman" w:cs="Times New Roman"/>
          <w:sz w:val="24"/>
          <w:szCs w:val="24"/>
        </w:rPr>
        <w:t xml:space="preserve"> </w:t>
      </w:r>
      <w:r w:rsidRPr="007457D8">
        <w:rPr>
          <w:rFonts w:ascii="Times New Roman" w:hAnsi="Times New Roman" w:cs="Times New Roman"/>
          <w:color w:val="FF0000"/>
          <w:sz w:val="24"/>
          <w:szCs w:val="24"/>
        </w:rPr>
        <w:t>(</w:t>
      </w:r>
      <w:r w:rsidR="00AB6073" w:rsidRPr="00AB6073">
        <w:rPr>
          <w:rFonts w:ascii="Times New Roman" w:hAnsi="Times New Roman" w:cs="Times New Roman"/>
          <w:color w:val="FF0000"/>
          <w:sz w:val="24"/>
          <w:szCs w:val="24"/>
          <w:shd w:val="clear" w:color="auto" w:fill="FFFFFF"/>
        </w:rPr>
        <w:t>Mishra 2019</w:t>
      </w:r>
      <w:r w:rsidR="00AB6073">
        <w:rPr>
          <w:rFonts w:ascii="Times New Roman" w:hAnsi="Times New Roman" w:cs="Times New Roman"/>
          <w:color w:val="FF0000"/>
          <w:sz w:val="24"/>
          <w:szCs w:val="24"/>
          <w:shd w:val="clear" w:color="auto" w:fill="FFFFFF"/>
        </w:rPr>
        <w:t xml:space="preserve">, </w:t>
      </w:r>
      <w:r w:rsidRPr="007457D8">
        <w:rPr>
          <w:rFonts w:ascii="Times New Roman" w:hAnsi="Times New Roman" w:cs="Times New Roman"/>
          <w:color w:val="FF0000"/>
          <w:sz w:val="24"/>
          <w:szCs w:val="24"/>
        </w:rPr>
        <w:t xml:space="preserve">Barney, 1991). </w:t>
      </w:r>
      <w:r w:rsidR="005C6D16" w:rsidRPr="005C6D16">
        <w:rPr>
          <w:rFonts w:ascii="Times New Roman" w:hAnsi="Times New Roman" w:cs="Times New Roman"/>
          <w:sz w:val="24"/>
          <w:szCs w:val="24"/>
        </w:rPr>
        <w:t xml:space="preserve">Firm growth can be attributed to external variables, such as demand, internal resources, and expertise. However, a firm's internal elements, such as knowledge and leadership style, are typically more significant than external ones. </w:t>
      </w:r>
      <w:r w:rsidR="007A6456" w:rsidRPr="007A6456">
        <w:rPr>
          <w:rFonts w:ascii="Times New Roman" w:hAnsi="Times New Roman" w:cs="Times New Roman"/>
          <w:sz w:val="24"/>
          <w:szCs w:val="24"/>
        </w:rPr>
        <w:t>Effective use of resources occurs when their services are combined, yielding new knowledge for taking advantage</w:t>
      </w:r>
      <w:r w:rsidR="007A6456">
        <w:rPr>
          <w:rFonts w:ascii="Times New Roman" w:hAnsi="Times New Roman" w:cs="Times New Roman"/>
          <w:sz w:val="24"/>
          <w:szCs w:val="24"/>
        </w:rPr>
        <w:t xml:space="preserve"> of</w:t>
      </w:r>
      <w:r w:rsidR="00AA7D23">
        <w:rPr>
          <w:rFonts w:ascii="Times New Roman" w:hAnsi="Times New Roman" w:cs="Times New Roman"/>
          <w:sz w:val="24"/>
          <w:szCs w:val="24"/>
        </w:rPr>
        <w:t xml:space="preserve"> new markets. </w:t>
      </w:r>
      <w:r w:rsidR="00AA7D23" w:rsidRPr="00AA7D23">
        <w:rPr>
          <w:rFonts w:ascii="Times New Roman" w:hAnsi="Times New Roman" w:cs="Times New Roman"/>
          <w:sz w:val="24"/>
          <w:szCs w:val="24"/>
        </w:rPr>
        <w:t>A company's resources are the various types of assets it has that are under its control. These can be physical objects, such as equipment or facilities, and intangible assets, such as intellectual property or brand recognition</w:t>
      </w:r>
      <w:r w:rsidR="00AA7D23">
        <w:rPr>
          <w:rFonts w:ascii="Times New Roman" w:hAnsi="Times New Roman" w:cs="Times New Roman"/>
          <w:sz w:val="24"/>
          <w:szCs w:val="24"/>
        </w:rPr>
        <w:t xml:space="preserve"> </w:t>
      </w:r>
      <w:r w:rsidR="00AA7D23" w:rsidRPr="00AB6073">
        <w:rPr>
          <w:rFonts w:ascii="Times New Roman" w:hAnsi="Times New Roman" w:cs="Times New Roman"/>
          <w:color w:val="FF0000"/>
          <w:sz w:val="24"/>
          <w:szCs w:val="24"/>
        </w:rPr>
        <w:t>(Grant, 1991)</w:t>
      </w:r>
      <w:r w:rsidR="00AA7D23" w:rsidRPr="00AA7D23">
        <w:rPr>
          <w:rFonts w:ascii="Times New Roman" w:hAnsi="Times New Roman" w:cs="Times New Roman"/>
          <w:sz w:val="24"/>
          <w:szCs w:val="24"/>
        </w:rPr>
        <w:t>.</w:t>
      </w:r>
      <w:r w:rsidR="00DF367C">
        <w:rPr>
          <w:rFonts w:ascii="Times New Roman" w:hAnsi="Times New Roman" w:cs="Times New Roman"/>
          <w:sz w:val="24"/>
          <w:szCs w:val="24"/>
        </w:rPr>
        <w:t xml:space="preserve"> </w:t>
      </w:r>
      <w:r w:rsidR="00B45E29" w:rsidRPr="00B45E29">
        <w:rPr>
          <w:rFonts w:ascii="Times New Roman" w:hAnsi="Times New Roman" w:cs="Times New Roman"/>
          <w:sz w:val="24"/>
          <w:szCs w:val="24"/>
        </w:rPr>
        <w:t xml:space="preserve">On the other hand, capabilities are the abilities and expertise a company acquires to effectively utilize and integrate resources to accomplish a specific goal, such </w:t>
      </w:r>
      <w:proofErr w:type="gramStart"/>
      <w:r w:rsidR="00B45E29" w:rsidRPr="00B45E29">
        <w:rPr>
          <w:rFonts w:ascii="Times New Roman" w:hAnsi="Times New Roman" w:cs="Times New Roman"/>
          <w:sz w:val="24"/>
          <w:szCs w:val="24"/>
        </w:rPr>
        <w:t>as</w:t>
      </w:r>
      <w:proofErr w:type="gramEnd"/>
      <w:r w:rsidR="00B45E29" w:rsidRPr="00B45E29">
        <w:rPr>
          <w:rFonts w:ascii="Times New Roman" w:hAnsi="Times New Roman" w:cs="Times New Roman"/>
          <w:sz w:val="24"/>
          <w:szCs w:val="24"/>
        </w:rPr>
        <w:t xml:space="preserve"> gaining a competitive edge. </w:t>
      </w:r>
      <w:r w:rsidR="006A4064" w:rsidRPr="006A4064">
        <w:rPr>
          <w:rFonts w:ascii="Times New Roman" w:hAnsi="Times New Roman" w:cs="Times New Roman"/>
          <w:sz w:val="24"/>
          <w:szCs w:val="24"/>
        </w:rPr>
        <w:t xml:space="preserve">According to </w:t>
      </w:r>
      <w:r w:rsidR="006A4064" w:rsidRPr="00FB6092">
        <w:rPr>
          <w:rFonts w:ascii="Times New Roman" w:hAnsi="Times New Roman" w:cs="Times New Roman"/>
          <w:color w:val="FF0000"/>
          <w:sz w:val="24"/>
          <w:szCs w:val="24"/>
        </w:rPr>
        <w:t>Barney (1991)</w:t>
      </w:r>
      <w:r w:rsidR="006A4064" w:rsidRPr="006A4064">
        <w:rPr>
          <w:rFonts w:ascii="Times New Roman" w:hAnsi="Times New Roman" w:cs="Times New Roman"/>
          <w:sz w:val="24"/>
          <w:szCs w:val="24"/>
        </w:rPr>
        <w:t>, a company gains a competitive advantage by executing a unique value-creation strategy that any direct or potential competitor does not use. This advantage becomes sustainable when no competitor can replicate the benefits of the strategy</w:t>
      </w:r>
      <w:r w:rsidR="006A4064">
        <w:rPr>
          <w:rFonts w:ascii="Times New Roman" w:hAnsi="Times New Roman" w:cs="Times New Roman"/>
          <w:sz w:val="24"/>
          <w:szCs w:val="24"/>
        </w:rPr>
        <w:t xml:space="preserve"> or the firm capabilities. </w:t>
      </w:r>
      <w:r w:rsidR="00B45E29" w:rsidRPr="00B45E29">
        <w:rPr>
          <w:rFonts w:ascii="Times New Roman" w:hAnsi="Times New Roman" w:cs="Times New Roman"/>
          <w:sz w:val="24"/>
          <w:szCs w:val="24"/>
        </w:rPr>
        <w:t>These capabilities are cultivated over time through delicate relationships within the company's resources</w:t>
      </w:r>
      <w:r w:rsidR="00AB6073">
        <w:rPr>
          <w:rFonts w:ascii="Times New Roman" w:hAnsi="Times New Roman" w:cs="Times New Roman"/>
          <w:sz w:val="24"/>
          <w:szCs w:val="24"/>
        </w:rPr>
        <w:t xml:space="preserve"> </w:t>
      </w:r>
      <w:r w:rsidR="00AB6073" w:rsidRPr="00AB6073">
        <w:rPr>
          <w:rFonts w:ascii="Times New Roman" w:hAnsi="Times New Roman" w:cs="Times New Roman"/>
          <w:color w:val="FF0000"/>
          <w:sz w:val="24"/>
          <w:szCs w:val="24"/>
        </w:rPr>
        <w:t>(</w:t>
      </w:r>
      <w:r w:rsidR="00AB6073" w:rsidRPr="00AB6073">
        <w:rPr>
          <w:rFonts w:ascii="Times New Roman" w:hAnsi="Times New Roman" w:cs="Times New Roman"/>
          <w:color w:val="FF0000"/>
          <w:sz w:val="24"/>
          <w:szCs w:val="24"/>
          <w:shd w:val="clear" w:color="auto" w:fill="FFFFFF"/>
        </w:rPr>
        <w:t>Mishra 2019</w:t>
      </w:r>
      <w:r w:rsidR="00AB6073" w:rsidRPr="00AB6073">
        <w:rPr>
          <w:rFonts w:ascii="Times New Roman" w:hAnsi="Times New Roman" w:cs="Times New Roman"/>
          <w:color w:val="FF0000"/>
          <w:sz w:val="24"/>
          <w:szCs w:val="24"/>
        </w:rPr>
        <w:t>)</w:t>
      </w:r>
      <w:r w:rsidR="00B45E29" w:rsidRPr="00B45E29">
        <w:rPr>
          <w:rFonts w:ascii="Times New Roman" w:hAnsi="Times New Roman" w:cs="Times New Roman"/>
          <w:sz w:val="24"/>
          <w:szCs w:val="24"/>
        </w:rPr>
        <w:t xml:space="preserve">.  </w:t>
      </w:r>
    </w:p>
    <w:p w:rsidR="00FB6092" w:rsidRDefault="004E5C54" w:rsidP="00FB6092">
      <w:pPr>
        <w:spacing w:line="360" w:lineRule="auto"/>
        <w:jc w:val="both"/>
        <w:rPr>
          <w:rFonts w:ascii="Times New Roman" w:hAnsi="Times New Roman" w:cs="Times New Roman"/>
          <w:sz w:val="24"/>
          <w:szCs w:val="24"/>
        </w:rPr>
      </w:pPr>
      <w:r w:rsidRPr="004E5C54">
        <w:rPr>
          <w:rFonts w:ascii="Times New Roman" w:hAnsi="Times New Roman" w:cs="Times New Roman"/>
          <w:sz w:val="24"/>
          <w:szCs w:val="24"/>
        </w:rPr>
        <w:t>Thus, the sustainability of the competitive advantage depends on specific attributes of the resources and capabilities possessed b</w:t>
      </w:r>
      <w:r w:rsidR="00EA47F7">
        <w:rPr>
          <w:rFonts w:ascii="Times New Roman" w:hAnsi="Times New Roman" w:cs="Times New Roman"/>
          <w:sz w:val="24"/>
          <w:szCs w:val="24"/>
        </w:rPr>
        <w:t xml:space="preserve">y the firm, such as their </w:t>
      </w:r>
      <w:r w:rsidR="00EA47F7" w:rsidRPr="004E5C54">
        <w:rPr>
          <w:rFonts w:ascii="Times New Roman" w:hAnsi="Times New Roman" w:cs="Times New Roman"/>
          <w:sz w:val="24"/>
          <w:szCs w:val="24"/>
        </w:rPr>
        <w:t>unique</w:t>
      </w:r>
      <w:r w:rsidRPr="004E5C54">
        <w:rPr>
          <w:rFonts w:ascii="Times New Roman" w:hAnsi="Times New Roman" w:cs="Times New Roman"/>
          <w:sz w:val="24"/>
          <w:szCs w:val="24"/>
        </w:rPr>
        <w:t xml:space="preserve"> resources (i.e., not readily available and imitated by the competitors), and knowledge management capability </w:t>
      </w:r>
      <w:r w:rsidRPr="004E5C54">
        <w:rPr>
          <w:rFonts w:ascii="Times New Roman" w:hAnsi="Times New Roman" w:cs="Times New Roman"/>
          <w:color w:val="FF0000"/>
          <w:sz w:val="24"/>
          <w:szCs w:val="24"/>
        </w:rPr>
        <w:t>(Mishra, 2019; Grant, 1991; Barney, 1991)</w:t>
      </w:r>
      <w:r w:rsidRPr="004E5C54">
        <w:rPr>
          <w:rFonts w:ascii="Times New Roman" w:hAnsi="Times New Roman" w:cs="Times New Roman"/>
          <w:sz w:val="24"/>
          <w:szCs w:val="24"/>
        </w:rPr>
        <w:t>. In this context, the organization's leadership plays a crucial role in managing these resources, and the capabilities that fulfill these characteristics are generally intangible and socially complex. Leadership provides opportunit</w:t>
      </w:r>
      <w:r w:rsidR="00EA47F7">
        <w:rPr>
          <w:rFonts w:ascii="Times New Roman" w:hAnsi="Times New Roman" w:cs="Times New Roman"/>
          <w:sz w:val="24"/>
          <w:szCs w:val="24"/>
        </w:rPr>
        <w:t>ies to explore and exploit the</w:t>
      </w:r>
      <w:r w:rsidRPr="004E5C54">
        <w:rPr>
          <w:rFonts w:ascii="Times New Roman" w:hAnsi="Times New Roman" w:cs="Times New Roman"/>
          <w:sz w:val="24"/>
          <w:szCs w:val="24"/>
        </w:rPr>
        <w:t xml:space="preserve"> </w:t>
      </w:r>
      <w:r w:rsidR="00EA47F7" w:rsidRPr="004E5C54">
        <w:rPr>
          <w:rFonts w:ascii="Times New Roman" w:hAnsi="Times New Roman" w:cs="Times New Roman"/>
          <w:sz w:val="24"/>
          <w:szCs w:val="24"/>
        </w:rPr>
        <w:t>distinctive</w:t>
      </w:r>
      <w:r w:rsidRPr="004E5C54">
        <w:rPr>
          <w:rFonts w:ascii="Times New Roman" w:hAnsi="Times New Roman" w:cs="Times New Roman"/>
          <w:sz w:val="24"/>
          <w:szCs w:val="24"/>
        </w:rPr>
        <w:t xml:space="preserve"> knowledge</w:t>
      </w:r>
      <w:r w:rsidR="00EA47F7">
        <w:rPr>
          <w:rFonts w:ascii="Times New Roman" w:hAnsi="Times New Roman" w:cs="Times New Roman"/>
          <w:sz w:val="24"/>
          <w:szCs w:val="24"/>
        </w:rPr>
        <w:t xml:space="preserve"> sources</w:t>
      </w:r>
      <w:r w:rsidRPr="004E5C54">
        <w:rPr>
          <w:rFonts w:ascii="Times New Roman" w:hAnsi="Times New Roman" w:cs="Times New Roman"/>
          <w:sz w:val="24"/>
          <w:szCs w:val="24"/>
        </w:rPr>
        <w:t xml:space="preserve"> in the organization's best interest. </w:t>
      </w:r>
      <w:r w:rsidR="00FB6092" w:rsidRPr="00FB6092">
        <w:rPr>
          <w:rFonts w:ascii="Times New Roman" w:hAnsi="Times New Roman" w:cs="Times New Roman"/>
          <w:sz w:val="24"/>
          <w:szCs w:val="24"/>
        </w:rPr>
        <w:t>In this context, the organization's leadership plays a crucial role in managing these resources, and the capabilities that fulfill these characteristics are generally intangible and socially complex. Leadership provides opportunities to explore and exploit the distinctive knowledge sources in the organization's best interest. Therefore, from RBV's perspective, organizational leadership and knowledge play a fundamental role in developing their competitive advantage.</w:t>
      </w:r>
    </w:p>
    <w:p w:rsidR="00FB6092" w:rsidRPr="00931EC5" w:rsidRDefault="00FB6092" w:rsidP="00FB6092">
      <w:pPr>
        <w:spacing w:line="360" w:lineRule="auto"/>
        <w:jc w:val="both"/>
        <w:rPr>
          <w:rFonts w:asciiTheme="majorBidi" w:hAnsiTheme="majorBidi" w:cstheme="majorBidi"/>
          <w:color w:val="000000"/>
          <w:sz w:val="24"/>
          <w:szCs w:val="24"/>
        </w:rPr>
      </w:pPr>
      <w:r>
        <w:rPr>
          <w:rFonts w:asciiTheme="majorBidi" w:hAnsiTheme="majorBidi" w:cstheme="majorBidi"/>
          <w:sz w:val="24"/>
          <w:szCs w:val="24"/>
        </w:rPr>
        <w:lastRenderedPageBreak/>
        <w:t xml:space="preserve">Moreover, </w:t>
      </w:r>
      <w:r w:rsidRPr="00931EC5">
        <w:rPr>
          <w:rFonts w:asciiTheme="majorBidi" w:hAnsiTheme="majorBidi" w:cstheme="majorBidi"/>
          <w:sz w:val="24"/>
          <w:szCs w:val="24"/>
        </w:rPr>
        <w:t xml:space="preserve">a corporation has a competitive advantage if it can provide an identical product or service at a lower price or more desired manner than its competitors. Under these circumstances, the productive entity can generate greater sales or achieve higher profit margins relative to its competitors in the market </w:t>
      </w:r>
      <w:r w:rsidRPr="00931EC5">
        <w:rPr>
          <w:rFonts w:asciiTheme="majorBidi" w:hAnsiTheme="majorBidi" w:cstheme="majorBidi"/>
          <w:i/>
          <w:iCs/>
          <w:color w:val="FF0000"/>
          <w:sz w:val="24"/>
          <w:szCs w:val="24"/>
        </w:rPr>
        <w:t xml:space="preserve">(Bash &amp; </w:t>
      </w:r>
      <w:proofErr w:type="spellStart"/>
      <w:r w:rsidRPr="00931EC5">
        <w:rPr>
          <w:rFonts w:asciiTheme="majorBidi" w:hAnsiTheme="majorBidi" w:cstheme="majorBidi"/>
          <w:i/>
          <w:iCs/>
          <w:color w:val="FF0000"/>
          <w:sz w:val="24"/>
          <w:szCs w:val="24"/>
        </w:rPr>
        <w:t>Jin</w:t>
      </w:r>
      <w:proofErr w:type="spellEnd"/>
      <w:r w:rsidRPr="00931EC5">
        <w:rPr>
          <w:rFonts w:asciiTheme="majorBidi" w:hAnsiTheme="majorBidi" w:cstheme="majorBidi"/>
          <w:i/>
          <w:iCs/>
          <w:color w:val="FF0000"/>
          <w:sz w:val="24"/>
          <w:szCs w:val="24"/>
        </w:rPr>
        <w:t>, 2019)</w:t>
      </w:r>
      <w:r w:rsidRPr="00931EC5">
        <w:rPr>
          <w:rFonts w:asciiTheme="majorBidi" w:hAnsiTheme="majorBidi" w:cstheme="majorBidi"/>
          <w:sz w:val="24"/>
          <w:szCs w:val="24"/>
        </w:rPr>
        <w:t xml:space="preserve">. </w:t>
      </w:r>
      <w:r w:rsidRPr="00931EC5">
        <w:rPr>
          <w:rFonts w:asciiTheme="majorBidi" w:hAnsiTheme="majorBidi" w:cstheme="majorBidi"/>
          <w:color w:val="000000"/>
          <w:sz w:val="24"/>
          <w:szCs w:val="24"/>
        </w:rPr>
        <w:t>In addition, this competitive edge becomes long-lasting if the attributes cannot be easily replaced.</w:t>
      </w:r>
      <w:r w:rsidRPr="00931EC5">
        <w:rPr>
          <w:rFonts w:asciiTheme="majorBidi" w:hAnsiTheme="majorBidi" w:cstheme="majorBidi"/>
          <w:sz w:val="24"/>
          <w:szCs w:val="24"/>
        </w:rPr>
        <w:t xml:space="preserve"> For that reason, </w:t>
      </w:r>
      <w:r w:rsidRPr="00931EC5">
        <w:rPr>
          <w:rFonts w:asciiTheme="majorBidi" w:hAnsiTheme="majorBidi" w:cstheme="majorBidi"/>
          <w:color w:val="000000"/>
          <w:sz w:val="24"/>
          <w:szCs w:val="24"/>
        </w:rPr>
        <w:t xml:space="preserve">CA is described in the strategic management literature as traits of an organization that are valuable, unique, and hard to imitate by other organizations, providing the firm with an advantage over others </w:t>
      </w:r>
      <w:r w:rsidRPr="00931EC5">
        <w:rPr>
          <w:rFonts w:asciiTheme="majorBidi" w:hAnsiTheme="majorBidi" w:cstheme="majorBidi"/>
          <w:i/>
          <w:iCs/>
          <w:color w:val="FF0000"/>
          <w:sz w:val="24"/>
          <w:szCs w:val="24"/>
        </w:rPr>
        <w:t>(Arthur, S.M. 2017)</w:t>
      </w:r>
      <w:r w:rsidRPr="00931EC5">
        <w:rPr>
          <w:rFonts w:asciiTheme="majorBidi" w:hAnsiTheme="majorBidi" w:cstheme="majorBidi"/>
          <w:color w:val="000000"/>
          <w:sz w:val="24"/>
          <w:szCs w:val="24"/>
        </w:rPr>
        <w:t xml:space="preserve">. </w:t>
      </w:r>
    </w:p>
    <w:p w:rsidR="00FB6092" w:rsidRPr="00931EC5" w:rsidRDefault="00FB6092" w:rsidP="00FB6092">
      <w:pPr>
        <w:autoSpaceDE w:val="0"/>
        <w:autoSpaceDN w:val="0"/>
        <w:adjustRightInd w:val="0"/>
        <w:spacing w:after="0" w:line="360" w:lineRule="auto"/>
        <w:jc w:val="both"/>
        <w:rPr>
          <w:rFonts w:asciiTheme="majorBidi" w:hAnsiTheme="majorBidi" w:cstheme="majorBidi"/>
          <w:color w:val="FF0000"/>
          <w:sz w:val="24"/>
          <w:szCs w:val="24"/>
        </w:rPr>
      </w:pPr>
      <w:r w:rsidRPr="00931EC5">
        <w:rPr>
          <w:rFonts w:asciiTheme="majorBidi" w:hAnsiTheme="majorBidi" w:cstheme="majorBidi"/>
          <w:color w:val="000000"/>
          <w:sz w:val="24"/>
          <w:szCs w:val="24"/>
        </w:rPr>
        <w:t xml:space="preserve">The fundamental idea behind CA is that it occurs when an organization can supply the same amount of value as its rivals at a lower cost (also known as a cost advantage) or offer benefits that are superior to those provided by competing goods and services (also known as a differentiation advantage) </w:t>
      </w:r>
      <w:r w:rsidRPr="00931EC5">
        <w:rPr>
          <w:rFonts w:asciiTheme="majorBidi" w:hAnsiTheme="majorBidi" w:cstheme="majorBidi"/>
          <w:color w:val="FF0000"/>
          <w:sz w:val="24"/>
          <w:szCs w:val="24"/>
        </w:rPr>
        <w:t>(</w:t>
      </w:r>
      <w:proofErr w:type="spellStart"/>
      <w:r w:rsidRPr="00931EC5">
        <w:rPr>
          <w:rFonts w:asciiTheme="majorBidi" w:hAnsiTheme="majorBidi" w:cstheme="majorBidi"/>
          <w:i/>
          <w:iCs/>
          <w:color w:val="FF0000"/>
          <w:sz w:val="24"/>
          <w:szCs w:val="24"/>
        </w:rPr>
        <w:t>Hadj</w:t>
      </w:r>
      <w:proofErr w:type="spellEnd"/>
      <w:r w:rsidRPr="00931EC5">
        <w:rPr>
          <w:rFonts w:asciiTheme="majorBidi" w:hAnsiTheme="majorBidi" w:cstheme="majorBidi"/>
          <w:i/>
          <w:iCs/>
          <w:color w:val="FF0000"/>
          <w:sz w:val="24"/>
          <w:szCs w:val="24"/>
        </w:rPr>
        <w:t xml:space="preserve"> et al., 2020</w:t>
      </w:r>
      <w:r w:rsidRPr="00931EC5">
        <w:rPr>
          <w:rFonts w:asciiTheme="majorBidi" w:hAnsiTheme="majorBidi" w:cstheme="majorBidi"/>
          <w:sz w:val="24"/>
          <w:szCs w:val="24"/>
        </w:rPr>
        <w:t xml:space="preserve"> and </w:t>
      </w:r>
      <w:r w:rsidRPr="00931EC5">
        <w:rPr>
          <w:rFonts w:asciiTheme="majorBidi" w:hAnsiTheme="majorBidi" w:cstheme="majorBidi"/>
          <w:i/>
          <w:iCs/>
          <w:color w:val="FF0000"/>
          <w:sz w:val="24"/>
          <w:szCs w:val="24"/>
        </w:rPr>
        <w:t xml:space="preserve">Porter 1985). </w:t>
      </w:r>
      <w:r w:rsidRPr="00931EC5">
        <w:rPr>
          <w:rFonts w:asciiTheme="majorBidi" w:hAnsiTheme="majorBidi" w:cstheme="majorBidi"/>
          <w:sz w:val="24"/>
          <w:szCs w:val="24"/>
        </w:rPr>
        <w:t>Furthermore,</w:t>
      </w:r>
      <w:r w:rsidRPr="00931EC5">
        <w:rPr>
          <w:rFonts w:asciiTheme="majorBidi" w:hAnsiTheme="majorBidi" w:cstheme="majorBidi"/>
          <w:i/>
          <w:iCs/>
          <w:color w:val="FF0000"/>
          <w:sz w:val="24"/>
          <w:szCs w:val="24"/>
        </w:rPr>
        <w:t xml:space="preserve"> </w:t>
      </w:r>
      <w:hyperlink r:id="rId4" w:anchor="ref115" w:tgtFrame="_blank" w:history="1">
        <w:proofErr w:type="spellStart"/>
        <w:r w:rsidRPr="00931EC5">
          <w:rPr>
            <w:rFonts w:asciiTheme="majorBidi" w:hAnsiTheme="majorBidi" w:cstheme="majorBidi"/>
            <w:i/>
            <w:iCs/>
            <w:color w:val="FF0000"/>
            <w:sz w:val="24"/>
            <w:szCs w:val="24"/>
          </w:rPr>
          <w:t>Seddighi</w:t>
        </w:r>
        <w:proofErr w:type="spellEnd"/>
        <w:r w:rsidRPr="00931EC5">
          <w:rPr>
            <w:rFonts w:asciiTheme="majorBidi" w:hAnsiTheme="majorBidi" w:cstheme="majorBidi"/>
            <w:i/>
            <w:iCs/>
            <w:color w:val="FF0000"/>
            <w:sz w:val="24"/>
            <w:szCs w:val="24"/>
          </w:rPr>
          <w:t xml:space="preserve"> and Mathew (2020</w:t>
        </w:r>
      </w:hyperlink>
      <w:r w:rsidRPr="00931EC5">
        <w:rPr>
          <w:rFonts w:asciiTheme="majorBidi" w:hAnsiTheme="majorBidi" w:cstheme="majorBidi"/>
          <w:i/>
          <w:iCs/>
          <w:color w:val="FF0000"/>
          <w:sz w:val="24"/>
          <w:szCs w:val="24"/>
        </w:rPr>
        <w:t>)</w:t>
      </w:r>
      <w:r w:rsidRPr="00931EC5">
        <w:rPr>
          <w:rFonts w:asciiTheme="majorBidi" w:hAnsiTheme="majorBidi" w:cstheme="majorBidi"/>
          <w:color w:val="FF0000"/>
          <w:sz w:val="24"/>
          <w:szCs w:val="24"/>
        </w:rPr>
        <w:t> </w:t>
      </w:r>
      <w:r w:rsidRPr="00931EC5">
        <w:rPr>
          <w:rFonts w:asciiTheme="majorBidi" w:hAnsiTheme="majorBidi" w:cstheme="majorBidi"/>
          <w:sz w:val="24"/>
          <w:szCs w:val="24"/>
        </w:rPr>
        <w:t xml:space="preserve">discussed that the CA of any organization develops from its core competency, and the difference in core competency results in differences in the productivity of the firm and, consequently, it’s’ profitability.  In addition, according to Porter's concept of CA, there are two main channels through which businesses can build up a CA. The first is the cost-driving approach, which is responsible for a significant portion of an organization's overall expenditures. The ability to manage costs gives companies a competitive advantage (CA). Porter's second method is to revamp a company's overall value chain to establish more effective ways of developing, producing, distributing, and selling its products, it also gives the company an edge over its competitors </w:t>
      </w:r>
      <w:r w:rsidRPr="00931EC5">
        <w:rPr>
          <w:rFonts w:asciiTheme="majorBidi" w:hAnsiTheme="majorBidi" w:cstheme="majorBidi"/>
          <w:i/>
          <w:iCs/>
          <w:color w:val="FF0000"/>
          <w:sz w:val="24"/>
          <w:szCs w:val="24"/>
        </w:rPr>
        <w:t xml:space="preserve">(Ding et al., 2019).  </w:t>
      </w:r>
    </w:p>
    <w:p w:rsidR="00FB6092" w:rsidRDefault="00FB6092" w:rsidP="00FB6092">
      <w:pPr>
        <w:autoSpaceDE w:val="0"/>
        <w:autoSpaceDN w:val="0"/>
        <w:adjustRightInd w:val="0"/>
        <w:spacing w:after="0" w:line="360" w:lineRule="auto"/>
        <w:jc w:val="both"/>
        <w:rPr>
          <w:rFonts w:asciiTheme="majorBidi" w:hAnsiTheme="majorBidi" w:cstheme="majorBidi"/>
          <w:sz w:val="24"/>
          <w:szCs w:val="24"/>
        </w:rPr>
      </w:pPr>
      <w:r w:rsidRPr="00931EC5">
        <w:rPr>
          <w:rFonts w:asciiTheme="majorBidi" w:hAnsiTheme="majorBidi" w:cstheme="majorBidi"/>
          <w:color w:val="000000"/>
          <w:sz w:val="24"/>
          <w:szCs w:val="24"/>
        </w:rPr>
        <w:t xml:space="preserve">As mentioned earlier, the conventional perspective on the origins of competitive advantage was advanced by the Resource-Based View (RBV) theory proposed by </w:t>
      </w:r>
      <w:r w:rsidRPr="00931EC5">
        <w:rPr>
          <w:rFonts w:asciiTheme="majorBidi" w:hAnsiTheme="majorBidi" w:cstheme="majorBidi"/>
          <w:i/>
          <w:iCs/>
          <w:color w:val="FF0000"/>
          <w:sz w:val="24"/>
          <w:szCs w:val="24"/>
        </w:rPr>
        <w:t>Barney (1991)</w:t>
      </w:r>
      <w:r w:rsidRPr="00931EC5">
        <w:rPr>
          <w:rFonts w:asciiTheme="majorBidi" w:hAnsiTheme="majorBidi" w:cstheme="majorBidi"/>
          <w:color w:val="000000"/>
          <w:sz w:val="24"/>
          <w:szCs w:val="24"/>
        </w:rPr>
        <w:t xml:space="preserve">. This theory posits that organizational resources, whether intangible or tangible, are the primary determinants of competitive advantage, subject to specific criteria being met. The RBV asserts that in order to establish a CA, resources must possess the dual characteristics of scarcity and value. Moreover, if these resources are also challenging to replicate and replace, they can maintain the advantage over a long time </w:t>
      </w:r>
      <w:r w:rsidRPr="00931EC5">
        <w:rPr>
          <w:rFonts w:asciiTheme="majorBidi" w:hAnsiTheme="majorBidi" w:cstheme="majorBidi"/>
          <w:i/>
          <w:iCs/>
          <w:color w:val="FF0000"/>
          <w:sz w:val="24"/>
          <w:szCs w:val="24"/>
        </w:rPr>
        <w:t>(</w:t>
      </w:r>
      <w:proofErr w:type="spellStart"/>
      <w:r w:rsidRPr="00931EC5">
        <w:rPr>
          <w:rFonts w:asciiTheme="majorBidi" w:hAnsiTheme="majorBidi" w:cstheme="majorBidi"/>
          <w:i/>
          <w:iCs/>
          <w:color w:val="FF0000"/>
          <w:sz w:val="24"/>
          <w:szCs w:val="24"/>
        </w:rPr>
        <w:t>Qiu</w:t>
      </w:r>
      <w:proofErr w:type="spellEnd"/>
      <w:r w:rsidRPr="00931EC5">
        <w:rPr>
          <w:rFonts w:asciiTheme="majorBidi" w:hAnsiTheme="majorBidi" w:cstheme="majorBidi"/>
          <w:i/>
          <w:iCs/>
          <w:color w:val="FF0000"/>
          <w:sz w:val="24"/>
          <w:szCs w:val="24"/>
        </w:rPr>
        <w:t xml:space="preserve">, L et al 2020). </w:t>
      </w:r>
      <w:r w:rsidRPr="00931EC5">
        <w:rPr>
          <w:rFonts w:asciiTheme="majorBidi" w:hAnsiTheme="majorBidi" w:cstheme="majorBidi"/>
          <w:color w:val="000000"/>
          <w:sz w:val="24"/>
          <w:szCs w:val="24"/>
        </w:rPr>
        <w:t>Likewise,</w:t>
      </w:r>
      <w:r w:rsidRPr="00931EC5">
        <w:rPr>
          <w:rFonts w:asciiTheme="majorBidi" w:hAnsiTheme="majorBidi" w:cstheme="majorBidi"/>
          <w:i/>
          <w:iCs/>
          <w:color w:val="FF0000"/>
          <w:sz w:val="24"/>
          <w:szCs w:val="24"/>
        </w:rPr>
        <w:t xml:space="preserve"> </w:t>
      </w:r>
      <w:proofErr w:type="spellStart"/>
      <w:r w:rsidRPr="00931EC5">
        <w:rPr>
          <w:rFonts w:asciiTheme="majorBidi" w:hAnsiTheme="majorBidi" w:cstheme="majorBidi"/>
          <w:i/>
          <w:iCs/>
          <w:color w:val="FF0000"/>
          <w:sz w:val="24"/>
          <w:szCs w:val="24"/>
        </w:rPr>
        <w:t>Teece</w:t>
      </w:r>
      <w:proofErr w:type="spellEnd"/>
      <w:r w:rsidRPr="00931EC5">
        <w:rPr>
          <w:rFonts w:asciiTheme="majorBidi" w:hAnsiTheme="majorBidi" w:cstheme="majorBidi"/>
          <w:i/>
          <w:iCs/>
          <w:color w:val="FF0000"/>
          <w:sz w:val="24"/>
          <w:szCs w:val="24"/>
        </w:rPr>
        <w:t xml:space="preserve">, D.J. (2016) </w:t>
      </w:r>
      <w:r w:rsidRPr="00931EC5">
        <w:rPr>
          <w:rFonts w:asciiTheme="majorBidi" w:hAnsiTheme="majorBidi" w:cstheme="majorBidi"/>
          <w:color w:val="000000"/>
          <w:sz w:val="24"/>
          <w:szCs w:val="24"/>
        </w:rPr>
        <w:t xml:space="preserve">mentioned that the concept of competitive advantage (C.A.) arises when a particular company or a whole industry gains or creates a characteristic or a set of features that allow it to differentiate itself from its rivals. These attributes may manifest as natural resources, geographical location, and availability of cost-effective energy, unique technology, or access to skilled and knowledgeable human resources. </w:t>
      </w:r>
      <w:r w:rsidRPr="00931EC5">
        <w:rPr>
          <w:rFonts w:asciiTheme="majorBidi" w:hAnsiTheme="majorBidi" w:cstheme="majorBidi"/>
          <w:color w:val="000000"/>
          <w:sz w:val="24"/>
          <w:szCs w:val="24"/>
        </w:rPr>
        <w:lastRenderedPageBreak/>
        <w:t xml:space="preserve">Given the preceding discussion, modern perspectives on CA no longer limit themselves to conventional low-price or product differentiation. Recent studies have identified several factors driving organizations’ CA. These include the agility of the organization, as noted by </w:t>
      </w:r>
      <w:r w:rsidRPr="00931EC5">
        <w:rPr>
          <w:rFonts w:asciiTheme="majorBidi" w:hAnsiTheme="majorBidi" w:cstheme="majorBidi"/>
          <w:i/>
          <w:iCs/>
          <w:color w:val="FF0000"/>
          <w:sz w:val="24"/>
          <w:szCs w:val="24"/>
        </w:rPr>
        <w:t>Liu et al. (2020)</w:t>
      </w:r>
      <w:r w:rsidRPr="00931EC5">
        <w:rPr>
          <w:rFonts w:asciiTheme="majorBidi" w:hAnsiTheme="majorBidi" w:cstheme="majorBidi"/>
          <w:color w:val="000000"/>
          <w:sz w:val="24"/>
          <w:szCs w:val="24"/>
        </w:rPr>
        <w:t xml:space="preserve">, the innovation capability of the organization, as highlighted by </w:t>
      </w:r>
      <w:proofErr w:type="spellStart"/>
      <w:r w:rsidRPr="00931EC5">
        <w:rPr>
          <w:rFonts w:asciiTheme="majorBidi" w:hAnsiTheme="majorBidi" w:cstheme="majorBidi"/>
          <w:i/>
          <w:iCs/>
          <w:color w:val="FF0000"/>
          <w:sz w:val="24"/>
          <w:szCs w:val="24"/>
        </w:rPr>
        <w:t>Gloet</w:t>
      </w:r>
      <w:proofErr w:type="spellEnd"/>
      <w:r w:rsidRPr="00931EC5">
        <w:rPr>
          <w:rFonts w:asciiTheme="majorBidi" w:hAnsiTheme="majorBidi" w:cstheme="majorBidi"/>
          <w:i/>
          <w:iCs/>
          <w:color w:val="FF0000"/>
          <w:sz w:val="24"/>
          <w:szCs w:val="24"/>
        </w:rPr>
        <w:t xml:space="preserve"> and Samson (2020)</w:t>
      </w:r>
      <w:r w:rsidRPr="00931EC5">
        <w:rPr>
          <w:rFonts w:asciiTheme="majorBidi" w:hAnsiTheme="majorBidi" w:cstheme="majorBidi"/>
          <w:color w:val="000000"/>
          <w:sz w:val="24"/>
          <w:szCs w:val="24"/>
        </w:rPr>
        <w:t xml:space="preserve">, and the effective management of organizational knowledge, as discussed by </w:t>
      </w:r>
      <w:proofErr w:type="spellStart"/>
      <w:r w:rsidRPr="00931EC5">
        <w:rPr>
          <w:rFonts w:asciiTheme="majorBidi" w:hAnsiTheme="majorBidi" w:cstheme="majorBidi"/>
          <w:i/>
          <w:iCs/>
          <w:color w:val="FF0000"/>
          <w:sz w:val="24"/>
          <w:szCs w:val="24"/>
        </w:rPr>
        <w:t>Simao</w:t>
      </w:r>
      <w:proofErr w:type="spellEnd"/>
      <w:r w:rsidRPr="00931EC5">
        <w:rPr>
          <w:rFonts w:asciiTheme="majorBidi" w:hAnsiTheme="majorBidi" w:cstheme="majorBidi"/>
          <w:i/>
          <w:iCs/>
          <w:color w:val="FF0000"/>
          <w:sz w:val="24"/>
          <w:szCs w:val="24"/>
        </w:rPr>
        <w:t xml:space="preserve"> and Franco (2018)</w:t>
      </w:r>
      <w:r w:rsidRPr="00931EC5">
        <w:rPr>
          <w:rFonts w:asciiTheme="majorBidi" w:hAnsiTheme="majorBidi" w:cstheme="majorBidi"/>
          <w:sz w:val="24"/>
          <w:szCs w:val="24"/>
        </w:rPr>
        <w:t xml:space="preserve">. </w:t>
      </w:r>
    </w:p>
    <w:p w:rsidR="0036160E" w:rsidRPr="000C5D85" w:rsidRDefault="0036160E" w:rsidP="0036160E">
      <w:pPr>
        <w:autoSpaceDE w:val="0"/>
        <w:autoSpaceDN w:val="0"/>
        <w:adjustRightInd w:val="0"/>
        <w:spacing w:after="0" w:line="360" w:lineRule="auto"/>
        <w:jc w:val="both"/>
        <w:rPr>
          <w:rFonts w:asciiTheme="majorBidi" w:hAnsiTheme="majorBidi" w:cstheme="majorBidi"/>
          <w:b/>
          <w:sz w:val="32"/>
          <w:szCs w:val="32"/>
        </w:rPr>
      </w:pPr>
      <w:r w:rsidRPr="000C5D85">
        <w:rPr>
          <w:rFonts w:ascii="Times New Roman" w:hAnsi="Times New Roman" w:cs="Times New Roman"/>
          <w:b/>
          <w:sz w:val="32"/>
          <w:szCs w:val="32"/>
        </w:rPr>
        <w:t>2.2 Dynamic Capabilities Theory</w:t>
      </w:r>
    </w:p>
    <w:p w:rsidR="00E52D1A" w:rsidRDefault="00E52D1A" w:rsidP="00E52D1A">
      <w:pPr>
        <w:pStyle w:val="Default"/>
        <w:spacing w:line="360" w:lineRule="auto"/>
        <w:jc w:val="both"/>
        <w:rPr>
          <w:rFonts w:ascii="Times New Roman" w:hAnsi="Times New Roman" w:cs="Times New Roman"/>
          <w:color w:val="auto"/>
        </w:rPr>
      </w:pPr>
      <w:r w:rsidRPr="00152CEC">
        <w:rPr>
          <w:rFonts w:ascii="Times New Roman" w:hAnsi="Times New Roman" w:cs="Times New Roman"/>
          <w:color w:val="auto"/>
        </w:rPr>
        <w:t xml:space="preserve">The Dynamic Capabilities Theory is a management theory that focuses on a firm's ability to adapt to changing environments and markets. It complements and extends the scope of the Resource-Based Approach by emphasizing the importance of a firm's ability to learn, innovate, and reconfigure its resources and capabilities in response to changing market conditions. This theory suggests that a firm's competitive advantage is not solely based on its existing resources but also on its ability to develop new ones and adapt to changing circumstances </w:t>
      </w:r>
      <w:r w:rsidRPr="00ED22CF">
        <w:rPr>
          <w:rFonts w:ascii="Times New Roman" w:hAnsi="Times New Roman" w:cs="Times New Roman"/>
          <w:color w:val="auto"/>
          <w:highlight w:val="yellow"/>
        </w:rPr>
        <w:t>(Nelson &amp; Winter, 1982)</w:t>
      </w:r>
      <w:r w:rsidRPr="00152CEC">
        <w:rPr>
          <w:rFonts w:ascii="Times New Roman" w:hAnsi="Times New Roman" w:cs="Times New Roman"/>
          <w:color w:val="auto"/>
        </w:rPr>
        <w:t xml:space="preserve">. This theory is also strongly influenced by the evolutionary theory of the firm, identifying organizational routines as the basic unit of analysis of organizational behavior and providing a framework for firms to build and sustain competitive advantage over time </w:t>
      </w:r>
      <w:r w:rsidRPr="00ED22CF">
        <w:rPr>
          <w:rFonts w:ascii="Times New Roman" w:hAnsi="Times New Roman" w:cs="Times New Roman"/>
          <w:color w:val="auto"/>
          <w:highlight w:val="yellow"/>
        </w:rPr>
        <w:t>(</w:t>
      </w:r>
      <w:proofErr w:type="spellStart"/>
      <w:r w:rsidRPr="00ED22CF">
        <w:rPr>
          <w:rFonts w:ascii="Times New Roman" w:hAnsi="Times New Roman" w:cs="Times New Roman"/>
          <w:color w:val="auto"/>
          <w:highlight w:val="yellow"/>
        </w:rPr>
        <w:t>Teece</w:t>
      </w:r>
      <w:proofErr w:type="spellEnd"/>
      <w:r w:rsidRPr="00ED22CF">
        <w:rPr>
          <w:rFonts w:ascii="Times New Roman" w:hAnsi="Times New Roman" w:cs="Times New Roman"/>
          <w:color w:val="auto"/>
          <w:highlight w:val="yellow"/>
        </w:rPr>
        <w:t xml:space="preserve"> et al., 1997).</w:t>
      </w:r>
      <w:r w:rsidRPr="00152CEC">
        <w:rPr>
          <w:rFonts w:ascii="Times New Roman" w:hAnsi="Times New Roman" w:cs="Times New Roman"/>
          <w:color w:val="auto"/>
        </w:rPr>
        <w:t xml:space="preserve"> </w:t>
      </w:r>
    </w:p>
    <w:p w:rsidR="00E52D1A" w:rsidRDefault="00E52D1A" w:rsidP="00E52D1A">
      <w:pPr>
        <w:pStyle w:val="Default"/>
        <w:spacing w:line="360" w:lineRule="auto"/>
        <w:jc w:val="both"/>
        <w:rPr>
          <w:rFonts w:ascii="Times New Roman" w:hAnsi="Times New Roman" w:cs="Times New Roman"/>
          <w:color w:val="auto"/>
        </w:rPr>
      </w:pPr>
    </w:p>
    <w:p w:rsidR="00E52D1A" w:rsidRDefault="00E52D1A" w:rsidP="00E52D1A">
      <w:pPr>
        <w:pStyle w:val="Default"/>
        <w:spacing w:line="360" w:lineRule="auto"/>
        <w:jc w:val="both"/>
        <w:rPr>
          <w:rFonts w:ascii="Times New Roman" w:hAnsi="Times New Roman" w:cs="Times New Roman"/>
        </w:rPr>
      </w:pPr>
      <w:r w:rsidRPr="00827B81">
        <w:rPr>
          <w:rFonts w:ascii="Times New Roman" w:hAnsi="Times New Roman" w:cs="Times New Roman"/>
          <w:color w:val="auto"/>
        </w:rPr>
        <w:t>The capacity to create new knowledge is a dynamic capability of the firm. It entails discovering new information and using what it already knows through knowledge exchange and integration. Such capability changes the cognitive structure of the firm, which in turn affects organizational chang</w:t>
      </w:r>
      <w:r>
        <w:rPr>
          <w:rFonts w:ascii="Times New Roman" w:hAnsi="Times New Roman" w:cs="Times New Roman"/>
          <w:color w:val="auto"/>
        </w:rPr>
        <w:t xml:space="preserve">e and the company's bottom line </w:t>
      </w:r>
      <w:r w:rsidRPr="00ED22CF">
        <w:rPr>
          <w:rFonts w:ascii="Times New Roman" w:hAnsi="Times New Roman" w:cs="Times New Roman"/>
          <w:color w:val="auto"/>
          <w:highlight w:val="yellow"/>
        </w:rPr>
        <w:t>(</w:t>
      </w:r>
      <w:proofErr w:type="spellStart"/>
      <w:r w:rsidRPr="00ED22CF">
        <w:rPr>
          <w:rFonts w:ascii="Times New Roman" w:hAnsi="Times New Roman" w:cs="Times New Roman"/>
          <w:color w:val="auto"/>
          <w:highlight w:val="yellow"/>
        </w:rPr>
        <w:t>López</w:t>
      </w:r>
      <w:proofErr w:type="spellEnd"/>
      <w:r w:rsidRPr="00ED22CF">
        <w:rPr>
          <w:rFonts w:ascii="Times New Roman" w:hAnsi="Times New Roman" w:cs="Times New Roman"/>
          <w:color w:val="auto"/>
          <w:highlight w:val="yellow"/>
        </w:rPr>
        <w:t>-Zapata et al., 2016)</w:t>
      </w:r>
      <w:r w:rsidRPr="005263CE">
        <w:rPr>
          <w:rFonts w:ascii="Times New Roman" w:hAnsi="Times New Roman" w:cs="Times New Roman"/>
          <w:color w:val="auto"/>
        </w:rPr>
        <w:t xml:space="preserve">. </w:t>
      </w:r>
      <w:r>
        <w:rPr>
          <w:rFonts w:ascii="Times New Roman" w:hAnsi="Times New Roman" w:cs="Times New Roman"/>
          <w:color w:val="auto"/>
        </w:rPr>
        <w:t xml:space="preserve"> </w:t>
      </w:r>
      <w:r w:rsidRPr="00827B81">
        <w:rPr>
          <w:rFonts w:ascii="Times New Roman" w:hAnsi="Times New Roman" w:cs="Times New Roman"/>
        </w:rPr>
        <w:t xml:space="preserve">This explanation highlights the complexity associated with that concept and </w:t>
      </w:r>
      <w:r>
        <w:rPr>
          <w:rFonts w:ascii="Times New Roman" w:hAnsi="Times New Roman" w:cs="Times New Roman"/>
        </w:rPr>
        <w:t>presents several outcomes</w:t>
      </w:r>
      <w:r w:rsidRPr="005263CE">
        <w:rPr>
          <w:rFonts w:ascii="Times New Roman" w:hAnsi="Times New Roman" w:cs="Times New Roman"/>
        </w:rPr>
        <w:t xml:space="preserve">. </w:t>
      </w:r>
    </w:p>
    <w:p w:rsidR="00E52D1A" w:rsidRPr="00827B81" w:rsidRDefault="00E52D1A" w:rsidP="00E52D1A">
      <w:pPr>
        <w:pStyle w:val="Default"/>
        <w:spacing w:line="360" w:lineRule="auto"/>
        <w:jc w:val="both"/>
        <w:rPr>
          <w:rFonts w:ascii="Times New Roman" w:hAnsi="Times New Roman" w:cs="Times New Roman"/>
          <w:color w:val="auto"/>
        </w:rPr>
      </w:pPr>
      <w:r w:rsidRPr="00827B81">
        <w:rPr>
          <w:rFonts w:ascii="Times New Roman" w:hAnsi="Times New Roman" w:cs="Times New Roman"/>
        </w:rPr>
        <w:t xml:space="preserve">First, according to </w:t>
      </w:r>
      <w:r w:rsidRPr="00F14DCC">
        <w:rPr>
          <w:rFonts w:ascii="Times New Roman" w:hAnsi="Times New Roman" w:cs="Times New Roman"/>
          <w:highlight w:val="yellow"/>
        </w:rPr>
        <w:t>March (1991),</w:t>
      </w:r>
      <w:r w:rsidRPr="00827B81">
        <w:rPr>
          <w:rFonts w:ascii="Times New Roman" w:hAnsi="Times New Roman" w:cs="Times New Roman"/>
        </w:rPr>
        <w:t xml:space="preserve"> "it recognizes the ambidextrous nature of learning. It allows the firm to simultaneously acquire novel knowledge to anticipate the future (exploration) and deepen its current knowledge to be more efficient i</w:t>
      </w:r>
      <w:r>
        <w:rPr>
          <w:rFonts w:ascii="Times New Roman" w:hAnsi="Times New Roman" w:cs="Times New Roman"/>
        </w:rPr>
        <w:t>n the present (exploitation)."</w:t>
      </w:r>
      <w:r w:rsidRPr="00147E23">
        <w:t xml:space="preserve"> </w:t>
      </w:r>
      <w:r w:rsidRPr="00147E23">
        <w:rPr>
          <w:rFonts w:ascii="Times New Roman" w:hAnsi="Times New Roman" w:cs="Times New Roman"/>
        </w:rPr>
        <w:t xml:space="preserve">Secondly, at the individual level, knowledge creation is a process that involves intuition, which is the ability to understand something instinctively without the need for conscious reasoning. Personal experiences, beliefs, and values influence this process. At the group level, knowledge creation is a collaborative effort that involves distributing and interpreting knowledge through language and social dynamics. This process is influenced by the diversity of perspectives, the quality of communication, and the level of trust among group members. At the organizational level, knowledge creation is institutionalized </w:t>
      </w:r>
      <w:r w:rsidRPr="00147E23">
        <w:rPr>
          <w:rFonts w:ascii="Times New Roman" w:hAnsi="Times New Roman" w:cs="Times New Roman"/>
        </w:rPr>
        <w:lastRenderedPageBreak/>
        <w:t>as organizational memory, which refers to the collective knowledge and experience of the organization. This process involves creating, storing, retrieving, exchanging, and integrating knowledge within the organization. It is influenced by the organizational culture, structure, and leadership backing systems th</w:t>
      </w:r>
      <w:r>
        <w:rPr>
          <w:rFonts w:ascii="Times New Roman" w:hAnsi="Times New Roman" w:cs="Times New Roman"/>
        </w:rPr>
        <w:t xml:space="preserve">at support knowledge management </w:t>
      </w:r>
      <w:r w:rsidRPr="00A428DC">
        <w:rPr>
          <w:rFonts w:ascii="Times New Roman" w:hAnsi="Times New Roman" w:cs="Times New Roman"/>
          <w:highlight w:val="yellow"/>
        </w:rPr>
        <w:t>(Huber, 1991).</w:t>
      </w:r>
      <w:r w:rsidRPr="005263CE">
        <w:rPr>
          <w:rFonts w:ascii="Times New Roman" w:hAnsi="Times New Roman" w:cs="Times New Roman"/>
        </w:rPr>
        <w:t xml:space="preserve"> </w:t>
      </w:r>
      <w:r w:rsidRPr="00A428DC">
        <w:rPr>
          <w:rFonts w:ascii="Times New Roman" w:hAnsi="Times New Roman" w:cs="Times New Roman"/>
        </w:rPr>
        <w:t>Thirdly, consider the dual innovation approach and the aspects of knowledge generation, knowing that a company learns by adjusting its knowledge base and collective interpretation of it</w:t>
      </w:r>
      <w:r>
        <w:rPr>
          <w:rFonts w:ascii="Times New Roman" w:hAnsi="Times New Roman" w:cs="Times New Roman"/>
        </w:rPr>
        <w:t xml:space="preserve">s activities to the environment </w:t>
      </w:r>
      <w:r w:rsidRPr="00A428DC">
        <w:rPr>
          <w:rFonts w:ascii="Times New Roman" w:hAnsi="Times New Roman" w:cs="Times New Roman"/>
          <w:highlight w:val="yellow"/>
        </w:rPr>
        <w:t>(</w:t>
      </w:r>
      <w:proofErr w:type="spellStart"/>
      <w:r w:rsidRPr="00A428DC">
        <w:rPr>
          <w:rFonts w:ascii="Times New Roman" w:hAnsi="Times New Roman" w:cs="Times New Roman"/>
          <w:highlight w:val="yellow"/>
        </w:rPr>
        <w:t>Fiol</w:t>
      </w:r>
      <w:proofErr w:type="spellEnd"/>
      <w:r w:rsidRPr="00A428DC">
        <w:rPr>
          <w:rFonts w:ascii="Times New Roman" w:hAnsi="Times New Roman" w:cs="Times New Roman"/>
          <w:highlight w:val="yellow"/>
        </w:rPr>
        <w:t xml:space="preserve"> and Lyles, 1985).</w:t>
      </w:r>
      <w:r w:rsidRPr="005263CE">
        <w:rPr>
          <w:rFonts w:ascii="Times New Roman" w:hAnsi="Times New Roman" w:cs="Times New Roman"/>
        </w:rPr>
        <w:t xml:space="preserve"> </w:t>
      </w:r>
      <w:r w:rsidRPr="00A428DC">
        <w:rPr>
          <w:rFonts w:ascii="Times New Roman" w:hAnsi="Times New Roman" w:cs="Times New Roman"/>
        </w:rPr>
        <w:t>Considering knowledge creation and ambidextrous innovation as dynamic capabilities has an even more important implication, and both can be sources of sust</w:t>
      </w:r>
      <w:r>
        <w:rPr>
          <w:rFonts w:ascii="Times New Roman" w:hAnsi="Times New Roman" w:cs="Times New Roman"/>
        </w:rPr>
        <w:t>ainable competitive advantage</w:t>
      </w:r>
      <w:r w:rsidRPr="005263CE">
        <w:rPr>
          <w:rFonts w:ascii="Times New Roman" w:hAnsi="Times New Roman" w:cs="Times New Roman"/>
        </w:rPr>
        <w:t xml:space="preserve"> </w:t>
      </w:r>
      <w:r w:rsidRPr="004B2467">
        <w:rPr>
          <w:rFonts w:ascii="Times New Roman" w:hAnsi="Times New Roman" w:cs="Times New Roman"/>
          <w:highlight w:val="yellow"/>
        </w:rPr>
        <w:t xml:space="preserve">(Amit and </w:t>
      </w:r>
      <w:proofErr w:type="spellStart"/>
      <w:r w:rsidRPr="004B2467">
        <w:rPr>
          <w:rFonts w:ascii="Times New Roman" w:hAnsi="Times New Roman" w:cs="Times New Roman"/>
          <w:highlight w:val="yellow"/>
        </w:rPr>
        <w:t>Schoemaker</w:t>
      </w:r>
      <w:proofErr w:type="spellEnd"/>
      <w:r w:rsidRPr="004B2467">
        <w:rPr>
          <w:rFonts w:ascii="Times New Roman" w:hAnsi="Times New Roman" w:cs="Times New Roman"/>
          <w:highlight w:val="yellow"/>
        </w:rPr>
        <w:t>, 1993)</w:t>
      </w:r>
      <w:r w:rsidRPr="005263CE">
        <w:rPr>
          <w:rFonts w:ascii="Times New Roman" w:hAnsi="Times New Roman" w:cs="Times New Roman"/>
        </w:rPr>
        <w:t>.</w:t>
      </w:r>
    </w:p>
    <w:p w:rsidR="00E52D1A" w:rsidRPr="005263CE" w:rsidRDefault="00E52D1A" w:rsidP="00E52D1A">
      <w:pPr>
        <w:spacing w:line="360" w:lineRule="auto"/>
        <w:jc w:val="both"/>
        <w:rPr>
          <w:rFonts w:ascii="Times New Roman" w:hAnsi="Times New Roman" w:cs="Times New Roman"/>
          <w:sz w:val="24"/>
          <w:szCs w:val="24"/>
        </w:rPr>
      </w:pPr>
      <w:r w:rsidRPr="005263CE">
        <w:rPr>
          <w:rFonts w:ascii="Times New Roman" w:hAnsi="Times New Roman" w:cs="Times New Roman"/>
          <w:sz w:val="24"/>
          <w:szCs w:val="24"/>
        </w:rPr>
        <w:t xml:space="preserve">Taking these arguments into account, during the last decades there has been a growing scientific interest in analyzing the real impact of learning capabilities on competitiveness and performance. </w:t>
      </w:r>
      <w:r w:rsidRPr="00036EF0">
        <w:rPr>
          <w:rFonts w:ascii="Times New Roman" w:hAnsi="Times New Roman" w:cs="Times New Roman"/>
          <w:sz w:val="24"/>
          <w:szCs w:val="24"/>
          <w:highlight w:val="yellow"/>
        </w:rPr>
        <w:t>According to Jansen (2011),</w:t>
      </w:r>
      <w:r w:rsidRPr="005263CE">
        <w:rPr>
          <w:rFonts w:ascii="Times New Roman" w:hAnsi="Times New Roman" w:cs="Times New Roman"/>
          <w:sz w:val="24"/>
          <w:szCs w:val="24"/>
        </w:rPr>
        <w:t xml:space="preserve"> the study of ambidexterity is framed within the Resources and Capabilities Theory and is analyzed from the perspective of strategic management and organizational design, innovation and learning.</w:t>
      </w:r>
    </w:p>
    <w:p w:rsidR="00E52D1A" w:rsidRDefault="00E52D1A" w:rsidP="00E52D1A">
      <w:pPr>
        <w:spacing w:line="360" w:lineRule="auto"/>
        <w:jc w:val="both"/>
        <w:rPr>
          <w:rFonts w:ascii="Times New Roman" w:hAnsi="Times New Roman" w:cs="Times New Roman"/>
          <w:sz w:val="24"/>
          <w:szCs w:val="24"/>
        </w:rPr>
      </w:pPr>
      <w:r w:rsidRPr="0075058C">
        <w:rPr>
          <w:rFonts w:ascii="Times New Roman" w:hAnsi="Times New Roman" w:cs="Times New Roman"/>
          <w:sz w:val="24"/>
          <w:szCs w:val="24"/>
        </w:rPr>
        <w:t>According to Barney (1991), "The Theory of Resources and Capabilities is based on the idea of generating competitive advantage through a set of unique, valuable, and hardly imitabl</w:t>
      </w:r>
      <w:r>
        <w:rPr>
          <w:rFonts w:ascii="Times New Roman" w:hAnsi="Times New Roman" w:cs="Times New Roman"/>
          <w:sz w:val="24"/>
          <w:szCs w:val="24"/>
        </w:rPr>
        <w:t xml:space="preserve">e or substitutable resources." </w:t>
      </w:r>
      <w:r w:rsidRPr="00036EF0">
        <w:rPr>
          <w:rFonts w:ascii="Times New Roman" w:hAnsi="Times New Roman" w:cs="Times New Roman"/>
          <w:sz w:val="24"/>
          <w:szCs w:val="24"/>
        </w:rPr>
        <w:t>When these resources are combined and integrated correctly, they can create distinct</w:t>
      </w:r>
      <w:r>
        <w:rPr>
          <w:rFonts w:ascii="Times New Roman" w:hAnsi="Times New Roman" w:cs="Times New Roman"/>
          <w:sz w:val="24"/>
          <w:szCs w:val="24"/>
        </w:rPr>
        <w:t>ive organizational capabilities</w:t>
      </w:r>
      <w:r w:rsidRPr="00036EF0">
        <w:rPr>
          <w:rFonts w:ascii="Times New Roman" w:hAnsi="Times New Roman" w:cs="Times New Roman"/>
          <w:sz w:val="24"/>
          <w:szCs w:val="24"/>
        </w:rPr>
        <w:t xml:space="preserve"> </w:t>
      </w:r>
      <w:r w:rsidRPr="00036EF0">
        <w:rPr>
          <w:rFonts w:ascii="Times New Roman" w:hAnsi="Times New Roman" w:cs="Times New Roman"/>
          <w:sz w:val="24"/>
          <w:szCs w:val="24"/>
          <w:highlight w:val="yellow"/>
        </w:rPr>
        <w:t>(</w:t>
      </w:r>
      <w:proofErr w:type="spellStart"/>
      <w:r w:rsidRPr="00036EF0">
        <w:rPr>
          <w:rFonts w:ascii="Times New Roman" w:hAnsi="Times New Roman" w:cs="Times New Roman"/>
          <w:sz w:val="24"/>
          <w:szCs w:val="24"/>
          <w:highlight w:val="yellow"/>
        </w:rPr>
        <w:t>Teece</w:t>
      </w:r>
      <w:proofErr w:type="spellEnd"/>
      <w:r w:rsidRPr="00036EF0">
        <w:rPr>
          <w:rFonts w:ascii="Times New Roman" w:hAnsi="Times New Roman" w:cs="Times New Roman"/>
          <w:sz w:val="24"/>
          <w:szCs w:val="24"/>
          <w:highlight w:val="yellow"/>
        </w:rPr>
        <w:t>, 2007)</w:t>
      </w:r>
      <w:r w:rsidRPr="005263CE">
        <w:rPr>
          <w:rFonts w:ascii="Times New Roman" w:hAnsi="Times New Roman" w:cs="Times New Roman"/>
          <w:sz w:val="24"/>
          <w:szCs w:val="24"/>
        </w:rPr>
        <w:t xml:space="preserve">. </w:t>
      </w:r>
      <w:r w:rsidRPr="00237915">
        <w:rPr>
          <w:rFonts w:ascii="Times New Roman" w:hAnsi="Times New Roman" w:cs="Times New Roman"/>
          <w:sz w:val="24"/>
          <w:szCs w:val="24"/>
        </w:rPr>
        <w:t xml:space="preserve">The successful implementation of this theory in highly unpredictable environments necessitates its extension to the Dynamic Capabilities Approach </w:t>
      </w:r>
      <w:r w:rsidRPr="00237915">
        <w:rPr>
          <w:rFonts w:ascii="Times New Roman" w:hAnsi="Times New Roman" w:cs="Times New Roman"/>
          <w:sz w:val="24"/>
          <w:szCs w:val="24"/>
          <w:highlight w:val="yellow"/>
        </w:rPr>
        <w:t>(</w:t>
      </w:r>
      <w:proofErr w:type="spellStart"/>
      <w:r w:rsidRPr="00237915">
        <w:rPr>
          <w:rFonts w:ascii="Times New Roman" w:hAnsi="Times New Roman" w:cs="Times New Roman"/>
          <w:sz w:val="24"/>
          <w:szCs w:val="24"/>
          <w:highlight w:val="yellow"/>
        </w:rPr>
        <w:t>Teece</w:t>
      </w:r>
      <w:proofErr w:type="spellEnd"/>
      <w:r w:rsidRPr="00237915">
        <w:rPr>
          <w:rFonts w:ascii="Times New Roman" w:hAnsi="Times New Roman" w:cs="Times New Roman"/>
          <w:sz w:val="24"/>
          <w:szCs w:val="24"/>
          <w:highlight w:val="yellow"/>
        </w:rPr>
        <w:t xml:space="preserve"> et al., 1997).</w:t>
      </w:r>
      <w:r w:rsidRPr="00237915">
        <w:rPr>
          <w:rFonts w:ascii="Times New Roman" w:hAnsi="Times New Roman" w:cs="Times New Roman"/>
          <w:sz w:val="24"/>
          <w:szCs w:val="24"/>
        </w:rPr>
        <w:t xml:space="preserve"> This theoretical framework defines dynamic capability as the company's ability to create novel competitive advantages by reconfiguring competencies or organizational resources.</w:t>
      </w:r>
      <w:r w:rsidRPr="005263CE">
        <w:rPr>
          <w:rFonts w:ascii="Times New Roman" w:hAnsi="Times New Roman" w:cs="Times New Roman"/>
          <w:sz w:val="24"/>
          <w:szCs w:val="24"/>
        </w:rPr>
        <w:t xml:space="preserve"> </w:t>
      </w:r>
      <w:r w:rsidRPr="00807571">
        <w:rPr>
          <w:rFonts w:ascii="Times New Roman" w:hAnsi="Times New Roman" w:cs="Times New Roman"/>
          <w:sz w:val="24"/>
          <w:szCs w:val="24"/>
        </w:rPr>
        <w:t xml:space="preserve">Therefore, the accomplishment of long-term competitive advantage can be facilitated by adopting this theoretical approach.   </w:t>
      </w:r>
    </w:p>
    <w:p w:rsidR="00E52D1A" w:rsidRPr="005263CE" w:rsidRDefault="00E52D1A" w:rsidP="00E52D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addition, </w:t>
      </w:r>
      <w:r w:rsidRPr="00807571">
        <w:rPr>
          <w:rFonts w:ascii="Times New Roman" w:hAnsi="Times New Roman" w:cs="Times New Roman"/>
          <w:sz w:val="24"/>
          <w:szCs w:val="24"/>
        </w:rPr>
        <w:t xml:space="preserve">Organizational ambidexterity refers to a company's ability to pursue both exploratory and exploitative activities simultaneously. This approach has been widely studied by scholars and practitioners alike, who have sought to understand how firms can balance the need for innovation and efficiency. One theoretical framework used to analyze this phenomenon is the Dynamic Capabilities Approach. This approach emphasizes the importance of a firm's ability to adapt and change in response to its environment. It has been applied to various strategic management issues, including innovation, competitive advantage, and organizational learning. Using the Dynamic </w:t>
      </w:r>
      <w:r w:rsidRPr="00807571">
        <w:rPr>
          <w:rFonts w:ascii="Times New Roman" w:hAnsi="Times New Roman" w:cs="Times New Roman"/>
          <w:sz w:val="24"/>
          <w:szCs w:val="24"/>
        </w:rPr>
        <w:lastRenderedPageBreak/>
        <w:t xml:space="preserve">Capabilities Approach to study organizational ambidexterity, researchers have gained insights into how firms can develop the necessary capabilities to succeed in today's rapidly changing business environment. </w:t>
      </w:r>
      <w:r w:rsidRPr="00832B90">
        <w:rPr>
          <w:rFonts w:ascii="Times New Roman" w:hAnsi="Times New Roman" w:cs="Times New Roman"/>
          <w:sz w:val="24"/>
          <w:szCs w:val="24"/>
          <w:highlight w:val="yellow"/>
        </w:rPr>
        <w:t>(</w:t>
      </w:r>
      <w:proofErr w:type="spellStart"/>
      <w:r w:rsidRPr="00832B90">
        <w:rPr>
          <w:rFonts w:ascii="Times New Roman" w:hAnsi="Times New Roman" w:cs="Times New Roman"/>
          <w:sz w:val="24"/>
          <w:szCs w:val="24"/>
          <w:highlight w:val="yellow"/>
        </w:rPr>
        <w:t>Kriz</w:t>
      </w:r>
      <w:proofErr w:type="spellEnd"/>
      <w:r w:rsidRPr="00832B90">
        <w:rPr>
          <w:rFonts w:ascii="Times New Roman" w:hAnsi="Times New Roman" w:cs="Times New Roman"/>
          <w:sz w:val="24"/>
          <w:szCs w:val="24"/>
          <w:highlight w:val="yellow"/>
        </w:rPr>
        <w:t xml:space="preserve">, </w:t>
      </w:r>
      <w:proofErr w:type="spellStart"/>
      <w:r w:rsidRPr="00832B90">
        <w:rPr>
          <w:rFonts w:ascii="Times New Roman" w:hAnsi="Times New Roman" w:cs="Times New Roman"/>
          <w:sz w:val="24"/>
          <w:szCs w:val="24"/>
          <w:highlight w:val="yellow"/>
        </w:rPr>
        <w:t>Voola</w:t>
      </w:r>
      <w:proofErr w:type="spellEnd"/>
      <w:r w:rsidRPr="00832B90">
        <w:rPr>
          <w:rFonts w:ascii="Times New Roman" w:hAnsi="Times New Roman" w:cs="Times New Roman"/>
          <w:sz w:val="24"/>
          <w:szCs w:val="24"/>
          <w:highlight w:val="yellow"/>
        </w:rPr>
        <w:t xml:space="preserve"> &amp; </w:t>
      </w:r>
      <w:proofErr w:type="spellStart"/>
      <w:r w:rsidRPr="00832B90">
        <w:rPr>
          <w:rFonts w:ascii="Times New Roman" w:hAnsi="Times New Roman" w:cs="Times New Roman"/>
          <w:sz w:val="24"/>
          <w:szCs w:val="24"/>
          <w:highlight w:val="yellow"/>
        </w:rPr>
        <w:t>Yuksel</w:t>
      </w:r>
      <w:proofErr w:type="spellEnd"/>
      <w:r w:rsidRPr="00832B90">
        <w:rPr>
          <w:rFonts w:ascii="Times New Roman" w:hAnsi="Times New Roman" w:cs="Times New Roman"/>
          <w:sz w:val="24"/>
          <w:szCs w:val="24"/>
          <w:highlight w:val="yellow"/>
        </w:rPr>
        <w:t xml:space="preserve">, 2014, O'Reilly &amp; </w:t>
      </w:r>
      <w:proofErr w:type="spellStart"/>
      <w:r w:rsidRPr="00832B90">
        <w:rPr>
          <w:rFonts w:ascii="Times New Roman" w:hAnsi="Times New Roman" w:cs="Times New Roman"/>
          <w:sz w:val="24"/>
          <w:szCs w:val="24"/>
          <w:highlight w:val="yellow"/>
        </w:rPr>
        <w:t>Tushman</w:t>
      </w:r>
      <w:proofErr w:type="spellEnd"/>
      <w:r w:rsidRPr="00832B90">
        <w:rPr>
          <w:rFonts w:ascii="Times New Roman" w:hAnsi="Times New Roman" w:cs="Times New Roman"/>
          <w:sz w:val="24"/>
          <w:szCs w:val="24"/>
          <w:highlight w:val="yellow"/>
        </w:rPr>
        <w:t xml:space="preserve">, 2008; </w:t>
      </w:r>
      <w:proofErr w:type="spellStart"/>
      <w:r w:rsidRPr="00832B90">
        <w:rPr>
          <w:rFonts w:ascii="Times New Roman" w:hAnsi="Times New Roman" w:cs="Times New Roman"/>
          <w:sz w:val="24"/>
          <w:szCs w:val="24"/>
          <w:highlight w:val="yellow"/>
        </w:rPr>
        <w:t>Raisch</w:t>
      </w:r>
      <w:proofErr w:type="spellEnd"/>
      <w:r w:rsidRPr="00832B90">
        <w:rPr>
          <w:rFonts w:ascii="Times New Roman" w:hAnsi="Times New Roman" w:cs="Times New Roman"/>
          <w:sz w:val="24"/>
          <w:szCs w:val="24"/>
          <w:highlight w:val="yellow"/>
        </w:rPr>
        <w:t xml:space="preserve">, </w:t>
      </w:r>
      <w:proofErr w:type="spellStart"/>
      <w:r w:rsidRPr="00832B90">
        <w:rPr>
          <w:rFonts w:ascii="Times New Roman" w:hAnsi="Times New Roman" w:cs="Times New Roman"/>
          <w:sz w:val="24"/>
          <w:szCs w:val="24"/>
          <w:highlight w:val="yellow"/>
        </w:rPr>
        <w:t>Birkinshaw</w:t>
      </w:r>
      <w:proofErr w:type="spellEnd"/>
      <w:r w:rsidRPr="00832B90">
        <w:rPr>
          <w:rFonts w:ascii="Times New Roman" w:hAnsi="Times New Roman" w:cs="Times New Roman"/>
          <w:sz w:val="24"/>
          <w:szCs w:val="24"/>
          <w:highlight w:val="yellow"/>
        </w:rPr>
        <w:t xml:space="preserve">, Probst &amp; </w:t>
      </w:r>
      <w:proofErr w:type="spellStart"/>
      <w:r w:rsidRPr="00832B90">
        <w:rPr>
          <w:rFonts w:ascii="Times New Roman" w:hAnsi="Times New Roman" w:cs="Times New Roman"/>
          <w:sz w:val="24"/>
          <w:szCs w:val="24"/>
          <w:highlight w:val="yellow"/>
        </w:rPr>
        <w:t>Tushman</w:t>
      </w:r>
      <w:proofErr w:type="spellEnd"/>
      <w:r w:rsidRPr="00832B90">
        <w:rPr>
          <w:rFonts w:ascii="Times New Roman" w:hAnsi="Times New Roman" w:cs="Times New Roman"/>
          <w:sz w:val="24"/>
          <w:szCs w:val="24"/>
          <w:highlight w:val="yellow"/>
        </w:rPr>
        <w:t xml:space="preserve"> (2009); </w:t>
      </w:r>
      <w:proofErr w:type="spellStart"/>
      <w:r w:rsidRPr="00832B90">
        <w:rPr>
          <w:rFonts w:ascii="Times New Roman" w:hAnsi="Times New Roman" w:cs="Times New Roman"/>
          <w:sz w:val="24"/>
          <w:szCs w:val="24"/>
          <w:highlight w:val="yellow"/>
        </w:rPr>
        <w:t>Güttel</w:t>
      </w:r>
      <w:proofErr w:type="spellEnd"/>
      <w:r w:rsidRPr="00832B90">
        <w:rPr>
          <w:rFonts w:ascii="Times New Roman" w:hAnsi="Times New Roman" w:cs="Times New Roman"/>
          <w:sz w:val="24"/>
          <w:szCs w:val="24"/>
          <w:highlight w:val="yellow"/>
        </w:rPr>
        <w:t xml:space="preserve"> &amp; </w:t>
      </w:r>
      <w:proofErr w:type="spellStart"/>
      <w:r w:rsidRPr="00832B90">
        <w:rPr>
          <w:rFonts w:ascii="Times New Roman" w:hAnsi="Times New Roman" w:cs="Times New Roman"/>
          <w:sz w:val="24"/>
          <w:szCs w:val="24"/>
          <w:highlight w:val="yellow"/>
        </w:rPr>
        <w:t>Konlechner</w:t>
      </w:r>
      <w:proofErr w:type="spellEnd"/>
      <w:r w:rsidRPr="00832B90">
        <w:rPr>
          <w:rFonts w:ascii="Times New Roman" w:hAnsi="Times New Roman" w:cs="Times New Roman"/>
          <w:sz w:val="24"/>
          <w:szCs w:val="24"/>
          <w:highlight w:val="yellow"/>
        </w:rPr>
        <w:t xml:space="preserve">, 2009; </w:t>
      </w:r>
      <w:proofErr w:type="spellStart"/>
      <w:r w:rsidRPr="00832B90">
        <w:rPr>
          <w:rFonts w:ascii="Times New Roman" w:hAnsi="Times New Roman" w:cs="Times New Roman"/>
          <w:sz w:val="24"/>
          <w:szCs w:val="24"/>
          <w:highlight w:val="yellow"/>
        </w:rPr>
        <w:t>Rothaermel</w:t>
      </w:r>
      <w:proofErr w:type="spellEnd"/>
      <w:r w:rsidRPr="00832B90">
        <w:rPr>
          <w:rFonts w:ascii="Times New Roman" w:hAnsi="Times New Roman" w:cs="Times New Roman"/>
          <w:sz w:val="24"/>
          <w:szCs w:val="24"/>
          <w:highlight w:val="yellow"/>
        </w:rPr>
        <w:t xml:space="preserve"> &amp; Alexandre, 2009)</w:t>
      </w:r>
      <w:r w:rsidRPr="005263CE">
        <w:rPr>
          <w:rFonts w:ascii="Times New Roman" w:hAnsi="Times New Roman" w:cs="Times New Roman"/>
          <w:sz w:val="24"/>
          <w:szCs w:val="24"/>
        </w:rPr>
        <w:t xml:space="preserve">. </w:t>
      </w:r>
    </w:p>
    <w:p w:rsidR="00E52D1A" w:rsidRDefault="00E52D1A" w:rsidP="00E52D1A">
      <w:pPr>
        <w:pStyle w:val="Default"/>
        <w:spacing w:line="360" w:lineRule="auto"/>
        <w:jc w:val="both"/>
        <w:rPr>
          <w:rFonts w:ascii="Times New Roman" w:hAnsi="Times New Roman" w:cs="Times New Roman"/>
        </w:rPr>
      </w:pPr>
      <w:r w:rsidRPr="003D34FD">
        <w:rPr>
          <w:rFonts w:ascii="Times New Roman" w:hAnsi="Times New Roman" w:cs="Times New Roman"/>
        </w:rPr>
        <w:t xml:space="preserve">In order to achieve a long-term competitive advantage, organizations must not only utilize the necessary skills and talents to stay ahead in current markets but also rearrange and reorganize their assets and organizational structure to adapt effectively to technology advancements and </w:t>
      </w:r>
      <w:r>
        <w:rPr>
          <w:rFonts w:ascii="Times New Roman" w:hAnsi="Times New Roman" w:cs="Times New Roman"/>
        </w:rPr>
        <w:t xml:space="preserve">developing markets </w:t>
      </w:r>
      <w:r w:rsidRPr="0076374A">
        <w:rPr>
          <w:rFonts w:ascii="Times New Roman" w:hAnsi="Times New Roman" w:cs="Times New Roman"/>
          <w:highlight w:val="yellow"/>
        </w:rPr>
        <w:t xml:space="preserve">(O'Reilly &amp; </w:t>
      </w:r>
      <w:proofErr w:type="spellStart"/>
      <w:r w:rsidRPr="0076374A">
        <w:rPr>
          <w:rFonts w:ascii="Times New Roman" w:hAnsi="Times New Roman" w:cs="Times New Roman"/>
          <w:highlight w:val="yellow"/>
        </w:rPr>
        <w:t>Tushman</w:t>
      </w:r>
      <w:proofErr w:type="spellEnd"/>
      <w:r w:rsidRPr="0076374A">
        <w:rPr>
          <w:rFonts w:ascii="Times New Roman" w:hAnsi="Times New Roman" w:cs="Times New Roman"/>
          <w:highlight w:val="yellow"/>
        </w:rPr>
        <w:t xml:space="preserve">, 2008). </w:t>
      </w:r>
      <w:r w:rsidRPr="0076374A">
        <w:rPr>
          <w:highlight w:val="yellow"/>
        </w:rPr>
        <w:t xml:space="preserve">Further, </w:t>
      </w:r>
      <w:proofErr w:type="spellStart"/>
      <w:r w:rsidRPr="0076374A">
        <w:rPr>
          <w:highlight w:val="yellow"/>
        </w:rPr>
        <w:t>Teece</w:t>
      </w:r>
      <w:proofErr w:type="spellEnd"/>
      <w:r w:rsidRPr="0076374A">
        <w:rPr>
          <w:highlight w:val="yellow"/>
        </w:rPr>
        <w:t xml:space="preserve"> (2007)</w:t>
      </w:r>
      <w:r>
        <w:t xml:space="preserve"> </w:t>
      </w:r>
      <w:r w:rsidRPr="0076374A">
        <w:rPr>
          <w:rFonts w:ascii="Times New Roman" w:hAnsi="Times New Roman" w:cs="Times New Roman"/>
        </w:rPr>
        <w:t>defines </w:t>
      </w:r>
      <w:r w:rsidRPr="0076374A">
        <w:rPr>
          <w:rFonts w:ascii="Times New Roman" w:hAnsi="Times New Roman" w:cs="Times New Roman"/>
          <w:i/>
          <w:iCs/>
        </w:rPr>
        <w:t>dynamic capabilities</w:t>
      </w:r>
      <w:r w:rsidRPr="0076374A">
        <w:rPr>
          <w:rFonts w:ascii="Times New Roman" w:hAnsi="Times New Roman" w:cs="Times New Roman"/>
        </w:rPr>
        <w:t> as the unique talents, methods, organizational frameworks, decision-making processes, and practices that enable top-level managers and leaders to recognize risks and opportunities and adapt resources to tackle them. </w:t>
      </w:r>
      <w:r>
        <w:rPr>
          <w:rFonts w:ascii="Times New Roman" w:hAnsi="Times New Roman" w:cs="Times New Roman"/>
        </w:rPr>
        <w:t xml:space="preserve"> </w:t>
      </w:r>
      <w:r w:rsidRPr="003564F4">
        <w:rPr>
          <w:rFonts w:ascii="Times New Roman" w:hAnsi="Times New Roman" w:cs="Times New Roman"/>
        </w:rPr>
        <w:t xml:space="preserve">According to </w:t>
      </w:r>
      <w:proofErr w:type="spellStart"/>
      <w:r w:rsidRPr="00460C0A">
        <w:rPr>
          <w:rFonts w:ascii="Times New Roman" w:hAnsi="Times New Roman" w:cs="Times New Roman"/>
          <w:highlight w:val="yellow"/>
        </w:rPr>
        <w:t>Teece</w:t>
      </w:r>
      <w:proofErr w:type="spellEnd"/>
      <w:r w:rsidRPr="00460C0A">
        <w:rPr>
          <w:rFonts w:ascii="Times New Roman" w:hAnsi="Times New Roman" w:cs="Times New Roman"/>
          <w:highlight w:val="yellow"/>
        </w:rPr>
        <w:t xml:space="preserve"> et al. (2007),</w:t>
      </w:r>
      <w:r w:rsidRPr="003564F4">
        <w:rPr>
          <w:rFonts w:ascii="Times New Roman" w:hAnsi="Times New Roman" w:cs="Times New Roman"/>
        </w:rPr>
        <w:t xml:space="preserve"> successful organizations in the global market can quickly and flexibly innovate while effectively coordinating external and internal competencies. Therefore, dynamic capability is essential for achieving ambidexterity and competing simultaneously in existing and emerging markets </w:t>
      </w:r>
      <w:r w:rsidRPr="00460C0A">
        <w:rPr>
          <w:rFonts w:ascii="Times New Roman" w:hAnsi="Times New Roman" w:cs="Times New Roman"/>
          <w:highlight w:val="yellow"/>
        </w:rPr>
        <w:t xml:space="preserve">(O'Reilly &amp; </w:t>
      </w:r>
      <w:proofErr w:type="spellStart"/>
      <w:r w:rsidRPr="00460C0A">
        <w:rPr>
          <w:rFonts w:ascii="Times New Roman" w:hAnsi="Times New Roman" w:cs="Times New Roman"/>
          <w:highlight w:val="yellow"/>
        </w:rPr>
        <w:t>Tushman</w:t>
      </w:r>
      <w:proofErr w:type="spellEnd"/>
      <w:r w:rsidRPr="00460C0A">
        <w:rPr>
          <w:rFonts w:ascii="Times New Roman" w:hAnsi="Times New Roman" w:cs="Times New Roman"/>
          <w:highlight w:val="yellow"/>
        </w:rPr>
        <w:t>, 2008).</w:t>
      </w:r>
    </w:p>
    <w:p w:rsidR="00E52D1A" w:rsidRPr="005263CE" w:rsidRDefault="00E52D1A" w:rsidP="00E52D1A">
      <w:pPr>
        <w:spacing w:line="360" w:lineRule="auto"/>
        <w:jc w:val="both"/>
        <w:rPr>
          <w:rFonts w:ascii="Times New Roman" w:hAnsi="Times New Roman" w:cs="Times New Roman"/>
          <w:sz w:val="24"/>
          <w:szCs w:val="24"/>
        </w:rPr>
      </w:pPr>
      <w:r w:rsidRPr="00460C0A">
        <w:rPr>
          <w:rFonts w:ascii="Times New Roman" w:hAnsi="Times New Roman" w:cs="Times New Roman"/>
          <w:sz w:val="24"/>
          <w:szCs w:val="24"/>
        </w:rPr>
        <w:t xml:space="preserve">O'Reilly and </w:t>
      </w:r>
      <w:proofErr w:type="spellStart"/>
      <w:r w:rsidRPr="00460C0A">
        <w:rPr>
          <w:rFonts w:ascii="Times New Roman" w:hAnsi="Times New Roman" w:cs="Times New Roman"/>
          <w:sz w:val="24"/>
          <w:szCs w:val="24"/>
        </w:rPr>
        <w:t>Tushman</w:t>
      </w:r>
      <w:proofErr w:type="spellEnd"/>
      <w:r w:rsidRPr="00460C0A">
        <w:rPr>
          <w:rFonts w:ascii="Times New Roman" w:hAnsi="Times New Roman" w:cs="Times New Roman"/>
          <w:sz w:val="24"/>
          <w:szCs w:val="24"/>
        </w:rPr>
        <w:t xml:space="preserve"> (2008; 2011) describe ambidexterity as a company's ability to explore and exploit based on the environment. This means a company can adapt to changing conditions by exploring </w:t>
      </w:r>
      <w:r>
        <w:rPr>
          <w:rFonts w:ascii="Times New Roman" w:hAnsi="Times New Roman" w:cs="Times New Roman"/>
          <w:sz w:val="24"/>
          <w:szCs w:val="24"/>
        </w:rPr>
        <w:t>or exploiting new opportunities</w:t>
      </w:r>
      <w:r w:rsidRPr="005263CE">
        <w:rPr>
          <w:rFonts w:ascii="Times New Roman" w:hAnsi="Times New Roman" w:cs="Times New Roman"/>
          <w:sz w:val="24"/>
          <w:szCs w:val="24"/>
        </w:rPr>
        <w:t xml:space="preserve">. </w:t>
      </w:r>
      <w:r w:rsidRPr="00FB02D4">
        <w:rPr>
          <w:rFonts w:ascii="Times New Roman" w:hAnsi="Times New Roman" w:cs="Times New Roman"/>
          <w:sz w:val="24"/>
          <w:szCs w:val="24"/>
        </w:rPr>
        <w:t>Ambidextrous innovation is a dynamic capability that emphasizes how important it is for managers to adapt, integrate, and reconfigure the organization's resources and abilities so that they can work in settings that are unpred</w:t>
      </w:r>
      <w:r>
        <w:rPr>
          <w:rFonts w:ascii="Times New Roman" w:hAnsi="Times New Roman" w:cs="Times New Roman"/>
          <w:sz w:val="24"/>
          <w:szCs w:val="24"/>
        </w:rPr>
        <w:t xml:space="preserve">ictable and constantly changing </w:t>
      </w:r>
      <w:r w:rsidRPr="00FB02D4">
        <w:rPr>
          <w:rFonts w:ascii="Times New Roman" w:hAnsi="Times New Roman" w:cs="Times New Roman"/>
          <w:sz w:val="24"/>
          <w:szCs w:val="24"/>
          <w:highlight w:val="yellow"/>
        </w:rPr>
        <w:t>(</w:t>
      </w:r>
      <w:proofErr w:type="spellStart"/>
      <w:r w:rsidRPr="00FB02D4">
        <w:rPr>
          <w:rFonts w:ascii="Times New Roman" w:hAnsi="Times New Roman" w:cs="Times New Roman"/>
          <w:sz w:val="24"/>
          <w:szCs w:val="24"/>
          <w:highlight w:val="yellow"/>
        </w:rPr>
        <w:t>Teece</w:t>
      </w:r>
      <w:proofErr w:type="spellEnd"/>
      <w:r w:rsidRPr="00FB02D4">
        <w:rPr>
          <w:rFonts w:ascii="Times New Roman" w:hAnsi="Times New Roman" w:cs="Times New Roman"/>
          <w:sz w:val="24"/>
          <w:szCs w:val="24"/>
          <w:highlight w:val="yellow"/>
        </w:rPr>
        <w:t xml:space="preserve">, Pisano &amp; </w:t>
      </w:r>
      <w:proofErr w:type="spellStart"/>
      <w:r w:rsidRPr="00FB02D4">
        <w:rPr>
          <w:rFonts w:ascii="Times New Roman" w:hAnsi="Times New Roman" w:cs="Times New Roman"/>
          <w:sz w:val="24"/>
          <w:szCs w:val="24"/>
          <w:highlight w:val="yellow"/>
        </w:rPr>
        <w:t>Shuen</w:t>
      </w:r>
      <w:proofErr w:type="spellEnd"/>
      <w:r w:rsidRPr="00FB02D4">
        <w:rPr>
          <w:rFonts w:ascii="Times New Roman" w:hAnsi="Times New Roman" w:cs="Times New Roman"/>
          <w:sz w:val="24"/>
          <w:szCs w:val="24"/>
          <w:highlight w:val="yellow"/>
        </w:rPr>
        <w:t xml:space="preserve">, 1997; </w:t>
      </w:r>
      <w:proofErr w:type="spellStart"/>
      <w:r w:rsidRPr="00FB02D4">
        <w:rPr>
          <w:rFonts w:ascii="Times New Roman" w:hAnsi="Times New Roman" w:cs="Times New Roman"/>
          <w:sz w:val="24"/>
          <w:szCs w:val="24"/>
          <w:highlight w:val="yellow"/>
        </w:rPr>
        <w:t>Eisenhardt</w:t>
      </w:r>
      <w:proofErr w:type="spellEnd"/>
      <w:r w:rsidRPr="00FB02D4">
        <w:rPr>
          <w:rFonts w:ascii="Times New Roman" w:hAnsi="Times New Roman" w:cs="Times New Roman"/>
          <w:sz w:val="24"/>
          <w:szCs w:val="24"/>
          <w:highlight w:val="yellow"/>
        </w:rPr>
        <w:t xml:space="preserve"> &amp; Martin, 2000; O'Reilly &amp; </w:t>
      </w:r>
      <w:proofErr w:type="spellStart"/>
      <w:r w:rsidRPr="00FB02D4">
        <w:rPr>
          <w:rFonts w:ascii="Times New Roman" w:hAnsi="Times New Roman" w:cs="Times New Roman"/>
          <w:sz w:val="24"/>
          <w:szCs w:val="24"/>
          <w:highlight w:val="yellow"/>
        </w:rPr>
        <w:t>Tushman</w:t>
      </w:r>
      <w:proofErr w:type="spellEnd"/>
      <w:r w:rsidRPr="00FB02D4">
        <w:rPr>
          <w:rFonts w:ascii="Times New Roman" w:hAnsi="Times New Roman" w:cs="Times New Roman"/>
          <w:sz w:val="24"/>
          <w:szCs w:val="24"/>
          <w:highlight w:val="yellow"/>
        </w:rPr>
        <w:t xml:space="preserve">, 2008; Heavy &amp; </w:t>
      </w:r>
      <w:proofErr w:type="spellStart"/>
      <w:r w:rsidRPr="00FB02D4">
        <w:rPr>
          <w:rFonts w:ascii="Times New Roman" w:hAnsi="Times New Roman" w:cs="Times New Roman"/>
          <w:sz w:val="24"/>
          <w:szCs w:val="24"/>
          <w:highlight w:val="yellow"/>
        </w:rPr>
        <w:t>Simsek</w:t>
      </w:r>
      <w:proofErr w:type="spellEnd"/>
      <w:r w:rsidRPr="00FB02D4">
        <w:rPr>
          <w:rFonts w:ascii="Times New Roman" w:hAnsi="Times New Roman" w:cs="Times New Roman"/>
          <w:sz w:val="24"/>
          <w:szCs w:val="24"/>
          <w:highlight w:val="yellow"/>
        </w:rPr>
        <w:t>, 2010).</w:t>
      </w:r>
      <w:r w:rsidRPr="005263CE">
        <w:rPr>
          <w:rFonts w:ascii="Times New Roman" w:hAnsi="Times New Roman" w:cs="Times New Roman"/>
          <w:sz w:val="24"/>
          <w:szCs w:val="24"/>
        </w:rPr>
        <w:t xml:space="preserve"> </w:t>
      </w:r>
      <w:r w:rsidRPr="00BE7492">
        <w:rPr>
          <w:rFonts w:ascii="Times New Roman" w:hAnsi="Times New Roman" w:cs="Times New Roman"/>
          <w:sz w:val="24"/>
          <w:szCs w:val="24"/>
        </w:rPr>
        <w:t xml:space="preserve">O'Reilly and </w:t>
      </w:r>
      <w:proofErr w:type="spellStart"/>
      <w:r w:rsidRPr="00BE7492">
        <w:rPr>
          <w:rFonts w:ascii="Times New Roman" w:hAnsi="Times New Roman" w:cs="Times New Roman"/>
          <w:sz w:val="24"/>
          <w:szCs w:val="24"/>
        </w:rPr>
        <w:t>Tushman</w:t>
      </w:r>
      <w:proofErr w:type="spellEnd"/>
      <w:r w:rsidRPr="00BE7492">
        <w:rPr>
          <w:rFonts w:ascii="Times New Roman" w:hAnsi="Times New Roman" w:cs="Times New Roman"/>
          <w:sz w:val="24"/>
          <w:szCs w:val="24"/>
        </w:rPr>
        <w:t xml:space="preserve"> (2008) argued that viewing ambidexterity as a dynamic capability highlights the potential for ambidextrous organizations to adapt to environmental changes.</w:t>
      </w:r>
      <w:r w:rsidRPr="005263CE">
        <w:rPr>
          <w:rFonts w:ascii="Times New Roman" w:hAnsi="Times New Roman" w:cs="Times New Roman"/>
          <w:sz w:val="24"/>
          <w:szCs w:val="24"/>
        </w:rPr>
        <w:t xml:space="preserve"> </w:t>
      </w:r>
      <w:r w:rsidRPr="00FA5104">
        <w:rPr>
          <w:rFonts w:ascii="Times New Roman" w:hAnsi="Times New Roman" w:cs="Times New Roman"/>
          <w:sz w:val="24"/>
          <w:szCs w:val="24"/>
        </w:rPr>
        <w:t>Thus, environmental variations will change the firm's perspective on effectiveness (exploitation) and creativity and innovation (exploration), either improving or limiting it. Our thesis examines ambidextrous innovation as a dynamic capability essential for the firm's competitive advantage.</w:t>
      </w:r>
    </w:p>
    <w:p w:rsidR="00FB6092" w:rsidRPr="000C5D85" w:rsidRDefault="00E52D1A" w:rsidP="00AA7D23">
      <w:pPr>
        <w:jc w:val="both"/>
        <w:rPr>
          <w:rFonts w:ascii="Times New Roman" w:hAnsi="Times New Roman" w:cs="Times New Roman"/>
          <w:b/>
          <w:sz w:val="32"/>
          <w:szCs w:val="32"/>
        </w:rPr>
      </w:pPr>
      <w:r w:rsidRPr="000C5D85">
        <w:rPr>
          <w:rFonts w:ascii="Times New Roman" w:hAnsi="Times New Roman" w:cs="Times New Roman"/>
          <w:b/>
          <w:sz w:val="32"/>
          <w:szCs w:val="32"/>
        </w:rPr>
        <w:t>2.3 Knowledge Based View</w:t>
      </w:r>
    </w:p>
    <w:p w:rsidR="000C5D85" w:rsidRPr="00BF42A0" w:rsidRDefault="000C5D85" w:rsidP="000C5D85">
      <w:pPr>
        <w:spacing w:line="360" w:lineRule="auto"/>
        <w:jc w:val="both"/>
        <w:rPr>
          <w:rFonts w:ascii="Times New Roman" w:hAnsi="Times New Roman" w:cs="Times New Roman"/>
          <w:sz w:val="24"/>
          <w:szCs w:val="24"/>
        </w:rPr>
      </w:pPr>
      <w:r w:rsidRPr="008D580F">
        <w:rPr>
          <w:rFonts w:ascii="Times New Roman" w:hAnsi="Times New Roman" w:cs="Times New Roman"/>
          <w:sz w:val="24"/>
          <w:szCs w:val="24"/>
        </w:rPr>
        <w:t xml:space="preserve">The knowledge-based view has emerged as a prominent prospect with the rapid advancement of information technology in various industries. This view emphasizes leveraging knowledge and </w:t>
      </w:r>
      <w:r w:rsidRPr="008D580F">
        <w:rPr>
          <w:rFonts w:ascii="Times New Roman" w:hAnsi="Times New Roman" w:cs="Times New Roman"/>
          <w:sz w:val="24"/>
          <w:szCs w:val="24"/>
        </w:rPr>
        <w:lastRenderedPageBreak/>
        <w:t>expertise to gain a competitive edge rather than relying solely on tangible assets and resources. As a result, businesses and organizations across different sectors have started to prioritize acquiring, sharing, and utilizing knowledge as a strategic priority. This shift towards a knowledge-driven approach has transformed how businesses operate and created new opportunities for innovation and growth.</w:t>
      </w:r>
      <w:r>
        <w:rPr>
          <w:rFonts w:ascii="Times New Roman" w:hAnsi="Times New Roman" w:cs="Times New Roman"/>
          <w:sz w:val="24"/>
          <w:szCs w:val="24"/>
        </w:rPr>
        <w:t xml:space="preserve"> </w:t>
      </w:r>
      <w:r w:rsidRPr="008D580F">
        <w:rPr>
          <w:rFonts w:ascii="Times New Roman" w:hAnsi="Times New Roman" w:cs="Times New Roman"/>
          <w:sz w:val="24"/>
          <w:szCs w:val="24"/>
        </w:rPr>
        <w:t>With the rise of the knowledge economy, scholars and industry leaders are recognizing the crucial role of knowledge in the core competitiveness, innovation, and performance of businesses.</w:t>
      </w:r>
      <w:r>
        <w:rPr>
          <w:rFonts w:ascii="Times New Roman" w:hAnsi="Times New Roman" w:cs="Times New Roman"/>
          <w:sz w:val="24"/>
          <w:szCs w:val="24"/>
        </w:rPr>
        <w:t xml:space="preserve"> K</w:t>
      </w:r>
      <w:r w:rsidRPr="00BF42A0">
        <w:rPr>
          <w:rFonts w:ascii="Times New Roman" w:hAnsi="Times New Roman" w:cs="Times New Roman"/>
          <w:sz w:val="24"/>
          <w:szCs w:val="24"/>
        </w:rPr>
        <w:t>nowledge management is vital to strategic management as it allows organizations to leverage their intellectual capital for greater productivity and innovation.</w:t>
      </w:r>
      <w:r w:rsidRPr="00BF42A0">
        <w:t xml:space="preserve"> </w:t>
      </w:r>
      <w:r w:rsidRPr="00BF42A0">
        <w:rPr>
          <w:rFonts w:ascii="Times New Roman" w:hAnsi="Times New Roman" w:cs="Times New Roman"/>
          <w:sz w:val="24"/>
          <w:szCs w:val="24"/>
        </w:rPr>
        <w:t>Managing and safeguarding necessary knowledge and expertise is a crucial responsibility for company managers and leaders. By strategically leveraging company information to enhance innovation capabilities, businesses may gain and sustain a competitive advantage while driving the efficacy of innovation.</w:t>
      </w:r>
    </w:p>
    <w:p w:rsidR="000C5D85" w:rsidRPr="00EA62E3" w:rsidRDefault="000C5D85" w:rsidP="000C5D85">
      <w:pPr>
        <w:spacing w:line="360" w:lineRule="auto"/>
        <w:jc w:val="both"/>
        <w:rPr>
          <w:rFonts w:ascii="Times New Roman" w:hAnsi="Times New Roman" w:cs="Times New Roman"/>
          <w:sz w:val="24"/>
          <w:szCs w:val="24"/>
        </w:rPr>
      </w:pPr>
      <w:r w:rsidRPr="0064522A">
        <w:rPr>
          <w:rFonts w:ascii="Times New Roman" w:hAnsi="Times New Roman" w:cs="Times New Roman"/>
          <w:sz w:val="24"/>
          <w:szCs w:val="24"/>
        </w:rPr>
        <w:t xml:space="preserve">Knowledge-based theory is an application and extension of resource-based theory under the knowledge economy era, which absorbs the viewpoint and content of </w:t>
      </w:r>
      <w:r>
        <w:rPr>
          <w:rFonts w:ascii="Times New Roman" w:hAnsi="Times New Roman" w:cs="Times New Roman"/>
          <w:sz w:val="24"/>
          <w:szCs w:val="24"/>
        </w:rPr>
        <w:t>part of the resource-based view</w:t>
      </w:r>
      <w:r w:rsidRPr="00EA62E3">
        <w:rPr>
          <w:rFonts w:ascii="Times New Roman" w:hAnsi="Times New Roman" w:cs="Times New Roman"/>
          <w:sz w:val="24"/>
          <w:szCs w:val="24"/>
        </w:rPr>
        <w:t xml:space="preserve">. </w:t>
      </w:r>
      <w:r w:rsidRPr="00F54309">
        <w:rPr>
          <w:rFonts w:ascii="Times New Roman" w:hAnsi="Times New Roman" w:cs="Times New Roman"/>
          <w:sz w:val="24"/>
          <w:szCs w:val="24"/>
        </w:rPr>
        <w:t xml:space="preserve">According to </w:t>
      </w:r>
      <w:r w:rsidRPr="00F54309">
        <w:rPr>
          <w:rFonts w:ascii="Times New Roman" w:hAnsi="Times New Roman" w:cs="Times New Roman"/>
          <w:sz w:val="24"/>
          <w:szCs w:val="24"/>
          <w:highlight w:val="yellow"/>
        </w:rPr>
        <w:t>Barney (1991),</w:t>
      </w:r>
      <w:r w:rsidRPr="00F54309">
        <w:rPr>
          <w:rFonts w:ascii="Times New Roman" w:hAnsi="Times New Roman" w:cs="Times New Roman"/>
          <w:sz w:val="24"/>
          <w:szCs w:val="24"/>
        </w:rPr>
        <w:t xml:space="preserve"> “the main point of view of the resource base is that an enterprise can have a competitive advantage in market competition because it has special, scarce, high-valu</w:t>
      </w:r>
      <w:r>
        <w:rPr>
          <w:rFonts w:ascii="Times New Roman" w:hAnsi="Times New Roman" w:cs="Times New Roman"/>
          <w:sz w:val="24"/>
          <w:szCs w:val="24"/>
        </w:rPr>
        <w:t xml:space="preserve">e and unrepeatable resources.”  </w:t>
      </w:r>
      <w:r w:rsidRPr="00651C99">
        <w:rPr>
          <w:rFonts w:ascii="Times New Roman" w:hAnsi="Times New Roman" w:cs="Times New Roman"/>
          <w:sz w:val="24"/>
          <w:szCs w:val="24"/>
        </w:rPr>
        <w:t>Knowledge is considered a vital resource for the growth and success of any enterprise. The main reason some companies maintain a competitive edge in the market is their knowledge base. The amount of knowledge a company possesses is crucial in determining its level of performance.</w:t>
      </w:r>
      <w:r w:rsidRPr="00EA62E3">
        <w:rPr>
          <w:rFonts w:ascii="Times New Roman" w:hAnsi="Times New Roman" w:cs="Times New Roman"/>
          <w:sz w:val="24"/>
          <w:szCs w:val="24"/>
        </w:rPr>
        <w:t xml:space="preserve"> </w:t>
      </w:r>
      <w:r w:rsidRPr="0010554D">
        <w:rPr>
          <w:rFonts w:ascii="Times New Roman" w:hAnsi="Times New Roman" w:cs="Times New Roman"/>
          <w:sz w:val="24"/>
          <w:szCs w:val="24"/>
        </w:rPr>
        <w:t>In a rapidly changing business environment, firms gain a competitive advantage by possessing unique knowledge acquired from previous experiences that is not easily transferred and hard to replicate. Moreover, this unique knowledge can generate more productive and innovative knowledge that enhances its innovation capability and market presence.</w:t>
      </w:r>
      <w:r>
        <w:rPr>
          <w:rFonts w:ascii="Times New Roman" w:hAnsi="Times New Roman" w:cs="Times New Roman"/>
          <w:sz w:val="24"/>
          <w:szCs w:val="24"/>
        </w:rPr>
        <w:t xml:space="preserve"> </w:t>
      </w:r>
      <w:r w:rsidRPr="00356FB0">
        <w:rPr>
          <w:rFonts w:ascii="Times New Roman" w:hAnsi="Times New Roman" w:cs="Times New Roman"/>
          <w:sz w:val="24"/>
          <w:szCs w:val="24"/>
        </w:rPr>
        <w:t>According to Barney (1991), businesses may boost their core competitiveness by preventing the dissemination of diffusible knowledge, constantly gathering new information, and enhancing their knowledge base by integrating old and new information with corporate and external sources of information.</w:t>
      </w:r>
      <w:r>
        <w:rPr>
          <w:rFonts w:ascii="Times New Roman" w:hAnsi="Times New Roman" w:cs="Times New Roman"/>
          <w:sz w:val="24"/>
          <w:szCs w:val="24"/>
        </w:rPr>
        <w:t xml:space="preserve"> </w:t>
      </w:r>
      <w:r w:rsidR="006A2DD8">
        <w:rPr>
          <w:rFonts w:ascii="Times New Roman" w:hAnsi="Times New Roman" w:cs="Times New Roman"/>
          <w:sz w:val="24"/>
          <w:szCs w:val="24"/>
        </w:rPr>
        <w:t xml:space="preserve"> </w:t>
      </w:r>
    </w:p>
    <w:p w:rsidR="00AB6073" w:rsidRDefault="00AB6073" w:rsidP="00AA7D23">
      <w:pPr>
        <w:jc w:val="both"/>
        <w:rPr>
          <w:rFonts w:ascii="Times New Roman" w:hAnsi="Times New Roman" w:cs="Times New Roman"/>
          <w:sz w:val="24"/>
          <w:szCs w:val="24"/>
        </w:rPr>
      </w:pPr>
    </w:p>
    <w:p w:rsidR="00AB6073" w:rsidRDefault="00AB6073" w:rsidP="00AA7D23">
      <w:pPr>
        <w:jc w:val="both"/>
        <w:rPr>
          <w:rFonts w:ascii="Times New Roman" w:hAnsi="Times New Roman" w:cs="Times New Roman"/>
          <w:sz w:val="24"/>
          <w:szCs w:val="24"/>
        </w:rPr>
      </w:pPr>
    </w:p>
    <w:p w:rsidR="00AB6073" w:rsidRDefault="00AB6073" w:rsidP="00AA7D23">
      <w:pPr>
        <w:jc w:val="both"/>
        <w:rPr>
          <w:rFonts w:ascii="Times New Roman" w:hAnsi="Times New Roman" w:cs="Times New Roman"/>
          <w:sz w:val="24"/>
          <w:szCs w:val="24"/>
        </w:rPr>
      </w:pPr>
    </w:p>
    <w:p w:rsidR="00AB6073" w:rsidRDefault="00AB6073" w:rsidP="00AA7D23">
      <w:pPr>
        <w:jc w:val="both"/>
        <w:rPr>
          <w:rFonts w:ascii="Times New Roman" w:hAnsi="Times New Roman" w:cs="Times New Roman"/>
          <w:sz w:val="24"/>
          <w:szCs w:val="24"/>
        </w:rPr>
      </w:pPr>
    </w:p>
    <w:p w:rsidR="00AB6073" w:rsidRDefault="00AB6073" w:rsidP="00AA7D23">
      <w:pPr>
        <w:jc w:val="both"/>
        <w:rPr>
          <w:rFonts w:ascii="Times New Roman" w:hAnsi="Times New Roman" w:cs="Times New Roman"/>
          <w:sz w:val="24"/>
          <w:szCs w:val="24"/>
        </w:rPr>
      </w:pPr>
    </w:p>
    <w:p w:rsidR="00AB6073" w:rsidRDefault="00AB6073" w:rsidP="00AA7D23">
      <w:pPr>
        <w:jc w:val="both"/>
        <w:rPr>
          <w:rFonts w:ascii="Times New Roman" w:hAnsi="Times New Roman" w:cs="Times New Roman"/>
          <w:sz w:val="24"/>
          <w:szCs w:val="24"/>
        </w:rPr>
      </w:pPr>
    </w:p>
    <w:p w:rsidR="00AB6073" w:rsidRDefault="00AB6073" w:rsidP="00AA7D23">
      <w:pPr>
        <w:jc w:val="both"/>
        <w:rPr>
          <w:rFonts w:ascii="Times New Roman" w:hAnsi="Times New Roman" w:cs="Times New Roman"/>
          <w:sz w:val="24"/>
          <w:szCs w:val="24"/>
        </w:rPr>
      </w:pPr>
    </w:p>
    <w:p w:rsidR="00AB6073" w:rsidRDefault="00AB6073" w:rsidP="00AA7D23">
      <w:pPr>
        <w:jc w:val="both"/>
        <w:rPr>
          <w:rFonts w:ascii="Times New Roman" w:hAnsi="Times New Roman" w:cs="Times New Roman"/>
          <w:sz w:val="24"/>
          <w:szCs w:val="24"/>
        </w:rPr>
      </w:pPr>
    </w:p>
    <w:p w:rsidR="00AB6073" w:rsidRDefault="00AB6073" w:rsidP="00AA7D23">
      <w:pPr>
        <w:jc w:val="both"/>
        <w:rPr>
          <w:rFonts w:ascii="Times New Roman" w:hAnsi="Times New Roman" w:cs="Times New Roman"/>
          <w:sz w:val="24"/>
          <w:szCs w:val="24"/>
        </w:rPr>
      </w:pPr>
    </w:p>
    <w:p w:rsidR="00AB6073" w:rsidRDefault="00AB6073" w:rsidP="00AA7D23">
      <w:pPr>
        <w:jc w:val="both"/>
        <w:rPr>
          <w:rFonts w:ascii="Times New Roman" w:hAnsi="Times New Roman" w:cs="Times New Roman"/>
          <w:sz w:val="24"/>
          <w:szCs w:val="24"/>
        </w:rPr>
      </w:pPr>
    </w:p>
    <w:p w:rsidR="00AB6073" w:rsidRDefault="00AB6073" w:rsidP="00AA7D23">
      <w:pPr>
        <w:jc w:val="both"/>
        <w:rPr>
          <w:rFonts w:ascii="Times New Roman" w:hAnsi="Times New Roman" w:cs="Times New Roman"/>
          <w:sz w:val="24"/>
          <w:szCs w:val="24"/>
        </w:rPr>
      </w:pPr>
    </w:p>
    <w:p w:rsidR="00AB6073" w:rsidRDefault="00AB6073" w:rsidP="00AA7D23">
      <w:pPr>
        <w:jc w:val="both"/>
        <w:rPr>
          <w:rFonts w:ascii="Times New Roman" w:hAnsi="Times New Roman" w:cs="Times New Roman"/>
          <w:sz w:val="24"/>
          <w:szCs w:val="24"/>
        </w:rPr>
      </w:pPr>
    </w:p>
    <w:p w:rsidR="00AB6073" w:rsidRDefault="00AB6073" w:rsidP="00AA7D23">
      <w:pPr>
        <w:jc w:val="both"/>
        <w:rPr>
          <w:rFonts w:ascii="Times New Roman" w:hAnsi="Times New Roman" w:cs="Times New Roman"/>
          <w:sz w:val="24"/>
          <w:szCs w:val="24"/>
        </w:rPr>
      </w:pPr>
    </w:p>
    <w:p w:rsidR="00AB6073" w:rsidRDefault="00AB6073" w:rsidP="00AA7D23">
      <w:pPr>
        <w:jc w:val="both"/>
        <w:rPr>
          <w:rFonts w:ascii="Times New Roman" w:hAnsi="Times New Roman" w:cs="Times New Roman"/>
          <w:sz w:val="24"/>
          <w:szCs w:val="24"/>
        </w:rPr>
      </w:pPr>
    </w:p>
    <w:p w:rsidR="00AB6073" w:rsidRDefault="00AB6073" w:rsidP="00AA7D23">
      <w:pPr>
        <w:jc w:val="both"/>
        <w:rPr>
          <w:rFonts w:ascii="Times New Roman" w:hAnsi="Times New Roman" w:cs="Times New Roman"/>
          <w:sz w:val="24"/>
          <w:szCs w:val="24"/>
        </w:rPr>
      </w:pPr>
    </w:p>
    <w:p w:rsidR="00AB6073" w:rsidRDefault="00AB6073" w:rsidP="00AA7D23">
      <w:pPr>
        <w:jc w:val="both"/>
        <w:rPr>
          <w:rFonts w:ascii="Times New Roman" w:hAnsi="Times New Roman" w:cs="Times New Roman"/>
          <w:sz w:val="24"/>
          <w:szCs w:val="24"/>
        </w:rPr>
      </w:pPr>
    </w:p>
    <w:p w:rsidR="00AB6073" w:rsidRDefault="00AB6073" w:rsidP="00AA7D23">
      <w:pPr>
        <w:jc w:val="both"/>
        <w:rPr>
          <w:rFonts w:ascii="Times New Roman" w:hAnsi="Times New Roman" w:cs="Times New Roman"/>
          <w:sz w:val="24"/>
          <w:szCs w:val="24"/>
        </w:rPr>
      </w:pPr>
    </w:p>
    <w:p w:rsidR="00AB6073" w:rsidRPr="00AB6073" w:rsidRDefault="00AB6073" w:rsidP="00AA7D23">
      <w:pPr>
        <w:jc w:val="both"/>
        <w:rPr>
          <w:rFonts w:ascii="Times New Roman" w:hAnsi="Times New Roman" w:cs="Times New Roman"/>
          <w:b/>
          <w:sz w:val="36"/>
          <w:szCs w:val="36"/>
        </w:rPr>
      </w:pPr>
      <w:r w:rsidRPr="00AB6073">
        <w:rPr>
          <w:rFonts w:ascii="Times New Roman" w:hAnsi="Times New Roman" w:cs="Times New Roman"/>
          <w:b/>
          <w:sz w:val="36"/>
          <w:szCs w:val="36"/>
        </w:rPr>
        <w:t>References</w:t>
      </w:r>
    </w:p>
    <w:p w:rsidR="00AB6073" w:rsidRPr="00AA7D23" w:rsidRDefault="00AB6073" w:rsidP="00AA7D23">
      <w:pPr>
        <w:jc w:val="both"/>
        <w:rPr>
          <w:rFonts w:ascii="Times New Roman" w:hAnsi="Times New Roman" w:cs="Times New Roman"/>
          <w:sz w:val="24"/>
          <w:szCs w:val="24"/>
        </w:rPr>
      </w:pPr>
      <w:r w:rsidRPr="00AB6073">
        <w:rPr>
          <w:rFonts w:ascii="Times New Roman" w:hAnsi="Times New Roman" w:cs="Times New Roman"/>
          <w:sz w:val="24"/>
          <w:szCs w:val="24"/>
        </w:rPr>
        <w:t xml:space="preserve">Mishra, D., Luo, Z., Hazen, B., </w:t>
      </w:r>
      <w:proofErr w:type="spellStart"/>
      <w:r w:rsidRPr="00AB6073">
        <w:rPr>
          <w:rFonts w:ascii="Times New Roman" w:hAnsi="Times New Roman" w:cs="Times New Roman"/>
          <w:sz w:val="24"/>
          <w:szCs w:val="24"/>
        </w:rPr>
        <w:t>Hassini</w:t>
      </w:r>
      <w:proofErr w:type="spellEnd"/>
      <w:r w:rsidRPr="00AB6073">
        <w:rPr>
          <w:rFonts w:ascii="Times New Roman" w:hAnsi="Times New Roman" w:cs="Times New Roman"/>
          <w:sz w:val="24"/>
          <w:szCs w:val="24"/>
        </w:rPr>
        <w:t xml:space="preserve">, E., &amp; </w:t>
      </w:r>
      <w:proofErr w:type="spellStart"/>
      <w:r w:rsidRPr="00AB6073">
        <w:rPr>
          <w:rFonts w:ascii="Times New Roman" w:hAnsi="Times New Roman" w:cs="Times New Roman"/>
          <w:sz w:val="24"/>
          <w:szCs w:val="24"/>
        </w:rPr>
        <w:t>Foropon</w:t>
      </w:r>
      <w:proofErr w:type="spellEnd"/>
      <w:r w:rsidRPr="00AB6073">
        <w:rPr>
          <w:rFonts w:ascii="Times New Roman" w:hAnsi="Times New Roman" w:cs="Times New Roman"/>
          <w:sz w:val="24"/>
          <w:szCs w:val="24"/>
        </w:rPr>
        <w:t>, C. (2019). Organizational capabilities that enable big data and predictive analytics diffusion and organizational performance: A resource-based perspective. Management Decision, 57(8), 1734-1755.</w:t>
      </w:r>
    </w:p>
    <w:p w:rsidR="005C6D16" w:rsidRPr="005C6D16" w:rsidRDefault="007A6456" w:rsidP="005C6D16">
      <w:pPr>
        <w:spacing w:line="360" w:lineRule="auto"/>
        <w:jc w:val="both"/>
        <w:rPr>
          <w:rFonts w:ascii="Times New Roman" w:hAnsi="Times New Roman" w:cs="Times New Roman"/>
          <w:sz w:val="24"/>
          <w:szCs w:val="24"/>
        </w:rPr>
      </w:pPr>
      <w:r w:rsidRPr="007A6456">
        <w:rPr>
          <w:rFonts w:ascii="Times New Roman" w:hAnsi="Times New Roman" w:cs="Times New Roman"/>
          <w:sz w:val="24"/>
          <w:szCs w:val="24"/>
        </w:rPr>
        <w:t xml:space="preserve"> </w:t>
      </w:r>
    </w:p>
    <w:p w:rsidR="007457D8" w:rsidRPr="005C6D16" w:rsidRDefault="007457D8" w:rsidP="005C6D16">
      <w:pPr>
        <w:spacing w:line="360" w:lineRule="auto"/>
        <w:jc w:val="both"/>
        <w:rPr>
          <w:rFonts w:ascii="Times New Roman" w:hAnsi="Times New Roman" w:cs="Times New Roman"/>
          <w:sz w:val="24"/>
          <w:szCs w:val="24"/>
        </w:rPr>
      </w:pPr>
    </w:p>
    <w:sectPr w:rsidR="007457D8" w:rsidRPr="005C6D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91D"/>
    <w:rsid w:val="000A55D0"/>
    <w:rsid w:val="000C5D85"/>
    <w:rsid w:val="00182EDB"/>
    <w:rsid w:val="001E4D42"/>
    <w:rsid w:val="00236D7F"/>
    <w:rsid w:val="00313425"/>
    <w:rsid w:val="0036160E"/>
    <w:rsid w:val="0037191D"/>
    <w:rsid w:val="00387577"/>
    <w:rsid w:val="004E5C54"/>
    <w:rsid w:val="005C6D16"/>
    <w:rsid w:val="00683FF0"/>
    <w:rsid w:val="006A2DD8"/>
    <w:rsid w:val="006A4064"/>
    <w:rsid w:val="007457D8"/>
    <w:rsid w:val="007A6456"/>
    <w:rsid w:val="009F231B"/>
    <w:rsid w:val="00AA7D23"/>
    <w:rsid w:val="00AB6073"/>
    <w:rsid w:val="00B45E29"/>
    <w:rsid w:val="00C1235F"/>
    <w:rsid w:val="00DF367C"/>
    <w:rsid w:val="00E52D1A"/>
    <w:rsid w:val="00EA47F7"/>
    <w:rsid w:val="00FB60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4D5844-FC65-48D8-B572-E6044A466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52D1A"/>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merald.com/insight/content/doi/10.1108/EJMS-08-2021-0078/ful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2444</Words>
  <Characters>13935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Sarki</dc:creator>
  <cp:keywords/>
  <dc:description/>
  <cp:lastModifiedBy>Abdul Hakeem</cp:lastModifiedBy>
  <cp:revision>2</cp:revision>
  <dcterms:created xsi:type="dcterms:W3CDTF">2023-12-16T07:30:00Z</dcterms:created>
  <dcterms:modified xsi:type="dcterms:W3CDTF">2023-12-16T07:30:00Z</dcterms:modified>
</cp:coreProperties>
</file>