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rPr>
          <w:b w:val="false"/>
          <w:bCs w:val="false"/>
          <w:i w:val="false"/>
          <w:iCs w:val="false"/>
          <w:color w:val="000000"/>
        </w:rPr>
        <w:t xml:space="preserve">A Machine Learning-Based Method for Cancer-Related Long Noncoding RNA</w:t>
      </w:r>
    </w:p>
    <w:p>
      <w:r/>
      <w:r>
        <w:rPr>
          <w:b w:val="false"/>
          <w:bCs w:val="false"/>
          <w:i w:val="false"/>
          <w:iCs w:val="false"/>
          <w:color w:val="000000"/>
        </w:rPr>
        <w:t xml:space="preserve">Identification Using Integrated Features from Multi-Omics Data</w:t>
      </w:r>
    </w:p>
    <w:p>
      <w:r>
        <w:rPr>
          <w:b w:val="false"/>
          <w:bCs w:val="false"/>
          <w:i w:val="false"/>
          <w:iCs w:val="false"/>
          <w:color w:val="000000"/>
        </w:rPr>
        <w:t xml:space="preserve">**Introduction**</w:t>
      </w:r>
    </w:p>
    <w:p>
      <w:r>
        <w:rPr>
          <w:b w:val="false"/>
          <w:bCs w:val="false"/>
          <w:i w:val="false"/>
          <w:iCs w:val="false"/>
          <w:color w:val="000000"/>
        </w:rPr>
        <w:t xml:space="preserve">/</w:t>
      </w:r>
    </w:p>
    <w:p>
      <w:r>
        <w:rPr>
          <w:b w:val="false"/>
          <w:bCs w:val="false"/>
          <w:i w:val="false"/>
          <w:iCs w:val="false"/>
          <w:color w:val="000000"/>
        </w:rPr>
        <w:t xml:space="preserve">The rapid advances in high-throughput sequencing technologies have led to an unprecedented accumulation of genomic and transcriptomic data, revolutionizing our understanding of the complex molecular mechanisms underlying human diseases, especially cancer </w:t>
      </w:r>
      <w:hyperlink w:history="1" w:anchor="68e11676ce2ec174151e16bdb765ff7e">
        <w:r>
          <w:rPr>
            <w:rStyle w:val="Hyperlink"/>
          </w:rPr>
          <w:t xml:space="preserve">(Statello et al., 2020)</w:t>
        </w:r>
      </w:hyperlink>
      <w:r>
        <w:rPr>
          <w:b w:val="false"/>
          <w:bCs w:val="false"/>
          <w:i w:val="false"/>
          <w:iCs w:val="false"/>
          <w:color w:val="000000"/>
        </w:rPr>
        <w:t xml:space="preserve">.  A key aspect of this new wave of cancer genomics research is the discovery and functional characterization of long non-coding RNAs (lncRNAs), a class of RNA molecules longer than 200 nucleotides that do not encode proteins </w:t>
      </w:r>
      <w:hyperlink w:history="1" w:anchor="e8b69d34ab527673962925101432b472">
        <w:r>
          <w:rPr>
            <w:rStyle w:val="Hyperlink"/>
          </w:rPr>
          <w:t xml:space="preserve">(Bartoniček et al., 2016)</w:t>
        </w:r>
      </w:hyperlink>
      <w:r>
        <w:rPr>
          <w:b w:val="false"/>
          <w:bCs w:val="false"/>
          <w:i w:val="false"/>
          <w:iCs w:val="false"/>
          <w:color w:val="000000"/>
        </w:rPr>
        <w:t xml:space="preserve">.  Emerging evidence has shown that long non-coding RNAs (lncRNAs) play crucial regulatory roles in diverse cellular processes, including proliferation, migration, invasion, and apoptosis, an indication of their importance in the development and progression of cancer </w:t>
      </w:r>
      <w:hyperlink w:history="1" w:anchor="b3a781a0000c847462ada5f8f9aa43a4">
        <w:r>
          <w:rPr>
            <w:rStyle w:val="Hyperlink"/>
          </w:rPr>
          <w:t xml:space="preserve">(Huang et al., 2013)</w:t>
        </w:r>
      </w:hyperlink>
      <w:hyperlink w:history="1" w:anchor="68e11676ce2ec174151e16bdb765ff7e">
        <w:r>
          <w:rPr>
            <w:rStyle w:val="Hyperlink"/>
          </w:rPr>
          <w:t xml:space="preserve">(Statello et al., 2020)</w:t>
        </w:r>
      </w:hyperlink>
      <w:hyperlink w:history="1" w:anchor="f660d0b13d5bb765315aa8ffa3152645">
        <w:r>
          <w:rPr>
            <w:rStyle w:val="Hyperlink"/>
          </w:rPr>
          <w:t xml:space="preserve">(Gao et al., 2020)</w:t>
        </w:r>
      </w:hyperlink>
      <w:r>
        <w:rPr>
          <w:b w:val="false"/>
          <w:bCs w:val="false"/>
          <w:i w:val="false"/>
          <w:iCs w:val="false"/>
          <w:color w:val="000000"/>
        </w:rPr>
        <w:t xml:space="preserve">.</w:t>
      </w:r>
    </w:p>
    <w:p>
      <w:r>
        <w:rPr>
          <w:b w:val="false"/>
          <w:bCs w:val="false"/>
          <w:i w:val="false"/>
          <w:iCs w:val="false"/>
          <w:color w:val="000000"/>
        </w:rPr>
        <w:t xml:space="preserve">Recent studies have demonstrated the dysregulation of long non-coding RNAs in various types of cancer, and have highlighted their potential as novel biomarkers and therapeutic targets </w:t>
      </w:r>
      <w:hyperlink w:history="1" w:anchor="b3a781a0000c847462ada5f8f9aa43a4">
        <w:r>
          <w:rPr>
            <w:rStyle w:val="Hyperlink"/>
          </w:rPr>
          <w:t xml:space="preserve">(Huang et al., 2013)</w:t>
        </w:r>
      </w:hyperlink>
      <w:hyperlink w:history="1" w:anchor="68e11676ce2ec174151e16bdb765ff7e">
        <w:r>
          <w:rPr>
            <w:rStyle w:val="Hyperlink"/>
          </w:rPr>
          <w:t xml:space="preserve">(Statello et al., 2020)</w:t>
        </w:r>
      </w:hyperlink>
      <w:r>
        <w:rPr>
          <w:b w:val="false"/>
          <w:bCs w:val="false"/>
          <w:i w:val="false"/>
          <w:iCs w:val="false"/>
          <w:color w:val="000000"/>
        </w:rPr>
        <w:t xml:space="preserve">.  However, the identification and functional annotation of cancer-related long non-coding RNAs remains a significant challenge, as the sheer number of putative long non-coding RNAs and our limited understanding of their molecular mechanisms of action.</w:t>
      </w:r>
      <w:hyperlink w:history="1" w:anchor="68e11676ce2ec174151e16bdb765ff7e">
        <w:r>
          <w:rPr>
            <w:rStyle w:val="Hyperlink"/>
          </w:rPr>
          <w:t xml:space="preserve">(Statello et al., 2020)</w:t>
        </w:r>
      </w:hyperlink>
      <w:hyperlink w:history="1" w:anchor="f660d0b13d5bb765315aa8ffa3152645">
        <w:r>
          <w:rPr>
            <w:rStyle w:val="Hyperlink"/>
          </w:rPr>
          <w:t xml:space="preserve">(Gao et al., 2020)</w:t>
        </w:r>
      </w:hyperlink>
      <w:hyperlink w:history="1" w:anchor="b3a781a0000c847462ada5f8f9aa43a4">
        <w:r>
          <w:rPr>
            <w:rStyle w:val="Hyperlink"/>
          </w:rPr>
          <w:t xml:space="preserve">(Huang et al., 2013)</w:t>
        </w:r>
      </w:hyperlink>
      <w:hyperlink w:history="1" w:anchor="e8b69d34ab527673962925101432b472">
        <w:r>
          <w:rPr>
            <w:rStyle w:val="Hyperlink"/>
          </w:rPr>
          <w:t xml:space="preserve">(Bartoniček et al., 2016)</w:t>
        </w:r>
      </w:hyperlink>
      <w:hyperlink w:history="1" w:anchor="68e11676ce2ec174151e16bdb765ff7e">
        <w:r>
          <w:rPr>
            <w:rStyle w:val="Hyperlink"/>
          </w:rPr>
          <w:t xml:space="preserve">(Statello et al., 2020)</w:t>
        </w:r>
      </w:hyperlink>
      <w:hyperlink w:history="1" w:anchor="f660d0b13d5bb765315aa8ffa3152645">
        <w:r>
          <w:rPr>
            <w:rStyle w:val="Hyperlink"/>
          </w:rPr>
          <w:t xml:space="preserve">(Gao et al., 2020)</w:t>
        </w:r>
      </w:hyperlink>
    </w:p>
    <w:p>
      <w:r>
        <w:rPr>
          <w:b w:val="false"/>
          <w:bCs w:val="false"/>
          <w:i w:val="false"/>
          <w:iCs w:val="false"/>
          <w:color w:val="000000"/>
        </w:rPr>
        <w:t xml:space="preserve">To address this challenge, we propose a machine learning-based approach that integrates multi-omics data to enhance the prediction of long non-coding RNA-protein interactions, which are crucial for el</w:t>
      </w:r>
    </w:p>
    <w:p>
      <w:r>
        <w:rPr>
          <w:b w:val="false"/>
          <w:bCs w:val="false"/>
          <w:i w:val="false"/>
          <w:iCs w:val="false"/>
          <w:color w:val="000000"/>
        </w:rPr>
        <w:t xml:space="preserve">ucidating the biological functions of these enigmatic molecules </w:t>
      </w:r>
      <w:hyperlink w:history="1" w:anchor="e8b69d34ab527673962925101432b472">
        <w:r>
          <w:rPr>
            <w:rStyle w:val="Hyperlink"/>
          </w:rPr>
          <w:t xml:space="preserve">(Bartoniček et al., 2016)</w:t>
        </w:r>
      </w:hyperlink>
      <w:hyperlink w:history="1" w:anchor="68e11676ce2ec174151e16bdb765ff7e">
        <w:r>
          <w:rPr>
            <w:rStyle w:val="Hyperlink"/>
          </w:rPr>
          <w:t xml:space="preserve">(Statello et al., 2020)</w:t>
        </w:r>
      </w:hyperlink>
      <w:hyperlink w:history="1" w:anchor="f660d0b13d5bb765315aa8ffa3152645">
        <w:r>
          <w:rPr>
            <w:rStyle w:val="Hyperlink"/>
          </w:rPr>
          <w:t xml:space="preserve">(Gao et al., 2020)</w:t>
        </w:r>
      </w:hyperlink>
      <w:r>
        <w:rPr>
          <w:b w:val="false"/>
          <w:bCs w:val="false"/>
          <w:i w:val="false"/>
          <w:iCs w:val="false"/>
          <w:color w:val="000000"/>
        </w:rPr>
        <w:t xml:space="preserve">.  The key steps of our approach are as follows:</w:t>
      </w:r>
    </w:p>
    <w:p>
      <w:r>
        <w:rPr>
          <w:b w:val="false"/>
          <w:bCs w:val="false"/>
          <w:i w:val="false"/>
          <w:iCs w:val="false"/>
          <w:color w:val="000000"/>
        </w:rPr>
        <w:t xml:space="preserve">1) Compiling a comprehensive database of experimentally validated long non-coding RNA-protein interactions from various public resources </w:t>
      </w:r>
      <w:hyperlink w:history="1" w:anchor="3e4e509dd81b32b76bc7f12cc25edd96">
        <w:r>
          <w:rPr>
            <w:rStyle w:val="Hyperlink"/>
          </w:rPr>
          <w:t xml:space="preserve">(Steyaert et al., 2023)</w:t>
        </w:r>
      </w:hyperlink>
      <w:hyperlink w:history="1" w:anchor="e8b69d34ab527673962925101432b472">
        <w:r>
          <w:rPr>
            <w:rStyle w:val="Hyperlink"/>
          </w:rPr>
          <w:t xml:space="preserve">(Bartoniček et al., 2016)</w:t>
        </w:r>
      </w:hyperlink>
      <w:hyperlink w:history="1" w:anchor="f660d0b13d5bb765315aa8ffa3152645">
        <w:r>
          <w:rPr>
            <w:rStyle w:val="Hyperlink"/>
          </w:rPr>
          <w:t xml:space="preserve">(Gao et al., 2020)</w:t>
        </w:r>
      </w:hyperlink>
      <w:hyperlink w:history="1" w:anchor="68e11676ce2ec174151e16bdb765ff7e">
        <w:r>
          <w:rPr>
            <w:rStyle w:val="Hyperlink"/>
          </w:rPr>
          <w:t xml:space="preserve">(Statello et al., 2020)</w:t>
        </w:r>
      </w:hyperlink>
      <w:r>
        <w:rPr>
          <w:b w:val="false"/>
          <w:bCs w:val="false"/>
          <w:i w:val="false"/>
          <w:iCs w:val="false"/>
          <w:color w:val="000000"/>
        </w:rPr>
        <w:t xml:space="preserve">.  2) Extracting a diverse set of features from the multi-omics data, including sequence-based, structural, and contextual attributes of the long non-coding RNAs and their interacting proteins.</w:t>
      </w:r>
      <w:hyperlink w:history="1" w:anchor="f660d0b13d5bb765315aa8ffa3152645">
        <w:r>
          <w:rPr>
            <w:rStyle w:val="Hyperlink"/>
          </w:rPr>
          <w:t xml:space="preserve">(Gao et al., 2020)</w:t>
        </w:r>
      </w:hyperlink>
      <w:hyperlink w:history="1" w:anchor="ff29b3d7c59bf2e2144de7a7d13104a1">
        <w:r>
          <w:rPr>
            <w:rStyle w:val="Hyperlink"/>
          </w:rPr>
          <w:t xml:space="preserve">(Long noncoding RNA – a crosslink in biological regulatory network – lncRNA Blog, 2017)</w:t>
        </w:r>
      </w:hyperlink>
      <w:r>
        <w:rPr>
          <w:b w:val="false"/>
          <w:bCs w:val="false"/>
          <w:i w:val="false"/>
          <w:iCs w:val="false"/>
          <w:color w:val="000000"/>
        </w:rPr>
        <w:t xml:space="preserve">3) Training a bipartite network projection model to predict novel long non-coding RNA-protein interactions based on the integrated features </w:t>
      </w:r>
      <w:hyperlink w:history="1" w:anchor="60e6a05aa8215e5a53da0979a360bace">
        <w:r>
          <w:rPr>
            <w:rStyle w:val="Hyperlink"/>
          </w:rPr>
          <w:t xml:space="preserve">(Chen et al., 2016)</w:t>
        </w:r>
      </w:hyperlink>
      <w:r>
        <w:rPr>
          <w:b w:val="false"/>
          <w:bCs w:val="false"/>
          <w:i w:val="false"/>
          <w:iCs w:val="false"/>
          <w:color w:val="000000"/>
        </w:rPr>
        <w:t xml:space="preserve">. </w:t>
      </w:r>
    </w:p>
    <w:p>
      <w:r>
        <w:rPr>
          <w:b w:val="false"/>
          <w:bCs w:val="false"/>
          <w:i w:val="false"/>
          <w:iCs w:val="false"/>
          <w:color w:val="000000"/>
        </w:rPr>
        <w:t xml:space="preserve">The predicted interactions will be further validated through experimental techniques, such as RNA immunoprecipitation (RIP) and cross-linking immunoprecipitation (CLIP), to elucidate the functional roles of cancer-related long non-coding RNAs in key cellular pathways and hallmarks of cancer.</w:t>
      </w:r>
      <w:hyperlink w:history="1" w:anchor="b3a781a0000c847462ada5f8f9aa43a4">
        <w:r>
          <w:rPr>
            <w:rStyle w:val="Hyperlink"/>
          </w:rPr>
          <w:t xml:space="preserve">(Huang et al., 2013)</w:t>
        </w:r>
      </w:hyperlink>
      <w:hyperlink w:history="1" w:anchor="f660d0b13d5bb765315aa8ffa3152645">
        <w:r>
          <w:rPr>
            <w:rStyle w:val="Hyperlink"/>
          </w:rPr>
          <w:t xml:space="preserve">(Gao et al., 2020)</w:t>
        </w:r>
      </w:hyperlink>
      <w:hyperlink w:history="1" w:anchor="b3a781a0000c847462ada5f8f9aa43a4">
        <w:r>
          <w:rPr>
            <w:rStyle w:val="Hyperlink"/>
          </w:rPr>
          <w:t xml:space="preserve">(Huang et al., 2013)</w:t>
        </w:r>
      </w:hyperlink>
      <w:hyperlink w:history="1" w:anchor="f660d0b13d5bb765315aa8ffa3152645">
        <w:r>
          <w:rPr>
            <w:rStyle w:val="Hyperlink"/>
          </w:rPr>
          <w:t xml:space="preserve">(Gao et al., 2020)</w:t>
        </w:r>
      </w:hyperlink>
    </w:p>
    <w:p>
      <w:r>
        <w:rPr>
          <w:b w:val="false"/>
          <w:bCs w:val="false"/>
          <w:i w:val="false"/>
          <w:iCs w:val="false"/>
          <w:color w:val="000000"/>
        </w:rPr>
        <w:t xml:space="preserve">This integrated computational and experimental approach holds promise for enhancing our understanding of the complex regulatory networks involving long non-coding RNAs in cancer, and may ultimately lead to the identification of novel diagnostic and therapeutic targets.</w:t>
      </w:r>
      <w:hyperlink w:history="1" w:anchor="f660d0b13d5bb765315aa8ffa3152645">
        <w:r>
          <w:rPr>
            <w:rStyle w:val="Hyperlink"/>
          </w:rPr>
          <w:t xml:space="preserve">(Gao et al., 2020)</w:t>
        </w:r>
      </w:hyperlink>
      <w:hyperlink w:history="1" w:anchor="b3a781a0000c847462ada5f8f9aa43a4">
        <w:r>
          <w:rPr>
            <w:rStyle w:val="Hyperlink"/>
          </w:rPr>
          <w:t xml:space="preserve">(Huang et al., 2013)</w:t>
        </w:r>
      </w:hyperlink>
      <w:hyperlink w:history="1" w:anchor="f660d0b13d5bb765315aa8ffa3152645">
        <w:r>
          <w:rPr>
            <w:rStyle w:val="Hyperlink"/>
          </w:rPr>
          <w:t xml:space="preserve">(Gao et al., 2020)</w:t>
        </w:r>
      </w:hyperlink>
      <w:hyperlink w:history="1" w:anchor="e8b69d34ab527673962925101432b472">
        <w:r>
          <w:rPr>
            <w:rStyle w:val="Hyperlink"/>
          </w:rPr>
          <w:t xml:space="preserve">(Bartoniček et al., 2016)</w:t>
        </w:r>
      </w:hyperlink>
      <w:hyperlink w:history="1" w:anchor="f660d0b13d5bb765315aa8ffa3152645">
        <w:r>
          <w:rPr>
            <w:rStyle w:val="Hyperlink"/>
          </w:rPr>
          <w:t xml:space="preserve">(Gao et al., 2020)</w:t>
        </w:r>
      </w:hyperlink>
      <w:hyperlink w:history="1" w:anchor="e8b69d34ab527673962925101432b472">
        <w:r>
          <w:rPr>
            <w:rStyle w:val="Hyperlink"/>
          </w:rPr>
          <w:t xml:space="preserve">(Bartoniček et al., 2016)</w:t>
        </w:r>
      </w:hyperlink>
      <w:hyperlink w:history="1" w:anchor="acf531d98b01009f44bef09c5778cc62">
        <w:r>
          <w:rPr>
            <w:rStyle w:val="Hyperlink"/>
          </w:rPr>
          <w:t xml:space="preserve">(Sobhani et al., 2022)</w:t>
        </w:r>
      </w:hyperlink>
    </w:p>
    <w:p>
      <w:r>
        <w:rPr>
          <w:b w:val="false"/>
          <w:bCs w:val="false"/>
          <w:i w:val="false"/>
          <w:iCs w:val="false"/>
          <w:color w:val="000000"/>
        </w:rPr>
        <w:t xml:space="preserve">**Materials and Methods**</w:t>
      </w:r>
    </w:p>
    <w:p>
      <w:r>
        <w:rPr>
          <w:b w:val="false"/>
          <w:bCs w:val="false"/>
          <w:i w:val="false"/>
          <w:iCs w:val="false"/>
          <w:color w:val="000000"/>
        </w:rPr>
        <w:t xml:space="preserve">The first step in our approach is to construct a comprehensive database of experimentally validated long non-coding RNA-protein interactions. We will integrate data from various public repositories, such as RAID, starBase, and lncRNAtor, which curate long non-coding RNA-protein interactions from low-throughput experiments and high-throughput techniques like cross-linking immunoprecipitation (CLIP-seq) and RNA immunoprecipitation (RIP-seq).</w:t>
      </w:r>
      <w:hyperlink w:history="1" w:anchor="c81aae66f912cdfef00fc08fdc408a7a">
        <w:r>
          <w:rPr>
            <w:rStyle w:val="Hyperlink"/>
          </w:rPr>
          <w:t xml:space="preserve">(Xiao et al., 2015)</w:t>
        </w:r>
      </w:hyperlink>
    </w:p>
    <w:p>
      <w:r>
        <w:rPr>
          <w:b w:val="false"/>
          <w:bCs w:val="false"/>
          <w:i w:val="false"/>
          <w:iCs w:val="false"/>
          <w:color w:val="000000"/>
        </w:rPr>
        <w:t xml:space="preserve">Next, we will extract a diverse set of features from the multi-omics data to characterize the long non-coding RNAs and their interacting proteins. These features will include sequence-based attributes (e. g., primary sequence, GC content, and secondary structure), contextual features (e. g., expression levels, co-expression patterns, and genomic locations), and structural properties (e.</w:t>
      </w:r>
      <w:hyperlink w:history="1" w:anchor="ff29b3d7c59bf2e2144de7a7d13104a1">
        <w:r>
          <w:rPr>
            <w:rStyle w:val="Hyperlink"/>
          </w:rPr>
          <w:t xml:space="preserve">(Long noncoding RNA – a crosslink in biological regulatory network – lncRNA Blog, 2017)</w:t>
        </w:r>
      </w:hyperlink>
      <w:hyperlink w:history="1" w:anchor="c81aae66f912cdfef00fc08fdc408a7a">
        <w:r>
          <w:rPr>
            <w:rStyle w:val="Hyperlink"/>
          </w:rPr>
          <w:t xml:space="preserve">(Xiao et al., 2015)</w:t>
        </w:r>
      </w:hyperlink>
      <w:hyperlink w:history="1" w:anchor="60e6a05aa8215e5a53da0979a360bace">
        <w:r>
          <w:rPr>
            <w:rStyle w:val="Hyperlink"/>
          </w:rPr>
          <w:t xml:space="preserve">(Chen et al., 2016)</w:t>
        </w:r>
      </w:hyperlink>
      <w:r>
        <w:rPr>
          <w:b w:val="false"/>
          <w:bCs w:val="false"/>
          <w:i w:val="false"/>
          <w:iCs w:val="false"/>
          <w:color w:val="000000"/>
        </w:rPr>
        <w:t xml:space="preserve">g., secondary structure, GC content, and evolutionary conservation).</w:t>
      </w:r>
      <w:hyperlink w:history="1" w:anchor="f660d0b13d5bb765315aa8ffa3152645">
        <w:r>
          <w:rPr>
            <w:rStyle w:val="Hyperlink"/>
          </w:rPr>
          <w:t xml:space="preserve">(Gao et al., 2020)</w:t>
        </w:r>
      </w:hyperlink>
      <w:hyperlink w:history="1" w:anchor="c81aae66f912cdfef00fc08fdc408a7a">
        <w:r>
          <w:rPr>
            <w:rStyle w:val="Hyperlink"/>
          </w:rPr>
          <w:t xml:space="preserve">(Xiao et al., 2015)</w:t>
        </w:r>
      </w:hyperlink>
    </w:p>
    <w:p>
      <w:r>
        <w:rPr>
          <w:b w:val="false"/>
          <w:bCs w:val="false"/>
          <w:i w:val="false"/>
          <w:iCs w:val="false"/>
          <w:color w:val="000000"/>
        </w:rPr>
        <w:t xml:space="preserve">To integrate these heterogeneous features, we will employ a bipartite network projection model, which has been shown to effectively capture the complex interactions between biomolecules </w:t>
      </w:r>
      <w:hyperlink w:history="1" w:anchor="9c13f000bc57c5ae8ae5d7b2c2456bfa">
        <w:r>
          <w:rPr>
            <w:rStyle w:val="Hyperlink"/>
          </w:rPr>
          <w:t xml:space="preserve">(Ma et al., 2018)</w:t>
        </w:r>
      </w:hyperlink>
      <w:r>
        <w:rPr>
          <w:b w:val="false"/>
          <w:bCs w:val="false"/>
          <w:i w:val="false"/>
          <w:iCs w:val="false"/>
          <w:color w:val="000000"/>
        </w:rPr>
        <w:t xml:space="preserve">.  In this approach, the long non-coding RNAs and their interacting proteins will be represented as nodes in a bipartite network, and the interactions will be encoded as edges.</w:t>
      </w:r>
    </w:p>
    <w:p>
      <w:r>
        <w:rPr>
          <w:b w:val="false"/>
          <w:bCs w:val="false"/>
          <w:i w:val="false"/>
          <w:iCs w:val="false"/>
          <w:color w:val="000000"/>
        </w:rPr>
        <w:t xml:space="preserve">We will then train a supervised machine learning model, such as a gradient boosting algorithm, to predict novel long non-coding RNA-protein interactions based on the integrated features. The performance of the model will be evaluated using cross-validation and independent test sets.</w:t>
      </w:r>
    </w:p>
    <w:p>
      <w:r>
        <w:rPr>
          <w:b w:val="false"/>
          <w:bCs w:val="false"/>
          <w:i w:val="false"/>
          <w:iCs w:val="false"/>
          <w:color w:val="000000"/>
        </w:rPr>
        <w:t xml:space="preserve">Finally, we will experimentally validate a subset of the predicted interactions using techniques such as RNA immunoprecipitation and cross-linking immunoprecipitation. The validated interactions will be used to elucidate the functional roles of the cancer-related long non-coding RNAs in key cellular pathways and hallmarks of cancer.</w:t>
      </w:r>
    </w:p>
    <w:p>
      <w:r>
        <w:rPr>
          <w:b w:val="false"/>
          <w:bCs w:val="false"/>
          <w:i w:val="false"/>
          <w:iCs w:val="false"/>
          <w:color w:val="000000"/>
        </w:rPr>
        <w:t xml:space="preserve">**Expected Outcomes and Significance**</w:t>
      </w:r>
    </w:p>
    <w:p>
      <w:r>
        <w:rPr>
          <w:b w:val="false"/>
          <w:bCs w:val="false"/>
          <w:i w:val="false"/>
          <w:iCs w:val="false"/>
          <w:color w:val="000000"/>
        </w:rPr>
        <w:t xml:space="preserve">We expect that our integrated computational and experimental approach will significantly enhance the identification and functional annotation of cancer-related long non-coding RNAs. The predicted long non-coding RNA-protein interactions will provide valuable insights into the complex regulatory networks involving these enigmatic molecules in cancer, potentially leading to the discovery of novel diagnostic biomarkers and therapeutic targets </w:t>
      </w:r>
      <w:hyperlink w:history="1" w:anchor="ee3adad915de2503bfee6ca1c4b5f9ca">
        <w:r>
          <w:rPr>
            <w:rStyle w:val="Hyperlink"/>
          </w:rPr>
          <w:t xml:space="preserve">(Cao et al., 2018)</w:t>
        </w:r>
      </w:hyperlink>
      <w:hyperlink w:history="1" w:anchor="7c028908dbcb2e879e2b141f0abc9f43">
        <w:r>
          <w:rPr>
            <w:rStyle w:val="Hyperlink"/>
          </w:rPr>
          <w:t xml:space="preserve">(Zhang et al., 2019)</w:t>
        </w:r>
      </w:hyperlink>
      <w:hyperlink w:history="1" w:anchor="f660d0b13d5bb765315aa8ffa3152645">
        <w:r>
          <w:rPr>
            <w:rStyle w:val="Hyperlink"/>
          </w:rPr>
          <w:t xml:space="preserve">(Gao et al., 2020)</w:t>
        </w:r>
      </w:hyperlink>
      <w:r>
        <w:rPr>
          <w:b w:val="false"/>
          <w:bCs w:val="false"/>
          <w:i w:val="false"/>
          <w:iCs w:val="false"/>
          <w:color w:val="000000"/>
        </w:rPr>
        <w:t xml:space="preserve">.</w:t>
      </w:r>
    </w:p>
    <w:p>
      <w:r>
        <w:rPr>
          <w:b w:val="false"/>
          <w:bCs w:val="false"/>
          <w:i w:val="false"/>
          <w:iCs w:val="false"/>
          <w:color w:val="000000"/>
        </w:rPr>
        <w:t xml:space="preserve">Additionally, the machine learning-based framework developed in this study can be readily extended to other types of non-coding RNAs, such as microRNAs and circular RNAs, and their interactions with other biomolecules. The integration of multi-omics data and advanced computational techniques holds great promise for unraveling the intricate roles of non-coding RNAs in human health and disease </w:t>
      </w:r>
      <w:hyperlink w:history="1" w:anchor="ee3adad915de2503bfee6ca1c4b5f9ca">
        <w:r>
          <w:rPr>
            <w:rStyle w:val="Hyperlink"/>
          </w:rPr>
          <w:t xml:space="preserve">(Cao et al., 2018)</w:t>
        </w:r>
      </w:hyperlink>
      <w:hyperlink w:history="1" w:anchor="c7a8ef33f1085034c533a9521fdc05ab">
        <w:r>
          <w:rPr>
            <w:rStyle w:val="Hyperlink"/>
          </w:rPr>
          <w:t xml:space="preserve">(Lei et al., 2020)</w:t>
        </w:r>
      </w:hyperlink>
      <w:hyperlink w:history="1" w:anchor="02ea2bda77b525f8a571523c6ac2c7b9">
        <w:r>
          <w:rPr>
            <w:rStyle w:val="Hyperlink"/>
          </w:rPr>
          <w:t xml:space="preserve">(Tran &amp; Gao, 2019)</w:t>
        </w:r>
      </w:hyperlink>
      <w:hyperlink w:history="1" w:anchor="7c028908dbcb2e879e2b141f0abc9f43">
        <w:r>
          <w:rPr>
            <w:rStyle w:val="Hyperlink"/>
          </w:rPr>
          <w:t xml:space="preserve">(Zhang et al., 2019)</w:t>
        </w:r>
      </w:hyperlink>
      <w:r>
        <w:rPr>
          <w:b w:val="false"/>
          <w:bCs w:val="false"/>
          <w:i w:val="false"/>
          <w:iCs w:val="false"/>
          <w:color w:val="000000"/>
        </w:rPr>
        <w:t xml:space="preserve">. </w:t>
      </w:r>
    </w:p>
    <w:p>
      <w:r>
        <w:rPr>
          <w:b w:val="false"/>
          <w:bCs w:val="false"/>
          <w:i w:val="false"/>
          <w:iCs w:val="false"/>
          <w:color w:val="000000"/>
        </w:rPr>
        <w:t xml:space="preserve">**References**</w:t>
      </w:r>
    </w:p>
    <w:p>
      <w:r>
        <w:rPr>
          <w:b w:val="false"/>
          <w:bCs w:val="false"/>
          <w:i w:val="false"/>
          <w:iCs w:val="false"/>
          <w:color w:val="000000"/>
        </w:rPr>
        <w:t xml:space="preserve"> A comprehensive survey on computational methods of non-coding RNA and disease association prediction </w:t>
      </w:r>
      <w:hyperlink w:history="1" w:anchor="c7a8ef33f1085034c533a9521fdc05ab">
        <w:r>
          <w:rPr>
            <w:rStyle w:val="Hyperlink"/>
          </w:rPr>
          <w:t xml:space="preserve">(Lei et al., 2020)</w:t>
        </w:r>
      </w:hyperlink>
    </w:p>
    <w:p>
      <w:hyperlink w:history="1" w:anchor="797ea4ae8d06a38545d08f3bb1f5113b">
        <w:r>
          <w:rPr>
            <w:rStyle w:val="Hyperlink"/>
          </w:rPr>
          <w:t xml:space="preserve">(Guo et al., 2015)</w:t>
        </w:r>
      </w:hyperlink>
    </w:p>
    <w:p>
      <w:hyperlink w:history="1" w:anchor="c7a8ef33f1085034c533a9521fdc05ab">
        <w:r>
          <w:rPr>
            <w:rStyle w:val="Hyperlink"/>
          </w:rPr>
          <w:t xml:space="preserve">(Lei et al., 2020)</w:t>
        </w:r>
      </w:hyperlink>
      <w:r>
        <w:rPr>
          <w:b w:val="false"/>
          <w:bCs w:val="false"/>
          <w:i w:val="false"/>
          <w:iCs w:val="false"/>
          <w:color w:val="000000"/>
        </w:rPr>
        <w:t xml:space="preserve">.  Identification of Cancer-Related Long Non-Coding RNAs Using XGBoost With High Accuracy </w:t>
      </w:r>
      <w:hyperlink w:history="1" w:anchor="7c028908dbcb2e879e2b141f0abc9f43">
        <w:r>
          <w:rPr>
            <w:rStyle w:val="Hyperlink"/>
          </w:rPr>
          <w:t xml:space="preserve">(Zhang et al., 2019)</w:t>
        </w:r>
      </w:hyperlink>
      <w:r>
        <w:rPr>
          <w:b w:val="false"/>
          <w:bCs w:val="false"/>
          <w:i w:val="false"/>
          <w:iCs w:val="false"/>
          <w:color w:val="000000"/>
        </w:rPr>
        <w:t xml:space="preserve"> LncBook: a curated knowledgebase of human long non-coding RNAs. Advances in long noncoding RNAs: identification, structure prediction and function annotation.</w:t>
      </w:r>
    </w:p>
    <w:p/>
    <w:p/>
    <w:p/>
    <w:p/>
    <w:p/>
    <w:p/>
    <w:p>
      <w:r>
        <w:rPr>
          <w:b w:val="false"/>
          <w:bCs w:val="false"/>
          <w:i w:val="false"/>
          <w:iCs w:val="false"/>
          <w:color w:val="000000"/>
        </w:rPr>
        <w:t xml:space="preserve"> </w:t>
      </w:r>
    </w:p>
    <w:p/>
    <w:p/>
    <w:p/>
    <w:p/>
    <w:p/>
    <w:p>
      <w:pPr>
        <w:pStyle w:val="Heading1"/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EnclosedFullstop"/>
      <w:lvlText w:val="%1"/>
      <w:lvlJc w:val="start"/>
      <w:pPr>
        <w:ind w:left="720" w:hanging="360"/>
      </w:pPr>
    </w:lvl>
    <w:lvl w:ilvl="1" w15:tentative="1">
      <w:start w:val="1"/>
      <w:numFmt w:val="decimalEnclosedFullstop"/>
      <w:lvlText w:val="%2"/>
      <w:lvlJc w:val="start"/>
      <w:pPr>
        <w:ind w:left="1440" w:hanging="360"/>
      </w:pPr>
    </w:lvl>
    <w:lvl w:ilvl="2" w15:tentative="1">
      <w:start w:val="1"/>
      <w:numFmt w:val="decimalEnclosedFullstop"/>
      <w:lvlText w:val="%3"/>
      <w:lvlJc w:val="start"/>
      <w:pPr>
        <w:ind w:left="2160" w:hanging="360"/>
      </w:pPr>
    </w:lvl>
    <w:lvl w:ilvl="3" w15:tentative="1">
      <w:start w:val="1"/>
      <w:numFmt w:val="decimalEnclosedFullstop"/>
      <w:lvlText w:val="%4"/>
      <w:lvlJc w:val="start"/>
      <w:pPr>
        <w:ind w:left="2880" w:hanging="360"/>
      </w:pPr>
    </w:lvl>
    <w:lvl w:ilvl="4" w15:tentative="1">
      <w:start w:val="1"/>
      <w:numFmt w:val="decimalEnclosedFullstop"/>
      <w:lvlText w:val="%5"/>
      <w:lvlJc w:val="start"/>
      <w:pPr>
        <w:ind w:left="3600" w:hanging="360"/>
      </w:pPr>
    </w:lvl>
    <w:lvl w:ilvl="5" w15:tentative="1">
      <w:start w:val="1"/>
      <w:numFmt w:val="decimalEnclosedFullstop"/>
      <w:lvlText w:val="%6"/>
      <w:lvlJc w:val="start"/>
      <w:pPr>
        <w:ind w:left="4320" w:hanging="360"/>
      </w:pPr>
    </w:lvl>
    <w:lvl w:ilvl="6" w15:tentative="1">
      <w:start w:val="1"/>
      <w:numFmt w:val="decimalEnclosedFullstop"/>
      <w:lvlText w:val="%7"/>
      <w:lvlJc w:val="start"/>
      <w:pPr>
        <w:ind w:left="5040" w:hanging="360"/>
      </w:pPr>
    </w:lvl>
    <w:lvl w:ilvl="7" w15:tentative="1">
      <w:start w:val="1"/>
      <w:numFmt w:val="decimalEnclosedFullstop"/>
      <w:lvlText w:val="%8"/>
      <w:lvlJc w:val="start"/>
      <w:pPr>
        <w:ind w:left="5760" w:hanging="360"/>
      </w:pPr>
    </w:lvl>
    <w:lvl w:ilvl="8" w15:tentative="1">
      <w:start w:val="1"/>
      <w:numFmt w:val="decimalEnclosedFullstop"/>
      <w:lvlText w:val="%9"/>
      <w:lvlJc w:val="start"/>
      <w:pPr>
        <w:ind w:left="6480" w:hanging="360"/>
      </w:pPr>
    </w:lvl>
    <w:lvl w:ilvl="9" w15:tentative="1">
      <w:start w:val="1"/>
      <w:numFmt w:val="decimalEnclosedFullstop"/>
      <w:lvlText w:val="%10"/>
      <w:lvlJc w:val="start"/>
      <w:pPr>
        <w:ind w:left="7200" w:hanging="360"/>
      </w:pPr>
    </w:lvl>
  </w:abstractNum>
  <w:abstractNum w:abstractNumId="3" w15:restartNumberingAfterBreak="0">
    <w:multiLevelType w:val="hybridMultilevel"/>
    <w:lvl w:ilvl="0" w15:tentative="1">
      <w:start w:val="1"/>
      <w:numFmt w:val="bullet"/>
      <w:lvlJc w:val="start"/>
      <w:pPr>
        <w:ind w:left="720" w:hanging="360"/>
      </w:pPr>
    </w:lvl>
    <w:lvl w:ilvl="1" w15:tentative="1">
      <w:start w:val="1"/>
      <w:numFmt w:val="bullet"/>
      <w:lvlJc w:val="start"/>
      <w:pPr>
        <w:ind w:left="1440" w:hanging="360"/>
      </w:pPr>
    </w:lvl>
    <w:lvl w:ilvl="2" w15:tentative="1">
      <w:start w:val="1"/>
      <w:numFmt w:val="bullet"/>
      <w:lvlJc w:val="start"/>
      <w:pPr>
        <w:ind w:left="2160" w:hanging="360"/>
      </w:pPr>
    </w:lvl>
    <w:lvl w:ilvl="3" w15:tentative="1">
      <w:start w:val="1"/>
      <w:numFmt w:val="bullet"/>
      <w:lvlJc w:val="start"/>
      <w:pPr>
        <w:ind w:left="2880" w:hanging="360"/>
      </w:pPr>
    </w:lvl>
    <w:lvl w:ilvl="4" w15:tentative="1">
      <w:start w:val="1"/>
      <w:numFmt w:val="bullet"/>
      <w:lvlJc w:val="start"/>
      <w:pPr>
        <w:ind w:left="3600" w:hanging="360"/>
      </w:pPr>
    </w:lvl>
    <w:lvl w:ilvl="5" w15:tentative="1">
      <w:start w:val="1"/>
      <w:numFmt w:val="bullet"/>
      <w:lvlJc w:val="start"/>
      <w:pPr>
        <w:ind w:left="4320" w:hanging="360"/>
      </w:pPr>
    </w:lvl>
    <w:lvl w:ilvl="6" w15:tentative="1">
      <w:start w:val="1"/>
      <w:numFmt w:val="bullet"/>
      <w:lvlJc w:val="start"/>
      <w:pPr>
        <w:ind w:left="5040" w:hanging="360"/>
      </w:pPr>
    </w:lvl>
    <w:lvl w:ilvl="7" w15:tentative="1">
      <w:start w:val="1"/>
      <w:numFmt w:val="bullet"/>
      <w:lvlJc w:val="start"/>
      <w:pPr>
        <w:ind w:left="5760" w:hanging="360"/>
      </w:pPr>
    </w:lvl>
    <w:lvl w:ilvl="8" w15:tentative="1">
      <w:start w:val="1"/>
      <w:numFmt w:val="bullet"/>
      <w:lvlJc w:val="start"/>
      <w:pPr>
        <w:ind w:left="6480" w:hanging="360"/>
      </w:pPr>
    </w:lvl>
    <w:lvl w:ilvl="9" w15:tentative="1">
      <w:start w:val="1"/>
      <w:numFmt w:val="bullet"/>
      <w:lvlJc w:val="start"/>
      <w:pPr>
        <w:ind w:left="720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>
      <w:pPr>
        <w:spacing w:before="144" w:after="72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u w:val="single"/>
      <w:color w:val="0563C1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Machine Learning-Based Method for Cancer-Related Long Noncoding RNA</dc:title>
  <dc:creator>Shimelis Abera</dc:creator>
  <cp:lastModifiedBy>Un-named</cp:lastModifiedBy>
  <cp:revision>1</cp:revision>
  <dcterms:created xsi:type="dcterms:W3CDTF">2024-09-27T13:51:45.606Z</dcterms:created>
  <dcterms:modified xsi:type="dcterms:W3CDTF">2024-09-27T13:51:45.606Z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