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CA22B" w14:textId="77777777" w:rsidR="007C31B9" w:rsidRDefault="007C31B9" w:rsidP="00DA63E8">
      <w:pPr>
        <w:spacing w:line="276" w:lineRule="auto"/>
        <w:jc w:val="center"/>
        <w:rPr>
          <w:rFonts w:ascii="Times New Roman" w:hAnsi="Times New Roman" w:cs="Times New Roman"/>
          <w:b/>
          <w:bCs/>
          <w:sz w:val="32"/>
          <w:szCs w:val="32"/>
        </w:rPr>
      </w:pPr>
    </w:p>
    <w:p w14:paraId="11B6C02C" w14:textId="77777777" w:rsidR="001348B3" w:rsidRDefault="001348B3" w:rsidP="00DA63E8">
      <w:pPr>
        <w:spacing w:line="276" w:lineRule="auto"/>
        <w:jc w:val="center"/>
        <w:rPr>
          <w:rFonts w:ascii="Times New Roman" w:hAnsi="Times New Roman" w:cs="Times New Roman"/>
          <w:b/>
          <w:bCs/>
          <w:sz w:val="32"/>
          <w:szCs w:val="32"/>
        </w:rPr>
      </w:pPr>
    </w:p>
    <w:p w14:paraId="4113E19D" w14:textId="517BB40A" w:rsidR="00DA63E8" w:rsidRPr="007A1911" w:rsidRDefault="001348B3" w:rsidP="00DA63E8">
      <w:pPr>
        <w:spacing w:line="276" w:lineRule="auto"/>
        <w:jc w:val="center"/>
        <w:rPr>
          <w:rFonts w:ascii="Times New Roman" w:hAnsi="Times New Roman" w:cs="Times New Roman"/>
          <w:b/>
          <w:bCs/>
          <w:sz w:val="32"/>
          <w:szCs w:val="32"/>
        </w:rPr>
      </w:pPr>
      <w:r w:rsidRPr="001348B3">
        <w:rPr>
          <w:rFonts w:ascii="Times New Roman" w:hAnsi="Times New Roman" w:cs="Times New Roman"/>
          <w:b/>
          <w:bCs/>
          <w:sz w:val="32"/>
          <w:szCs w:val="32"/>
        </w:rPr>
        <w:t>Porter's Five Forces analysis</w:t>
      </w:r>
      <w:r>
        <w:rPr>
          <w:rFonts w:ascii="Times New Roman" w:hAnsi="Times New Roman" w:cs="Times New Roman"/>
          <w:b/>
          <w:bCs/>
          <w:sz w:val="32"/>
          <w:szCs w:val="32"/>
        </w:rPr>
        <w:t>: RMG Industry of Bangladesh</w:t>
      </w:r>
    </w:p>
    <w:p w14:paraId="32C320A6" w14:textId="77777777" w:rsidR="00DA63E8" w:rsidRDefault="00DA63E8" w:rsidP="00DA63E8">
      <w:pPr>
        <w:spacing w:line="276" w:lineRule="auto"/>
        <w:jc w:val="center"/>
        <w:rPr>
          <w:rFonts w:ascii="Times New Roman" w:hAnsi="Times New Roman" w:cs="Times New Roman"/>
          <w:b/>
          <w:bCs/>
          <w:sz w:val="32"/>
          <w:szCs w:val="32"/>
        </w:rPr>
      </w:pPr>
    </w:p>
    <w:p w14:paraId="56C71486" w14:textId="77777777" w:rsidR="00213187" w:rsidRPr="007A1911" w:rsidRDefault="00213187" w:rsidP="00DA63E8">
      <w:pPr>
        <w:spacing w:line="276" w:lineRule="auto"/>
        <w:jc w:val="center"/>
        <w:rPr>
          <w:rFonts w:ascii="Times New Roman" w:hAnsi="Times New Roman" w:cs="Times New Roman"/>
          <w:b/>
          <w:bCs/>
          <w:sz w:val="32"/>
          <w:szCs w:val="32"/>
        </w:rPr>
      </w:pPr>
    </w:p>
    <w:p w14:paraId="59778BDD" w14:textId="77777777" w:rsidR="007C31B9" w:rsidRDefault="007C31B9" w:rsidP="00DA63E8">
      <w:pPr>
        <w:jc w:val="center"/>
        <w:rPr>
          <w:rFonts w:ascii="Times New Roman" w:hAnsi="Times New Roman" w:cs="Times New Roman"/>
          <w:b/>
          <w:bCs/>
          <w:szCs w:val="28"/>
        </w:rPr>
      </w:pPr>
    </w:p>
    <w:p w14:paraId="0590DB76" w14:textId="77777777" w:rsidR="007C31B9" w:rsidRDefault="007C31B9" w:rsidP="00DA63E8">
      <w:pPr>
        <w:jc w:val="center"/>
        <w:rPr>
          <w:rFonts w:ascii="Times New Roman" w:hAnsi="Times New Roman" w:cs="Times New Roman"/>
          <w:b/>
          <w:bCs/>
          <w:szCs w:val="28"/>
        </w:rPr>
      </w:pPr>
    </w:p>
    <w:p w14:paraId="02C84744" w14:textId="5A3D87D5" w:rsidR="00DA63E8" w:rsidRPr="00213187" w:rsidRDefault="00DA63E8" w:rsidP="00DA63E8">
      <w:pPr>
        <w:jc w:val="center"/>
        <w:rPr>
          <w:rFonts w:ascii="Times New Roman" w:hAnsi="Times New Roman" w:cs="Times New Roman"/>
          <w:b/>
          <w:bCs/>
          <w:sz w:val="24"/>
          <w:szCs w:val="24"/>
        </w:rPr>
      </w:pPr>
      <w:r w:rsidRPr="00213187">
        <w:rPr>
          <w:rFonts w:ascii="Times New Roman" w:hAnsi="Times New Roman" w:cs="Times New Roman"/>
          <w:b/>
          <w:bCs/>
          <w:sz w:val="24"/>
          <w:szCs w:val="24"/>
        </w:rPr>
        <w:t>Submitted By:</w:t>
      </w:r>
    </w:p>
    <w:p w14:paraId="5862AFB4" w14:textId="77777777" w:rsidR="00DA63E8" w:rsidRPr="00213187" w:rsidRDefault="00DA63E8" w:rsidP="00DA63E8">
      <w:pPr>
        <w:jc w:val="center"/>
        <w:rPr>
          <w:rFonts w:ascii="Times New Roman" w:hAnsi="Times New Roman" w:cs="Times New Roman"/>
          <w:b/>
          <w:bCs/>
          <w:i/>
          <w:sz w:val="24"/>
          <w:szCs w:val="24"/>
        </w:rPr>
      </w:pPr>
      <w:r w:rsidRPr="00213187">
        <w:rPr>
          <w:rFonts w:ascii="Times New Roman" w:hAnsi="Times New Roman" w:cs="Times New Roman"/>
          <w:bCs/>
          <w:i/>
          <w:sz w:val="24"/>
          <w:szCs w:val="24"/>
        </w:rPr>
        <w:t>Muhammed Sameer Uddin</w:t>
      </w:r>
    </w:p>
    <w:p w14:paraId="5CFB687A" w14:textId="77777777" w:rsidR="00DA63E8" w:rsidRPr="00213187" w:rsidRDefault="00DA63E8" w:rsidP="00DA63E8">
      <w:pPr>
        <w:jc w:val="center"/>
        <w:rPr>
          <w:rStyle w:val="BookTitle"/>
          <w:rFonts w:ascii="Times New Roman" w:hAnsi="Times New Roman" w:cs="Times New Roman"/>
          <w:b w:val="0"/>
          <w:bCs w:val="0"/>
          <w:i w:val="0"/>
          <w:iCs w:val="0"/>
          <w:sz w:val="24"/>
          <w:szCs w:val="24"/>
        </w:rPr>
      </w:pPr>
      <w:r w:rsidRPr="00213187">
        <w:rPr>
          <w:rFonts w:ascii="Times New Roman" w:hAnsi="Times New Roman" w:cs="Times New Roman"/>
          <w:bCs/>
          <w:i/>
          <w:sz w:val="24"/>
          <w:szCs w:val="24"/>
        </w:rPr>
        <w:t xml:space="preserve">Student ID: </w:t>
      </w:r>
      <w:r w:rsidRPr="00213187">
        <w:rPr>
          <w:rFonts w:ascii="Times New Roman" w:hAnsi="Times New Roman" w:cs="Times New Roman"/>
          <w:bCs/>
          <w:iCs/>
          <w:sz w:val="24"/>
          <w:szCs w:val="24"/>
        </w:rPr>
        <w:t>697906</w:t>
      </w:r>
    </w:p>
    <w:p w14:paraId="33E40A3B" w14:textId="77777777" w:rsidR="00DA63E8" w:rsidRPr="00213187" w:rsidRDefault="00DA63E8" w:rsidP="00DA63E8">
      <w:pPr>
        <w:jc w:val="center"/>
        <w:rPr>
          <w:rFonts w:ascii="Times New Roman" w:hAnsi="Times New Roman" w:cs="Times New Roman"/>
          <w:b/>
          <w:bCs/>
          <w:i/>
          <w:sz w:val="24"/>
          <w:szCs w:val="24"/>
        </w:rPr>
      </w:pPr>
    </w:p>
    <w:p w14:paraId="4E694137" w14:textId="77777777" w:rsidR="00DA63E8" w:rsidRPr="00213187" w:rsidRDefault="00DA63E8" w:rsidP="00DA63E8">
      <w:pPr>
        <w:jc w:val="center"/>
        <w:rPr>
          <w:rFonts w:ascii="Times New Roman" w:hAnsi="Times New Roman" w:cs="Times New Roman"/>
          <w:i/>
          <w:sz w:val="24"/>
          <w:szCs w:val="24"/>
        </w:rPr>
      </w:pPr>
    </w:p>
    <w:p w14:paraId="36F7B545" w14:textId="77777777" w:rsidR="00DA63E8" w:rsidRPr="00213187" w:rsidRDefault="00DA63E8" w:rsidP="00DA63E8">
      <w:pPr>
        <w:jc w:val="center"/>
        <w:rPr>
          <w:rFonts w:ascii="Times New Roman" w:hAnsi="Times New Roman" w:cs="Times New Roman"/>
          <w:i/>
          <w:sz w:val="24"/>
          <w:szCs w:val="24"/>
        </w:rPr>
      </w:pPr>
    </w:p>
    <w:p w14:paraId="2D4B6C72" w14:textId="77777777" w:rsidR="007C31B9" w:rsidRPr="00213187" w:rsidRDefault="007C31B9" w:rsidP="00DA63E8">
      <w:pPr>
        <w:jc w:val="center"/>
        <w:rPr>
          <w:rFonts w:ascii="Times New Roman" w:hAnsi="Times New Roman" w:cs="Times New Roman"/>
          <w:b/>
          <w:bCs/>
          <w:sz w:val="24"/>
          <w:szCs w:val="24"/>
        </w:rPr>
      </w:pPr>
    </w:p>
    <w:p w14:paraId="349305C4" w14:textId="77777777" w:rsidR="007C31B9" w:rsidRPr="00213187" w:rsidRDefault="007C31B9" w:rsidP="00DA63E8">
      <w:pPr>
        <w:jc w:val="center"/>
        <w:rPr>
          <w:rFonts w:ascii="Times New Roman" w:hAnsi="Times New Roman" w:cs="Times New Roman"/>
          <w:b/>
          <w:bCs/>
          <w:sz w:val="24"/>
          <w:szCs w:val="24"/>
        </w:rPr>
      </w:pPr>
    </w:p>
    <w:p w14:paraId="57F1ED2F" w14:textId="418C0B1C" w:rsidR="00DA63E8" w:rsidRPr="00213187" w:rsidRDefault="00DA63E8" w:rsidP="00DA63E8">
      <w:pPr>
        <w:jc w:val="center"/>
        <w:rPr>
          <w:rFonts w:ascii="Times New Roman" w:hAnsi="Times New Roman" w:cs="Times New Roman"/>
          <w:b/>
          <w:bCs/>
          <w:sz w:val="24"/>
          <w:szCs w:val="24"/>
        </w:rPr>
      </w:pPr>
      <w:r w:rsidRPr="00213187">
        <w:rPr>
          <w:rFonts w:ascii="Times New Roman" w:hAnsi="Times New Roman" w:cs="Times New Roman"/>
          <w:b/>
          <w:bCs/>
          <w:sz w:val="24"/>
          <w:szCs w:val="24"/>
        </w:rPr>
        <w:t>Date Submitted</w:t>
      </w:r>
    </w:p>
    <w:p w14:paraId="77250B19" w14:textId="70A74A41" w:rsidR="00DA63E8" w:rsidRPr="00213187" w:rsidRDefault="00DA63E8" w:rsidP="00DA63E8">
      <w:pPr>
        <w:jc w:val="center"/>
        <w:rPr>
          <w:rFonts w:ascii="Times New Roman" w:hAnsi="Times New Roman" w:cs="Times New Roman"/>
          <w:b/>
          <w:bCs/>
          <w:sz w:val="24"/>
          <w:szCs w:val="24"/>
        </w:rPr>
      </w:pPr>
      <w:r w:rsidRPr="00213187">
        <w:rPr>
          <w:rFonts w:ascii="Times New Roman" w:hAnsi="Times New Roman" w:cs="Times New Roman"/>
          <w:bCs/>
          <w:sz w:val="24"/>
          <w:szCs w:val="24"/>
        </w:rPr>
        <w:t xml:space="preserve">September </w:t>
      </w:r>
      <w:r w:rsidR="00213187">
        <w:rPr>
          <w:rFonts w:ascii="Times New Roman" w:hAnsi="Times New Roman" w:cs="Times New Roman"/>
          <w:bCs/>
          <w:sz w:val="24"/>
          <w:szCs w:val="24"/>
        </w:rPr>
        <w:t>2</w:t>
      </w:r>
      <w:r w:rsidR="00EF5628">
        <w:rPr>
          <w:rFonts w:ascii="Times New Roman" w:hAnsi="Times New Roman" w:cs="Times New Roman"/>
          <w:bCs/>
          <w:sz w:val="24"/>
          <w:szCs w:val="24"/>
        </w:rPr>
        <w:t>2</w:t>
      </w:r>
      <w:r w:rsidRPr="00213187">
        <w:rPr>
          <w:rFonts w:ascii="Times New Roman" w:hAnsi="Times New Roman" w:cs="Times New Roman"/>
          <w:bCs/>
          <w:sz w:val="24"/>
          <w:szCs w:val="24"/>
        </w:rPr>
        <w:t>, 2024</w:t>
      </w:r>
    </w:p>
    <w:p w14:paraId="6327B4EB" w14:textId="77777777" w:rsidR="00DA63E8" w:rsidRPr="00213187" w:rsidRDefault="00DA63E8" w:rsidP="00DA63E8">
      <w:pPr>
        <w:jc w:val="center"/>
        <w:rPr>
          <w:rFonts w:ascii="Times New Roman" w:hAnsi="Times New Roman" w:cs="Times New Roman"/>
          <w:i/>
          <w:sz w:val="24"/>
          <w:szCs w:val="24"/>
        </w:rPr>
      </w:pPr>
    </w:p>
    <w:p w14:paraId="05547883" w14:textId="77777777" w:rsidR="00DA63E8" w:rsidRPr="00213187" w:rsidRDefault="00DA63E8" w:rsidP="00DA63E8">
      <w:pPr>
        <w:jc w:val="center"/>
        <w:rPr>
          <w:rFonts w:ascii="Times New Roman" w:hAnsi="Times New Roman" w:cs="Times New Roman"/>
          <w:i/>
          <w:sz w:val="24"/>
          <w:szCs w:val="24"/>
        </w:rPr>
      </w:pPr>
    </w:p>
    <w:p w14:paraId="4B6574E2" w14:textId="77777777" w:rsidR="007C31B9" w:rsidRPr="00213187" w:rsidRDefault="007C31B9" w:rsidP="00DA63E8">
      <w:pPr>
        <w:jc w:val="center"/>
        <w:rPr>
          <w:rFonts w:ascii="Times New Roman" w:hAnsi="Times New Roman" w:cs="Times New Roman"/>
          <w:b/>
          <w:sz w:val="24"/>
          <w:szCs w:val="24"/>
        </w:rPr>
      </w:pPr>
    </w:p>
    <w:p w14:paraId="0FB39D52" w14:textId="77777777" w:rsidR="007C31B9" w:rsidRPr="00213187" w:rsidRDefault="007C31B9" w:rsidP="00DA63E8">
      <w:pPr>
        <w:jc w:val="center"/>
        <w:rPr>
          <w:rFonts w:ascii="Times New Roman" w:hAnsi="Times New Roman" w:cs="Times New Roman"/>
          <w:b/>
          <w:sz w:val="24"/>
          <w:szCs w:val="24"/>
        </w:rPr>
      </w:pPr>
    </w:p>
    <w:p w14:paraId="149FE49A" w14:textId="0E41DC78" w:rsidR="00DA63E8" w:rsidRPr="00213187" w:rsidRDefault="00DA63E8" w:rsidP="00DA63E8">
      <w:pPr>
        <w:jc w:val="center"/>
        <w:rPr>
          <w:rFonts w:ascii="Times New Roman" w:hAnsi="Times New Roman" w:cs="Times New Roman"/>
          <w:b/>
          <w:sz w:val="24"/>
          <w:szCs w:val="24"/>
        </w:rPr>
      </w:pPr>
      <w:r w:rsidRPr="00213187">
        <w:rPr>
          <w:rFonts w:ascii="Times New Roman" w:hAnsi="Times New Roman" w:cs="Times New Roman"/>
          <w:b/>
          <w:sz w:val="24"/>
          <w:szCs w:val="24"/>
        </w:rPr>
        <w:t>Saint Mary’s University of Minnesota</w:t>
      </w:r>
    </w:p>
    <w:p w14:paraId="5511A576" w14:textId="77777777" w:rsidR="00DA63E8" w:rsidRPr="00213187" w:rsidRDefault="00DA63E8" w:rsidP="00DA63E8">
      <w:pPr>
        <w:jc w:val="center"/>
        <w:rPr>
          <w:rFonts w:ascii="Times New Roman" w:hAnsi="Times New Roman" w:cs="Times New Roman"/>
          <w:b/>
          <w:bCs/>
          <w:sz w:val="24"/>
          <w:szCs w:val="24"/>
        </w:rPr>
      </w:pPr>
      <w:r w:rsidRPr="00213187">
        <w:rPr>
          <w:rFonts w:ascii="Times New Roman" w:hAnsi="Times New Roman" w:cs="Times New Roman"/>
          <w:bCs/>
          <w:sz w:val="24"/>
          <w:szCs w:val="24"/>
        </w:rPr>
        <w:t>Schools of Graduate and Professional Programs</w:t>
      </w:r>
    </w:p>
    <w:p w14:paraId="21057E94" w14:textId="77777777" w:rsidR="00DA63E8" w:rsidRPr="00213187" w:rsidRDefault="00DA63E8" w:rsidP="00DA63E8">
      <w:pPr>
        <w:jc w:val="center"/>
        <w:rPr>
          <w:rFonts w:ascii="Times New Roman" w:hAnsi="Times New Roman" w:cs="Times New Roman"/>
          <w:sz w:val="24"/>
          <w:szCs w:val="24"/>
        </w:rPr>
      </w:pPr>
    </w:p>
    <w:p w14:paraId="6AD5BE04" w14:textId="77777777" w:rsidR="00DA63E8" w:rsidRPr="00213187" w:rsidRDefault="00DA63E8" w:rsidP="00DA63E8">
      <w:pPr>
        <w:jc w:val="center"/>
        <w:rPr>
          <w:rFonts w:ascii="Times New Roman" w:hAnsi="Times New Roman" w:cs="Times New Roman"/>
          <w:sz w:val="24"/>
          <w:szCs w:val="24"/>
        </w:rPr>
      </w:pPr>
    </w:p>
    <w:p w14:paraId="24E79FE2" w14:textId="77777777" w:rsidR="00DA63E8" w:rsidRPr="00213187" w:rsidRDefault="00DA63E8" w:rsidP="00DA63E8">
      <w:pPr>
        <w:jc w:val="center"/>
        <w:rPr>
          <w:rFonts w:ascii="Times New Roman" w:hAnsi="Times New Roman" w:cs="Times New Roman"/>
          <w:b/>
          <w:bCs/>
          <w:sz w:val="24"/>
          <w:szCs w:val="24"/>
        </w:rPr>
      </w:pPr>
      <w:r w:rsidRPr="00213187">
        <w:rPr>
          <w:rFonts w:ascii="Times New Roman" w:hAnsi="Times New Roman" w:cs="Times New Roman"/>
          <w:b/>
          <w:bCs/>
          <w:sz w:val="24"/>
          <w:szCs w:val="24"/>
        </w:rPr>
        <w:t>Instructor:</w:t>
      </w:r>
    </w:p>
    <w:p w14:paraId="64ED6177" w14:textId="77777777" w:rsidR="00DA63E8" w:rsidRPr="00213187" w:rsidRDefault="00DA63E8" w:rsidP="00DA63E8">
      <w:pPr>
        <w:jc w:val="center"/>
        <w:rPr>
          <w:rFonts w:ascii="Times New Roman" w:hAnsi="Times New Roman" w:cs="Times New Roman"/>
          <w:b/>
          <w:bCs/>
          <w:sz w:val="24"/>
          <w:szCs w:val="24"/>
        </w:rPr>
      </w:pPr>
      <w:r w:rsidRPr="00213187">
        <w:rPr>
          <w:rFonts w:ascii="Times New Roman" w:hAnsi="Times New Roman" w:cs="Times New Roman"/>
          <w:bCs/>
          <w:i/>
          <w:sz w:val="24"/>
          <w:szCs w:val="24"/>
        </w:rPr>
        <w:t xml:space="preserve">K. David </w:t>
      </w:r>
      <w:proofErr w:type="spellStart"/>
      <w:r w:rsidRPr="00213187">
        <w:rPr>
          <w:rFonts w:ascii="Times New Roman" w:hAnsi="Times New Roman" w:cs="Times New Roman"/>
          <w:bCs/>
          <w:i/>
          <w:sz w:val="24"/>
          <w:szCs w:val="24"/>
        </w:rPr>
        <w:t>Hirschey</w:t>
      </w:r>
      <w:r w:rsidRPr="00213187">
        <w:rPr>
          <w:rFonts w:ascii="Times New Roman" w:hAnsi="Times New Roman" w:cs="Times New Roman"/>
          <w:bCs/>
          <w:sz w:val="24"/>
          <w:szCs w:val="24"/>
        </w:rPr>
        <w:t>Abstract</w:t>
      </w:r>
      <w:proofErr w:type="spellEnd"/>
    </w:p>
    <w:p w14:paraId="48BFFE46" w14:textId="77777777" w:rsidR="000B4E64" w:rsidRPr="00213187" w:rsidRDefault="000B4E64" w:rsidP="0052210F">
      <w:pPr>
        <w:pStyle w:val="Heading1"/>
        <w:rPr>
          <w:rFonts w:cs="Times New Roman"/>
          <w:szCs w:val="24"/>
        </w:rPr>
      </w:pPr>
    </w:p>
    <w:p w14:paraId="5EC2E1BE" w14:textId="77777777" w:rsidR="00DA63E8" w:rsidRDefault="00DA63E8" w:rsidP="00DA63E8">
      <w:pPr>
        <w:sectPr w:rsidR="00DA63E8" w:rsidSect="004F6BCE">
          <w:footerReference w:type="default" r:id="rId8"/>
          <w:pgSz w:w="12240" w:h="15840"/>
          <w:pgMar w:top="1440" w:right="1440" w:bottom="1440" w:left="1440" w:header="720" w:footer="720" w:gutter="0"/>
          <w:pgNumType w:fmt="lowerRoman" w:start="1"/>
          <w:cols w:space="720"/>
          <w:docGrid w:linePitch="360"/>
        </w:sectPr>
      </w:pPr>
    </w:p>
    <w:sdt>
      <w:sdtPr>
        <w:rPr>
          <w:rFonts w:asciiTheme="minorHAnsi" w:eastAsiaTheme="minorHAnsi" w:hAnsiTheme="minorHAnsi" w:cstheme="minorBidi"/>
          <w:b w:val="0"/>
          <w:sz w:val="22"/>
          <w:szCs w:val="22"/>
        </w:rPr>
        <w:id w:val="-811943009"/>
        <w:docPartObj>
          <w:docPartGallery w:val="Table of Contents"/>
          <w:docPartUnique/>
        </w:docPartObj>
      </w:sdtPr>
      <w:sdtEndPr>
        <w:rPr>
          <w:bCs/>
          <w:noProof/>
        </w:rPr>
      </w:sdtEndPr>
      <w:sdtContent>
        <w:p w14:paraId="048A0101" w14:textId="56714206" w:rsidR="00D3483A" w:rsidRDefault="00D3483A">
          <w:pPr>
            <w:pStyle w:val="TOCHeading"/>
          </w:pPr>
          <w:r>
            <w:t>Table of Contents</w:t>
          </w:r>
        </w:p>
        <w:p w14:paraId="1084D6F5" w14:textId="77777777" w:rsidR="005A30CF" w:rsidRPr="005A30CF" w:rsidRDefault="005A30CF" w:rsidP="005A30CF"/>
        <w:p w14:paraId="0B03387C" w14:textId="35F5B14D" w:rsidR="006E3A6F" w:rsidRDefault="00D3483A">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177921500" w:history="1">
            <w:r w:rsidR="006E3A6F" w:rsidRPr="005F7594">
              <w:rPr>
                <w:rStyle w:val="Hyperlink"/>
                <w:noProof/>
              </w:rPr>
              <w:t>Executive Summary</w:t>
            </w:r>
            <w:r w:rsidR="006E3A6F">
              <w:rPr>
                <w:noProof/>
                <w:webHidden/>
              </w:rPr>
              <w:tab/>
            </w:r>
            <w:r w:rsidR="006E3A6F">
              <w:rPr>
                <w:noProof/>
                <w:webHidden/>
              </w:rPr>
              <w:fldChar w:fldCharType="begin"/>
            </w:r>
            <w:r w:rsidR="006E3A6F">
              <w:rPr>
                <w:noProof/>
                <w:webHidden/>
              </w:rPr>
              <w:instrText xml:space="preserve"> PAGEREF _Toc177921500 \h </w:instrText>
            </w:r>
            <w:r w:rsidR="006E3A6F">
              <w:rPr>
                <w:noProof/>
                <w:webHidden/>
              </w:rPr>
            </w:r>
            <w:r w:rsidR="006E3A6F">
              <w:rPr>
                <w:noProof/>
                <w:webHidden/>
              </w:rPr>
              <w:fldChar w:fldCharType="separate"/>
            </w:r>
            <w:r w:rsidR="006E3A6F">
              <w:rPr>
                <w:noProof/>
                <w:webHidden/>
              </w:rPr>
              <w:t>1</w:t>
            </w:r>
            <w:r w:rsidR="006E3A6F">
              <w:rPr>
                <w:noProof/>
                <w:webHidden/>
              </w:rPr>
              <w:fldChar w:fldCharType="end"/>
            </w:r>
          </w:hyperlink>
        </w:p>
        <w:p w14:paraId="159A913D" w14:textId="75CBEA70" w:rsidR="006E3A6F" w:rsidRDefault="006E3A6F">
          <w:pPr>
            <w:pStyle w:val="TOC1"/>
            <w:tabs>
              <w:tab w:val="right" w:leader="dot" w:pos="9350"/>
            </w:tabs>
            <w:rPr>
              <w:rFonts w:eastAsiaTheme="minorEastAsia"/>
              <w:noProof/>
              <w:kern w:val="2"/>
              <w:sz w:val="24"/>
              <w:szCs w:val="24"/>
              <w14:ligatures w14:val="standardContextual"/>
            </w:rPr>
          </w:pPr>
          <w:hyperlink w:anchor="_Toc177921501" w:history="1">
            <w:r w:rsidRPr="005F7594">
              <w:rPr>
                <w:rStyle w:val="Hyperlink"/>
                <w:noProof/>
              </w:rPr>
              <w:t>Bangladesh RMG Industry</w:t>
            </w:r>
            <w:r>
              <w:rPr>
                <w:noProof/>
                <w:webHidden/>
              </w:rPr>
              <w:tab/>
            </w:r>
            <w:r>
              <w:rPr>
                <w:noProof/>
                <w:webHidden/>
              </w:rPr>
              <w:fldChar w:fldCharType="begin"/>
            </w:r>
            <w:r>
              <w:rPr>
                <w:noProof/>
                <w:webHidden/>
              </w:rPr>
              <w:instrText xml:space="preserve"> PAGEREF _Toc177921501 \h </w:instrText>
            </w:r>
            <w:r>
              <w:rPr>
                <w:noProof/>
                <w:webHidden/>
              </w:rPr>
            </w:r>
            <w:r>
              <w:rPr>
                <w:noProof/>
                <w:webHidden/>
              </w:rPr>
              <w:fldChar w:fldCharType="separate"/>
            </w:r>
            <w:r>
              <w:rPr>
                <w:noProof/>
                <w:webHidden/>
              </w:rPr>
              <w:t>1</w:t>
            </w:r>
            <w:r>
              <w:rPr>
                <w:noProof/>
                <w:webHidden/>
              </w:rPr>
              <w:fldChar w:fldCharType="end"/>
            </w:r>
          </w:hyperlink>
        </w:p>
        <w:p w14:paraId="65C2A0BB" w14:textId="6F972C09" w:rsidR="006E3A6F" w:rsidRDefault="006E3A6F">
          <w:pPr>
            <w:pStyle w:val="TOC1"/>
            <w:tabs>
              <w:tab w:val="right" w:leader="dot" w:pos="9350"/>
            </w:tabs>
            <w:rPr>
              <w:rFonts w:eastAsiaTheme="minorEastAsia"/>
              <w:noProof/>
              <w:kern w:val="2"/>
              <w:sz w:val="24"/>
              <w:szCs w:val="24"/>
              <w14:ligatures w14:val="standardContextual"/>
            </w:rPr>
          </w:pPr>
          <w:hyperlink w:anchor="_Toc177921502" w:history="1">
            <w:r w:rsidRPr="005F7594">
              <w:rPr>
                <w:rStyle w:val="Hyperlink"/>
                <w:noProof/>
              </w:rPr>
              <w:t>Porter’s Five Forces Analysis</w:t>
            </w:r>
            <w:r>
              <w:rPr>
                <w:noProof/>
                <w:webHidden/>
              </w:rPr>
              <w:tab/>
            </w:r>
            <w:r>
              <w:rPr>
                <w:noProof/>
                <w:webHidden/>
              </w:rPr>
              <w:fldChar w:fldCharType="begin"/>
            </w:r>
            <w:r>
              <w:rPr>
                <w:noProof/>
                <w:webHidden/>
              </w:rPr>
              <w:instrText xml:space="preserve"> PAGEREF _Toc177921502 \h </w:instrText>
            </w:r>
            <w:r>
              <w:rPr>
                <w:noProof/>
                <w:webHidden/>
              </w:rPr>
            </w:r>
            <w:r>
              <w:rPr>
                <w:noProof/>
                <w:webHidden/>
              </w:rPr>
              <w:fldChar w:fldCharType="separate"/>
            </w:r>
            <w:r>
              <w:rPr>
                <w:noProof/>
                <w:webHidden/>
              </w:rPr>
              <w:t>2</w:t>
            </w:r>
            <w:r>
              <w:rPr>
                <w:noProof/>
                <w:webHidden/>
              </w:rPr>
              <w:fldChar w:fldCharType="end"/>
            </w:r>
          </w:hyperlink>
        </w:p>
        <w:p w14:paraId="769D2263" w14:textId="788F601D" w:rsidR="006E3A6F" w:rsidRDefault="006E3A6F">
          <w:pPr>
            <w:pStyle w:val="TOC2"/>
            <w:tabs>
              <w:tab w:val="right" w:leader="dot" w:pos="9350"/>
            </w:tabs>
            <w:rPr>
              <w:rFonts w:eastAsiaTheme="minorEastAsia"/>
              <w:noProof/>
              <w:kern w:val="2"/>
              <w:sz w:val="24"/>
              <w:szCs w:val="24"/>
              <w14:ligatures w14:val="standardContextual"/>
            </w:rPr>
          </w:pPr>
          <w:hyperlink w:anchor="_Toc177921503" w:history="1">
            <w:r w:rsidRPr="005F7594">
              <w:rPr>
                <w:rStyle w:val="Hyperlink"/>
                <w:noProof/>
              </w:rPr>
              <w:t>Competitive Rivalry</w:t>
            </w:r>
            <w:r>
              <w:rPr>
                <w:noProof/>
                <w:webHidden/>
              </w:rPr>
              <w:tab/>
            </w:r>
            <w:r>
              <w:rPr>
                <w:noProof/>
                <w:webHidden/>
              </w:rPr>
              <w:fldChar w:fldCharType="begin"/>
            </w:r>
            <w:r>
              <w:rPr>
                <w:noProof/>
                <w:webHidden/>
              </w:rPr>
              <w:instrText xml:space="preserve"> PAGEREF _Toc177921503 \h </w:instrText>
            </w:r>
            <w:r>
              <w:rPr>
                <w:noProof/>
                <w:webHidden/>
              </w:rPr>
            </w:r>
            <w:r>
              <w:rPr>
                <w:noProof/>
                <w:webHidden/>
              </w:rPr>
              <w:fldChar w:fldCharType="separate"/>
            </w:r>
            <w:r>
              <w:rPr>
                <w:noProof/>
                <w:webHidden/>
              </w:rPr>
              <w:t>3</w:t>
            </w:r>
            <w:r>
              <w:rPr>
                <w:noProof/>
                <w:webHidden/>
              </w:rPr>
              <w:fldChar w:fldCharType="end"/>
            </w:r>
          </w:hyperlink>
        </w:p>
        <w:p w14:paraId="053D24DB" w14:textId="15A2C0FC" w:rsidR="006E3A6F" w:rsidRDefault="006E3A6F">
          <w:pPr>
            <w:pStyle w:val="TOC2"/>
            <w:tabs>
              <w:tab w:val="right" w:leader="dot" w:pos="9350"/>
            </w:tabs>
            <w:rPr>
              <w:rFonts w:eastAsiaTheme="minorEastAsia"/>
              <w:noProof/>
              <w:kern w:val="2"/>
              <w:sz w:val="24"/>
              <w:szCs w:val="24"/>
              <w14:ligatures w14:val="standardContextual"/>
            </w:rPr>
          </w:pPr>
          <w:hyperlink w:anchor="_Toc177921504" w:history="1">
            <w:r w:rsidRPr="005F7594">
              <w:rPr>
                <w:rStyle w:val="Hyperlink"/>
                <w:noProof/>
              </w:rPr>
              <w:t>Threat of New Entrants</w:t>
            </w:r>
            <w:r>
              <w:rPr>
                <w:noProof/>
                <w:webHidden/>
              </w:rPr>
              <w:tab/>
            </w:r>
            <w:r>
              <w:rPr>
                <w:noProof/>
                <w:webHidden/>
              </w:rPr>
              <w:fldChar w:fldCharType="begin"/>
            </w:r>
            <w:r>
              <w:rPr>
                <w:noProof/>
                <w:webHidden/>
              </w:rPr>
              <w:instrText xml:space="preserve"> PAGEREF _Toc177921504 \h </w:instrText>
            </w:r>
            <w:r>
              <w:rPr>
                <w:noProof/>
                <w:webHidden/>
              </w:rPr>
            </w:r>
            <w:r>
              <w:rPr>
                <w:noProof/>
                <w:webHidden/>
              </w:rPr>
              <w:fldChar w:fldCharType="separate"/>
            </w:r>
            <w:r>
              <w:rPr>
                <w:noProof/>
                <w:webHidden/>
              </w:rPr>
              <w:t>4</w:t>
            </w:r>
            <w:r>
              <w:rPr>
                <w:noProof/>
                <w:webHidden/>
              </w:rPr>
              <w:fldChar w:fldCharType="end"/>
            </w:r>
          </w:hyperlink>
        </w:p>
        <w:p w14:paraId="15BBA6D3" w14:textId="474A53C7" w:rsidR="006E3A6F" w:rsidRDefault="006E3A6F">
          <w:pPr>
            <w:pStyle w:val="TOC2"/>
            <w:tabs>
              <w:tab w:val="right" w:leader="dot" w:pos="9350"/>
            </w:tabs>
            <w:rPr>
              <w:rFonts w:eastAsiaTheme="minorEastAsia"/>
              <w:noProof/>
              <w:kern w:val="2"/>
              <w:sz w:val="24"/>
              <w:szCs w:val="24"/>
              <w14:ligatures w14:val="standardContextual"/>
            </w:rPr>
          </w:pPr>
          <w:hyperlink w:anchor="_Toc177921505" w:history="1">
            <w:r w:rsidRPr="005F7594">
              <w:rPr>
                <w:rStyle w:val="Hyperlink"/>
                <w:rFonts w:cs="Times New Roman"/>
                <w:noProof/>
              </w:rPr>
              <w:t>Bargaining Power of Buyers</w:t>
            </w:r>
            <w:r>
              <w:rPr>
                <w:noProof/>
                <w:webHidden/>
              </w:rPr>
              <w:tab/>
            </w:r>
            <w:r>
              <w:rPr>
                <w:noProof/>
                <w:webHidden/>
              </w:rPr>
              <w:fldChar w:fldCharType="begin"/>
            </w:r>
            <w:r>
              <w:rPr>
                <w:noProof/>
                <w:webHidden/>
              </w:rPr>
              <w:instrText xml:space="preserve"> PAGEREF _Toc177921505 \h </w:instrText>
            </w:r>
            <w:r>
              <w:rPr>
                <w:noProof/>
                <w:webHidden/>
              </w:rPr>
            </w:r>
            <w:r>
              <w:rPr>
                <w:noProof/>
                <w:webHidden/>
              </w:rPr>
              <w:fldChar w:fldCharType="separate"/>
            </w:r>
            <w:r>
              <w:rPr>
                <w:noProof/>
                <w:webHidden/>
              </w:rPr>
              <w:t>5</w:t>
            </w:r>
            <w:r>
              <w:rPr>
                <w:noProof/>
                <w:webHidden/>
              </w:rPr>
              <w:fldChar w:fldCharType="end"/>
            </w:r>
          </w:hyperlink>
        </w:p>
        <w:p w14:paraId="5AFBA825" w14:textId="442A4178" w:rsidR="006E3A6F" w:rsidRDefault="006E3A6F">
          <w:pPr>
            <w:pStyle w:val="TOC2"/>
            <w:tabs>
              <w:tab w:val="right" w:leader="dot" w:pos="9350"/>
            </w:tabs>
            <w:rPr>
              <w:rFonts w:eastAsiaTheme="minorEastAsia"/>
              <w:noProof/>
              <w:kern w:val="2"/>
              <w:sz w:val="24"/>
              <w:szCs w:val="24"/>
              <w14:ligatures w14:val="standardContextual"/>
            </w:rPr>
          </w:pPr>
          <w:hyperlink w:anchor="_Toc177921506" w:history="1">
            <w:r w:rsidRPr="005F7594">
              <w:rPr>
                <w:rStyle w:val="Hyperlink"/>
                <w:noProof/>
              </w:rPr>
              <w:t>Bargaining Power of Suppliers</w:t>
            </w:r>
            <w:r>
              <w:rPr>
                <w:noProof/>
                <w:webHidden/>
              </w:rPr>
              <w:tab/>
            </w:r>
            <w:r>
              <w:rPr>
                <w:noProof/>
                <w:webHidden/>
              </w:rPr>
              <w:fldChar w:fldCharType="begin"/>
            </w:r>
            <w:r>
              <w:rPr>
                <w:noProof/>
                <w:webHidden/>
              </w:rPr>
              <w:instrText xml:space="preserve"> PAGEREF _Toc177921506 \h </w:instrText>
            </w:r>
            <w:r>
              <w:rPr>
                <w:noProof/>
                <w:webHidden/>
              </w:rPr>
            </w:r>
            <w:r>
              <w:rPr>
                <w:noProof/>
                <w:webHidden/>
              </w:rPr>
              <w:fldChar w:fldCharType="separate"/>
            </w:r>
            <w:r>
              <w:rPr>
                <w:noProof/>
                <w:webHidden/>
              </w:rPr>
              <w:t>5</w:t>
            </w:r>
            <w:r>
              <w:rPr>
                <w:noProof/>
                <w:webHidden/>
              </w:rPr>
              <w:fldChar w:fldCharType="end"/>
            </w:r>
          </w:hyperlink>
        </w:p>
        <w:p w14:paraId="036E75D4" w14:textId="092CD46E" w:rsidR="006E3A6F" w:rsidRDefault="006E3A6F">
          <w:pPr>
            <w:pStyle w:val="TOC2"/>
            <w:tabs>
              <w:tab w:val="right" w:leader="dot" w:pos="9350"/>
            </w:tabs>
            <w:rPr>
              <w:rFonts w:eastAsiaTheme="minorEastAsia"/>
              <w:noProof/>
              <w:kern w:val="2"/>
              <w:sz w:val="24"/>
              <w:szCs w:val="24"/>
              <w14:ligatures w14:val="standardContextual"/>
            </w:rPr>
          </w:pPr>
          <w:hyperlink w:anchor="_Toc177921507" w:history="1">
            <w:r w:rsidRPr="005F7594">
              <w:rPr>
                <w:rStyle w:val="Hyperlink"/>
                <w:noProof/>
              </w:rPr>
              <w:t>Threat of Substitutes</w:t>
            </w:r>
            <w:r>
              <w:rPr>
                <w:noProof/>
                <w:webHidden/>
              </w:rPr>
              <w:tab/>
            </w:r>
            <w:r>
              <w:rPr>
                <w:noProof/>
                <w:webHidden/>
              </w:rPr>
              <w:fldChar w:fldCharType="begin"/>
            </w:r>
            <w:r>
              <w:rPr>
                <w:noProof/>
                <w:webHidden/>
              </w:rPr>
              <w:instrText xml:space="preserve"> PAGEREF _Toc177921507 \h </w:instrText>
            </w:r>
            <w:r>
              <w:rPr>
                <w:noProof/>
                <w:webHidden/>
              </w:rPr>
            </w:r>
            <w:r>
              <w:rPr>
                <w:noProof/>
                <w:webHidden/>
              </w:rPr>
              <w:fldChar w:fldCharType="separate"/>
            </w:r>
            <w:r>
              <w:rPr>
                <w:noProof/>
                <w:webHidden/>
              </w:rPr>
              <w:t>6</w:t>
            </w:r>
            <w:r>
              <w:rPr>
                <w:noProof/>
                <w:webHidden/>
              </w:rPr>
              <w:fldChar w:fldCharType="end"/>
            </w:r>
          </w:hyperlink>
        </w:p>
        <w:p w14:paraId="3FAAE616" w14:textId="1A8B7BCA" w:rsidR="006E3A6F" w:rsidRDefault="006E3A6F">
          <w:pPr>
            <w:pStyle w:val="TOC2"/>
            <w:tabs>
              <w:tab w:val="right" w:leader="dot" w:pos="9350"/>
            </w:tabs>
            <w:rPr>
              <w:rFonts w:eastAsiaTheme="minorEastAsia"/>
              <w:noProof/>
              <w:kern w:val="2"/>
              <w:sz w:val="24"/>
              <w:szCs w:val="24"/>
              <w14:ligatures w14:val="standardContextual"/>
            </w:rPr>
          </w:pPr>
          <w:hyperlink w:anchor="_Toc177921508" w:history="1">
            <w:r w:rsidRPr="005F7594">
              <w:rPr>
                <w:rStyle w:val="Hyperlink"/>
                <w:noProof/>
              </w:rPr>
              <w:t>Conclusion</w:t>
            </w:r>
            <w:r>
              <w:rPr>
                <w:noProof/>
                <w:webHidden/>
              </w:rPr>
              <w:tab/>
            </w:r>
            <w:r>
              <w:rPr>
                <w:noProof/>
                <w:webHidden/>
              </w:rPr>
              <w:fldChar w:fldCharType="begin"/>
            </w:r>
            <w:r>
              <w:rPr>
                <w:noProof/>
                <w:webHidden/>
              </w:rPr>
              <w:instrText xml:space="preserve"> PAGEREF _Toc177921508 \h </w:instrText>
            </w:r>
            <w:r>
              <w:rPr>
                <w:noProof/>
                <w:webHidden/>
              </w:rPr>
            </w:r>
            <w:r>
              <w:rPr>
                <w:noProof/>
                <w:webHidden/>
              </w:rPr>
              <w:fldChar w:fldCharType="separate"/>
            </w:r>
            <w:r>
              <w:rPr>
                <w:noProof/>
                <w:webHidden/>
              </w:rPr>
              <w:t>7</w:t>
            </w:r>
            <w:r>
              <w:rPr>
                <w:noProof/>
                <w:webHidden/>
              </w:rPr>
              <w:fldChar w:fldCharType="end"/>
            </w:r>
          </w:hyperlink>
        </w:p>
        <w:p w14:paraId="1A49A9F1" w14:textId="31AD4BA6" w:rsidR="006E3A6F" w:rsidRDefault="006E3A6F">
          <w:pPr>
            <w:pStyle w:val="TOC1"/>
            <w:tabs>
              <w:tab w:val="right" w:leader="dot" w:pos="9350"/>
            </w:tabs>
            <w:rPr>
              <w:rFonts w:eastAsiaTheme="minorEastAsia"/>
              <w:noProof/>
              <w:kern w:val="2"/>
              <w:sz w:val="24"/>
              <w:szCs w:val="24"/>
              <w14:ligatures w14:val="standardContextual"/>
            </w:rPr>
          </w:pPr>
          <w:hyperlink w:anchor="_Toc177921509" w:history="1">
            <w:r w:rsidRPr="005F7594">
              <w:rPr>
                <w:rStyle w:val="Hyperlink"/>
                <w:noProof/>
              </w:rPr>
              <w:t>References:</w:t>
            </w:r>
            <w:r>
              <w:rPr>
                <w:noProof/>
                <w:webHidden/>
              </w:rPr>
              <w:tab/>
            </w:r>
            <w:r>
              <w:rPr>
                <w:noProof/>
                <w:webHidden/>
              </w:rPr>
              <w:fldChar w:fldCharType="begin"/>
            </w:r>
            <w:r>
              <w:rPr>
                <w:noProof/>
                <w:webHidden/>
              </w:rPr>
              <w:instrText xml:space="preserve"> PAGEREF _Toc177921509 \h </w:instrText>
            </w:r>
            <w:r>
              <w:rPr>
                <w:noProof/>
                <w:webHidden/>
              </w:rPr>
            </w:r>
            <w:r>
              <w:rPr>
                <w:noProof/>
                <w:webHidden/>
              </w:rPr>
              <w:fldChar w:fldCharType="separate"/>
            </w:r>
            <w:r>
              <w:rPr>
                <w:noProof/>
                <w:webHidden/>
              </w:rPr>
              <w:t>8</w:t>
            </w:r>
            <w:r>
              <w:rPr>
                <w:noProof/>
                <w:webHidden/>
              </w:rPr>
              <w:fldChar w:fldCharType="end"/>
            </w:r>
          </w:hyperlink>
        </w:p>
        <w:p w14:paraId="17095520" w14:textId="320E3ACC" w:rsidR="006E3A6F" w:rsidRDefault="006E3A6F">
          <w:pPr>
            <w:pStyle w:val="TOC1"/>
            <w:tabs>
              <w:tab w:val="right" w:leader="dot" w:pos="9350"/>
            </w:tabs>
            <w:rPr>
              <w:rFonts w:eastAsiaTheme="minorEastAsia"/>
              <w:noProof/>
              <w:kern w:val="2"/>
              <w:sz w:val="24"/>
              <w:szCs w:val="24"/>
              <w14:ligatures w14:val="standardContextual"/>
            </w:rPr>
          </w:pPr>
          <w:hyperlink w:anchor="_Toc177921510" w:history="1">
            <w:r w:rsidRPr="005F7594">
              <w:rPr>
                <w:rStyle w:val="Hyperlink"/>
                <w:rFonts w:cs="Times New Roman"/>
                <w:noProof/>
              </w:rPr>
              <w:t>Appendix- 1: Porter’s Five Forces Analysis</w:t>
            </w:r>
            <w:r>
              <w:rPr>
                <w:noProof/>
                <w:webHidden/>
              </w:rPr>
              <w:tab/>
            </w:r>
            <w:r>
              <w:rPr>
                <w:noProof/>
                <w:webHidden/>
              </w:rPr>
              <w:fldChar w:fldCharType="begin"/>
            </w:r>
            <w:r>
              <w:rPr>
                <w:noProof/>
                <w:webHidden/>
              </w:rPr>
              <w:instrText xml:space="preserve"> PAGEREF _Toc177921510 \h </w:instrText>
            </w:r>
            <w:r>
              <w:rPr>
                <w:noProof/>
                <w:webHidden/>
              </w:rPr>
            </w:r>
            <w:r>
              <w:rPr>
                <w:noProof/>
                <w:webHidden/>
              </w:rPr>
              <w:fldChar w:fldCharType="separate"/>
            </w:r>
            <w:r>
              <w:rPr>
                <w:noProof/>
                <w:webHidden/>
              </w:rPr>
              <w:t>9</w:t>
            </w:r>
            <w:r>
              <w:rPr>
                <w:noProof/>
                <w:webHidden/>
              </w:rPr>
              <w:fldChar w:fldCharType="end"/>
            </w:r>
          </w:hyperlink>
        </w:p>
        <w:p w14:paraId="5C13668B" w14:textId="33F1A6E0" w:rsidR="006E3A6F" w:rsidRDefault="006E3A6F">
          <w:pPr>
            <w:pStyle w:val="TOC1"/>
            <w:tabs>
              <w:tab w:val="right" w:leader="dot" w:pos="9350"/>
            </w:tabs>
            <w:rPr>
              <w:rFonts w:eastAsiaTheme="minorEastAsia"/>
              <w:noProof/>
              <w:kern w:val="2"/>
              <w:sz w:val="24"/>
              <w:szCs w:val="24"/>
              <w14:ligatures w14:val="standardContextual"/>
            </w:rPr>
          </w:pPr>
          <w:hyperlink w:anchor="_Toc177921511" w:history="1">
            <w:r w:rsidRPr="005F7594">
              <w:rPr>
                <w:rStyle w:val="Hyperlink"/>
                <w:rFonts w:eastAsia="Times New Roman"/>
                <w:noProof/>
              </w:rPr>
              <w:t>Appendix -2: Porter’s Five Forces Statistics</w:t>
            </w:r>
            <w:r>
              <w:rPr>
                <w:noProof/>
                <w:webHidden/>
              </w:rPr>
              <w:tab/>
            </w:r>
            <w:r>
              <w:rPr>
                <w:noProof/>
                <w:webHidden/>
              </w:rPr>
              <w:fldChar w:fldCharType="begin"/>
            </w:r>
            <w:r>
              <w:rPr>
                <w:noProof/>
                <w:webHidden/>
              </w:rPr>
              <w:instrText xml:space="preserve"> PAGEREF _Toc177921511 \h </w:instrText>
            </w:r>
            <w:r>
              <w:rPr>
                <w:noProof/>
                <w:webHidden/>
              </w:rPr>
            </w:r>
            <w:r>
              <w:rPr>
                <w:noProof/>
                <w:webHidden/>
              </w:rPr>
              <w:fldChar w:fldCharType="separate"/>
            </w:r>
            <w:r>
              <w:rPr>
                <w:noProof/>
                <w:webHidden/>
              </w:rPr>
              <w:t>11</w:t>
            </w:r>
            <w:r>
              <w:rPr>
                <w:noProof/>
                <w:webHidden/>
              </w:rPr>
              <w:fldChar w:fldCharType="end"/>
            </w:r>
          </w:hyperlink>
        </w:p>
        <w:p w14:paraId="4641782E" w14:textId="6F51CBFE" w:rsidR="00E604F9" w:rsidRDefault="00D3483A" w:rsidP="00DA63E8">
          <w:pPr>
            <w:rPr>
              <w:noProof/>
            </w:rPr>
          </w:pPr>
          <w:r>
            <w:rPr>
              <w:b/>
              <w:bCs/>
              <w:noProof/>
            </w:rPr>
            <w:fldChar w:fldCharType="end"/>
          </w:r>
          <w:r w:rsidR="00E604F9">
            <w:rPr>
              <w:b/>
              <w:bCs/>
              <w:noProof/>
            </w:rPr>
            <w:fldChar w:fldCharType="begin"/>
          </w:r>
          <w:r w:rsidR="00E604F9">
            <w:rPr>
              <w:b/>
              <w:bCs/>
              <w:noProof/>
            </w:rPr>
            <w:instrText xml:space="preserve"> TOC \h \z \c "Figure" </w:instrText>
          </w:r>
          <w:r w:rsidR="00E604F9">
            <w:rPr>
              <w:b/>
              <w:bCs/>
              <w:noProof/>
            </w:rPr>
            <w:fldChar w:fldCharType="separate"/>
          </w:r>
        </w:p>
        <w:p w14:paraId="58AC4AA3" w14:textId="0B8C6334" w:rsidR="00E604F9" w:rsidRDefault="00E604F9">
          <w:pPr>
            <w:pStyle w:val="TableofFigures"/>
            <w:tabs>
              <w:tab w:val="right" w:leader="dot" w:pos="9350"/>
            </w:tabs>
            <w:rPr>
              <w:noProof/>
            </w:rPr>
          </w:pPr>
          <w:hyperlink w:anchor="_Toc177917198" w:history="1">
            <w:r w:rsidRPr="00387F8C">
              <w:rPr>
                <w:rStyle w:val="Hyperlink"/>
                <w:rFonts w:ascii="Times New Roman" w:hAnsi="Times New Roman" w:cs="Times New Roman"/>
                <w:b/>
                <w:bCs/>
                <w:noProof/>
              </w:rPr>
              <w:t>Figure 1.1: Porter's Five Forces Analysis</w:t>
            </w:r>
            <w:r>
              <w:rPr>
                <w:noProof/>
                <w:webHidden/>
              </w:rPr>
              <w:tab/>
            </w:r>
            <w:r>
              <w:rPr>
                <w:noProof/>
                <w:webHidden/>
              </w:rPr>
              <w:fldChar w:fldCharType="begin"/>
            </w:r>
            <w:r>
              <w:rPr>
                <w:noProof/>
                <w:webHidden/>
              </w:rPr>
              <w:instrText xml:space="preserve"> PAGEREF _Toc177917198 \h </w:instrText>
            </w:r>
            <w:r>
              <w:rPr>
                <w:noProof/>
                <w:webHidden/>
              </w:rPr>
            </w:r>
            <w:r>
              <w:rPr>
                <w:noProof/>
                <w:webHidden/>
              </w:rPr>
              <w:fldChar w:fldCharType="separate"/>
            </w:r>
            <w:r>
              <w:rPr>
                <w:noProof/>
                <w:webHidden/>
              </w:rPr>
              <w:t>2</w:t>
            </w:r>
            <w:r>
              <w:rPr>
                <w:noProof/>
                <w:webHidden/>
              </w:rPr>
              <w:fldChar w:fldCharType="end"/>
            </w:r>
          </w:hyperlink>
        </w:p>
        <w:p w14:paraId="5EF5E7F2" w14:textId="47529596" w:rsidR="004022A9" w:rsidRDefault="00E604F9" w:rsidP="00DA63E8">
          <w:pPr>
            <w:sectPr w:rsidR="004022A9" w:rsidSect="002D14BE">
              <w:pgSz w:w="12240" w:h="15840"/>
              <w:pgMar w:top="1440" w:right="1440" w:bottom="1440" w:left="1440" w:header="720" w:footer="720" w:gutter="0"/>
              <w:pgNumType w:fmt="lowerRoman"/>
              <w:cols w:space="720"/>
              <w:docGrid w:linePitch="360"/>
            </w:sectPr>
          </w:pPr>
          <w:r>
            <w:rPr>
              <w:b/>
              <w:bCs/>
              <w:noProof/>
            </w:rPr>
            <w:fldChar w:fldCharType="end"/>
          </w:r>
        </w:p>
      </w:sdtContent>
    </w:sdt>
    <w:p w14:paraId="00315FAA" w14:textId="77777777" w:rsidR="004D0B65" w:rsidRDefault="004D0B65" w:rsidP="003C59BB">
      <w:pPr>
        <w:pStyle w:val="Heading1"/>
        <w:spacing w:line="480" w:lineRule="auto"/>
      </w:pPr>
      <w:bookmarkStart w:id="0" w:name="_Toc177921500"/>
      <w:r w:rsidRPr="004D0B65">
        <w:lastRenderedPageBreak/>
        <w:t>Executive Summar</w:t>
      </w:r>
      <w:r w:rsidR="00304DFC">
        <w:t>y</w:t>
      </w:r>
      <w:bookmarkEnd w:id="0"/>
    </w:p>
    <w:p w14:paraId="6940C058" w14:textId="77777777" w:rsidR="003C59BB" w:rsidRDefault="003C59BB" w:rsidP="003C59BB">
      <w:pPr>
        <w:spacing w:line="480" w:lineRule="auto"/>
        <w:ind w:firstLine="720"/>
        <w:jc w:val="both"/>
        <w:rPr>
          <w:rFonts w:ascii="Times New Roman" w:hAnsi="Times New Roman" w:cs="Times New Roman"/>
          <w:sz w:val="24"/>
          <w:szCs w:val="24"/>
        </w:rPr>
      </w:pPr>
      <w:r w:rsidRPr="003C59BB">
        <w:rPr>
          <w:rFonts w:ascii="Times New Roman" w:hAnsi="Times New Roman" w:cs="Times New Roman"/>
          <w:sz w:val="24"/>
          <w:szCs w:val="24"/>
        </w:rPr>
        <w:t xml:space="preserve">This report provides a comprehensive analysis of the Bangladesh Ready-Made Garments (RMG) industry using Porter’s Five Forces model. The analysis reveals moderate to </w:t>
      </w:r>
      <w:proofErr w:type="gramStart"/>
      <w:r w:rsidRPr="003C59BB">
        <w:rPr>
          <w:rFonts w:ascii="Times New Roman" w:hAnsi="Times New Roman" w:cs="Times New Roman"/>
          <w:sz w:val="24"/>
          <w:szCs w:val="24"/>
        </w:rPr>
        <w:t>high</w:t>
      </w:r>
      <w:proofErr w:type="gramEnd"/>
      <w:r w:rsidRPr="003C59BB">
        <w:rPr>
          <w:rFonts w:ascii="Times New Roman" w:hAnsi="Times New Roman" w:cs="Times New Roman"/>
          <w:sz w:val="24"/>
          <w:szCs w:val="24"/>
        </w:rPr>
        <w:t xml:space="preserve"> competitive rivalry, driven by the industry's rapid growth and cost advantages. The threat of new entrants is moderate, as economies of scale and established reputations pose significant barriers. Buyer and supplier power are balanced but expected to shift with market dynamics. While the threat of substitutes is moderate, Bangladesh’s competitive pricing and complement availability help sustain demand. Overall, the industry remains strong but requires continued innovation and efficiency to maintain profitability.</w:t>
      </w:r>
    </w:p>
    <w:p w14:paraId="727749FC" w14:textId="42343E24" w:rsidR="00563EBB" w:rsidRDefault="00304DFC" w:rsidP="003C59BB">
      <w:pPr>
        <w:pStyle w:val="Heading1"/>
        <w:spacing w:line="480" w:lineRule="auto"/>
      </w:pPr>
      <w:bookmarkStart w:id="1" w:name="_Toc177921501"/>
      <w:r>
        <w:t>Bangladesh RMG Industry</w:t>
      </w:r>
      <w:bookmarkEnd w:id="1"/>
    </w:p>
    <w:p w14:paraId="56D387A4" w14:textId="4DFB53B9" w:rsidR="00563EBB" w:rsidRPr="00563EBB" w:rsidRDefault="00563EBB" w:rsidP="003C59BB">
      <w:pPr>
        <w:spacing w:line="480" w:lineRule="auto"/>
        <w:ind w:firstLine="720"/>
        <w:jc w:val="both"/>
        <w:rPr>
          <w:rFonts w:ascii="Times New Roman" w:hAnsi="Times New Roman" w:cs="Times New Roman"/>
        </w:rPr>
      </w:pPr>
      <w:r w:rsidRPr="00563EBB">
        <w:rPr>
          <w:rFonts w:ascii="Times New Roman" w:hAnsi="Times New Roman" w:cs="Times New Roman"/>
        </w:rPr>
        <w:t>The Ready-Made Garments (RMG) sector is the backbone of Bangladesh’s economy, accounting for over 84% of the country’s total export earnings</w:t>
      </w:r>
      <w:r w:rsidR="00116E2B">
        <w:rPr>
          <w:rFonts w:ascii="Times New Roman" w:hAnsi="Times New Roman" w:cs="Times New Roman"/>
        </w:rPr>
        <w:t xml:space="preserve"> </w:t>
      </w:r>
      <w:r w:rsidR="00116E2B">
        <w:rPr>
          <w:rFonts w:ascii="Times New Roman" w:hAnsi="Times New Roman" w:cs="Times New Roman"/>
        </w:rPr>
        <w:fldChar w:fldCharType="begin" w:fldLock="1"/>
      </w:r>
      <w:r w:rsidR="00116E2B">
        <w:rPr>
          <w:rFonts w:ascii="Times New Roman" w:hAnsi="Times New Roman" w:cs="Times New Roman"/>
        </w:rPr>
        <w:instrText>ADDIN CSL_CITATION {"citationItems":[{"id":"ITEM-1","itemData":{"URL":"https://www.bgmea.com.bd/page/aboutus","abstract":"The Bangladesh Garment Manufacturers and Exporters Association (BGMEA) is one of the largest trade associations in the country representing the readymade garment industry, particularly the woven garments, knitwear and sweater sub-sectors with equal importance. Starting its journey in 1983 today BGMEA takes care of an industry that is at the backbone of Bangladesh’s economy. Since the inception, BGMEA is dedicated to promote and facilitate the apparel industry through policy advocacy to the government, services to members, ensuring workers’ rights and social compliance at factories. BGMEA collaborates with local and international stakeholders, including brands and development partners to pave the way for development of Bangladesh apparel industry. Currently, BGMEA has around four thousand registered garment factories.","author":[{"dropping-particle":"","family":"BGMEA","given":"","non-dropping-particle":"","parse-names":false,"suffix":""}],"id":"ITEM-1","issued":{"date-parts":[["2023"]]},"title":"BGMEA at a glance. The","type":"webpage"},"uris":["http://www.mendeley.com/documents/?uuid=81526560-3b14-43ab-9980-0922e6b06a61"]}],"mendeley":{"formattedCitation":"(BGMEA, 2023)","plainTextFormattedCitation":"(BGMEA, 2023)","previouslyFormattedCitation":"(BGMEA, 2023)"},"properties":{"noteIndex":0},"schema":"https://github.com/citation-style-language/schema/raw/master/csl-citation.json"}</w:instrText>
      </w:r>
      <w:r w:rsidR="00116E2B">
        <w:rPr>
          <w:rFonts w:ascii="Times New Roman" w:hAnsi="Times New Roman" w:cs="Times New Roman"/>
        </w:rPr>
        <w:fldChar w:fldCharType="separate"/>
      </w:r>
      <w:r w:rsidR="00116E2B" w:rsidRPr="00116E2B">
        <w:rPr>
          <w:rFonts w:ascii="Times New Roman" w:hAnsi="Times New Roman" w:cs="Times New Roman"/>
          <w:noProof/>
        </w:rPr>
        <w:t>(BGMEA, 2023)</w:t>
      </w:r>
      <w:r w:rsidR="00116E2B">
        <w:rPr>
          <w:rFonts w:ascii="Times New Roman" w:hAnsi="Times New Roman" w:cs="Times New Roman"/>
        </w:rPr>
        <w:fldChar w:fldCharType="end"/>
      </w:r>
      <w:r w:rsidRPr="00563EBB">
        <w:rPr>
          <w:rFonts w:ascii="Times New Roman" w:hAnsi="Times New Roman" w:cs="Times New Roman"/>
        </w:rPr>
        <w:t xml:space="preserve">. The sector has evolved significantly since its inception in the late 1970s, becoming the second-largest apparel exporter in the world after China </w:t>
      </w:r>
      <w:r w:rsidR="00116E2B">
        <w:rPr>
          <w:rFonts w:ascii="Times New Roman" w:hAnsi="Times New Roman" w:cs="Times New Roman"/>
        </w:rPr>
        <w:fldChar w:fldCharType="begin" w:fldLock="1"/>
      </w:r>
      <w:r w:rsidR="00116E2B">
        <w:rPr>
          <w:rFonts w:ascii="Times New Roman" w:hAnsi="Times New Roman" w:cs="Times New Roman"/>
        </w:rPr>
        <w:instrText>ADDIN CSL_CITATION {"citationItems":[{"id":"ITEM-1","itemData":{"DOI":"10.5281/zenodo.7187747","abstract":"Bangladesh's ready-made clothing (RMG) industry has grown in popularity, competitiveness, and importance to the country's development. This paper uses Porter's diamond model of national competitiveness to analyze the reasons that helped the sector achieve this position. The results indicate that while low cost human resources have significantly aided the competitiveness of the sector under factor conditions, the other three diamond-shaped elements (national demand conditions, related and supporting industries, firm structure, and management) were either inactive or not very so. The study advances the idea that countries can become globally competitive in a sector even if the national diamond is not sufficiently impregnable.","author":[{"dropping-particle":"","family":"Mridha","given":"Jaglul Hoque","non-dropping-particle":"","parse-names":false,"suffix":""},{"dropping-particle":"","family":"Chowdhury","given":"Salman Enayet","non-dropping-particle":"","parse-names":false,"suffix":""},{"dropping-particle":"","family":"Hossen","given":"Md Shahin","non-dropping-particle":"","parse-names":false,"suffix":""},{"dropping-particle":"","family":"Hosen","given":"Md Imran","non-dropping-particle":"","parse-names":false,"suffix":""}],"id":"ITEM-1","issue":"4","issued":{"date-parts":[["2022"]]},"page":"638-649","title":"Analysis of the Competitiveness of Bangladesh RMG Sector Using Porter’s Diamond Model","type":"article-journal","volume":"9"},"uris":["http://www.mendeley.com/documents/?uuid=f96a4389-d809-4d56-842e-b30b143c9de3"]}],"mendeley":{"formattedCitation":"(Mridha et al., 2022)","plainTextFormattedCitation":"(Mridha et al., 2022)","previouslyFormattedCitation":"(Mridha et al., 2022)"},"properties":{"noteIndex":0},"schema":"https://github.com/citation-style-language/schema/raw/master/csl-citation.json"}</w:instrText>
      </w:r>
      <w:r w:rsidR="00116E2B">
        <w:rPr>
          <w:rFonts w:ascii="Times New Roman" w:hAnsi="Times New Roman" w:cs="Times New Roman"/>
        </w:rPr>
        <w:fldChar w:fldCharType="separate"/>
      </w:r>
      <w:r w:rsidR="00116E2B" w:rsidRPr="00116E2B">
        <w:rPr>
          <w:rFonts w:ascii="Times New Roman" w:hAnsi="Times New Roman" w:cs="Times New Roman"/>
          <w:noProof/>
        </w:rPr>
        <w:t>(Mridha et al., 2022)</w:t>
      </w:r>
      <w:r w:rsidR="00116E2B">
        <w:rPr>
          <w:rFonts w:ascii="Times New Roman" w:hAnsi="Times New Roman" w:cs="Times New Roman"/>
        </w:rPr>
        <w:fldChar w:fldCharType="end"/>
      </w:r>
      <w:r w:rsidRPr="00563EBB">
        <w:rPr>
          <w:rFonts w:ascii="Times New Roman" w:hAnsi="Times New Roman" w:cs="Times New Roman"/>
        </w:rPr>
        <w:t xml:space="preserve">. The industry employs over 4 million workers, with women constituting approximately 80% of the workforce, making it a significant contributor to women's empowerment and poverty alleviation in the country </w:t>
      </w:r>
      <w:r w:rsidR="00116E2B">
        <w:rPr>
          <w:rFonts w:ascii="Times New Roman" w:hAnsi="Times New Roman" w:cs="Times New Roman"/>
        </w:rPr>
        <w:fldChar w:fldCharType="begin" w:fldLock="1"/>
      </w:r>
      <w:r w:rsidR="00116E2B">
        <w:rPr>
          <w:rFonts w:ascii="Times New Roman" w:hAnsi="Times New Roman" w:cs="Times New Roman"/>
        </w:rPr>
        <w:instrText>ADDIN CSL_CITATION {"citationItems":[{"id":"ITEM-1","itemData":{"DOI":"10.5281/zenodo.7187747","abstract":"Bangladesh's ready-made clothing (RMG) industry has grown in popularity, competitiveness, and importance to the country's development. This paper uses Porter's diamond model of national competitiveness to analyze the reasons that helped the sector achieve this position. The results indicate that while low cost human resources have significantly aided the competitiveness of the sector under factor conditions, the other three diamond-shaped elements (national demand conditions, related and supporting industries, firm structure, and management) were either inactive or not very so. The study advances the idea that countries can become globally competitive in a sector even if the national diamond is not sufficiently impregnable.","author":[{"dropping-particle":"","family":"Mridha","given":"Jaglul Hoque","non-dropping-particle":"","parse-names":false,"suffix":""},{"dropping-particle":"","family":"Chowdhury","given":"Salman Enayet","non-dropping-particle":"","parse-names":false,"suffix":""},{"dropping-particle":"","family":"Hossen","given":"Md Shahin","non-dropping-particle":"","parse-names":false,"suffix":""},{"dropping-particle":"","family":"Hosen","given":"Md Imran","non-dropping-particle":"","parse-names":false,"suffix":""}],"id":"ITEM-1","issue":"4","issued":{"date-parts":[["2022"]]},"page":"638-649","title":"Analysis of the Competitiveness of Bangladesh RMG Sector Using Porter’s Diamond Model","type":"article-journal","volume":"9"},"uris":["http://www.mendeley.com/documents/?uuid=f96a4389-d809-4d56-842e-b30b143c9de3"]}],"mendeley":{"formattedCitation":"(Mridha et al., 2022)","plainTextFormattedCitation":"(Mridha et al., 2022)","previouslyFormattedCitation":"(Mridha et al., 2022)"},"properties":{"noteIndex":0},"schema":"https://github.com/citation-style-language/schema/raw/master/csl-citation.json"}</w:instrText>
      </w:r>
      <w:r w:rsidR="00116E2B">
        <w:rPr>
          <w:rFonts w:ascii="Times New Roman" w:hAnsi="Times New Roman" w:cs="Times New Roman"/>
        </w:rPr>
        <w:fldChar w:fldCharType="separate"/>
      </w:r>
      <w:r w:rsidR="00116E2B" w:rsidRPr="00116E2B">
        <w:rPr>
          <w:rFonts w:ascii="Times New Roman" w:hAnsi="Times New Roman" w:cs="Times New Roman"/>
          <w:noProof/>
        </w:rPr>
        <w:t>(Mridha et al., 2022)</w:t>
      </w:r>
      <w:r w:rsidR="00116E2B">
        <w:rPr>
          <w:rFonts w:ascii="Times New Roman" w:hAnsi="Times New Roman" w:cs="Times New Roman"/>
        </w:rPr>
        <w:fldChar w:fldCharType="end"/>
      </w:r>
      <w:r w:rsidRPr="00563EBB">
        <w:rPr>
          <w:rFonts w:ascii="Times New Roman" w:hAnsi="Times New Roman" w:cs="Times New Roman"/>
        </w:rPr>
        <w:t>.</w:t>
      </w:r>
    </w:p>
    <w:p w14:paraId="0C078383" w14:textId="6673DB54" w:rsidR="00563EBB" w:rsidRPr="00563EBB" w:rsidRDefault="00563EBB" w:rsidP="003C59BB">
      <w:pPr>
        <w:spacing w:line="480" w:lineRule="auto"/>
        <w:ind w:firstLine="720"/>
        <w:jc w:val="both"/>
        <w:rPr>
          <w:rFonts w:ascii="Times New Roman" w:hAnsi="Times New Roman" w:cs="Times New Roman"/>
        </w:rPr>
      </w:pPr>
      <w:r w:rsidRPr="00563EBB">
        <w:rPr>
          <w:rFonts w:ascii="Times New Roman" w:hAnsi="Times New Roman" w:cs="Times New Roman"/>
        </w:rPr>
        <w:t xml:space="preserve">Bangladesh’s success in the RMG industry can be attributed to several factors, including low labor costs, favorable government policies, and the availability of skilled labor. Additionally, the country's geographical location allows for efficient access to key export markets in Europe and North America. However, the industry faces several challenges, including intense competition from countries like Vietnam, India, and China, rising compliance requirements, and concerns about workplace safety following incidents like the Rana Plaza collapse </w:t>
      </w:r>
      <w:r w:rsidR="00116E2B">
        <w:rPr>
          <w:rFonts w:ascii="Times New Roman" w:hAnsi="Times New Roman" w:cs="Times New Roman"/>
        </w:rPr>
        <w:fldChar w:fldCharType="begin" w:fldLock="1"/>
      </w:r>
      <w:r w:rsidR="00116E2B">
        <w:rPr>
          <w:rFonts w:ascii="Times New Roman" w:hAnsi="Times New Roman" w:cs="Times New Roman"/>
        </w:rPr>
        <w:instrText>ADDIN CSL_CITATION {"citationItems":[{"id":"ITEM-1","itemData":{"DOI":"10.1515/sbe-2017-0024","abstract":"It goes without saying that Garments industry of Bangladesh has drawn a special attention to the mass people in the world because of being both cost leader and quality leader at the same time. The purpose of this research paper is to analyze the garments industry in Bangladesh which is going to be an emerging tiger in the world economy. It also aims to assess the impact of macro-environmental factors affecting the industry by PESTEL analysis. Again, five forces model has been analyzed to assess the impacts of competitive external factors on the Garments industry in Bangladesh. Furthermore, Garments sector competitive responses to the primary issues affecting the industry have been evaluated here. It also outlines the primary external influences to which this industry is subject. In this case, SWOT analysis has been conducted to assess the competitive position of this industry in comparison with the global perspective. The study suggests that total export is highly correlated with the exports of garments. It also finds that there is severe lacking in the safety and security compliance, wages and compensations and code of conduct of the current organizations. Moreover, GSP facility withdrawn can impact severely on the ready made garments of Bangladesh to compete with price in the international market with China, India and Vietnam etc. The ready made garments sector of Bangladesh is enjoying cost leadership as a source of completive advantage because of cheap labor. Finally, the study would like to recommend for further improvement of garment sector in Bangladesh.","author":[{"dropping-particle":"","family":"Islam","given":"Mohammad","non-dropping-particle":"","parse-names":false,"suffix":""},{"dropping-particle":"","family":"Pattak","given":"Dulal Chandra","non-dropping-particle":"","parse-names":false,"suffix":""}],"container-title":"Studies in Business and Economics","id":"ITEM-1","issue":"2","issued":{"date-parts":[["2017"]]},"page":"100-111","title":"Impact of Macro Environmental Factors on Garments Industry That Drives Export in Bangladesh","type":"article-journal","volume":"12"},"uris":["http://www.mendeley.com/documents/?uuid=c2a946ad-0523-4f40-b541-1dba592a76ef"]}],"mendeley":{"formattedCitation":"(Islam &amp; Pattak, 2017)","plainTextFormattedCitation":"(Islam &amp; Pattak, 2017)","previouslyFormattedCitation":"(Islam &amp; Pattak, 2017)"},"properties":{"noteIndex":0},"schema":"https://github.com/citation-style-language/schema/raw/master/csl-citation.json"}</w:instrText>
      </w:r>
      <w:r w:rsidR="00116E2B">
        <w:rPr>
          <w:rFonts w:ascii="Times New Roman" w:hAnsi="Times New Roman" w:cs="Times New Roman"/>
        </w:rPr>
        <w:fldChar w:fldCharType="separate"/>
      </w:r>
      <w:r w:rsidR="00116E2B" w:rsidRPr="00116E2B">
        <w:rPr>
          <w:rFonts w:ascii="Times New Roman" w:hAnsi="Times New Roman" w:cs="Times New Roman"/>
          <w:noProof/>
        </w:rPr>
        <w:t>(Islam &amp; Pattak, 2017)</w:t>
      </w:r>
      <w:r w:rsidR="00116E2B">
        <w:rPr>
          <w:rFonts w:ascii="Times New Roman" w:hAnsi="Times New Roman" w:cs="Times New Roman"/>
        </w:rPr>
        <w:fldChar w:fldCharType="end"/>
      </w:r>
      <w:r w:rsidRPr="00563EBB">
        <w:rPr>
          <w:rFonts w:ascii="Times New Roman" w:hAnsi="Times New Roman" w:cs="Times New Roman"/>
        </w:rPr>
        <w:t>.</w:t>
      </w:r>
    </w:p>
    <w:p w14:paraId="174CDF68" w14:textId="77777777" w:rsidR="00563EBB" w:rsidRPr="00563EBB" w:rsidRDefault="00563EBB" w:rsidP="003C59BB">
      <w:pPr>
        <w:spacing w:line="480" w:lineRule="auto"/>
        <w:ind w:firstLine="720"/>
        <w:jc w:val="both"/>
        <w:rPr>
          <w:rFonts w:ascii="Times New Roman" w:hAnsi="Times New Roman" w:cs="Times New Roman"/>
        </w:rPr>
      </w:pPr>
      <w:r w:rsidRPr="00563EBB">
        <w:rPr>
          <w:rFonts w:ascii="Times New Roman" w:hAnsi="Times New Roman" w:cs="Times New Roman"/>
        </w:rPr>
        <w:t xml:space="preserve">Despite these challenges, the RMG sector remains a critical driver of economic growth and employment in Bangladesh. To sustain its competitive advantage, the industry must continue innovating, </w:t>
      </w:r>
      <w:r w:rsidRPr="00563EBB">
        <w:rPr>
          <w:rFonts w:ascii="Times New Roman" w:hAnsi="Times New Roman" w:cs="Times New Roman"/>
        </w:rPr>
        <w:lastRenderedPageBreak/>
        <w:t>investing in technology, and improving labor standards to meet global demand.</w:t>
      </w:r>
    </w:p>
    <w:p w14:paraId="672434CF" w14:textId="2D336338" w:rsidR="00304DFC" w:rsidRDefault="00271737" w:rsidP="00202F0F">
      <w:pPr>
        <w:pStyle w:val="Heading1"/>
        <w:spacing w:line="480" w:lineRule="auto"/>
      </w:pPr>
      <w:bookmarkStart w:id="2" w:name="_Toc177921502"/>
      <w:r>
        <w:t>Porter’s Five Forces Analysis</w:t>
      </w:r>
      <w:bookmarkEnd w:id="2"/>
    </w:p>
    <w:p w14:paraId="2A70F335" w14:textId="163192D8" w:rsidR="00202F0F" w:rsidRPr="00202F0F" w:rsidRDefault="001A4766" w:rsidP="00202F0F">
      <w:pPr>
        <w:spacing w:line="480" w:lineRule="auto"/>
        <w:ind w:firstLine="720"/>
        <w:jc w:val="both"/>
        <w:rPr>
          <w:rFonts w:ascii="Times New Roman" w:hAnsi="Times New Roman" w:cs="Times New Roman"/>
        </w:rPr>
      </w:pPr>
      <w:r>
        <w:rPr>
          <w:noProof/>
        </w:rPr>
        <mc:AlternateContent>
          <mc:Choice Requires="wps">
            <w:drawing>
              <wp:anchor distT="0" distB="0" distL="114300" distR="114300" simplePos="0" relativeHeight="251667456" behindDoc="0" locked="0" layoutInCell="1" allowOverlap="1" wp14:anchorId="569C00FC" wp14:editId="0C5B83AE">
                <wp:simplePos x="0" y="0"/>
                <wp:positionH relativeFrom="column">
                  <wp:posOffset>806450</wp:posOffset>
                </wp:positionH>
                <wp:positionV relativeFrom="paragraph">
                  <wp:posOffset>6034405</wp:posOffset>
                </wp:positionV>
                <wp:extent cx="4229100" cy="635"/>
                <wp:effectExtent l="0" t="0" r="0" b="0"/>
                <wp:wrapTopAndBottom/>
                <wp:docPr id="885194025" name="Text Box 1"/>
                <wp:cNvGraphicFramePr/>
                <a:graphic xmlns:a="http://schemas.openxmlformats.org/drawingml/2006/main">
                  <a:graphicData uri="http://schemas.microsoft.com/office/word/2010/wordprocessingShape">
                    <wps:wsp>
                      <wps:cNvSpPr txBox="1"/>
                      <wps:spPr>
                        <a:xfrm>
                          <a:off x="0" y="0"/>
                          <a:ext cx="4229100" cy="635"/>
                        </a:xfrm>
                        <a:prstGeom prst="rect">
                          <a:avLst/>
                        </a:prstGeom>
                        <a:solidFill>
                          <a:prstClr val="white"/>
                        </a:solidFill>
                        <a:ln>
                          <a:noFill/>
                        </a:ln>
                      </wps:spPr>
                      <wps:txbx>
                        <w:txbxContent>
                          <w:p w14:paraId="084C3092" w14:textId="0B920AA1" w:rsidR="001A4766" w:rsidRPr="001A4766" w:rsidRDefault="001A4766" w:rsidP="001A4766">
                            <w:pPr>
                              <w:pStyle w:val="Caption"/>
                              <w:jc w:val="center"/>
                              <w:rPr>
                                <w:rFonts w:ascii="Times New Roman" w:hAnsi="Times New Roman" w:cs="Times New Roman"/>
                                <w:b/>
                                <w:bCs/>
                                <w:noProof/>
                                <w:color w:val="000000" w:themeColor="text1"/>
                                <w:sz w:val="28"/>
                                <w:szCs w:val="28"/>
                              </w:rPr>
                            </w:pPr>
                            <w:bookmarkStart w:id="3" w:name="_Toc177917198"/>
                            <w:r w:rsidRPr="001A4766">
                              <w:rPr>
                                <w:rFonts w:ascii="Times New Roman" w:hAnsi="Times New Roman" w:cs="Times New Roman"/>
                                <w:b/>
                                <w:bCs/>
                                <w:color w:val="000000" w:themeColor="text1"/>
                                <w:sz w:val="22"/>
                                <w:szCs w:val="22"/>
                              </w:rPr>
                              <w:t xml:space="preserve">Figure </w:t>
                            </w:r>
                            <w:r w:rsidRPr="001A4766">
                              <w:rPr>
                                <w:rFonts w:ascii="Times New Roman" w:hAnsi="Times New Roman" w:cs="Times New Roman"/>
                                <w:b/>
                                <w:bCs/>
                                <w:color w:val="000000" w:themeColor="text1"/>
                                <w:sz w:val="22"/>
                                <w:szCs w:val="22"/>
                              </w:rPr>
                              <w:fldChar w:fldCharType="begin"/>
                            </w:r>
                            <w:r w:rsidRPr="001A4766">
                              <w:rPr>
                                <w:rFonts w:ascii="Times New Roman" w:hAnsi="Times New Roman" w:cs="Times New Roman"/>
                                <w:b/>
                                <w:bCs/>
                                <w:color w:val="000000" w:themeColor="text1"/>
                                <w:sz w:val="22"/>
                                <w:szCs w:val="22"/>
                              </w:rPr>
                              <w:instrText xml:space="preserve"> SEQ Figure \* ARABIC </w:instrText>
                            </w:r>
                            <w:r w:rsidRPr="001A4766">
                              <w:rPr>
                                <w:rFonts w:ascii="Times New Roman" w:hAnsi="Times New Roman" w:cs="Times New Roman"/>
                                <w:b/>
                                <w:bCs/>
                                <w:color w:val="000000" w:themeColor="text1"/>
                                <w:sz w:val="22"/>
                                <w:szCs w:val="22"/>
                              </w:rPr>
                              <w:fldChar w:fldCharType="separate"/>
                            </w:r>
                            <w:r w:rsidRPr="001A4766">
                              <w:rPr>
                                <w:rFonts w:ascii="Times New Roman" w:hAnsi="Times New Roman" w:cs="Times New Roman"/>
                                <w:b/>
                                <w:bCs/>
                                <w:noProof/>
                                <w:color w:val="000000" w:themeColor="text1"/>
                                <w:sz w:val="22"/>
                                <w:szCs w:val="22"/>
                              </w:rPr>
                              <w:t>1</w:t>
                            </w:r>
                            <w:r w:rsidRPr="001A4766">
                              <w:rPr>
                                <w:rFonts w:ascii="Times New Roman" w:hAnsi="Times New Roman" w:cs="Times New Roman"/>
                                <w:b/>
                                <w:bCs/>
                                <w:color w:val="000000" w:themeColor="text1"/>
                                <w:sz w:val="22"/>
                                <w:szCs w:val="22"/>
                              </w:rPr>
                              <w:fldChar w:fldCharType="end"/>
                            </w:r>
                            <w:r w:rsidRPr="001A4766">
                              <w:rPr>
                                <w:rFonts w:ascii="Times New Roman" w:hAnsi="Times New Roman" w:cs="Times New Roman"/>
                                <w:b/>
                                <w:bCs/>
                                <w:color w:val="000000" w:themeColor="text1"/>
                                <w:sz w:val="22"/>
                                <w:szCs w:val="22"/>
                              </w:rPr>
                              <w:t>.1: Porter's Five Forces Analysis</w:t>
                            </w:r>
                            <w:bookmarkEnd w:id="3"/>
                            <w:r w:rsidR="0021534F">
                              <w:rPr>
                                <w:rFonts w:ascii="Times New Roman" w:hAnsi="Times New Roman" w:cs="Times New Roman"/>
                                <w:b/>
                                <w:bCs/>
                                <w:color w:val="000000" w:themeColor="text1"/>
                                <w:sz w:val="22"/>
                                <w:szCs w:val="22"/>
                              </w:rPr>
                              <w:t>: RMG Industry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9C00FC" id="_x0000_t202" coordsize="21600,21600" o:spt="202" path="m,l,21600r21600,l21600,xe">
                <v:stroke joinstyle="miter"/>
                <v:path gradientshapeok="t" o:connecttype="rect"/>
              </v:shapetype>
              <v:shape id="Text Box 1" o:spid="_x0000_s1026" type="#_x0000_t202" style="position:absolute;left:0;text-align:left;margin-left:63.5pt;margin-top:475.15pt;width:333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" stroked="f">
                <v:textbox style="mso-fit-shape-to-text:t" inset="0,0,0,0">
                  <w:txbxContent>
                    <w:p w14:paraId="084C3092" w14:textId="0B920AA1" w:rsidR="001A4766" w:rsidRPr="001A4766" w:rsidRDefault="001A4766" w:rsidP="001A4766">
                      <w:pPr>
                        <w:pStyle w:val="Caption"/>
                        <w:jc w:val="center"/>
                        <w:rPr>
                          <w:rFonts w:ascii="Times New Roman" w:hAnsi="Times New Roman" w:cs="Times New Roman"/>
                          <w:b/>
                          <w:bCs/>
                          <w:noProof/>
                          <w:color w:val="000000" w:themeColor="text1"/>
                          <w:sz w:val="28"/>
                          <w:szCs w:val="28"/>
                        </w:rPr>
                      </w:pPr>
                      <w:bookmarkStart w:id="4" w:name="_Toc177917198"/>
                      <w:r w:rsidRPr="001A4766">
                        <w:rPr>
                          <w:rFonts w:ascii="Times New Roman" w:hAnsi="Times New Roman" w:cs="Times New Roman"/>
                          <w:b/>
                          <w:bCs/>
                          <w:color w:val="000000" w:themeColor="text1"/>
                          <w:sz w:val="22"/>
                          <w:szCs w:val="22"/>
                        </w:rPr>
                        <w:t xml:space="preserve">Figure </w:t>
                      </w:r>
                      <w:r w:rsidRPr="001A4766">
                        <w:rPr>
                          <w:rFonts w:ascii="Times New Roman" w:hAnsi="Times New Roman" w:cs="Times New Roman"/>
                          <w:b/>
                          <w:bCs/>
                          <w:color w:val="000000" w:themeColor="text1"/>
                          <w:sz w:val="22"/>
                          <w:szCs w:val="22"/>
                        </w:rPr>
                        <w:fldChar w:fldCharType="begin"/>
                      </w:r>
                      <w:r w:rsidRPr="001A4766">
                        <w:rPr>
                          <w:rFonts w:ascii="Times New Roman" w:hAnsi="Times New Roman" w:cs="Times New Roman"/>
                          <w:b/>
                          <w:bCs/>
                          <w:color w:val="000000" w:themeColor="text1"/>
                          <w:sz w:val="22"/>
                          <w:szCs w:val="22"/>
                        </w:rPr>
                        <w:instrText xml:space="preserve"> SEQ Figure \* ARABIC </w:instrText>
                      </w:r>
                      <w:r w:rsidRPr="001A4766">
                        <w:rPr>
                          <w:rFonts w:ascii="Times New Roman" w:hAnsi="Times New Roman" w:cs="Times New Roman"/>
                          <w:b/>
                          <w:bCs/>
                          <w:color w:val="000000" w:themeColor="text1"/>
                          <w:sz w:val="22"/>
                          <w:szCs w:val="22"/>
                        </w:rPr>
                        <w:fldChar w:fldCharType="separate"/>
                      </w:r>
                      <w:r w:rsidRPr="001A4766">
                        <w:rPr>
                          <w:rFonts w:ascii="Times New Roman" w:hAnsi="Times New Roman" w:cs="Times New Roman"/>
                          <w:b/>
                          <w:bCs/>
                          <w:noProof/>
                          <w:color w:val="000000" w:themeColor="text1"/>
                          <w:sz w:val="22"/>
                          <w:szCs w:val="22"/>
                        </w:rPr>
                        <w:t>1</w:t>
                      </w:r>
                      <w:r w:rsidRPr="001A4766">
                        <w:rPr>
                          <w:rFonts w:ascii="Times New Roman" w:hAnsi="Times New Roman" w:cs="Times New Roman"/>
                          <w:b/>
                          <w:bCs/>
                          <w:color w:val="000000" w:themeColor="text1"/>
                          <w:sz w:val="22"/>
                          <w:szCs w:val="22"/>
                        </w:rPr>
                        <w:fldChar w:fldCharType="end"/>
                      </w:r>
                      <w:r w:rsidRPr="001A4766">
                        <w:rPr>
                          <w:rFonts w:ascii="Times New Roman" w:hAnsi="Times New Roman" w:cs="Times New Roman"/>
                          <w:b/>
                          <w:bCs/>
                          <w:color w:val="000000" w:themeColor="text1"/>
                          <w:sz w:val="22"/>
                          <w:szCs w:val="22"/>
                        </w:rPr>
                        <w:t>.1: Porter's Five Forces Analysis</w:t>
                      </w:r>
                      <w:bookmarkEnd w:id="4"/>
                      <w:r w:rsidR="0021534F">
                        <w:rPr>
                          <w:rFonts w:ascii="Times New Roman" w:hAnsi="Times New Roman" w:cs="Times New Roman"/>
                          <w:b/>
                          <w:bCs/>
                          <w:color w:val="000000" w:themeColor="text1"/>
                          <w:sz w:val="22"/>
                          <w:szCs w:val="22"/>
                        </w:rPr>
                        <w:t>: RMG Industry</w:t>
                      </w:r>
                    </w:p>
                  </w:txbxContent>
                </v:textbox>
                <w10:wrap type="topAndBottom"/>
              </v:shape>
            </w:pict>
          </mc:Fallback>
        </mc:AlternateContent>
      </w:r>
      <w:r w:rsidR="007622D2">
        <w:rPr>
          <w:noProof/>
        </w:rPr>
        <w:drawing>
          <wp:anchor distT="0" distB="0" distL="114300" distR="114300" simplePos="0" relativeHeight="251659264" behindDoc="0" locked="0" layoutInCell="1" allowOverlap="1" wp14:anchorId="3398AC6F" wp14:editId="452F2B1D">
            <wp:simplePos x="0" y="0"/>
            <wp:positionH relativeFrom="margin">
              <wp:posOffset>806450</wp:posOffset>
            </wp:positionH>
            <wp:positionV relativeFrom="paragraph">
              <wp:posOffset>1748155</wp:posOffset>
            </wp:positionV>
            <wp:extent cx="4229100" cy="4229100"/>
            <wp:effectExtent l="0" t="0" r="0" b="0"/>
            <wp:wrapTopAndBottom/>
            <wp:docPr id="1456775402" name="Picture 1" descr="A diagram of a penta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75402" name="Picture 1" descr="A diagram of a pentag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4229100"/>
                    </a:xfrm>
                    <a:prstGeom prst="rect">
                      <a:avLst/>
                    </a:prstGeom>
                    <a:noFill/>
                    <a:ln>
                      <a:noFill/>
                    </a:ln>
                  </pic:spPr>
                </pic:pic>
              </a:graphicData>
            </a:graphic>
          </wp:anchor>
        </w:drawing>
      </w:r>
      <w:r w:rsidR="00202F0F" w:rsidRPr="00202F0F">
        <w:rPr>
          <w:rFonts w:ascii="Times New Roman" w:hAnsi="Times New Roman" w:cs="Times New Roman"/>
        </w:rPr>
        <w:t xml:space="preserve">The </w:t>
      </w:r>
      <w:r w:rsidR="00202F0F" w:rsidRPr="00202F0F">
        <w:rPr>
          <w:rFonts w:ascii="Times New Roman" w:hAnsi="Times New Roman" w:cs="Times New Roman"/>
          <w:b/>
          <w:bCs/>
        </w:rPr>
        <w:t>Porter’s Five Forces</w:t>
      </w:r>
      <w:r w:rsidR="00202F0F" w:rsidRPr="00202F0F">
        <w:rPr>
          <w:rFonts w:ascii="Times New Roman" w:hAnsi="Times New Roman" w:cs="Times New Roman"/>
        </w:rPr>
        <w:t xml:space="preserve"> analysis provides a strategic framework to assess the competitive forces shaping an industry. By evaluating the </w:t>
      </w:r>
      <w:r w:rsidR="00202F0F" w:rsidRPr="00202F0F">
        <w:rPr>
          <w:rFonts w:ascii="Times New Roman" w:hAnsi="Times New Roman" w:cs="Times New Roman"/>
          <w:b/>
          <w:bCs/>
        </w:rPr>
        <w:t>current</w:t>
      </w:r>
      <w:r w:rsidR="00202F0F" w:rsidRPr="00202F0F">
        <w:rPr>
          <w:rFonts w:ascii="Times New Roman" w:hAnsi="Times New Roman" w:cs="Times New Roman"/>
        </w:rPr>
        <w:t xml:space="preserve"> and </w:t>
      </w:r>
      <w:r w:rsidR="00202F0F" w:rsidRPr="00202F0F">
        <w:rPr>
          <w:rFonts w:ascii="Times New Roman" w:hAnsi="Times New Roman" w:cs="Times New Roman"/>
          <w:b/>
          <w:bCs/>
        </w:rPr>
        <w:t>future trends</w:t>
      </w:r>
      <w:r w:rsidR="00202F0F" w:rsidRPr="00202F0F">
        <w:rPr>
          <w:rFonts w:ascii="Times New Roman" w:hAnsi="Times New Roman" w:cs="Times New Roman"/>
        </w:rPr>
        <w:t xml:space="preserve"> of key factors like </w:t>
      </w:r>
      <w:r w:rsidR="00202F0F" w:rsidRPr="00202F0F">
        <w:rPr>
          <w:rFonts w:ascii="Times New Roman" w:hAnsi="Times New Roman" w:cs="Times New Roman"/>
          <w:b/>
          <w:bCs/>
        </w:rPr>
        <w:t>Buyer Power, Rivalry, Substitutes, Supplier Power,</w:t>
      </w:r>
      <w:r w:rsidR="00202F0F" w:rsidRPr="00202F0F">
        <w:rPr>
          <w:rFonts w:ascii="Times New Roman" w:hAnsi="Times New Roman" w:cs="Times New Roman"/>
        </w:rPr>
        <w:t xml:space="preserve"> and </w:t>
      </w:r>
      <w:r w:rsidR="00202F0F" w:rsidRPr="00202F0F">
        <w:rPr>
          <w:rFonts w:ascii="Times New Roman" w:hAnsi="Times New Roman" w:cs="Times New Roman"/>
          <w:b/>
          <w:bCs/>
        </w:rPr>
        <w:t>Threat of Entry</w:t>
      </w:r>
      <w:r w:rsidR="00202F0F" w:rsidRPr="00202F0F">
        <w:rPr>
          <w:rFonts w:ascii="Times New Roman" w:hAnsi="Times New Roman" w:cs="Times New Roman"/>
        </w:rPr>
        <w:t>, this analysis helps to predict shifts in market dynamics. The radar chart below highlights the anticipated changes in these forces, offering valuable insights into future industry competition and power distribution</w:t>
      </w:r>
      <w:r w:rsidR="00116E2B">
        <w:rPr>
          <w:rFonts w:ascii="Times New Roman" w:hAnsi="Times New Roman" w:cs="Times New Roman"/>
        </w:rPr>
        <w:t xml:space="preserve"> </w:t>
      </w:r>
      <w:r w:rsidR="00116E2B">
        <w:rPr>
          <w:rFonts w:ascii="Times New Roman" w:hAnsi="Times New Roman" w:cs="Times New Roman"/>
        </w:rPr>
        <w:fldChar w:fldCharType="begin" w:fldLock="1"/>
      </w:r>
      <w:r w:rsidR="00800A9F">
        <w:rPr>
          <w:rFonts w:ascii="Times New Roman" w:hAnsi="Times New Roman" w:cs="Times New Roman"/>
        </w:rPr>
        <w:instrText>ADDIN CSL_CITATION {"citationItems":[{"id":"ITEM-1","itemData":{"ISBN":"9781119042310","author":[{"dropping-particle":"","family":"Besanko","given":"David","non-dropping-particle":"","parse-names":false,"suffix":""},{"dropping-particle":"","family":"Dranove","given":"David","non-dropping-particle":"","parse-names":false,"suffix":""},{"dropping-particle":"","family":"Shanley","given":"Mark","non-dropping-particle":"","parse-names":false,"suffix":""},{"dropping-particle":"","family":"Schaefer","given":"Scott","non-dropping-particle":"","parse-names":false,"suffix":""}],"container-title":"Wiley","edition":"7th","id":"ITEM-1","issued":{"date-parts":[["2016"]]},"number-of-pages":"444","title":"Economics of Strategy","type":"book"},"uris":["http://www.mendeley.com/documents/?uuid=da81f8e1-1ad3-4bf5-9fe8-40ef35279f85"]},{"id":"ITEM-2","itemData":{"DOI":"10.1729/Journal.25126","abstract":"The 5 forces of competitive advantage, as outlined by Porter, attempt to explain how firms can achieve Competitive Advantage in the industry they belong too. While this theory is certainly applicable to a fair degree, it is not free from its limitations. This paper critically analyses the Porter's 5 forces model while also comparing it with various other frameworks that attempt to explain Sustainable Competitive Advantage. It goes on to show the progress of tools used by management theorists to understand the importance of (sustainable) competitive advantage. This is done with the help of models that comprise of both the industry-based view, such as Porter's 5 forces, and the resource-based view, such as Barney's VRIN framework. The progress this paper looks at also includes relatively more revolutionary views and perspectives from thinkers like Grundy and Recklies.","author":[{"dropping-particle":"","family":"Anchit","given":"Goyal","non-dropping-particle":"","parse-names":false,"suffix":""}],"container-title":"Journal of Emerging Technologies and Innovative Research","id":"ITEM-2","issue":"7","issued":{"date-parts":[["2020"]]},"page":"149-152","title":"A Critical Analysis of Porter’s 5 Forces Model of Competitive Advantage","type":"article-journal","volume":"7"},"uris":["http://www.mendeley.com/documents/?uuid=fb3f2b1c-4eab-407c-a1c3-5ec0331fc2ea"]}],"mendeley":{"formattedCitation":"(Anchit, 2020; Besanko et al., 2016)","plainTextFormattedCitation":"(Anchit, 2020; Besanko et al., 2016)","previouslyFormattedCitation":"(Besanko et al., 2016)"},"properties":{"noteIndex":0},"schema":"https://github.com/citation-style-language/schema/raw/master/csl-citation.json"}</w:instrText>
      </w:r>
      <w:r w:rsidR="00116E2B">
        <w:rPr>
          <w:rFonts w:ascii="Times New Roman" w:hAnsi="Times New Roman" w:cs="Times New Roman"/>
        </w:rPr>
        <w:fldChar w:fldCharType="separate"/>
      </w:r>
      <w:r w:rsidR="00800A9F" w:rsidRPr="00800A9F">
        <w:rPr>
          <w:rFonts w:ascii="Times New Roman" w:hAnsi="Times New Roman" w:cs="Times New Roman"/>
          <w:noProof/>
        </w:rPr>
        <w:t>(Anchit, 2020; Besanko et al., 2016)</w:t>
      </w:r>
      <w:r w:rsidR="00116E2B">
        <w:rPr>
          <w:rFonts w:ascii="Times New Roman" w:hAnsi="Times New Roman" w:cs="Times New Roman"/>
        </w:rPr>
        <w:fldChar w:fldCharType="end"/>
      </w:r>
      <w:r w:rsidR="00202F0F" w:rsidRPr="00202F0F">
        <w:rPr>
          <w:rFonts w:ascii="Times New Roman" w:hAnsi="Times New Roman" w:cs="Times New Roman"/>
        </w:rPr>
        <w:t>.</w:t>
      </w:r>
    </w:p>
    <w:p w14:paraId="11B620C2" w14:textId="542FA529" w:rsidR="005F7D06" w:rsidRDefault="005F7D06" w:rsidP="00D1429F"/>
    <w:p w14:paraId="50C957B0" w14:textId="274E59B2" w:rsidR="00BD5481" w:rsidRPr="00715713" w:rsidRDefault="00BD5481" w:rsidP="00BD5481">
      <w:pPr>
        <w:spacing w:after="160" w:line="480" w:lineRule="auto"/>
        <w:jc w:val="both"/>
        <w:rPr>
          <w:rFonts w:ascii="Times New Roman" w:hAnsi="Times New Roman" w:cs="Times New Roman"/>
        </w:rPr>
      </w:pPr>
      <w:r w:rsidRPr="00715713">
        <w:rPr>
          <w:rFonts w:ascii="Times New Roman" w:hAnsi="Times New Roman" w:cs="Times New Roman"/>
        </w:rPr>
        <w:t>What the Chart Tells Us</w:t>
      </w:r>
      <w:r w:rsidR="00E53B53">
        <w:rPr>
          <w:rFonts w:ascii="Times New Roman" w:hAnsi="Times New Roman" w:cs="Times New Roman"/>
        </w:rPr>
        <w:t xml:space="preserve"> (Appendix </w:t>
      </w:r>
      <w:r w:rsidR="00E604F9">
        <w:rPr>
          <w:rFonts w:ascii="Times New Roman" w:hAnsi="Times New Roman" w:cs="Times New Roman"/>
        </w:rPr>
        <w:t>–</w:t>
      </w:r>
      <w:r w:rsidR="00E53B53">
        <w:rPr>
          <w:rFonts w:ascii="Times New Roman" w:hAnsi="Times New Roman" w:cs="Times New Roman"/>
        </w:rPr>
        <w:t xml:space="preserve"> 2</w:t>
      </w:r>
      <w:r w:rsidR="00E604F9">
        <w:rPr>
          <w:rFonts w:ascii="Times New Roman" w:hAnsi="Times New Roman" w:cs="Times New Roman"/>
        </w:rPr>
        <w:t>)</w:t>
      </w:r>
      <w:r w:rsidRPr="00715713">
        <w:rPr>
          <w:rFonts w:ascii="Times New Roman" w:hAnsi="Times New Roman" w:cs="Times New Roman"/>
        </w:rPr>
        <w:t>:</w:t>
      </w:r>
    </w:p>
    <w:p w14:paraId="5735EDBA" w14:textId="77777777" w:rsidR="00BD5481" w:rsidRPr="00715713" w:rsidRDefault="00BD5481" w:rsidP="00BD5481">
      <w:pPr>
        <w:widowControl/>
        <w:numPr>
          <w:ilvl w:val="0"/>
          <w:numId w:val="1"/>
        </w:numPr>
        <w:spacing w:after="160" w:line="480" w:lineRule="auto"/>
        <w:jc w:val="both"/>
        <w:rPr>
          <w:rFonts w:ascii="Times New Roman" w:hAnsi="Times New Roman" w:cs="Times New Roman"/>
        </w:rPr>
      </w:pPr>
      <w:r w:rsidRPr="00715713">
        <w:rPr>
          <w:rFonts w:ascii="Times New Roman" w:hAnsi="Times New Roman" w:cs="Times New Roman"/>
        </w:rPr>
        <w:t>The blue line represents the current state, while the red line shows the projected future changes.</w:t>
      </w:r>
    </w:p>
    <w:p w14:paraId="4AEDDCE6" w14:textId="77777777" w:rsidR="00BD5481" w:rsidRPr="00715713" w:rsidRDefault="00BD5481" w:rsidP="00BD5481">
      <w:pPr>
        <w:widowControl/>
        <w:numPr>
          <w:ilvl w:val="0"/>
          <w:numId w:val="1"/>
        </w:numPr>
        <w:spacing w:after="160" w:line="480" w:lineRule="auto"/>
        <w:jc w:val="both"/>
        <w:rPr>
          <w:rFonts w:ascii="Times New Roman" w:hAnsi="Times New Roman" w:cs="Times New Roman"/>
        </w:rPr>
      </w:pPr>
      <w:r w:rsidRPr="00715713">
        <w:rPr>
          <w:rFonts w:ascii="Times New Roman" w:hAnsi="Times New Roman" w:cs="Times New Roman"/>
        </w:rPr>
        <w:lastRenderedPageBreak/>
        <w:t>The areas where the red line exceeds the blue line indicate factors that are expected to become more significant in the future, such as Buyer Power and Threat of Entry.</w:t>
      </w:r>
    </w:p>
    <w:p w14:paraId="224045B6" w14:textId="77777777" w:rsidR="00BD5481" w:rsidRPr="00715713" w:rsidRDefault="00BD5481" w:rsidP="00BD5481">
      <w:pPr>
        <w:widowControl/>
        <w:numPr>
          <w:ilvl w:val="0"/>
          <w:numId w:val="1"/>
        </w:numPr>
        <w:spacing w:after="160" w:line="480" w:lineRule="auto"/>
        <w:jc w:val="both"/>
        <w:rPr>
          <w:rFonts w:ascii="Times New Roman" w:hAnsi="Times New Roman" w:cs="Times New Roman"/>
        </w:rPr>
      </w:pPr>
      <w:r w:rsidRPr="00715713">
        <w:rPr>
          <w:rFonts w:ascii="Times New Roman" w:hAnsi="Times New Roman" w:cs="Times New Roman"/>
        </w:rPr>
        <w:t>Factors like Substitute and Supplier Power are expected to remain stable, with no major changes over time.</w:t>
      </w:r>
    </w:p>
    <w:p w14:paraId="16BF2F03" w14:textId="77777777" w:rsidR="00BD5481" w:rsidRPr="00715713" w:rsidRDefault="00BD5481" w:rsidP="00BD5481">
      <w:pPr>
        <w:spacing w:after="160" w:line="480" w:lineRule="auto"/>
        <w:jc w:val="both"/>
        <w:rPr>
          <w:rFonts w:ascii="Times New Roman" w:hAnsi="Times New Roman" w:cs="Times New Roman"/>
        </w:rPr>
      </w:pPr>
      <w:r w:rsidRPr="00715713">
        <w:rPr>
          <w:rFonts w:ascii="Times New Roman" w:hAnsi="Times New Roman" w:cs="Times New Roman"/>
        </w:rPr>
        <w:t>In Simple Terms:</w:t>
      </w:r>
    </w:p>
    <w:p w14:paraId="3F7B3C0A" w14:textId="77777777" w:rsidR="00BD5481" w:rsidRPr="00715713" w:rsidRDefault="00BD5481" w:rsidP="00BD5481">
      <w:pPr>
        <w:spacing w:after="160" w:line="480" w:lineRule="auto"/>
        <w:jc w:val="both"/>
        <w:rPr>
          <w:rFonts w:ascii="Times New Roman" w:hAnsi="Times New Roman" w:cs="Times New Roman"/>
        </w:rPr>
      </w:pPr>
      <w:r w:rsidRPr="00715713">
        <w:rPr>
          <w:rFonts w:ascii="Times New Roman" w:hAnsi="Times New Roman" w:cs="Times New Roman"/>
        </w:rPr>
        <w:t>This chart helps visualize how different factors in the industry are expected to evolve. For instance:</w:t>
      </w:r>
    </w:p>
    <w:p w14:paraId="75BB1D14" w14:textId="77777777" w:rsidR="00BD5481" w:rsidRPr="00715713" w:rsidRDefault="00BD5481" w:rsidP="00BD5481">
      <w:pPr>
        <w:widowControl/>
        <w:numPr>
          <w:ilvl w:val="0"/>
          <w:numId w:val="2"/>
        </w:numPr>
        <w:spacing w:after="160" w:line="480" w:lineRule="auto"/>
        <w:jc w:val="both"/>
        <w:rPr>
          <w:rFonts w:ascii="Times New Roman" w:hAnsi="Times New Roman" w:cs="Times New Roman"/>
        </w:rPr>
      </w:pPr>
      <w:r w:rsidRPr="00715713">
        <w:rPr>
          <w:rFonts w:ascii="Times New Roman" w:hAnsi="Times New Roman" w:cs="Times New Roman"/>
        </w:rPr>
        <w:t>Buyers will gain more power in the future.</w:t>
      </w:r>
    </w:p>
    <w:p w14:paraId="2657731E" w14:textId="77777777" w:rsidR="00BD5481" w:rsidRPr="00715713" w:rsidRDefault="00BD5481" w:rsidP="00BD5481">
      <w:pPr>
        <w:widowControl/>
        <w:numPr>
          <w:ilvl w:val="0"/>
          <w:numId w:val="2"/>
        </w:numPr>
        <w:spacing w:after="160" w:line="480" w:lineRule="auto"/>
        <w:jc w:val="both"/>
        <w:rPr>
          <w:rFonts w:ascii="Times New Roman" w:hAnsi="Times New Roman" w:cs="Times New Roman"/>
        </w:rPr>
      </w:pPr>
      <w:r w:rsidRPr="00715713">
        <w:rPr>
          <w:rFonts w:ascii="Times New Roman" w:hAnsi="Times New Roman" w:cs="Times New Roman"/>
        </w:rPr>
        <w:t>Competition will increase slightly.</w:t>
      </w:r>
    </w:p>
    <w:p w14:paraId="03E7FA47" w14:textId="77777777" w:rsidR="00BD5481" w:rsidRPr="00715713" w:rsidRDefault="00BD5481" w:rsidP="00BD5481">
      <w:pPr>
        <w:widowControl/>
        <w:numPr>
          <w:ilvl w:val="0"/>
          <w:numId w:val="2"/>
        </w:numPr>
        <w:spacing w:after="160" w:line="480" w:lineRule="auto"/>
        <w:jc w:val="both"/>
        <w:rPr>
          <w:rFonts w:ascii="Times New Roman" w:hAnsi="Times New Roman" w:cs="Times New Roman"/>
        </w:rPr>
      </w:pPr>
      <w:r w:rsidRPr="00715713">
        <w:rPr>
          <w:rFonts w:ascii="Times New Roman" w:hAnsi="Times New Roman" w:cs="Times New Roman"/>
        </w:rPr>
        <w:t>Suppliers' influence will remain stable, while the threat of new entrants will grow. Overall, the chart suggests that the market will become more competitive, with new entrants posing a greater threat and buyers gaining more control.</w:t>
      </w:r>
    </w:p>
    <w:p w14:paraId="3B4887AC" w14:textId="4D857A23" w:rsidR="0080445D" w:rsidRDefault="0080445D" w:rsidP="003C59BB">
      <w:pPr>
        <w:pStyle w:val="Heading2"/>
        <w:spacing w:line="480" w:lineRule="auto"/>
      </w:pPr>
      <w:bookmarkStart w:id="4" w:name="_Toc177921503"/>
      <w:r w:rsidRPr="0080445D">
        <w:t>Competitive Rivalry</w:t>
      </w:r>
      <w:bookmarkEnd w:id="4"/>
    </w:p>
    <w:p w14:paraId="35FA4D7E" w14:textId="77777777" w:rsidR="005335C0" w:rsidRPr="005335C0" w:rsidRDefault="005335C0" w:rsidP="003C59BB">
      <w:pPr>
        <w:spacing w:line="480" w:lineRule="auto"/>
        <w:ind w:firstLine="720"/>
        <w:jc w:val="both"/>
        <w:rPr>
          <w:rFonts w:ascii="Times New Roman" w:hAnsi="Times New Roman" w:cs="Times New Roman"/>
          <w:sz w:val="24"/>
          <w:szCs w:val="24"/>
        </w:rPr>
      </w:pPr>
      <w:r w:rsidRPr="005335C0">
        <w:rPr>
          <w:rFonts w:ascii="Times New Roman" w:hAnsi="Times New Roman" w:cs="Times New Roman"/>
          <w:sz w:val="24"/>
          <w:szCs w:val="24"/>
        </w:rPr>
        <w:t>The competitive rivalry in the Bangladesh RMG industry is moderate to high, driven by several key factors. With a significant number of firms operating in both domestic and international markets, the sector experiences fierce competition. The industry’s high growth rate, fueled by global demand, attracts new entrants, further intensifying competition. However, cost differences among firms remain moderate, as most rely on similar labor and production processes.</w:t>
      </w:r>
    </w:p>
    <w:p w14:paraId="5E7BAFD1" w14:textId="77777777" w:rsidR="005335C0" w:rsidRPr="005335C0" w:rsidRDefault="005335C0" w:rsidP="003C59BB">
      <w:pPr>
        <w:spacing w:line="480" w:lineRule="auto"/>
        <w:ind w:firstLine="720"/>
        <w:jc w:val="both"/>
        <w:rPr>
          <w:rFonts w:ascii="Times New Roman" w:hAnsi="Times New Roman" w:cs="Times New Roman"/>
          <w:sz w:val="24"/>
          <w:szCs w:val="24"/>
        </w:rPr>
      </w:pPr>
      <w:r w:rsidRPr="005335C0">
        <w:rPr>
          <w:rFonts w:ascii="Times New Roman" w:hAnsi="Times New Roman" w:cs="Times New Roman"/>
          <w:sz w:val="24"/>
          <w:szCs w:val="24"/>
        </w:rPr>
        <w:t>Excess capacity is currently low to moderate but may increase as the industry expands. Firms are highly sensitive to capacity utilization, given the high fixed costs involved, making efficiency critical to maintaining profitability. Product differentiation and brand loyalty are moderate to high, though buyers have relatively low switching costs, leading to high price sensitivity in the market.</w:t>
      </w:r>
    </w:p>
    <w:p w14:paraId="4A14C4FC" w14:textId="77777777" w:rsidR="005335C0" w:rsidRPr="005335C0" w:rsidRDefault="005335C0" w:rsidP="003C59BB">
      <w:pPr>
        <w:spacing w:line="480" w:lineRule="auto"/>
        <w:ind w:firstLine="720"/>
        <w:jc w:val="both"/>
        <w:rPr>
          <w:rFonts w:ascii="Times New Roman" w:hAnsi="Times New Roman" w:cs="Times New Roman"/>
          <w:sz w:val="24"/>
          <w:szCs w:val="24"/>
        </w:rPr>
      </w:pPr>
      <w:r w:rsidRPr="005335C0">
        <w:rPr>
          <w:rFonts w:ascii="Times New Roman" w:hAnsi="Times New Roman" w:cs="Times New Roman"/>
          <w:sz w:val="24"/>
          <w:szCs w:val="24"/>
        </w:rPr>
        <w:lastRenderedPageBreak/>
        <w:t>Pricing and sales terms are highly observable, allowing firms to adjust prices quickly in response to market conditions, increasing competition. The use of price leadership and other practices is moderate, but cooperative pricing remains low. Exit barriers are high due to significant investments in infrastructure, ensuring that most firms remain active even when market conditions are tough.</w:t>
      </w:r>
    </w:p>
    <w:p w14:paraId="19D5CC25" w14:textId="77777777" w:rsidR="005335C0" w:rsidRPr="005335C0" w:rsidRDefault="005335C0" w:rsidP="003C59BB">
      <w:pPr>
        <w:spacing w:line="480" w:lineRule="auto"/>
        <w:ind w:firstLine="720"/>
        <w:jc w:val="both"/>
        <w:rPr>
          <w:rFonts w:ascii="Times New Roman" w:hAnsi="Times New Roman" w:cs="Times New Roman"/>
          <w:sz w:val="24"/>
          <w:szCs w:val="24"/>
        </w:rPr>
      </w:pPr>
      <w:r w:rsidRPr="005335C0">
        <w:rPr>
          <w:rFonts w:ascii="Times New Roman" w:hAnsi="Times New Roman" w:cs="Times New Roman"/>
          <w:sz w:val="24"/>
          <w:szCs w:val="24"/>
        </w:rPr>
        <w:t>Overall, the competitive rivalry is expected to remain intense, with growing demand and heightened price elasticity of demand pushing firms to improve efficiency and innovation. Firms will need to continue focusing on cost management and differentiation to remain competitive.</w:t>
      </w:r>
    </w:p>
    <w:p w14:paraId="6889B79C" w14:textId="02A796BE" w:rsidR="0080445D" w:rsidRDefault="0080445D" w:rsidP="003C59BB">
      <w:pPr>
        <w:pStyle w:val="Heading2"/>
        <w:spacing w:line="480" w:lineRule="auto"/>
      </w:pPr>
      <w:bookmarkStart w:id="5" w:name="_Toc177921504"/>
      <w:r w:rsidRPr="0080445D">
        <w:t>Threat of New Entrants</w:t>
      </w:r>
      <w:bookmarkEnd w:id="5"/>
    </w:p>
    <w:p w14:paraId="412B7E57" w14:textId="77777777" w:rsidR="0037522B" w:rsidRPr="00FC324A" w:rsidRDefault="0037522B" w:rsidP="004829D2">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The threat of new entrants in Bangladesh's RMG industry is currently moderate but expected to rise, impacting existing firms' profitability. Economies of scale present a moderate barrier now but will increase as firms grow, making it harder for new competitors to compete. Established firms benefit from strong brand loyalty and reputational advantages, deterring new entrants, as buyers prefer trusted suppliers.</w:t>
      </w:r>
    </w:p>
    <w:p w14:paraId="3C9A9E21" w14:textId="77777777" w:rsidR="0037522B" w:rsidRPr="00FC324A" w:rsidRDefault="0037522B" w:rsidP="004829D2">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Access to distribution channels is moderately difficult and will likely become more challenging as established firms strengthen their networks. Access to raw materials remains a low barrier, while technology and know-how pose a moderate challenge that will intensify with incumbents' investment in advanced methods.</w:t>
      </w:r>
    </w:p>
    <w:p w14:paraId="12B13F9E" w14:textId="77777777" w:rsidR="0037522B" w:rsidRPr="00FC324A" w:rsidRDefault="0037522B" w:rsidP="004829D2">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 xml:space="preserve">Location advantages are currently moderately accessible but will become more competitive as prime locations are taken. Incumbents' experience, including buyer relationships and optimized processes, provides them with a significant edge. While government protection is low, the expected retaliation and tough competition from established firms create moderate to high barriers. Overall, increasing economies of scale and the strength of incumbents are likely to deter significant </w:t>
      </w:r>
      <w:r w:rsidRPr="00FC324A">
        <w:rPr>
          <w:rFonts w:ascii="Times New Roman" w:hAnsi="Times New Roman" w:cs="Times New Roman"/>
          <w:sz w:val="24"/>
          <w:szCs w:val="24"/>
        </w:rPr>
        <w:lastRenderedPageBreak/>
        <w:t>new entry into the market.</w:t>
      </w:r>
    </w:p>
    <w:p w14:paraId="0655CB9E" w14:textId="05FBBC97" w:rsidR="0080445D" w:rsidRPr="001D1BD6" w:rsidRDefault="0080445D" w:rsidP="001D1BD6">
      <w:pPr>
        <w:pStyle w:val="Heading2"/>
        <w:spacing w:line="480" w:lineRule="auto"/>
        <w:jc w:val="both"/>
        <w:rPr>
          <w:rFonts w:cs="Times New Roman"/>
          <w:szCs w:val="24"/>
        </w:rPr>
      </w:pPr>
      <w:bookmarkStart w:id="6" w:name="_Toc177921505"/>
      <w:r w:rsidRPr="001D1BD6">
        <w:rPr>
          <w:rFonts w:cs="Times New Roman"/>
          <w:szCs w:val="24"/>
        </w:rPr>
        <w:t>Bargaining Power of Buyers</w:t>
      </w:r>
      <w:bookmarkEnd w:id="6"/>
    </w:p>
    <w:p w14:paraId="64E966AA" w14:textId="77777777" w:rsidR="001D1BD6" w:rsidRPr="001D1BD6" w:rsidRDefault="001D1BD6" w:rsidP="001D1BD6">
      <w:pPr>
        <w:spacing w:line="480" w:lineRule="auto"/>
        <w:ind w:firstLine="720"/>
        <w:jc w:val="both"/>
        <w:rPr>
          <w:rFonts w:ascii="Times New Roman" w:hAnsi="Times New Roman" w:cs="Times New Roman"/>
          <w:sz w:val="24"/>
          <w:szCs w:val="24"/>
        </w:rPr>
      </w:pPr>
      <w:r w:rsidRPr="001D1BD6">
        <w:rPr>
          <w:rFonts w:ascii="Times New Roman" w:hAnsi="Times New Roman" w:cs="Times New Roman"/>
          <w:sz w:val="24"/>
          <w:szCs w:val="24"/>
        </w:rPr>
        <w:t>In the Bangladesh RMG industry, the bargaining power of buyers is currently moderate but expected to increase. Global retailers and brands, who typically purchase in large volumes, are not highly concentrated compared to suppliers, limiting their current power to negotiate lower prices. However, as buyers consolidate and purchasing volumes rise, their leverage in negotiations could grow.</w:t>
      </w:r>
    </w:p>
    <w:p w14:paraId="6914773B" w14:textId="77777777" w:rsidR="001D1BD6" w:rsidRPr="001D1BD6" w:rsidRDefault="001D1BD6" w:rsidP="001D1BD6">
      <w:pPr>
        <w:spacing w:line="480" w:lineRule="auto"/>
        <w:ind w:firstLine="720"/>
        <w:jc w:val="both"/>
        <w:rPr>
          <w:rFonts w:ascii="Times New Roman" w:hAnsi="Times New Roman" w:cs="Times New Roman"/>
          <w:sz w:val="24"/>
          <w:szCs w:val="24"/>
        </w:rPr>
      </w:pPr>
    </w:p>
    <w:p w14:paraId="512EFEEE" w14:textId="77777777" w:rsidR="001D1BD6" w:rsidRPr="001D1BD6" w:rsidRDefault="001D1BD6" w:rsidP="001D1BD6">
      <w:pPr>
        <w:spacing w:line="480" w:lineRule="auto"/>
        <w:ind w:firstLine="720"/>
        <w:jc w:val="both"/>
        <w:rPr>
          <w:rFonts w:ascii="Times New Roman" w:hAnsi="Times New Roman" w:cs="Times New Roman"/>
          <w:sz w:val="24"/>
          <w:szCs w:val="24"/>
        </w:rPr>
      </w:pPr>
      <w:r w:rsidRPr="001D1BD6">
        <w:rPr>
          <w:rFonts w:ascii="Times New Roman" w:hAnsi="Times New Roman" w:cs="Times New Roman"/>
          <w:sz w:val="24"/>
          <w:szCs w:val="24"/>
        </w:rPr>
        <w:t>Substitutes for Bangladeshi garments are currently limited due to competitive pricing, but competition from other low-cost countries may increase, slightly raising substitution threats. Firms in the RMG industry currently make few relationship-specific investments, though this may change as they seek long-term partnerships to ensure stable demand.</w:t>
      </w:r>
    </w:p>
    <w:p w14:paraId="12F6CAE7" w14:textId="77777777" w:rsidR="001D1BD6" w:rsidRPr="001D1BD6" w:rsidRDefault="001D1BD6" w:rsidP="001D1BD6">
      <w:pPr>
        <w:spacing w:line="480" w:lineRule="auto"/>
        <w:ind w:firstLine="720"/>
        <w:jc w:val="both"/>
        <w:rPr>
          <w:rFonts w:ascii="Times New Roman" w:hAnsi="Times New Roman" w:cs="Times New Roman"/>
          <w:sz w:val="24"/>
          <w:szCs w:val="24"/>
        </w:rPr>
      </w:pPr>
    </w:p>
    <w:p w14:paraId="54F28683" w14:textId="20D2BC9D" w:rsidR="001D1BD6" w:rsidRPr="001D1BD6" w:rsidRDefault="001D1BD6" w:rsidP="001D1BD6">
      <w:pPr>
        <w:spacing w:line="480" w:lineRule="auto"/>
        <w:ind w:firstLine="720"/>
        <w:jc w:val="both"/>
        <w:rPr>
          <w:rFonts w:ascii="Times New Roman" w:hAnsi="Times New Roman" w:cs="Times New Roman"/>
          <w:sz w:val="24"/>
          <w:szCs w:val="24"/>
        </w:rPr>
      </w:pPr>
      <w:r w:rsidRPr="001D1BD6">
        <w:rPr>
          <w:rFonts w:ascii="Times New Roman" w:hAnsi="Times New Roman" w:cs="Times New Roman"/>
          <w:sz w:val="24"/>
          <w:szCs w:val="24"/>
        </w:rPr>
        <w:t>The price elasticity of demand for buyers' products is moderate but is expected to rise as global markets evolve and competition intensifies. Buyers do not currently pose a threat of backward integration, though this could change in the future. Additionally, garment costs represent a moderate portion of buyers’ business expenses, which may lead to more aggressive price negotiations as buyers seek greater cost efficiencies over time.</w:t>
      </w:r>
    </w:p>
    <w:p w14:paraId="24712E1D" w14:textId="4FC0EC2F" w:rsidR="0080445D" w:rsidRDefault="0080445D" w:rsidP="003C59BB">
      <w:pPr>
        <w:pStyle w:val="Heading2"/>
        <w:spacing w:line="480" w:lineRule="auto"/>
      </w:pPr>
      <w:bookmarkStart w:id="7" w:name="_Toc177921506"/>
      <w:r w:rsidRPr="0080445D">
        <w:t>Bargaining Power of Suppliers</w:t>
      </w:r>
      <w:bookmarkEnd w:id="7"/>
    </w:p>
    <w:p w14:paraId="7AABFF7C" w14:textId="77777777" w:rsidR="00EA11AC" w:rsidRDefault="00EA11AC" w:rsidP="00EA11AC">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 xml:space="preserve">Supplier negotiating power in Bangladesh's RMG business is moderate but likely to rise. The suppliers of raw materials like textiles are moderately concentrated compared to the enterprises they supply, and this concentration is likely to expand as more firms consolidate their supplier base or develop strategic alliances. Growing concentration may offer suppliers more </w:t>
      </w:r>
      <w:r w:rsidRPr="00FC324A">
        <w:rPr>
          <w:rFonts w:ascii="Times New Roman" w:hAnsi="Times New Roman" w:cs="Times New Roman"/>
          <w:sz w:val="24"/>
          <w:szCs w:val="24"/>
        </w:rPr>
        <w:lastRenderedPageBreak/>
        <w:t>power to raise prices.</w:t>
      </w:r>
    </w:p>
    <w:p w14:paraId="1C50F70F" w14:textId="77777777" w:rsidR="00EA11AC" w:rsidRDefault="00EA11AC" w:rsidP="00EA11AC">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 xml:space="preserve">RMG enterprises buy moderate quantity of raw materials relative to their suppliers' sales, decreasing their influence. The clothing industry's purchasing quantities are too small to demand significant price concessions, and this tendency is projected to continue. Suppliers generally serve various sectors. </w:t>
      </w:r>
    </w:p>
    <w:p w14:paraId="4563E97F" w14:textId="77777777" w:rsidR="00C72994" w:rsidRDefault="00EA11AC" w:rsidP="00EA11AC">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 xml:space="preserve">Key input alternatives are scarce, giving suppliers an advantage in negotiations. While alternatives to </w:t>
      </w:r>
      <w:proofErr w:type="gramStart"/>
      <w:r w:rsidRPr="00FC324A">
        <w:rPr>
          <w:rFonts w:ascii="Times New Roman" w:hAnsi="Times New Roman" w:cs="Times New Roman"/>
          <w:sz w:val="24"/>
          <w:szCs w:val="24"/>
        </w:rPr>
        <w:t>particular textiles</w:t>
      </w:r>
      <w:proofErr w:type="gramEnd"/>
      <w:r w:rsidRPr="00FC324A">
        <w:rPr>
          <w:rFonts w:ascii="Times New Roman" w:hAnsi="Times New Roman" w:cs="Times New Roman"/>
          <w:sz w:val="24"/>
          <w:szCs w:val="24"/>
        </w:rPr>
        <w:t xml:space="preserve"> or materials are not readily available, technological developments may diminish dependency on specific inputs, hence reducing supplier power over time. </w:t>
      </w:r>
      <w:r w:rsidRPr="00FC324A">
        <w:rPr>
          <w:rFonts w:ascii="Times New Roman" w:hAnsi="Times New Roman" w:cs="Times New Roman"/>
          <w:sz w:val="24"/>
          <w:szCs w:val="24"/>
        </w:rPr>
        <w:br/>
        <w:t xml:space="preserve">RMG enterprises spend heavily on supplier relationships to assure long-term, steady supply. Suppliers do not currently threaten forward integration, but this risk may rise as they grow and seek more supply chain value. </w:t>
      </w:r>
    </w:p>
    <w:p w14:paraId="46B82A2B" w14:textId="1CA6C86E" w:rsidR="00EA11AC" w:rsidRPr="00FC324A" w:rsidRDefault="00EA11AC" w:rsidP="00EA11AC">
      <w:pPr>
        <w:spacing w:after="160" w:line="480" w:lineRule="auto"/>
        <w:ind w:firstLine="720"/>
        <w:jc w:val="both"/>
        <w:rPr>
          <w:rFonts w:ascii="Times New Roman" w:hAnsi="Times New Roman" w:cs="Times New Roman"/>
          <w:sz w:val="24"/>
          <w:szCs w:val="24"/>
        </w:rPr>
      </w:pPr>
      <w:r w:rsidRPr="00FC324A">
        <w:rPr>
          <w:rFonts w:ascii="Times New Roman" w:hAnsi="Times New Roman" w:cs="Times New Roman"/>
          <w:sz w:val="24"/>
          <w:szCs w:val="24"/>
        </w:rPr>
        <w:t xml:space="preserve">Customer price discrimination is mild, with suppliers pricing based on enterprises' ability or desire to pay. This practice should decrease as the market gets more competitive, providing </w:t>
      </w:r>
      <w:proofErr w:type="gramStart"/>
      <w:r w:rsidRPr="00FC324A">
        <w:rPr>
          <w:rFonts w:ascii="Times New Roman" w:hAnsi="Times New Roman" w:cs="Times New Roman"/>
          <w:sz w:val="24"/>
          <w:szCs w:val="24"/>
        </w:rPr>
        <w:t>purchasers</w:t>
      </w:r>
      <w:proofErr w:type="gramEnd"/>
      <w:r w:rsidRPr="00FC324A">
        <w:rPr>
          <w:rFonts w:ascii="Times New Roman" w:hAnsi="Times New Roman" w:cs="Times New Roman"/>
          <w:sz w:val="24"/>
          <w:szCs w:val="24"/>
        </w:rPr>
        <w:t xml:space="preserve"> an edge. </w:t>
      </w:r>
    </w:p>
    <w:p w14:paraId="1BB9ECA5" w14:textId="77777777" w:rsidR="00EA11AC" w:rsidRPr="00EA11AC" w:rsidRDefault="00EA11AC" w:rsidP="00EA11AC"/>
    <w:p w14:paraId="562D6121" w14:textId="77777777" w:rsidR="00333F10" w:rsidRDefault="001B64B1" w:rsidP="003C59BB">
      <w:pPr>
        <w:pStyle w:val="Heading2"/>
        <w:spacing w:line="480" w:lineRule="auto"/>
      </w:pPr>
      <w:bookmarkStart w:id="8" w:name="_Toc177921507"/>
      <w:r w:rsidRPr="001B64B1">
        <w:t>Threat of Substitutes</w:t>
      </w:r>
      <w:bookmarkEnd w:id="8"/>
    </w:p>
    <w:p w14:paraId="7D15AFE2" w14:textId="77777777" w:rsidR="001B3047" w:rsidRDefault="001B3047" w:rsidP="001B3047">
      <w:pPr>
        <w:spacing w:after="160" w:line="480" w:lineRule="auto"/>
        <w:ind w:firstLine="720"/>
        <w:jc w:val="both"/>
        <w:rPr>
          <w:rFonts w:ascii="Times New Roman" w:hAnsi="Times New Roman" w:cs="Times New Roman"/>
        </w:rPr>
      </w:pPr>
      <w:r w:rsidRPr="00FC324A">
        <w:rPr>
          <w:rFonts w:ascii="Times New Roman" w:hAnsi="Times New Roman" w:cs="Times New Roman"/>
        </w:rPr>
        <w:t xml:space="preserve">The Bangladesh RMG business has a moderate substitution threat, but it is likely to lessen. There are reasonable alternatives for Bangladeshi clothing from low-cost manufacturers like Vietnam and India. Bangladesh's competitive price and worldwide market exposure may reduce replacement availability over time. </w:t>
      </w:r>
    </w:p>
    <w:p w14:paraId="2EF821F6" w14:textId="3E4BCD74" w:rsidR="001B3047" w:rsidRPr="00FC324A" w:rsidRDefault="001B3047" w:rsidP="001B3047">
      <w:pPr>
        <w:spacing w:after="160" w:line="480" w:lineRule="auto"/>
        <w:ind w:firstLine="720"/>
        <w:jc w:val="both"/>
        <w:rPr>
          <w:rFonts w:ascii="Times New Roman" w:hAnsi="Times New Roman" w:cs="Times New Roman"/>
        </w:rPr>
      </w:pPr>
      <w:r w:rsidRPr="00FC324A">
        <w:rPr>
          <w:rFonts w:ascii="Times New Roman" w:hAnsi="Times New Roman" w:cs="Times New Roman"/>
        </w:rPr>
        <w:t xml:space="preserve">While moderately priced, substitute products rarely offer a superior price-value proposition than Bangladeshi clothing. Thus, substitute pressure is unlikely to increase. Price elasticity of demand for RMGs is moderate, implying consumers are fairly price sensitive. As global rivalry rises, organizations will need </w:t>
      </w:r>
      <w:r w:rsidRPr="00FC324A">
        <w:rPr>
          <w:rFonts w:ascii="Times New Roman" w:hAnsi="Times New Roman" w:cs="Times New Roman"/>
        </w:rPr>
        <w:lastRenderedPageBreak/>
        <w:t xml:space="preserve">to innovate and cut costs to be competitive, increasing this elasticity. </w:t>
      </w:r>
      <w:r w:rsidRPr="00FC324A">
        <w:rPr>
          <w:rFonts w:ascii="Times New Roman" w:hAnsi="Times New Roman" w:cs="Times New Roman"/>
        </w:rPr>
        <w:br/>
        <w:t xml:space="preserve">Bangladeshi clothing </w:t>
      </w:r>
      <w:proofErr w:type="gramStart"/>
      <w:r w:rsidRPr="00FC324A">
        <w:rPr>
          <w:rFonts w:ascii="Times New Roman" w:hAnsi="Times New Roman" w:cs="Times New Roman"/>
        </w:rPr>
        <w:t>are</w:t>
      </w:r>
      <w:proofErr w:type="gramEnd"/>
      <w:r w:rsidRPr="00FC324A">
        <w:rPr>
          <w:rFonts w:ascii="Times New Roman" w:hAnsi="Times New Roman" w:cs="Times New Roman"/>
        </w:rPr>
        <w:t xml:space="preserve"> valued more due to the abundance of accessories and stylish goods. These supplements have high price-value attributes, supporting worldwide demand for Bangladeshi clothes. While substitutes pose a danger, the sector is expected to manage it by focusing on its strengths. </w:t>
      </w:r>
    </w:p>
    <w:p w14:paraId="14087314" w14:textId="20370B20" w:rsidR="00FD5209" w:rsidRDefault="00C77E77" w:rsidP="003C59BB">
      <w:pPr>
        <w:pStyle w:val="Heading2"/>
        <w:spacing w:line="480" w:lineRule="auto"/>
        <w:ind w:left="0"/>
      </w:pPr>
      <w:bookmarkStart w:id="9" w:name="_Toc177921508"/>
      <w:r>
        <w:t>Conclusion</w:t>
      </w:r>
      <w:bookmarkEnd w:id="9"/>
    </w:p>
    <w:p w14:paraId="3E647517" w14:textId="029D0E84" w:rsidR="00F5024B" w:rsidRPr="00F5024B" w:rsidRDefault="00F5024B" w:rsidP="003C59BB">
      <w:pPr>
        <w:spacing w:line="480" w:lineRule="auto"/>
        <w:ind w:firstLine="720"/>
        <w:jc w:val="both"/>
        <w:rPr>
          <w:rFonts w:ascii="Times New Roman" w:hAnsi="Times New Roman" w:cs="Times New Roman"/>
          <w:sz w:val="24"/>
          <w:szCs w:val="24"/>
        </w:rPr>
        <w:sectPr w:rsidR="00F5024B" w:rsidRPr="00F5024B" w:rsidSect="002D14BE">
          <w:pgSz w:w="12240" w:h="15840"/>
          <w:pgMar w:top="1440" w:right="1440" w:bottom="1440" w:left="1440" w:header="720" w:footer="720" w:gutter="0"/>
          <w:pgNumType w:start="1"/>
          <w:cols w:space="720"/>
          <w:docGrid w:linePitch="360"/>
        </w:sectPr>
      </w:pPr>
      <w:r w:rsidRPr="00F5024B">
        <w:rPr>
          <w:rFonts w:ascii="Times New Roman" w:hAnsi="Times New Roman" w:cs="Times New Roman"/>
          <w:sz w:val="24"/>
          <w:szCs w:val="24"/>
        </w:rPr>
        <w:t>The Bangladesh RMG industry remains competitive, with moderate to high rivalry, manageable threats from new entrants and substitutes, and moderate bargaining power for both buyers and suppliers. While competitive pressures exist, the industry's growth, economies of scale, and established global reputation provide a strong foundation. Firms must focus on efficiency, innovation, and strategic partnerships to navigate challenges and sustain profitability in an evolving global market.</w:t>
      </w:r>
    </w:p>
    <w:p w14:paraId="60C9F262" w14:textId="7D8EF311" w:rsidR="00FD5209" w:rsidRDefault="00FD5209" w:rsidP="00FD5209">
      <w:pPr>
        <w:pStyle w:val="Heading1"/>
      </w:pPr>
      <w:bookmarkStart w:id="10" w:name="_Toc177921509"/>
      <w:r>
        <w:lastRenderedPageBreak/>
        <w:t>References:</w:t>
      </w:r>
      <w:bookmarkEnd w:id="10"/>
    </w:p>
    <w:p w14:paraId="26FCA6B7" w14:textId="77777777" w:rsidR="00FD5209" w:rsidRDefault="00FD5209" w:rsidP="00FD5209">
      <w:pPr>
        <w:jc w:val="both"/>
      </w:pPr>
    </w:p>
    <w:p w14:paraId="6E3374AB" w14:textId="77777777" w:rsidR="00FD5209" w:rsidRPr="00FD5209" w:rsidRDefault="00FD5209" w:rsidP="00FD5209">
      <w:pPr>
        <w:ind w:left="720" w:hanging="720"/>
        <w:jc w:val="both"/>
        <w:rPr>
          <w:rFonts w:ascii="Times New Roman" w:hAnsi="Times New Roman" w:cs="Times New Roman"/>
          <w:sz w:val="24"/>
          <w:szCs w:val="24"/>
        </w:rPr>
      </w:pPr>
    </w:p>
    <w:p w14:paraId="5B7A8BC6" w14:textId="786B464B" w:rsidR="00800A9F" w:rsidRPr="00800A9F" w:rsidRDefault="00F303EB" w:rsidP="00800A9F">
      <w:pPr>
        <w:autoSpaceDE w:val="0"/>
        <w:autoSpaceDN w:val="0"/>
        <w:adjustRightInd w:val="0"/>
        <w:ind w:left="480" w:hanging="480"/>
        <w:rPr>
          <w:rFonts w:ascii="Times New Roman" w:hAnsi="Times New Roman" w:cs="Times New Roman"/>
          <w:noProof/>
          <w:sz w:val="24"/>
        </w:rPr>
      </w:pPr>
      <w:r w:rsidRPr="006B5510">
        <w:rPr>
          <w:rFonts w:ascii="Times New Roman" w:hAnsi="Times New Roman" w:cs="Times New Roman"/>
          <w:sz w:val="24"/>
          <w:szCs w:val="24"/>
        </w:rPr>
        <w:fldChar w:fldCharType="begin" w:fldLock="1"/>
      </w:r>
      <w:r w:rsidRPr="006B5510">
        <w:rPr>
          <w:rFonts w:ascii="Times New Roman" w:hAnsi="Times New Roman" w:cs="Times New Roman"/>
          <w:sz w:val="24"/>
          <w:szCs w:val="24"/>
        </w:rPr>
        <w:instrText xml:space="preserve">ADDIN Mendeley Bibliography CSL_BIBLIOGRAPHY </w:instrText>
      </w:r>
      <w:r w:rsidRPr="006B5510">
        <w:rPr>
          <w:rFonts w:ascii="Times New Roman" w:hAnsi="Times New Roman" w:cs="Times New Roman"/>
          <w:sz w:val="24"/>
          <w:szCs w:val="24"/>
        </w:rPr>
        <w:fldChar w:fldCharType="separate"/>
      </w:r>
      <w:r w:rsidR="00800A9F" w:rsidRPr="00800A9F">
        <w:rPr>
          <w:rFonts w:ascii="Times New Roman" w:hAnsi="Times New Roman" w:cs="Times New Roman"/>
          <w:noProof/>
          <w:sz w:val="24"/>
        </w:rPr>
        <w:t xml:space="preserve">Anchit, G. (2020). A Critical Analysis of Porter’s 5 Forces Model of Competitive Advantage. </w:t>
      </w:r>
      <w:r w:rsidR="00800A9F" w:rsidRPr="00800A9F">
        <w:rPr>
          <w:rFonts w:ascii="Times New Roman" w:hAnsi="Times New Roman" w:cs="Times New Roman"/>
          <w:i/>
          <w:iCs/>
          <w:noProof/>
          <w:sz w:val="24"/>
        </w:rPr>
        <w:t>Journal of Emerging Technologies and Innovative Research</w:t>
      </w:r>
      <w:r w:rsidR="00800A9F" w:rsidRPr="00800A9F">
        <w:rPr>
          <w:rFonts w:ascii="Times New Roman" w:hAnsi="Times New Roman" w:cs="Times New Roman"/>
          <w:noProof/>
          <w:sz w:val="24"/>
        </w:rPr>
        <w:t xml:space="preserve">, </w:t>
      </w:r>
      <w:r w:rsidR="00800A9F" w:rsidRPr="00800A9F">
        <w:rPr>
          <w:rFonts w:ascii="Times New Roman" w:hAnsi="Times New Roman" w:cs="Times New Roman"/>
          <w:i/>
          <w:iCs/>
          <w:noProof/>
          <w:sz w:val="24"/>
        </w:rPr>
        <w:t>7</w:t>
      </w:r>
      <w:r w:rsidR="00800A9F" w:rsidRPr="00800A9F">
        <w:rPr>
          <w:rFonts w:ascii="Times New Roman" w:hAnsi="Times New Roman" w:cs="Times New Roman"/>
          <w:noProof/>
          <w:sz w:val="24"/>
        </w:rPr>
        <w:t>(7), 149–152. https://doi.org/10.1729/Journal.25126</w:t>
      </w:r>
    </w:p>
    <w:p w14:paraId="07510BE4" w14:textId="77777777" w:rsidR="00800A9F" w:rsidRPr="00800A9F" w:rsidRDefault="00800A9F" w:rsidP="00800A9F">
      <w:pPr>
        <w:autoSpaceDE w:val="0"/>
        <w:autoSpaceDN w:val="0"/>
        <w:adjustRightInd w:val="0"/>
        <w:ind w:left="480" w:hanging="480"/>
        <w:rPr>
          <w:rFonts w:ascii="Times New Roman" w:hAnsi="Times New Roman" w:cs="Times New Roman"/>
          <w:noProof/>
          <w:sz w:val="24"/>
        </w:rPr>
      </w:pPr>
      <w:r w:rsidRPr="00800A9F">
        <w:rPr>
          <w:rFonts w:ascii="Times New Roman" w:hAnsi="Times New Roman" w:cs="Times New Roman"/>
          <w:noProof/>
          <w:sz w:val="24"/>
        </w:rPr>
        <w:t xml:space="preserve">Besanko, D., Dranove, D., Shanley, M., &amp; Schaefer, S. (2016). Economics of Strategy. In </w:t>
      </w:r>
      <w:r w:rsidRPr="00800A9F">
        <w:rPr>
          <w:rFonts w:ascii="Times New Roman" w:hAnsi="Times New Roman" w:cs="Times New Roman"/>
          <w:i/>
          <w:iCs/>
          <w:noProof/>
          <w:sz w:val="24"/>
        </w:rPr>
        <w:t>Wiley</w:t>
      </w:r>
      <w:r w:rsidRPr="00800A9F">
        <w:rPr>
          <w:rFonts w:ascii="Times New Roman" w:hAnsi="Times New Roman" w:cs="Times New Roman"/>
          <w:noProof/>
          <w:sz w:val="24"/>
        </w:rPr>
        <w:t xml:space="preserve"> (7th ed.).</w:t>
      </w:r>
    </w:p>
    <w:p w14:paraId="4B41DEF4" w14:textId="77777777" w:rsidR="00800A9F" w:rsidRPr="00800A9F" w:rsidRDefault="00800A9F" w:rsidP="00800A9F">
      <w:pPr>
        <w:autoSpaceDE w:val="0"/>
        <w:autoSpaceDN w:val="0"/>
        <w:adjustRightInd w:val="0"/>
        <w:ind w:left="480" w:hanging="480"/>
        <w:rPr>
          <w:rFonts w:ascii="Times New Roman" w:hAnsi="Times New Roman" w:cs="Times New Roman"/>
          <w:noProof/>
          <w:sz w:val="24"/>
        </w:rPr>
      </w:pPr>
      <w:r w:rsidRPr="00800A9F">
        <w:rPr>
          <w:rFonts w:ascii="Times New Roman" w:hAnsi="Times New Roman" w:cs="Times New Roman"/>
          <w:noProof/>
          <w:sz w:val="24"/>
        </w:rPr>
        <w:t xml:space="preserve">BGMEA. (2023). </w:t>
      </w:r>
      <w:r w:rsidRPr="00800A9F">
        <w:rPr>
          <w:rFonts w:ascii="Times New Roman" w:hAnsi="Times New Roman" w:cs="Times New Roman"/>
          <w:i/>
          <w:iCs/>
          <w:noProof/>
          <w:sz w:val="24"/>
        </w:rPr>
        <w:t>BGMEA at a glance. The</w:t>
      </w:r>
      <w:r w:rsidRPr="00800A9F">
        <w:rPr>
          <w:rFonts w:ascii="Times New Roman" w:hAnsi="Times New Roman" w:cs="Times New Roman"/>
          <w:noProof/>
          <w:sz w:val="24"/>
        </w:rPr>
        <w:t>. https://www.bgmea.com.bd/page/aboutus</w:t>
      </w:r>
    </w:p>
    <w:p w14:paraId="3913082A" w14:textId="77777777" w:rsidR="00800A9F" w:rsidRPr="00800A9F" w:rsidRDefault="00800A9F" w:rsidP="00800A9F">
      <w:pPr>
        <w:autoSpaceDE w:val="0"/>
        <w:autoSpaceDN w:val="0"/>
        <w:adjustRightInd w:val="0"/>
        <w:ind w:left="480" w:hanging="480"/>
        <w:rPr>
          <w:rFonts w:ascii="Times New Roman" w:hAnsi="Times New Roman" w:cs="Times New Roman"/>
          <w:noProof/>
          <w:sz w:val="24"/>
        </w:rPr>
      </w:pPr>
      <w:r w:rsidRPr="00800A9F">
        <w:rPr>
          <w:rFonts w:ascii="Times New Roman" w:hAnsi="Times New Roman" w:cs="Times New Roman"/>
          <w:noProof/>
          <w:sz w:val="24"/>
        </w:rPr>
        <w:t xml:space="preserve">Islam, M., &amp; Pattak, D. C. (2017). Impact of Macro Environmental Factors on Garments Industry That Drives Export in Bangladesh. </w:t>
      </w:r>
      <w:r w:rsidRPr="00800A9F">
        <w:rPr>
          <w:rFonts w:ascii="Times New Roman" w:hAnsi="Times New Roman" w:cs="Times New Roman"/>
          <w:i/>
          <w:iCs/>
          <w:noProof/>
          <w:sz w:val="24"/>
        </w:rPr>
        <w:t>Studies in Business and Economics</w:t>
      </w:r>
      <w:r w:rsidRPr="00800A9F">
        <w:rPr>
          <w:rFonts w:ascii="Times New Roman" w:hAnsi="Times New Roman" w:cs="Times New Roman"/>
          <w:noProof/>
          <w:sz w:val="24"/>
        </w:rPr>
        <w:t xml:space="preserve">, </w:t>
      </w:r>
      <w:r w:rsidRPr="00800A9F">
        <w:rPr>
          <w:rFonts w:ascii="Times New Roman" w:hAnsi="Times New Roman" w:cs="Times New Roman"/>
          <w:i/>
          <w:iCs/>
          <w:noProof/>
          <w:sz w:val="24"/>
        </w:rPr>
        <w:t>12</w:t>
      </w:r>
      <w:r w:rsidRPr="00800A9F">
        <w:rPr>
          <w:rFonts w:ascii="Times New Roman" w:hAnsi="Times New Roman" w:cs="Times New Roman"/>
          <w:noProof/>
          <w:sz w:val="24"/>
        </w:rPr>
        <w:t>(2), 100–111. https://doi.org/10.1515/sbe-2017-0024</w:t>
      </w:r>
    </w:p>
    <w:p w14:paraId="2A2CFEB6" w14:textId="77777777" w:rsidR="00800A9F" w:rsidRPr="00800A9F" w:rsidRDefault="00800A9F" w:rsidP="00800A9F">
      <w:pPr>
        <w:autoSpaceDE w:val="0"/>
        <w:autoSpaceDN w:val="0"/>
        <w:adjustRightInd w:val="0"/>
        <w:ind w:left="480" w:hanging="480"/>
        <w:rPr>
          <w:rFonts w:ascii="Times New Roman" w:hAnsi="Times New Roman" w:cs="Times New Roman"/>
          <w:noProof/>
          <w:sz w:val="24"/>
        </w:rPr>
      </w:pPr>
      <w:r w:rsidRPr="00800A9F">
        <w:rPr>
          <w:rFonts w:ascii="Times New Roman" w:hAnsi="Times New Roman" w:cs="Times New Roman"/>
          <w:noProof/>
          <w:sz w:val="24"/>
        </w:rPr>
        <w:t xml:space="preserve">Kumar, S., Luthra, S., &amp; Haleem, A. (2014). Critical success factors of customer involvement in greening the supply chain: An empirical study. </w:t>
      </w:r>
      <w:r w:rsidRPr="00800A9F">
        <w:rPr>
          <w:rFonts w:ascii="Times New Roman" w:hAnsi="Times New Roman" w:cs="Times New Roman"/>
          <w:i/>
          <w:iCs/>
          <w:noProof/>
          <w:sz w:val="24"/>
        </w:rPr>
        <w:t>International Journal of Logistics Systems and Management</w:t>
      </w:r>
      <w:r w:rsidRPr="00800A9F">
        <w:rPr>
          <w:rFonts w:ascii="Times New Roman" w:hAnsi="Times New Roman" w:cs="Times New Roman"/>
          <w:noProof/>
          <w:sz w:val="24"/>
        </w:rPr>
        <w:t xml:space="preserve">, </w:t>
      </w:r>
      <w:r w:rsidRPr="00800A9F">
        <w:rPr>
          <w:rFonts w:ascii="Times New Roman" w:hAnsi="Times New Roman" w:cs="Times New Roman"/>
          <w:i/>
          <w:iCs/>
          <w:noProof/>
          <w:sz w:val="24"/>
        </w:rPr>
        <w:t>19</w:t>
      </w:r>
      <w:r w:rsidRPr="00800A9F">
        <w:rPr>
          <w:rFonts w:ascii="Times New Roman" w:hAnsi="Times New Roman" w:cs="Times New Roman"/>
          <w:noProof/>
          <w:sz w:val="24"/>
        </w:rPr>
        <w:t>(3), 283–310. https://doi.org/10.1504/IJLSM.2014.065498</w:t>
      </w:r>
    </w:p>
    <w:p w14:paraId="1B346296" w14:textId="77777777" w:rsidR="00800A9F" w:rsidRPr="00800A9F" w:rsidRDefault="00800A9F" w:rsidP="00800A9F">
      <w:pPr>
        <w:autoSpaceDE w:val="0"/>
        <w:autoSpaceDN w:val="0"/>
        <w:adjustRightInd w:val="0"/>
        <w:ind w:left="480" w:hanging="480"/>
        <w:rPr>
          <w:rFonts w:ascii="Times New Roman" w:hAnsi="Times New Roman" w:cs="Times New Roman"/>
          <w:noProof/>
          <w:sz w:val="24"/>
        </w:rPr>
      </w:pPr>
      <w:r w:rsidRPr="00800A9F">
        <w:rPr>
          <w:rFonts w:ascii="Times New Roman" w:hAnsi="Times New Roman" w:cs="Times New Roman"/>
          <w:noProof/>
          <w:sz w:val="24"/>
        </w:rPr>
        <w:t xml:space="preserve">Mridha, J. H., Chowdhury, S. E., Hossen, M. S., &amp; Hosen, M. I. (2022). </w:t>
      </w:r>
      <w:r w:rsidRPr="00800A9F">
        <w:rPr>
          <w:rFonts w:ascii="Times New Roman" w:hAnsi="Times New Roman" w:cs="Times New Roman"/>
          <w:i/>
          <w:iCs/>
          <w:noProof/>
          <w:sz w:val="24"/>
        </w:rPr>
        <w:t>Analysis of the Competitiveness of Bangladesh RMG Sector Using Porter’s Diamond Model</w:t>
      </w:r>
      <w:r w:rsidRPr="00800A9F">
        <w:rPr>
          <w:rFonts w:ascii="Times New Roman" w:hAnsi="Times New Roman" w:cs="Times New Roman"/>
          <w:noProof/>
          <w:sz w:val="24"/>
        </w:rPr>
        <w:t xml:space="preserve">. </w:t>
      </w:r>
      <w:r w:rsidRPr="00800A9F">
        <w:rPr>
          <w:rFonts w:ascii="Times New Roman" w:hAnsi="Times New Roman" w:cs="Times New Roman"/>
          <w:i/>
          <w:iCs/>
          <w:noProof/>
          <w:sz w:val="24"/>
        </w:rPr>
        <w:t>9</w:t>
      </w:r>
      <w:r w:rsidRPr="00800A9F">
        <w:rPr>
          <w:rFonts w:ascii="Times New Roman" w:hAnsi="Times New Roman" w:cs="Times New Roman"/>
          <w:noProof/>
          <w:sz w:val="24"/>
        </w:rPr>
        <w:t>(4), 638–649. https://doi.org/10.5281/zenodo.7187747</w:t>
      </w:r>
    </w:p>
    <w:p w14:paraId="00264D4F" w14:textId="1A51F98C" w:rsidR="00F303EB" w:rsidRPr="00304DFC" w:rsidRDefault="00F303EB" w:rsidP="006B5510">
      <w:pPr>
        <w:ind w:hanging="720"/>
        <w:jc w:val="both"/>
        <w:sectPr w:rsidR="00F303EB" w:rsidRPr="00304DFC">
          <w:pgSz w:w="12240" w:h="15840"/>
          <w:pgMar w:top="1440" w:right="1440" w:bottom="1440" w:left="1440" w:header="720" w:footer="720" w:gutter="0"/>
          <w:cols w:space="720"/>
          <w:docGrid w:linePitch="360"/>
        </w:sectPr>
      </w:pPr>
      <w:r w:rsidRPr="006B5510">
        <w:rPr>
          <w:rFonts w:ascii="Times New Roman" w:hAnsi="Times New Roman" w:cs="Times New Roman"/>
          <w:sz w:val="24"/>
          <w:szCs w:val="24"/>
        </w:rPr>
        <w:fldChar w:fldCharType="end"/>
      </w:r>
    </w:p>
    <w:p w14:paraId="16C966AD" w14:textId="2A89CC25" w:rsidR="0052210F" w:rsidRPr="007217EC" w:rsidRDefault="007360E0" w:rsidP="0052210F">
      <w:pPr>
        <w:pStyle w:val="Heading1"/>
        <w:rPr>
          <w:rFonts w:cs="Times New Roman"/>
        </w:rPr>
      </w:pPr>
      <w:bookmarkStart w:id="11" w:name="_Toc177921510"/>
      <w:r>
        <w:rPr>
          <w:rFonts w:cs="Times New Roman"/>
        </w:rPr>
        <w:lastRenderedPageBreak/>
        <w:t>Appendix</w:t>
      </w:r>
      <w:r w:rsidR="001C13FC">
        <w:rPr>
          <w:rFonts w:cs="Times New Roman"/>
        </w:rPr>
        <w:t>- 1: Porter’s Five Forces</w:t>
      </w:r>
      <w:r w:rsidR="003F0F1C">
        <w:rPr>
          <w:rFonts w:cs="Times New Roman"/>
        </w:rPr>
        <w:t xml:space="preserve"> Analysis</w:t>
      </w:r>
      <w:bookmarkEnd w:id="11"/>
    </w:p>
    <w:tbl>
      <w:tblPr>
        <w:tblW w:w="5000" w:type="pct"/>
        <w:tblLook w:val="04A0" w:firstRow="1" w:lastRow="0" w:firstColumn="1" w:lastColumn="0" w:noHBand="0" w:noVBand="1"/>
      </w:tblPr>
      <w:tblGrid>
        <w:gridCol w:w="5836"/>
        <w:gridCol w:w="2127"/>
        <w:gridCol w:w="1397"/>
      </w:tblGrid>
      <w:tr w:rsidR="00365E59" w:rsidRPr="00446A7D" w14:paraId="55F93767" w14:textId="77777777" w:rsidTr="00365E59">
        <w:trPr>
          <w:trHeight w:val="820"/>
        </w:trPr>
        <w:tc>
          <w:tcPr>
            <w:tcW w:w="3118" w:type="pct"/>
            <w:tcBorders>
              <w:top w:val="single" w:sz="8" w:space="0" w:color="auto"/>
              <w:left w:val="nil"/>
              <w:bottom w:val="single" w:sz="8" w:space="0" w:color="auto"/>
              <w:right w:val="nil"/>
            </w:tcBorders>
            <w:shd w:val="clear" w:color="auto" w:fill="auto"/>
            <w:vAlign w:val="center"/>
            <w:hideMark/>
          </w:tcPr>
          <w:p w14:paraId="1564EE2D" w14:textId="77777777" w:rsidR="00365E59" w:rsidRPr="001D1145" w:rsidRDefault="00365E59" w:rsidP="00C233A7">
            <w:pPr>
              <w:rPr>
                <w:rFonts w:ascii="Times New Roman" w:hAnsi="Times New Roman" w:cs="Times New Roman"/>
                <w:b/>
                <w:bCs/>
                <w:w w:val="115"/>
                <w:sz w:val="24"/>
                <w:szCs w:val="24"/>
              </w:rPr>
            </w:pPr>
            <w:r w:rsidRPr="001D1145">
              <w:rPr>
                <w:rFonts w:ascii="Times New Roman" w:hAnsi="Times New Roman" w:cs="Times New Roman"/>
                <w:b/>
                <w:bCs/>
                <w:spacing w:val="-4"/>
                <w:w w:val="115"/>
                <w:sz w:val="24"/>
                <w:szCs w:val="24"/>
              </w:rPr>
              <w:t>Factors</w:t>
            </w:r>
            <w:r w:rsidRPr="001D1145">
              <w:rPr>
                <w:rFonts w:ascii="Times New Roman" w:hAnsi="Times New Roman" w:cs="Times New Roman"/>
                <w:b/>
                <w:bCs/>
                <w:spacing w:val="-33"/>
                <w:w w:val="115"/>
                <w:sz w:val="24"/>
                <w:szCs w:val="24"/>
              </w:rPr>
              <w:t xml:space="preserve"> </w:t>
            </w:r>
            <w:r w:rsidRPr="001D1145">
              <w:rPr>
                <w:rFonts w:ascii="Times New Roman" w:hAnsi="Times New Roman" w:cs="Times New Roman"/>
                <w:b/>
                <w:bCs/>
                <w:w w:val="115"/>
                <w:sz w:val="24"/>
                <w:szCs w:val="24"/>
              </w:rPr>
              <w:t>Affecting</w:t>
            </w:r>
            <w:r w:rsidRPr="001D1145">
              <w:rPr>
                <w:rFonts w:ascii="Times New Roman" w:hAnsi="Times New Roman" w:cs="Times New Roman"/>
                <w:b/>
                <w:bCs/>
                <w:spacing w:val="-29"/>
                <w:w w:val="115"/>
                <w:sz w:val="24"/>
                <w:szCs w:val="24"/>
              </w:rPr>
              <w:t xml:space="preserve"> </w:t>
            </w:r>
            <w:r w:rsidRPr="001D1145">
              <w:rPr>
                <w:rFonts w:ascii="Times New Roman" w:hAnsi="Times New Roman" w:cs="Times New Roman"/>
                <w:b/>
                <w:bCs/>
                <w:spacing w:val="-4"/>
                <w:w w:val="115"/>
                <w:sz w:val="24"/>
                <w:szCs w:val="24"/>
              </w:rPr>
              <w:t>Rivalry</w:t>
            </w:r>
            <w:r w:rsidRPr="001D1145">
              <w:rPr>
                <w:rFonts w:ascii="Times New Roman" w:hAnsi="Times New Roman" w:cs="Times New Roman"/>
                <w:b/>
                <w:bCs/>
                <w:spacing w:val="-29"/>
                <w:w w:val="115"/>
                <w:sz w:val="24"/>
                <w:szCs w:val="24"/>
              </w:rPr>
              <w:t xml:space="preserve"> </w:t>
            </w:r>
            <w:r w:rsidRPr="001D1145">
              <w:rPr>
                <w:rFonts w:ascii="Times New Roman" w:hAnsi="Times New Roman" w:cs="Times New Roman"/>
                <w:b/>
                <w:bCs/>
                <w:w w:val="115"/>
                <w:sz w:val="24"/>
                <w:szCs w:val="24"/>
              </w:rPr>
              <w:t>among</w:t>
            </w:r>
            <w:r w:rsidRPr="001D1145">
              <w:rPr>
                <w:rFonts w:ascii="Times New Roman" w:hAnsi="Times New Roman" w:cs="Times New Roman"/>
                <w:b/>
                <w:bCs/>
                <w:spacing w:val="-29"/>
                <w:w w:val="115"/>
                <w:sz w:val="24"/>
                <w:szCs w:val="24"/>
              </w:rPr>
              <w:t xml:space="preserve"> </w:t>
            </w:r>
            <w:r w:rsidRPr="001D1145">
              <w:rPr>
                <w:rFonts w:ascii="Times New Roman" w:hAnsi="Times New Roman" w:cs="Times New Roman"/>
                <w:b/>
                <w:bCs/>
                <w:w w:val="115"/>
                <w:sz w:val="24"/>
                <w:szCs w:val="24"/>
              </w:rPr>
              <w:t>Existing</w:t>
            </w:r>
            <w:r w:rsidRPr="001D1145">
              <w:rPr>
                <w:rFonts w:ascii="Times New Roman" w:hAnsi="Times New Roman" w:cs="Times New Roman"/>
                <w:b/>
                <w:bCs/>
                <w:spacing w:val="-29"/>
                <w:w w:val="115"/>
                <w:sz w:val="24"/>
                <w:szCs w:val="24"/>
              </w:rPr>
              <w:t xml:space="preserve"> </w:t>
            </w:r>
            <w:r w:rsidRPr="001D1145">
              <w:rPr>
                <w:rFonts w:ascii="Times New Roman" w:hAnsi="Times New Roman" w:cs="Times New Roman"/>
                <w:b/>
                <w:bCs/>
                <w:w w:val="115"/>
                <w:sz w:val="24"/>
                <w:szCs w:val="24"/>
              </w:rPr>
              <w:t>Competitors</w:t>
            </w:r>
          </w:p>
          <w:p w14:paraId="4163EB0D" w14:textId="7B340306" w:rsidR="00365E59" w:rsidRPr="00446A7D" w:rsidRDefault="00365E59" w:rsidP="00446A7D">
            <w:pPr>
              <w:widowControl/>
              <w:rPr>
                <w:rFonts w:ascii="Times New Roman" w:eastAsia="Times New Roman" w:hAnsi="Times New Roman" w:cs="Times New Roman"/>
                <w:b/>
                <w:bCs/>
                <w:i/>
                <w:iCs/>
                <w:color w:val="000000"/>
                <w:sz w:val="20"/>
                <w:szCs w:val="20"/>
              </w:rPr>
            </w:pPr>
          </w:p>
        </w:tc>
        <w:tc>
          <w:tcPr>
            <w:tcW w:w="1136" w:type="pct"/>
            <w:tcBorders>
              <w:top w:val="single" w:sz="8" w:space="0" w:color="auto"/>
              <w:left w:val="nil"/>
              <w:bottom w:val="single" w:sz="8" w:space="0" w:color="auto"/>
              <w:right w:val="nil"/>
            </w:tcBorders>
            <w:shd w:val="clear" w:color="auto" w:fill="auto"/>
            <w:vAlign w:val="center"/>
            <w:hideMark/>
          </w:tcPr>
          <w:p w14:paraId="0ECD0333" w14:textId="77777777" w:rsidR="00365E59" w:rsidRDefault="00365E59" w:rsidP="00446A7D">
            <w:pPr>
              <w:widowControl/>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Current</w:t>
            </w:r>
            <w:r>
              <w:rPr>
                <w:rFonts w:ascii="Times New Roman" w:eastAsia="Times New Roman" w:hAnsi="Times New Roman" w:cs="Times New Roman"/>
                <w:b/>
                <w:bCs/>
                <w:i/>
                <w:iCs/>
                <w:color w:val="000000"/>
                <w:sz w:val="24"/>
                <w:szCs w:val="24"/>
              </w:rPr>
              <w:t xml:space="preserve"> </w:t>
            </w:r>
          </w:p>
          <w:p w14:paraId="11139821" w14:textId="02C65C3B" w:rsidR="00365E59" w:rsidRPr="00446A7D" w:rsidRDefault="00365E59" w:rsidP="00446A7D">
            <w:pPr>
              <w:widowControl/>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Trend</w:t>
            </w:r>
          </w:p>
        </w:tc>
        <w:tc>
          <w:tcPr>
            <w:tcW w:w="746" w:type="pct"/>
            <w:tcBorders>
              <w:top w:val="single" w:sz="8" w:space="0" w:color="auto"/>
              <w:left w:val="nil"/>
              <w:bottom w:val="single" w:sz="8" w:space="0" w:color="auto"/>
              <w:right w:val="nil"/>
            </w:tcBorders>
            <w:shd w:val="clear" w:color="auto" w:fill="auto"/>
            <w:vAlign w:val="center"/>
            <w:hideMark/>
          </w:tcPr>
          <w:p w14:paraId="37BFD91E" w14:textId="77777777" w:rsidR="00365E59" w:rsidRPr="00446A7D" w:rsidRDefault="00365E59" w:rsidP="00446A7D">
            <w:pPr>
              <w:widowControl/>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Future Trend</w:t>
            </w:r>
          </w:p>
        </w:tc>
      </w:tr>
      <w:tr w:rsidR="00365E59" w:rsidRPr="00446A7D" w14:paraId="019FCFEA" w14:textId="77777777" w:rsidTr="00365E59">
        <w:trPr>
          <w:trHeight w:val="290"/>
        </w:trPr>
        <w:tc>
          <w:tcPr>
            <w:tcW w:w="3118" w:type="pct"/>
            <w:tcBorders>
              <w:top w:val="nil"/>
              <w:left w:val="nil"/>
              <w:bottom w:val="nil"/>
              <w:right w:val="nil"/>
            </w:tcBorders>
            <w:shd w:val="clear" w:color="auto" w:fill="auto"/>
            <w:vAlign w:val="center"/>
            <w:hideMark/>
          </w:tcPr>
          <w:p w14:paraId="54CF4CA6"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Degree of seller concentration?</w:t>
            </w:r>
          </w:p>
        </w:tc>
        <w:tc>
          <w:tcPr>
            <w:tcW w:w="1136" w:type="pct"/>
            <w:tcBorders>
              <w:top w:val="nil"/>
              <w:left w:val="nil"/>
              <w:bottom w:val="nil"/>
              <w:right w:val="nil"/>
            </w:tcBorders>
            <w:shd w:val="clear" w:color="auto" w:fill="auto"/>
            <w:vAlign w:val="center"/>
            <w:hideMark/>
          </w:tcPr>
          <w:p w14:paraId="68023272"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3756379A"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6EFB6B33" w14:textId="77777777" w:rsidTr="00365E59">
        <w:trPr>
          <w:trHeight w:val="290"/>
        </w:trPr>
        <w:tc>
          <w:tcPr>
            <w:tcW w:w="3118" w:type="pct"/>
            <w:tcBorders>
              <w:top w:val="nil"/>
              <w:left w:val="nil"/>
              <w:bottom w:val="nil"/>
              <w:right w:val="nil"/>
            </w:tcBorders>
            <w:shd w:val="clear" w:color="auto" w:fill="auto"/>
            <w:vAlign w:val="center"/>
            <w:hideMark/>
          </w:tcPr>
          <w:p w14:paraId="6AF7E3A0"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Rate of industry growth?</w:t>
            </w:r>
          </w:p>
        </w:tc>
        <w:tc>
          <w:tcPr>
            <w:tcW w:w="1136" w:type="pct"/>
            <w:tcBorders>
              <w:top w:val="nil"/>
              <w:left w:val="nil"/>
              <w:bottom w:val="nil"/>
              <w:right w:val="nil"/>
            </w:tcBorders>
            <w:shd w:val="clear" w:color="auto" w:fill="auto"/>
            <w:vAlign w:val="center"/>
            <w:hideMark/>
          </w:tcPr>
          <w:p w14:paraId="4EDCD7D2"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0950773F"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536ED552" w14:textId="77777777" w:rsidTr="00365E59">
        <w:trPr>
          <w:trHeight w:val="290"/>
        </w:trPr>
        <w:tc>
          <w:tcPr>
            <w:tcW w:w="3118" w:type="pct"/>
            <w:tcBorders>
              <w:top w:val="nil"/>
              <w:left w:val="nil"/>
              <w:bottom w:val="nil"/>
              <w:right w:val="nil"/>
            </w:tcBorders>
            <w:shd w:val="clear" w:color="auto" w:fill="auto"/>
            <w:vAlign w:val="center"/>
            <w:hideMark/>
          </w:tcPr>
          <w:p w14:paraId="3E4C7006"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Significant cost differences among firms?</w:t>
            </w:r>
          </w:p>
        </w:tc>
        <w:tc>
          <w:tcPr>
            <w:tcW w:w="1136" w:type="pct"/>
            <w:tcBorders>
              <w:top w:val="nil"/>
              <w:left w:val="nil"/>
              <w:bottom w:val="nil"/>
              <w:right w:val="nil"/>
            </w:tcBorders>
            <w:shd w:val="clear" w:color="auto" w:fill="auto"/>
            <w:vAlign w:val="center"/>
            <w:hideMark/>
          </w:tcPr>
          <w:p w14:paraId="62574074"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485080ED"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r>
      <w:tr w:rsidR="00365E59" w:rsidRPr="00446A7D" w14:paraId="492E7DD2" w14:textId="77777777" w:rsidTr="00365E59">
        <w:trPr>
          <w:trHeight w:val="290"/>
        </w:trPr>
        <w:tc>
          <w:tcPr>
            <w:tcW w:w="3118" w:type="pct"/>
            <w:tcBorders>
              <w:top w:val="nil"/>
              <w:left w:val="nil"/>
              <w:bottom w:val="nil"/>
              <w:right w:val="nil"/>
            </w:tcBorders>
            <w:shd w:val="clear" w:color="auto" w:fill="auto"/>
            <w:vAlign w:val="center"/>
            <w:hideMark/>
          </w:tcPr>
          <w:p w14:paraId="5DFA80BB"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Excess capacity?</w:t>
            </w:r>
          </w:p>
        </w:tc>
        <w:tc>
          <w:tcPr>
            <w:tcW w:w="1136" w:type="pct"/>
            <w:tcBorders>
              <w:top w:val="nil"/>
              <w:left w:val="nil"/>
              <w:bottom w:val="nil"/>
              <w:right w:val="nil"/>
            </w:tcBorders>
            <w:shd w:val="clear" w:color="auto" w:fill="auto"/>
            <w:vAlign w:val="center"/>
            <w:hideMark/>
          </w:tcPr>
          <w:p w14:paraId="464309F8"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14E25047"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r>
      <w:tr w:rsidR="00365E59" w:rsidRPr="00446A7D" w14:paraId="074AE6BA" w14:textId="77777777" w:rsidTr="00365E59">
        <w:trPr>
          <w:trHeight w:val="520"/>
        </w:trPr>
        <w:tc>
          <w:tcPr>
            <w:tcW w:w="3118" w:type="pct"/>
            <w:tcBorders>
              <w:top w:val="nil"/>
              <w:left w:val="nil"/>
              <w:bottom w:val="nil"/>
              <w:right w:val="nil"/>
            </w:tcBorders>
            <w:shd w:val="clear" w:color="auto" w:fill="auto"/>
            <w:vAlign w:val="center"/>
            <w:hideMark/>
          </w:tcPr>
          <w:p w14:paraId="179DCCD0"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Cost structure of firms: sensitivity of costs to capacity utilization?</w:t>
            </w:r>
          </w:p>
        </w:tc>
        <w:tc>
          <w:tcPr>
            <w:tcW w:w="1136" w:type="pct"/>
            <w:tcBorders>
              <w:top w:val="nil"/>
              <w:left w:val="nil"/>
              <w:bottom w:val="nil"/>
              <w:right w:val="nil"/>
            </w:tcBorders>
            <w:shd w:val="clear" w:color="auto" w:fill="auto"/>
            <w:vAlign w:val="center"/>
            <w:hideMark/>
          </w:tcPr>
          <w:p w14:paraId="3F5C74FB"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59009B19"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2809CBFD" w14:textId="77777777" w:rsidTr="00365E59">
        <w:trPr>
          <w:trHeight w:val="780"/>
        </w:trPr>
        <w:tc>
          <w:tcPr>
            <w:tcW w:w="3118" w:type="pct"/>
            <w:tcBorders>
              <w:top w:val="nil"/>
              <w:left w:val="nil"/>
              <w:bottom w:val="nil"/>
              <w:right w:val="nil"/>
            </w:tcBorders>
            <w:shd w:val="clear" w:color="auto" w:fill="auto"/>
            <w:vAlign w:val="center"/>
            <w:hideMark/>
          </w:tcPr>
          <w:p w14:paraId="5F821C79"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Degree of product differentiation among sellers? Brand loyalty to existing sellers? Cross-price elasticities of demand among competitors in industry?</w:t>
            </w:r>
          </w:p>
        </w:tc>
        <w:tc>
          <w:tcPr>
            <w:tcW w:w="1136" w:type="pct"/>
            <w:tcBorders>
              <w:top w:val="nil"/>
              <w:left w:val="nil"/>
              <w:bottom w:val="nil"/>
              <w:right w:val="nil"/>
            </w:tcBorders>
            <w:shd w:val="clear" w:color="auto" w:fill="auto"/>
            <w:vAlign w:val="center"/>
            <w:hideMark/>
          </w:tcPr>
          <w:p w14:paraId="02931FF8"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613E2477"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5C4E24D1" w14:textId="77777777" w:rsidTr="00365E59">
        <w:trPr>
          <w:trHeight w:val="290"/>
        </w:trPr>
        <w:tc>
          <w:tcPr>
            <w:tcW w:w="3118" w:type="pct"/>
            <w:tcBorders>
              <w:top w:val="nil"/>
              <w:left w:val="nil"/>
              <w:bottom w:val="nil"/>
              <w:right w:val="nil"/>
            </w:tcBorders>
            <w:shd w:val="clear" w:color="auto" w:fill="auto"/>
            <w:vAlign w:val="center"/>
            <w:hideMark/>
          </w:tcPr>
          <w:p w14:paraId="1AE382D4"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Buyers’ costs of switching from one competitor to another?</w:t>
            </w:r>
          </w:p>
        </w:tc>
        <w:tc>
          <w:tcPr>
            <w:tcW w:w="1136" w:type="pct"/>
            <w:tcBorders>
              <w:top w:val="nil"/>
              <w:left w:val="nil"/>
              <w:bottom w:val="nil"/>
              <w:right w:val="nil"/>
            </w:tcBorders>
            <w:shd w:val="clear" w:color="auto" w:fill="auto"/>
            <w:vAlign w:val="center"/>
            <w:hideMark/>
          </w:tcPr>
          <w:p w14:paraId="25845F84"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6251198D"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r>
      <w:tr w:rsidR="00365E59" w:rsidRPr="00446A7D" w14:paraId="76F2F8E6" w14:textId="77777777" w:rsidTr="00365E59">
        <w:trPr>
          <w:trHeight w:val="290"/>
        </w:trPr>
        <w:tc>
          <w:tcPr>
            <w:tcW w:w="3118" w:type="pct"/>
            <w:tcBorders>
              <w:top w:val="nil"/>
              <w:left w:val="nil"/>
              <w:bottom w:val="nil"/>
              <w:right w:val="nil"/>
            </w:tcBorders>
            <w:shd w:val="clear" w:color="auto" w:fill="auto"/>
            <w:vAlign w:val="center"/>
            <w:hideMark/>
          </w:tcPr>
          <w:p w14:paraId="3CE743A9"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Are prices and terms of sales transactions observable?</w:t>
            </w:r>
          </w:p>
        </w:tc>
        <w:tc>
          <w:tcPr>
            <w:tcW w:w="1136" w:type="pct"/>
            <w:tcBorders>
              <w:top w:val="nil"/>
              <w:left w:val="nil"/>
              <w:bottom w:val="nil"/>
              <w:right w:val="nil"/>
            </w:tcBorders>
            <w:shd w:val="clear" w:color="auto" w:fill="auto"/>
            <w:vAlign w:val="center"/>
            <w:hideMark/>
          </w:tcPr>
          <w:p w14:paraId="2F02D415"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1A8EE4FA"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3C8F0082" w14:textId="77777777" w:rsidTr="00365E59">
        <w:trPr>
          <w:trHeight w:val="290"/>
        </w:trPr>
        <w:tc>
          <w:tcPr>
            <w:tcW w:w="3118" w:type="pct"/>
            <w:tcBorders>
              <w:top w:val="nil"/>
              <w:left w:val="nil"/>
              <w:bottom w:val="nil"/>
              <w:right w:val="nil"/>
            </w:tcBorders>
            <w:shd w:val="clear" w:color="auto" w:fill="auto"/>
            <w:vAlign w:val="center"/>
            <w:hideMark/>
          </w:tcPr>
          <w:p w14:paraId="62438497"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Can firms adjust prices quickly?</w:t>
            </w:r>
          </w:p>
        </w:tc>
        <w:tc>
          <w:tcPr>
            <w:tcW w:w="1136" w:type="pct"/>
            <w:tcBorders>
              <w:top w:val="nil"/>
              <w:left w:val="nil"/>
              <w:bottom w:val="nil"/>
              <w:right w:val="nil"/>
            </w:tcBorders>
            <w:shd w:val="clear" w:color="auto" w:fill="auto"/>
            <w:vAlign w:val="center"/>
            <w:hideMark/>
          </w:tcPr>
          <w:p w14:paraId="3ACAC43A"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0FD6BFF6"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49187F29" w14:textId="77777777" w:rsidTr="00365E59">
        <w:trPr>
          <w:trHeight w:val="290"/>
        </w:trPr>
        <w:tc>
          <w:tcPr>
            <w:tcW w:w="3118" w:type="pct"/>
            <w:tcBorders>
              <w:top w:val="nil"/>
              <w:left w:val="nil"/>
              <w:bottom w:val="nil"/>
              <w:right w:val="nil"/>
            </w:tcBorders>
            <w:shd w:val="clear" w:color="auto" w:fill="auto"/>
            <w:vAlign w:val="center"/>
            <w:hideMark/>
          </w:tcPr>
          <w:p w14:paraId="55134149"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Large and/or infrequent sales orders?</w:t>
            </w:r>
          </w:p>
        </w:tc>
        <w:tc>
          <w:tcPr>
            <w:tcW w:w="1136" w:type="pct"/>
            <w:tcBorders>
              <w:top w:val="nil"/>
              <w:left w:val="nil"/>
              <w:bottom w:val="nil"/>
              <w:right w:val="nil"/>
            </w:tcBorders>
            <w:shd w:val="clear" w:color="auto" w:fill="auto"/>
            <w:vAlign w:val="center"/>
            <w:hideMark/>
          </w:tcPr>
          <w:p w14:paraId="7BE1B115"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c>
          <w:tcPr>
            <w:tcW w:w="746" w:type="pct"/>
            <w:tcBorders>
              <w:top w:val="nil"/>
              <w:left w:val="nil"/>
              <w:bottom w:val="nil"/>
              <w:right w:val="nil"/>
            </w:tcBorders>
            <w:shd w:val="clear" w:color="auto" w:fill="auto"/>
            <w:vAlign w:val="center"/>
            <w:hideMark/>
          </w:tcPr>
          <w:p w14:paraId="1C537768"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r>
      <w:tr w:rsidR="00365E59" w:rsidRPr="00446A7D" w14:paraId="75E126DA" w14:textId="77777777" w:rsidTr="00365E59">
        <w:trPr>
          <w:trHeight w:val="520"/>
        </w:trPr>
        <w:tc>
          <w:tcPr>
            <w:tcW w:w="3118" w:type="pct"/>
            <w:tcBorders>
              <w:top w:val="nil"/>
              <w:left w:val="nil"/>
              <w:bottom w:val="nil"/>
              <w:right w:val="nil"/>
            </w:tcBorders>
            <w:shd w:val="clear" w:color="auto" w:fill="auto"/>
            <w:vAlign w:val="center"/>
            <w:hideMark/>
          </w:tcPr>
          <w:p w14:paraId="4BD33271"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Use of “facilitating practices” (price leadership, advance announcement of price changes)?</w:t>
            </w:r>
          </w:p>
        </w:tc>
        <w:tc>
          <w:tcPr>
            <w:tcW w:w="1136" w:type="pct"/>
            <w:tcBorders>
              <w:top w:val="nil"/>
              <w:left w:val="nil"/>
              <w:bottom w:val="nil"/>
              <w:right w:val="nil"/>
            </w:tcBorders>
            <w:shd w:val="clear" w:color="auto" w:fill="auto"/>
            <w:vAlign w:val="center"/>
            <w:hideMark/>
          </w:tcPr>
          <w:p w14:paraId="251C131A"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4115A17E"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r>
      <w:tr w:rsidR="00365E59" w:rsidRPr="00446A7D" w14:paraId="38C709BB" w14:textId="77777777" w:rsidTr="00365E59">
        <w:trPr>
          <w:trHeight w:val="290"/>
        </w:trPr>
        <w:tc>
          <w:tcPr>
            <w:tcW w:w="3118" w:type="pct"/>
            <w:tcBorders>
              <w:top w:val="nil"/>
              <w:left w:val="nil"/>
              <w:bottom w:val="nil"/>
              <w:right w:val="nil"/>
            </w:tcBorders>
            <w:shd w:val="clear" w:color="auto" w:fill="auto"/>
            <w:vAlign w:val="center"/>
            <w:hideMark/>
          </w:tcPr>
          <w:p w14:paraId="599C6F5B"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History of “cooperative” pricing?</w:t>
            </w:r>
          </w:p>
        </w:tc>
        <w:tc>
          <w:tcPr>
            <w:tcW w:w="1136" w:type="pct"/>
            <w:tcBorders>
              <w:top w:val="nil"/>
              <w:left w:val="nil"/>
              <w:bottom w:val="nil"/>
              <w:right w:val="nil"/>
            </w:tcBorders>
            <w:shd w:val="clear" w:color="auto" w:fill="auto"/>
            <w:vAlign w:val="center"/>
            <w:hideMark/>
          </w:tcPr>
          <w:p w14:paraId="0F919E7C"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c>
          <w:tcPr>
            <w:tcW w:w="746" w:type="pct"/>
            <w:tcBorders>
              <w:top w:val="nil"/>
              <w:left w:val="nil"/>
              <w:bottom w:val="nil"/>
              <w:right w:val="nil"/>
            </w:tcBorders>
            <w:shd w:val="clear" w:color="auto" w:fill="auto"/>
            <w:vAlign w:val="center"/>
            <w:hideMark/>
          </w:tcPr>
          <w:p w14:paraId="6079B950"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r>
      <w:tr w:rsidR="00365E59" w:rsidRPr="00446A7D" w14:paraId="24CC0993" w14:textId="77777777" w:rsidTr="00365E59">
        <w:trPr>
          <w:trHeight w:val="290"/>
        </w:trPr>
        <w:tc>
          <w:tcPr>
            <w:tcW w:w="3118" w:type="pct"/>
            <w:tcBorders>
              <w:top w:val="nil"/>
              <w:left w:val="nil"/>
              <w:bottom w:val="nil"/>
              <w:right w:val="nil"/>
            </w:tcBorders>
            <w:shd w:val="clear" w:color="auto" w:fill="auto"/>
            <w:vAlign w:val="center"/>
            <w:hideMark/>
          </w:tcPr>
          <w:p w14:paraId="46CD1257"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Strength of exit barriers?</w:t>
            </w:r>
          </w:p>
        </w:tc>
        <w:tc>
          <w:tcPr>
            <w:tcW w:w="1136" w:type="pct"/>
            <w:tcBorders>
              <w:top w:val="nil"/>
              <w:left w:val="nil"/>
              <w:bottom w:val="nil"/>
              <w:right w:val="nil"/>
            </w:tcBorders>
            <w:shd w:val="clear" w:color="auto" w:fill="auto"/>
            <w:vAlign w:val="center"/>
            <w:hideMark/>
          </w:tcPr>
          <w:p w14:paraId="371CD93C"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68C69196"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57EA5C7A" w14:textId="77777777" w:rsidTr="00365E59">
        <w:trPr>
          <w:trHeight w:val="290"/>
        </w:trPr>
        <w:tc>
          <w:tcPr>
            <w:tcW w:w="3118" w:type="pct"/>
            <w:tcBorders>
              <w:top w:val="nil"/>
              <w:left w:val="nil"/>
              <w:bottom w:val="single" w:sz="4" w:space="0" w:color="auto"/>
              <w:right w:val="nil"/>
            </w:tcBorders>
            <w:shd w:val="clear" w:color="auto" w:fill="auto"/>
            <w:vAlign w:val="center"/>
            <w:hideMark/>
          </w:tcPr>
          <w:p w14:paraId="42981D53" w14:textId="77777777" w:rsidR="00365E59" w:rsidRPr="00446A7D" w:rsidRDefault="00365E59" w:rsidP="00446A7D">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High industry price elasticity of demand?</w:t>
            </w:r>
          </w:p>
        </w:tc>
        <w:tc>
          <w:tcPr>
            <w:tcW w:w="1136" w:type="pct"/>
            <w:tcBorders>
              <w:top w:val="nil"/>
              <w:left w:val="nil"/>
              <w:bottom w:val="single" w:sz="4" w:space="0" w:color="auto"/>
              <w:right w:val="nil"/>
            </w:tcBorders>
            <w:shd w:val="clear" w:color="auto" w:fill="auto"/>
            <w:vAlign w:val="center"/>
            <w:hideMark/>
          </w:tcPr>
          <w:p w14:paraId="6F0D2090"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single" w:sz="4" w:space="0" w:color="auto"/>
              <w:right w:val="nil"/>
            </w:tcBorders>
            <w:shd w:val="clear" w:color="auto" w:fill="auto"/>
            <w:vAlign w:val="center"/>
            <w:hideMark/>
          </w:tcPr>
          <w:p w14:paraId="65A722AE" w14:textId="77777777" w:rsidR="00365E59" w:rsidRPr="00446A7D" w:rsidRDefault="00365E59" w:rsidP="00446A7D">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4782075B" w14:textId="77777777" w:rsidTr="00365E59">
        <w:trPr>
          <w:trHeight w:val="290"/>
        </w:trPr>
        <w:tc>
          <w:tcPr>
            <w:tcW w:w="3118" w:type="pct"/>
            <w:tcBorders>
              <w:top w:val="single" w:sz="4" w:space="0" w:color="auto"/>
              <w:left w:val="nil"/>
              <w:bottom w:val="single" w:sz="4" w:space="0" w:color="auto"/>
              <w:right w:val="nil"/>
            </w:tcBorders>
            <w:shd w:val="clear" w:color="auto" w:fill="auto"/>
            <w:vAlign w:val="center"/>
            <w:hideMark/>
          </w:tcPr>
          <w:p w14:paraId="4236A23C" w14:textId="77777777" w:rsidR="00365E59" w:rsidRPr="001D1145" w:rsidRDefault="00365E59" w:rsidP="00C233A7">
            <w:pPr>
              <w:rPr>
                <w:rFonts w:ascii="Times New Roman" w:hAnsi="Times New Roman" w:cs="Times New Roman"/>
                <w:b/>
                <w:bCs/>
                <w:i/>
                <w:w w:val="120"/>
                <w:sz w:val="24"/>
                <w:szCs w:val="24"/>
              </w:rPr>
            </w:pPr>
            <w:r w:rsidRPr="001D1145">
              <w:rPr>
                <w:rFonts w:ascii="Times New Roman" w:hAnsi="Times New Roman" w:cs="Times New Roman"/>
                <w:b/>
                <w:bCs/>
                <w:spacing w:val="-4"/>
                <w:w w:val="120"/>
                <w:sz w:val="24"/>
                <w:szCs w:val="24"/>
              </w:rPr>
              <w:t>Factors</w:t>
            </w:r>
            <w:r w:rsidRPr="001D1145">
              <w:rPr>
                <w:rFonts w:ascii="Times New Roman" w:hAnsi="Times New Roman" w:cs="Times New Roman"/>
                <w:b/>
                <w:bCs/>
                <w:spacing w:val="-23"/>
                <w:w w:val="120"/>
                <w:sz w:val="24"/>
                <w:szCs w:val="24"/>
              </w:rPr>
              <w:t xml:space="preserve"> </w:t>
            </w:r>
            <w:r w:rsidRPr="001D1145">
              <w:rPr>
                <w:rFonts w:ascii="Times New Roman" w:hAnsi="Times New Roman" w:cs="Times New Roman"/>
                <w:b/>
                <w:bCs/>
                <w:w w:val="120"/>
                <w:sz w:val="24"/>
                <w:szCs w:val="24"/>
              </w:rPr>
              <w:t>Affecting</w:t>
            </w:r>
            <w:r w:rsidRPr="001D1145">
              <w:rPr>
                <w:rFonts w:ascii="Times New Roman" w:hAnsi="Times New Roman" w:cs="Times New Roman"/>
                <w:b/>
                <w:bCs/>
                <w:spacing w:val="-17"/>
                <w:w w:val="120"/>
                <w:sz w:val="24"/>
                <w:szCs w:val="24"/>
              </w:rPr>
              <w:t xml:space="preserve"> </w:t>
            </w:r>
            <w:r w:rsidRPr="001D1145">
              <w:rPr>
                <w:rFonts w:ascii="Times New Roman" w:hAnsi="Times New Roman" w:cs="Times New Roman"/>
                <w:b/>
                <w:bCs/>
                <w:w w:val="120"/>
                <w:sz w:val="24"/>
                <w:szCs w:val="24"/>
              </w:rPr>
              <w:t>the</w:t>
            </w:r>
            <w:r w:rsidRPr="001D1145">
              <w:rPr>
                <w:rFonts w:ascii="Times New Roman" w:hAnsi="Times New Roman" w:cs="Times New Roman"/>
                <w:b/>
                <w:bCs/>
                <w:spacing w:val="-23"/>
                <w:w w:val="120"/>
                <w:sz w:val="24"/>
                <w:szCs w:val="24"/>
              </w:rPr>
              <w:t xml:space="preserve"> </w:t>
            </w:r>
            <w:r w:rsidRPr="001D1145">
              <w:rPr>
                <w:rFonts w:ascii="Times New Roman" w:hAnsi="Times New Roman" w:cs="Times New Roman"/>
                <w:b/>
                <w:bCs/>
                <w:i/>
                <w:spacing w:val="-8"/>
                <w:w w:val="120"/>
                <w:sz w:val="24"/>
                <w:szCs w:val="24"/>
              </w:rPr>
              <w:t>Threat</w:t>
            </w:r>
            <w:r w:rsidRPr="001D1145">
              <w:rPr>
                <w:rFonts w:ascii="Times New Roman" w:hAnsi="Times New Roman" w:cs="Times New Roman"/>
                <w:b/>
                <w:bCs/>
                <w:i/>
                <w:spacing w:val="-17"/>
                <w:w w:val="120"/>
                <w:sz w:val="24"/>
                <w:szCs w:val="24"/>
              </w:rPr>
              <w:t xml:space="preserve"> </w:t>
            </w:r>
            <w:r w:rsidRPr="001D1145">
              <w:rPr>
                <w:rFonts w:ascii="Times New Roman" w:hAnsi="Times New Roman" w:cs="Times New Roman"/>
                <w:b/>
                <w:bCs/>
                <w:i/>
                <w:w w:val="120"/>
                <w:sz w:val="24"/>
                <w:szCs w:val="24"/>
              </w:rPr>
              <w:t>of</w:t>
            </w:r>
            <w:r w:rsidRPr="001D1145">
              <w:rPr>
                <w:rFonts w:ascii="Times New Roman" w:hAnsi="Times New Roman" w:cs="Times New Roman"/>
                <w:b/>
                <w:bCs/>
                <w:i/>
                <w:spacing w:val="-17"/>
                <w:w w:val="120"/>
                <w:sz w:val="24"/>
                <w:szCs w:val="24"/>
              </w:rPr>
              <w:t xml:space="preserve"> </w:t>
            </w:r>
            <w:r w:rsidRPr="001D1145">
              <w:rPr>
                <w:rFonts w:ascii="Times New Roman" w:hAnsi="Times New Roman" w:cs="Times New Roman"/>
                <w:b/>
                <w:bCs/>
                <w:i/>
                <w:w w:val="120"/>
                <w:sz w:val="24"/>
                <w:szCs w:val="24"/>
              </w:rPr>
              <w:t>Entry</w:t>
            </w:r>
          </w:p>
          <w:p w14:paraId="54EAAA68" w14:textId="7E1164BD" w:rsidR="00365E59" w:rsidRPr="00446A7D" w:rsidRDefault="00365E59" w:rsidP="00C233A7">
            <w:pPr>
              <w:widowControl/>
              <w:rPr>
                <w:rFonts w:ascii="Times New Roman" w:eastAsia="Times New Roman" w:hAnsi="Times New Roman" w:cs="Times New Roman"/>
                <w:color w:val="000000"/>
                <w:sz w:val="20"/>
                <w:szCs w:val="20"/>
              </w:rPr>
            </w:pPr>
          </w:p>
        </w:tc>
        <w:tc>
          <w:tcPr>
            <w:tcW w:w="1136" w:type="pct"/>
            <w:tcBorders>
              <w:top w:val="single" w:sz="4" w:space="0" w:color="auto"/>
              <w:left w:val="nil"/>
              <w:bottom w:val="single" w:sz="4" w:space="0" w:color="auto"/>
              <w:right w:val="nil"/>
            </w:tcBorders>
            <w:shd w:val="clear" w:color="auto" w:fill="auto"/>
            <w:vAlign w:val="center"/>
            <w:hideMark/>
          </w:tcPr>
          <w:p w14:paraId="137C52D6" w14:textId="77777777" w:rsidR="00365E59" w:rsidRDefault="00365E59" w:rsidP="00C233A7">
            <w:pPr>
              <w:widowControl/>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Current</w:t>
            </w:r>
            <w:r>
              <w:rPr>
                <w:rFonts w:ascii="Times New Roman" w:eastAsia="Times New Roman" w:hAnsi="Times New Roman" w:cs="Times New Roman"/>
                <w:b/>
                <w:bCs/>
                <w:i/>
                <w:iCs/>
                <w:color w:val="000000"/>
                <w:sz w:val="24"/>
                <w:szCs w:val="24"/>
              </w:rPr>
              <w:t xml:space="preserve"> </w:t>
            </w:r>
          </w:p>
          <w:p w14:paraId="703B60D8" w14:textId="2382A686" w:rsidR="00365E59" w:rsidRPr="00446A7D" w:rsidRDefault="00365E59" w:rsidP="00C233A7">
            <w:pPr>
              <w:widowControl/>
              <w:rPr>
                <w:rFonts w:ascii="Times New Roman" w:eastAsia="Times New Roman" w:hAnsi="Times New Roman" w:cs="Times New Roman"/>
                <w:color w:val="000000"/>
              </w:rPr>
            </w:pPr>
            <w:r>
              <w:rPr>
                <w:rFonts w:ascii="Times New Roman" w:eastAsia="Times New Roman" w:hAnsi="Times New Roman" w:cs="Times New Roman"/>
                <w:b/>
                <w:bCs/>
                <w:i/>
                <w:iCs/>
                <w:color w:val="000000"/>
                <w:sz w:val="24"/>
                <w:szCs w:val="24"/>
              </w:rPr>
              <w:t>Trend</w:t>
            </w:r>
          </w:p>
        </w:tc>
        <w:tc>
          <w:tcPr>
            <w:tcW w:w="746" w:type="pct"/>
            <w:tcBorders>
              <w:top w:val="single" w:sz="4" w:space="0" w:color="auto"/>
              <w:left w:val="nil"/>
              <w:bottom w:val="single" w:sz="4" w:space="0" w:color="auto"/>
              <w:right w:val="nil"/>
            </w:tcBorders>
            <w:shd w:val="clear" w:color="auto" w:fill="auto"/>
            <w:vAlign w:val="center"/>
            <w:hideMark/>
          </w:tcPr>
          <w:p w14:paraId="30FF26D8" w14:textId="0565FBD8"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b/>
                <w:bCs/>
                <w:i/>
                <w:iCs/>
                <w:color w:val="000000"/>
                <w:sz w:val="24"/>
                <w:szCs w:val="24"/>
              </w:rPr>
              <w:t>Future Trend</w:t>
            </w:r>
          </w:p>
        </w:tc>
      </w:tr>
      <w:tr w:rsidR="00365E59" w:rsidRPr="00446A7D" w14:paraId="5BA778D5" w14:textId="77777777" w:rsidTr="00365E59">
        <w:trPr>
          <w:trHeight w:val="520"/>
        </w:trPr>
        <w:tc>
          <w:tcPr>
            <w:tcW w:w="3118" w:type="pct"/>
            <w:tcBorders>
              <w:top w:val="single" w:sz="4" w:space="0" w:color="auto"/>
              <w:left w:val="nil"/>
              <w:bottom w:val="nil"/>
              <w:right w:val="nil"/>
            </w:tcBorders>
            <w:shd w:val="clear" w:color="auto" w:fill="auto"/>
            <w:vAlign w:val="center"/>
            <w:hideMark/>
          </w:tcPr>
          <w:p w14:paraId="6261148F"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Importance of reputation or established brand loyalties in purchase decision?</w:t>
            </w:r>
          </w:p>
        </w:tc>
        <w:tc>
          <w:tcPr>
            <w:tcW w:w="1136" w:type="pct"/>
            <w:tcBorders>
              <w:top w:val="single" w:sz="4" w:space="0" w:color="auto"/>
              <w:left w:val="nil"/>
              <w:bottom w:val="nil"/>
              <w:right w:val="nil"/>
            </w:tcBorders>
            <w:shd w:val="clear" w:color="auto" w:fill="auto"/>
            <w:vAlign w:val="center"/>
            <w:hideMark/>
          </w:tcPr>
          <w:p w14:paraId="65EE75FB"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single" w:sz="4" w:space="0" w:color="auto"/>
              <w:left w:val="nil"/>
              <w:bottom w:val="nil"/>
              <w:right w:val="nil"/>
            </w:tcBorders>
            <w:shd w:val="clear" w:color="auto" w:fill="auto"/>
            <w:vAlign w:val="center"/>
            <w:hideMark/>
          </w:tcPr>
          <w:p w14:paraId="0831055D"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79ABBC52" w14:textId="77777777" w:rsidTr="00365E59">
        <w:trPr>
          <w:trHeight w:val="290"/>
        </w:trPr>
        <w:tc>
          <w:tcPr>
            <w:tcW w:w="3118" w:type="pct"/>
            <w:tcBorders>
              <w:top w:val="nil"/>
              <w:left w:val="nil"/>
              <w:bottom w:val="nil"/>
              <w:right w:val="nil"/>
            </w:tcBorders>
            <w:shd w:val="clear" w:color="auto" w:fill="auto"/>
            <w:vAlign w:val="center"/>
            <w:hideMark/>
          </w:tcPr>
          <w:p w14:paraId="42D3581F"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Entrants’ access to distribution channels?</w:t>
            </w:r>
          </w:p>
        </w:tc>
        <w:tc>
          <w:tcPr>
            <w:tcW w:w="1136" w:type="pct"/>
            <w:tcBorders>
              <w:top w:val="nil"/>
              <w:left w:val="nil"/>
              <w:bottom w:val="nil"/>
              <w:right w:val="nil"/>
            </w:tcBorders>
            <w:shd w:val="clear" w:color="auto" w:fill="auto"/>
            <w:vAlign w:val="center"/>
            <w:hideMark/>
          </w:tcPr>
          <w:p w14:paraId="33AEF547"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5A047FE8"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r>
      <w:tr w:rsidR="00365E59" w:rsidRPr="00446A7D" w14:paraId="324A6919" w14:textId="77777777" w:rsidTr="00365E59">
        <w:trPr>
          <w:trHeight w:val="290"/>
        </w:trPr>
        <w:tc>
          <w:tcPr>
            <w:tcW w:w="3118" w:type="pct"/>
            <w:tcBorders>
              <w:top w:val="nil"/>
              <w:left w:val="nil"/>
              <w:bottom w:val="nil"/>
              <w:right w:val="nil"/>
            </w:tcBorders>
            <w:shd w:val="clear" w:color="auto" w:fill="auto"/>
            <w:vAlign w:val="center"/>
            <w:hideMark/>
          </w:tcPr>
          <w:p w14:paraId="4C649C36"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Entrants’ access to raw materials?</w:t>
            </w:r>
          </w:p>
        </w:tc>
        <w:tc>
          <w:tcPr>
            <w:tcW w:w="1136" w:type="pct"/>
            <w:tcBorders>
              <w:top w:val="nil"/>
              <w:left w:val="nil"/>
              <w:bottom w:val="nil"/>
              <w:right w:val="nil"/>
            </w:tcBorders>
            <w:shd w:val="clear" w:color="auto" w:fill="auto"/>
            <w:vAlign w:val="center"/>
            <w:hideMark/>
          </w:tcPr>
          <w:p w14:paraId="32E6EBF9"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c>
          <w:tcPr>
            <w:tcW w:w="746" w:type="pct"/>
            <w:tcBorders>
              <w:top w:val="nil"/>
              <w:left w:val="nil"/>
              <w:bottom w:val="nil"/>
              <w:right w:val="nil"/>
            </w:tcBorders>
            <w:shd w:val="clear" w:color="auto" w:fill="auto"/>
            <w:vAlign w:val="center"/>
            <w:hideMark/>
          </w:tcPr>
          <w:p w14:paraId="5FF76E2C"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r>
      <w:tr w:rsidR="00365E59" w:rsidRPr="00446A7D" w14:paraId="603E4C89" w14:textId="77777777" w:rsidTr="00365E59">
        <w:trPr>
          <w:trHeight w:val="290"/>
        </w:trPr>
        <w:tc>
          <w:tcPr>
            <w:tcW w:w="3118" w:type="pct"/>
            <w:tcBorders>
              <w:top w:val="nil"/>
              <w:left w:val="nil"/>
              <w:bottom w:val="nil"/>
              <w:right w:val="nil"/>
            </w:tcBorders>
            <w:shd w:val="clear" w:color="auto" w:fill="auto"/>
            <w:vAlign w:val="center"/>
            <w:hideMark/>
          </w:tcPr>
          <w:p w14:paraId="6BAEB920"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Entrants’ access to technology/know-how?</w:t>
            </w:r>
          </w:p>
        </w:tc>
        <w:tc>
          <w:tcPr>
            <w:tcW w:w="1136" w:type="pct"/>
            <w:tcBorders>
              <w:top w:val="nil"/>
              <w:left w:val="nil"/>
              <w:bottom w:val="nil"/>
              <w:right w:val="nil"/>
            </w:tcBorders>
            <w:shd w:val="clear" w:color="auto" w:fill="auto"/>
            <w:vAlign w:val="center"/>
            <w:hideMark/>
          </w:tcPr>
          <w:p w14:paraId="21B86E52"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3B6D03F9"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48856C54" w14:textId="77777777" w:rsidTr="00365E59">
        <w:trPr>
          <w:trHeight w:val="290"/>
        </w:trPr>
        <w:tc>
          <w:tcPr>
            <w:tcW w:w="3118" w:type="pct"/>
            <w:tcBorders>
              <w:top w:val="nil"/>
              <w:left w:val="nil"/>
              <w:bottom w:val="nil"/>
              <w:right w:val="nil"/>
            </w:tcBorders>
            <w:shd w:val="clear" w:color="auto" w:fill="auto"/>
            <w:vAlign w:val="center"/>
            <w:hideMark/>
          </w:tcPr>
          <w:p w14:paraId="510AFEE2"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Entrants’ access to favorable locations?</w:t>
            </w:r>
          </w:p>
        </w:tc>
        <w:tc>
          <w:tcPr>
            <w:tcW w:w="1136" w:type="pct"/>
            <w:tcBorders>
              <w:top w:val="nil"/>
              <w:left w:val="nil"/>
              <w:bottom w:val="nil"/>
              <w:right w:val="nil"/>
            </w:tcBorders>
            <w:shd w:val="clear" w:color="auto" w:fill="auto"/>
            <w:vAlign w:val="center"/>
            <w:hideMark/>
          </w:tcPr>
          <w:p w14:paraId="2AC2E080"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nil"/>
              <w:right w:val="nil"/>
            </w:tcBorders>
            <w:shd w:val="clear" w:color="auto" w:fill="auto"/>
            <w:vAlign w:val="center"/>
            <w:hideMark/>
          </w:tcPr>
          <w:p w14:paraId="112B6319"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7F5D5DED" w14:textId="77777777" w:rsidTr="00365E59">
        <w:trPr>
          <w:trHeight w:val="290"/>
        </w:trPr>
        <w:tc>
          <w:tcPr>
            <w:tcW w:w="3118" w:type="pct"/>
            <w:tcBorders>
              <w:top w:val="nil"/>
              <w:left w:val="nil"/>
              <w:bottom w:val="nil"/>
              <w:right w:val="nil"/>
            </w:tcBorders>
            <w:shd w:val="clear" w:color="auto" w:fill="auto"/>
            <w:vAlign w:val="center"/>
            <w:hideMark/>
          </w:tcPr>
          <w:p w14:paraId="4199BFD6"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Experience-based advantages of incumbents?</w:t>
            </w:r>
          </w:p>
        </w:tc>
        <w:tc>
          <w:tcPr>
            <w:tcW w:w="1136" w:type="pct"/>
            <w:tcBorders>
              <w:top w:val="nil"/>
              <w:left w:val="nil"/>
              <w:bottom w:val="nil"/>
              <w:right w:val="nil"/>
            </w:tcBorders>
            <w:shd w:val="clear" w:color="auto" w:fill="auto"/>
            <w:vAlign w:val="center"/>
            <w:hideMark/>
          </w:tcPr>
          <w:p w14:paraId="2A249AE6"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59572618"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557ADF82" w14:textId="77777777" w:rsidTr="00365E59">
        <w:trPr>
          <w:trHeight w:val="520"/>
        </w:trPr>
        <w:tc>
          <w:tcPr>
            <w:tcW w:w="3118" w:type="pct"/>
            <w:tcBorders>
              <w:top w:val="nil"/>
              <w:left w:val="nil"/>
              <w:bottom w:val="nil"/>
              <w:right w:val="nil"/>
            </w:tcBorders>
            <w:shd w:val="clear" w:color="auto" w:fill="auto"/>
            <w:vAlign w:val="center"/>
            <w:hideMark/>
          </w:tcPr>
          <w:p w14:paraId="3BE94CED"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Network externalities: demand-side advantages to incumbents from large installed base?</w:t>
            </w:r>
          </w:p>
        </w:tc>
        <w:tc>
          <w:tcPr>
            <w:tcW w:w="1136" w:type="pct"/>
            <w:tcBorders>
              <w:top w:val="nil"/>
              <w:left w:val="nil"/>
              <w:bottom w:val="nil"/>
              <w:right w:val="nil"/>
            </w:tcBorders>
            <w:shd w:val="clear" w:color="auto" w:fill="auto"/>
            <w:vAlign w:val="center"/>
            <w:hideMark/>
          </w:tcPr>
          <w:p w14:paraId="242CC59F"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c>
          <w:tcPr>
            <w:tcW w:w="746" w:type="pct"/>
            <w:tcBorders>
              <w:top w:val="nil"/>
              <w:left w:val="nil"/>
              <w:bottom w:val="nil"/>
              <w:right w:val="nil"/>
            </w:tcBorders>
            <w:shd w:val="clear" w:color="auto" w:fill="auto"/>
            <w:vAlign w:val="center"/>
            <w:hideMark/>
          </w:tcPr>
          <w:p w14:paraId="64A628DF"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3021A667" w14:textId="77777777" w:rsidTr="00365E59">
        <w:trPr>
          <w:trHeight w:val="290"/>
        </w:trPr>
        <w:tc>
          <w:tcPr>
            <w:tcW w:w="3118" w:type="pct"/>
            <w:tcBorders>
              <w:top w:val="nil"/>
              <w:left w:val="nil"/>
              <w:bottom w:val="nil"/>
              <w:right w:val="nil"/>
            </w:tcBorders>
            <w:shd w:val="clear" w:color="auto" w:fill="auto"/>
            <w:vAlign w:val="center"/>
            <w:hideMark/>
          </w:tcPr>
          <w:p w14:paraId="65DD58AA"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Government protection of incumbents?</w:t>
            </w:r>
          </w:p>
        </w:tc>
        <w:tc>
          <w:tcPr>
            <w:tcW w:w="1136" w:type="pct"/>
            <w:tcBorders>
              <w:top w:val="nil"/>
              <w:left w:val="nil"/>
              <w:bottom w:val="nil"/>
              <w:right w:val="nil"/>
            </w:tcBorders>
            <w:shd w:val="clear" w:color="auto" w:fill="auto"/>
            <w:vAlign w:val="center"/>
            <w:hideMark/>
          </w:tcPr>
          <w:p w14:paraId="36858E59"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Low</w:t>
            </w:r>
          </w:p>
        </w:tc>
        <w:tc>
          <w:tcPr>
            <w:tcW w:w="746" w:type="pct"/>
            <w:tcBorders>
              <w:top w:val="nil"/>
              <w:left w:val="nil"/>
              <w:bottom w:val="nil"/>
              <w:right w:val="nil"/>
            </w:tcBorders>
            <w:shd w:val="clear" w:color="auto" w:fill="auto"/>
            <w:vAlign w:val="center"/>
            <w:hideMark/>
          </w:tcPr>
          <w:p w14:paraId="3CB2BDA1"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r>
      <w:tr w:rsidR="00365E59" w:rsidRPr="00446A7D" w14:paraId="0FEA90F0" w14:textId="77777777" w:rsidTr="00365E59">
        <w:trPr>
          <w:trHeight w:val="520"/>
        </w:trPr>
        <w:tc>
          <w:tcPr>
            <w:tcW w:w="3118" w:type="pct"/>
            <w:tcBorders>
              <w:top w:val="nil"/>
              <w:left w:val="nil"/>
              <w:bottom w:val="single" w:sz="4" w:space="0" w:color="auto"/>
              <w:right w:val="nil"/>
            </w:tcBorders>
            <w:shd w:val="clear" w:color="auto" w:fill="auto"/>
            <w:vAlign w:val="center"/>
            <w:hideMark/>
          </w:tcPr>
          <w:p w14:paraId="15F979E3" w14:textId="77777777" w:rsidR="00365E59" w:rsidRPr="00446A7D" w:rsidRDefault="00365E59" w:rsidP="00C233A7">
            <w:pPr>
              <w:widowControl/>
              <w:rPr>
                <w:rFonts w:ascii="Times New Roman" w:eastAsia="Times New Roman" w:hAnsi="Times New Roman" w:cs="Times New Roman"/>
                <w:color w:val="000000"/>
                <w:sz w:val="20"/>
                <w:szCs w:val="20"/>
              </w:rPr>
            </w:pPr>
            <w:r w:rsidRPr="00446A7D">
              <w:rPr>
                <w:rFonts w:ascii="Times New Roman" w:eastAsia="Times New Roman" w:hAnsi="Times New Roman" w:cs="Times New Roman"/>
                <w:color w:val="000000"/>
                <w:sz w:val="20"/>
                <w:szCs w:val="20"/>
              </w:rPr>
              <w:t>Perceptions of entrants about expected retaliation of incumbents/reputations of incumbents for “toughness”?</w:t>
            </w:r>
          </w:p>
        </w:tc>
        <w:tc>
          <w:tcPr>
            <w:tcW w:w="1136" w:type="pct"/>
            <w:tcBorders>
              <w:top w:val="nil"/>
              <w:left w:val="nil"/>
              <w:bottom w:val="single" w:sz="4" w:space="0" w:color="auto"/>
              <w:right w:val="nil"/>
            </w:tcBorders>
            <w:shd w:val="clear" w:color="auto" w:fill="auto"/>
            <w:vAlign w:val="center"/>
            <w:hideMark/>
          </w:tcPr>
          <w:p w14:paraId="23E3E48E"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Moderate</w:t>
            </w:r>
          </w:p>
        </w:tc>
        <w:tc>
          <w:tcPr>
            <w:tcW w:w="746" w:type="pct"/>
            <w:tcBorders>
              <w:top w:val="nil"/>
              <w:left w:val="nil"/>
              <w:bottom w:val="single" w:sz="4" w:space="0" w:color="auto"/>
              <w:right w:val="nil"/>
            </w:tcBorders>
            <w:shd w:val="clear" w:color="auto" w:fill="auto"/>
            <w:vAlign w:val="center"/>
            <w:hideMark/>
          </w:tcPr>
          <w:p w14:paraId="78C3F067" w14:textId="7777777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color w:val="000000"/>
              </w:rPr>
              <w:t>High</w:t>
            </w:r>
          </w:p>
        </w:tc>
      </w:tr>
      <w:tr w:rsidR="00365E59" w:rsidRPr="00446A7D" w14:paraId="5C321CE9" w14:textId="77777777" w:rsidTr="00365E59">
        <w:trPr>
          <w:trHeight w:val="290"/>
        </w:trPr>
        <w:tc>
          <w:tcPr>
            <w:tcW w:w="3118" w:type="pct"/>
            <w:tcBorders>
              <w:top w:val="single" w:sz="4" w:space="0" w:color="auto"/>
              <w:left w:val="nil"/>
              <w:bottom w:val="single" w:sz="4" w:space="0" w:color="auto"/>
              <w:right w:val="nil"/>
            </w:tcBorders>
            <w:shd w:val="clear" w:color="auto" w:fill="auto"/>
            <w:vAlign w:val="center"/>
            <w:hideMark/>
          </w:tcPr>
          <w:p w14:paraId="4C6AD3C2" w14:textId="77777777" w:rsidR="00365E59" w:rsidRDefault="00365E59" w:rsidP="00C233A7">
            <w:pPr>
              <w:rPr>
                <w:rFonts w:ascii="Times New Roman" w:hAnsi="Times New Roman" w:cs="Times New Roman"/>
                <w:b/>
                <w:bCs/>
                <w:w w:val="120"/>
                <w:sz w:val="24"/>
                <w:szCs w:val="24"/>
              </w:rPr>
            </w:pPr>
            <w:r w:rsidRPr="001D1145">
              <w:rPr>
                <w:rFonts w:ascii="Times New Roman" w:hAnsi="Times New Roman" w:cs="Times New Roman"/>
                <w:b/>
                <w:bCs/>
                <w:w w:val="120"/>
                <w:sz w:val="24"/>
                <w:szCs w:val="24"/>
              </w:rPr>
              <w:t>Factors Affecting or Reflecting Pressure from Substitute Products and Support from Complements</w:t>
            </w:r>
          </w:p>
          <w:p w14:paraId="34C701DB" w14:textId="2C073306" w:rsidR="00365E59" w:rsidRPr="00446A7D" w:rsidRDefault="00365E59" w:rsidP="00C233A7">
            <w:pPr>
              <w:widowControl/>
              <w:jc w:val="center"/>
              <w:rPr>
                <w:rFonts w:ascii="Times New Roman" w:eastAsia="Times New Roman" w:hAnsi="Times New Roman" w:cs="Times New Roman"/>
                <w:color w:val="000000"/>
                <w:sz w:val="20"/>
                <w:szCs w:val="20"/>
              </w:rPr>
            </w:pPr>
          </w:p>
        </w:tc>
        <w:tc>
          <w:tcPr>
            <w:tcW w:w="1136" w:type="pct"/>
            <w:tcBorders>
              <w:top w:val="single" w:sz="4" w:space="0" w:color="auto"/>
              <w:left w:val="nil"/>
              <w:bottom w:val="single" w:sz="4" w:space="0" w:color="auto"/>
              <w:right w:val="nil"/>
            </w:tcBorders>
            <w:shd w:val="clear" w:color="auto" w:fill="auto"/>
            <w:vAlign w:val="center"/>
            <w:hideMark/>
          </w:tcPr>
          <w:p w14:paraId="7634ED13" w14:textId="38FBB9FA" w:rsidR="00365E59" w:rsidRDefault="00365E59" w:rsidP="00C233A7">
            <w:pPr>
              <w:widowControl/>
              <w:jc w:val="center"/>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Current</w:t>
            </w:r>
          </w:p>
          <w:p w14:paraId="5E5C93DA" w14:textId="6777D8C7" w:rsidR="00365E59" w:rsidRPr="00446A7D" w:rsidRDefault="00365E59" w:rsidP="00C233A7">
            <w:pPr>
              <w:widowControl/>
              <w:jc w:val="center"/>
              <w:rPr>
                <w:rFonts w:ascii="Times New Roman" w:eastAsia="Times New Roman" w:hAnsi="Times New Roman" w:cs="Times New Roman"/>
                <w:color w:val="000000"/>
              </w:rPr>
            </w:pPr>
            <w:r>
              <w:rPr>
                <w:rFonts w:ascii="Times New Roman" w:eastAsia="Times New Roman" w:hAnsi="Times New Roman" w:cs="Times New Roman"/>
                <w:b/>
                <w:bCs/>
                <w:i/>
                <w:iCs/>
                <w:color w:val="000000"/>
                <w:sz w:val="24"/>
                <w:szCs w:val="24"/>
              </w:rPr>
              <w:t>Trend</w:t>
            </w:r>
          </w:p>
        </w:tc>
        <w:tc>
          <w:tcPr>
            <w:tcW w:w="746" w:type="pct"/>
            <w:tcBorders>
              <w:top w:val="single" w:sz="4" w:space="0" w:color="auto"/>
              <w:left w:val="nil"/>
              <w:bottom w:val="single" w:sz="4" w:space="0" w:color="auto"/>
              <w:right w:val="nil"/>
            </w:tcBorders>
            <w:shd w:val="clear" w:color="auto" w:fill="auto"/>
            <w:vAlign w:val="center"/>
            <w:hideMark/>
          </w:tcPr>
          <w:p w14:paraId="20A10463" w14:textId="30EFA3E7" w:rsidR="00365E59" w:rsidRPr="00446A7D" w:rsidRDefault="00365E59" w:rsidP="00C233A7">
            <w:pPr>
              <w:widowControl/>
              <w:jc w:val="center"/>
              <w:rPr>
                <w:rFonts w:ascii="Times New Roman" w:eastAsia="Times New Roman" w:hAnsi="Times New Roman" w:cs="Times New Roman"/>
                <w:color w:val="000000"/>
              </w:rPr>
            </w:pPr>
            <w:r w:rsidRPr="00446A7D">
              <w:rPr>
                <w:rFonts w:ascii="Times New Roman" w:eastAsia="Times New Roman" w:hAnsi="Times New Roman" w:cs="Times New Roman"/>
                <w:b/>
                <w:bCs/>
                <w:i/>
                <w:iCs/>
                <w:color w:val="000000"/>
                <w:sz w:val="24"/>
                <w:szCs w:val="24"/>
              </w:rPr>
              <w:t>Future Trend</w:t>
            </w:r>
          </w:p>
        </w:tc>
      </w:tr>
      <w:tr w:rsidR="00365E59" w:rsidRPr="00A70135" w14:paraId="76757F45" w14:textId="77777777" w:rsidTr="00365E59">
        <w:trPr>
          <w:trHeight w:val="290"/>
        </w:trPr>
        <w:tc>
          <w:tcPr>
            <w:tcW w:w="3118" w:type="pct"/>
            <w:tcBorders>
              <w:top w:val="single" w:sz="4" w:space="0" w:color="auto"/>
              <w:left w:val="nil"/>
              <w:right w:val="nil"/>
            </w:tcBorders>
            <w:shd w:val="clear" w:color="auto" w:fill="auto"/>
            <w:vAlign w:val="center"/>
            <w:hideMark/>
          </w:tcPr>
          <w:p w14:paraId="39726674" w14:textId="77777777" w:rsidR="00365E59" w:rsidRPr="00A70135" w:rsidRDefault="00365E59" w:rsidP="00A70135">
            <w:pPr>
              <w:widowControl/>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Availability of close substitutes?</w:t>
            </w:r>
          </w:p>
        </w:tc>
        <w:tc>
          <w:tcPr>
            <w:tcW w:w="1136" w:type="pct"/>
            <w:tcBorders>
              <w:top w:val="single" w:sz="4" w:space="0" w:color="auto"/>
              <w:left w:val="nil"/>
              <w:right w:val="nil"/>
            </w:tcBorders>
            <w:shd w:val="clear" w:color="auto" w:fill="auto"/>
            <w:vAlign w:val="center"/>
            <w:hideMark/>
          </w:tcPr>
          <w:p w14:paraId="1AD6A1F4"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Moderate</w:t>
            </w:r>
          </w:p>
        </w:tc>
        <w:tc>
          <w:tcPr>
            <w:tcW w:w="746" w:type="pct"/>
            <w:tcBorders>
              <w:top w:val="single" w:sz="4" w:space="0" w:color="auto"/>
              <w:left w:val="nil"/>
              <w:right w:val="nil"/>
            </w:tcBorders>
            <w:shd w:val="clear" w:color="auto" w:fill="auto"/>
            <w:vAlign w:val="center"/>
            <w:hideMark/>
          </w:tcPr>
          <w:p w14:paraId="370FDBF1"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Moderate</w:t>
            </w:r>
          </w:p>
        </w:tc>
      </w:tr>
      <w:tr w:rsidR="00365E59" w:rsidRPr="00A70135" w14:paraId="382C4BAD" w14:textId="77777777" w:rsidTr="00365E59">
        <w:trPr>
          <w:trHeight w:val="290"/>
        </w:trPr>
        <w:tc>
          <w:tcPr>
            <w:tcW w:w="3118" w:type="pct"/>
            <w:tcBorders>
              <w:left w:val="nil"/>
              <w:right w:val="nil"/>
            </w:tcBorders>
            <w:shd w:val="clear" w:color="auto" w:fill="auto"/>
            <w:vAlign w:val="center"/>
            <w:hideMark/>
          </w:tcPr>
          <w:p w14:paraId="14A0684A" w14:textId="77777777" w:rsidR="00365E59" w:rsidRPr="00A70135" w:rsidRDefault="00365E59" w:rsidP="00A70135">
            <w:pPr>
              <w:widowControl/>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Price-</w:t>
            </w:r>
            <w:proofErr w:type="gramStart"/>
            <w:r w:rsidRPr="00A70135">
              <w:rPr>
                <w:rFonts w:ascii="Times New Roman" w:eastAsia="Times New Roman" w:hAnsi="Times New Roman" w:cs="Times New Roman"/>
                <w:color w:val="000000"/>
                <w:sz w:val="20"/>
                <w:szCs w:val="20"/>
              </w:rPr>
              <w:t>value  characteristics</w:t>
            </w:r>
            <w:proofErr w:type="gramEnd"/>
            <w:r w:rsidRPr="00A70135">
              <w:rPr>
                <w:rFonts w:ascii="Times New Roman" w:eastAsia="Times New Roman" w:hAnsi="Times New Roman" w:cs="Times New Roman"/>
                <w:color w:val="000000"/>
                <w:sz w:val="20"/>
                <w:szCs w:val="20"/>
              </w:rPr>
              <w:t xml:space="preserve">  of substitutes?</w:t>
            </w:r>
          </w:p>
        </w:tc>
        <w:tc>
          <w:tcPr>
            <w:tcW w:w="1136" w:type="pct"/>
            <w:tcBorders>
              <w:left w:val="nil"/>
              <w:right w:val="nil"/>
            </w:tcBorders>
            <w:shd w:val="clear" w:color="auto" w:fill="auto"/>
            <w:vAlign w:val="center"/>
            <w:hideMark/>
          </w:tcPr>
          <w:p w14:paraId="3294182A"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Moderate</w:t>
            </w:r>
          </w:p>
        </w:tc>
        <w:tc>
          <w:tcPr>
            <w:tcW w:w="746" w:type="pct"/>
            <w:tcBorders>
              <w:left w:val="nil"/>
              <w:right w:val="nil"/>
            </w:tcBorders>
            <w:shd w:val="clear" w:color="auto" w:fill="auto"/>
            <w:vAlign w:val="center"/>
            <w:hideMark/>
          </w:tcPr>
          <w:p w14:paraId="766FC02C"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Low</w:t>
            </w:r>
          </w:p>
        </w:tc>
      </w:tr>
      <w:tr w:rsidR="00365E59" w:rsidRPr="00A70135" w14:paraId="551A13F0" w14:textId="77777777" w:rsidTr="00365E59">
        <w:trPr>
          <w:trHeight w:val="290"/>
        </w:trPr>
        <w:tc>
          <w:tcPr>
            <w:tcW w:w="3118" w:type="pct"/>
            <w:tcBorders>
              <w:left w:val="nil"/>
              <w:right w:val="nil"/>
            </w:tcBorders>
            <w:shd w:val="clear" w:color="auto" w:fill="auto"/>
            <w:vAlign w:val="center"/>
            <w:hideMark/>
          </w:tcPr>
          <w:p w14:paraId="165FF0B6" w14:textId="77777777" w:rsidR="00365E59" w:rsidRPr="00A70135" w:rsidRDefault="00365E59" w:rsidP="00A70135">
            <w:pPr>
              <w:widowControl/>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Price elasticity of industry demand?</w:t>
            </w:r>
          </w:p>
        </w:tc>
        <w:tc>
          <w:tcPr>
            <w:tcW w:w="1136" w:type="pct"/>
            <w:tcBorders>
              <w:left w:val="nil"/>
              <w:right w:val="nil"/>
            </w:tcBorders>
            <w:shd w:val="clear" w:color="auto" w:fill="auto"/>
            <w:vAlign w:val="center"/>
            <w:hideMark/>
          </w:tcPr>
          <w:p w14:paraId="5CB822AD"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Moderate</w:t>
            </w:r>
          </w:p>
        </w:tc>
        <w:tc>
          <w:tcPr>
            <w:tcW w:w="746" w:type="pct"/>
            <w:tcBorders>
              <w:left w:val="nil"/>
              <w:right w:val="nil"/>
            </w:tcBorders>
            <w:shd w:val="clear" w:color="auto" w:fill="auto"/>
            <w:vAlign w:val="center"/>
            <w:hideMark/>
          </w:tcPr>
          <w:p w14:paraId="1F171F57"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High</w:t>
            </w:r>
          </w:p>
        </w:tc>
      </w:tr>
      <w:tr w:rsidR="00365E59" w:rsidRPr="00A70135" w14:paraId="13A19687" w14:textId="77777777" w:rsidTr="00365E59">
        <w:trPr>
          <w:trHeight w:val="290"/>
        </w:trPr>
        <w:tc>
          <w:tcPr>
            <w:tcW w:w="3118" w:type="pct"/>
            <w:tcBorders>
              <w:left w:val="nil"/>
              <w:right w:val="nil"/>
            </w:tcBorders>
            <w:shd w:val="clear" w:color="auto" w:fill="auto"/>
            <w:vAlign w:val="center"/>
            <w:hideMark/>
          </w:tcPr>
          <w:p w14:paraId="647BB507" w14:textId="77777777" w:rsidR="00365E59" w:rsidRPr="00A70135" w:rsidRDefault="00365E59" w:rsidP="00A70135">
            <w:pPr>
              <w:widowControl/>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Availability of close complements?</w:t>
            </w:r>
          </w:p>
        </w:tc>
        <w:tc>
          <w:tcPr>
            <w:tcW w:w="1136" w:type="pct"/>
            <w:tcBorders>
              <w:left w:val="nil"/>
              <w:right w:val="nil"/>
            </w:tcBorders>
            <w:shd w:val="clear" w:color="auto" w:fill="auto"/>
            <w:vAlign w:val="center"/>
            <w:hideMark/>
          </w:tcPr>
          <w:p w14:paraId="470DA9BE"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High</w:t>
            </w:r>
          </w:p>
        </w:tc>
        <w:tc>
          <w:tcPr>
            <w:tcW w:w="746" w:type="pct"/>
            <w:tcBorders>
              <w:left w:val="nil"/>
              <w:right w:val="nil"/>
            </w:tcBorders>
            <w:shd w:val="clear" w:color="auto" w:fill="auto"/>
            <w:vAlign w:val="center"/>
            <w:hideMark/>
          </w:tcPr>
          <w:p w14:paraId="7235C3B3"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High</w:t>
            </w:r>
          </w:p>
        </w:tc>
      </w:tr>
      <w:tr w:rsidR="00365E59" w:rsidRPr="00A70135" w14:paraId="1118051B" w14:textId="77777777" w:rsidTr="00365E59">
        <w:trPr>
          <w:trHeight w:val="290"/>
        </w:trPr>
        <w:tc>
          <w:tcPr>
            <w:tcW w:w="3118" w:type="pct"/>
            <w:tcBorders>
              <w:left w:val="nil"/>
              <w:bottom w:val="single" w:sz="4" w:space="0" w:color="auto"/>
              <w:right w:val="nil"/>
            </w:tcBorders>
            <w:shd w:val="clear" w:color="auto" w:fill="auto"/>
            <w:vAlign w:val="center"/>
            <w:hideMark/>
          </w:tcPr>
          <w:p w14:paraId="39186D1E" w14:textId="77777777" w:rsidR="00365E59" w:rsidRPr="00A70135" w:rsidRDefault="00365E59" w:rsidP="00A70135">
            <w:pPr>
              <w:widowControl/>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Price-value characteristics of complements?</w:t>
            </w:r>
          </w:p>
        </w:tc>
        <w:tc>
          <w:tcPr>
            <w:tcW w:w="1136" w:type="pct"/>
            <w:tcBorders>
              <w:left w:val="nil"/>
              <w:bottom w:val="single" w:sz="4" w:space="0" w:color="auto"/>
              <w:right w:val="nil"/>
            </w:tcBorders>
            <w:shd w:val="clear" w:color="auto" w:fill="auto"/>
            <w:vAlign w:val="center"/>
            <w:hideMark/>
          </w:tcPr>
          <w:p w14:paraId="348E416D"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High</w:t>
            </w:r>
          </w:p>
        </w:tc>
        <w:tc>
          <w:tcPr>
            <w:tcW w:w="746" w:type="pct"/>
            <w:tcBorders>
              <w:left w:val="nil"/>
              <w:bottom w:val="single" w:sz="4" w:space="0" w:color="auto"/>
              <w:right w:val="nil"/>
            </w:tcBorders>
            <w:shd w:val="clear" w:color="auto" w:fill="auto"/>
            <w:vAlign w:val="center"/>
            <w:hideMark/>
          </w:tcPr>
          <w:p w14:paraId="5070C3E5" w14:textId="77777777" w:rsidR="00365E59" w:rsidRPr="00A70135" w:rsidRDefault="00365E59" w:rsidP="003612F2">
            <w:pPr>
              <w:widowControl/>
              <w:jc w:val="center"/>
              <w:rPr>
                <w:rFonts w:ascii="Times New Roman" w:eastAsia="Times New Roman" w:hAnsi="Times New Roman" w:cs="Times New Roman"/>
                <w:color w:val="000000"/>
                <w:sz w:val="20"/>
                <w:szCs w:val="20"/>
              </w:rPr>
            </w:pPr>
            <w:r w:rsidRPr="00A70135">
              <w:rPr>
                <w:rFonts w:ascii="Times New Roman" w:eastAsia="Times New Roman" w:hAnsi="Times New Roman" w:cs="Times New Roman"/>
                <w:color w:val="000000"/>
                <w:sz w:val="20"/>
                <w:szCs w:val="20"/>
              </w:rPr>
              <w:t>High</w:t>
            </w:r>
          </w:p>
        </w:tc>
      </w:tr>
    </w:tbl>
    <w:p w14:paraId="0D41CF70" w14:textId="77777777" w:rsidR="009E73F3" w:rsidRDefault="009E73F3" w:rsidP="00A70135">
      <w:pPr>
        <w:widowControl/>
        <w:rPr>
          <w:rFonts w:ascii="Times New Roman" w:eastAsia="Times New Roman" w:hAnsi="Times New Roman" w:cs="Times New Roman"/>
          <w:color w:val="000000"/>
          <w:sz w:val="20"/>
          <w:szCs w:val="20"/>
        </w:rPr>
      </w:pPr>
    </w:p>
    <w:p w14:paraId="47A68DCA" w14:textId="77777777" w:rsidR="009E73F3" w:rsidRDefault="009E73F3" w:rsidP="00A70135">
      <w:pPr>
        <w:widowControl/>
        <w:rPr>
          <w:rFonts w:ascii="Times New Roman" w:eastAsia="Times New Roman" w:hAnsi="Times New Roman" w:cs="Times New Roman"/>
          <w:color w:val="000000"/>
          <w:sz w:val="20"/>
          <w:szCs w:val="20"/>
        </w:rPr>
      </w:pPr>
    </w:p>
    <w:tbl>
      <w:tblPr>
        <w:tblW w:w="5000" w:type="pct"/>
        <w:tblLook w:val="04A0" w:firstRow="1" w:lastRow="0" w:firstColumn="1" w:lastColumn="0" w:noHBand="0" w:noVBand="1"/>
      </w:tblPr>
      <w:tblGrid>
        <w:gridCol w:w="5835"/>
        <w:gridCol w:w="2127"/>
        <w:gridCol w:w="1398"/>
      </w:tblGrid>
      <w:tr w:rsidR="00365E59" w:rsidRPr="009E73F3" w14:paraId="4A0214DB" w14:textId="77777777" w:rsidTr="00365E59">
        <w:trPr>
          <w:trHeight w:val="820"/>
        </w:trPr>
        <w:tc>
          <w:tcPr>
            <w:tcW w:w="3117" w:type="pct"/>
            <w:tcBorders>
              <w:top w:val="single" w:sz="4" w:space="0" w:color="auto"/>
              <w:left w:val="nil"/>
              <w:bottom w:val="single" w:sz="4" w:space="0" w:color="auto"/>
              <w:right w:val="nil"/>
            </w:tcBorders>
            <w:shd w:val="clear" w:color="auto" w:fill="auto"/>
            <w:vAlign w:val="center"/>
            <w:hideMark/>
          </w:tcPr>
          <w:p w14:paraId="19631D04" w14:textId="77777777" w:rsidR="00365E59" w:rsidRPr="009E73F3" w:rsidRDefault="00365E59" w:rsidP="009E73F3">
            <w:pPr>
              <w:pStyle w:val="Heading4"/>
              <w:spacing w:before="60"/>
              <w:jc w:val="both"/>
              <w:rPr>
                <w:rFonts w:ascii="Times New Roman" w:eastAsiaTheme="minorHAnsi" w:hAnsi="Times New Roman" w:cs="Times New Roman"/>
                <w:b/>
                <w:bCs/>
                <w:iCs w:val="0"/>
                <w:color w:val="auto"/>
                <w:w w:val="120"/>
                <w:sz w:val="24"/>
                <w:szCs w:val="24"/>
              </w:rPr>
            </w:pPr>
            <w:r w:rsidRPr="009E73F3">
              <w:rPr>
                <w:rFonts w:ascii="Times New Roman" w:eastAsiaTheme="minorHAnsi" w:hAnsi="Times New Roman" w:cs="Times New Roman"/>
                <w:b/>
                <w:bCs/>
                <w:i w:val="0"/>
                <w:iCs w:val="0"/>
                <w:color w:val="auto"/>
                <w:w w:val="120"/>
                <w:sz w:val="24"/>
                <w:szCs w:val="24"/>
              </w:rPr>
              <w:t xml:space="preserve">Factors Affecting or Reflecting </w:t>
            </w:r>
            <w:r w:rsidRPr="009E73F3">
              <w:rPr>
                <w:rFonts w:ascii="Times New Roman" w:eastAsiaTheme="minorHAnsi" w:hAnsi="Times New Roman" w:cs="Times New Roman"/>
                <w:b/>
                <w:bCs/>
                <w:iCs w:val="0"/>
                <w:color w:val="auto"/>
                <w:w w:val="120"/>
                <w:sz w:val="24"/>
                <w:szCs w:val="24"/>
              </w:rPr>
              <w:t>Power of Input Suppliers</w:t>
            </w:r>
          </w:p>
          <w:p w14:paraId="55A879AB" w14:textId="1A6B1721" w:rsidR="00365E59" w:rsidRPr="009E73F3" w:rsidRDefault="00365E59" w:rsidP="009E73F3">
            <w:pPr>
              <w:widowControl/>
              <w:rPr>
                <w:rFonts w:ascii="Times New Roman" w:eastAsia="Times New Roman" w:hAnsi="Times New Roman" w:cs="Times New Roman"/>
                <w:b/>
                <w:bCs/>
                <w:i/>
                <w:iCs/>
                <w:color w:val="000000"/>
                <w:sz w:val="24"/>
                <w:szCs w:val="24"/>
              </w:rPr>
            </w:pPr>
          </w:p>
        </w:tc>
        <w:tc>
          <w:tcPr>
            <w:tcW w:w="1136" w:type="pct"/>
            <w:tcBorders>
              <w:top w:val="single" w:sz="4" w:space="0" w:color="auto"/>
              <w:left w:val="nil"/>
              <w:bottom w:val="single" w:sz="4" w:space="0" w:color="auto"/>
              <w:right w:val="nil"/>
            </w:tcBorders>
            <w:shd w:val="clear" w:color="auto" w:fill="auto"/>
            <w:vAlign w:val="center"/>
            <w:hideMark/>
          </w:tcPr>
          <w:p w14:paraId="72958FBD" w14:textId="77777777" w:rsidR="00365E59" w:rsidRPr="009E73F3" w:rsidRDefault="00365E59" w:rsidP="009E73F3">
            <w:pPr>
              <w:widowControl/>
              <w:jc w:val="center"/>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Current</w:t>
            </w:r>
          </w:p>
          <w:p w14:paraId="1B32FD36" w14:textId="6EB8463C" w:rsidR="00365E59" w:rsidRPr="009E73F3" w:rsidRDefault="00365E59" w:rsidP="009E73F3">
            <w:pPr>
              <w:widowControl/>
              <w:jc w:val="center"/>
              <w:rPr>
                <w:rFonts w:ascii="Times New Roman" w:eastAsia="Times New Roman" w:hAnsi="Times New Roman" w:cs="Times New Roman"/>
                <w:b/>
                <w:bCs/>
                <w:i/>
                <w:iCs/>
                <w:color w:val="000000"/>
                <w:sz w:val="24"/>
                <w:szCs w:val="24"/>
              </w:rPr>
            </w:pPr>
            <w:r w:rsidRPr="009E73F3">
              <w:rPr>
                <w:rFonts w:ascii="Times New Roman" w:eastAsia="Times New Roman" w:hAnsi="Times New Roman" w:cs="Times New Roman"/>
                <w:b/>
                <w:bCs/>
                <w:i/>
                <w:iCs/>
                <w:color w:val="000000"/>
                <w:sz w:val="24"/>
                <w:szCs w:val="24"/>
              </w:rPr>
              <w:t>Trend</w:t>
            </w:r>
          </w:p>
        </w:tc>
        <w:tc>
          <w:tcPr>
            <w:tcW w:w="747" w:type="pct"/>
            <w:tcBorders>
              <w:top w:val="single" w:sz="4" w:space="0" w:color="auto"/>
              <w:left w:val="nil"/>
              <w:bottom w:val="single" w:sz="4" w:space="0" w:color="auto"/>
              <w:right w:val="nil"/>
            </w:tcBorders>
            <w:shd w:val="clear" w:color="auto" w:fill="auto"/>
            <w:vAlign w:val="center"/>
            <w:hideMark/>
          </w:tcPr>
          <w:p w14:paraId="0E28B05A" w14:textId="685AA1EB" w:rsidR="00365E59" w:rsidRPr="009E73F3" w:rsidRDefault="00365E59" w:rsidP="009E73F3">
            <w:pPr>
              <w:widowControl/>
              <w:jc w:val="center"/>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Future Trend</w:t>
            </w:r>
          </w:p>
        </w:tc>
      </w:tr>
      <w:tr w:rsidR="00365E59" w:rsidRPr="009E73F3" w14:paraId="468A96DE" w14:textId="77777777" w:rsidTr="00365E59">
        <w:trPr>
          <w:trHeight w:val="520"/>
        </w:trPr>
        <w:tc>
          <w:tcPr>
            <w:tcW w:w="3117" w:type="pct"/>
            <w:tcBorders>
              <w:top w:val="single" w:sz="4" w:space="0" w:color="auto"/>
              <w:left w:val="nil"/>
              <w:bottom w:val="nil"/>
              <w:right w:val="nil"/>
            </w:tcBorders>
            <w:shd w:val="clear" w:color="auto" w:fill="auto"/>
            <w:vAlign w:val="center"/>
            <w:hideMark/>
          </w:tcPr>
          <w:p w14:paraId="4CE6FD2F"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Is the supplier industry more concentrated than the industry it sells to?</w:t>
            </w:r>
          </w:p>
        </w:tc>
        <w:tc>
          <w:tcPr>
            <w:tcW w:w="1136" w:type="pct"/>
            <w:tcBorders>
              <w:top w:val="single" w:sz="4" w:space="0" w:color="auto"/>
              <w:left w:val="nil"/>
              <w:bottom w:val="nil"/>
              <w:right w:val="nil"/>
            </w:tcBorders>
            <w:shd w:val="clear" w:color="auto" w:fill="auto"/>
            <w:vAlign w:val="center"/>
            <w:hideMark/>
          </w:tcPr>
          <w:p w14:paraId="139AEDD8"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c>
          <w:tcPr>
            <w:tcW w:w="747" w:type="pct"/>
            <w:tcBorders>
              <w:top w:val="single" w:sz="4" w:space="0" w:color="auto"/>
              <w:left w:val="nil"/>
              <w:bottom w:val="nil"/>
              <w:right w:val="nil"/>
            </w:tcBorders>
            <w:shd w:val="clear" w:color="auto" w:fill="auto"/>
            <w:vAlign w:val="center"/>
            <w:hideMark/>
          </w:tcPr>
          <w:p w14:paraId="39A33DE7"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High</w:t>
            </w:r>
          </w:p>
        </w:tc>
      </w:tr>
      <w:tr w:rsidR="00365E59" w:rsidRPr="009E73F3" w14:paraId="2AE2C0F5" w14:textId="77777777" w:rsidTr="00365E59">
        <w:trPr>
          <w:trHeight w:val="780"/>
        </w:trPr>
        <w:tc>
          <w:tcPr>
            <w:tcW w:w="3117" w:type="pct"/>
            <w:tcBorders>
              <w:top w:val="nil"/>
              <w:left w:val="nil"/>
              <w:bottom w:val="nil"/>
              <w:right w:val="nil"/>
            </w:tcBorders>
            <w:shd w:val="clear" w:color="auto" w:fill="auto"/>
            <w:vAlign w:val="center"/>
            <w:hideMark/>
          </w:tcPr>
          <w:p w14:paraId="4DCA9538"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 firms in industry purchase relatively small volumes relative to other customers of supplier? Is typical firm’s purchase volume small relative to sales of typical supplier?</w:t>
            </w:r>
          </w:p>
        </w:tc>
        <w:tc>
          <w:tcPr>
            <w:tcW w:w="1136" w:type="pct"/>
            <w:tcBorders>
              <w:top w:val="nil"/>
              <w:left w:val="nil"/>
              <w:bottom w:val="nil"/>
              <w:right w:val="nil"/>
            </w:tcBorders>
            <w:shd w:val="clear" w:color="auto" w:fill="auto"/>
            <w:vAlign w:val="center"/>
            <w:hideMark/>
          </w:tcPr>
          <w:p w14:paraId="6906949F"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c>
          <w:tcPr>
            <w:tcW w:w="747" w:type="pct"/>
            <w:tcBorders>
              <w:top w:val="nil"/>
              <w:left w:val="nil"/>
              <w:bottom w:val="nil"/>
              <w:right w:val="nil"/>
            </w:tcBorders>
            <w:shd w:val="clear" w:color="auto" w:fill="auto"/>
            <w:vAlign w:val="center"/>
            <w:hideMark/>
          </w:tcPr>
          <w:p w14:paraId="3C808E60"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4CCD7B98" w14:textId="77777777" w:rsidTr="00365E59">
        <w:trPr>
          <w:trHeight w:val="290"/>
        </w:trPr>
        <w:tc>
          <w:tcPr>
            <w:tcW w:w="3117" w:type="pct"/>
            <w:tcBorders>
              <w:top w:val="nil"/>
              <w:left w:val="nil"/>
              <w:bottom w:val="nil"/>
              <w:right w:val="nil"/>
            </w:tcBorders>
            <w:shd w:val="clear" w:color="auto" w:fill="auto"/>
            <w:vAlign w:val="center"/>
            <w:hideMark/>
          </w:tcPr>
          <w:p w14:paraId="581146CD"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Few substitutes for suppliers’ input?</w:t>
            </w:r>
          </w:p>
        </w:tc>
        <w:tc>
          <w:tcPr>
            <w:tcW w:w="1136" w:type="pct"/>
            <w:tcBorders>
              <w:top w:val="nil"/>
              <w:left w:val="nil"/>
              <w:bottom w:val="nil"/>
              <w:right w:val="nil"/>
            </w:tcBorders>
            <w:shd w:val="clear" w:color="auto" w:fill="auto"/>
            <w:vAlign w:val="center"/>
            <w:hideMark/>
          </w:tcPr>
          <w:p w14:paraId="1469111F"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High</w:t>
            </w:r>
          </w:p>
        </w:tc>
        <w:tc>
          <w:tcPr>
            <w:tcW w:w="747" w:type="pct"/>
            <w:tcBorders>
              <w:top w:val="nil"/>
              <w:left w:val="nil"/>
              <w:bottom w:val="nil"/>
              <w:right w:val="nil"/>
            </w:tcBorders>
            <w:shd w:val="clear" w:color="auto" w:fill="auto"/>
            <w:vAlign w:val="center"/>
            <w:hideMark/>
          </w:tcPr>
          <w:p w14:paraId="1DC294A7"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684022C3" w14:textId="77777777" w:rsidTr="00365E59">
        <w:trPr>
          <w:trHeight w:val="520"/>
        </w:trPr>
        <w:tc>
          <w:tcPr>
            <w:tcW w:w="3117" w:type="pct"/>
            <w:tcBorders>
              <w:top w:val="nil"/>
              <w:left w:val="nil"/>
              <w:bottom w:val="nil"/>
              <w:right w:val="nil"/>
            </w:tcBorders>
            <w:shd w:val="clear" w:color="auto" w:fill="auto"/>
            <w:vAlign w:val="center"/>
            <w:hideMark/>
          </w:tcPr>
          <w:p w14:paraId="020B6784"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 firms in industry make relationship-specific investments to support transactions with specific suppliers?</w:t>
            </w:r>
          </w:p>
        </w:tc>
        <w:tc>
          <w:tcPr>
            <w:tcW w:w="1136" w:type="pct"/>
            <w:tcBorders>
              <w:top w:val="nil"/>
              <w:left w:val="nil"/>
              <w:bottom w:val="nil"/>
              <w:right w:val="nil"/>
            </w:tcBorders>
            <w:shd w:val="clear" w:color="auto" w:fill="auto"/>
            <w:vAlign w:val="center"/>
            <w:hideMark/>
          </w:tcPr>
          <w:p w14:paraId="2519F36F"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High</w:t>
            </w:r>
          </w:p>
        </w:tc>
        <w:tc>
          <w:tcPr>
            <w:tcW w:w="747" w:type="pct"/>
            <w:tcBorders>
              <w:top w:val="nil"/>
              <w:left w:val="nil"/>
              <w:bottom w:val="nil"/>
              <w:right w:val="nil"/>
            </w:tcBorders>
            <w:shd w:val="clear" w:color="auto" w:fill="auto"/>
            <w:vAlign w:val="center"/>
            <w:hideMark/>
          </w:tcPr>
          <w:p w14:paraId="6F9CAA5A"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High</w:t>
            </w:r>
          </w:p>
        </w:tc>
      </w:tr>
      <w:tr w:rsidR="00365E59" w:rsidRPr="009E73F3" w14:paraId="06AC6041" w14:textId="77777777" w:rsidTr="00365E59">
        <w:trPr>
          <w:trHeight w:val="520"/>
        </w:trPr>
        <w:tc>
          <w:tcPr>
            <w:tcW w:w="3117" w:type="pct"/>
            <w:tcBorders>
              <w:top w:val="nil"/>
              <w:left w:val="nil"/>
              <w:bottom w:val="nil"/>
              <w:right w:val="nil"/>
            </w:tcBorders>
            <w:shd w:val="clear" w:color="auto" w:fill="auto"/>
            <w:vAlign w:val="center"/>
            <w:hideMark/>
          </w:tcPr>
          <w:p w14:paraId="7F826FD3"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 suppliers pose credible threat of forward integration into the product market?</w:t>
            </w:r>
          </w:p>
        </w:tc>
        <w:tc>
          <w:tcPr>
            <w:tcW w:w="1136" w:type="pct"/>
            <w:tcBorders>
              <w:top w:val="nil"/>
              <w:left w:val="nil"/>
              <w:bottom w:val="nil"/>
              <w:right w:val="nil"/>
            </w:tcBorders>
            <w:shd w:val="clear" w:color="auto" w:fill="auto"/>
            <w:vAlign w:val="center"/>
            <w:hideMark/>
          </w:tcPr>
          <w:p w14:paraId="50D7B6E6"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c>
          <w:tcPr>
            <w:tcW w:w="747" w:type="pct"/>
            <w:tcBorders>
              <w:top w:val="nil"/>
              <w:left w:val="nil"/>
              <w:bottom w:val="nil"/>
              <w:right w:val="nil"/>
            </w:tcBorders>
            <w:shd w:val="clear" w:color="auto" w:fill="auto"/>
            <w:vAlign w:val="center"/>
            <w:hideMark/>
          </w:tcPr>
          <w:p w14:paraId="7E907383"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35FF18FA" w14:textId="77777777" w:rsidTr="00365E59">
        <w:trPr>
          <w:trHeight w:val="530"/>
        </w:trPr>
        <w:tc>
          <w:tcPr>
            <w:tcW w:w="3117" w:type="pct"/>
            <w:tcBorders>
              <w:top w:val="nil"/>
              <w:left w:val="nil"/>
              <w:bottom w:val="single" w:sz="4" w:space="0" w:color="auto"/>
              <w:right w:val="nil"/>
            </w:tcBorders>
            <w:shd w:val="clear" w:color="auto" w:fill="auto"/>
            <w:vAlign w:val="center"/>
            <w:hideMark/>
          </w:tcPr>
          <w:p w14:paraId="1DF5543D"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Are suppliers able to price-discriminate among prospective customers according to ability/ willingness to pay for input?</w:t>
            </w:r>
          </w:p>
        </w:tc>
        <w:tc>
          <w:tcPr>
            <w:tcW w:w="1136" w:type="pct"/>
            <w:tcBorders>
              <w:top w:val="nil"/>
              <w:left w:val="nil"/>
              <w:bottom w:val="single" w:sz="4" w:space="0" w:color="auto"/>
              <w:right w:val="nil"/>
            </w:tcBorders>
            <w:shd w:val="clear" w:color="auto" w:fill="auto"/>
            <w:vAlign w:val="center"/>
            <w:hideMark/>
          </w:tcPr>
          <w:p w14:paraId="03059258"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c>
          <w:tcPr>
            <w:tcW w:w="747" w:type="pct"/>
            <w:tcBorders>
              <w:top w:val="nil"/>
              <w:left w:val="nil"/>
              <w:bottom w:val="single" w:sz="4" w:space="0" w:color="auto"/>
              <w:right w:val="nil"/>
            </w:tcBorders>
            <w:shd w:val="clear" w:color="auto" w:fill="auto"/>
            <w:vAlign w:val="center"/>
            <w:hideMark/>
          </w:tcPr>
          <w:p w14:paraId="07CBF192"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r>
      <w:tr w:rsidR="00365E59" w:rsidRPr="009E73F3" w14:paraId="662AAE28" w14:textId="77777777" w:rsidTr="00365E59">
        <w:trPr>
          <w:trHeight w:val="820"/>
        </w:trPr>
        <w:tc>
          <w:tcPr>
            <w:tcW w:w="3117" w:type="pct"/>
            <w:tcBorders>
              <w:top w:val="single" w:sz="4" w:space="0" w:color="auto"/>
              <w:left w:val="nil"/>
              <w:bottom w:val="single" w:sz="4" w:space="0" w:color="auto"/>
              <w:right w:val="nil"/>
            </w:tcBorders>
            <w:shd w:val="clear" w:color="auto" w:fill="auto"/>
            <w:vAlign w:val="center"/>
            <w:hideMark/>
          </w:tcPr>
          <w:p w14:paraId="307161CA" w14:textId="77777777" w:rsidR="00365E59" w:rsidRDefault="00365E59" w:rsidP="009E73F3">
            <w:pPr>
              <w:pStyle w:val="Heading4"/>
              <w:spacing w:before="60"/>
              <w:jc w:val="both"/>
              <w:rPr>
                <w:rFonts w:ascii="Times New Roman" w:eastAsiaTheme="minorHAnsi" w:hAnsi="Times New Roman" w:cs="Times New Roman"/>
                <w:b/>
                <w:bCs/>
                <w:i w:val="0"/>
                <w:iCs w:val="0"/>
                <w:color w:val="auto"/>
                <w:w w:val="120"/>
                <w:sz w:val="24"/>
              </w:rPr>
            </w:pPr>
            <w:r w:rsidRPr="001D1145">
              <w:rPr>
                <w:rFonts w:ascii="Times New Roman" w:eastAsiaTheme="minorHAnsi" w:hAnsi="Times New Roman" w:cs="Times New Roman"/>
                <w:b/>
                <w:bCs/>
                <w:i w:val="0"/>
                <w:iCs w:val="0"/>
                <w:color w:val="auto"/>
                <w:w w:val="120"/>
                <w:sz w:val="24"/>
              </w:rPr>
              <w:t xml:space="preserve">Factors Affecting or Reflecting </w:t>
            </w:r>
          </w:p>
          <w:p w14:paraId="0DD5D8E9" w14:textId="7BACD4EC" w:rsidR="00365E59" w:rsidRPr="001D1145" w:rsidRDefault="00365E59" w:rsidP="009E73F3">
            <w:pPr>
              <w:pStyle w:val="Heading4"/>
              <w:spacing w:before="60"/>
              <w:jc w:val="both"/>
              <w:rPr>
                <w:rFonts w:ascii="Times New Roman" w:eastAsiaTheme="minorHAnsi" w:hAnsi="Times New Roman" w:cs="Times New Roman"/>
                <w:b/>
                <w:bCs/>
                <w:iCs w:val="0"/>
                <w:color w:val="auto"/>
                <w:w w:val="120"/>
                <w:sz w:val="24"/>
              </w:rPr>
            </w:pPr>
            <w:r w:rsidRPr="001D1145">
              <w:rPr>
                <w:rFonts w:ascii="Times New Roman" w:eastAsiaTheme="minorHAnsi" w:hAnsi="Times New Roman" w:cs="Times New Roman"/>
                <w:b/>
                <w:bCs/>
                <w:iCs w:val="0"/>
                <w:color w:val="auto"/>
                <w:w w:val="120"/>
                <w:sz w:val="24"/>
              </w:rPr>
              <w:t>Power of Buyers</w:t>
            </w:r>
          </w:p>
          <w:p w14:paraId="166DFC5D" w14:textId="2CDF4E91" w:rsidR="00365E59" w:rsidRPr="009E73F3" w:rsidRDefault="00365E59" w:rsidP="009E73F3">
            <w:pPr>
              <w:widowControl/>
              <w:rPr>
                <w:rFonts w:ascii="Times New Roman" w:eastAsia="Times New Roman" w:hAnsi="Times New Roman" w:cs="Times New Roman"/>
                <w:b/>
                <w:bCs/>
                <w:i/>
                <w:iCs/>
                <w:color w:val="000000"/>
                <w:sz w:val="20"/>
                <w:szCs w:val="20"/>
              </w:rPr>
            </w:pPr>
          </w:p>
        </w:tc>
        <w:tc>
          <w:tcPr>
            <w:tcW w:w="1136" w:type="pct"/>
            <w:tcBorders>
              <w:top w:val="single" w:sz="4" w:space="0" w:color="auto"/>
              <w:left w:val="nil"/>
              <w:bottom w:val="single" w:sz="4" w:space="0" w:color="auto"/>
              <w:right w:val="nil"/>
            </w:tcBorders>
            <w:shd w:val="clear" w:color="auto" w:fill="auto"/>
            <w:vAlign w:val="center"/>
            <w:hideMark/>
          </w:tcPr>
          <w:p w14:paraId="5FCF6A95" w14:textId="77777777" w:rsidR="00365E59" w:rsidRPr="009E73F3" w:rsidRDefault="00365E59" w:rsidP="009E73F3">
            <w:pPr>
              <w:widowControl/>
              <w:jc w:val="center"/>
              <w:rPr>
                <w:rFonts w:ascii="Times New Roman" w:eastAsia="Times New Roman" w:hAnsi="Times New Roman" w:cs="Times New Roman"/>
                <w:b/>
                <w:bCs/>
                <w:i/>
                <w:iCs/>
                <w:color w:val="000000"/>
                <w:sz w:val="24"/>
                <w:szCs w:val="24"/>
              </w:rPr>
            </w:pPr>
            <w:r w:rsidRPr="00446A7D">
              <w:rPr>
                <w:rFonts w:ascii="Times New Roman" w:eastAsia="Times New Roman" w:hAnsi="Times New Roman" w:cs="Times New Roman"/>
                <w:b/>
                <w:bCs/>
                <w:i/>
                <w:iCs/>
                <w:color w:val="000000"/>
                <w:sz w:val="24"/>
                <w:szCs w:val="24"/>
              </w:rPr>
              <w:t>Current</w:t>
            </w:r>
          </w:p>
          <w:p w14:paraId="3ECF674F" w14:textId="3338BC42" w:rsidR="00365E59" w:rsidRPr="009E73F3" w:rsidRDefault="00365E59" w:rsidP="009E73F3">
            <w:pPr>
              <w:widowControl/>
              <w:jc w:val="center"/>
              <w:rPr>
                <w:rFonts w:ascii="Times New Roman" w:eastAsia="Times New Roman" w:hAnsi="Times New Roman" w:cs="Times New Roman"/>
                <w:b/>
                <w:bCs/>
                <w:i/>
                <w:iCs/>
                <w:color w:val="000000"/>
                <w:sz w:val="20"/>
                <w:szCs w:val="20"/>
              </w:rPr>
            </w:pPr>
            <w:r w:rsidRPr="009E73F3">
              <w:rPr>
                <w:rFonts w:ascii="Times New Roman" w:eastAsia="Times New Roman" w:hAnsi="Times New Roman" w:cs="Times New Roman"/>
                <w:b/>
                <w:bCs/>
                <w:i/>
                <w:iCs/>
                <w:color w:val="000000"/>
                <w:sz w:val="24"/>
                <w:szCs w:val="24"/>
              </w:rPr>
              <w:t>Trend</w:t>
            </w:r>
          </w:p>
        </w:tc>
        <w:tc>
          <w:tcPr>
            <w:tcW w:w="747" w:type="pct"/>
            <w:tcBorders>
              <w:top w:val="single" w:sz="4" w:space="0" w:color="auto"/>
              <w:left w:val="nil"/>
              <w:bottom w:val="single" w:sz="4" w:space="0" w:color="auto"/>
              <w:right w:val="nil"/>
            </w:tcBorders>
            <w:shd w:val="clear" w:color="auto" w:fill="auto"/>
            <w:vAlign w:val="center"/>
            <w:hideMark/>
          </w:tcPr>
          <w:p w14:paraId="35BB1BEA" w14:textId="2E64A4AA" w:rsidR="00365E59" w:rsidRPr="009E73F3" w:rsidRDefault="00365E59" w:rsidP="009E73F3">
            <w:pPr>
              <w:widowControl/>
              <w:jc w:val="center"/>
              <w:rPr>
                <w:rFonts w:ascii="Times New Roman" w:eastAsia="Times New Roman" w:hAnsi="Times New Roman" w:cs="Times New Roman"/>
                <w:b/>
                <w:bCs/>
                <w:i/>
                <w:iCs/>
                <w:color w:val="000000"/>
                <w:sz w:val="20"/>
                <w:szCs w:val="20"/>
              </w:rPr>
            </w:pPr>
            <w:r w:rsidRPr="00446A7D">
              <w:rPr>
                <w:rFonts w:ascii="Times New Roman" w:eastAsia="Times New Roman" w:hAnsi="Times New Roman" w:cs="Times New Roman"/>
                <w:b/>
                <w:bCs/>
                <w:i/>
                <w:iCs/>
                <w:color w:val="000000"/>
                <w:sz w:val="24"/>
                <w:szCs w:val="24"/>
              </w:rPr>
              <w:t>Future Trend</w:t>
            </w:r>
          </w:p>
        </w:tc>
      </w:tr>
      <w:tr w:rsidR="00365E59" w:rsidRPr="009E73F3" w14:paraId="1F92997F" w14:textId="77777777" w:rsidTr="00365E59">
        <w:trPr>
          <w:trHeight w:val="520"/>
        </w:trPr>
        <w:tc>
          <w:tcPr>
            <w:tcW w:w="3117" w:type="pct"/>
            <w:tcBorders>
              <w:top w:val="single" w:sz="4" w:space="0" w:color="auto"/>
              <w:left w:val="nil"/>
              <w:bottom w:val="nil"/>
              <w:right w:val="nil"/>
            </w:tcBorders>
            <w:shd w:val="clear" w:color="auto" w:fill="auto"/>
            <w:vAlign w:val="center"/>
            <w:hideMark/>
          </w:tcPr>
          <w:p w14:paraId="0E681FAF"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Is buyers’ industry more concentrated than the industry it purchases from?</w:t>
            </w:r>
          </w:p>
        </w:tc>
        <w:tc>
          <w:tcPr>
            <w:tcW w:w="1136" w:type="pct"/>
            <w:tcBorders>
              <w:top w:val="single" w:sz="4" w:space="0" w:color="auto"/>
              <w:left w:val="nil"/>
              <w:bottom w:val="nil"/>
              <w:right w:val="nil"/>
            </w:tcBorders>
            <w:shd w:val="clear" w:color="auto" w:fill="auto"/>
            <w:vAlign w:val="center"/>
            <w:hideMark/>
          </w:tcPr>
          <w:p w14:paraId="0D8E8536"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c>
          <w:tcPr>
            <w:tcW w:w="747" w:type="pct"/>
            <w:tcBorders>
              <w:top w:val="single" w:sz="4" w:space="0" w:color="auto"/>
              <w:left w:val="nil"/>
              <w:bottom w:val="nil"/>
              <w:right w:val="nil"/>
            </w:tcBorders>
            <w:shd w:val="clear" w:color="auto" w:fill="auto"/>
            <w:vAlign w:val="center"/>
            <w:hideMark/>
          </w:tcPr>
          <w:p w14:paraId="2F991A4C"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672042E1" w14:textId="77777777" w:rsidTr="00365E59">
        <w:trPr>
          <w:trHeight w:val="780"/>
        </w:trPr>
        <w:tc>
          <w:tcPr>
            <w:tcW w:w="3117" w:type="pct"/>
            <w:tcBorders>
              <w:top w:val="nil"/>
              <w:left w:val="nil"/>
              <w:bottom w:val="nil"/>
              <w:right w:val="nil"/>
            </w:tcBorders>
            <w:shd w:val="clear" w:color="auto" w:fill="auto"/>
            <w:vAlign w:val="center"/>
            <w:hideMark/>
          </w:tcPr>
          <w:p w14:paraId="56176657"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 buyers purchase in large volumes? Does a buyer’s purchase volume represent a large fraction of the typical seller’s sales revenue?</w:t>
            </w:r>
          </w:p>
        </w:tc>
        <w:tc>
          <w:tcPr>
            <w:tcW w:w="1136" w:type="pct"/>
            <w:tcBorders>
              <w:top w:val="nil"/>
              <w:left w:val="nil"/>
              <w:bottom w:val="nil"/>
              <w:right w:val="nil"/>
            </w:tcBorders>
            <w:shd w:val="clear" w:color="auto" w:fill="auto"/>
            <w:vAlign w:val="center"/>
            <w:hideMark/>
          </w:tcPr>
          <w:p w14:paraId="468DB570"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c>
          <w:tcPr>
            <w:tcW w:w="747" w:type="pct"/>
            <w:tcBorders>
              <w:top w:val="nil"/>
              <w:left w:val="nil"/>
              <w:bottom w:val="nil"/>
              <w:right w:val="nil"/>
            </w:tcBorders>
            <w:shd w:val="clear" w:color="auto" w:fill="auto"/>
            <w:vAlign w:val="center"/>
            <w:hideMark/>
          </w:tcPr>
          <w:p w14:paraId="45765178"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0FE04AF3" w14:textId="77777777" w:rsidTr="00365E59">
        <w:trPr>
          <w:trHeight w:val="290"/>
        </w:trPr>
        <w:tc>
          <w:tcPr>
            <w:tcW w:w="3117" w:type="pct"/>
            <w:tcBorders>
              <w:top w:val="nil"/>
              <w:left w:val="nil"/>
              <w:bottom w:val="nil"/>
              <w:right w:val="nil"/>
            </w:tcBorders>
            <w:shd w:val="clear" w:color="auto" w:fill="auto"/>
            <w:vAlign w:val="center"/>
            <w:hideMark/>
          </w:tcPr>
          <w:p w14:paraId="5BB2AD38"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Can buyers find substitutes for industry’s product?</w:t>
            </w:r>
          </w:p>
        </w:tc>
        <w:tc>
          <w:tcPr>
            <w:tcW w:w="1136" w:type="pct"/>
            <w:tcBorders>
              <w:top w:val="nil"/>
              <w:left w:val="nil"/>
              <w:bottom w:val="nil"/>
              <w:right w:val="nil"/>
            </w:tcBorders>
            <w:shd w:val="clear" w:color="auto" w:fill="auto"/>
            <w:vAlign w:val="center"/>
            <w:hideMark/>
          </w:tcPr>
          <w:p w14:paraId="16FC20FD"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c>
          <w:tcPr>
            <w:tcW w:w="747" w:type="pct"/>
            <w:tcBorders>
              <w:top w:val="nil"/>
              <w:left w:val="nil"/>
              <w:bottom w:val="nil"/>
              <w:right w:val="nil"/>
            </w:tcBorders>
            <w:shd w:val="clear" w:color="auto" w:fill="auto"/>
            <w:vAlign w:val="center"/>
            <w:hideMark/>
          </w:tcPr>
          <w:p w14:paraId="618A40AE"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74337DB5" w14:textId="77777777" w:rsidTr="00365E59">
        <w:trPr>
          <w:trHeight w:val="520"/>
        </w:trPr>
        <w:tc>
          <w:tcPr>
            <w:tcW w:w="3117" w:type="pct"/>
            <w:tcBorders>
              <w:top w:val="nil"/>
              <w:left w:val="nil"/>
              <w:bottom w:val="nil"/>
              <w:right w:val="nil"/>
            </w:tcBorders>
            <w:shd w:val="clear" w:color="auto" w:fill="auto"/>
            <w:vAlign w:val="center"/>
            <w:hideMark/>
          </w:tcPr>
          <w:p w14:paraId="2AA809CC"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 firms in industry make relationship-specific investments to support transactions with specific buyers?</w:t>
            </w:r>
          </w:p>
        </w:tc>
        <w:tc>
          <w:tcPr>
            <w:tcW w:w="1136" w:type="pct"/>
            <w:tcBorders>
              <w:top w:val="nil"/>
              <w:left w:val="nil"/>
              <w:bottom w:val="nil"/>
              <w:right w:val="nil"/>
            </w:tcBorders>
            <w:shd w:val="clear" w:color="auto" w:fill="auto"/>
            <w:vAlign w:val="center"/>
            <w:hideMark/>
          </w:tcPr>
          <w:p w14:paraId="2A6845C2"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c>
          <w:tcPr>
            <w:tcW w:w="747" w:type="pct"/>
            <w:tcBorders>
              <w:top w:val="nil"/>
              <w:left w:val="nil"/>
              <w:bottom w:val="nil"/>
              <w:right w:val="nil"/>
            </w:tcBorders>
            <w:shd w:val="clear" w:color="auto" w:fill="auto"/>
            <w:vAlign w:val="center"/>
            <w:hideMark/>
          </w:tcPr>
          <w:p w14:paraId="7D48FD89"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464F46F4" w14:textId="77777777" w:rsidTr="00365E59">
        <w:trPr>
          <w:trHeight w:val="290"/>
        </w:trPr>
        <w:tc>
          <w:tcPr>
            <w:tcW w:w="3117" w:type="pct"/>
            <w:tcBorders>
              <w:top w:val="nil"/>
              <w:left w:val="nil"/>
              <w:bottom w:val="nil"/>
              <w:right w:val="nil"/>
            </w:tcBorders>
            <w:shd w:val="clear" w:color="auto" w:fill="auto"/>
            <w:vAlign w:val="center"/>
            <w:hideMark/>
          </w:tcPr>
          <w:p w14:paraId="766A7C37"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Is price elasticity of demand of buyer’s product high or low?</w:t>
            </w:r>
          </w:p>
        </w:tc>
        <w:tc>
          <w:tcPr>
            <w:tcW w:w="1136" w:type="pct"/>
            <w:tcBorders>
              <w:top w:val="nil"/>
              <w:left w:val="nil"/>
              <w:bottom w:val="nil"/>
              <w:right w:val="nil"/>
            </w:tcBorders>
            <w:shd w:val="clear" w:color="auto" w:fill="auto"/>
            <w:vAlign w:val="center"/>
            <w:hideMark/>
          </w:tcPr>
          <w:p w14:paraId="33A284C5"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c>
          <w:tcPr>
            <w:tcW w:w="747" w:type="pct"/>
            <w:tcBorders>
              <w:top w:val="nil"/>
              <w:left w:val="nil"/>
              <w:bottom w:val="nil"/>
              <w:right w:val="nil"/>
            </w:tcBorders>
            <w:shd w:val="clear" w:color="auto" w:fill="auto"/>
            <w:vAlign w:val="center"/>
            <w:hideMark/>
          </w:tcPr>
          <w:p w14:paraId="7CCC57BF"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High</w:t>
            </w:r>
          </w:p>
        </w:tc>
      </w:tr>
      <w:tr w:rsidR="00365E59" w:rsidRPr="009E73F3" w14:paraId="7747365B" w14:textId="77777777" w:rsidTr="00365E59">
        <w:trPr>
          <w:trHeight w:val="290"/>
        </w:trPr>
        <w:tc>
          <w:tcPr>
            <w:tcW w:w="3117" w:type="pct"/>
            <w:tcBorders>
              <w:top w:val="nil"/>
              <w:left w:val="nil"/>
              <w:bottom w:val="nil"/>
              <w:right w:val="nil"/>
            </w:tcBorders>
            <w:shd w:val="clear" w:color="auto" w:fill="auto"/>
            <w:vAlign w:val="center"/>
            <w:hideMark/>
          </w:tcPr>
          <w:p w14:paraId="6A61CF30"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 buyers pose credible threat of backward integration?</w:t>
            </w:r>
          </w:p>
        </w:tc>
        <w:tc>
          <w:tcPr>
            <w:tcW w:w="1136" w:type="pct"/>
            <w:tcBorders>
              <w:top w:val="nil"/>
              <w:left w:val="nil"/>
              <w:bottom w:val="nil"/>
              <w:right w:val="nil"/>
            </w:tcBorders>
            <w:shd w:val="clear" w:color="auto" w:fill="auto"/>
            <w:vAlign w:val="center"/>
            <w:hideMark/>
          </w:tcPr>
          <w:p w14:paraId="1A240A02"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Low</w:t>
            </w:r>
          </w:p>
        </w:tc>
        <w:tc>
          <w:tcPr>
            <w:tcW w:w="747" w:type="pct"/>
            <w:tcBorders>
              <w:top w:val="nil"/>
              <w:left w:val="nil"/>
              <w:bottom w:val="nil"/>
              <w:right w:val="nil"/>
            </w:tcBorders>
            <w:shd w:val="clear" w:color="auto" w:fill="auto"/>
            <w:vAlign w:val="center"/>
            <w:hideMark/>
          </w:tcPr>
          <w:p w14:paraId="73A0B4DB"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r>
      <w:tr w:rsidR="00365E59" w:rsidRPr="009E73F3" w14:paraId="73E28585" w14:textId="77777777" w:rsidTr="00365E59">
        <w:trPr>
          <w:trHeight w:val="520"/>
        </w:trPr>
        <w:tc>
          <w:tcPr>
            <w:tcW w:w="3117" w:type="pct"/>
            <w:tcBorders>
              <w:top w:val="nil"/>
              <w:left w:val="nil"/>
              <w:bottom w:val="nil"/>
              <w:right w:val="nil"/>
            </w:tcBorders>
            <w:shd w:val="clear" w:color="auto" w:fill="auto"/>
            <w:vAlign w:val="center"/>
            <w:hideMark/>
          </w:tcPr>
          <w:p w14:paraId="01FD4A8E"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Does product represent significant fraction of cost in buyer’s business?</w:t>
            </w:r>
          </w:p>
        </w:tc>
        <w:tc>
          <w:tcPr>
            <w:tcW w:w="1136" w:type="pct"/>
            <w:tcBorders>
              <w:top w:val="nil"/>
              <w:left w:val="nil"/>
              <w:bottom w:val="nil"/>
              <w:right w:val="nil"/>
            </w:tcBorders>
            <w:shd w:val="clear" w:color="auto" w:fill="auto"/>
            <w:vAlign w:val="center"/>
            <w:hideMark/>
          </w:tcPr>
          <w:p w14:paraId="48F66BCB"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Moderate</w:t>
            </w:r>
          </w:p>
        </w:tc>
        <w:tc>
          <w:tcPr>
            <w:tcW w:w="747" w:type="pct"/>
            <w:tcBorders>
              <w:top w:val="nil"/>
              <w:left w:val="nil"/>
              <w:bottom w:val="nil"/>
              <w:right w:val="nil"/>
            </w:tcBorders>
            <w:shd w:val="clear" w:color="auto" w:fill="auto"/>
            <w:vAlign w:val="center"/>
            <w:hideMark/>
          </w:tcPr>
          <w:p w14:paraId="30923406"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High</w:t>
            </w:r>
          </w:p>
        </w:tc>
      </w:tr>
      <w:tr w:rsidR="00365E59" w:rsidRPr="009E73F3" w14:paraId="3FBF6AEA" w14:textId="77777777" w:rsidTr="00365E59">
        <w:trPr>
          <w:trHeight w:val="840"/>
        </w:trPr>
        <w:tc>
          <w:tcPr>
            <w:tcW w:w="3117" w:type="pct"/>
            <w:tcBorders>
              <w:top w:val="nil"/>
              <w:left w:val="nil"/>
              <w:bottom w:val="single" w:sz="4" w:space="0" w:color="auto"/>
              <w:right w:val="nil"/>
            </w:tcBorders>
            <w:shd w:val="clear" w:color="auto" w:fill="auto"/>
            <w:vAlign w:val="center"/>
            <w:hideMark/>
          </w:tcPr>
          <w:p w14:paraId="54293A1F" w14:textId="77777777" w:rsidR="00365E59" w:rsidRPr="009E73F3" w:rsidRDefault="00365E59" w:rsidP="009E73F3">
            <w:pPr>
              <w:widowControl/>
              <w:rPr>
                <w:rFonts w:ascii="Times New Roman" w:eastAsia="Times New Roman" w:hAnsi="Times New Roman" w:cs="Times New Roman"/>
                <w:color w:val="000000"/>
                <w:sz w:val="20"/>
                <w:szCs w:val="20"/>
              </w:rPr>
            </w:pPr>
            <w:r w:rsidRPr="009E73F3">
              <w:rPr>
                <w:rFonts w:ascii="Times New Roman" w:eastAsia="Times New Roman" w:hAnsi="Times New Roman" w:cs="Times New Roman"/>
                <w:color w:val="000000"/>
                <w:sz w:val="20"/>
                <w:szCs w:val="20"/>
              </w:rPr>
              <w:t>Are prices in the market negotiated between buyers and sellers on each individual transaction, or do sellers post a “take-it-or-leave-it” price that applies to all transactions?</w:t>
            </w:r>
          </w:p>
        </w:tc>
        <w:tc>
          <w:tcPr>
            <w:tcW w:w="1136" w:type="pct"/>
            <w:tcBorders>
              <w:top w:val="nil"/>
              <w:left w:val="nil"/>
              <w:bottom w:val="single" w:sz="4" w:space="0" w:color="auto"/>
              <w:right w:val="nil"/>
            </w:tcBorders>
            <w:shd w:val="clear" w:color="auto" w:fill="auto"/>
            <w:vAlign w:val="center"/>
            <w:hideMark/>
          </w:tcPr>
          <w:p w14:paraId="578CB50B"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Take-it or leave it</w:t>
            </w:r>
          </w:p>
        </w:tc>
        <w:tc>
          <w:tcPr>
            <w:tcW w:w="747" w:type="pct"/>
            <w:tcBorders>
              <w:top w:val="nil"/>
              <w:left w:val="nil"/>
              <w:bottom w:val="single" w:sz="4" w:space="0" w:color="auto"/>
              <w:right w:val="nil"/>
            </w:tcBorders>
            <w:shd w:val="clear" w:color="auto" w:fill="auto"/>
            <w:vAlign w:val="center"/>
            <w:hideMark/>
          </w:tcPr>
          <w:p w14:paraId="4C0A3C7D" w14:textId="77777777" w:rsidR="00365E59" w:rsidRPr="009E73F3" w:rsidRDefault="00365E59" w:rsidP="009E73F3">
            <w:pPr>
              <w:widowControl/>
              <w:jc w:val="center"/>
              <w:rPr>
                <w:rFonts w:ascii="Times New Roman" w:eastAsia="Times New Roman" w:hAnsi="Times New Roman" w:cs="Times New Roman"/>
                <w:color w:val="000000"/>
              </w:rPr>
            </w:pPr>
            <w:r w:rsidRPr="009E73F3">
              <w:rPr>
                <w:rFonts w:ascii="Times New Roman" w:eastAsia="Times New Roman" w:hAnsi="Times New Roman" w:cs="Times New Roman"/>
                <w:color w:val="000000"/>
              </w:rPr>
              <w:t>Take-it or Leave-it</w:t>
            </w:r>
          </w:p>
        </w:tc>
      </w:tr>
    </w:tbl>
    <w:p w14:paraId="49152CF3" w14:textId="77777777" w:rsidR="009E73F3" w:rsidRDefault="009E73F3" w:rsidP="00A70135">
      <w:pPr>
        <w:widowControl/>
        <w:rPr>
          <w:rFonts w:ascii="Times New Roman" w:eastAsia="Times New Roman" w:hAnsi="Times New Roman" w:cs="Times New Roman"/>
          <w:color w:val="000000"/>
          <w:sz w:val="20"/>
          <w:szCs w:val="20"/>
        </w:rPr>
      </w:pPr>
    </w:p>
    <w:p w14:paraId="6543E77E" w14:textId="77777777" w:rsidR="00B221D8" w:rsidRDefault="00B221D8" w:rsidP="00A70135">
      <w:pPr>
        <w:widowControl/>
        <w:rPr>
          <w:rFonts w:ascii="Times New Roman" w:eastAsia="Times New Roman" w:hAnsi="Times New Roman" w:cs="Times New Roman"/>
          <w:color w:val="000000"/>
          <w:sz w:val="20"/>
          <w:szCs w:val="20"/>
        </w:rPr>
      </w:pPr>
    </w:p>
    <w:p w14:paraId="23259581" w14:textId="77777777" w:rsidR="00B221D8" w:rsidRDefault="00B221D8" w:rsidP="00A70135">
      <w:pPr>
        <w:widowControl/>
        <w:rPr>
          <w:rFonts w:ascii="Times New Roman" w:eastAsia="Times New Roman" w:hAnsi="Times New Roman" w:cs="Times New Roman"/>
          <w:color w:val="000000"/>
          <w:sz w:val="20"/>
          <w:szCs w:val="20"/>
        </w:rPr>
      </w:pPr>
    </w:p>
    <w:p w14:paraId="39899F1D" w14:textId="2ACEB90B" w:rsidR="00B221D8" w:rsidRPr="00555734" w:rsidRDefault="00555734" w:rsidP="00A70135">
      <w:pPr>
        <w:widowControl/>
        <w:rPr>
          <w:rFonts w:ascii="Times New Roman" w:eastAsia="Times New Roman" w:hAnsi="Times New Roman" w:cs="Times New Roman"/>
          <w:color w:val="000000"/>
        </w:rPr>
      </w:pPr>
      <w:r w:rsidRPr="00555734">
        <w:rPr>
          <w:rFonts w:ascii="Times New Roman" w:eastAsia="Times New Roman" w:hAnsi="Times New Roman" w:cs="Times New Roman"/>
          <w:color w:val="000000"/>
        </w:rPr>
        <w:t>Note:</w:t>
      </w:r>
      <w:r>
        <w:rPr>
          <w:rFonts w:ascii="Times New Roman" w:eastAsia="Times New Roman" w:hAnsi="Times New Roman" w:cs="Times New Roman"/>
          <w:color w:val="000000"/>
        </w:rPr>
        <w:t xml:space="preserve"> </w:t>
      </w:r>
      <w:r w:rsidR="002314B3">
        <w:rPr>
          <w:rFonts w:ascii="Times New Roman" w:eastAsia="Times New Roman" w:hAnsi="Times New Roman" w:cs="Times New Roman"/>
          <w:color w:val="000000"/>
        </w:rPr>
        <w:t xml:space="preserve">for the analysis we used 5 point Likert scale </w:t>
      </w:r>
      <w:r w:rsidR="002314B3">
        <w:rPr>
          <w:rFonts w:ascii="Times New Roman" w:eastAsia="Times New Roman" w:hAnsi="Times New Roman" w:cs="Times New Roman"/>
          <w:color w:val="000000"/>
        </w:rPr>
        <w:fldChar w:fldCharType="begin" w:fldLock="1"/>
      </w:r>
      <w:r w:rsidR="00F303EB">
        <w:rPr>
          <w:rFonts w:ascii="Times New Roman" w:eastAsia="Times New Roman" w:hAnsi="Times New Roman" w:cs="Times New Roman"/>
          <w:color w:val="000000"/>
        </w:rPr>
        <w:instrText>ADDIN CSL_CITATION {"citationItems":[{"id":"ITEM-1","itemData":{"DOI":"10.1504/IJLSM.2014.065498","ISSN":"17427975","abstract":"The role of customers and their involvement in green supply chain management (GSCM) has been recognised as an important research area. This paper is an attempt to explore factors influencing involvement of customers towards greening the supply chain (SC). Twenty-five critical success factors (CSFs) of customer involvement in GSCM have been identified from literature review and through extensive discussions with senior and middle level SC professionals. Interviews and questionnaire-based survey have been used to indicate the significance of these CSFs. A total of 478 valid responses were received to rate these CSFs on a five-point Likert scale (ranging from unimportant to most important). Statistical analysis has been carried out to establish the reliability and to test the validity of the questionnaires. Subsequent factor analysis has identified seven major components covering 79.24% of total variance. This paper may help to establish the importance of customer role in promoting green concept in SCs and to develop an understanding of factors influencing customer involvement - key input towards creating 'greening pull system' (GPSYS). This understanding may further help in framing the policies and strategies to green the SC.","author":[{"dropping-particle":"","family":"Kumar","given":"Sanjay","non-dropping-particle":"","parse-names":false,"suffix":""},{"dropping-particle":"","family":"Luthra","given":"Sunil","non-dropping-particle":"","parse-names":false,"suffix":""},{"dropping-particle":"","family":"Haleem","given":"Abid","non-dropping-particle":"","parse-names":false,"suffix":""}],"container-title":"International Journal of Logistics Systems and Management","id":"ITEM-1","issue":"3","issued":{"date-parts":[["2014"]]},"page":"283-310","title":"Critical success factors of customer involvement in greening the supply chain: An empirical study","type":"article-journal","volume":"19"},"uris":["http://www.mendeley.com/documents/?uuid=857e55e6-e55c-4743-a14e-87ed18195be1"]}],"mendeley":{"formattedCitation":"(Kumar et al., 2014)","plainTextFormattedCitation":"(Kumar et al., 2014)","previouslyFormattedCitation":"(Kumar et al., 2014)"},"properties":{"noteIndex":0},"schema":"https://github.com/citation-style-language/schema/raw/master/csl-citation.json"}</w:instrText>
      </w:r>
      <w:r w:rsidR="002314B3">
        <w:rPr>
          <w:rFonts w:ascii="Times New Roman" w:eastAsia="Times New Roman" w:hAnsi="Times New Roman" w:cs="Times New Roman"/>
          <w:color w:val="000000"/>
        </w:rPr>
        <w:fldChar w:fldCharType="separate"/>
      </w:r>
      <w:r w:rsidR="00681ED9" w:rsidRPr="00681ED9">
        <w:rPr>
          <w:rFonts w:ascii="Times New Roman" w:eastAsia="Times New Roman" w:hAnsi="Times New Roman" w:cs="Times New Roman"/>
          <w:noProof/>
          <w:color w:val="000000"/>
        </w:rPr>
        <w:t>(Kumar et al., 2014)</w:t>
      </w:r>
      <w:r w:rsidR="002314B3">
        <w:rPr>
          <w:rFonts w:ascii="Times New Roman" w:eastAsia="Times New Roman" w:hAnsi="Times New Roman" w:cs="Times New Roman"/>
          <w:color w:val="000000"/>
        </w:rPr>
        <w:fldChar w:fldCharType="end"/>
      </w:r>
    </w:p>
    <w:p w14:paraId="1CDA4D5E" w14:textId="6466BF18" w:rsidR="00555734" w:rsidRPr="00555734" w:rsidRDefault="00555734" w:rsidP="00555734">
      <w:pPr>
        <w:widowControl/>
        <w:rPr>
          <w:rFonts w:ascii="Times New Roman" w:eastAsia="Times New Roman" w:hAnsi="Times New Roman" w:cs="Times New Roman"/>
          <w:color w:val="000000"/>
        </w:rPr>
      </w:pPr>
      <w:r w:rsidRPr="00555734">
        <w:rPr>
          <w:rFonts w:ascii="Times New Roman" w:eastAsia="Times New Roman" w:hAnsi="Times New Roman" w:cs="Times New Roman"/>
          <w:b/>
          <w:bCs/>
          <w:color w:val="000000"/>
        </w:rPr>
        <w:t>Low</w:t>
      </w:r>
      <w:r w:rsidRPr="00555734">
        <w:rPr>
          <w:rFonts w:ascii="Times New Roman" w:eastAsia="Times New Roman" w:hAnsi="Times New Roman" w:cs="Times New Roman"/>
          <w:color w:val="000000"/>
        </w:rPr>
        <w:t xml:space="preserve"> = 1</w:t>
      </w:r>
    </w:p>
    <w:p w14:paraId="7DD6C6BE" w14:textId="57D6A63D" w:rsidR="00555734" w:rsidRPr="00555734" w:rsidRDefault="00555734" w:rsidP="00555734">
      <w:pPr>
        <w:widowControl/>
        <w:rPr>
          <w:rFonts w:ascii="Times New Roman" w:eastAsia="Times New Roman" w:hAnsi="Times New Roman" w:cs="Times New Roman"/>
          <w:color w:val="000000"/>
        </w:rPr>
      </w:pPr>
      <w:r w:rsidRPr="00555734">
        <w:rPr>
          <w:rFonts w:ascii="Times New Roman" w:eastAsia="Times New Roman" w:hAnsi="Times New Roman" w:cs="Times New Roman"/>
          <w:b/>
          <w:bCs/>
          <w:color w:val="000000"/>
        </w:rPr>
        <w:t>Somewhat Low</w:t>
      </w:r>
      <w:r w:rsidRPr="00555734">
        <w:rPr>
          <w:rFonts w:ascii="Times New Roman" w:eastAsia="Times New Roman" w:hAnsi="Times New Roman" w:cs="Times New Roman"/>
          <w:color w:val="000000"/>
        </w:rPr>
        <w:t xml:space="preserve"> = 2</w:t>
      </w:r>
    </w:p>
    <w:p w14:paraId="33935EAF" w14:textId="01C6A2C5" w:rsidR="00555734" w:rsidRPr="00555734" w:rsidRDefault="00555734" w:rsidP="00555734">
      <w:pPr>
        <w:widowControl/>
        <w:rPr>
          <w:rFonts w:ascii="Times New Roman" w:eastAsia="Times New Roman" w:hAnsi="Times New Roman" w:cs="Times New Roman"/>
          <w:color w:val="000000"/>
        </w:rPr>
      </w:pPr>
      <w:r w:rsidRPr="00555734">
        <w:rPr>
          <w:rFonts w:ascii="Times New Roman" w:eastAsia="Times New Roman" w:hAnsi="Times New Roman" w:cs="Times New Roman"/>
          <w:b/>
          <w:bCs/>
          <w:color w:val="000000"/>
        </w:rPr>
        <w:t>Moderate</w:t>
      </w:r>
      <w:r w:rsidRPr="00555734">
        <w:rPr>
          <w:rFonts w:ascii="Times New Roman" w:eastAsia="Times New Roman" w:hAnsi="Times New Roman" w:cs="Times New Roman"/>
          <w:color w:val="000000"/>
        </w:rPr>
        <w:t xml:space="preserve"> = 3</w:t>
      </w:r>
    </w:p>
    <w:p w14:paraId="37A43C90" w14:textId="19097EB3" w:rsidR="00555734" w:rsidRPr="00555734" w:rsidRDefault="00555734" w:rsidP="00555734">
      <w:pPr>
        <w:widowControl/>
        <w:rPr>
          <w:rFonts w:ascii="Times New Roman" w:eastAsia="Times New Roman" w:hAnsi="Times New Roman" w:cs="Times New Roman"/>
          <w:color w:val="000000"/>
        </w:rPr>
      </w:pPr>
      <w:r w:rsidRPr="00555734">
        <w:rPr>
          <w:rFonts w:ascii="Times New Roman" w:eastAsia="Times New Roman" w:hAnsi="Times New Roman" w:cs="Times New Roman"/>
          <w:b/>
          <w:bCs/>
          <w:color w:val="000000"/>
        </w:rPr>
        <w:t>Somewhat High</w:t>
      </w:r>
      <w:r w:rsidRPr="00555734">
        <w:rPr>
          <w:rFonts w:ascii="Times New Roman" w:eastAsia="Times New Roman" w:hAnsi="Times New Roman" w:cs="Times New Roman"/>
          <w:color w:val="000000"/>
        </w:rPr>
        <w:t xml:space="preserve"> = 4</w:t>
      </w:r>
    </w:p>
    <w:p w14:paraId="61E6C471" w14:textId="693C2A48" w:rsidR="00555734" w:rsidRPr="00555734" w:rsidRDefault="00555734" w:rsidP="00555734">
      <w:pPr>
        <w:widowControl/>
        <w:rPr>
          <w:rFonts w:ascii="Times New Roman" w:eastAsia="Times New Roman" w:hAnsi="Times New Roman" w:cs="Times New Roman"/>
          <w:color w:val="000000"/>
        </w:rPr>
      </w:pPr>
      <w:r w:rsidRPr="00555734">
        <w:rPr>
          <w:rFonts w:ascii="Times New Roman" w:eastAsia="Times New Roman" w:hAnsi="Times New Roman" w:cs="Times New Roman"/>
          <w:b/>
          <w:bCs/>
          <w:color w:val="000000"/>
        </w:rPr>
        <w:t>High</w:t>
      </w:r>
      <w:r w:rsidRPr="00555734">
        <w:rPr>
          <w:rFonts w:ascii="Times New Roman" w:eastAsia="Times New Roman" w:hAnsi="Times New Roman" w:cs="Times New Roman"/>
          <w:color w:val="000000"/>
        </w:rPr>
        <w:t xml:space="preserve"> = 5</w:t>
      </w:r>
    </w:p>
    <w:p w14:paraId="6659B3FE" w14:textId="77777777" w:rsidR="00B221D8" w:rsidRDefault="00B221D8" w:rsidP="00A70135">
      <w:pPr>
        <w:widowControl/>
        <w:rPr>
          <w:rFonts w:ascii="Times New Roman" w:eastAsia="Times New Roman" w:hAnsi="Times New Roman" w:cs="Times New Roman"/>
          <w:color w:val="000000"/>
          <w:sz w:val="20"/>
          <w:szCs w:val="20"/>
        </w:rPr>
      </w:pPr>
    </w:p>
    <w:p w14:paraId="31EB88A7" w14:textId="77777777" w:rsidR="00B221D8" w:rsidRDefault="00B221D8" w:rsidP="00A70135">
      <w:pPr>
        <w:widowControl/>
        <w:rPr>
          <w:rFonts w:ascii="Times New Roman" w:eastAsia="Times New Roman" w:hAnsi="Times New Roman" w:cs="Times New Roman"/>
          <w:color w:val="000000"/>
          <w:sz w:val="20"/>
          <w:szCs w:val="20"/>
        </w:rPr>
      </w:pPr>
    </w:p>
    <w:p w14:paraId="208A622A" w14:textId="77777777" w:rsidR="00B221D8" w:rsidRDefault="00B221D8" w:rsidP="00A70135">
      <w:pPr>
        <w:widowControl/>
        <w:rPr>
          <w:rFonts w:ascii="Times New Roman" w:eastAsia="Times New Roman" w:hAnsi="Times New Roman" w:cs="Times New Roman"/>
          <w:color w:val="000000"/>
          <w:sz w:val="20"/>
          <w:szCs w:val="20"/>
        </w:rPr>
      </w:pPr>
    </w:p>
    <w:p w14:paraId="1B228F2C" w14:textId="77777777" w:rsidR="00B221D8" w:rsidRDefault="00B221D8" w:rsidP="00A70135">
      <w:pPr>
        <w:widowControl/>
        <w:rPr>
          <w:rFonts w:ascii="Times New Roman" w:eastAsia="Times New Roman" w:hAnsi="Times New Roman" w:cs="Times New Roman"/>
          <w:color w:val="000000"/>
          <w:sz w:val="20"/>
          <w:szCs w:val="20"/>
        </w:rPr>
      </w:pPr>
    </w:p>
    <w:p w14:paraId="555ED3D8" w14:textId="77777777" w:rsidR="00B221D8" w:rsidRDefault="00B221D8" w:rsidP="00A70135">
      <w:pPr>
        <w:widowControl/>
        <w:rPr>
          <w:rFonts w:ascii="Times New Roman" w:eastAsia="Times New Roman" w:hAnsi="Times New Roman" w:cs="Times New Roman"/>
          <w:color w:val="000000"/>
          <w:sz w:val="20"/>
          <w:szCs w:val="20"/>
        </w:rPr>
      </w:pPr>
    </w:p>
    <w:p w14:paraId="265E7364" w14:textId="77777777" w:rsidR="00B221D8" w:rsidRDefault="00B221D8" w:rsidP="00A70135">
      <w:pPr>
        <w:widowControl/>
        <w:rPr>
          <w:rFonts w:ascii="Times New Roman" w:eastAsia="Times New Roman" w:hAnsi="Times New Roman" w:cs="Times New Roman"/>
          <w:color w:val="000000"/>
          <w:sz w:val="20"/>
          <w:szCs w:val="20"/>
        </w:rPr>
      </w:pPr>
    </w:p>
    <w:p w14:paraId="3BFDE392" w14:textId="77777777" w:rsidR="00B221D8" w:rsidRDefault="00B221D8" w:rsidP="00A70135">
      <w:pPr>
        <w:widowControl/>
        <w:rPr>
          <w:rFonts w:ascii="Times New Roman" w:eastAsia="Times New Roman" w:hAnsi="Times New Roman" w:cs="Times New Roman"/>
          <w:color w:val="000000"/>
          <w:sz w:val="20"/>
          <w:szCs w:val="20"/>
        </w:rPr>
      </w:pPr>
    </w:p>
    <w:p w14:paraId="083380F2" w14:textId="77777777" w:rsidR="00B221D8" w:rsidRDefault="00B221D8" w:rsidP="00A70135">
      <w:pPr>
        <w:widowControl/>
        <w:rPr>
          <w:rFonts w:ascii="Times New Roman" w:eastAsia="Times New Roman" w:hAnsi="Times New Roman" w:cs="Times New Roman"/>
          <w:color w:val="000000"/>
          <w:sz w:val="20"/>
          <w:szCs w:val="20"/>
        </w:rPr>
      </w:pPr>
    </w:p>
    <w:p w14:paraId="3764FEA8" w14:textId="77777777" w:rsidR="00B221D8" w:rsidRDefault="00B221D8" w:rsidP="00A70135">
      <w:pPr>
        <w:widowControl/>
        <w:rPr>
          <w:rFonts w:ascii="Times New Roman" w:eastAsia="Times New Roman" w:hAnsi="Times New Roman" w:cs="Times New Roman"/>
          <w:color w:val="000000"/>
          <w:sz w:val="20"/>
          <w:szCs w:val="20"/>
        </w:rPr>
      </w:pPr>
    </w:p>
    <w:p w14:paraId="2938C0C7" w14:textId="77777777" w:rsidR="00B221D8" w:rsidRDefault="00B221D8" w:rsidP="00A70135">
      <w:pPr>
        <w:widowControl/>
        <w:rPr>
          <w:rFonts w:ascii="Times New Roman" w:eastAsia="Times New Roman" w:hAnsi="Times New Roman" w:cs="Times New Roman"/>
          <w:color w:val="000000"/>
          <w:sz w:val="20"/>
          <w:szCs w:val="20"/>
        </w:rPr>
      </w:pPr>
    </w:p>
    <w:p w14:paraId="4E52D519" w14:textId="14CBDF51" w:rsidR="00B221D8" w:rsidRDefault="00472438" w:rsidP="00A70135">
      <w:pPr>
        <w:widowControl/>
        <w:rPr>
          <w:rFonts w:ascii="Times New Roman" w:eastAsia="Times New Roman" w:hAnsi="Times New Roman" w:cs="Times New Roman"/>
          <w:color w:val="000000"/>
          <w:sz w:val="20"/>
          <w:szCs w:val="20"/>
        </w:rPr>
      </w:pPr>
      <w:r w:rsidRPr="001058F0">
        <w:rPr>
          <w:rFonts w:ascii="Times New Roman" w:eastAsia="Times New Roman" w:hAnsi="Times New Roman" w:cs="Times New Roman"/>
          <w:color w:val="000000"/>
          <w:sz w:val="24"/>
          <w:szCs w:val="24"/>
        </w:rPr>
        <w:t xml:space="preserve">We used </w:t>
      </w:r>
      <w:proofErr w:type="gramStart"/>
      <w:r w:rsidR="001058F0">
        <w:rPr>
          <w:rFonts w:ascii="Times New Roman" w:eastAsia="Times New Roman" w:hAnsi="Times New Roman" w:cs="Times New Roman"/>
          <w:color w:val="000000"/>
          <w:sz w:val="24"/>
          <w:szCs w:val="24"/>
        </w:rPr>
        <w:t>five</w:t>
      </w:r>
      <w:proofErr w:type="gramEnd"/>
      <w:r w:rsidR="001058F0">
        <w:rPr>
          <w:rFonts w:ascii="Times New Roman" w:eastAsia="Times New Roman" w:hAnsi="Times New Roman" w:cs="Times New Roman"/>
          <w:color w:val="000000"/>
          <w:sz w:val="24"/>
          <w:szCs w:val="24"/>
        </w:rPr>
        <w:t>-point</w:t>
      </w:r>
      <w:r w:rsidRPr="001058F0">
        <w:rPr>
          <w:rFonts w:ascii="Times New Roman" w:eastAsia="Times New Roman" w:hAnsi="Times New Roman" w:cs="Times New Roman"/>
          <w:color w:val="000000"/>
          <w:sz w:val="24"/>
          <w:szCs w:val="24"/>
        </w:rPr>
        <w:t xml:space="preserve"> </w:t>
      </w:r>
      <w:r w:rsidR="001058F0" w:rsidRPr="001058F0">
        <w:rPr>
          <w:rFonts w:ascii="Times New Roman" w:eastAsia="Times New Roman" w:hAnsi="Times New Roman" w:cs="Times New Roman"/>
          <w:color w:val="000000"/>
          <w:sz w:val="24"/>
          <w:szCs w:val="24"/>
        </w:rPr>
        <w:t>Likert</w:t>
      </w:r>
      <w:r w:rsidRPr="001058F0">
        <w:rPr>
          <w:rFonts w:ascii="Times New Roman" w:eastAsia="Times New Roman" w:hAnsi="Times New Roman" w:cs="Times New Roman"/>
          <w:color w:val="000000"/>
          <w:sz w:val="24"/>
          <w:szCs w:val="24"/>
        </w:rPr>
        <w:t xml:space="preserve"> scale to analyze the d</w:t>
      </w:r>
      <w:r w:rsidR="001058F0">
        <w:rPr>
          <w:rFonts w:ascii="Times New Roman" w:eastAsia="Times New Roman" w:hAnsi="Times New Roman" w:cs="Times New Roman"/>
          <w:color w:val="000000"/>
          <w:sz w:val="24"/>
          <w:szCs w:val="24"/>
        </w:rPr>
        <w:t>ata.</w:t>
      </w:r>
    </w:p>
    <w:p w14:paraId="7895E9EB" w14:textId="77777777" w:rsidR="00B221D8" w:rsidRDefault="00B221D8" w:rsidP="00A70135">
      <w:pPr>
        <w:widowControl/>
        <w:rPr>
          <w:rFonts w:ascii="Times New Roman" w:eastAsia="Times New Roman" w:hAnsi="Times New Roman" w:cs="Times New Roman"/>
          <w:color w:val="000000"/>
          <w:sz w:val="20"/>
          <w:szCs w:val="20"/>
        </w:rPr>
      </w:pPr>
    </w:p>
    <w:p w14:paraId="549B2FCF" w14:textId="0F67C761" w:rsidR="00B221D8" w:rsidRDefault="007558AB" w:rsidP="001C13FC">
      <w:pPr>
        <w:pStyle w:val="Heading1"/>
        <w:rPr>
          <w:rFonts w:eastAsia="Times New Roman"/>
        </w:rPr>
      </w:pPr>
      <w:bookmarkStart w:id="12" w:name="_Toc177921511"/>
      <w:r>
        <w:rPr>
          <w:rFonts w:eastAsia="Times New Roman"/>
        </w:rPr>
        <w:t>Appendix -2</w:t>
      </w:r>
      <w:r w:rsidR="003F0F1C">
        <w:rPr>
          <w:rFonts w:eastAsia="Times New Roman"/>
        </w:rPr>
        <w:t>: Porter’s Five Forces Statistics</w:t>
      </w:r>
      <w:bookmarkEnd w:id="12"/>
      <w:r w:rsidR="003F0F1C">
        <w:rPr>
          <w:rFonts w:eastAsia="Times New Roman"/>
        </w:rPr>
        <w:t xml:space="preserve"> </w:t>
      </w:r>
    </w:p>
    <w:p w14:paraId="3FA7AE0F" w14:textId="77777777" w:rsidR="007558AB" w:rsidRDefault="007558AB" w:rsidP="00A70135">
      <w:pPr>
        <w:widowControl/>
        <w:rPr>
          <w:rFonts w:ascii="Times New Roman" w:eastAsia="Times New Roman" w:hAnsi="Times New Roman" w:cs="Times New Roman"/>
          <w:color w:val="000000"/>
          <w:sz w:val="20"/>
          <w:szCs w:val="20"/>
        </w:rPr>
      </w:pPr>
    </w:p>
    <w:tbl>
      <w:tblPr>
        <w:tblW w:w="5000" w:type="pct"/>
        <w:tblBorders>
          <w:top w:val="single" w:sz="4" w:space="0" w:color="auto"/>
          <w:bottom w:val="single" w:sz="4" w:space="0" w:color="auto"/>
        </w:tblBorders>
        <w:tblLook w:val="04A0" w:firstRow="1" w:lastRow="0" w:firstColumn="1" w:lastColumn="0" w:noHBand="0" w:noVBand="1"/>
      </w:tblPr>
      <w:tblGrid>
        <w:gridCol w:w="850"/>
        <w:gridCol w:w="1455"/>
        <w:gridCol w:w="792"/>
        <w:gridCol w:w="1026"/>
        <w:gridCol w:w="666"/>
        <w:gridCol w:w="666"/>
        <w:gridCol w:w="1220"/>
        <w:gridCol w:w="1093"/>
        <w:gridCol w:w="733"/>
        <w:gridCol w:w="859"/>
      </w:tblGrid>
      <w:tr w:rsidR="00B221D8" w:rsidRPr="00B221D8" w14:paraId="5FF87463" w14:textId="77777777" w:rsidTr="00B221D8">
        <w:trPr>
          <w:trHeight w:val="290"/>
        </w:trPr>
        <w:tc>
          <w:tcPr>
            <w:tcW w:w="507" w:type="pct"/>
            <w:tcBorders>
              <w:top w:val="single" w:sz="4" w:space="0" w:color="auto"/>
              <w:bottom w:val="single" w:sz="4" w:space="0" w:color="auto"/>
            </w:tcBorders>
            <w:shd w:val="clear" w:color="auto" w:fill="auto"/>
            <w:noWrap/>
            <w:hideMark/>
          </w:tcPr>
          <w:p w14:paraId="124EF617"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Comparison</w:t>
            </w:r>
          </w:p>
        </w:tc>
        <w:tc>
          <w:tcPr>
            <w:tcW w:w="533" w:type="pct"/>
            <w:tcBorders>
              <w:top w:val="single" w:sz="4" w:space="0" w:color="auto"/>
              <w:bottom w:val="single" w:sz="4" w:space="0" w:color="auto"/>
            </w:tcBorders>
            <w:shd w:val="clear" w:color="auto" w:fill="auto"/>
            <w:noWrap/>
            <w:hideMark/>
          </w:tcPr>
          <w:p w14:paraId="7A438F24"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Porter Five</w:t>
            </w:r>
          </w:p>
        </w:tc>
        <w:tc>
          <w:tcPr>
            <w:tcW w:w="495" w:type="pct"/>
            <w:tcBorders>
              <w:top w:val="single" w:sz="4" w:space="0" w:color="auto"/>
              <w:bottom w:val="single" w:sz="4" w:space="0" w:color="auto"/>
            </w:tcBorders>
            <w:shd w:val="clear" w:color="auto" w:fill="auto"/>
            <w:noWrap/>
            <w:hideMark/>
          </w:tcPr>
          <w:p w14:paraId="0CD76087"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Mean</w:t>
            </w:r>
          </w:p>
        </w:tc>
        <w:tc>
          <w:tcPr>
            <w:tcW w:w="518" w:type="pct"/>
            <w:tcBorders>
              <w:top w:val="single" w:sz="4" w:space="0" w:color="auto"/>
              <w:bottom w:val="single" w:sz="4" w:space="0" w:color="auto"/>
            </w:tcBorders>
            <w:shd w:val="clear" w:color="auto" w:fill="auto"/>
            <w:noWrap/>
            <w:hideMark/>
          </w:tcPr>
          <w:p w14:paraId="3D9EC5AD"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Standard Error</w:t>
            </w:r>
          </w:p>
        </w:tc>
        <w:tc>
          <w:tcPr>
            <w:tcW w:w="338" w:type="pct"/>
            <w:tcBorders>
              <w:top w:val="single" w:sz="4" w:space="0" w:color="auto"/>
              <w:bottom w:val="single" w:sz="4" w:space="0" w:color="auto"/>
            </w:tcBorders>
            <w:shd w:val="clear" w:color="auto" w:fill="auto"/>
            <w:noWrap/>
            <w:hideMark/>
          </w:tcPr>
          <w:p w14:paraId="0F126541"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Median</w:t>
            </w:r>
          </w:p>
        </w:tc>
        <w:tc>
          <w:tcPr>
            <w:tcW w:w="274" w:type="pct"/>
            <w:tcBorders>
              <w:top w:val="single" w:sz="4" w:space="0" w:color="auto"/>
              <w:bottom w:val="single" w:sz="4" w:space="0" w:color="auto"/>
            </w:tcBorders>
            <w:shd w:val="clear" w:color="auto" w:fill="auto"/>
            <w:noWrap/>
            <w:hideMark/>
          </w:tcPr>
          <w:p w14:paraId="4FC31533"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Mode</w:t>
            </w:r>
          </w:p>
        </w:tc>
        <w:tc>
          <w:tcPr>
            <w:tcW w:w="677" w:type="pct"/>
            <w:tcBorders>
              <w:top w:val="single" w:sz="4" w:space="0" w:color="auto"/>
              <w:bottom w:val="single" w:sz="4" w:space="0" w:color="auto"/>
            </w:tcBorders>
            <w:shd w:val="clear" w:color="auto" w:fill="auto"/>
            <w:noWrap/>
            <w:hideMark/>
          </w:tcPr>
          <w:p w14:paraId="0A113446"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Standard Deviation</w:t>
            </w:r>
          </w:p>
        </w:tc>
        <w:tc>
          <w:tcPr>
            <w:tcW w:w="609" w:type="pct"/>
            <w:tcBorders>
              <w:top w:val="single" w:sz="4" w:space="0" w:color="auto"/>
              <w:bottom w:val="single" w:sz="4" w:space="0" w:color="auto"/>
            </w:tcBorders>
            <w:shd w:val="clear" w:color="auto" w:fill="auto"/>
            <w:noWrap/>
            <w:hideMark/>
          </w:tcPr>
          <w:p w14:paraId="510F26BD"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Sample Variance</w:t>
            </w:r>
          </w:p>
        </w:tc>
        <w:tc>
          <w:tcPr>
            <w:tcW w:w="525" w:type="pct"/>
            <w:tcBorders>
              <w:top w:val="single" w:sz="4" w:space="0" w:color="auto"/>
              <w:bottom w:val="single" w:sz="4" w:space="0" w:color="auto"/>
            </w:tcBorders>
            <w:shd w:val="clear" w:color="auto" w:fill="auto"/>
            <w:noWrap/>
            <w:hideMark/>
          </w:tcPr>
          <w:p w14:paraId="4D4DFB2C" w14:textId="77777777" w:rsidR="00B221D8" w:rsidRPr="00B221D8" w:rsidRDefault="00B221D8" w:rsidP="00B221D8">
            <w:pPr>
              <w:widowControl/>
              <w:jc w:val="center"/>
              <w:rPr>
                <w:rFonts w:ascii="Times New Roman" w:eastAsia="Times New Roman" w:hAnsi="Times New Roman" w:cs="Times New Roman"/>
                <w:b/>
                <w:bCs/>
                <w:color w:val="000000"/>
                <w:sz w:val="12"/>
                <w:szCs w:val="12"/>
              </w:rPr>
            </w:pPr>
            <w:r w:rsidRPr="00B221D8">
              <w:rPr>
                <w:rFonts w:ascii="Times New Roman" w:eastAsia="Times New Roman" w:hAnsi="Times New Roman" w:cs="Times New Roman"/>
                <w:b/>
                <w:bCs/>
                <w:color w:val="000000"/>
                <w:sz w:val="12"/>
                <w:szCs w:val="12"/>
              </w:rPr>
              <w:t>Kurtosis</w:t>
            </w:r>
          </w:p>
        </w:tc>
        <w:tc>
          <w:tcPr>
            <w:tcW w:w="525" w:type="pct"/>
            <w:tcBorders>
              <w:top w:val="single" w:sz="4" w:space="0" w:color="auto"/>
              <w:bottom w:val="single" w:sz="4" w:space="0" w:color="auto"/>
            </w:tcBorders>
            <w:shd w:val="clear" w:color="auto" w:fill="auto"/>
            <w:noWrap/>
            <w:hideMark/>
          </w:tcPr>
          <w:p w14:paraId="43A9B102" w14:textId="77777777" w:rsidR="00B221D8" w:rsidRPr="00B221D8" w:rsidRDefault="00B221D8" w:rsidP="00B221D8">
            <w:pPr>
              <w:widowControl/>
              <w:jc w:val="center"/>
              <w:rPr>
                <w:rFonts w:ascii="Aptos Narrow" w:eastAsia="Times New Roman" w:hAnsi="Aptos Narrow" w:cs="Times New Roman"/>
                <w:b/>
                <w:bCs/>
                <w:color w:val="000000"/>
                <w:sz w:val="12"/>
                <w:szCs w:val="12"/>
              </w:rPr>
            </w:pPr>
            <w:r w:rsidRPr="00B221D8">
              <w:rPr>
                <w:rFonts w:ascii="Aptos Narrow" w:eastAsia="Times New Roman" w:hAnsi="Aptos Narrow" w:cs="Times New Roman"/>
                <w:b/>
                <w:bCs/>
                <w:color w:val="000000"/>
                <w:sz w:val="12"/>
                <w:szCs w:val="12"/>
              </w:rPr>
              <w:t>Skewness</w:t>
            </w:r>
          </w:p>
        </w:tc>
      </w:tr>
      <w:tr w:rsidR="00B221D8" w:rsidRPr="00B221D8" w14:paraId="110CBF0A" w14:textId="77777777" w:rsidTr="00B221D8">
        <w:trPr>
          <w:trHeight w:val="290"/>
        </w:trPr>
        <w:tc>
          <w:tcPr>
            <w:tcW w:w="507" w:type="pct"/>
            <w:tcBorders>
              <w:top w:val="single" w:sz="4" w:space="0" w:color="auto"/>
            </w:tcBorders>
            <w:shd w:val="clear" w:color="auto" w:fill="auto"/>
            <w:noWrap/>
            <w:hideMark/>
          </w:tcPr>
          <w:p w14:paraId="5995F1E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Current</w:t>
            </w:r>
          </w:p>
        </w:tc>
        <w:tc>
          <w:tcPr>
            <w:tcW w:w="533" w:type="pct"/>
            <w:tcBorders>
              <w:top w:val="single" w:sz="4" w:space="0" w:color="auto"/>
            </w:tcBorders>
            <w:shd w:val="clear" w:color="auto" w:fill="auto"/>
            <w:noWrap/>
            <w:hideMark/>
          </w:tcPr>
          <w:p w14:paraId="686EE38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Buyer Power</w:t>
            </w:r>
          </w:p>
        </w:tc>
        <w:tc>
          <w:tcPr>
            <w:tcW w:w="495" w:type="pct"/>
            <w:tcBorders>
              <w:top w:val="single" w:sz="4" w:space="0" w:color="auto"/>
            </w:tcBorders>
            <w:shd w:val="clear" w:color="auto" w:fill="auto"/>
            <w:noWrap/>
            <w:hideMark/>
          </w:tcPr>
          <w:p w14:paraId="011B37A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1.750</w:t>
            </w:r>
          </w:p>
        </w:tc>
        <w:tc>
          <w:tcPr>
            <w:tcW w:w="518" w:type="pct"/>
            <w:tcBorders>
              <w:top w:val="single" w:sz="4" w:space="0" w:color="auto"/>
            </w:tcBorders>
            <w:shd w:val="clear" w:color="auto" w:fill="auto"/>
            <w:noWrap/>
            <w:hideMark/>
          </w:tcPr>
          <w:p w14:paraId="0C33402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0.366</w:t>
            </w:r>
          </w:p>
        </w:tc>
        <w:tc>
          <w:tcPr>
            <w:tcW w:w="338" w:type="pct"/>
            <w:tcBorders>
              <w:top w:val="single" w:sz="4" w:space="0" w:color="auto"/>
            </w:tcBorders>
            <w:shd w:val="clear" w:color="auto" w:fill="auto"/>
            <w:noWrap/>
            <w:hideMark/>
          </w:tcPr>
          <w:p w14:paraId="25304E38"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1.000</w:t>
            </w:r>
          </w:p>
        </w:tc>
        <w:tc>
          <w:tcPr>
            <w:tcW w:w="274" w:type="pct"/>
            <w:tcBorders>
              <w:top w:val="single" w:sz="4" w:space="0" w:color="auto"/>
            </w:tcBorders>
            <w:shd w:val="clear" w:color="auto" w:fill="auto"/>
            <w:noWrap/>
            <w:hideMark/>
          </w:tcPr>
          <w:p w14:paraId="49356E9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1.000</w:t>
            </w:r>
          </w:p>
        </w:tc>
        <w:tc>
          <w:tcPr>
            <w:tcW w:w="677" w:type="pct"/>
            <w:tcBorders>
              <w:top w:val="single" w:sz="4" w:space="0" w:color="auto"/>
            </w:tcBorders>
            <w:shd w:val="clear" w:color="auto" w:fill="auto"/>
            <w:noWrap/>
            <w:hideMark/>
          </w:tcPr>
          <w:p w14:paraId="21E1119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1.035</w:t>
            </w:r>
          </w:p>
        </w:tc>
        <w:tc>
          <w:tcPr>
            <w:tcW w:w="609" w:type="pct"/>
            <w:tcBorders>
              <w:top w:val="single" w:sz="4" w:space="0" w:color="auto"/>
            </w:tcBorders>
            <w:shd w:val="clear" w:color="auto" w:fill="auto"/>
            <w:noWrap/>
            <w:hideMark/>
          </w:tcPr>
          <w:p w14:paraId="526D28A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1.071</w:t>
            </w:r>
          </w:p>
        </w:tc>
        <w:tc>
          <w:tcPr>
            <w:tcW w:w="525" w:type="pct"/>
            <w:tcBorders>
              <w:top w:val="single" w:sz="4" w:space="0" w:color="auto"/>
            </w:tcBorders>
            <w:shd w:val="clear" w:color="auto" w:fill="auto"/>
            <w:noWrap/>
            <w:hideMark/>
          </w:tcPr>
          <w:p w14:paraId="40BD2AC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-2.240</w:t>
            </w:r>
          </w:p>
        </w:tc>
        <w:tc>
          <w:tcPr>
            <w:tcW w:w="525" w:type="pct"/>
            <w:tcBorders>
              <w:top w:val="single" w:sz="4" w:space="0" w:color="auto"/>
            </w:tcBorders>
            <w:shd w:val="clear" w:color="auto" w:fill="auto"/>
            <w:noWrap/>
            <w:hideMark/>
          </w:tcPr>
          <w:p w14:paraId="341E7F7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0.644</w:t>
            </w:r>
          </w:p>
        </w:tc>
      </w:tr>
      <w:tr w:rsidR="00B221D8" w:rsidRPr="00B221D8" w14:paraId="35794E5F" w14:textId="77777777" w:rsidTr="00B221D8">
        <w:trPr>
          <w:trHeight w:val="290"/>
        </w:trPr>
        <w:tc>
          <w:tcPr>
            <w:tcW w:w="507" w:type="pct"/>
            <w:shd w:val="clear" w:color="auto" w:fill="auto"/>
            <w:noWrap/>
            <w:hideMark/>
          </w:tcPr>
          <w:p w14:paraId="3109AF10"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Future</w:t>
            </w:r>
          </w:p>
        </w:tc>
        <w:tc>
          <w:tcPr>
            <w:tcW w:w="533" w:type="pct"/>
            <w:shd w:val="clear" w:color="auto" w:fill="auto"/>
            <w:noWrap/>
            <w:hideMark/>
          </w:tcPr>
          <w:p w14:paraId="5B8DB6C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Buyer Power</w:t>
            </w:r>
          </w:p>
        </w:tc>
        <w:tc>
          <w:tcPr>
            <w:tcW w:w="495" w:type="pct"/>
            <w:shd w:val="clear" w:color="auto" w:fill="auto"/>
            <w:noWrap/>
            <w:hideMark/>
          </w:tcPr>
          <w:p w14:paraId="66A9D27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3.500</w:t>
            </w:r>
          </w:p>
        </w:tc>
        <w:tc>
          <w:tcPr>
            <w:tcW w:w="518" w:type="pct"/>
            <w:shd w:val="clear" w:color="auto" w:fill="auto"/>
            <w:noWrap/>
            <w:hideMark/>
          </w:tcPr>
          <w:p w14:paraId="1BFB5DA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0.327</w:t>
            </w:r>
          </w:p>
        </w:tc>
        <w:tc>
          <w:tcPr>
            <w:tcW w:w="338" w:type="pct"/>
            <w:shd w:val="clear" w:color="auto" w:fill="auto"/>
            <w:noWrap/>
            <w:hideMark/>
          </w:tcPr>
          <w:p w14:paraId="15454570"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274" w:type="pct"/>
            <w:shd w:val="clear" w:color="auto" w:fill="auto"/>
            <w:noWrap/>
            <w:hideMark/>
          </w:tcPr>
          <w:p w14:paraId="1D8584C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677" w:type="pct"/>
            <w:shd w:val="clear" w:color="auto" w:fill="auto"/>
            <w:noWrap/>
            <w:hideMark/>
          </w:tcPr>
          <w:p w14:paraId="2643646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0.926</w:t>
            </w:r>
          </w:p>
        </w:tc>
        <w:tc>
          <w:tcPr>
            <w:tcW w:w="609" w:type="pct"/>
            <w:shd w:val="clear" w:color="auto" w:fill="auto"/>
            <w:noWrap/>
            <w:hideMark/>
          </w:tcPr>
          <w:p w14:paraId="0270111A"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0.857</w:t>
            </w:r>
          </w:p>
        </w:tc>
        <w:tc>
          <w:tcPr>
            <w:tcW w:w="525" w:type="pct"/>
            <w:shd w:val="clear" w:color="auto" w:fill="auto"/>
            <w:noWrap/>
            <w:hideMark/>
          </w:tcPr>
          <w:p w14:paraId="204CB6B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0.000</w:t>
            </w:r>
          </w:p>
        </w:tc>
        <w:tc>
          <w:tcPr>
            <w:tcW w:w="525" w:type="pct"/>
            <w:shd w:val="clear" w:color="auto" w:fill="auto"/>
            <w:noWrap/>
            <w:hideMark/>
          </w:tcPr>
          <w:p w14:paraId="3A0A3AAA"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1.440</w:t>
            </w:r>
          </w:p>
        </w:tc>
      </w:tr>
      <w:tr w:rsidR="00B221D8" w:rsidRPr="00B221D8" w14:paraId="4C4B551C" w14:textId="77777777" w:rsidTr="00B221D8">
        <w:trPr>
          <w:trHeight w:val="290"/>
        </w:trPr>
        <w:tc>
          <w:tcPr>
            <w:tcW w:w="507" w:type="pct"/>
            <w:shd w:val="clear" w:color="auto" w:fill="auto"/>
            <w:noWrap/>
            <w:hideMark/>
          </w:tcPr>
          <w:p w14:paraId="09C05859"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Current</w:t>
            </w:r>
          </w:p>
        </w:tc>
        <w:tc>
          <w:tcPr>
            <w:tcW w:w="533" w:type="pct"/>
            <w:shd w:val="clear" w:color="auto" w:fill="auto"/>
            <w:noWrap/>
            <w:hideMark/>
          </w:tcPr>
          <w:p w14:paraId="330A0CE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Rivalry</w:t>
            </w:r>
          </w:p>
        </w:tc>
        <w:tc>
          <w:tcPr>
            <w:tcW w:w="495" w:type="pct"/>
            <w:shd w:val="clear" w:color="auto" w:fill="auto"/>
            <w:noWrap/>
            <w:hideMark/>
          </w:tcPr>
          <w:p w14:paraId="239DA0B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3.571</w:t>
            </w:r>
          </w:p>
        </w:tc>
        <w:tc>
          <w:tcPr>
            <w:tcW w:w="518" w:type="pct"/>
            <w:shd w:val="clear" w:color="auto" w:fill="auto"/>
            <w:noWrap/>
            <w:hideMark/>
          </w:tcPr>
          <w:p w14:paraId="712C033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0.388</w:t>
            </w:r>
          </w:p>
        </w:tc>
        <w:tc>
          <w:tcPr>
            <w:tcW w:w="338" w:type="pct"/>
            <w:shd w:val="clear" w:color="auto" w:fill="auto"/>
            <w:noWrap/>
            <w:hideMark/>
          </w:tcPr>
          <w:p w14:paraId="40845AA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274" w:type="pct"/>
            <w:shd w:val="clear" w:color="auto" w:fill="auto"/>
            <w:noWrap/>
            <w:hideMark/>
          </w:tcPr>
          <w:p w14:paraId="3096944E"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677" w:type="pct"/>
            <w:shd w:val="clear" w:color="auto" w:fill="auto"/>
            <w:noWrap/>
            <w:hideMark/>
          </w:tcPr>
          <w:p w14:paraId="1BC453C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1.453</w:t>
            </w:r>
          </w:p>
        </w:tc>
        <w:tc>
          <w:tcPr>
            <w:tcW w:w="609" w:type="pct"/>
            <w:shd w:val="clear" w:color="auto" w:fill="auto"/>
            <w:noWrap/>
            <w:hideMark/>
          </w:tcPr>
          <w:p w14:paraId="55CF7C5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2.110</w:t>
            </w:r>
          </w:p>
        </w:tc>
        <w:tc>
          <w:tcPr>
            <w:tcW w:w="525" w:type="pct"/>
            <w:shd w:val="clear" w:color="auto" w:fill="auto"/>
            <w:noWrap/>
            <w:hideMark/>
          </w:tcPr>
          <w:p w14:paraId="13E12D0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-0.732</w:t>
            </w:r>
          </w:p>
        </w:tc>
        <w:tc>
          <w:tcPr>
            <w:tcW w:w="525" w:type="pct"/>
            <w:shd w:val="clear" w:color="auto" w:fill="auto"/>
            <w:noWrap/>
            <w:hideMark/>
          </w:tcPr>
          <w:p w14:paraId="408869B0"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-0.516</w:t>
            </w:r>
          </w:p>
        </w:tc>
      </w:tr>
      <w:tr w:rsidR="00B221D8" w:rsidRPr="00B221D8" w14:paraId="24A6BA93" w14:textId="77777777" w:rsidTr="00B221D8">
        <w:trPr>
          <w:trHeight w:val="290"/>
        </w:trPr>
        <w:tc>
          <w:tcPr>
            <w:tcW w:w="507" w:type="pct"/>
            <w:shd w:val="clear" w:color="auto" w:fill="auto"/>
            <w:noWrap/>
            <w:hideMark/>
          </w:tcPr>
          <w:p w14:paraId="010CFAA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Future</w:t>
            </w:r>
          </w:p>
        </w:tc>
        <w:tc>
          <w:tcPr>
            <w:tcW w:w="533" w:type="pct"/>
            <w:shd w:val="clear" w:color="auto" w:fill="auto"/>
            <w:noWrap/>
            <w:hideMark/>
          </w:tcPr>
          <w:p w14:paraId="69F88639"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Rivalry</w:t>
            </w:r>
          </w:p>
        </w:tc>
        <w:tc>
          <w:tcPr>
            <w:tcW w:w="495" w:type="pct"/>
            <w:shd w:val="clear" w:color="auto" w:fill="auto"/>
            <w:noWrap/>
            <w:hideMark/>
          </w:tcPr>
          <w:p w14:paraId="7E42235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3.857</w:t>
            </w:r>
          </w:p>
        </w:tc>
        <w:tc>
          <w:tcPr>
            <w:tcW w:w="518" w:type="pct"/>
            <w:shd w:val="clear" w:color="auto" w:fill="auto"/>
            <w:noWrap/>
            <w:hideMark/>
          </w:tcPr>
          <w:p w14:paraId="4A52450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0.404</w:t>
            </w:r>
          </w:p>
        </w:tc>
        <w:tc>
          <w:tcPr>
            <w:tcW w:w="338" w:type="pct"/>
            <w:shd w:val="clear" w:color="auto" w:fill="auto"/>
            <w:noWrap/>
            <w:hideMark/>
          </w:tcPr>
          <w:p w14:paraId="512EEC9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5.000</w:t>
            </w:r>
          </w:p>
        </w:tc>
        <w:tc>
          <w:tcPr>
            <w:tcW w:w="274" w:type="pct"/>
            <w:shd w:val="clear" w:color="auto" w:fill="auto"/>
            <w:noWrap/>
            <w:hideMark/>
          </w:tcPr>
          <w:p w14:paraId="10374EE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5.000</w:t>
            </w:r>
          </w:p>
        </w:tc>
        <w:tc>
          <w:tcPr>
            <w:tcW w:w="677" w:type="pct"/>
            <w:shd w:val="clear" w:color="auto" w:fill="auto"/>
            <w:noWrap/>
            <w:hideMark/>
          </w:tcPr>
          <w:p w14:paraId="34DA9291"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1.512</w:t>
            </w:r>
          </w:p>
        </w:tc>
        <w:tc>
          <w:tcPr>
            <w:tcW w:w="609" w:type="pct"/>
            <w:shd w:val="clear" w:color="auto" w:fill="auto"/>
            <w:noWrap/>
            <w:hideMark/>
          </w:tcPr>
          <w:p w14:paraId="40358351"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2.286</w:t>
            </w:r>
          </w:p>
        </w:tc>
        <w:tc>
          <w:tcPr>
            <w:tcW w:w="525" w:type="pct"/>
            <w:shd w:val="clear" w:color="auto" w:fill="auto"/>
            <w:noWrap/>
            <w:hideMark/>
          </w:tcPr>
          <w:p w14:paraId="5FFB8E9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-0.349</w:t>
            </w:r>
          </w:p>
        </w:tc>
        <w:tc>
          <w:tcPr>
            <w:tcW w:w="525" w:type="pct"/>
            <w:shd w:val="clear" w:color="auto" w:fill="auto"/>
            <w:noWrap/>
            <w:hideMark/>
          </w:tcPr>
          <w:p w14:paraId="5099503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-0.967</w:t>
            </w:r>
          </w:p>
        </w:tc>
      </w:tr>
      <w:tr w:rsidR="00B221D8" w:rsidRPr="00B221D8" w14:paraId="257FD404" w14:textId="77777777" w:rsidTr="00B221D8">
        <w:trPr>
          <w:trHeight w:val="290"/>
        </w:trPr>
        <w:tc>
          <w:tcPr>
            <w:tcW w:w="507" w:type="pct"/>
            <w:shd w:val="clear" w:color="auto" w:fill="auto"/>
            <w:noWrap/>
            <w:hideMark/>
          </w:tcPr>
          <w:p w14:paraId="2B50718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Current</w:t>
            </w:r>
          </w:p>
        </w:tc>
        <w:tc>
          <w:tcPr>
            <w:tcW w:w="533" w:type="pct"/>
            <w:shd w:val="clear" w:color="auto" w:fill="auto"/>
            <w:noWrap/>
            <w:hideMark/>
          </w:tcPr>
          <w:p w14:paraId="481FC62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Substitute</w:t>
            </w:r>
          </w:p>
        </w:tc>
        <w:tc>
          <w:tcPr>
            <w:tcW w:w="495" w:type="pct"/>
            <w:shd w:val="clear" w:color="auto" w:fill="auto"/>
            <w:noWrap/>
            <w:hideMark/>
          </w:tcPr>
          <w:p w14:paraId="06024B1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3.800</w:t>
            </w:r>
          </w:p>
        </w:tc>
        <w:tc>
          <w:tcPr>
            <w:tcW w:w="518" w:type="pct"/>
            <w:shd w:val="clear" w:color="auto" w:fill="auto"/>
            <w:noWrap/>
            <w:hideMark/>
          </w:tcPr>
          <w:p w14:paraId="2106B72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0.490</w:t>
            </w:r>
          </w:p>
        </w:tc>
        <w:tc>
          <w:tcPr>
            <w:tcW w:w="338" w:type="pct"/>
            <w:shd w:val="clear" w:color="auto" w:fill="auto"/>
            <w:noWrap/>
            <w:hideMark/>
          </w:tcPr>
          <w:p w14:paraId="19ACFCD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274" w:type="pct"/>
            <w:shd w:val="clear" w:color="auto" w:fill="auto"/>
            <w:noWrap/>
            <w:hideMark/>
          </w:tcPr>
          <w:p w14:paraId="1C6C2A8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677" w:type="pct"/>
            <w:shd w:val="clear" w:color="auto" w:fill="auto"/>
            <w:noWrap/>
            <w:hideMark/>
          </w:tcPr>
          <w:p w14:paraId="7CA965B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1.095</w:t>
            </w:r>
          </w:p>
        </w:tc>
        <w:tc>
          <w:tcPr>
            <w:tcW w:w="609" w:type="pct"/>
            <w:shd w:val="clear" w:color="auto" w:fill="auto"/>
            <w:noWrap/>
            <w:hideMark/>
          </w:tcPr>
          <w:p w14:paraId="09B13A4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1.200</w:t>
            </w:r>
          </w:p>
        </w:tc>
        <w:tc>
          <w:tcPr>
            <w:tcW w:w="525" w:type="pct"/>
            <w:shd w:val="clear" w:color="auto" w:fill="auto"/>
            <w:noWrap/>
            <w:hideMark/>
          </w:tcPr>
          <w:p w14:paraId="6F14E92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-3.333</w:t>
            </w:r>
          </w:p>
        </w:tc>
        <w:tc>
          <w:tcPr>
            <w:tcW w:w="525" w:type="pct"/>
            <w:shd w:val="clear" w:color="auto" w:fill="auto"/>
            <w:noWrap/>
            <w:hideMark/>
          </w:tcPr>
          <w:p w14:paraId="1040EAE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0.609</w:t>
            </w:r>
          </w:p>
        </w:tc>
      </w:tr>
      <w:tr w:rsidR="00B221D8" w:rsidRPr="00B221D8" w14:paraId="75F5004B" w14:textId="77777777" w:rsidTr="00B221D8">
        <w:trPr>
          <w:trHeight w:val="290"/>
        </w:trPr>
        <w:tc>
          <w:tcPr>
            <w:tcW w:w="507" w:type="pct"/>
            <w:shd w:val="clear" w:color="auto" w:fill="auto"/>
            <w:noWrap/>
            <w:hideMark/>
          </w:tcPr>
          <w:p w14:paraId="33F57738"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Future</w:t>
            </w:r>
          </w:p>
        </w:tc>
        <w:tc>
          <w:tcPr>
            <w:tcW w:w="533" w:type="pct"/>
            <w:shd w:val="clear" w:color="auto" w:fill="auto"/>
            <w:noWrap/>
            <w:hideMark/>
          </w:tcPr>
          <w:p w14:paraId="6AEB6A0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Substitute</w:t>
            </w:r>
          </w:p>
        </w:tc>
        <w:tc>
          <w:tcPr>
            <w:tcW w:w="495" w:type="pct"/>
            <w:shd w:val="clear" w:color="auto" w:fill="auto"/>
            <w:noWrap/>
            <w:hideMark/>
          </w:tcPr>
          <w:p w14:paraId="64502BDE"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3.800</w:t>
            </w:r>
          </w:p>
        </w:tc>
        <w:tc>
          <w:tcPr>
            <w:tcW w:w="518" w:type="pct"/>
            <w:shd w:val="clear" w:color="auto" w:fill="auto"/>
            <w:noWrap/>
            <w:hideMark/>
          </w:tcPr>
          <w:p w14:paraId="72AFD7D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0.800</w:t>
            </w:r>
          </w:p>
        </w:tc>
        <w:tc>
          <w:tcPr>
            <w:tcW w:w="338" w:type="pct"/>
            <w:shd w:val="clear" w:color="auto" w:fill="auto"/>
            <w:noWrap/>
            <w:hideMark/>
          </w:tcPr>
          <w:p w14:paraId="5EF9088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5.000</w:t>
            </w:r>
          </w:p>
        </w:tc>
        <w:tc>
          <w:tcPr>
            <w:tcW w:w="274" w:type="pct"/>
            <w:shd w:val="clear" w:color="auto" w:fill="auto"/>
            <w:noWrap/>
            <w:hideMark/>
          </w:tcPr>
          <w:p w14:paraId="12CA36A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5.000</w:t>
            </w:r>
          </w:p>
        </w:tc>
        <w:tc>
          <w:tcPr>
            <w:tcW w:w="677" w:type="pct"/>
            <w:shd w:val="clear" w:color="auto" w:fill="auto"/>
            <w:noWrap/>
            <w:hideMark/>
          </w:tcPr>
          <w:p w14:paraId="72A09E2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1.789</w:t>
            </w:r>
          </w:p>
        </w:tc>
        <w:tc>
          <w:tcPr>
            <w:tcW w:w="609" w:type="pct"/>
            <w:shd w:val="clear" w:color="auto" w:fill="auto"/>
            <w:noWrap/>
            <w:hideMark/>
          </w:tcPr>
          <w:p w14:paraId="16E0426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3.200</w:t>
            </w:r>
          </w:p>
        </w:tc>
        <w:tc>
          <w:tcPr>
            <w:tcW w:w="525" w:type="pct"/>
            <w:shd w:val="clear" w:color="auto" w:fill="auto"/>
            <w:noWrap/>
            <w:hideMark/>
          </w:tcPr>
          <w:p w14:paraId="3460CD4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0.312</w:t>
            </w:r>
          </w:p>
        </w:tc>
        <w:tc>
          <w:tcPr>
            <w:tcW w:w="525" w:type="pct"/>
            <w:shd w:val="clear" w:color="auto" w:fill="auto"/>
            <w:noWrap/>
            <w:hideMark/>
          </w:tcPr>
          <w:p w14:paraId="00AFDE6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-1.258</w:t>
            </w:r>
          </w:p>
        </w:tc>
      </w:tr>
      <w:tr w:rsidR="00B221D8" w:rsidRPr="00B221D8" w14:paraId="35491C2E" w14:textId="77777777" w:rsidTr="00B221D8">
        <w:trPr>
          <w:trHeight w:val="290"/>
        </w:trPr>
        <w:tc>
          <w:tcPr>
            <w:tcW w:w="507" w:type="pct"/>
            <w:shd w:val="clear" w:color="auto" w:fill="auto"/>
            <w:noWrap/>
            <w:hideMark/>
          </w:tcPr>
          <w:p w14:paraId="53193163"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Current</w:t>
            </w:r>
          </w:p>
        </w:tc>
        <w:tc>
          <w:tcPr>
            <w:tcW w:w="533" w:type="pct"/>
            <w:shd w:val="clear" w:color="auto" w:fill="auto"/>
            <w:noWrap/>
            <w:hideMark/>
          </w:tcPr>
          <w:p w14:paraId="088876D0"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Supplier Power</w:t>
            </w:r>
          </w:p>
        </w:tc>
        <w:tc>
          <w:tcPr>
            <w:tcW w:w="495" w:type="pct"/>
            <w:shd w:val="clear" w:color="auto" w:fill="auto"/>
            <w:noWrap/>
            <w:hideMark/>
          </w:tcPr>
          <w:p w14:paraId="7642C6DA"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3.333</w:t>
            </w:r>
          </w:p>
        </w:tc>
        <w:tc>
          <w:tcPr>
            <w:tcW w:w="518" w:type="pct"/>
            <w:shd w:val="clear" w:color="auto" w:fill="auto"/>
            <w:noWrap/>
            <w:hideMark/>
          </w:tcPr>
          <w:p w14:paraId="7AD3895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0.615</w:t>
            </w:r>
          </w:p>
        </w:tc>
        <w:tc>
          <w:tcPr>
            <w:tcW w:w="338" w:type="pct"/>
            <w:shd w:val="clear" w:color="auto" w:fill="auto"/>
            <w:noWrap/>
            <w:hideMark/>
          </w:tcPr>
          <w:p w14:paraId="20498B7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274" w:type="pct"/>
            <w:shd w:val="clear" w:color="auto" w:fill="auto"/>
            <w:noWrap/>
            <w:hideMark/>
          </w:tcPr>
          <w:p w14:paraId="4078A74E"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677" w:type="pct"/>
            <w:shd w:val="clear" w:color="auto" w:fill="auto"/>
            <w:noWrap/>
            <w:hideMark/>
          </w:tcPr>
          <w:p w14:paraId="6FB728F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1.506</w:t>
            </w:r>
          </w:p>
        </w:tc>
        <w:tc>
          <w:tcPr>
            <w:tcW w:w="609" w:type="pct"/>
            <w:shd w:val="clear" w:color="auto" w:fill="auto"/>
            <w:noWrap/>
            <w:hideMark/>
          </w:tcPr>
          <w:p w14:paraId="60AB4619"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2.267</w:t>
            </w:r>
          </w:p>
        </w:tc>
        <w:tc>
          <w:tcPr>
            <w:tcW w:w="525" w:type="pct"/>
            <w:shd w:val="clear" w:color="auto" w:fill="auto"/>
            <w:noWrap/>
            <w:hideMark/>
          </w:tcPr>
          <w:p w14:paraId="25AD1A1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-0.104</w:t>
            </w:r>
          </w:p>
        </w:tc>
        <w:tc>
          <w:tcPr>
            <w:tcW w:w="525" w:type="pct"/>
            <w:shd w:val="clear" w:color="auto" w:fill="auto"/>
            <w:noWrap/>
            <w:hideMark/>
          </w:tcPr>
          <w:p w14:paraId="7CCF3C4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-0.313</w:t>
            </w:r>
          </w:p>
        </w:tc>
      </w:tr>
      <w:tr w:rsidR="00B221D8" w:rsidRPr="00B221D8" w14:paraId="49AECC4B" w14:textId="77777777" w:rsidTr="00B221D8">
        <w:trPr>
          <w:trHeight w:val="290"/>
        </w:trPr>
        <w:tc>
          <w:tcPr>
            <w:tcW w:w="507" w:type="pct"/>
            <w:shd w:val="clear" w:color="auto" w:fill="auto"/>
            <w:noWrap/>
            <w:hideMark/>
          </w:tcPr>
          <w:p w14:paraId="50CAF231"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Future</w:t>
            </w:r>
          </w:p>
        </w:tc>
        <w:tc>
          <w:tcPr>
            <w:tcW w:w="533" w:type="pct"/>
            <w:shd w:val="clear" w:color="auto" w:fill="auto"/>
            <w:noWrap/>
            <w:hideMark/>
          </w:tcPr>
          <w:p w14:paraId="14BA27B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Supplier Power</w:t>
            </w:r>
          </w:p>
        </w:tc>
        <w:tc>
          <w:tcPr>
            <w:tcW w:w="495" w:type="pct"/>
            <w:shd w:val="clear" w:color="auto" w:fill="auto"/>
            <w:noWrap/>
            <w:hideMark/>
          </w:tcPr>
          <w:p w14:paraId="4491FF6E"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3.333</w:t>
            </w:r>
          </w:p>
        </w:tc>
        <w:tc>
          <w:tcPr>
            <w:tcW w:w="518" w:type="pct"/>
            <w:shd w:val="clear" w:color="auto" w:fill="auto"/>
            <w:noWrap/>
            <w:hideMark/>
          </w:tcPr>
          <w:p w14:paraId="3000ED0A"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0.615</w:t>
            </w:r>
          </w:p>
        </w:tc>
        <w:tc>
          <w:tcPr>
            <w:tcW w:w="338" w:type="pct"/>
            <w:shd w:val="clear" w:color="auto" w:fill="auto"/>
            <w:noWrap/>
            <w:hideMark/>
          </w:tcPr>
          <w:p w14:paraId="2E925673"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274" w:type="pct"/>
            <w:shd w:val="clear" w:color="auto" w:fill="auto"/>
            <w:noWrap/>
            <w:hideMark/>
          </w:tcPr>
          <w:p w14:paraId="3F0B4DF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677" w:type="pct"/>
            <w:shd w:val="clear" w:color="auto" w:fill="auto"/>
            <w:noWrap/>
            <w:hideMark/>
          </w:tcPr>
          <w:p w14:paraId="2FBC0FC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1.506</w:t>
            </w:r>
          </w:p>
        </w:tc>
        <w:tc>
          <w:tcPr>
            <w:tcW w:w="609" w:type="pct"/>
            <w:shd w:val="clear" w:color="auto" w:fill="auto"/>
            <w:noWrap/>
            <w:hideMark/>
          </w:tcPr>
          <w:p w14:paraId="5CB5D421"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2.267</w:t>
            </w:r>
          </w:p>
        </w:tc>
        <w:tc>
          <w:tcPr>
            <w:tcW w:w="525" w:type="pct"/>
            <w:shd w:val="clear" w:color="auto" w:fill="auto"/>
            <w:noWrap/>
            <w:hideMark/>
          </w:tcPr>
          <w:p w14:paraId="4697CE7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-0.104</w:t>
            </w:r>
          </w:p>
        </w:tc>
        <w:tc>
          <w:tcPr>
            <w:tcW w:w="525" w:type="pct"/>
            <w:shd w:val="clear" w:color="auto" w:fill="auto"/>
            <w:noWrap/>
            <w:hideMark/>
          </w:tcPr>
          <w:p w14:paraId="48D90C04"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-0.313</w:t>
            </w:r>
          </w:p>
        </w:tc>
      </w:tr>
      <w:tr w:rsidR="00B221D8" w:rsidRPr="00B221D8" w14:paraId="33B3F593" w14:textId="77777777" w:rsidTr="00B221D8">
        <w:trPr>
          <w:trHeight w:val="290"/>
        </w:trPr>
        <w:tc>
          <w:tcPr>
            <w:tcW w:w="507" w:type="pct"/>
            <w:shd w:val="clear" w:color="auto" w:fill="auto"/>
            <w:noWrap/>
            <w:hideMark/>
          </w:tcPr>
          <w:p w14:paraId="51E0471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Current</w:t>
            </w:r>
          </w:p>
        </w:tc>
        <w:tc>
          <w:tcPr>
            <w:tcW w:w="533" w:type="pct"/>
            <w:shd w:val="clear" w:color="auto" w:fill="auto"/>
            <w:noWrap/>
            <w:hideMark/>
          </w:tcPr>
          <w:p w14:paraId="24142223"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Threat of Entry</w:t>
            </w:r>
          </w:p>
        </w:tc>
        <w:tc>
          <w:tcPr>
            <w:tcW w:w="495" w:type="pct"/>
            <w:shd w:val="clear" w:color="auto" w:fill="auto"/>
            <w:noWrap/>
            <w:hideMark/>
          </w:tcPr>
          <w:p w14:paraId="336E57F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3.200</w:t>
            </w:r>
          </w:p>
        </w:tc>
        <w:tc>
          <w:tcPr>
            <w:tcW w:w="518" w:type="pct"/>
            <w:shd w:val="clear" w:color="auto" w:fill="auto"/>
            <w:noWrap/>
            <w:hideMark/>
          </w:tcPr>
          <w:p w14:paraId="2B31112C"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0.467</w:t>
            </w:r>
          </w:p>
        </w:tc>
        <w:tc>
          <w:tcPr>
            <w:tcW w:w="338" w:type="pct"/>
            <w:shd w:val="clear" w:color="auto" w:fill="auto"/>
            <w:noWrap/>
            <w:hideMark/>
          </w:tcPr>
          <w:p w14:paraId="146C7D2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274" w:type="pct"/>
            <w:shd w:val="clear" w:color="auto" w:fill="auto"/>
            <w:noWrap/>
            <w:hideMark/>
          </w:tcPr>
          <w:p w14:paraId="210B3065"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3.000</w:t>
            </w:r>
          </w:p>
        </w:tc>
        <w:tc>
          <w:tcPr>
            <w:tcW w:w="677" w:type="pct"/>
            <w:shd w:val="clear" w:color="auto" w:fill="auto"/>
            <w:noWrap/>
            <w:hideMark/>
          </w:tcPr>
          <w:p w14:paraId="454C4EA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1.476</w:t>
            </w:r>
          </w:p>
        </w:tc>
        <w:tc>
          <w:tcPr>
            <w:tcW w:w="609" w:type="pct"/>
            <w:shd w:val="clear" w:color="auto" w:fill="auto"/>
            <w:noWrap/>
            <w:hideMark/>
          </w:tcPr>
          <w:p w14:paraId="1B7182AF"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2.178</w:t>
            </w:r>
          </w:p>
        </w:tc>
        <w:tc>
          <w:tcPr>
            <w:tcW w:w="525" w:type="pct"/>
            <w:shd w:val="clear" w:color="auto" w:fill="auto"/>
            <w:noWrap/>
            <w:hideMark/>
          </w:tcPr>
          <w:p w14:paraId="6CAF2147"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-0.734</w:t>
            </w:r>
          </w:p>
        </w:tc>
        <w:tc>
          <w:tcPr>
            <w:tcW w:w="525" w:type="pct"/>
            <w:shd w:val="clear" w:color="auto" w:fill="auto"/>
            <w:noWrap/>
            <w:hideMark/>
          </w:tcPr>
          <w:p w14:paraId="159C995B"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-0.166</w:t>
            </w:r>
          </w:p>
        </w:tc>
      </w:tr>
      <w:tr w:rsidR="00B221D8" w:rsidRPr="00B221D8" w14:paraId="0B7A89AB" w14:textId="77777777" w:rsidTr="00B221D8">
        <w:trPr>
          <w:trHeight w:val="290"/>
        </w:trPr>
        <w:tc>
          <w:tcPr>
            <w:tcW w:w="507" w:type="pct"/>
            <w:shd w:val="clear" w:color="auto" w:fill="auto"/>
            <w:noWrap/>
            <w:hideMark/>
          </w:tcPr>
          <w:p w14:paraId="19E0E71D"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Future</w:t>
            </w:r>
          </w:p>
        </w:tc>
        <w:tc>
          <w:tcPr>
            <w:tcW w:w="533" w:type="pct"/>
            <w:shd w:val="clear" w:color="auto" w:fill="auto"/>
            <w:noWrap/>
            <w:hideMark/>
          </w:tcPr>
          <w:p w14:paraId="640F0DCA"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Threat of Entry</w:t>
            </w:r>
          </w:p>
        </w:tc>
        <w:tc>
          <w:tcPr>
            <w:tcW w:w="495" w:type="pct"/>
            <w:shd w:val="clear" w:color="auto" w:fill="auto"/>
            <w:noWrap/>
            <w:hideMark/>
          </w:tcPr>
          <w:p w14:paraId="3090D873"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4.200</w:t>
            </w:r>
          </w:p>
        </w:tc>
        <w:tc>
          <w:tcPr>
            <w:tcW w:w="518" w:type="pct"/>
            <w:shd w:val="clear" w:color="auto" w:fill="auto"/>
            <w:noWrap/>
            <w:hideMark/>
          </w:tcPr>
          <w:p w14:paraId="3FCC73FE"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0.442</w:t>
            </w:r>
          </w:p>
        </w:tc>
        <w:tc>
          <w:tcPr>
            <w:tcW w:w="338" w:type="pct"/>
            <w:shd w:val="clear" w:color="auto" w:fill="auto"/>
            <w:noWrap/>
            <w:hideMark/>
          </w:tcPr>
          <w:p w14:paraId="218AA44D"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5.000</w:t>
            </w:r>
          </w:p>
        </w:tc>
        <w:tc>
          <w:tcPr>
            <w:tcW w:w="274" w:type="pct"/>
            <w:shd w:val="clear" w:color="auto" w:fill="auto"/>
            <w:noWrap/>
            <w:hideMark/>
          </w:tcPr>
          <w:p w14:paraId="5ECDED52"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5.000</w:t>
            </w:r>
          </w:p>
        </w:tc>
        <w:tc>
          <w:tcPr>
            <w:tcW w:w="677" w:type="pct"/>
            <w:shd w:val="clear" w:color="auto" w:fill="auto"/>
            <w:noWrap/>
            <w:hideMark/>
          </w:tcPr>
          <w:p w14:paraId="1D164A58"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1.398</w:t>
            </w:r>
          </w:p>
        </w:tc>
        <w:tc>
          <w:tcPr>
            <w:tcW w:w="609" w:type="pct"/>
            <w:shd w:val="clear" w:color="auto" w:fill="auto"/>
            <w:noWrap/>
            <w:hideMark/>
          </w:tcPr>
          <w:p w14:paraId="7B2EC67D"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1.956</w:t>
            </w:r>
          </w:p>
        </w:tc>
        <w:tc>
          <w:tcPr>
            <w:tcW w:w="525" w:type="pct"/>
            <w:shd w:val="clear" w:color="auto" w:fill="auto"/>
            <w:noWrap/>
            <w:hideMark/>
          </w:tcPr>
          <w:p w14:paraId="4C81B646"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2.045</w:t>
            </w:r>
          </w:p>
        </w:tc>
        <w:tc>
          <w:tcPr>
            <w:tcW w:w="525" w:type="pct"/>
            <w:shd w:val="clear" w:color="auto" w:fill="auto"/>
            <w:noWrap/>
            <w:hideMark/>
          </w:tcPr>
          <w:p w14:paraId="273A87DA" w14:textId="77777777" w:rsidR="00B221D8" w:rsidRPr="00B221D8" w:rsidRDefault="00B221D8" w:rsidP="00B221D8">
            <w:pPr>
              <w:widowControl/>
              <w:jc w:val="center"/>
              <w:rPr>
                <w:rFonts w:ascii="Times New Roman" w:eastAsia="Times New Roman" w:hAnsi="Times New Roman" w:cs="Times New Roman"/>
                <w:color w:val="000000"/>
                <w:sz w:val="20"/>
                <w:szCs w:val="20"/>
              </w:rPr>
            </w:pPr>
            <w:r w:rsidRPr="00B221D8">
              <w:rPr>
                <w:rFonts w:ascii="Times New Roman" w:eastAsia="Times New Roman" w:hAnsi="Times New Roman" w:cs="Times New Roman"/>
                <w:color w:val="000000"/>
                <w:sz w:val="20"/>
                <w:szCs w:val="20"/>
              </w:rPr>
              <w:t>-1.658</w:t>
            </w:r>
          </w:p>
        </w:tc>
      </w:tr>
    </w:tbl>
    <w:p w14:paraId="0D1661A5" w14:textId="77777777" w:rsidR="00B221D8" w:rsidRDefault="00B221D8" w:rsidP="00A70135">
      <w:pPr>
        <w:widowControl/>
        <w:rPr>
          <w:rFonts w:ascii="Times New Roman" w:eastAsia="Times New Roman" w:hAnsi="Times New Roman" w:cs="Times New Roman"/>
          <w:color w:val="000000"/>
          <w:sz w:val="20"/>
          <w:szCs w:val="20"/>
        </w:rPr>
      </w:pPr>
    </w:p>
    <w:p w14:paraId="19FDC6FC" w14:textId="77777777" w:rsidR="00337290" w:rsidRPr="00A30E25" w:rsidRDefault="00337290" w:rsidP="00337290">
      <w:pPr>
        <w:spacing w:after="160" w:line="278" w:lineRule="auto"/>
        <w:jc w:val="both"/>
        <w:rPr>
          <w:rFonts w:ascii="Times New Roman" w:hAnsi="Times New Roman" w:cs="Times New Roman"/>
        </w:rPr>
      </w:pPr>
      <w:r w:rsidRPr="00A30E25">
        <w:rPr>
          <w:rFonts w:ascii="Times New Roman" w:hAnsi="Times New Roman" w:cs="Times New Roman"/>
        </w:rPr>
        <w:t xml:space="preserve">The statistical analysis of the Porter’s Five Forces reveals several key insights into the current and future dynamics of the market. </w:t>
      </w:r>
      <w:r w:rsidRPr="00A30E25">
        <w:rPr>
          <w:rFonts w:ascii="Times New Roman" w:hAnsi="Times New Roman" w:cs="Times New Roman"/>
          <w:b/>
          <w:bCs/>
        </w:rPr>
        <w:t>Buyer Power</w:t>
      </w:r>
      <w:r w:rsidRPr="00A30E25">
        <w:rPr>
          <w:rFonts w:ascii="Times New Roman" w:hAnsi="Times New Roman" w:cs="Times New Roman"/>
        </w:rPr>
        <w:t xml:space="preserve"> is currently low, with a mean score of 1.75, indicating that buyers have limited leverage. However, this is expected to increase significantly to 3.5 in the future, suggesting that buyers will gain more control over pricing and negotiations. The current distribution shows considerable variability, but in the future, buyer power is likely to stabilize, as reflected by a lower standard deviation and positive skewness, indicating a shift towards greater buyer influence.</w:t>
      </w:r>
    </w:p>
    <w:p w14:paraId="37C77C40" w14:textId="77777777" w:rsidR="00337290" w:rsidRPr="00A30E25" w:rsidRDefault="00337290" w:rsidP="00337290">
      <w:pPr>
        <w:spacing w:after="160" w:line="278" w:lineRule="auto"/>
        <w:jc w:val="both"/>
        <w:rPr>
          <w:rFonts w:ascii="Times New Roman" w:hAnsi="Times New Roman" w:cs="Times New Roman"/>
        </w:rPr>
      </w:pPr>
      <w:r w:rsidRPr="00A30E25">
        <w:rPr>
          <w:rFonts w:ascii="Times New Roman" w:hAnsi="Times New Roman" w:cs="Times New Roman"/>
          <w:b/>
          <w:bCs/>
        </w:rPr>
        <w:t>Rivalry</w:t>
      </w:r>
      <w:r w:rsidRPr="00A30E25">
        <w:rPr>
          <w:rFonts w:ascii="Times New Roman" w:hAnsi="Times New Roman" w:cs="Times New Roman"/>
        </w:rPr>
        <w:t xml:space="preserve"> among existing competitors is currently moderate, with a mean of 3.57. This rivalry is expected to </w:t>
      </w:r>
      <w:proofErr w:type="gramStart"/>
      <w:r w:rsidRPr="00A30E25">
        <w:rPr>
          <w:rFonts w:ascii="Times New Roman" w:hAnsi="Times New Roman" w:cs="Times New Roman"/>
        </w:rPr>
        <w:t>intensify</w:t>
      </w:r>
      <w:proofErr w:type="gramEnd"/>
      <w:r w:rsidRPr="00A30E25">
        <w:rPr>
          <w:rFonts w:ascii="Times New Roman" w:hAnsi="Times New Roman" w:cs="Times New Roman"/>
        </w:rPr>
        <w:t xml:space="preserve"> slightly, rising to 3.86 in the future, indicating stronger competition within the industry. The negative skewness in the future data suggests that while competition will grow, there will still be a concentration of moderate levels of rivalry, with fewer firms experiencing extreme competition.</w:t>
      </w:r>
    </w:p>
    <w:p w14:paraId="7AF680C2" w14:textId="77777777" w:rsidR="00337290" w:rsidRPr="00A30E25" w:rsidRDefault="00337290" w:rsidP="00337290">
      <w:pPr>
        <w:spacing w:after="160" w:line="278" w:lineRule="auto"/>
        <w:jc w:val="both"/>
        <w:rPr>
          <w:rFonts w:ascii="Times New Roman" w:hAnsi="Times New Roman" w:cs="Times New Roman"/>
        </w:rPr>
      </w:pPr>
      <w:r w:rsidRPr="00A30E25">
        <w:rPr>
          <w:rFonts w:ascii="Times New Roman" w:hAnsi="Times New Roman" w:cs="Times New Roman"/>
        </w:rPr>
        <w:t xml:space="preserve">The threat of </w:t>
      </w:r>
      <w:r w:rsidRPr="00A30E25">
        <w:rPr>
          <w:rFonts w:ascii="Times New Roman" w:hAnsi="Times New Roman" w:cs="Times New Roman"/>
          <w:b/>
          <w:bCs/>
        </w:rPr>
        <w:t>Substitutes</w:t>
      </w:r>
      <w:r w:rsidRPr="00A30E25">
        <w:rPr>
          <w:rFonts w:ascii="Times New Roman" w:hAnsi="Times New Roman" w:cs="Times New Roman"/>
        </w:rPr>
        <w:t xml:space="preserve"> remains consistent over time, with both current and future mean scores at 3.8. However, the future variability is higher, indicating that while the overall threat from substitutes stays stable, the range of responses becomes more spread out, suggesting differing views on the availability of substitutes in the future.</w:t>
      </w:r>
    </w:p>
    <w:p w14:paraId="5DB686B0" w14:textId="77777777" w:rsidR="00337290" w:rsidRPr="00A30E25" w:rsidRDefault="00337290" w:rsidP="00337290">
      <w:pPr>
        <w:spacing w:after="160" w:line="278" w:lineRule="auto"/>
        <w:jc w:val="both"/>
        <w:rPr>
          <w:rFonts w:ascii="Times New Roman" w:hAnsi="Times New Roman" w:cs="Times New Roman"/>
        </w:rPr>
      </w:pPr>
      <w:r w:rsidRPr="00A30E25">
        <w:rPr>
          <w:rFonts w:ascii="Times New Roman" w:hAnsi="Times New Roman" w:cs="Times New Roman"/>
          <w:b/>
          <w:bCs/>
        </w:rPr>
        <w:t>Supplier Power</w:t>
      </w:r>
      <w:r w:rsidRPr="00A30E25">
        <w:rPr>
          <w:rFonts w:ascii="Times New Roman" w:hAnsi="Times New Roman" w:cs="Times New Roman"/>
        </w:rPr>
        <w:t xml:space="preserve"> remains stable, with both current and future mean scores at 3.33, indicating that suppliers will maintain their moderate level of influence over firms. There is minimal skewness and kurtosis in both the current and future distributions, suggesting a balanced and consistent power dynamic.</w:t>
      </w:r>
    </w:p>
    <w:p w14:paraId="3E5A03A6" w14:textId="77777777" w:rsidR="00337290" w:rsidRPr="00A30E25" w:rsidRDefault="00337290" w:rsidP="00337290">
      <w:pPr>
        <w:spacing w:after="160" w:line="278" w:lineRule="auto"/>
        <w:jc w:val="both"/>
        <w:rPr>
          <w:rFonts w:ascii="Times New Roman" w:hAnsi="Times New Roman" w:cs="Times New Roman"/>
        </w:rPr>
      </w:pPr>
      <w:r w:rsidRPr="00A30E25">
        <w:rPr>
          <w:rFonts w:ascii="Times New Roman" w:hAnsi="Times New Roman" w:cs="Times New Roman"/>
        </w:rPr>
        <w:t xml:space="preserve">Finally, the </w:t>
      </w:r>
      <w:r w:rsidRPr="00A30E25">
        <w:rPr>
          <w:rFonts w:ascii="Times New Roman" w:hAnsi="Times New Roman" w:cs="Times New Roman"/>
          <w:b/>
          <w:bCs/>
        </w:rPr>
        <w:t>Threat of New Entrants</w:t>
      </w:r>
      <w:r w:rsidRPr="00A30E25">
        <w:rPr>
          <w:rFonts w:ascii="Times New Roman" w:hAnsi="Times New Roman" w:cs="Times New Roman"/>
        </w:rPr>
        <w:t xml:space="preserve"> is expected to increase substantially. Currently, with a mean score of 3.2, it is a moderate concern, but this will rise to 4.2 in the future, signaling a significant increase in competitive pressure from potential new entrants. The future data is negatively skewed, indicating that while the overall threat will rise, most firms may experience a high level of new competition.</w:t>
      </w:r>
    </w:p>
    <w:p w14:paraId="1E4ADEDC" w14:textId="77777777" w:rsidR="00337290" w:rsidRPr="00A30E25" w:rsidRDefault="00337290" w:rsidP="00337290">
      <w:pPr>
        <w:spacing w:after="160" w:line="278" w:lineRule="auto"/>
        <w:jc w:val="both"/>
        <w:rPr>
          <w:rFonts w:ascii="Times New Roman" w:hAnsi="Times New Roman" w:cs="Times New Roman"/>
        </w:rPr>
      </w:pPr>
      <w:r w:rsidRPr="00A30E25">
        <w:rPr>
          <w:rFonts w:ascii="Times New Roman" w:hAnsi="Times New Roman" w:cs="Times New Roman"/>
        </w:rPr>
        <w:t xml:space="preserve">In summary, buyer power and the threat of new entrants are expected to grow substantially, while rivalry will intensify. Supplier power and the threat of substitutes are expected to remain stable, though the latter </w:t>
      </w:r>
      <w:r w:rsidRPr="00A30E25">
        <w:rPr>
          <w:rFonts w:ascii="Times New Roman" w:hAnsi="Times New Roman" w:cs="Times New Roman"/>
        </w:rPr>
        <w:lastRenderedPageBreak/>
        <w:t>may experience more variability in the future. These shifts suggest that the industry will become more competitive, with buyers and new entrants playing increasingly important roles.</w:t>
      </w:r>
    </w:p>
    <w:p w14:paraId="39545273" w14:textId="77777777" w:rsidR="00337290" w:rsidRPr="00715713" w:rsidRDefault="00337290" w:rsidP="00337290">
      <w:pPr>
        <w:jc w:val="both"/>
        <w:rPr>
          <w:rFonts w:ascii="Times New Roman" w:hAnsi="Times New Roman" w:cs="Times New Roman"/>
        </w:rPr>
      </w:pPr>
    </w:p>
    <w:p w14:paraId="1F945E99" w14:textId="77777777" w:rsidR="00337290" w:rsidRPr="00A70135" w:rsidRDefault="00337290" w:rsidP="00A70135">
      <w:pPr>
        <w:widowControl/>
        <w:rPr>
          <w:rFonts w:ascii="Times New Roman" w:eastAsia="Times New Roman" w:hAnsi="Times New Roman" w:cs="Times New Roman"/>
          <w:color w:val="000000"/>
          <w:sz w:val="20"/>
          <w:szCs w:val="20"/>
        </w:rPr>
      </w:pPr>
    </w:p>
    <w:sectPr w:rsidR="00337290" w:rsidRPr="00A701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08E7B" w14:textId="77777777" w:rsidR="00991DAD" w:rsidRDefault="00991DAD" w:rsidP="0052210F">
      <w:r>
        <w:separator/>
      </w:r>
    </w:p>
  </w:endnote>
  <w:endnote w:type="continuationSeparator" w:id="0">
    <w:p w14:paraId="6074C12C" w14:textId="77777777" w:rsidR="00991DAD" w:rsidRDefault="00991DAD" w:rsidP="0052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078169"/>
      <w:docPartObj>
        <w:docPartGallery w:val="Page Numbers (Bottom of Page)"/>
        <w:docPartUnique/>
      </w:docPartObj>
    </w:sdtPr>
    <w:sdtEndPr>
      <w:rPr>
        <w:rFonts w:ascii="Times New Roman" w:hAnsi="Times New Roman" w:cs="Times New Roman"/>
        <w:noProof/>
        <w:sz w:val="24"/>
        <w:szCs w:val="24"/>
      </w:rPr>
    </w:sdtEndPr>
    <w:sdtContent>
      <w:p w14:paraId="4B65E2B6" w14:textId="73EFB7ED" w:rsidR="004F6BCE" w:rsidRPr="002D14BE" w:rsidRDefault="004F6BCE">
        <w:pPr>
          <w:pStyle w:val="Footer"/>
          <w:jc w:val="center"/>
          <w:rPr>
            <w:rFonts w:ascii="Times New Roman" w:hAnsi="Times New Roman" w:cs="Times New Roman"/>
            <w:sz w:val="24"/>
            <w:szCs w:val="24"/>
          </w:rPr>
        </w:pPr>
        <w:r w:rsidRPr="002D14BE">
          <w:rPr>
            <w:rFonts w:ascii="Times New Roman" w:hAnsi="Times New Roman" w:cs="Times New Roman"/>
            <w:sz w:val="24"/>
            <w:szCs w:val="24"/>
          </w:rPr>
          <w:fldChar w:fldCharType="begin"/>
        </w:r>
        <w:r w:rsidRPr="002D14BE">
          <w:rPr>
            <w:rFonts w:ascii="Times New Roman" w:hAnsi="Times New Roman" w:cs="Times New Roman"/>
            <w:sz w:val="24"/>
            <w:szCs w:val="24"/>
          </w:rPr>
          <w:instrText xml:space="preserve"> PAGE   \* MERGEFORMAT </w:instrText>
        </w:r>
        <w:r w:rsidRPr="002D14BE">
          <w:rPr>
            <w:rFonts w:ascii="Times New Roman" w:hAnsi="Times New Roman" w:cs="Times New Roman"/>
            <w:sz w:val="24"/>
            <w:szCs w:val="24"/>
          </w:rPr>
          <w:fldChar w:fldCharType="separate"/>
        </w:r>
        <w:r w:rsidRPr="002D14BE">
          <w:rPr>
            <w:rFonts w:ascii="Times New Roman" w:hAnsi="Times New Roman" w:cs="Times New Roman"/>
            <w:noProof/>
            <w:sz w:val="24"/>
            <w:szCs w:val="24"/>
          </w:rPr>
          <w:t>2</w:t>
        </w:r>
        <w:r w:rsidRPr="002D14BE">
          <w:rPr>
            <w:rFonts w:ascii="Times New Roman" w:hAnsi="Times New Roman" w:cs="Times New Roman"/>
            <w:noProof/>
            <w:sz w:val="24"/>
            <w:szCs w:val="24"/>
          </w:rPr>
          <w:fldChar w:fldCharType="end"/>
        </w:r>
      </w:p>
    </w:sdtContent>
  </w:sdt>
  <w:p w14:paraId="34E58B3C" w14:textId="77777777" w:rsidR="0052210F" w:rsidRDefault="00522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E6352" w14:textId="77777777" w:rsidR="00991DAD" w:rsidRDefault="00991DAD" w:rsidP="0052210F">
      <w:r>
        <w:separator/>
      </w:r>
    </w:p>
  </w:footnote>
  <w:footnote w:type="continuationSeparator" w:id="0">
    <w:p w14:paraId="722C739F" w14:textId="77777777" w:rsidR="00991DAD" w:rsidRDefault="00991DAD" w:rsidP="00522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C25AE8"/>
    <w:multiLevelType w:val="multilevel"/>
    <w:tmpl w:val="64AC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93393E"/>
    <w:multiLevelType w:val="multilevel"/>
    <w:tmpl w:val="73A2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0172503">
    <w:abstractNumId w:val="1"/>
  </w:num>
  <w:num w:numId="2" w16cid:durableId="850334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Y2MTewNDexNDWxMDNW0lEKTi0uzszPAykwrAUA82Q2uCwAAAA="/>
  </w:docVars>
  <w:rsids>
    <w:rsidRoot w:val="0052210F"/>
    <w:rsid w:val="00036144"/>
    <w:rsid w:val="00065AA5"/>
    <w:rsid w:val="0006693B"/>
    <w:rsid w:val="000B4E64"/>
    <w:rsid w:val="001058F0"/>
    <w:rsid w:val="00116E2B"/>
    <w:rsid w:val="001348B3"/>
    <w:rsid w:val="001A4766"/>
    <w:rsid w:val="001B3047"/>
    <w:rsid w:val="001B64B1"/>
    <w:rsid w:val="001C13FC"/>
    <w:rsid w:val="001C7168"/>
    <w:rsid w:val="001D1145"/>
    <w:rsid w:val="001D1BD6"/>
    <w:rsid w:val="00202F0F"/>
    <w:rsid w:val="00213187"/>
    <w:rsid w:val="0021534F"/>
    <w:rsid w:val="002314B3"/>
    <w:rsid w:val="00271737"/>
    <w:rsid w:val="002D14BE"/>
    <w:rsid w:val="002D542E"/>
    <w:rsid w:val="002F751B"/>
    <w:rsid w:val="00304DFC"/>
    <w:rsid w:val="00333F10"/>
    <w:rsid w:val="00337290"/>
    <w:rsid w:val="00344302"/>
    <w:rsid w:val="003612F2"/>
    <w:rsid w:val="00365E59"/>
    <w:rsid w:val="0037522B"/>
    <w:rsid w:val="003C1251"/>
    <w:rsid w:val="003C59BB"/>
    <w:rsid w:val="003F0F1C"/>
    <w:rsid w:val="004022A9"/>
    <w:rsid w:val="00414B3C"/>
    <w:rsid w:val="00446A7D"/>
    <w:rsid w:val="00472438"/>
    <w:rsid w:val="004829D2"/>
    <w:rsid w:val="00487138"/>
    <w:rsid w:val="004A1B10"/>
    <w:rsid w:val="004D0B65"/>
    <w:rsid w:val="004F494E"/>
    <w:rsid w:val="004F6BCE"/>
    <w:rsid w:val="005163B7"/>
    <w:rsid w:val="0052210F"/>
    <w:rsid w:val="005335C0"/>
    <w:rsid w:val="00550C9E"/>
    <w:rsid w:val="00555734"/>
    <w:rsid w:val="00563EBB"/>
    <w:rsid w:val="00567136"/>
    <w:rsid w:val="005A30CF"/>
    <w:rsid w:val="005A5007"/>
    <w:rsid w:val="005C0528"/>
    <w:rsid w:val="005E5A6D"/>
    <w:rsid w:val="005F7D06"/>
    <w:rsid w:val="006766A2"/>
    <w:rsid w:val="00681ED9"/>
    <w:rsid w:val="00690D2A"/>
    <w:rsid w:val="00694460"/>
    <w:rsid w:val="006B5510"/>
    <w:rsid w:val="006E3A6F"/>
    <w:rsid w:val="007217EC"/>
    <w:rsid w:val="00722CA8"/>
    <w:rsid w:val="007360E0"/>
    <w:rsid w:val="00741E8D"/>
    <w:rsid w:val="007558AB"/>
    <w:rsid w:val="007622D2"/>
    <w:rsid w:val="007717BA"/>
    <w:rsid w:val="007A4D0F"/>
    <w:rsid w:val="007C31B9"/>
    <w:rsid w:val="007D28B6"/>
    <w:rsid w:val="007E5FC4"/>
    <w:rsid w:val="00800A9F"/>
    <w:rsid w:val="0080445D"/>
    <w:rsid w:val="00824EB9"/>
    <w:rsid w:val="00863816"/>
    <w:rsid w:val="00896537"/>
    <w:rsid w:val="008B1632"/>
    <w:rsid w:val="008B5DED"/>
    <w:rsid w:val="00933791"/>
    <w:rsid w:val="0095187E"/>
    <w:rsid w:val="00962F70"/>
    <w:rsid w:val="00991DAD"/>
    <w:rsid w:val="00992333"/>
    <w:rsid w:val="0099664F"/>
    <w:rsid w:val="009E2575"/>
    <w:rsid w:val="009E73F3"/>
    <w:rsid w:val="00A465BC"/>
    <w:rsid w:val="00A57FD6"/>
    <w:rsid w:val="00A70135"/>
    <w:rsid w:val="00B221D8"/>
    <w:rsid w:val="00B301C8"/>
    <w:rsid w:val="00B364BF"/>
    <w:rsid w:val="00B77D62"/>
    <w:rsid w:val="00BA51F6"/>
    <w:rsid w:val="00BC2C32"/>
    <w:rsid w:val="00BD5481"/>
    <w:rsid w:val="00BE7951"/>
    <w:rsid w:val="00C10DE6"/>
    <w:rsid w:val="00C233A7"/>
    <w:rsid w:val="00C72994"/>
    <w:rsid w:val="00C77E77"/>
    <w:rsid w:val="00CA7FE0"/>
    <w:rsid w:val="00D13ABB"/>
    <w:rsid w:val="00D1429F"/>
    <w:rsid w:val="00D24007"/>
    <w:rsid w:val="00D3483A"/>
    <w:rsid w:val="00DA63E8"/>
    <w:rsid w:val="00DD386C"/>
    <w:rsid w:val="00E22938"/>
    <w:rsid w:val="00E53B53"/>
    <w:rsid w:val="00E604F9"/>
    <w:rsid w:val="00EA11AC"/>
    <w:rsid w:val="00EF5628"/>
    <w:rsid w:val="00F046F3"/>
    <w:rsid w:val="00F303EB"/>
    <w:rsid w:val="00F5024B"/>
    <w:rsid w:val="00F65E85"/>
    <w:rsid w:val="00FD5209"/>
    <w:rsid w:val="00FF0A2F"/>
    <w:rsid w:val="00FF4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062C594"/>
  <w15:chartTrackingRefBased/>
  <w15:docId w15:val="{F580B862-4264-460D-BDA4-D1435424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2210F"/>
    <w:pPr>
      <w:widowControl w:val="0"/>
      <w:spacing w:after="0" w:line="240" w:lineRule="auto"/>
    </w:pPr>
  </w:style>
  <w:style w:type="paragraph" w:styleId="Heading1">
    <w:name w:val="heading 1"/>
    <w:basedOn w:val="Normal"/>
    <w:next w:val="Normal"/>
    <w:link w:val="Heading1Char"/>
    <w:uiPriority w:val="9"/>
    <w:qFormat/>
    <w:rsid w:val="004D0B65"/>
    <w:pPr>
      <w:keepNext/>
      <w:keepLines/>
      <w:spacing w:before="24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1B64B1"/>
    <w:pPr>
      <w:keepNext/>
      <w:keepLines/>
      <w:spacing w:before="40"/>
      <w:ind w:left="720"/>
      <w:outlineLvl w:val="1"/>
    </w:pPr>
    <w:rPr>
      <w:rFonts w:ascii="Times New Roman" w:eastAsiaTheme="majorEastAsia" w:hAnsi="Times New Roman" w:cstheme="majorBidi"/>
      <w:b/>
      <w:sz w:val="24"/>
      <w:szCs w:val="26"/>
    </w:rPr>
  </w:style>
  <w:style w:type="paragraph" w:styleId="Heading4">
    <w:name w:val="heading 4"/>
    <w:basedOn w:val="Normal"/>
    <w:next w:val="Normal"/>
    <w:link w:val="Heading4Char"/>
    <w:uiPriority w:val="9"/>
    <w:semiHidden/>
    <w:unhideWhenUsed/>
    <w:qFormat/>
    <w:rsid w:val="0052210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link w:val="Heading6Char"/>
    <w:uiPriority w:val="1"/>
    <w:qFormat/>
    <w:rsid w:val="0052210F"/>
    <w:pPr>
      <w:spacing w:before="66"/>
      <w:ind w:left="1420"/>
      <w:outlineLvl w:val="5"/>
    </w:pPr>
    <w:rPr>
      <w:rFonts w:ascii="Palatino Linotype" w:eastAsia="Palatino Linotype" w:hAnsi="Palatino Linotype"/>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1"/>
    <w:rsid w:val="0052210F"/>
    <w:rPr>
      <w:rFonts w:ascii="Palatino Linotype" w:eastAsia="Palatino Linotype" w:hAnsi="Palatino Linotype"/>
      <w:b/>
      <w:bCs/>
      <w:sz w:val="21"/>
      <w:szCs w:val="21"/>
    </w:rPr>
  </w:style>
  <w:style w:type="paragraph" w:customStyle="1" w:styleId="TableParagraph">
    <w:name w:val="Table Paragraph"/>
    <w:basedOn w:val="Normal"/>
    <w:uiPriority w:val="1"/>
    <w:qFormat/>
    <w:rsid w:val="0052210F"/>
  </w:style>
  <w:style w:type="character" w:customStyle="1" w:styleId="Heading1Char">
    <w:name w:val="Heading 1 Char"/>
    <w:basedOn w:val="DefaultParagraphFont"/>
    <w:link w:val="Heading1"/>
    <w:uiPriority w:val="9"/>
    <w:rsid w:val="004D0B65"/>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52210F"/>
    <w:pPr>
      <w:tabs>
        <w:tab w:val="center" w:pos="4680"/>
        <w:tab w:val="right" w:pos="9360"/>
      </w:tabs>
    </w:pPr>
  </w:style>
  <w:style w:type="character" w:customStyle="1" w:styleId="HeaderChar">
    <w:name w:val="Header Char"/>
    <w:basedOn w:val="DefaultParagraphFont"/>
    <w:link w:val="Header"/>
    <w:uiPriority w:val="99"/>
    <w:rsid w:val="0052210F"/>
  </w:style>
  <w:style w:type="paragraph" w:styleId="Footer">
    <w:name w:val="footer"/>
    <w:basedOn w:val="Normal"/>
    <w:link w:val="FooterChar"/>
    <w:uiPriority w:val="99"/>
    <w:unhideWhenUsed/>
    <w:rsid w:val="0052210F"/>
    <w:pPr>
      <w:tabs>
        <w:tab w:val="center" w:pos="4680"/>
        <w:tab w:val="right" w:pos="9360"/>
      </w:tabs>
    </w:pPr>
  </w:style>
  <w:style w:type="character" w:customStyle="1" w:styleId="FooterChar">
    <w:name w:val="Footer Char"/>
    <w:basedOn w:val="DefaultParagraphFont"/>
    <w:link w:val="Footer"/>
    <w:uiPriority w:val="99"/>
    <w:rsid w:val="0052210F"/>
  </w:style>
  <w:style w:type="character" w:customStyle="1" w:styleId="Heading4Char">
    <w:name w:val="Heading 4 Char"/>
    <w:basedOn w:val="DefaultParagraphFont"/>
    <w:link w:val="Heading4"/>
    <w:uiPriority w:val="9"/>
    <w:semiHidden/>
    <w:rsid w:val="0052210F"/>
    <w:rPr>
      <w:rFonts w:asciiTheme="majorHAnsi" w:eastAsiaTheme="majorEastAsia" w:hAnsiTheme="majorHAnsi" w:cstheme="majorBidi"/>
      <w:i/>
      <w:iCs/>
      <w:color w:val="2E74B5" w:themeColor="accent1" w:themeShade="BF"/>
    </w:rPr>
  </w:style>
  <w:style w:type="character" w:styleId="BookTitle">
    <w:name w:val="Book Title"/>
    <w:basedOn w:val="DefaultParagraphFont"/>
    <w:uiPriority w:val="33"/>
    <w:qFormat/>
    <w:rsid w:val="00DA63E8"/>
    <w:rPr>
      <w:b/>
      <w:bCs/>
      <w:i/>
      <w:iCs/>
      <w:spacing w:val="5"/>
    </w:rPr>
  </w:style>
  <w:style w:type="paragraph" w:styleId="TOCHeading">
    <w:name w:val="TOC Heading"/>
    <w:basedOn w:val="Heading1"/>
    <w:next w:val="Normal"/>
    <w:uiPriority w:val="39"/>
    <w:unhideWhenUsed/>
    <w:qFormat/>
    <w:rsid w:val="00D3483A"/>
    <w:pPr>
      <w:widowControl/>
      <w:spacing w:line="259" w:lineRule="auto"/>
      <w:outlineLvl w:val="9"/>
    </w:pPr>
  </w:style>
  <w:style w:type="paragraph" w:styleId="TOC1">
    <w:name w:val="toc 1"/>
    <w:basedOn w:val="Normal"/>
    <w:next w:val="Normal"/>
    <w:autoRedefine/>
    <w:uiPriority w:val="39"/>
    <w:unhideWhenUsed/>
    <w:rsid w:val="00D3483A"/>
    <w:pPr>
      <w:spacing w:after="100"/>
    </w:pPr>
  </w:style>
  <w:style w:type="character" w:styleId="Hyperlink">
    <w:name w:val="Hyperlink"/>
    <w:basedOn w:val="DefaultParagraphFont"/>
    <w:uiPriority w:val="99"/>
    <w:unhideWhenUsed/>
    <w:rsid w:val="00D3483A"/>
    <w:rPr>
      <w:color w:val="0563C1" w:themeColor="hyperlink"/>
      <w:u w:val="single"/>
    </w:rPr>
  </w:style>
  <w:style w:type="character" w:customStyle="1" w:styleId="Heading2Char">
    <w:name w:val="Heading 2 Char"/>
    <w:basedOn w:val="DefaultParagraphFont"/>
    <w:link w:val="Heading2"/>
    <w:uiPriority w:val="9"/>
    <w:rsid w:val="001B64B1"/>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C77E77"/>
    <w:pPr>
      <w:spacing w:after="100"/>
      <w:ind w:left="220"/>
    </w:pPr>
  </w:style>
  <w:style w:type="character" w:styleId="UnresolvedMention">
    <w:name w:val="Unresolved Mention"/>
    <w:basedOn w:val="DefaultParagraphFont"/>
    <w:uiPriority w:val="99"/>
    <w:semiHidden/>
    <w:unhideWhenUsed/>
    <w:rsid w:val="00FD5209"/>
    <w:rPr>
      <w:color w:val="605E5C"/>
      <w:shd w:val="clear" w:color="auto" w:fill="E1DFDD"/>
    </w:rPr>
  </w:style>
  <w:style w:type="paragraph" w:styleId="Caption">
    <w:name w:val="caption"/>
    <w:basedOn w:val="Normal"/>
    <w:next w:val="Normal"/>
    <w:uiPriority w:val="35"/>
    <w:unhideWhenUsed/>
    <w:qFormat/>
    <w:rsid w:val="001A4766"/>
    <w:pPr>
      <w:spacing w:after="200"/>
    </w:pPr>
    <w:rPr>
      <w:i/>
      <w:iCs/>
      <w:color w:val="44546A" w:themeColor="text2"/>
      <w:sz w:val="18"/>
      <w:szCs w:val="18"/>
    </w:rPr>
  </w:style>
  <w:style w:type="paragraph" w:styleId="TableofFigures">
    <w:name w:val="table of figures"/>
    <w:basedOn w:val="Normal"/>
    <w:next w:val="Normal"/>
    <w:uiPriority w:val="99"/>
    <w:unhideWhenUsed/>
    <w:rsid w:val="00E60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89975">
      <w:bodyDiv w:val="1"/>
      <w:marLeft w:val="0"/>
      <w:marRight w:val="0"/>
      <w:marTop w:val="0"/>
      <w:marBottom w:val="0"/>
      <w:divBdr>
        <w:top w:val="none" w:sz="0" w:space="0" w:color="auto"/>
        <w:left w:val="none" w:sz="0" w:space="0" w:color="auto"/>
        <w:bottom w:val="none" w:sz="0" w:space="0" w:color="auto"/>
        <w:right w:val="none" w:sz="0" w:space="0" w:color="auto"/>
      </w:divBdr>
    </w:div>
    <w:div w:id="40834383">
      <w:bodyDiv w:val="1"/>
      <w:marLeft w:val="0"/>
      <w:marRight w:val="0"/>
      <w:marTop w:val="0"/>
      <w:marBottom w:val="0"/>
      <w:divBdr>
        <w:top w:val="none" w:sz="0" w:space="0" w:color="auto"/>
        <w:left w:val="none" w:sz="0" w:space="0" w:color="auto"/>
        <w:bottom w:val="none" w:sz="0" w:space="0" w:color="auto"/>
        <w:right w:val="none" w:sz="0" w:space="0" w:color="auto"/>
      </w:divBdr>
    </w:div>
    <w:div w:id="51080763">
      <w:bodyDiv w:val="1"/>
      <w:marLeft w:val="0"/>
      <w:marRight w:val="0"/>
      <w:marTop w:val="0"/>
      <w:marBottom w:val="0"/>
      <w:divBdr>
        <w:top w:val="none" w:sz="0" w:space="0" w:color="auto"/>
        <w:left w:val="none" w:sz="0" w:space="0" w:color="auto"/>
        <w:bottom w:val="none" w:sz="0" w:space="0" w:color="auto"/>
        <w:right w:val="none" w:sz="0" w:space="0" w:color="auto"/>
      </w:divBdr>
    </w:div>
    <w:div w:id="62487039">
      <w:bodyDiv w:val="1"/>
      <w:marLeft w:val="0"/>
      <w:marRight w:val="0"/>
      <w:marTop w:val="0"/>
      <w:marBottom w:val="0"/>
      <w:divBdr>
        <w:top w:val="none" w:sz="0" w:space="0" w:color="auto"/>
        <w:left w:val="none" w:sz="0" w:space="0" w:color="auto"/>
        <w:bottom w:val="none" w:sz="0" w:space="0" w:color="auto"/>
        <w:right w:val="none" w:sz="0" w:space="0" w:color="auto"/>
      </w:divBdr>
    </w:div>
    <w:div w:id="124474906">
      <w:bodyDiv w:val="1"/>
      <w:marLeft w:val="0"/>
      <w:marRight w:val="0"/>
      <w:marTop w:val="0"/>
      <w:marBottom w:val="0"/>
      <w:divBdr>
        <w:top w:val="none" w:sz="0" w:space="0" w:color="auto"/>
        <w:left w:val="none" w:sz="0" w:space="0" w:color="auto"/>
        <w:bottom w:val="none" w:sz="0" w:space="0" w:color="auto"/>
        <w:right w:val="none" w:sz="0" w:space="0" w:color="auto"/>
      </w:divBdr>
    </w:div>
    <w:div w:id="210727331">
      <w:bodyDiv w:val="1"/>
      <w:marLeft w:val="0"/>
      <w:marRight w:val="0"/>
      <w:marTop w:val="0"/>
      <w:marBottom w:val="0"/>
      <w:divBdr>
        <w:top w:val="none" w:sz="0" w:space="0" w:color="auto"/>
        <w:left w:val="none" w:sz="0" w:space="0" w:color="auto"/>
        <w:bottom w:val="none" w:sz="0" w:space="0" w:color="auto"/>
        <w:right w:val="none" w:sz="0" w:space="0" w:color="auto"/>
      </w:divBdr>
    </w:div>
    <w:div w:id="270865753">
      <w:bodyDiv w:val="1"/>
      <w:marLeft w:val="0"/>
      <w:marRight w:val="0"/>
      <w:marTop w:val="0"/>
      <w:marBottom w:val="0"/>
      <w:divBdr>
        <w:top w:val="none" w:sz="0" w:space="0" w:color="auto"/>
        <w:left w:val="none" w:sz="0" w:space="0" w:color="auto"/>
        <w:bottom w:val="none" w:sz="0" w:space="0" w:color="auto"/>
        <w:right w:val="none" w:sz="0" w:space="0" w:color="auto"/>
      </w:divBdr>
    </w:div>
    <w:div w:id="499472020">
      <w:bodyDiv w:val="1"/>
      <w:marLeft w:val="0"/>
      <w:marRight w:val="0"/>
      <w:marTop w:val="0"/>
      <w:marBottom w:val="0"/>
      <w:divBdr>
        <w:top w:val="none" w:sz="0" w:space="0" w:color="auto"/>
        <w:left w:val="none" w:sz="0" w:space="0" w:color="auto"/>
        <w:bottom w:val="none" w:sz="0" w:space="0" w:color="auto"/>
        <w:right w:val="none" w:sz="0" w:space="0" w:color="auto"/>
      </w:divBdr>
    </w:div>
    <w:div w:id="723257114">
      <w:bodyDiv w:val="1"/>
      <w:marLeft w:val="0"/>
      <w:marRight w:val="0"/>
      <w:marTop w:val="0"/>
      <w:marBottom w:val="0"/>
      <w:divBdr>
        <w:top w:val="none" w:sz="0" w:space="0" w:color="auto"/>
        <w:left w:val="none" w:sz="0" w:space="0" w:color="auto"/>
        <w:bottom w:val="none" w:sz="0" w:space="0" w:color="auto"/>
        <w:right w:val="none" w:sz="0" w:space="0" w:color="auto"/>
      </w:divBdr>
    </w:div>
    <w:div w:id="925656183">
      <w:bodyDiv w:val="1"/>
      <w:marLeft w:val="0"/>
      <w:marRight w:val="0"/>
      <w:marTop w:val="0"/>
      <w:marBottom w:val="0"/>
      <w:divBdr>
        <w:top w:val="none" w:sz="0" w:space="0" w:color="auto"/>
        <w:left w:val="none" w:sz="0" w:space="0" w:color="auto"/>
        <w:bottom w:val="none" w:sz="0" w:space="0" w:color="auto"/>
        <w:right w:val="none" w:sz="0" w:space="0" w:color="auto"/>
      </w:divBdr>
    </w:div>
    <w:div w:id="1123115794">
      <w:bodyDiv w:val="1"/>
      <w:marLeft w:val="0"/>
      <w:marRight w:val="0"/>
      <w:marTop w:val="0"/>
      <w:marBottom w:val="0"/>
      <w:divBdr>
        <w:top w:val="none" w:sz="0" w:space="0" w:color="auto"/>
        <w:left w:val="none" w:sz="0" w:space="0" w:color="auto"/>
        <w:bottom w:val="none" w:sz="0" w:space="0" w:color="auto"/>
        <w:right w:val="none" w:sz="0" w:space="0" w:color="auto"/>
      </w:divBdr>
    </w:div>
    <w:div w:id="1141385336">
      <w:bodyDiv w:val="1"/>
      <w:marLeft w:val="0"/>
      <w:marRight w:val="0"/>
      <w:marTop w:val="0"/>
      <w:marBottom w:val="0"/>
      <w:divBdr>
        <w:top w:val="none" w:sz="0" w:space="0" w:color="auto"/>
        <w:left w:val="none" w:sz="0" w:space="0" w:color="auto"/>
        <w:bottom w:val="none" w:sz="0" w:space="0" w:color="auto"/>
        <w:right w:val="none" w:sz="0" w:space="0" w:color="auto"/>
      </w:divBdr>
    </w:div>
    <w:div w:id="1225683361">
      <w:bodyDiv w:val="1"/>
      <w:marLeft w:val="0"/>
      <w:marRight w:val="0"/>
      <w:marTop w:val="0"/>
      <w:marBottom w:val="0"/>
      <w:divBdr>
        <w:top w:val="none" w:sz="0" w:space="0" w:color="auto"/>
        <w:left w:val="none" w:sz="0" w:space="0" w:color="auto"/>
        <w:bottom w:val="none" w:sz="0" w:space="0" w:color="auto"/>
        <w:right w:val="none" w:sz="0" w:space="0" w:color="auto"/>
      </w:divBdr>
    </w:div>
    <w:div w:id="1302081181">
      <w:bodyDiv w:val="1"/>
      <w:marLeft w:val="0"/>
      <w:marRight w:val="0"/>
      <w:marTop w:val="0"/>
      <w:marBottom w:val="0"/>
      <w:divBdr>
        <w:top w:val="none" w:sz="0" w:space="0" w:color="auto"/>
        <w:left w:val="none" w:sz="0" w:space="0" w:color="auto"/>
        <w:bottom w:val="none" w:sz="0" w:space="0" w:color="auto"/>
        <w:right w:val="none" w:sz="0" w:space="0" w:color="auto"/>
      </w:divBdr>
    </w:div>
    <w:div w:id="1302688745">
      <w:bodyDiv w:val="1"/>
      <w:marLeft w:val="0"/>
      <w:marRight w:val="0"/>
      <w:marTop w:val="0"/>
      <w:marBottom w:val="0"/>
      <w:divBdr>
        <w:top w:val="none" w:sz="0" w:space="0" w:color="auto"/>
        <w:left w:val="none" w:sz="0" w:space="0" w:color="auto"/>
        <w:bottom w:val="none" w:sz="0" w:space="0" w:color="auto"/>
        <w:right w:val="none" w:sz="0" w:space="0" w:color="auto"/>
      </w:divBdr>
    </w:div>
    <w:div w:id="1377049562">
      <w:bodyDiv w:val="1"/>
      <w:marLeft w:val="0"/>
      <w:marRight w:val="0"/>
      <w:marTop w:val="0"/>
      <w:marBottom w:val="0"/>
      <w:divBdr>
        <w:top w:val="none" w:sz="0" w:space="0" w:color="auto"/>
        <w:left w:val="none" w:sz="0" w:space="0" w:color="auto"/>
        <w:bottom w:val="none" w:sz="0" w:space="0" w:color="auto"/>
        <w:right w:val="none" w:sz="0" w:space="0" w:color="auto"/>
      </w:divBdr>
    </w:div>
    <w:div w:id="1394691877">
      <w:bodyDiv w:val="1"/>
      <w:marLeft w:val="0"/>
      <w:marRight w:val="0"/>
      <w:marTop w:val="0"/>
      <w:marBottom w:val="0"/>
      <w:divBdr>
        <w:top w:val="none" w:sz="0" w:space="0" w:color="auto"/>
        <w:left w:val="none" w:sz="0" w:space="0" w:color="auto"/>
        <w:bottom w:val="none" w:sz="0" w:space="0" w:color="auto"/>
        <w:right w:val="none" w:sz="0" w:space="0" w:color="auto"/>
      </w:divBdr>
    </w:div>
    <w:div w:id="1398868104">
      <w:bodyDiv w:val="1"/>
      <w:marLeft w:val="0"/>
      <w:marRight w:val="0"/>
      <w:marTop w:val="0"/>
      <w:marBottom w:val="0"/>
      <w:divBdr>
        <w:top w:val="none" w:sz="0" w:space="0" w:color="auto"/>
        <w:left w:val="none" w:sz="0" w:space="0" w:color="auto"/>
        <w:bottom w:val="none" w:sz="0" w:space="0" w:color="auto"/>
        <w:right w:val="none" w:sz="0" w:space="0" w:color="auto"/>
      </w:divBdr>
    </w:div>
    <w:div w:id="1469593807">
      <w:bodyDiv w:val="1"/>
      <w:marLeft w:val="0"/>
      <w:marRight w:val="0"/>
      <w:marTop w:val="0"/>
      <w:marBottom w:val="0"/>
      <w:divBdr>
        <w:top w:val="none" w:sz="0" w:space="0" w:color="auto"/>
        <w:left w:val="none" w:sz="0" w:space="0" w:color="auto"/>
        <w:bottom w:val="none" w:sz="0" w:space="0" w:color="auto"/>
        <w:right w:val="none" w:sz="0" w:space="0" w:color="auto"/>
      </w:divBdr>
    </w:div>
    <w:div w:id="1518736213">
      <w:bodyDiv w:val="1"/>
      <w:marLeft w:val="0"/>
      <w:marRight w:val="0"/>
      <w:marTop w:val="0"/>
      <w:marBottom w:val="0"/>
      <w:divBdr>
        <w:top w:val="none" w:sz="0" w:space="0" w:color="auto"/>
        <w:left w:val="none" w:sz="0" w:space="0" w:color="auto"/>
        <w:bottom w:val="none" w:sz="0" w:space="0" w:color="auto"/>
        <w:right w:val="none" w:sz="0" w:space="0" w:color="auto"/>
      </w:divBdr>
    </w:div>
    <w:div w:id="1808038295">
      <w:bodyDiv w:val="1"/>
      <w:marLeft w:val="0"/>
      <w:marRight w:val="0"/>
      <w:marTop w:val="0"/>
      <w:marBottom w:val="0"/>
      <w:divBdr>
        <w:top w:val="none" w:sz="0" w:space="0" w:color="auto"/>
        <w:left w:val="none" w:sz="0" w:space="0" w:color="auto"/>
        <w:bottom w:val="none" w:sz="0" w:space="0" w:color="auto"/>
        <w:right w:val="none" w:sz="0" w:space="0" w:color="auto"/>
      </w:divBdr>
    </w:div>
    <w:div w:id="208294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4B0AE-F4CD-4BCE-8406-3F79028C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2800</Words>
  <Characters>30787</Characters>
  <Application>Microsoft Office Word</Application>
  <DocSecurity>0</DocSecurity>
  <Lines>1061</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Myszkowski</dc:creator>
  <cp:keywords/>
  <dc:description/>
  <cp:lastModifiedBy>Muhammed Sameer</cp:lastModifiedBy>
  <cp:revision>5</cp:revision>
  <dcterms:created xsi:type="dcterms:W3CDTF">2024-09-22T23:39:00Z</dcterms:created>
  <dcterms:modified xsi:type="dcterms:W3CDTF">2024-09-23T00:49:00Z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http://www.zotero.org/styles/association-for-computing-machinery</vt:lpwstr>
  </property>
  <property fmtid="{D5CDD505-2E9C-101B-9397-08002B2CF9AE}" pid="9" name="Mendeley Recent Style Name 3_1">
    <vt:lpwstr>Association for Computing Machinery</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3e0eedcc-bd81-3f17-8e86-9fd2bbba045b</vt:lpwstr>
  </property>
  <property fmtid="{D5CDD505-2E9C-101B-9397-08002B2CF9AE}" pid="24" name="Mendeley Citation Style_1">
    <vt:lpwstr>http://www.zotero.org/styles/apa</vt:lpwstr>
  </property>
</Properties>
</file>