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48523" w14:textId="77777777" w:rsidR="00227930" w:rsidRPr="00227930" w:rsidRDefault="00227930" w:rsidP="0022793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27930">
        <w:rPr>
          <w:rFonts w:ascii="Times New Roman" w:eastAsia="Times New Roman" w:hAnsi="Times New Roman" w:cs="Times New Roman"/>
          <w:b/>
          <w:bCs/>
          <w:kern w:val="0"/>
          <w:sz w:val="27"/>
          <w:szCs w:val="27"/>
          <w14:ligatures w14:val="none"/>
        </w:rPr>
        <w:t>Title: Misplaced Blame: How Britain’s Failures Made Israel the Scapegoat</w:t>
      </w:r>
    </w:p>
    <w:p w14:paraId="512CB7EA" w14:textId="57FFFE98" w:rsidR="004B3872" w:rsidRPr="00A02D37" w:rsidRDefault="00227930" w:rsidP="0022793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Subheading:</w:t>
      </w:r>
      <w:r w:rsidRPr="00A02D37">
        <w:rPr>
          <w:rFonts w:ascii="Times New Roman" w:eastAsia="Times New Roman" w:hAnsi="Times New Roman" w:cs="Times New Roman"/>
          <w:kern w:val="0"/>
          <w:sz w:val="24"/>
          <w:szCs w:val="24"/>
          <w14:ligatures w14:val="none"/>
        </w:rPr>
        <w:t xml:space="preserve"> The Untold Story of </w:t>
      </w:r>
      <w:r w:rsidR="004B3872" w:rsidRPr="00A02D37">
        <w:rPr>
          <w:rFonts w:ascii="Times New Roman" w:eastAsia="Times New Roman" w:hAnsi="Times New Roman" w:cs="Times New Roman"/>
          <w:kern w:val="0"/>
          <w:sz w:val="24"/>
          <w:szCs w:val="24"/>
          <w14:ligatures w14:val="none"/>
        </w:rPr>
        <w:t>Britain’s</w:t>
      </w:r>
      <w:r w:rsidRPr="00A02D37">
        <w:rPr>
          <w:rFonts w:ascii="Times New Roman" w:eastAsia="Times New Roman" w:hAnsi="Times New Roman" w:cs="Times New Roman"/>
          <w:kern w:val="0"/>
          <w:sz w:val="24"/>
          <w:szCs w:val="24"/>
          <w14:ligatures w14:val="none"/>
        </w:rPr>
        <w:t xml:space="preserve"> Missteps</w:t>
      </w:r>
      <w:r w:rsidR="00534759">
        <w:rPr>
          <w:rFonts w:ascii="Times New Roman" w:eastAsia="Times New Roman" w:hAnsi="Times New Roman" w:cs="Times New Roman"/>
          <w:kern w:val="0"/>
          <w:sz w:val="24"/>
          <w:szCs w:val="24"/>
          <w14:ligatures w14:val="none"/>
        </w:rPr>
        <w:t>,</w:t>
      </w:r>
      <w:r w:rsidRPr="00A02D37">
        <w:rPr>
          <w:rFonts w:ascii="Times New Roman" w:eastAsia="Times New Roman" w:hAnsi="Times New Roman" w:cs="Times New Roman"/>
          <w:kern w:val="0"/>
          <w:sz w:val="24"/>
          <w:szCs w:val="24"/>
          <w14:ligatures w14:val="none"/>
        </w:rPr>
        <w:t xml:space="preserve"> </w:t>
      </w:r>
      <w:r w:rsidR="004B3872" w:rsidRPr="00A02D37">
        <w:rPr>
          <w:rFonts w:ascii="Times New Roman" w:eastAsia="Times New Roman" w:hAnsi="Times New Roman" w:cs="Times New Roman"/>
          <w:kern w:val="0"/>
          <w:sz w:val="24"/>
          <w:szCs w:val="24"/>
          <w14:ligatures w14:val="none"/>
        </w:rPr>
        <w:t>which denied Palestinian Arabs their promised state.</w:t>
      </w:r>
    </w:p>
    <w:p w14:paraId="6A946189" w14:textId="48B3B1D9" w:rsidR="00227930" w:rsidRPr="00A02D37" w:rsidRDefault="00227930" w:rsidP="0022793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Written by:</w:t>
      </w:r>
      <w:r w:rsidRPr="00A02D37">
        <w:rPr>
          <w:rFonts w:ascii="Times New Roman" w:eastAsia="Times New Roman" w:hAnsi="Times New Roman" w:cs="Times New Roman"/>
          <w:kern w:val="0"/>
          <w:sz w:val="24"/>
          <w:szCs w:val="24"/>
          <w14:ligatures w14:val="none"/>
        </w:rPr>
        <w:t xml:space="preserve"> Jerry M. Elman</w:t>
      </w:r>
      <w:r w:rsidRPr="00A02D37">
        <w:rPr>
          <w:rFonts w:ascii="Times New Roman" w:eastAsia="Times New Roman" w:hAnsi="Times New Roman" w:cs="Times New Roman"/>
          <w:kern w:val="0"/>
          <w:sz w:val="24"/>
          <w:szCs w:val="24"/>
          <w14:ligatures w14:val="none"/>
        </w:rPr>
        <w:br/>
      </w:r>
      <w:r w:rsidRPr="00A02D37">
        <w:rPr>
          <w:rFonts w:ascii="Times New Roman" w:eastAsia="Times New Roman" w:hAnsi="Times New Roman" w:cs="Times New Roman"/>
          <w:b/>
          <w:bCs/>
          <w:kern w:val="0"/>
          <w:sz w:val="24"/>
          <w:szCs w:val="24"/>
          <w14:ligatures w14:val="none"/>
        </w:rPr>
        <w:t>Publisher:</w:t>
      </w:r>
      <w:r w:rsidRPr="00A02D37">
        <w:rPr>
          <w:rFonts w:ascii="Times New Roman" w:eastAsia="Times New Roman" w:hAnsi="Times New Roman" w:cs="Times New Roman"/>
          <w:kern w:val="0"/>
          <w:sz w:val="24"/>
          <w:szCs w:val="24"/>
          <w14:ligatures w14:val="none"/>
        </w:rPr>
        <w:t xml:space="preserve"> Waterview Books</w:t>
      </w:r>
    </w:p>
    <w:p w14:paraId="7BA4B074" w14:textId="77777777" w:rsidR="0078387D" w:rsidRPr="0078387D" w:rsidRDefault="0078387D" w:rsidP="007838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87D">
        <w:rPr>
          <w:rFonts w:ascii="Times New Roman" w:eastAsia="Times New Roman" w:hAnsi="Times New Roman" w:cs="Times New Roman"/>
          <w:b/>
          <w:bCs/>
          <w:kern w:val="0"/>
          <w:sz w:val="27"/>
          <w:szCs w:val="27"/>
          <w14:ligatures w14:val="none"/>
        </w:rPr>
        <w:t>Prologue</w:t>
      </w:r>
    </w:p>
    <w:p w14:paraId="781243E1"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Israel is the only recognized nation in the world whose very legitimacy is constantly challenged. No other country, born out of conflict and war, faces such relentless scrutiny. Israel fought a war of independence and won, much like the United States did against the British. Yet, while America’s legitimacy has never been questioned despite its own complex history, Israel’s right to exist remains under constant attack.</w:t>
      </w:r>
    </w:p>
    <w:p w14:paraId="6FC304BF" w14:textId="7B8AE4E8"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This persistent questioning of Israel's legitimacy is not an isolated phenomenon. It is part of a much older and darker narrative: the continuous challenge to Jewish existence. Since the time of the Romans, there has been a relentless effort to erase the Jewish people. From ancient persecution, forced conversions, expulsions, and pogroms to the Holocaust and modern-day terrorism, Jews have been targeted with a singular, unyielding hatred. Now, it is not just the Jewish people who are seen as needing to be destroyed, but also their nation-state, their homeland.</w:t>
      </w:r>
    </w:p>
    <w:p w14:paraId="279A16E3"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This is not a new development but rather a continuation of a pattern that has persisted for over 2,500 years. It is a mutation of the same ancient prejudice, now cloaked in the language of human rights, anti-colonialism, and social justice. Yet, at its core, it remains the same old hatred: a fundamental denial of the Jewish people's right to exist.</w:t>
      </w:r>
    </w:p>
    <w:p w14:paraId="5D6CD3E9"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As an engineer, I have often pondered how other engineers—people like </w:t>
      </w:r>
      <w:proofErr w:type="gramStart"/>
      <w:r w:rsidRPr="0078387D">
        <w:rPr>
          <w:rFonts w:ascii="Times New Roman" w:eastAsia="Times New Roman" w:hAnsi="Times New Roman" w:cs="Times New Roman"/>
          <w:kern w:val="0"/>
          <w:sz w:val="24"/>
          <w:szCs w:val="24"/>
          <w14:ligatures w14:val="none"/>
        </w:rPr>
        <w:t>myself</w:t>
      </w:r>
      <w:proofErr w:type="gramEnd"/>
      <w:r w:rsidRPr="0078387D">
        <w:rPr>
          <w:rFonts w:ascii="Times New Roman" w:eastAsia="Times New Roman" w:hAnsi="Times New Roman" w:cs="Times New Roman"/>
          <w:kern w:val="0"/>
          <w:sz w:val="24"/>
          <w:szCs w:val="24"/>
          <w14:ligatures w14:val="none"/>
        </w:rPr>
        <w:t>—could focus their talents on creating the most efficient methods of mass murder during the Holocaust. German engineers took pride in their work, relentlessly improving the speed and effectiveness of their death factories, solving “technical bottlenecks” in killing people, like how to dispose of bodies and ashes more efficiently. I studied the engineering details of the gas chambers and incinerators—the use of modern technology and intelligent minds all dedicated to one purpose: killing as many Jews as possible.</w:t>
      </w:r>
    </w:p>
    <w:p w14:paraId="330A7C7E"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This led me to a profound realization: the Holocaust did not happen in a vacuum. It was the inevitable outcome of thousands of years of Jew-hate that mutated and adapted with the times. This journey to understand Jew-hate took me further, into the history of the Israel-Palestinian conflict. Like many, I initially believed this conflict began in 1948. I had no idea how deeply intertwined it was with British colonial history and the legacies </w:t>
      </w:r>
      <w:proofErr w:type="gramStart"/>
      <w:r w:rsidRPr="0078387D">
        <w:rPr>
          <w:rFonts w:ascii="Times New Roman" w:eastAsia="Times New Roman" w:hAnsi="Times New Roman" w:cs="Times New Roman"/>
          <w:kern w:val="0"/>
          <w:sz w:val="24"/>
          <w:szCs w:val="24"/>
          <w14:ligatures w14:val="none"/>
        </w:rPr>
        <w:t>they</w:t>
      </w:r>
      <w:proofErr w:type="gramEnd"/>
      <w:r w:rsidRPr="0078387D">
        <w:rPr>
          <w:rFonts w:ascii="Times New Roman" w:eastAsia="Times New Roman" w:hAnsi="Times New Roman" w:cs="Times New Roman"/>
          <w:kern w:val="0"/>
          <w:sz w:val="24"/>
          <w:szCs w:val="24"/>
          <w14:ligatures w14:val="none"/>
        </w:rPr>
        <w:t xml:space="preserve"> left behind.</w:t>
      </w:r>
    </w:p>
    <w:p w14:paraId="3456C85D"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As I dug deeper, I uncovered an unspeakable truth: the role of the British in shaping not just the conflict, but also the fate of millions of Jews during the Holocaust. Not only did the British deny entry to Jews fleeing the Nazis, both to Britain and Palestine, but they also refused to allow Holocaust survivors a refuge after the war. The very existence of Israel became the only viable </w:t>
      </w:r>
      <w:r w:rsidRPr="0078387D">
        <w:rPr>
          <w:rFonts w:ascii="Times New Roman" w:eastAsia="Times New Roman" w:hAnsi="Times New Roman" w:cs="Times New Roman"/>
          <w:kern w:val="0"/>
          <w:sz w:val="24"/>
          <w:szCs w:val="24"/>
          <w14:ligatures w14:val="none"/>
        </w:rPr>
        <w:lastRenderedPageBreak/>
        <w:t xml:space="preserve">solution for Jews seeking </w:t>
      </w:r>
      <w:proofErr w:type="gramStart"/>
      <w:r w:rsidRPr="0078387D">
        <w:rPr>
          <w:rFonts w:ascii="Times New Roman" w:eastAsia="Times New Roman" w:hAnsi="Times New Roman" w:cs="Times New Roman"/>
          <w:kern w:val="0"/>
          <w:sz w:val="24"/>
          <w:szCs w:val="24"/>
          <w14:ligatures w14:val="none"/>
        </w:rPr>
        <w:t>a safe haven</w:t>
      </w:r>
      <w:proofErr w:type="gramEnd"/>
      <w:r w:rsidRPr="0078387D">
        <w:rPr>
          <w:rFonts w:ascii="Times New Roman" w:eastAsia="Times New Roman" w:hAnsi="Times New Roman" w:cs="Times New Roman"/>
          <w:kern w:val="0"/>
          <w:sz w:val="24"/>
          <w:szCs w:val="24"/>
          <w14:ligatures w14:val="none"/>
        </w:rPr>
        <w:t xml:space="preserve"> in the aftermath of the Holocaust—despite everything the British did to sabotage its establishment.</w:t>
      </w:r>
    </w:p>
    <w:p w14:paraId="0051626B"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Writing about this chapter of British history is almost like writing about the evolution of the Nazis within the broader story of Jewish suffering. What I’ve come to understand is that most countries, at some point or another, have harbored a deep-seated hatred of Jews. And at any moment in history, we are at risk of becoming victims once again.</w:t>
      </w:r>
    </w:p>
    <w:p w14:paraId="4D39530D"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It is striking that many of the countries arbitrarily created by Britain and France—whose borders were drawn with little regard for ethnic, cultural, or historical realities—are today mired in hate, civil wars, and instability. Syria, Iraq, Jordan, Lebanon, and numerous other nations carved out of colonial ambitions are accepted as permanent fixtures on the global stage. But Israel, a nation that fought for its independence and secured its survival against overwhelming odds, is treated differently.</w:t>
      </w:r>
    </w:p>
    <w:p w14:paraId="2B33EBB3"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Consider the arbitrary borders drawn across the Middle East and Africa by colonial powers: Iran, Yemen, Qatar, Saudi Arabia, and Kuwait were all shaped by British and French influence. These countries were created with little regard for the ethnic, tribal, or sectarian realities on the ground. </w:t>
      </w:r>
      <w:r w:rsidRPr="0078387D">
        <w:rPr>
          <w:rFonts w:ascii="Times New Roman" w:eastAsia="Times New Roman" w:hAnsi="Times New Roman" w:cs="Times New Roman"/>
          <w:b/>
          <w:bCs/>
          <w:kern w:val="0"/>
          <w:sz w:val="24"/>
          <w:szCs w:val="24"/>
          <w14:ligatures w14:val="none"/>
        </w:rPr>
        <w:t>Saudi Arabia</w:t>
      </w:r>
      <w:r w:rsidRPr="0078387D">
        <w:rPr>
          <w:rFonts w:ascii="Times New Roman" w:eastAsia="Times New Roman" w:hAnsi="Times New Roman" w:cs="Times New Roman"/>
          <w:kern w:val="0"/>
          <w:sz w:val="24"/>
          <w:szCs w:val="24"/>
          <w14:ligatures w14:val="none"/>
        </w:rPr>
        <w:t xml:space="preserve"> emerged after a series of British-brokered agreements with the House of Saud, while </w:t>
      </w:r>
      <w:r w:rsidRPr="0078387D">
        <w:rPr>
          <w:rFonts w:ascii="Times New Roman" w:eastAsia="Times New Roman" w:hAnsi="Times New Roman" w:cs="Times New Roman"/>
          <w:b/>
          <w:bCs/>
          <w:kern w:val="0"/>
          <w:sz w:val="24"/>
          <w:szCs w:val="24"/>
          <w14:ligatures w14:val="none"/>
        </w:rPr>
        <w:t>Iran</w:t>
      </w:r>
      <w:r w:rsidRPr="0078387D">
        <w:rPr>
          <w:rFonts w:ascii="Times New Roman" w:eastAsia="Times New Roman" w:hAnsi="Times New Roman" w:cs="Times New Roman"/>
          <w:kern w:val="0"/>
          <w:sz w:val="24"/>
          <w:szCs w:val="24"/>
          <w14:ligatures w14:val="none"/>
        </w:rPr>
        <w:t xml:space="preserve"> was shaped by a series of foreign interventions and British manipulation of its resources. </w:t>
      </w:r>
      <w:r w:rsidRPr="0078387D">
        <w:rPr>
          <w:rFonts w:ascii="Times New Roman" w:eastAsia="Times New Roman" w:hAnsi="Times New Roman" w:cs="Times New Roman"/>
          <w:b/>
          <w:bCs/>
          <w:kern w:val="0"/>
          <w:sz w:val="24"/>
          <w:szCs w:val="24"/>
          <w14:ligatures w14:val="none"/>
        </w:rPr>
        <w:t>Yemen</w:t>
      </w:r>
      <w:r w:rsidRPr="0078387D">
        <w:rPr>
          <w:rFonts w:ascii="Times New Roman" w:eastAsia="Times New Roman" w:hAnsi="Times New Roman" w:cs="Times New Roman"/>
          <w:kern w:val="0"/>
          <w:sz w:val="24"/>
          <w:szCs w:val="24"/>
          <w14:ligatures w14:val="none"/>
        </w:rPr>
        <w:t xml:space="preserve"> remains a battleground for regional powers, while </w:t>
      </w:r>
      <w:r w:rsidRPr="0078387D">
        <w:rPr>
          <w:rFonts w:ascii="Times New Roman" w:eastAsia="Times New Roman" w:hAnsi="Times New Roman" w:cs="Times New Roman"/>
          <w:b/>
          <w:bCs/>
          <w:kern w:val="0"/>
          <w:sz w:val="24"/>
          <w:szCs w:val="24"/>
          <w14:ligatures w14:val="none"/>
        </w:rPr>
        <w:t>Qatar</w:t>
      </w:r>
      <w:r w:rsidRPr="0078387D">
        <w:rPr>
          <w:rFonts w:ascii="Times New Roman" w:eastAsia="Times New Roman" w:hAnsi="Times New Roman" w:cs="Times New Roman"/>
          <w:kern w:val="0"/>
          <w:sz w:val="24"/>
          <w:szCs w:val="24"/>
          <w14:ligatures w14:val="none"/>
        </w:rPr>
        <w:t xml:space="preserve"> and </w:t>
      </w:r>
      <w:r w:rsidRPr="0078387D">
        <w:rPr>
          <w:rFonts w:ascii="Times New Roman" w:eastAsia="Times New Roman" w:hAnsi="Times New Roman" w:cs="Times New Roman"/>
          <w:b/>
          <w:bCs/>
          <w:kern w:val="0"/>
          <w:sz w:val="24"/>
          <w:szCs w:val="24"/>
          <w14:ligatures w14:val="none"/>
        </w:rPr>
        <w:t>Kuwait</w:t>
      </w:r>
      <w:r w:rsidRPr="0078387D">
        <w:rPr>
          <w:rFonts w:ascii="Times New Roman" w:eastAsia="Times New Roman" w:hAnsi="Times New Roman" w:cs="Times New Roman"/>
          <w:kern w:val="0"/>
          <w:sz w:val="24"/>
          <w:szCs w:val="24"/>
          <w14:ligatures w14:val="none"/>
        </w:rPr>
        <w:t xml:space="preserve"> were carved out with British interests in mind, often dividing ethnic or tribal groups and creating new centers of power.</w:t>
      </w:r>
    </w:p>
    <w:p w14:paraId="01E5E8F4"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In Africa, the situation is similarly complex. </w:t>
      </w:r>
      <w:r w:rsidRPr="0078387D">
        <w:rPr>
          <w:rFonts w:ascii="Times New Roman" w:eastAsia="Times New Roman" w:hAnsi="Times New Roman" w:cs="Times New Roman"/>
          <w:b/>
          <w:bCs/>
          <w:kern w:val="0"/>
          <w:sz w:val="24"/>
          <w:szCs w:val="24"/>
          <w14:ligatures w14:val="none"/>
        </w:rPr>
        <w:t>Kenya</w:t>
      </w:r>
      <w:r w:rsidRPr="0078387D">
        <w:rPr>
          <w:rFonts w:ascii="Times New Roman" w:eastAsia="Times New Roman" w:hAnsi="Times New Roman" w:cs="Times New Roman"/>
          <w:kern w:val="0"/>
          <w:sz w:val="24"/>
          <w:szCs w:val="24"/>
          <w14:ligatures w14:val="none"/>
        </w:rPr>
        <w:t xml:space="preserve">'s borders were drawn with little concern for the ethnic divisions that would later fuel conflict, while </w:t>
      </w:r>
      <w:r w:rsidRPr="0078387D">
        <w:rPr>
          <w:rFonts w:ascii="Times New Roman" w:eastAsia="Times New Roman" w:hAnsi="Times New Roman" w:cs="Times New Roman"/>
          <w:b/>
          <w:bCs/>
          <w:kern w:val="0"/>
          <w:sz w:val="24"/>
          <w:szCs w:val="24"/>
          <w14:ligatures w14:val="none"/>
        </w:rPr>
        <w:t>South Africa</w:t>
      </w:r>
      <w:r w:rsidRPr="0078387D">
        <w:rPr>
          <w:rFonts w:ascii="Times New Roman" w:eastAsia="Times New Roman" w:hAnsi="Times New Roman" w:cs="Times New Roman"/>
          <w:kern w:val="0"/>
          <w:sz w:val="24"/>
          <w:szCs w:val="24"/>
          <w14:ligatures w14:val="none"/>
        </w:rPr>
        <w:t xml:space="preserve"> was subjected to British colonial policies that entrenched racial segregation, ultimately leading to apartheid. Despite these artificial and conflict-ridden borders, these nations' legitimacy is rarely questioned on the world stage.</w:t>
      </w:r>
    </w:p>
    <w:p w14:paraId="6C269195"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The ongoing conflicts in these regions—civil wars in </w:t>
      </w:r>
      <w:r w:rsidRPr="0078387D">
        <w:rPr>
          <w:rFonts w:ascii="Times New Roman" w:eastAsia="Times New Roman" w:hAnsi="Times New Roman" w:cs="Times New Roman"/>
          <w:b/>
          <w:bCs/>
          <w:kern w:val="0"/>
          <w:sz w:val="24"/>
          <w:szCs w:val="24"/>
          <w14:ligatures w14:val="none"/>
        </w:rPr>
        <w:t>Yemen</w:t>
      </w:r>
      <w:r w:rsidRPr="0078387D">
        <w:rPr>
          <w:rFonts w:ascii="Times New Roman" w:eastAsia="Times New Roman" w:hAnsi="Times New Roman" w:cs="Times New Roman"/>
          <w:kern w:val="0"/>
          <w:sz w:val="24"/>
          <w:szCs w:val="24"/>
          <w14:ligatures w14:val="none"/>
        </w:rPr>
        <w:t xml:space="preserve"> and </w:t>
      </w:r>
      <w:r w:rsidRPr="0078387D">
        <w:rPr>
          <w:rFonts w:ascii="Times New Roman" w:eastAsia="Times New Roman" w:hAnsi="Times New Roman" w:cs="Times New Roman"/>
          <w:b/>
          <w:bCs/>
          <w:kern w:val="0"/>
          <w:sz w:val="24"/>
          <w:szCs w:val="24"/>
          <w14:ligatures w14:val="none"/>
        </w:rPr>
        <w:t>Syria</w:t>
      </w:r>
      <w:r w:rsidRPr="0078387D">
        <w:rPr>
          <w:rFonts w:ascii="Times New Roman" w:eastAsia="Times New Roman" w:hAnsi="Times New Roman" w:cs="Times New Roman"/>
          <w:kern w:val="0"/>
          <w:sz w:val="24"/>
          <w:szCs w:val="24"/>
          <w14:ligatures w14:val="none"/>
        </w:rPr>
        <w:t xml:space="preserve">, sectarian strife in </w:t>
      </w:r>
      <w:r w:rsidRPr="0078387D">
        <w:rPr>
          <w:rFonts w:ascii="Times New Roman" w:eastAsia="Times New Roman" w:hAnsi="Times New Roman" w:cs="Times New Roman"/>
          <w:b/>
          <w:bCs/>
          <w:kern w:val="0"/>
          <w:sz w:val="24"/>
          <w:szCs w:val="24"/>
          <w14:ligatures w14:val="none"/>
        </w:rPr>
        <w:t>Iraq</w:t>
      </w:r>
      <w:r w:rsidRPr="0078387D">
        <w:rPr>
          <w:rFonts w:ascii="Times New Roman" w:eastAsia="Times New Roman" w:hAnsi="Times New Roman" w:cs="Times New Roman"/>
          <w:kern w:val="0"/>
          <w:sz w:val="24"/>
          <w:szCs w:val="24"/>
          <w14:ligatures w14:val="none"/>
        </w:rPr>
        <w:t xml:space="preserve">, the geopolitical rivalries in the Persian Gulf, or the ethnic tensions in </w:t>
      </w:r>
      <w:r w:rsidRPr="0078387D">
        <w:rPr>
          <w:rFonts w:ascii="Times New Roman" w:eastAsia="Times New Roman" w:hAnsi="Times New Roman" w:cs="Times New Roman"/>
          <w:b/>
          <w:bCs/>
          <w:kern w:val="0"/>
          <w:sz w:val="24"/>
          <w:szCs w:val="24"/>
          <w14:ligatures w14:val="none"/>
        </w:rPr>
        <w:t>Kenya</w:t>
      </w:r>
      <w:r w:rsidRPr="0078387D">
        <w:rPr>
          <w:rFonts w:ascii="Times New Roman" w:eastAsia="Times New Roman" w:hAnsi="Times New Roman" w:cs="Times New Roman"/>
          <w:kern w:val="0"/>
          <w:sz w:val="24"/>
          <w:szCs w:val="24"/>
          <w14:ligatures w14:val="none"/>
        </w:rPr>
        <w:t xml:space="preserve"> and beyond—are direct legacies of the colonial boundaries and interventions. Yet, the world does not question the right of </w:t>
      </w:r>
      <w:r w:rsidRPr="0078387D">
        <w:rPr>
          <w:rFonts w:ascii="Times New Roman" w:eastAsia="Times New Roman" w:hAnsi="Times New Roman" w:cs="Times New Roman"/>
          <w:b/>
          <w:bCs/>
          <w:kern w:val="0"/>
          <w:sz w:val="24"/>
          <w:szCs w:val="24"/>
          <w14:ligatures w14:val="none"/>
        </w:rPr>
        <w:t>Iraq</w:t>
      </w:r>
      <w:r w:rsidRPr="0078387D">
        <w:rPr>
          <w:rFonts w:ascii="Times New Roman" w:eastAsia="Times New Roman" w:hAnsi="Times New Roman" w:cs="Times New Roman"/>
          <w:kern w:val="0"/>
          <w:sz w:val="24"/>
          <w:szCs w:val="24"/>
          <w14:ligatures w14:val="none"/>
        </w:rPr>
        <w:t xml:space="preserve"> or </w:t>
      </w:r>
      <w:r w:rsidRPr="0078387D">
        <w:rPr>
          <w:rFonts w:ascii="Times New Roman" w:eastAsia="Times New Roman" w:hAnsi="Times New Roman" w:cs="Times New Roman"/>
          <w:b/>
          <w:bCs/>
          <w:kern w:val="0"/>
          <w:sz w:val="24"/>
          <w:szCs w:val="24"/>
          <w14:ligatures w14:val="none"/>
        </w:rPr>
        <w:t>Lebanon</w:t>
      </w:r>
      <w:r w:rsidRPr="0078387D">
        <w:rPr>
          <w:rFonts w:ascii="Times New Roman" w:eastAsia="Times New Roman" w:hAnsi="Times New Roman" w:cs="Times New Roman"/>
          <w:kern w:val="0"/>
          <w:sz w:val="24"/>
          <w:szCs w:val="24"/>
          <w14:ligatures w14:val="none"/>
        </w:rPr>
        <w:t xml:space="preserve"> to exist, nor does it demand the dissolution of </w:t>
      </w:r>
      <w:r w:rsidRPr="0078387D">
        <w:rPr>
          <w:rFonts w:ascii="Times New Roman" w:eastAsia="Times New Roman" w:hAnsi="Times New Roman" w:cs="Times New Roman"/>
          <w:b/>
          <w:bCs/>
          <w:kern w:val="0"/>
          <w:sz w:val="24"/>
          <w:szCs w:val="24"/>
          <w14:ligatures w14:val="none"/>
        </w:rPr>
        <w:t>Saudi Arabia</w:t>
      </w:r>
      <w:r w:rsidRPr="0078387D">
        <w:rPr>
          <w:rFonts w:ascii="Times New Roman" w:eastAsia="Times New Roman" w:hAnsi="Times New Roman" w:cs="Times New Roman"/>
          <w:kern w:val="0"/>
          <w:sz w:val="24"/>
          <w:szCs w:val="24"/>
          <w14:ligatures w14:val="none"/>
        </w:rPr>
        <w:t xml:space="preserve"> or the re-drawing of borders in </w:t>
      </w:r>
      <w:r w:rsidRPr="0078387D">
        <w:rPr>
          <w:rFonts w:ascii="Times New Roman" w:eastAsia="Times New Roman" w:hAnsi="Times New Roman" w:cs="Times New Roman"/>
          <w:b/>
          <w:bCs/>
          <w:kern w:val="0"/>
          <w:sz w:val="24"/>
          <w:szCs w:val="24"/>
          <w14:ligatures w14:val="none"/>
        </w:rPr>
        <w:t>Africa</w:t>
      </w:r>
      <w:r w:rsidRPr="0078387D">
        <w:rPr>
          <w:rFonts w:ascii="Times New Roman" w:eastAsia="Times New Roman" w:hAnsi="Times New Roman" w:cs="Times New Roman"/>
          <w:kern w:val="0"/>
          <w:sz w:val="24"/>
          <w:szCs w:val="24"/>
          <w14:ligatures w14:val="none"/>
        </w:rPr>
        <w:t>.</w:t>
      </w:r>
    </w:p>
    <w:p w14:paraId="1EAC0322" w14:textId="55F241AC"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But Israel’s existence is constantly challenged because, since the time of the Romans, Jewish existence has </w:t>
      </w:r>
      <w:r>
        <w:rPr>
          <w:rFonts w:ascii="Times New Roman" w:eastAsia="Times New Roman" w:hAnsi="Times New Roman" w:cs="Times New Roman"/>
          <w:kern w:val="0"/>
          <w:sz w:val="24"/>
          <w:szCs w:val="24"/>
          <w14:ligatures w14:val="none"/>
        </w:rPr>
        <w:t>constantly</w:t>
      </w:r>
      <w:r w:rsidRPr="0078387D">
        <w:rPr>
          <w:rFonts w:ascii="Times New Roman" w:eastAsia="Times New Roman" w:hAnsi="Times New Roman" w:cs="Times New Roman"/>
          <w:kern w:val="0"/>
          <w:sz w:val="24"/>
          <w:szCs w:val="24"/>
          <w14:ligatures w14:val="none"/>
        </w:rPr>
        <w:t xml:space="preserve"> been challenged. As a people, we must be destroyed; our nation-state must be destroyed. This journey began with finding my parents' story of survival in the Holocaust and has continued to uncover the broader history of Jew-hate. It is a journey I will continue for as long as I am alive, seeking to understand and educate others on these critical historical truths.</w:t>
      </w:r>
    </w:p>
    <w:p w14:paraId="4800FF73" w14:textId="128421C8"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I also write to assert the promised rights of the Palestinian Arabs to their own state—rights that were pledged by the British and then denied by the British. The British successfully scapegoated Israel with this betrayal, setting Israel up to bear the consequences of their actions. It was a deliberate move to create an ongoing point of contention, a means to </w:t>
      </w:r>
      <w:r>
        <w:rPr>
          <w:rFonts w:ascii="Times New Roman" w:eastAsia="Times New Roman" w:hAnsi="Times New Roman" w:cs="Times New Roman"/>
          <w:kern w:val="0"/>
          <w:sz w:val="24"/>
          <w:szCs w:val="24"/>
          <w14:ligatures w14:val="none"/>
        </w:rPr>
        <w:t>challenge forever</w:t>
      </w:r>
      <w:r w:rsidRPr="0078387D">
        <w:rPr>
          <w:rFonts w:ascii="Times New Roman" w:eastAsia="Times New Roman" w:hAnsi="Times New Roman" w:cs="Times New Roman"/>
          <w:kern w:val="0"/>
          <w:sz w:val="24"/>
          <w:szCs w:val="24"/>
          <w14:ligatures w14:val="none"/>
        </w:rPr>
        <w:t xml:space="preserve"> and </w:t>
      </w:r>
      <w:r w:rsidRPr="0078387D">
        <w:rPr>
          <w:rFonts w:ascii="Times New Roman" w:eastAsia="Times New Roman" w:hAnsi="Times New Roman" w:cs="Times New Roman"/>
          <w:kern w:val="0"/>
          <w:sz w:val="24"/>
          <w:szCs w:val="24"/>
          <w14:ligatures w14:val="none"/>
        </w:rPr>
        <w:lastRenderedPageBreak/>
        <w:t>eventually undermine Israel's existence. This story</w:t>
      </w:r>
      <w:r>
        <w:rPr>
          <w:rFonts w:ascii="Times New Roman" w:eastAsia="Times New Roman" w:hAnsi="Times New Roman" w:cs="Times New Roman"/>
          <w:kern w:val="0"/>
          <w:sz w:val="24"/>
          <w:szCs w:val="24"/>
          <w14:ligatures w14:val="none"/>
        </w:rPr>
        <w:t xml:space="preserve"> and its motives</w:t>
      </w:r>
      <w:r w:rsidRPr="0078387D">
        <w:rPr>
          <w:rFonts w:ascii="Times New Roman" w:eastAsia="Times New Roman" w:hAnsi="Times New Roman" w:cs="Times New Roman"/>
          <w:kern w:val="0"/>
          <w:sz w:val="24"/>
          <w:szCs w:val="24"/>
          <w14:ligatures w14:val="none"/>
        </w:rPr>
        <w:t xml:space="preserve"> have been carefully buried in the annals of history by the British themselves.</w:t>
      </w:r>
    </w:p>
    <w:p w14:paraId="6954BF48" w14:textId="2EA85F78"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While I fight for Israel's existence, I also fight for the rights of the Palestinian Arabs to have their nation-state. However, the solution is not the destruction of Israel nor the division of boundaries that </w:t>
      </w:r>
      <w:r>
        <w:rPr>
          <w:rFonts w:ascii="Times New Roman" w:eastAsia="Times New Roman" w:hAnsi="Times New Roman" w:cs="Times New Roman"/>
          <w:kern w:val="0"/>
          <w:sz w:val="24"/>
          <w:szCs w:val="24"/>
          <w14:ligatures w14:val="none"/>
        </w:rPr>
        <w:t>the British designed</w:t>
      </w:r>
      <w:r w:rsidRPr="0078387D">
        <w:rPr>
          <w:rFonts w:ascii="Times New Roman" w:eastAsia="Times New Roman" w:hAnsi="Times New Roman" w:cs="Times New Roman"/>
          <w:kern w:val="0"/>
          <w:sz w:val="24"/>
          <w:szCs w:val="24"/>
          <w14:ligatures w14:val="none"/>
        </w:rPr>
        <w:t xml:space="preserve"> to be impossible to split equitably. The </w:t>
      </w:r>
      <w:r>
        <w:rPr>
          <w:rFonts w:ascii="Times New Roman" w:eastAsia="Times New Roman" w:hAnsi="Times New Roman" w:cs="Times New Roman"/>
          <w:kern w:val="0"/>
          <w:sz w:val="24"/>
          <w:szCs w:val="24"/>
          <w14:ligatures w14:val="none"/>
        </w:rPr>
        <w:t>natur</w:t>
      </w:r>
      <w:r w:rsidRPr="0078387D">
        <w:rPr>
          <w:rFonts w:ascii="Times New Roman" w:eastAsia="Times New Roman" w:hAnsi="Times New Roman" w:cs="Times New Roman"/>
          <w:kern w:val="0"/>
          <w:sz w:val="24"/>
          <w:szCs w:val="24"/>
          <w14:ligatures w14:val="none"/>
        </w:rPr>
        <w:t>al path forward is to hold Britain and the world accountable for the promises made to the Palestinians—a state that was supposed to be Transjordan.</w:t>
      </w:r>
    </w:p>
    <w:p w14:paraId="733B2B8F"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The Hashemites, who currently rule Jordan, never lived there; they are not indigenous to Transjordan. Jordan today is yet another example of how Britain created nations where majority populations are controlled by minority groups granted power and territory by British colonial decisions. This colonial legacy continues to sow discord and conflict across the region, as it has done for over a century.</w:t>
      </w:r>
    </w:p>
    <w:p w14:paraId="4002F733" w14:textId="0C635836"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By telling this story, I aim to shine a light on the true historical roots of the conflict. A fair resolution must acknowledge these realities, recognize the rights of all peoples involved, and move away from the false narratives that only perpetuate hatred and conflict. We must reject the idea that the only solution is to destroy Israel; instead, we must focus on what was promised and denied and find a way to honor those promises without sacrificing the rights and security of other people.</w:t>
      </w:r>
    </w:p>
    <w:p w14:paraId="4CD228E2" w14:textId="431CB15B"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The story of Israel is not just about a modern conflict; it is a continuation of an ancient struggle for survival and legitimacy. And it is deeply personal. My parents' survival story is just one chapter in a much larger narrative that stretches back millennia and continues to unfold today. I write to challenge the lies, to confront the hatred, and to assert our right not just to exist but to thrive as a people and a nation. And I write to affirm the rights of the Palestinian Arabs to the state that was promised to them—rights denied by the very powers that still play their games of division and control in our world today.</w:t>
      </w:r>
    </w:p>
    <w:p w14:paraId="267FCC6D" w14:textId="10B92F8F"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This is not just a historical reckoning; it is a call for justice and truth, for a path to peace that does not require erasing one people to accommodate another but seeks to honor the rights and dignity of all.</w:t>
      </w:r>
    </w:p>
    <w:p w14:paraId="190B16E6" w14:textId="77777777" w:rsidR="0078387D" w:rsidRPr="0078387D" w:rsidRDefault="0078387D" w:rsidP="0078387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387D">
        <w:rPr>
          <w:rFonts w:ascii="Times New Roman" w:eastAsia="Times New Roman" w:hAnsi="Times New Roman" w:cs="Times New Roman"/>
          <w:b/>
          <w:bCs/>
          <w:kern w:val="0"/>
          <w:sz w:val="27"/>
          <w:szCs w:val="27"/>
          <w14:ligatures w14:val="none"/>
        </w:rPr>
        <w:t>Introduction: Unraveling a Complex Conflict</w:t>
      </w:r>
    </w:p>
    <w:p w14:paraId="597A449A"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The Israeli-Palestinian conflict is one of modern history's most enduring and contentious disputes. Marked by deep historical grievances, profound human suffering, and complex geopolitical dynamics, it has seemed intractable to generations of diplomats, leaders, and ordinary people. Yet, to truly understand this conflict—and the broader struggles that shape the Middle East—one must look beyond the headlines and rhetoric to explore the deeper forces that have brought us to this point.</w:t>
      </w:r>
    </w:p>
    <w:p w14:paraId="42A6B9FD"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b/>
          <w:bCs/>
          <w:kern w:val="0"/>
          <w:sz w:val="24"/>
          <w:szCs w:val="24"/>
          <w14:ligatures w14:val="none"/>
        </w:rPr>
        <w:t>"Misplaced Blame: How Britain’s Failures Made Israel the Scapegoat"</w:t>
      </w:r>
      <w:r w:rsidRPr="0078387D">
        <w:rPr>
          <w:rFonts w:ascii="Times New Roman" w:eastAsia="Times New Roman" w:hAnsi="Times New Roman" w:cs="Times New Roman"/>
          <w:kern w:val="0"/>
          <w:sz w:val="24"/>
          <w:szCs w:val="24"/>
          <w14:ligatures w14:val="none"/>
        </w:rPr>
        <w:t xml:space="preserve"> is a new chapter in my ongoing exploration of Jewish history, a journey that began with my previous work, </w:t>
      </w:r>
      <w:r w:rsidRPr="0078387D">
        <w:rPr>
          <w:rFonts w:ascii="Times New Roman" w:eastAsia="Times New Roman" w:hAnsi="Times New Roman" w:cs="Times New Roman"/>
          <w:i/>
          <w:iCs/>
          <w:kern w:val="0"/>
          <w:sz w:val="24"/>
          <w:szCs w:val="24"/>
          <w14:ligatures w14:val="none"/>
        </w:rPr>
        <w:t>Miracles Through Hell</w:t>
      </w:r>
      <w:r w:rsidRPr="0078387D">
        <w:rPr>
          <w:rFonts w:ascii="Times New Roman" w:eastAsia="Times New Roman" w:hAnsi="Times New Roman" w:cs="Times New Roman"/>
          <w:kern w:val="0"/>
          <w:sz w:val="24"/>
          <w:szCs w:val="24"/>
          <w14:ligatures w14:val="none"/>
        </w:rPr>
        <w:t xml:space="preserve">. In that book, I captured the story of my parents' survival during the Holocaust and my journey as a second-generation survivor. It was an intensely personal project rooted in the </w:t>
      </w:r>
      <w:r w:rsidRPr="0078387D">
        <w:rPr>
          <w:rFonts w:ascii="Times New Roman" w:eastAsia="Times New Roman" w:hAnsi="Times New Roman" w:cs="Times New Roman"/>
          <w:kern w:val="0"/>
          <w:sz w:val="24"/>
          <w:szCs w:val="24"/>
          <w14:ligatures w14:val="none"/>
        </w:rPr>
        <w:lastRenderedPageBreak/>
        <w:t>trauma and resilience of my family. Yet, it also opened my eyes to a broader history of Jew-hatred—one that did not begin or end with the Holocaust but is part of an unbroken chain stretching back over 2,500 years.</w:t>
      </w:r>
    </w:p>
    <w:p w14:paraId="1139E3EC" w14:textId="1C8B75C3"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This book delves deeper into one specific chapter of that long history: the British colonial actions in the early 20th century that shaped the modern Middle East and created conditions that continue to fuel conflict today. It explores how the British</w:t>
      </w:r>
      <w:r>
        <w:rPr>
          <w:rFonts w:ascii="Times New Roman" w:eastAsia="Times New Roman" w:hAnsi="Times New Roman" w:cs="Times New Roman"/>
          <w:kern w:val="0"/>
          <w:sz w:val="24"/>
          <w:szCs w:val="24"/>
          <w14:ligatures w14:val="none"/>
        </w:rPr>
        <w:t xml:space="preserve"> made</w:t>
      </w:r>
      <w:r w:rsidRPr="0078387D">
        <w:rPr>
          <w:rFonts w:ascii="Times New Roman" w:eastAsia="Times New Roman" w:hAnsi="Times New Roman" w:cs="Times New Roman"/>
          <w:kern w:val="0"/>
          <w:sz w:val="24"/>
          <w:szCs w:val="24"/>
          <w14:ligatures w14:val="none"/>
        </w:rPr>
        <w:t xml:space="preserve"> a volatile mix of broken promises, arbitrary borders, and unresolved grievances </w:t>
      </w:r>
      <w:r>
        <w:rPr>
          <w:rFonts w:ascii="Times New Roman" w:eastAsia="Times New Roman" w:hAnsi="Times New Roman" w:cs="Times New Roman"/>
          <w:kern w:val="0"/>
          <w:sz w:val="24"/>
          <w:szCs w:val="24"/>
          <w14:ligatures w14:val="none"/>
        </w:rPr>
        <w:t>by trying</w:t>
      </w:r>
      <w:r w:rsidRPr="0078387D">
        <w:rPr>
          <w:rFonts w:ascii="Times New Roman" w:eastAsia="Times New Roman" w:hAnsi="Times New Roman" w:cs="Times New Roman"/>
          <w:kern w:val="0"/>
          <w:sz w:val="24"/>
          <w:szCs w:val="24"/>
          <w14:ligatures w14:val="none"/>
        </w:rPr>
        <w:t xml:space="preserve"> to balance conflicting promises and maintain their imperial interests. It also examines how these actions have distorted the narratives around the Israeli-Palestinian conflict, shifting the blame for the absence of a Palestinian state onto Israel while obscuring the historical responsibility of the British.</w:t>
      </w:r>
    </w:p>
    <w:p w14:paraId="74E9935F"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b/>
          <w:bCs/>
          <w:kern w:val="0"/>
          <w:sz w:val="24"/>
          <w:szCs w:val="24"/>
          <w14:ligatures w14:val="none"/>
        </w:rPr>
        <w:t>A Unique Focus on British Colonial Legacy</w:t>
      </w:r>
    </w:p>
    <w:p w14:paraId="3FC79E05"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Unlike many other works on the Israeli-Palestinian conflict, this book does not simply recount the well-known events of 1948 or the wars that followed. Instead, it looks further back, to the decisions made by the British and other colonial powers that laid the groundwork for the conflicts we see today. It reveals how the removal of Transjordan from the territory initially promised to be divided between Jews and Palestinian Arabs effectively eliminated the possibility of a viable independent state for the Palestinian Arabs. This decision fundamentally altered the territorial dynamics of the region, leaving both Jews and Arabs with a small, contested piece of land—one that has been nearly impossible to divide into two viable states.</w:t>
      </w:r>
    </w:p>
    <w:p w14:paraId="6805FF0E"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b/>
          <w:bCs/>
          <w:kern w:val="0"/>
          <w:sz w:val="24"/>
          <w:szCs w:val="24"/>
          <w14:ligatures w14:val="none"/>
        </w:rPr>
        <w:t>A Personal Mission for Truth and Justice</w:t>
      </w:r>
    </w:p>
    <w:p w14:paraId="4916A2BD" w14:textId="5F69097F"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This book is more than a historical inquiry; it is a personal mission. As I continued my research, I realized that my journey was not just about defending Israel’s right to exist but also about fighting for the rights of the Palestinian Arabs to have their promised state. The solution, however, is not the destruction of Israel or the division of boundaries that </w:t>
      </w:r>
      <w:r>
        <w:rPr>
          <w:rFonts w:ascii="Times New Roman" w:eastAsia="Times New Roman" w:hAnsi="Times New Roman" w:cs="Times New Roman"/>
          <w:kern w:val="0"/>
          <w:sz w:val="24"/>
          <w:szCs w:val="24"/>
          <w14:ligatures w14:val="none"/>
        </w:rPr>
        <w:t>the British designed</w:t>
      </w:r>
      <w:r w:rsidRPr="0078387D">
        <w:rPr>
          <w:rFonts w:ascii="Times New Roman" w:eastAsia="Times New Roman" w:hAnsi="Times New Roman" w:cs="Times New Roman"/>
          <w:kern w:val="0"/>
          <w:sz w:val="24"/>
          <w:szCs w:val="24"/>
          <w14:ligatures w14:val="none"/>
        </w:rPr>
        <w:t xml:space="preserve"> to be impossible to split equitably. Instead, the solution lies in holding Britain and the world accountable for the promises made and broken—a recognition that Transjordan was meant to be the Palestinian state.</w:t>
      </w:r>
    </w:p>
    <w:p w14:paraId="046E00A9"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b/>
          <w:bCs/>
          <w:kern w:val="0"/>
          <w:sz w:val="24"/>
          <w:szCs w:val="24"/>
          <w14:ligatures w14:val="none"/>
        </w:rPr>
        <w:t>The Role of Other Actors and Modern Implications</w:t>
      </w:r>
    </w:p>
    <w:p w14:paraId="0B1BF843" w14:textId="5B9E3D8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No understanding of the Israeli-Palestinian conflict or the broader Middle East would be complete without examining the roles of key regional and international actors, such as Iran, Russia, and Hezbollah, and their strategic interests in the region. This book sheds light on how these external forces continue to shape the dynamics of the conflict, often exacerbating local tensions and perpetuating cycles of violence.</w:t>
      </w:r>
    </w:p>
    <w:p w14:paraId="4B0FE3E7"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b/>
          <w:bCs/>
          <w:kern w:val="0"/>
          <w:sz w:val="24"/>
          <w:szCs w:val="24"/>
          <w14:ligatures w14:val="none"/>
        </w:rPr>
        <w:t>Reframing the Narrative for a Path Toward Peace</w:t>
      </w:r>
    </w:p>
    <w:p w14:paraId="3BA6EC49" w14:textId="677F9B83"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 xml:space="preserve">The narratives that have come to define this conflict are </w:t>
      </w:r>
      <w:r>
        <w:rPr>
          <w:rFonts w:ascii="Times New Roman" w:eastAsia="Times New Roman" w:hAnsi="Times New Roman" w:cs="Times New Roman"/>
          <w:kern w:val="0"/>
          <w:sz w:val="24"/>
          <w:szCs w:val="24"/>
          <w14:ligatures w14:val="none"/>
        </w:rPr>
        <w:t>misleading and</w:t>
      </w:r>
      <w:r w:rsidRPr="0078387D">
        <w:rPr>
          <w:rFonts w:ascii="Times New Roman" w:eastAsia="Times New Roman" w:hAnsi="Times New Roman" w:cs="Times New Roman"/>
          <w:kern w:val="0"/>
          <w:sz w:val="24"/>
          <w:szCs w:val="24"/>
          <w14:ligatures w14:val="none"/>
        </w:rPr>
        <w:t xml:space="preserve"> perpetuate hatred and division. This book calls for a reframing of these narratives, recognizing the legitimate grievances and aspirations of both Israelis and Palestinians and understanding the real roots of </w:t>
      </w:r>
      <w:r w:rsidRPr="0078387D">
        <w:rPr>
          <w:rFonts w:ascii="Times New Roman" w:eastAsia="Times New Roman" w:hAnsi="Times New Roman" w:cs="Times New Roman"/>
          <w:kern w:val="0"/>
          <w:sz w:val="24"/>
          <w:szCs w:val="24"/>
          <w14:ligatures w14:val="none"/>
        </w:rPr>
        <w:lastRenderedPageBreak/>
        <w:t>today's conflicts—roots that began with British colonialism and continue to affect millions in the region.</w:t>
      </w:r>
    </w:p>
    <w:p w14:paraId="0DC37E6B"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At its core, this book is about more than territory or political power; it is about human beings on both sides who wake up every morning wanting food, safety, family, and a better future. Somehow, these basic human needs get lost in the battles and politics of religion, colonization, and power. Both Jews and Palestinian Arabs have paid, and continue to pay, a heavy price for British decisions made over a century ago.</w:t>
      </w:r>
    </w:p>
    <w:p w14:paraId="1FD596CE" w14:textId="77777777"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b/>
          <w:bCs/>
          <w:kern w:val="0"/>
          <w:sz w:val="24"/>
          <w:szCs w:val="24"/>
          <w14:ligatures w14:val="none"/>
        </w:rPr>
        <w:t>A Call for a New Vision for Peace</w:t>
      </w:r>
    </w:p>
    <w:p w14:paraId="60071EB2" w14:textId="6446F1DA"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Ultimately, this book calls for a renewed commitment to peace—one that moves beyond blame and focuses on building a future where Israelis and Palestinians, Arabs and Jews, Sunnis and Shiites, can live in dignity, security, and mutual respect. The journey toward peace will be challenging, with setbacks along the way</w:t>
      </w:r>
      <w:r>
        <w:rPr>
          <w:rFonts w:ascii="Times New Roman" w:eastAsia="Times New Roman" w:hAnsi="Times New Roman" w:cs="Times New Roman"/>
          <w:kern w:val="0"/>
          <w:sz w:val="24"/>
          <w:szCs w:val="24"/>
          <w14:ligatures w14:val="none"/>
        </w:rPr>
        <w:t>. Still,</w:t>
      </w:r>
      <w:r w:rsidRPr="0078387D">
        <w:rPr>
          <w:rFonts w:ascii="Times New Roman" w:eastAsia="Times New Roman" w:hAnsi="Times New Roman" w:cs="Times New Roman"/>
          <w:kern w:val="0"/>
          <w:sz w:val="24"/>
          <w:szCs w:val="24"/>
          <w14:ligatures w14:val="none"/>
        </w:rPr>
        <w:t xml:space="preserve"> by learning from the past, reimagining the present, and committing to a future of peace, there is hope that the Middle East can finally move beyond conflict and embrace a new era of reconciliation and cooperation.</w:t>
      </w:r>
    </w:p>
    <w:p w14:paraId="0C3185E8" w14:textId="2E0A90BA" w:rsidR="0078387D" w:rsidRPr="0078387D" w:rsidRDefault="0078387D" w:rsidP="0078387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8387D">
        <w:rPr>
          <w:rFonts w:ascii="Times New Roman" w:eastAsia="Times New Roman" w:hAnsi="Times New Roman" w:cs="Times New Roman"/>
          <w:kern w:val="0"/>
          <w:sz w:val="24"/>
          <w:szCs w:val="24"/>
          <w14:ligatures w14:val="none"/>
        </w:rPr>
        <w:t>By challenging the misconceptions and distortions that continue to shape the conflict, this book aims to dismantle the legacy of Jew-hatred and build a world where all people, regardless of faith or nationality, can live in peace and dignity. This is the task I have set before myself, and it is one I approach with the humility of a second-generation Holocaust survivor and the determination of someone who knows that history when properly understood, can still light the way to a better future.</w:t>
      </w:r>
    </w:p>
    <w:p w14:paraId="24AEB5AE" w14:textId="477971AF" w:rsidR="00227930" w:rsidRPr="00A02D37" w:rsidRDefault="00227930" w:rsidP="00227930">
      <w:pPr>
        <w:spacing w:after="0" w:line="240" w:lineRule="auto"/>
        <w:rPr>
          <w:rFonts w:ascii="Times New Roman" w:eastAsia="Times New Roman" w:hAnsi="Times New Roman" w:cs="Times New Roman"/>
          <w:kern w:val="0"/>
          <w:sz w:val="24"/>
          <w:szCs w:val="24"/>
          <w14:ligatures w14:val="none"/>
        </w:rPr>
      </w:pPr>
    </w:p>
    <w:p w14:paraId="03D9A488" w14:textId="77777777" w:rsidR="001260B0" w:rsidRPr="001260B0" w:rsidRDefault="001260B0" w:rsidP="001260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260B0">
        <w:rPr>
          <w:rFonts w:ascii="Times New Roman" w:eastAsia="Times New Roman" w:hAnsi="Times New Roman" w:cs="Times New Roman"/>
          <w:b/>
          <w:bCs/>
          <w:kern w:val="0"/>
          <w:sz w:val="27"/>
          <w:szCs w:val="27"/>
          <w14:ligatures w14:val="none"/>
        </w:rPr>
        <w:t>Chapter 1: The Jewish Connection to the Land: From Ancient Roots to the Modern Era</w:t>
      </w:r>
    </w:p>
    <w:p w14:paraId="4F89A0F0"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Introduction</w:t>
      </w:r>
    </w:p>
    <w:p w14:paraId="6DF0057B"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To understand the Israeli-Palestinian conflict and the enduring struggle over land and identity, one must first explore the deep historical roots of the Jewish connection to the land of Israel. This chapter examines the ancient Jewish presence in the region, the Roman conquest and suppression of Jewish revolts, the renaming of the territory to “Palestine,” and the subsequent Jewish diaspora. Despite centuries of dispersion and persecution, Jews have maintained a profound spiritual, cultural, and historical bond with the land that continues to shape the modern geopolitical landscape.</w:t>
      </w:r>
    </w:p>
    <w:p w14:paraId="2C0F27E9"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Ancient Jewish Presence in the Land of Israel</w:t>
      </w:r>
    </w:p>
    <w:p w14:paraId="5C7AE298"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Biblical and Historical Foundations</w:t>
      </w:r>
    </w:p>
    <w:p w14:paraId="7153CFF6"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 xml:space="preserve">The Jewish connection to the land of Israel begins with the biblical narrative, which describes the region as the Promised Land given by God to the descendants of Abraham, Isaac, and Jacob. According to the Hebrew Bible, the Israelites established a united monarchy under Kings Saul, </w:t>
      </w:r>
      <w:r w:rsidRPr="001260B0">
        <w:rPr>
          <w:rFonts w:ascii="Times New Roman" w:eastAsia="Times New Roman" w:hAnsi="Times New Roman" w:cs="Times New Roman"/>
          <w:kern w:val="0"/>
          <w:sz w:val="24"/>
          <w:szCs w:val="24"/>
          <w14:ligatures w14:val="none"/>
        </w:rPr>
        <w:lastRenderedPageBreak/>
        <w:t>David, and Solomon around 1000 BCE. King David conquered Jerusalem and made it the capital of the Israelite kingdom, a significant event that established Jerusalem as the spiritual and political center of Jewish life.</w:t>
      </w:r>
    </w:p>
    <w:p w14:paraId="375DFC0A"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King Solomon, David's son, built the First Temple in Jerusalem around 957 BCE, which became the focal point of Jewish worship and a symbol of the Jewish people’s covenant with God. This temple stood until 586 BCE when the Babylonian Empire, led by King Nebuchadnezzar, destroyed it and exiled many Jews to Babylon. Even in exile, Jews maintained their identity, and when the Persian Empire conquered Babylon in 539 BCE, Jews were allowed to return to Jerusalem and rebuild the Second Temple, completed around 516 BCE.</w:t>
      </w:r>
    </w:p>
    <w:p w14:paraId="2B9AE639"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Second Temple Period and Roman Conquest</w:t>
      </w:r>
    </w:p>
    <w:p w14:paraId="707EE355"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The Second Temple period was marked by various foreign dominations, including Persian, Greek, and Roman rule. Despite these external powers, Jerusalem remained a vital center of Jewish religious, cultural, and political life. The Maccabean Revolt in the 2nd century BCE, led by Jewish rebels against the Seleucid Empire, resulted in the establishment of an independent Jewish kingdom that lasted until the Roman conquest in 63 BCE.</w:t>
      </w:r>
    </w:p>
    <w:p w14:paraId="4EE430C9"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Under Roman rule, Jews enjoyed a degree of autonomy, but tensions escalated due to Roman interference in Jewish religious practices, heavy taxation, and political oppression. These tensions culminated in the Great Jewish Revolt of 66-73 CE, during which the Romans, under General (and later Emperor) Titus, brutally suppressed the Jewish resistance and destroyed the Second Temple in 70 CE. This event was a catastrophic loss for the Jewish people, leading to widespread devastation, death, and exile.</w:t>
      </w:r>
    </w:p>
    <w:p w14:paraId="23306111"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Roman Suppression and Renaming of Judea to “Palestine”</w:t>
      </w:r>
    </w:p>
    <w:p w14:paraId="12089F0C"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Bar Kokhba Revolt and Its Aftermath</w:t>
      </w:r>
    </w:p>
    <w:p w14:paraId="6FCA48FA"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 xml:space="preserve">The destruction of the Second Temple did not end Jewish resistance to Roman rule. In 132 CE, Jews, led by Simon Bar Kokhba, launched a major revolt against the Roman Empire, known as the Bar Kokhba Revolt. This revolt, which aimed to restore Jewish independence, lasted until 135 CE, when it was violently crushed by the Roman Emperor Hadrian. The suppression of the Bar Kokhba Revolt was </w:t>
      </w:r>
      <w:proofErr w:type="gramStart"/>
      <w:r w:rsidRPr="001260B0">
        <w:rPr>
          <w:rFonts w:ascii="Times New Roman" w:eastAsia="Times New Roman" w:hAnsi="Times New Roman" w:cs="Times New Roman"/>
          <w:kern w:val="0"/>
          <w:sz w:val="24"/>
          <w:szCs w:val="24"/>
          <w14:ligatures w14:val="none"/>
        </w:rPr>
        <w:t>devastating:</w:t>
      </w:r>
      <w:proofErr w:type="gramEnd"/>
      <w:r w:rsidRPr="001260B0">
        <w:rPr>
          <w:rFonts w:ascii="Times New Roman" w:eastAsia="Times New Roman" w:hAnsi="Times New Roman" w:cs="Times New Roman"/>
          <w:kern w:val="0"/>
          <w:sz w:val="24"/>
          <w:szCs w:val="24"/>
          <w14:ligatures w14:val="none"/>
        </w:rPr>
        <w:t xml:space="preserve"> hundreds of thousands of Jews were killed, and many were sold into slavery or exiled. This marked the end of Jewish sovereignty in the region for nearly two millennia.</w:t>
      </w:r>
    </w:p>
    <w:p w14:paraId="3E5E92CF"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Renaming Judea to “Palestine”</w:t>
      </w:r>
    </w:p>
    <w:p w14:paraId="4D32EFEE"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To further sever the Jewish connection to the land and erase Jewish identity from Judea, Roman Emperor Hadrian took drastic measures. He renamed the province of Judea “Syria Palaestina,” referencing the ancient Philistines, enemies of the Israelites. This renaming was a deliberate attempt to erase Jewish historical ties to the land. Hadrian also renamed Jerusalem as “Aelia Capitolina,” banning Jews from entering the city on pain of death. These acts were part of a broader Roman policy of cultural suppression and assimilation designed to weaken Jewish nationalism and prevent further revolts.</w:t>
      </w:r>
    </w:p>
    <w:p w14:paraId="362B6A68"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lastRenderedPageBreak/>
        <w:t>The Jewish Diaspora: Centuries of Displacement and Persecution</w:t>
      </w:r>
    </w:p>
    <w:p w14:paraId="3A9DF5AB"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Jewish Diaspora in Antiquity and the Middle Ages</w:t>
      </w:r>
    </w:p>
    <w:p w14:paraId="58E66B73"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Roman suppression and renaming of Judea led to the dispersion of Jews across the Roman Empire and beyond, marking the beginning of the Jewish diaspora. Despite their dispersion, Jews maintained a continuous presence in the land of Israel, with communities remaining in cities like Jerusalem, Tiberias, Safed, and Hebron. The diaspora experience was characterized by displacement, persecution, and marginalization, but also by a steadfast commitment to Jewish identity, traditions, and the hope of returning to the land of Israel.</w:t>
      </w:r>
    </w:p>
    <w:p w14:paraId="1AB4FBD0"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Throughout the centuries, Jews expressed their attachment to the land through prayers, rituals, and writings. The daily Jewish prayer service includes multiple references to Zion (a biblical term for Jerusalem and the land of Israel) and the desire for a return to the land. The Passover Seder, an annual Jewish ritual, ends with the phrase “Next year in Jerusalem,” reflecting the enduring aspiration for return and restoration.</w:t>
      </w:r>
    </w:p>
    <w:p w14:paraId="2C2D16A8"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During the Middle Ages, Jewish communities spread across Europe, North Africa, and the Middle East. In Europe, Jews faced waves of persecution, forced conversions, expulsions, and massacres, particularly during the Crusades and the Spanish Inquisition. In the Islamic world, Jews lived as “dhimmis,” or protected minorities, with certain rights but also subject to special taxes and social restrictions. Despite these challenges, Jewish communities maintained their distinct identity and continued to look to the land of Israel as their ancestral homeland.</w:t>
      </w:r>
    </w:p>
    <w:p w14:paraId="58CAF86E"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Personal Anecdote: A Journey to Connect</w:t>
      </w:r>
    </w:p>
    <w:p w14:paraId="7DA98626"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Growing up, I was always told that the Jewish connection to the land of Israel was ancient and unbreakable, a connection that had survived countless persecutions and expulsions. However, it wasn’t until I visited Israel in 1967, just after the Six-Day War, that I began to truly understand this bond. I was just a boy then, seeing Israel for the first time, traveling with my family through a land that had recently witnessed war and triumph. As I stood at the Western Wall, touching the stones that had witnessed so much history, I felt a deep sense of belonging that I could not yet articulate. It was a place where history was not just in books but alive, a feeling that stayed with me long after I returned home. That trip helped me realize that our connection to this land is not merely about ancient stories; it is about a living, breathing heritage that continues to shape who we are today.</w:t>
      </w:r>
    </w:p>
    <w:p w14:paraId="6B8C591C"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Jewish Connection to the Land in the Modern Era</w:t>
      </w:r>
    </w:p>
    <w:p w14:paraId="02438A60"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Emergence of Zionism</w:t>
      </w:r>
    </w:p>
    <w:p w14:paraId="74203A72"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 xml:space="preserve">The Jewish connection to the land of Israel took on new political dimensions in the late 19th century with the rise of modern Zionism. In response to increasing Jew-hate in Europe and the failure of assimilation to protect Jews from persecution, Jewish thinkers began to advocate for the re-establishment of a Jewish homeland in Palestine. Theodor Herzl, often regarded as the father of modern Zionism, argued in his 1896 pamphlet </w:t>
      </w:r>
      <w:r w:rsidRPr="001260B0">
        <w:rPr>
          <w:rFonts w:ascii="Times New Roman" w:eastAsia="Times New Roman" w:hAnsi="Times New Roman" w:cs="Times New Roman"/>
          <w:i/>
          <w:iCs/>
          <w:kern w:val="0"/>
          <w:sz w:val="24"/>
          <w:szCs w:val="24"/>
          <w14:ligatures w14:val="none"/>
        </w:rPr>
        <w:t xml:space="preserve">Der </w:t>
      </w:r>
      <w:proofErr w:type="spellStart"/>
      <w:r w:rsidRPr="001260B0">
        <w:rPr>
          <w:rFonts w:ascii="Times New Roman" w:eastAsia="Times New Roman" w:hAnsi="Times New Roman" w:cs="Times New Roman"/>
          <w:i/>
          <w:iCs/>
          <w:kern w:val="0"/>
          <w:sz w:val="24"/>
          <w:szCs w:val="24"/>
          <w14:ligatures w14:val="none"/>
        </w:rPr>
        <w:t>Judenstaat</w:t>
      </w:r>
      <w:proofErr w:type="spellEnd"/>
      <w:r w:rsidRPr="001260B0">
        <w:rPr>
          <w:rFonts w:ascii="Times New Roman" w:eastAsia="Times New Roman" w:hAnsi="Times New Roman" w:cs="Times New Roman"/>
          <w:kern w:val="0"/>
          <w:sz w:val="24"/>
          <w:szCs w:val="24"/>
          <w14:ligatures w14:val="none"/>
        </w:rPr>
        <w:t xml:space="preserve"> (“The Jewish State”) that the solution to the Jewish problem lay in the creation of a sovereign Jewish state.</w:t>
      </w:r>
    </w:p>
    <w:p w14:paraId="136F22C0"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lastRenderedPageBreak/>
        <w:t>The First Zionist Congress, held in Basel, Switzerland, in 1897, marked a significant milestone in the Zionist movement. Herzl declared that the congress had laid the foundation for a future Jewish state, and he established the World Zionist Organization to promote Jewish immigration and settlement in Palestine. The Zionist movement grew rapidly, attracting support from Jews across Europe, Russia, and the Middle East, who saw it as a response to rising Jew-hate and a means to fulfill their age-old yearning to return to their ancestral homeland.</w:t>
      </w:r>
    </w:p>
    <w:p w14:paraId="2994E98E"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Jewish Immigration and Settlement in the 19th and Early 20th Centuries</w:t>
      </w:r>
    </w:p>
    <w:p w14:paraId="50D0C334"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 xml:space="preserve">Beginning in the late 19th century, waves of Jewish immigrants, known as </w:t>
      </w:r>
      <w:proofErr w:type="spellStart"/>
      <w:r w:rsidRPr="001260B0">
        <w:rPr>
          <w:rFonts w:ascii="Times New Roman" w:eastAsia="Times New Roman" w:hAnsi="Times New Roman" w:cs="Times New Roman"/>
          <w:kern w:val="0"/>
          <w:sz w:val="24"/>
          <w:szCs w:val="24"/>
          <w14:ligatures w14:val="none"/>
        </w:rPr>
        <w:t>aliyahs</w:t>
      </w:r>
      <w:proofErr w:type="spellEnd"/>
      <w:r w:rsidRPr="001260B0">
        <w:rPr>
          <w:rFonts w:ascii="Times New Roman" w:eastAsia="Times New Roman" w:hAnsi="Times New Roman" w:cs="Times New Roman"/>
          <w:kern w:val="0"/>
          <w:sz w:val="24"/>
          <w:szCs w:val="24"/>
          <w14:ligatures w14:val="none"/>
        </w:rPr>
        <w:t xml:space="preserve"> (meaning "ascents"), began to settle in Palestine. These immigrants, primarily from Eastern Europe and Russia, were motivated by both religious and political factors. They established agricultural communities, or </w:t>
      </w:r>
      <w:proofErr w:type="spellStart"/>
      <w:r w:rsidRPr="001260B0">
        <w:rPr>
          <w:rFonts w:ascii="Times New Roman" w:eastAsia="Times New Roman" w:hAnsi="Times New Roman" w:cs="Times New Roman"/>
          <w:i/>
          <w:iCs/>
          <w:kern w:val="0"/>
          <w:sz w:val="24"/>
          <w:szCs w:val="24"/>
          <w14:ligatures w14:val="none"/>
        </w:rPr>
        <w:t>moshavot</w:t>
      </w:r>
      <w:proofErr w:type="spellEnd"/>
      <w:r w:rsidRPr="001260B0">
        <w:rPr>
          <w:rFonts w:ascii="Times New Roman" w:eastAsia="Times New Roman" w:hAnsi="Times New Roman" w:cs="Times New Roman"/>
          <w:kern w:val="0"/>
          <w:sz w:val="24"/>
          <w:szCs w:val="24"/>
          <w14:ligatures w14:val="none"/>
        </w:rPr>
        <w:t xml:space="preserve">, and later communal farms, or </w:t>
      </w:r>
      <w:r w:rsidRPr="001260B0">
        <w:rPr>
          <w:rFonts w:ascii="Times New Roman" w:eastAsia="Times New Roman" w:hAnsi="Times New Roman" w:cs="Times New Roman"/>
          <w:i/>
          <w:iCs/>
          <w:kern w:val="0"/>
          <w:sz w:val="24"/>
          <w:szCs w:val="24"/>
          <w14:ligatures w14:val="none"/>
        </w:rPr>
        <w:t>kibbutzim</w:t>
      </w:r>
      <w:r w:rsidRPr="001260B0">
        <w:rPr>
          <w:rFonts w:ascii="Times New Roman" w:eastAsia="Times New Roman" w:hAnsi="Times New Roman" w:cs="Times New Roman"/>
          <w:kern w:val="0"/>
          <w:sz w:val="24"/>
          <w:szCs w:val="24"/>
          <w14:ligatures w14:val="none"/>
        </w:rPr>
        <w:t>, that became the foundation of Jewish society in Palestine.</w:t>
      </w:r>
    </w:p>
    <w:p w14:paraId="73DD7AD4"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The Jewish National Fund (JNF) was established in 1901 to purchase land in Palestine for Jewish settlement. Despite facing opposition from the Ottoman authorities and resistance from local Arab communities, the Zionist settlers persevered, driven by their deep-rooted connection to the land and the belief that they were returning to their ancestral homeland.</w:t>
      </w:r>
    </w:p>
    <w:p w14:paraId="12BE0829"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The Balfour Declaration and British Mandate</w:t>
      </w:r>
    </w:p>
    <w:p w14:paraId="1F4BCB2A"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The Jewish connection to the land received international recognition in 1917 with the Balfour Declaration, in which the British government expressed support for "the establishment in Palestine of a national home for the Jewish people." The declaration was later incorporated into the League of Nations Mandate for Palestine, affirming the historical ties of the Jewish people to the land.</w:t>
      </w:r>
    </w:p>
    <w:p w14:paraId="39BDBB90"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Despite facing numerous challenges, including British restrictions on Jewish immigration and land purchases, the Jewish population in Palestine continued to grow during the Mandate period. By 1947, the Jewish community had established a vibrant society with its own political, economic, and cultural institutions, laying the groundwork for the establishment of the State of Israel.</w:t>
      </w:r>
    </w:p>
    <w:p w14:paraId="3ED14AB8"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b/>
          <w:bCs/>
          <w:kern w:val="0"/>
          <w:sz w:val="24"/>
          <w:szCs w:val="24"/>
          <w14:ligatures w14:val="none"/>
        </w:rPr>
        <w:t>Conclusion: The Unbroken Bond</w:t>
      </w:r>
    </w:p>
    <w:p w14:paraId="7E2C52A7"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The Jewish connection to the land of Israel is both ancient and modern, rooted in thousands of years of history, culture, and religion. Despite the destruction of the Second Temple, Roman renaming and repression, and the dispersal of Jews across the world, the attachment to the land remained unbroken. It found new expression in the rise of modern Zionism and the eventual establishment of the State of Israel. For Jews, the land of Israel is not just a place; it is a central part of their identity, faith, and history—a connection that has endured against all odds, surviving exile, persecution, and dispersion, and continues to shape the region’s destiny today.</w:t>
      </w:r>
    </w:p>
    <w:p w14:paraId="056BBA65" w14:textId="77777777" w:rsidR="001260B0" w:rsidRPr="001260B0" w:rsidRDefault="001260B0" w:rsidP="001260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260B0">
        <w:rPr>
          <w:rFonts w:ascii="Times New Roman" w:eastAsia="Times New Roman" w:hAnsi="Times New Roman" w:cs="Times New Roman"/>
          <w:kern w:val="0"/>
          <w:sz w:val="24"/>
          <w:szCs w:val="24"/>
          <w14:ligatures w14:val="none"/>
        </w:rPr>
        <w:t>By understanding this history, we begin to grasp the profound significance of the Jewish connection to the land, a connection that has weathered millennia and remains an essential element in the broader narrative of the Israeli-Palestinian conflict and the modern Middle East.</w:t>
      </w:r>
    </w:p>
    <w:p w14:paraId="7801CA84"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lastRenderedPageBreak/>
        <w:t>Chapter 2: The Rise of Zionism: Russian Brutality, the Pale of Settlement, and the Quest for a Safe Haven</w:t>
      </w:r>
    </w:p>
    <w:p w14:paraId="77C31E04"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Introduction</w:t>
      </w:r>
      <w:r w:rsidRPr="0024592A">
        <w:rPr>
          <w:rFonts w:ascii="Times New Roman" w:eastAsia="Times New Roman" w:hAnsi="Times New Roman" w:cs="Times New Roman"/>
          <w:kern w:val="0"/>
          <w:sz w:val="24"/>
          <w:szCs w:val="24"/>
          <w14:ligatures w14:val="none"/>
        </w:rPr>
        <w:br/>
        <w:t>The roots of the Zionist movement extend deep into the harsh realities faced by Jews in Eastern Europe, particularly within the Russian Empire. Decades before the Holocaust, Jewish communities across Russia were subjected to systemic persecution, economic hardship, violent pogroms, and state-sponsored discrimination. These brutal conditions created fertile ground for the emergence of Zionism—a movement advocating for a sovereign Jewish homeland in Palestine as the only viable solution to the chronic insecurity faced by Jews in Europe. This chapter explores how Russian policies, including the establishment of the Pale of Settlement, institutionalized Jew-Hate, and waves of violence, spurred the rise of Zionism and foreshadowed the inevitability of the Holocaust.</w:t>
      </w:r>
    </w:p>
    <w:p w14:paraId="1363673B"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Pale of Settlement: A Cage for Jewish Life</w:t>
      </w:r>
      <w:r w:rsidRPr="0024592A">
        <w:rPr>
          <w:rFonts w:ascii="Times New Roman" w:eastAsia="Times New Roman" w:hAnsi="Times New Roman" w:cs="Times New Roman"/>
          <w:kern w:val="0"/>
          <w:sz w:val="24"/>
          <w:szCs w:val="24"/>
          <w14:ligatures w14:val="none"/>
        </w:rPr>
        <w:br/>
      </w:r>
      <w:r w:rsidRPr="0024592A">
        <w:rPr>
          <w:rFonts w:ascii="Times New Roman" w:eastAsia="Times New Roman" w:hAnsi="Times New Roman" w:cs="Times New Roman"/>
          <w:b/>
          <w:bCs/>
          <w:kern w:val="0"/>
          <w:sz w:val="24"/>
          <w:szCs w:val="24"/>
          <w14:ligatures w14:val="none"/>
        </w:rPr>
        <w:t>The Creation of the Pale</w:t>
      </w:r>
      <w:r w:rsidRPr="0024592A">
        <w:rPr>
          <w:rFonts w:ascii="Times New Roman" w:eastAsia="Times New Roman" w:hAnsi="Times New Roman" w:cs="Times New Roman"/>
          <w:kern w:val="0"/>
          <w:sz w:val="24"/>
          <w:szCs w:val="24"/>
          <w14:ligatures w14:val="none"/>
        </w:rPr>
        <w:br/>
        <w:t>The Pale of Settlement, established in 1791 by Catherine the Great, was a designated region in the western part of the Russian Empire where Jews were legally permitted to reside. This area stretched from the Baltic Sea in the north to the Black Sea in the south, encompassing parts of present-day Poland, Lithuania, Ukraine, Belarus, Moldova, and Latvia. Jews were largely forbidden to live outside this region unless they met specific exemptions, such as being wealthy merchants, university graduates, or skilled artisans who could serve the interests of the Russian state.</w:t>
      </w:r>
    </w:p>
    <w:p w14:paraId="677C0BF0"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 xml:space="preserve">The Pale was established ostensibly to manage the large Jewish population that came under Russian control after the partitions of Poland. However, in practice, it functioned as a massive ghetto, confining nearly 5 million Jews—over half of the world’s Jewish population at the time—to </w:t>
      </w:r>
      <w:proofErr w:type="gramStart"/>
      <w:r w:rsidRPr="0024592A">
        <w:rPr>
          <w:rFonts w:ascii="Times New Roman" w:eastAsia="Times New Roman" w:hAnsi="Times New Roman" w:cs="Times New Roman"/>
          <w:kern w:val="0"/>
          <w:sz w:val="24"/>
          <w:szCs w:val="24"/>
          <w14:ligatures w14:val="none"/>
        </w:rPr>
        <w:t>an economically deprived</w:t>
      </w:r>
      <w:proofErr w:type="gramEnd"/>
      <w:r w:rsidRPr="0024592A">
        <w:rPr>
          <w:rFonts w:ascii="Times New Roman" w:eastAsia="Times New Roman" w:hAnsi="Times New Roman" w:cs="Times New Roman"/>
          <w:kern w:val="0"/>
          <w:sz w:val="24"/>
          <w:szCs w:val="24"/>
          <w14:ligatures w14:val="none"/>
        </w:rPr>
        <w:t xml:space="preserve"> and socially marginalized area. By segregating Jews from the broader Russian population, the Pale of Settlement created a barrier to economic opportunity and integration, ensuring that Jews remained a distinct and isolated minority.</w:t>
      </w:r>
    </w:p>
    <w:p w14:paraId="1CE2D74C"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Harsh Living Conditions in the Pale</w:t>
      </w:r>
      <w:r w:rsidRPr="0024592A">
        <w:rPr>
          <w:rFonts w:ascii="Times New Roman" w:eastAsia="Times New Roman" w:hAnsi="Times New Roman" w:cs="Times New Roman"/>
          <w:kern w:val="0"/>
          <w:sz w:val="24"/>
          <w:szCs w:val="24"/>
          <w14:ligatures w14:val="none"/>
        </w:rPr>
        <w:br/>
        <w:t>Life within the Pale was marked by severe poverty, overcrowding, and constant uncertainty. Most Jews lived in small towns or villages, known as shtetls, where they engaged in petty trade, small-scale manufacturing, or traditional crafts. The economic opportunities were limited, and Jews were often barred from owning land, entering certain professions, or engaging in trade outside their local communities. These restrictions forced many Jews into a precarious existence, dependent on seasonal work or trade, and exposed to frequent economic downturns.</w:t>
      </w:r>
    </w:p>
    <w:p w14:paraId="456A41AC"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Overcrowding was a significant problem in the Pale, where Jews were concentrated in small urban centers with limited infrastructure. The lack of space, inadequate sanitation, and poor living conditions led to high rates of disease, malnutrition, and mortality. The confinement within the Pale also prevented many Jews from accessing the educational and cultural opportunities that might have allowed them to improve their social and economic standing.</w:t>
      </w:r>
    </w:p>
    <w:p w14:paraId="18662CC4"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Russian Brutality and Anti-Jewish Legislation</w:t>
      </w:r>
      <w:r w:rsidRPr="0024592A">
        <w:rPr>
          <w:rFonts w:ascii="Times New Roman" w:eastAsia="Times New Roman" w:hAnsi="Times New Roman" w:cs="Times New Roman"/>
          <w:kern w:val="0"/>
          <w:sz w:val="24"/>
          <w:szCs w:val="24"/>
          <w14:ligatures w14:val="none"/>
        </w:rPr>
        <w:br/>
      </w:r>
      <w:r w:rsidRPr="0024592A">
        <w:rPr>
          <w:rFonts w:ascii="Times New Roman" w:eastAsia="Times New Roman" w:hAnsi="Times New Roman" w:cs="Times New Roman"/>
          <w:b/>
          <w:bCs/>
          <w:kern w:val="0"/>
          <w:sz w:val="24"/>
          <w:szCs w:val="24"/>
          <w14:ligatures w14:val="none"/>
        </w:rPr>
        <w:t>Institutionalized Discrimination Against Jews</w:t>
      </w:r>
      <w:r w:rsidRPr="0024592A">
        <w:rPr>
          <w:rFonts w:ascii="Times New Roman" w:eastAsia="Times New Roman" w:hAnsi="Times New Roman" w:cs="Times New Roman"/>
          <w:kern w:val="0"/>
          <w:sz w:val="24"/>
          <w:szCs w:val="24"/>
          <w14:ligatures w14:val="none"/>
        </w:rPr>
        <w:br/>
      </w:r>
      <w:r w:rsidRPr="0024592A">
        <w:rPr>
          <w:rFonts w:ascii="Times New Roman" w:eastAsia="Times New Roman" w:hAnsi="Times New Roman" w:cs="Times New Roman"/>
          <w:kern w:val="0"/>
          <w:sz w:val="24"/>
          <w:szCs w:val="24"/>
          <w14:ligatures w14:val="none"/>
        </w:rPr>
        <w:lastRenderedPageBreak/>
        <w:t>The Russian Empire's anti-Jewish policies extended beyond the geographical confinement of the Pale. Throughout the 19th century, the Russian government enacted numerous laws specifically targeting Jews, further entrenching their marginalization.</w:t>
      </w:r>
    </w:p>
    <w:p w14:paraId="22D02768" w14:textId="77777777" w:rsidR="0024592A" w:rsidRPr="0024592A" w:rsidRDefault="0024592A" w:rsidP="0024592A">
      <w:pPr>
        <w:numPr>
          <w:ilvl w:val="0"/>
          <w:numId w:val="2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May Laws of 1882</w:t>
      </w:r>
      <w:r w:rsidRPr="0024592A">
        <w:rPr>
          <w:rFonts w:ascii="Times New Roman" w:eastAsia="Times New Roman" w:hAnsi="Times New Roman" w:cs="Times New Roman"/>
          <w:kern w:val="0"/>
          <w:sz w:val="24"/>
          <w:szCs w:val="24"/>
          <w14:ligatures w14:val="none"/>
        </w:rPr>
        <w:t>: Following the assassination of Tsar Alexander II in 1881, Jews were scapegoated, and the Russian government introduced the May Laws of 1882. These laws prohibited Jews from settling outside the towns and shtetls within the Pale, limited their ability to own property, and imposed quotas on Jewish students in universities. These measures exacerbated the already dire conditions within the Pale, reinforcing the systemic discrimination against Jews and worsening their economic hardship.</w:t>
      </w:r>
    </w:p>
    <w:p w14:paraId="26849035" w14:textId="77777777" w:rsidR="0024592A" w:rsidRPr="0024592A" w:rsidRDefault="0024592A" w:rsidP="0024592A">
      <w:pPr>
        <w:numPr>
          <w:ilvl w:val="0"/>
          <w:numId w:val="2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Quotas on Education and Employment</w:t>
      </w:r>
      <w:r w:rsidRPr="0024592A">
        <w:rPr>
          <w:rFonts w:ascii="Times New Roman" w:eastAsia="Times New Roman" w:hAnsi="Times New Roman" w:cs="Times New Roman"/>
          <w:kern w:val="0"/>
          <w:sz w:val="24"/>
          <w:szCs w:val="24"/>
          <w14:ligatures w14:val="none"/>
        </w:rPr>
        <w:t xml:space="preserve">: The Russian </w:t>
      </w:r>
      <w:proofErr w:type="gramStart"/>
      <w:r w:rsidRPr="0024592A">
        <w:rPr>
          <w:rFonts w:ascii="Times New Roman" w:eastAsia="Times New Roman" w:hAnsi="Times New Roman" w:cs="Times New Roman"/>
          <w:kern w:val="0"/>
          <w:sz w:val="24"/>
          <w:szCs w:val="24"/>
          <w14:ligatures w14:val="none"/>
        </w:rPr>
        <w:t>state imposed</w:t>
      </w:r>
      <w:proofErr w:type="gramEnd"/>
      <w:r w:rsidRPr="0024592A">
        <w:rPr>
          <w:rFonts w:ascii="Times New Roman" w:eastAsia="Times New Roman" w:hAnsi="Times New Roman" w:cs="Times New Roman"/>
          <w:kern w:val="0"/>
          <w:sz w:val="24"/>
          <w:szCs w:val="24"/>
          <w14:ligatures w14:val="none"/>
        </w:rPr>
        <w:t xml:space="preserve"> quotas limiting the number of Jews who could attend schools and universities or hold professional positions. These quotas were deliberately designed to restrict Jewish advancement and ensure that Jews remained economically dependent and socially marginalized. In some areas, Jewish enrollment in universities was limited to as little as 3-5%, effectively blocking many Jews from higher education and professional careers.</w:t>
      </w:r>
    </w:p>
    <w:p w14:paraId="469D0969" w14:textId="77777777" w:rsidR="0024592A" w:rsidRPr="0024592A" w:rsidRDefault="0024592A" w:rsidP="0024592A">
      <w:pPr>
        <w:numPr>
          <w:ilvl w:val="0"/>
          <w:numId w:val="2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 xml:space="preserve">Military Conscription and the </w:t>
      </w:r>
      <w:proofErr w:type="spellStart"/>
      <w:r w:rsidRPr="0024592A">
        <w:rPr>
          <w:rFonts w:ascii="Times New Roman" w:eastAsia="Times New Roman" w:hAnsi="Times New Roman" w:cs="Times New Roman"/>
          <w:b/>
          <w:bCs/>
          <w:kern w:val="0"/>
          <w:sz w:val="24"/>
          <w:szCs w:val="24"/>
          <w14:ligatures w14:val="none"/>
        </w:rPr>
        <w:t>Cantonist</w:t>
      </w:r>
      <w:proofErr w:type="spellEnd"/>
      <w:r w:rsidRPr="0024592A">
        <w:rPr>
          <w:rFonts w:ascii="Times New Roman" w:eastAsia="Times New Roman" w:hAnsi="Times New Roman" w:cs="Times New Roman"/>
          <w:b/>
          <w:bCs/>
          <w:kern w:val="0"/>
          <w:sz w:val="24"/>
          <w:szCs w:val="24"/>
          <w14:ligatures w14:val="none"/>
        </w:rPr>
        <w:t xml:space="preserve"> System</w:t>
      </w:r>
      <w:r w:rsidRPr="0024592A">
        <w:rPr>
          <w:rFonts w:ascii="Times New Roman" w:eastAsia="Times New Roman" w:hAnsi="Times New Roman" w:cs="Times New Roman"/>
          <w:kern w:val="0"/>
          <w:sz w:val="24"/>
          <w:szCs w:val="24"/>
          <w14:ligatures w14:val="none"/>
        </w:rPr>
        <w:t xml:space="preserve">: Jewish males were subject to compulsory military service under harsh conditions. From a young age, Jewish boys were forcibly conscripted into the Russian army for up to 25 years. Many were taken at the age of 12 and placed in military preparatory schools, where they were pressured to convert to Christianity and assimilate into Russian culture. This policy, known as the </w:t>
      </w:r>
      <w:proofErr w:type="spellStart"/>
      <w:r w:rsidRPr="0024592A">
        <w:rPr>
          <w:rFonts w:ascii="Times New Roman" w:eastAsia="Times New Roman" w:hAnsi="Times New Roman" w:cs="Times New Roman"/>
          <w:kern w:val="0"/>
          <w:sz w:val="24"/>
          <w:szCs w:val="24"/>
          <w14:ligatures w14:val="none"/>
        </w:rPr>
        <w:t>Cantonist</w:t>
      </w:r>
      <w:proofErr w:type="spellEnd"/>
      <w:r w:rsidRPr="0024592A">
        <w:rPr>
          <w:rFonts w:ascii="Times New Roman" w:eastAsia="Times New Roman" w:hAnsi="Times New Roman" w:cs="Times New Roman"/>
          <w:kern w:val="0"/>
          <w:sz w:val="24"/>
          <w:szCs w:val="24"/>
          <w14:ligatures w14:val="none"/>
        </w:rPr>
        <w:t xml:space="preserve"> system, was intended to weaken Jewish religious and cultural ties by separating young boys from their families and communities.</w:t>
      </w:r>
    </w:p>
    <w:p w14:paraId="117ED7EA"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Pogroms: Waves of Anti-Jewish Violence</w:t>
      </w:r>
      <w:r w:rsidRPr="0024592A">
        <w:rPr>
          <w:rFonts w:ascii="Times New Roman" w:eastAsia="Times New Roman" w:hAnsi="Times New Roman" w:cs="Times New Roman"/>
          <w:kern w:val="0"/>
          <w:sz w:val="24"/>
          <w:szCs w:val="24"/>
          <w14:ligatures w14:val="none"/>
        </w:rPr>
        <w:br/>
        <w:t>In addition to legal discrimination, Jews in the Russian Empire were subjected to waves of violent pogroms—organized massacres, looting, and destruction directed against Jewish communities. These pogroms were often incited by local officials, clergy, or right-wing groups and were carried out with tacit approval or outright support from the Russian authorities.</w:t>
      </w:r>
    </w:p>
    <w:p w14:paraId="4A2DEC85" w14:textId="77777777" w:rsidR="0024592A" w:rsidRPr="0024592A" w:rsidRDefault="0024592A" w:rsidP="0024592A">
      <w:pPr>
        <w:numPr>
          <w:ilvl w:val="0"/>
          <w:numId w:val="2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Pogroms of 1881-1884</w:t>
      </w:r>
      <w:r w:rsidRPr="0024592A">
        <w:rPr>
          <w:rFonts w:ascii="Times New Roman" w:eastAsia="Times New Roman" w:hAnsi="Times New Roman" w:cs="Times New Roman"/>
          <w:kern w:val="0"/>
          <w:sz w:val="24"/>
          <w:szCs w:val="24"/>
          <w14:ligatures w14:val="none"/>
        </w:rPr>
        <w:t>: Triggered by the assassination of Tsar Alexander II, which was falsely blamed on Jews, a wave of pogroms swept across the southern provinces of the Russian Empire. Mobs, often led by local officials or incited by anti-Jewish propaganda, attacked Jewish homes, businesses, and synagogues. Hundreds of Jews were killed, thousands were injured, and entire communities were devastated. The Russian government did little to prevent the violence and, in many cases, actively encouraged it as a means of diverting public anger away from the state.</w:t>
      </w:r>
    </w:p>
    <w:p w14:paraId="5ED79337" w14:textId="77777777" w:rsidR="0024592A" w:rsidRPr="0024592A" w:rsidRDefault="0024592A" w:rsidP="0024592A">
      <w:pPr>
        <w:numPr>
          <w:ilvl w:val="0"/>
          <w:numId w:val="2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Kishinev Pogrom (1903)</w:t>
      </w:r>
      <w:r w:rsidRPr="0024592A">
        <w:rPr>
          <w:rFonts w:ascii="Times New Roman" w:eastAsia="Times New Roman" w:hAnsi="Times New Roman" w:cs="Times New Roman"/>
          <w:kern w:val="0"/>
          <w:sz w:val="24"/>
          <w:szCs w:val="24"/>
          <w14:ligatures w14:val="none"/>
        </w:rPr>
        <w:t xml:space="preserve">: The Kishinev pogrom was one of the most notorious anti-Jewish riots in the Russian Empire. In April 1903, over three days of violence, mobs killed 49 Jews, injured hundreds more, and destroyed nearly 1,500 homes and businesses. The brutality of the attack, coupled with the indifference and complicity of local authorities, shocked the international community. The Kishinev pogrom became a rallying cry for Zionists and underscored the urgent need for </w:t>
      </w:r>
      <w:proofErr w:type="gramStart"/>
      <w:r w:rsidRPr="0024592A">
        <w:rPr>
          <w:rFonts w:ascii="Times New Roman" w:eastAsia="Times New Roman" w:hAnsi="Times New Roman" w:cs="Times New Roman"/>
          <w:kern w:val="0"/>
          <w:sz w:val="24"/>
          <w:szCs w:val="24"/>
          <w14:ligatures w14:val="none"/>
        </w:rPr>
        <w:t>a safe haven</w:t>
      </w:r>
      <w:proofErr w:type="gramEnd"/>
      <w:r w:rsidRPr="0024592A">
        <w:rPr>
          <w:rFonts w:ascii="Times New Roman" w:eastAsia="Times New Roman" w:hAnsi="Times New Roman" w:cs="Times New Roman"/>
          <w:kern w:val="0"/>
          <w:sz w:val="24"/>
          <w:szCs w:val="24"/>
          <w14:ligatures w14:val="none"/>
        </w:rPr>
        <w:t xml:space="preserve"> for Jews.</w:t>
      </w:r>
    </w:p>
    <w:p w14:paraId="0F378A36" w14:textId="77777777" w:rsidR="0024592A" w:rsidRPr="0024592A" w:rsidRDefault="0024592A" w:rsidP="0024592A">
      <w:pPr>
        <w:numPr>
          <w:ilvl w:val="0"/>
          <w:numId w:val="2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Pogroms of 1905 and Beyond</w:t>
      </w:r>
      <w:r w:rsidRPr="0024592A">
        <w:rPr>
          <w:rFonts w:ascii="Times New Roman" w:eastAsia="Times New Roman" w:hAnsi="Times New Roman" w:cs="Times New Roman"/>
          <w:kern w:val="0"/>
          <w:sz w:val="24"/>
          <w:szCs w:val="24"/>
          <w14:ligatures w14:val="none"/>
        </w:rPr>
        <w:t xml:space="preserve">: The Russian Revolution of 1905 saw a renewed wave of anti-Jewish violence, with pogroms breaking out across the empire. These attacks were often instigated by the Black Hundreds, a far-right, ultra-nationalist group that viewed Jews as enemies of the Russian state. The pogroms of 1905 resulted in thousands of </w:t>
      </w:r>
      <w:r w:rsidRPr="0024592A">
        <w:rPr>
          <w:rFonts w:ascii="Times New Roman" w:eastAsia="Times New Roman" w:hAnsi="Times New Roman" w:cs="Times New Roman"/>
          <w:kern w:val="0"/>
          <w:sz w:val="24"/>
          <w:szCs w:val="24"/>
          <w14:ligatures w14:val="none"/>
        </w:rPr>
        <w:lastRenderedPageBreak/>
        <w:t>deaths, widespread rape, and the destruction of Jewish property. They reinforced the belief among many Jews that they could never be safe in Russia.</w:t>
      </w:r>
    </w:p>
    <w:p w14:paraId="60BDFC4D"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Anecdote: A Family's Journey from Pruzhany to Syracuse</w:t>
      </w:r>
      <w:r w:rsidRPr="0024592A">
        <w:rPr>
          <w:rFonts w:ascii="Times New Roman" w:eastAsia="Times New Roman" w:hAnsi="Times New Roman" w:cs="Times New Roman"/>
          <w:kern w:val="0"/>
          <w:sz w:val="24"/>
          <w:szCs w:val="24"/>
          <w14:ligatures w14:val="none"/>
        </w:rPr>
        <w:br/>
        <w:t>My father's uncle, Samuel Elman, made a bold decision in the 1880s. Fleeing the relentless persecution and anti-Jewish violence under Russian rule, he left his hometown of Pruzhany, Poland, and found his way to Syracuse, New York. Once settled, Samuel set to work, bringing over three of his sisters to join him in this new land of opportunity and safety.</w:t>
      </w:r>
    </w:p>
    <w:p w14:paraId="73850922"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My grandfather, Benjamin, was much younger than Samuel and still in Poland when his uncle first extended the offer to come to America. But Benjamin, newly married and determined to make a life for himself in his homeland, chose to stay in Poland, declining Samuel’s offer. He built a life there with his wife, raising a family with my father, uncle, and two daughters.</w:t>
      </w:r>
    </w:p>
    <w:p w14:paraId="51BC6485"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But history had other plans. As the Holocaust unfolded, the horrors that Samuel had once fled became a grim reality for Benjamin and his family. My father and uncle were the only survivors. After the war, Samuel reached across the ocean once again, extending not just a hand but a lifeline. He brought my father, my uncle, my mother, and my older brother to Syracuse, reuniting what was left of our family and providing them with a new beginning after so much was lost.</w:t>
      </w:r>
    </w:p>
    <w:p w14:paraId="4369363B"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Our family’s journey—from the shtetl of Pruzhany to the streets of Syracuse—echoes the experiences of countless Jewish families who were forced to navigate the uncertain waters of immigration, survival, and resilience. It is a personal thread that weaves through the larger fabric of the Jewish quest for safety and a homeland, a quest that Zionism sought to answer for so many others who found themselves, like Samuel and Benjamin, at a crossroads.</w:t>
      </w:r>
    </w:p>
    <w:p w14:paraId="36524F33"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Birth of Zionism: A Response to Persecution</w:t>
      </w:r>
      <w:r w:rsidRPr="0024592A">
        <w:rPr>
          <w:rFonts w:ascii="Times New Roman" w:eastAsia="Times New Roman" w:hAnsi="Times New Roman" w:cs="Times New Roman"/>
          <w:kern w:val="0"/>
          <w:sz w:val="24"/>
          <w:szCs w:val="24"/>
          <w14:ligatures w14:val="none"/>
        </w:rPr>
        <w:br/>
      </w:r>
      <w:r w:rsidRPr="0024592A">
        <w:rPr>
          <w:rFonts w:ascii="Times New Roman" w:eastAsia="Times New Roman" w:hAnsi="Times New Roman" w:cs="Times New Roman"/>
          <w:b/>
          <w:bCs/>
          <w:kern w:val="0"/>
          <w:sz w:val="24"/>
          <w:szCs w:val="24"/>
          <w14:ligatures w14:val="none"/>
        </w:rPr>
        <w:t>Early Zionist Thinkers: From Reaction to Nationalism</w:t>
      </w:r>
      <w:r w:rsidRPr="0024592A">
        <w:rPr>
          <w:rFonts w:ascii="Times New Roman" w:eastAsia="Times New Roman" w:hAnsi="Times New Roman" w:cs="Times New Roman"/>
          <w:kern w:val="0"/>
          <w:sz w:val="24"/>
          <w:szCs w:val="24"/>
          <w14:ligatures w14:val="none"/>
        </w:rPr>
        <w:br/>
        <w:t>The relentless persecution of Jews in Russia and the Pale of Settlement created fertile ground for the growth of Zionist ideology. As anti-Jewish violence and oppression increased, Jewish intellectuals and community leaders began to advocate for a national solution to the “Jewish Question.”</w:t>
      </w:r>
    </w:p>
    <w:p w14:paraId="0EB5223C" w14:textId="77777777" w:rsidR="0024592A" w:rsidRPr="0024592A" w:rsidRDefault="0024592A" w:rsidP="0024592A">
      <w:pPr>
        <w:numPr>
          <w:ilvl w:val="0"/>
          <w:numId w:val="2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Moses Hess</w:t>
      </w:r>
      <w:r w:rsidRPr="0024592A">
        <w:rPr>
          <w:rFonts w:ascii="Times New Roman" w:eastAsia="Times New Roman" w:hAnsi="Times New Roman" w:cs="Times New Roman"/>
          <w:kern w:val="0"/>
          <w:sz w:val="24"/>
          <w:szCs w:val="24"/>
          <w14:ligatures w14:val="none"/>
        </w:rPr>
        <w:t xml:space="preserve">: An early socialist and a proponent of Jewish nationalism, Moses Hess published </w:t>
      </w:r>
      <w:r w:rsidRPr="0024592A">
        <w:rPr>
          <w:rFonts w:ascii="Times New Roman" w:eastAsia="Times New Roman" w:hAnsi="Times New Roman" w:cs="Times New Roman"/>
          <w:i/>
          <w:iCs/>
          <w:kern w:val="0"/>
          <w:sz w:val="24"/>
          <w:szCs w:val="24"/>
          <w14:ligatures w14:val="none"/>
        </w:rPr>
        <w:t>Rome and Jerusalem</w:t>
      </w:r>
      <w:r w:rsidRPr="0024592A">
        <w:rPr>
          <w:rFonts w:ascii="Times New Roman" w:eastAsia="Times New Roman" w:hAnsi="Times New Roman" w:cs="Times New Roman"/>
          <w:kern w:val="0"/>
          <w:sz w:val="24"/>
          <w:szCs w:val="24"/>
          <w14:ligatures w14:val="none"/>
        </w:rPr>
        <w:t xml:space="preserve"> in 1862, calling for the establishment of a Jewish state in Palestine. Hess argued that Jews would never achieve true equality or safety in Europe and that the restoration of a Jewish homeland was essential for Jewish survival. His ideas laid the groundwork for the later development of political Zionism.</w:t>
      </w:r>
    </w:p>
    <w:p w14:paraId="55EF0EF1" w14:textId="77777777" w:rsidR="0024592A" w:rsidRPr="0024592A" w:rsidRDefault="0024592A" w:rsidP="0024592A">
      <w:pPr>
        <w:numPr>
          <w:ilvl w:val="0"/>
          <w:numId w:val="2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Leon Pinsker</w:t>
      </w:r>
      <w:r w:rsidRPr="0024592A">
        <w:rPr>
          <w:rFonts w:ascii="Times New Roman" w:eastAsia="Times New Roman" w:hAnsi="Times New Roman" w:cs="Times New Roman"/>
          <w:kern w:val="0"/>
          <w:sz w:val="24"/>
          <w:szCs w:val="24"/>
          <w14:ligatures w14:val="none"/>
        </w:rPr>
        <w:t xml:space="preserve">: The pogroms of the early 1880s profoundly impacted Leon Pinsker, a Jewish physician and intellectual. In response to the violence, he wrote </w:t>
      </w:r>
      <w:proofErr w:type="spellStart"/>
      <w:r w:rsidRPr="0024592A">
        <w:rPr>
          <w:rFonts w:ascii="Times New Roman" w:eastAsia="Times New Roman" w:hAnsi="Times New Roman" w:cs="Times New Roman"/>
          <w:i/>
          <w:iCs/>
          <w:kern w:val="0"/>
          <w:sz w:val="24"/>
          <w:szCs w:val="24"/>
          <w14:ligatures w14:val="none"/>
        </w:rPr>
        <w:t>Autoemancipation</w:t>
      </w:r>
      <w:proofErr w:type="spellEnd"/>
      <w:r w:rsidRPr="0024592A">
        <w:rPr>
          <w:rFonts w:ascii="Times New Roman" w:eastAsia="Times New Roman" w:hAnsi="Times New Roman" w:cs="Times New Roman"/>
          <w:kern w:val="0"/>
          <w:sz w:val="24"/>
          <w:szCs w:val="24"/>
          <w14:ligatures w14:val="none"/>
        </w:rPr>
        <w:t xml:space="preserve"> (1882), a pamphlet that called for Jewish self-liberation and the establishment of a Jewish homeland. Pinsker argued that Jews could never find safety or acceptance in Europe and must therefore seek a national solution to their plight. His work galvanized Jewish communities in Eastern Europe and helped lay the foundations for the Zionist movement.</w:t>
      </w:r>
    </w:p>
    <w:p w14:paraId="4F1D27C4"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Theodor Herzl and the Founding of Political Zionism</w:t>
      </w:r>
    </w:p>
    <w:p w14:paraId="2C8B597B" w14:textId="77777777" w:rsidR="0024592A" w:rsidRPr="0024592A" w:rsidRDefault="0024592A" w:rsidP="0024592A">
      <w:pPr>
        <w:numPr>
          <w:ilvl w:val="0"/>
          <w:numId w:val="2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lastRenderedPageBreak/>
        <w:t>Herzl’s Vision and Response to Russian Persecution</w:t>
      </w:r>
      <w:r w:rsidRPr="0024592A">
        <w:rPr>
          <w:rFonts w:ascii="Times New Roman" w:eastAsia="Times New Roman" w:hAnsi="Times New Roman" w:cs="Times New Roman"/>
          <w:kern w:val="0"/>
          <w:sz w:val="24"/>
          <w:szCs w:val="24"/>
          <w14:ligatures w14:val="none"/>
        </w:rPr>
        <w:t xml:space="preserve">: Theodor Herzl, often considered the father of political Zionism, was deeply influenced by the Dreyfus Affair in France, where a Jewish army officer was falsely accused of treason amid a wave of anti-Jewish sentiment. Herzl also understood the suffering of Russian Jews, whose persecution underscored the urgency of establishing a Jewish homeland. In his 1896 pamphlet </w:t>
      </w:r>
      <w:r w:rsidRPr="0024592A">
        <w:rPr>
          <w:rFonts w:ascii="Times New Roman" w:eastAsia="Times New Roman" w:hAnsi="Times New Roman" w:cs="Times New Roman"/>
          <w:i/>
          <w:iCs/>
          <w:kern w:val="0"/>
          <w:sz w:val="24"/>
          <w:szCs w:val="24"/>
          <w14:ligatures w14:val="none"/>
        </w:rPr>
        <w:t xml:space="preserve">Der </w:t>
      </w:r>
      <w:proofErr w:type="spellStart"/>
      <w:r w:rsidRPr="0024592A">
        <w:rPr>
          <w:rFonts w:ascii="Times New Roman" w:eastAsia="Times New Roman" w:hAnsi="Times New Roman" w:cs="Times New Roman"/>
          <w:i/>
          <w:iCs/>
          <w:kern w:val="0"/>
          <w:sz w:val="24"/>
          <w:szCs w:val="24"/>
          <w14:ligatures w14:val="none"/>
        </w:rPr>
        <w:t>Judenstaat</w:t>
      </w:r>
      <w:proofErr w:type="spellEnd"/>
      <w:r w:rsidRPr="0024592A">
        <w:rPr>
          <w:rFonts w:ascii="Times New Roman" w:eastAsia="Times New Roman" w:hAnsi="Times New Roman" w:cs="Times New Roman"/>
          <w:kern w:val="0"/>
          <w:sz w:val="24"/>
          <w:szCs w:val="24"/>
          <w14:ligatures w14:val="none"/>
        </w:rPr>
        <w:t xml:space="preserve"> (“The Jewish State”), Herzl argued that the Jews needed a state of their own to escape persistent and escalating Jew-Hate in Europe.</w:t>
      </w:r>
    </w:p>
    <w:p w14:paraId="78F47DE6" w14:textId="77777777" w:rsidR="0024592A" w:rsidRPr="0024592A" w:rsidRDefault="0024592A" w:rsidP="0024592A">
      <w:pPr>
        <w:numPr>
          <w:ilvl w:val="0"/>
          <w:numId w:val="2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First Zionist Congress</w:t>
      </w:r>
      <w:r w:rsidRPr="0024592A">
        <w:rPr>
          <w:rFonts w:ascii="Times New Roman" w:eastAsia="Times New Roman" w:hAnsi="Times New Roman" w:cs="Times New Roman"/>
          <w:kern w:val="0"/>
          <w:sz w:val="24"/>
          <w:szCs w:val="24"/>
          <w14:ligatures w14:val="none"/>
        </w:rPr>
        <w:t>: In 1897, Herzl convened the First Zionist Congress in Basel, Switzerland, where he laid out his vision for a Jewish state in Palestine. Herzl’s approach was primarily political, emphasizing diplomatic negotiations with world powers to secure legal rights to settle and establish a sovereign state in Palestine. The Congress marked a significant milestone in the Zionist movement, bringing together Jewish leaders from across Europe and solidifying the goal of establishing a national homeland for Jews.</w:t>
      </w:r>
    </w:p>
    <w:p w14:paraId="568EE5ED"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Impact of the Kishinev Pogrom on Zionism</w:t>
      </w:r>
      <w:r w:rsidRPr="0024592A">
        <w:rPr>
          <w:rFonts w:ascii="Times New Roman" w:eastAsia="Times New Roman" w:hAnsi="Times New Roman" w:cs="Times New Roman"/>
          <w:kern w:val="0"/>
          <w:sz w:val="24"/>
          <w:szCs w:val="24"/>
          <w14:ligatures w14:val="none"/>
        </w:rPr>
        <w:br/>
        <w:t xml:space="preserve">The 1903 Kishinev pogrom served as a catalyst for the Zionist movement. News of the massacre spread rapidly, shocking Jewish communities worldwide and reinforcing the belief that Jews could not rely on the goodwill of host countries for their survival. The pogrom demonstrated the depth of Jew-Hate in Russia and convinced many Jews that assimilation was not a viable option. It led to a surge in support for Zionist organizations and increased Jewish emigration to Palestine, where Jews hoped to build </w:t>
      </w:r>
      <w:proofErr w:type="gramStart"/>
      <w:r w:rsidRPr="0024592A">
        <w:rPr>
          <w:rFonts w:ascii="Times New Roman" w:eastAsia="Times New Roman" w:hAnsi="Times New Roman" w:cs="Times New Roman"/>
          <w:kern w:val="0"/>
          <w:sz w:val="24"/>
          <w:szCs w:val="24"/>
          <w14:ligatures w14:val="none"/>
        </w:rPr>
        <w:t>a safe haven</w:t>
      </w:r>
      <w:proofErr w:type="gramEnd"/>
      <w:r w:rsidRPr="0024592A">
        <w:rPr>
          <w:rFonts w:ascii="Times New Roman" w:eastAsia="Times New Roman" w:hAnsi="Times New Roman" w:cs="Times New Roman"/>
          <w:kern w:val="0"/>
          <w:sz w:val="24"/>
          <w:szCs w:val="24"/>
          <w14:ligatures w14:val="none"/>
        </w:rPr>
        <w:t xml:space="preserve"> free from persecution.</w:t>
      </w:r>
    </w:p>
    <w:p w14:paraId="43179B3A"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Inevitability of the Holocaust: Russian Jew-Hate as a Precursor</w:t>
      </w:r>
      <w:r w:rsidRPr="0024592A">
        <w:rPr>
          <w:rFonts w:ascii="Times New Roman" w:eastAsia="Times New Roman" w:hAnsi="Times New Roman" w:cs="Times New Roman"/>
          <w:kern w:val="0"/>
          <w:sz w:val="24"/>
          <w:szCs w:val="24"/>
          <w14:ligatures w14:val="none"/>
        </w:rPr>
        <w:br/>
      </w:r>
      <w:r w:rsidRPr="0024592A">
        <w:rPr>
          <w:rFonts w:ascii="Times New Roman" w:eastAsia="Times New Roman" w:hAnsi="Times New Roman" w:cs="Times New Roman"/>
          <w:b/>
          <w:bCs/>
          <w:kern w:val="0"/>
          <w:sz w:val="24"/>
          <w:szCs w:val="24"/>
          <w14:ligatures w14:val="none"/>
        </w:rPr>
        <w:t>A Precursor to Genocide: The Warning Signs in Russia</w:t>
      </w:r>
      <w:r w:rsidRPr="0024592A">
        <w:rPr>
          <w:rFonts w:ascii="Times New Roman" w:eastAsia="Times New Roman" w:hAnsi="Times New Roman" w:cs="Times New Roman"/>
          <w:kern w:val="0"/>
          <w:sz w:val="24"/>
          <w:szCs w:val="24"/>
          <w14:ligatures w14:val="none"/>
        </w:rPr>
        <w:br/>
        <w:t>While Russian Jew-Hate did not directly cause the Holocaust, it foreshadowed the genocidal intent that would later manifest in Nazi Germany. The systemic persecution of Jews in Russia, through legal restrictions, violent pogroms, and forced displacement, demonstrated the lengths to which European societies would go to marginalize, exclude, and eliminate their Jewish populations.</w:t>
      </w:r>
    </w:p>
    <w:p w14:paraId="7BAAC9A6"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The Russian Empire's treatment of Jews was marked by an intensity of hatred and brutality that served as a warning of what was to come. The frequent pogroms, the dehumanizing rhetoric used by the state and its officials, and the policies aimed at economically and socially crippling the Jewish community all pointed toward a future in which more extreme measures could be taken against Jews.</w:t>
      </w:r>
    </w:p>
    <w:p w14:paraId="6206CD61"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Russia’s Influence on European Jew-Hate</w:t>
      </w:r>
      <w:r w:rsidRPr="0024592A">
        <w:rPr>
          <w:rFonts w:ascii="Times New Roman" w:eastAsia="Times New Roman" w:hAnsi="Times New Roman" w:cs="Times New Roman"/>
          <w:kern w:val="0"/>
          <w:sz w:val="24"/>
          <w:szCs w:val="24"/>
          <w14:ligatures w14:val="none"/>
        </w:rPr>
        <w:br/>
        <w:t>The Russian Empire's pervasive Jew-Hate influenced broader European attitudes. Russian pogroms were widely reported in the international press, sparking debates about Jewish emancipation and civil rights across Europe. However, they also reinforced anti-Jewish stereotypes and conspiracy theories. The Russian state's treatment of Jews became a reference point for other anti-Jewish movements, helping to legitimize discriminatory practices elsewhere.</w:t>
      </w:r>
    </w:p>
    <w:p w14:paraId="3A01E79E"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kern w:val="0"/>
          <w:sz w:val="24"/>
          <w:szCs w:val="24"/>
          <w14:ligatures w14:val="none"/>
        </w:rPr>
        <w:t>When Nazi ideology emerged in Germany, it found fertile ground in a Europe already shaped by centuries of anti-Jewish sentiment, much of which had been reinforced by Russian practices. The Holocaust, while primarily driven by Nazi ideology, was built on a foundation of ingrained European Jew-Hate, of which Russian policies were a critical part.</w:t>
      </w:r>
    </w:p>
    <w:p w14:paraId="761F6905"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lastRenderedPageBreak/>
        <w:t>Zionism as the Only Viable Solution</w:t>
      </w:r>
      <w:r w:rsidRPr="0024592A">
        <w:rPr>
          <w:rFonts w:ascii="Times New Roman" w:eastAsia="Times New Roman" w:hAnsi="Times New Roman" w:cs="Times New Roman"/>
          <w:kern w:val="0"/>
          <w:sz w:val="24"/>
          <w:szCs w:val="24"/>
          <w14:ligatures w14:val="none"/>
        </w:rPr>
        <w:br/>
      </w:r>
      <w:r w:rsidRPr="0024592A">
        <w:rPr>
          <w:rFonts w:ascii="Times New Roman" w:eastAsia="Times New Roman" w:hAnsi="Times New Roman" w:cs="Times New Roman"/>
          <w:b/>
          <w:bCs/>
          <w:kern w:val="0"/>
          <w:sz w:val="24"/>
          <w:szCs w:val="24"/>
          <w14:ligatures w14:val="none"/>
        </w:rPr>
        <w:t>The Zionist Response to Inescapable Persecution</w:t>
      </w:r>
      <w:r w:rsidRPr="0024592A">
        <w:rPr>
          <w:rFonts w:ascii="Times New Roman" w:eastAsia="Times New Roman" w:hAnsi="Times New Roman" w:cs="Times New Roman"/>
          <w:kern w:val="0"/>
          <w:sz w:val="24"/>
          <w:szCs w:val="24"/>
          <w14:ligatures w14:val="none"/>
        </w:rPr>
        <w:br/>
        <w:t>For many Jews in Eastern Europe, Zionism emerged as the only viable response to the relentless persecution they faced. The early Zionist movement sought to establish a Jewish homeland in Palestine where Jews could live in safety and security, free from the threats and dangers that plagued them in Russia and other parts of Europe. The idea of building a sovereign state was not merely an idealistic aspiration but a practical solution to the existential threat posed by pervasive Jew-Hate.</w:t>
      </w:r>
    </w:p>
    <w:p w14:paraId="2E0CCFBE" w14:textId="77777777" w:rsidR="0024592A" w:rsidRPr="0024592A" w:rsidRDefault="0024592A" w:rsidP="0024592A">
      <w:pPr>
        <w:numPr>
          <w:ilvl w:val="0"/>
          <w:numId w:val="2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Waves of Jewish Immigration to Palestine</w:t>
      </w:r>
      <w:r w:rsidRPr="0024592A">
        <w:rPr>
          <w:rFonts w:ascii="Times New Roman" w:eastAsia="Times New Roman" w:hAnsi="Times New Roman" w:cs="Times New Roman"/>
          <w:kern w:val="0"/>
          <w:sz w:val="24"/>
          <w:szCs w:val="24"/>
          <w14:ligatures w14:val="none"/>
        </w:rPr>
        <w:t>: The pogroms and legal restrictions prompted waves of Jewish immigration to Palestine, beginning with the First Aliyah (1882-1903) and continuing with subsequent waves. These immigrants established agricultural settlements and communal farms, laying the groundwork for the future State of Israel.</w:t>
      </w:r>
    </w:p>
    <w:p w14:paraId="3C8A674B" w14:textId="77777777" w:rsidR="0024592A" w:rsidRPr="0024592A" w:rsidRDefault="0024592A" w:rsidP="0024592A">
      <w:pPr>
        <w:numPr>
          <w:ilvl w:val="0"/>
          <w:numId w:val="2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International Advocacy and Diplomatic Efforts</w:t>
      </w:r>
      <w:r w:rsidRPr="0024592A">
        <w:rPr>
          <w:rFonts w:ascii="Times New Roman" w:eastAsia="Times New Roman" w:hAnsi="Times New Roman" w:cs="Times New Roman"/>
          <w:kern w:val="0"/>
          <w:sz w:val="24"/>
          <w:szCs w:val="24"/>
          <w14:ligatures w14:val="none"/>
        </w:rPr>
        <w:t>: Zionist leaders, particularly Theodor Herzl, focused on international advocacy to gain support for a Jewish state. They lobbied European powers, including Britain, for political recognition and territorial guarantees, culminating in the Balfour Declaration of 1917, which expressed British support for a "national home for the Jewish people" in Palestine.</w:t>
      </w:r>
    </w:p>
    <w:p w14:paraId="24A975B9"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The Foreshadowing of the Holocaust</w:t>
      </w:r>
      <w:r w:rsidRPr="0024592A">
        <w:rPr>
          <w:rFonts w:ascii="Times New Roman" w:eastAsia="Times New Roman" w:hAnsi="Times New Roman" w:cs="Times New Roman"/>
          <w:kern w:val="0"/>
          <w:sz w:val="24"/>
          <w:szCs w:val="24"/>
          <w14:ligatures w14:val="none"/>
        </w:rPr>
        <w:br/>
        <w:t>The brutal conditions faced by Jews in Russia were an ominous precursor to the Holocaust. The systemic marginalization, violence, and dehumanization Jews experienced in Russia showed that a genocidal outcome was not an aberration but a potential reality. By the late 19th and early 20th centuries, many Jews understood that their existence in Europe was precarious, and the rise of Zionism was a direct response to this realization.</w:t>
      </w:r>
    </w:p>
    <w:p w14:paraId="14160D01" w14:textId="77777777" w:rsidR="0024592A" w:rsidRPr="0024592A" w:rsidRDefault="0024592A" w:rsidP="0024592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4592A">
        <w:rPr>
          <w:rFonts w:ascii="Times New Roman" w:eastAsia="Times New Roman" w:hAnsi="Times New Roman" w:cs="Times New Roman"/>
          <w:b/>
          <w:bCs/>
          <w:kern w:val="0"/>
          <w:sz w:val="24"/>
          <w:szCs w:val="24"/>
          <w14:ligatures w14:val="none"/>
        </w:rPr>
        <w:t>Conclusion: From Russian Oppression to the Quest for a Homeland</w:t>
      </w:r>
      <w:r w:rsidRPr="0024592A">
        <w:rPr>
          <w:rFonts w:ascii="Times New Roman" w:eastAsia="Times New Roman" w:hAnsi="Times New Roman" w:cs="Times New Roman"/>
          <w:kern w:val="0"/>
          <w:sz w:val="24"/>
          <w:szCs w:val="24"/>
          <w14:ligatures w14:val="none"/>
        </w:rPr>
        <w:br/>
        <w:t xml:space="preserve">The brutality of the Russian Empire's policies toward Jews—embodied in the Pale of Settlement, anti-Jewish legislation, and violent pogroms—created an environment where the Zionist movement emerged as a necessary response. Long before the Holocaust, the suffering of Jews in Russia underscored the urgent need for </w:t>
      </w:r>
      <w:proofErr w:type="gramStart"/>
      <w:r w:rsidRPr="0024592A">
        <w:rPr>
          <w:rFonts w:ascii="Times New Roman" w:eastAsia="Times New Roman" w:hAnsi="Times New Roman" w:cs="Times New Roman"/>
          <w:kern w:val="0"/>
          <w:sz w:val="24"/>
          <w:szCs w:val="24"/>
          <w14:ligatures w14:val="none"/>
        </w:rPr>
        <w:t>a safe haven</w:t>
      </w:r>
      <w:proofErr w:type="gramEnd"/>
      <w:r w:rsidRPr="0024592A">
        <w:rPr>
          <w:rFonts w:ascii="Times New Roman" w:eastAsia="Times New Roman" w:hAnsi="Times New Roman" w:cs="Times New Roman"/>
          <w:kern w:val="0"/>
          <w:sz w:val="24"/>
          <w:szCs w:val="24"/>
          <w14:ligatures w14:val="none"/>
        </w:rPr>
        <w:t>—a homeland where Jews could live in security and dignity. Russian Jew-Hate foreshadowed the Holocaust's inevitability, demonstrating that a Jewish homeland was not only desirable but essential for survival. The Zionist movement, born from these conditions, played a central role in the creation of the State of Israel and continues to shape the Jewish quest for self-determination and security today.</w:t>
      </w:r>
    </w:p>
    <w:p w14:paraId="0EE651B2" w14:textId="77777777" w:rsidR="0024592A" w:rsidRDefault="0024592A" w:rsidP="0024592A">
      <w:pPr>
        <w:pStyle w:val="NormalWeb"/>
      </w:pPr>
      <w:r>
        <w:rPr>
          <w:rStyle w:val="Strong"/>
          <w:rFonts w:eastAsiaTheme="majorEastAsia"/>
        </w:rPr>
        <w:t>Chapter 3: The Legacy of British and French Colonialism in the Middle East: The Root of Modern Instability</w:t>
      </w:r>
    </w:p>
    <w:p w14:paraId="34D8C832" w14:textId="77777777" w:rsidR="0024592A" w:rsidRDefault="0024592A" w:rsidP="0024592A">
      <w:pPr>
        <w:pStyle w:val="NormalWeb"/>
      </w:pPr>
      <w:r>
        <w:rPr>
          <w:rStyle w:val="Strong"/>
          <w:rFonts w:eastAsiaTheme="majorEastAsia"/>
        </w:rPr>
        <w:t>Introduction</w:t>
      </w:r>
      <w:r>
        <w:br/>
        <w:t xml:space="preserve">The legacies of British and French colonialism in the Middle East are not just remnants of a distant past but are active, enduring forces that continue to mold the region's political landscape, fueling conflicts, shaping identities, and influencing global geopolitics today. The arbitrary borders, conflicting promises, and self-serving strategies implemented by these colonial powers set the stage for much of the turmoil that has plagued the Middle East for over a century. To understand the origins and persistence of the Israeli-Palestinian conflict, it is crucial to examine </w:t>
      </w:r>
      <w:r>
        <w:lastRenderedPageBreak/>
        <w:t>the broader context of British and French actions throughout the region, and how their legacy created a series of unstable states, ignited nationalist movements, and sowed distrust among local populations.</w:t>
      </w:r>
    </w:p>
    <w:p w14:paraId="7B84F848" w14:textId="77777777" w:rsidR="0024592A" w:rsidRDefault="0024592A" w:rsidP="0024592A">
      <w:pPr>
        <w:pStyle w:val="NormalWeb"/>
      </w:pPr>
      <w:r>
        <w:rPr>
          <w:rStyle w:val="Strong"/>
          <w:rFonts w:eastAsiaTheme="majorEastAsia"/>
        </w:rPr>
        <w:t>From Ottoman Control to Colonial Partition: The Sykes-Picot Agreement and the Mandate System</w:t>
      </w:r>
      <w:r>
        <w:br/>
        <w:t>Following the collapse of the Ottoman Empire after World War I, the victorious Allied powers, particularly Britain and France, set about dividing the former Ottoman territories according to their own interests. This division was formalized in the secret Sykes-Picot Agreement of 1916, which delineated spheres of influence and control in the Middle East between the two colonial powers. Britain was assigned control over Iraq and Palestine (including Transjordan), while France was given control over Syria and Lebanon.</w:t>
      </w:r>
    </w:p>
    <w:p w14:paraId="3735E55B" w14:textId="77777777" w:rsidR="0024592A" w:rsidRDefault="0024592A" w:rsidP="0024592A">
      <w:pPr>
        <w:pStyle w:val="NormalWeb"/>
        <w:numPr>
          <w:ilvl w:val="0"/>
          <w:numId w:val="224"/>
        </w:numPr>
      </w:pPr>
      <w:r>
        <w:rPr>
          <w:rStyle w:val="Strong"/>
          <w:rFonts w:eastAsiaTheme="majorEastAsia"/>
        </w:rPr>
        <w:t>The Sykes-Picot Agreement</w:t>
      </w:r>
      <w:r>
        <w:t>: The agreement ignored the ethnic, religious, and tribal realities on the ground, creating artificial borders that forced together diverse groups with little common identity or shared governance experience. The agreement also contradicted promises made to Arab leaders during World War I, who had been led to believe that they would gain independence in return for supporting the British war effort against the Ottomans.</w:t>
      </w:r>
    </w:p>
    <w:p w14:paraId="29ACAFFF" w14:textId="77777777" w:rsidR="0024592A" w:rsidRDefault="0024592A" w:rsidP="0024592A">
      <w:pPr>
        <w:pStyle w:val="NormalWeb"/>
        <w:numPr>
          <w:ilvl w:val="0"/>
          <w:numId w:val="224"/>
        </w:numPr>
      </w:pPr>
      <w:r>
        <w:rPr>
          <w:rStyle w:val="Strong"/>
          <w:rFonts w:eastAsiaTheme="majorEastAsia"/>
        </w:rPr>
        <w:t>The Mandate System</w:t>
      </w:r>
      <w:r>
        <w:t>: The League of Nations established the mandate system to oversee the administration of former Ottoman territories until they could achieve self-governance. However, this system was merely a guise for continued colonial control. Both Britain and France treated their mandates as colonies, with little regard for the political, economic, or social aspirations of the local populations. This lack of legitimate governance and respect for local needs set the stage for nationalist movements and conflicts across the region.</w:t>
      </w:r>
    </w:p>
    <w:p w14:paraId="60E89E9B" w14:textId="77777777" w:rsidR="0024592A" w:rsidRDefault="0024592A" w:rsidP="0024592A">
      <w:pPr>
        <w:pStyle w:val="NormalWeb"/>
      </w:pPr>
      <w:r>
        <w:rPr>
          <w:rStyle w:val="Strong"/>
          <w:rFonts w:eastAsiaTheme="majorEastAsia"/>
        </w:rPr>
        <w:t>Creating New Borders, Igniting New Conflicts: The Impact of British and French Mandates in the Middle East</w:t>
      </w:r>
      <w:r>
        <w:br/>
      </w:r>
      <w:r>
        <w:rPr>
          <w:rStyle w:val="Strong"/>
          <w:rFonts w:eastAsiaTheme="majorEastAsia"/>
        </w:rPr>
        <w:t>The Creation of New States</w:t>
      </w:r>
    </w:p>
    <w:p w14:paraId="57197966" w14:textId="77777777" w:rsidR="0024592A" w:rsidRDefault="0024592A" w:rsidP="0024592A">
      <w:pPr>
        <w:pStyle w:val="NormalWeb"/>
        <w:numPr>
          <w:ilvl w:val="0"/>
          <w:numId w:val="225"/>
        </w:numPr>
      </w:pPr>
      <w:r>
        <w:rPr>
          <w:rStyle w:val="Strong"/>
          <w:rFonts w:eastAsiaTheme="majorEastAsia"/>
        </w:rPr>
        <w:t>Iraq, Transjordan, and Palestine Under British Control</w:t>
      </w:r>
      <w:r>
        <w:t>: In Iraq, Britain installed King Faisal, a Hashemite, as a puppet ruler to maintain control while securing British interests in oil. The boundaries of Iraq were drawn without regard for the complex tapestry of Sunni Arabs, Shia Arabs, and Kurds, leading to sectarian tensions that persist today. In Transjordan, Britain carved out territory east of the Jordan River and installed Abdullah, Faisal's brother, as Emir. Meanwhile, in Palestine, Britain promised a homeland to the Jewish people through the Balfour Declaration while simultaneously promising independence to the Arabs, resulting in a long-standing conflict between Jewish and Arab communities.</w:t>
      </w:r>
    </w:p>
    <w:p w14:paraId="075316C6" w14:textId="77777777" w:rsidR="0024592A" w:rsidRDefault="0024592A" w:rsidP="0024592A">
      <w:pPr>
        <w:pStyle w:val="NormalWeb"/>
        <w:numPr>
          <w:ilvl w:val="0"/>
          <w:numId w:val="225"/>
        </w:numPr>
      </w:pPr>
      <w:r>
        <w:rPr>
          <w:rStyle w:val="Strong"/>
          <w:rFonts w:eastAsiaTheme="majorEastAsia"/>
        </w:rPr>
        <w:t>Syria and Lebanon Under French Control</w:t>
      </w:r>
      <w:r>
        <w:t>: The French mandate in Syria and Lebanon similarly ignored local realities. France created the state of Lebanon by carving it out of greater Syria to create a Christian-dominated state, disregarding the substantial Muslim populations within its borders. In Syria, the French implemented a divide-and-rule strategy, fostering divisions among the Druze, Alawites, Christians, and Sunni Muslims to maintain control. These actions entrenched sectarian identities and conflicts that would later explode into civil wars and unrest.</w:t>
      </w:r>
    </w:p>
    <w:p w14:paraId="199D5FCE" w14:textId="77777777" w:rsidR="0024592A" w:rsidRDefault="0024592A" w:rsidP="0024592A">
      <w:pPr>
        <w:pStyle w:val="NormalWeb"/>
      </w:pPr>
      <w:r>
        <w:rPr>
          <w:rStyle w:val="Strong"/>
          <w:rFonts w:eastAsiaTheme="majorEastAsia"/>
        </w:rPr>
        <w:lastRenderedPageBreak/>
        <w:t>Conflicting Promises and Rising Nationalism</w:t>
      </w:r>
    </w:p>
    <w:p w14:paraId="45712C51" w14:textId="77777777" w:rsidR="0024592A" w:rsidRDefault="0024592A" w:rsidP="0024592A">
      <w:pPr>
        <w:pStyle w:val="NormalWeb"/>
        <w:numPr>
          <w:ilvl w:val="0"/>
          <w:numId w:val="226"/>
        </w:numPr>
      </w:pPr>
      <w:r>
        <w:rPr>
          <w:rStyle w:val="Strong"/>
          <w:rFonts w:eastAsiaTheme="majorEastAsia"/>
        </w:rPr>
        <w:t>Arab Disillusionment and Anger</w:t>
      </w:r>
      <w:r>
        <w:t>: The promises made to Arab leaders during World War I for independence and self-determination were dashed by the realities of the post-war settlement. Arab nationalist movements, fueled by anger and betrayal, grew in strength and determination. In Palestine, the Arab population felt increasingly threatened by the rise of Jewish immigration and the perceived favoritism of the British authorities toward the Zionist project. This led to growing tensions and violence between Arabs and Jews, setting the stage for future conflict.</w:t>
      </w:r>
    </w:p>
    <w:p w14:paraId="21BDE809" w14:textId="77777777" w:rsidR="0024592A" w:rsidRDefault="0024592A" w:rsidP="0024592A">
      <w:pPr>
        <w:pStyle w:val="NormalWeb"/>
        <w:numPr>
          <w:ilvl w:val="0"/>
          <w:numId w:val="226"/>
        </w:numPr>
      </w:pPr>
      <w:r>
        <w:rPr>
          <w:rStyle w:val="Strong"/>
          <w:rFonts w:eastAsiaTheme="majorEastAsia"/>
        </w:rPr>
        <w:t>Jewish Aspirations and British Ambiguities</w:t>
      </w:r>
      <w:r>
        <w:t>: Jewish aspirations for a national homeland in Palestine, fueled by the Balfour Declaration, conflicted directly with Arab demands for independence. Britain's failure to clearly define its commitments to either side exacerbated tensions. Jewish immigration, particularly after the rise of Nazi Germany, increased significantly, heightening Arab fears of displacement and marginalization. The British inability or unwillingness to reconcile these conflicting nationalisms created a volatile and violent situation that would explode in the coming decades.</w:t>
      </w:r>
    </w:p>
    <w:p w14:paraId="0D7B5520" w14:textId="77777777" w:rsidR="0024592A" w:rsidRDefault="0024592A" w:rsidP="0024592A">
      <w:pPr>
        <w:pStyle w:val="NormalWeb"/>
      </w:pPr>
      <w:r>
        <w:rPr>
          <w:rStyle w:val="Strong"/>
          <w:rFonts w:eastAsiaTheme="majorEastAsia"/>
        </w:rPr>
        <w:t>Colonial Legacies: A Century of Conflict and Instability</w:t>
      </w:r>
      <w:r>
        <w:br/>
      </w:r>
      <w:r>
        <w:rPr>
          <w:rStyle w:val="Strong"/>
          <w:rFonts w:eastAsiaTheme="majorEastAsia"/>
        </w:rPr>
        <w:t>The Arbitrary Creation of States and Borders</w:t>
      </w:r>
    </w:p>
    <w:p w14:paraId="4F7D5469" w14:textId="77777777" w:rsidR="0024592A" w:rsidRDefault="0024592A" w:rsidP="0024592A">
      <w:pPr>
        <w:pStyle w:val="NormalWeb"/>
        <w:numPr>
          <w:ilvl w:val="0"/>
          <w:numId w:val="227"/>
        </w:numPr>
      </w:pPr>
      <w:r>
        <w:rPr>
          <w:rStyle w:val="Strong"/>
          <w:rFonts w:eastAsiaTheme="majorEastAsia"/>
        </w:rPr>
        <w:t>Artificial Boundaries and Fragmented Societies</w:t>
      </w:r>
      <w:r>
        <w:t>: The borders drawn by Britain and France after World War I were artificial constructs that did not correspond to the social, religious, or ethnic realities on the ground. These boundaries created states that were inherently unstable, as they forced together diverse populations with little in common and no experience of shared governance. This fragmentation led to numerous internal conflicts and fostered resentment against the colonial powers, whose manipulations were seen as the cause of local strife.</w:t>
      </w:r>
    </w:p>
    <w:p w14:paraId="161C2B4B" w14:textId="77777777" w:rsidR="0024592A" w:rsidRDefault="0024592A" w:rsidP="0024592A">
      <w:pPr>
        <w:pStyle w:val="NormalWeb"/>
        <w:numPr>
          <w:ilvl w:val="0"/>
          <w:numId w:val="227"/>
        </w:numPr>
      </w:pPr>
      <w:r>
        <w:rPr>
          <w:rStyle w:val="Strong"/>
          <w:rFonts w:eastAsiaTheme="majorEastAsia"/>
        </w:rPr>
        <w:t>The Impact on Modern Conflicts</w:t>
      </w:r>
      <w:r>
        <w:t>: The colonial legacy has had a direct impact on many modern conflicts in the Middle East. In Iraq, the artificial borders created by Britain, and the subsequent Sunni-Shia tensions, have fueled sectarian violence and civil war. In Syria, the French policy of fostering sectarian divisions has contributed to the protracted civil war. In Lebanon, the arbitrary creation of a state with a delicate sectarian balance has resulted in decades of civil conflict, war, and political instability.</w:t>
      </w:r>
    </w:p>
    <w:p w14:paraId="51B5AC58" w14:textId="77777777" w:rsidR="0024592A" w:rsidRDefault="0024592A" w:rsidP="0024592A">
      <w:pPr>
        <w:pStyle w:val="NormalWeb"/>
      </w:pPr>
      <w:r>
        <w:rPr>
          <w:rStyle w:val="Strong"/>
          <w:rFonts w:eastAsiaTheme="majorEastAsia"/>
        </w:rPr>
        <w:t>Personal Reflection: My Mother's Lesson on the Betrayal of Promises</w:t>
      </w:r>
      <w:r>
        <w:br/>
        <w:t>Growing up, I never understood my mother's sympathy for the Palestinians. I saw them as enemies—perpetual antagonists in an endless cycle of wars and terror attacks against Israel. To me, they seemed like the new villains in our Jewish story, coming right after the horrors of the Holocaust. But my mother always spoke of how the Palestinian Arabs had been "screwed over." It wasn't until years later that I began to understand. Her sympathy was rooted in a deeper recognition of betrayal—of promises made and then broken by colonial powers who cared more for their empires than for the people whose fates they were deciding. Her words taught me that both Jews and Arabs have been victims of history, caught in the manipulations of distant powers.</w:t>
      </w:r>
    </w:p>
    <w:p w14:paraId="41A18C7A" w14:textId="77777777" w:rsidR="0024592A" w:rsidRDefault="0024592A" w:rsidP="0024592A">
      <w:pPr>
        <w:pStyle w:val="NormalWeb"/>
      </w:pPr>
      <w:r>
        <w:rPr>
          <w:rStyle w:val="Strong"/>
          <w:rFonts w:eastAsiaTheme="majorEastAsia"/>
        </w:rPr>
        <w:t>The British Mandate in Palestine: A Legacy of Broken Promises</w:t>
      </w:r>
    </w:p>
    <w:p w14:paraId="6D96FC5C" w14:textId="77777777" w:rsidR="0024592A" w:rsidRDefault="0024592A" w:rsidP="0024592A">
      <w:pPr>
        <w:pStyle w:val="NormalWeb"/>
        <w:numPr>
          <w:ilvl w:val="0"/>
          <w:numId w:val="228"/>
        </w:numPr>
      </w:pPr>
      <w:r>
        <w:rPr>
          <w:rStyle w:val="Strong"/>
          <w:rFonts w:eastAsiaTheme="majorEastAsia"/>
        </w:rPr>
        <w:lastRenderedPageBreak/>
        <w:t>Conflicting Commitments and Growing Hostilities</w:t>
      </w:r>
      <w:r>
        <w:t>: In Palestine, the British mandate period (1922-1948) was marked by conflicting commitments to both Jews and Arabs. The Balfour Declaration had promised a national home for the Jewish people, while other agreements, like the McMahon-Hussein Correspondence, had promised independence to the Arabs. The failure to reconcile these competing aspirations led to growing tensions and hostilities, with both communities feeling betrayed and increasingly turning to violence.</w:t>
      </w:r>
    </w:p>
    <w:p w14:paraId="545C3FAB" w14:textId="77777777" w:rsidR="0024592A" w:rsidRDefault="0024592A" w:rsidP="0024592A">
      <w:pPr>
        <w:pStyle w:val="NormalWeb"/>
        <w:numPr>
          <w:ilvl w:val="0"/>
          <w:numId w:val="228"/>
        </w:numPr>
      </w:pPr>
      <w:r>
        <w:rPr>
          <w:rStyle w:val="Strong"/>
          <w:rFonts w:eastAsiaTheme="majorEastAsia"/>
        </w:rPr>
        <w:t>Jewish and Arab Revolts</w:t>
      </w:r>
      <w:r>
        <w:t xml:space="preserve">: The increasing Jewish immigration to Palestine, particularly during the 1930s and 1940s, was met with growing Arab resistance, leading to a series of riots, strikes, and revolts. The British responded with repressive measures that further alienated both communities. Jewish paramilitary groups like the </w:t>
      </w:r>
      <w:proofErr w:type="spellStart"/>
      <w:r>
        <w:t>Haganah</w:t>
      </w:r>
      <w:proofErr w:type="spellEnd"/>
      <w:r>
        <w:t>, Irgun, and Lehi emerged, leading to attacks against both Arab targets and British forces. The Arabs, too, formed militant groups to resist Jewish immigration and British rule. The cycle of violence spiraled out of control, leading to a state of near-constant conflict.</w:t>
      </w:r>
    </w:p>
    <w:p w14:paraId="720372D6" w14:textId="77777777" w:rsidR="0024592A" w:rsidRDefault="0024592A" w:rsidP="0024592A">
      <w:pPr>
        <w:pStyle w:val="NormalWeb"/>
      </w:pPr>
      <w:r>
        <w:rPr>
          <w:rStyle w:val="Strong"/>
          <w:rFonts w:eastAsiaTheme="majorEastAsia"/>
        </w:rPr>
        <w:t>Conclusion: The Legacy of British and French Colonialism</w:t>
      </w:r>
      <w:r>
        <w:br/>
        <w:t>The legacies of British and French colonialism in the Middle East are far-reaching and complex. The actions taken by these powers during and after World War I set the stage for much of the conflict and instability that the region continues to experience. By ignoring local realities, making conflicting promises, and imposing artificial borders, Britain and France created a political landscape marked by division, resentment, and mistrust.</w:t>
      </w:r>
    </w:p>
    <w:p w14:paraId="09597548" w14:textId="77777777" w:rsidR="0024592A" w:rsidRDefault="0024592A" w:rsidP="0024592A">
      <w:pPr>
        <w:pStyle w:val="NormalWeb"/>
      </w:pPr>
      <w:r>
        <w:t>Understanding this colonial legacy is essential to grasping the roots of the Israeli-Palestinian conflict and the broader turmoil that characterizes the Middle East today. It is a legacy of broken promises, unfulfilled aspirations, and unresolved grievances—a legacy that continues to shape the destiny of millions in the region. To seek a path forward, it is crucial to acknowledge these historical injustices and address the enduring impact of colonial rule on the people and nations of the Middle East</w:t>
      </w:r>
    </w:p>
    <w:p w14:paraId="45D0574E" w14:textId="77777777" w:rsidR="007664A5" w:rsidRPr="007664A5" w:rsidRDefault="007664A5" w:rsidP="007664A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664A5">
        <w:rPr>
          <w:rFonts w:ascii="Times New Roman" w:eastAsia="Times New Roman" w:hAnsi="Times New Roman" w:cs="Times New Roman"/>
          <w:b/>
          <w:bCs/>
          <w:kern w:val="0"/>
          <w:sz w:val="27"/>
          <w:szCs w:val="27"/>
          <w14:ligatures w14:val="none"/>
        </w:rPr>
        <w:t>Chapter 4: The Carving Out of Transjordan and Its Consequences</w:t>
      </w:r>
    </w:p>
    <w:p w14:paraId="64B21D4E"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Introduction</w:t>
      </w:r>
    </w:p>
    <w:p w14:paraId="201B2E9A"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Following the Balfour Declaration and the establishment of the British Mandate for Palestine, Britain faced the challenge of managing its newly acquired territories in the Middle East. One of the most significant and controversial decisions during this period was the carving out of Transjordan from the territory initially included within the Mandate of Palestine. This chapter explores the historical context behind the creation of Transjordan, the British political motives for doing so, the conflicting promises made to Arab leaders, and the profound consequences this decision had on Jewish settlement, regional tensions, and the Israeli-Palestinian conflict.</w:t>
      </w:r>
    </w:p>
    <w:p w14:paraId="4DD787B0"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Historical Context: Establishment of Transjordan, British Political Motives, and Conflicting Promises</w:t>
      </w:r>
    </w:p>
    <w:p w14:paraId="607D3830"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Background to British Rule in the Middle East</w:t>
      </w:r>
    </w:p>
    <w:p w14:paraId="3EE16DB1"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lastRenderedPageBreak/>
        <w:t>After the collapse of the Ottoman Empire at the end of World War I, Britain assumed control over several territories in the Middle East, including Palestine and the lands east of the Jordan River. The 1920 San Remo Conference and the 1922 League of Nations Mandate officially placed these areas under British administration. While the Mandate for Palestine initially included the territory both west and east of the Jordan River, the British soon faced challenges in managing these lands due to conflicting political pressures, secret agreements, and strategic interests.</w:t>
      </w:r>
    </w:p>
    <w:p w14:paraId="6939FA7C"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Conflicting Promises: Sharif Hussein, the French, and the Hashemites</w:t>
      </w:r>
    </w:p>
    <w:p w14:paraId="704B696B" w14:textId="77777777" w:rsidR="007664A5" w:rsidRPr="007664A5" w:rsidRDefault="007664A5" w:rsidP="007664A5">
      <w:pPr>
        <w:numPr>
          <w:ilvl w:val="0"/>
          <w:numId w:val="2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Promise of Syria to Sharif Hussein:</w:t>
      </w:r>
      <w:r w:rsidRPr="007664A5">
        <w:rPr>
          <w:rFonts w:ascii="Times New Roman" w:eastAsia="Times New Roman" w:hAnsi="Times New Roman" w:cs="Times New Roman"/>
          <w:kern w:val="0"/>
          <w:sz w:val="24"/>
          <w:szCs w:val="24"/>
          <w14:ligatures w14:val="none"/>
        </w:rPr>
        <w:t xml:space="preserve"> During World War I, Britain sought Arab support against the Ottoman Empire. In the McMahon-Hussein Correspondence (1915-1916), Sir Henry McMahon, the British High Commissioner in Egypt, exchanged letters with Sharif Hussein of Mecca, promising to support the establishment of an independent Arab state after the war. Although the letters were deliberately ambiguous, Sharif Hussein believed that his support for the Allied war effort would be rewarded with leadership over a vast Arab kingdom, including Syria, Palestine, and Mesopotamia (modern-day Iraq).</w:t>
      </w:r>
    </w:p>
    <w:p w14:paraId="1818302D" w14:textId="77777777" w:rsidR="007664A5" w:rsidRPr="007664A5" w:rsidRDefault="007664A5" w:rsidP="007664A5">
      <w:pPr>
        <w:numPr>
          <w:ilvl w:val="0"/>
          <w:numId w:val="2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Secret Sykes-Picot Agreement and French Claims to Syria:</w:t>
      </w:r>
      <w:r w:rsidRPr="007664A5">
        <w:rPr>
          <w:rFonts w:ascii="Times New Roman" w:eastAsia="Times New Roman" w:hAnsi="Times New Roman" w:cs="Times New Roman"/>
          <w:kern w:val="0"/>
          <w:sz w:val="24"/>
          <w:szCs w:val="24"/>
          <w14:ligatures w14:val="none"/>
        </w:rPr>
        <w:t xml:space="preserve"> Unbeknownst to Sharif Hussein, Britain had also entered into a secret agreement with France, the Sykes-Picot Agreement of 1916, which outlined the division of the Ottoman territories between the two colonial powers. Under the terms of this agreement, France would gain control over Syria and Lebanon, while Britain would control Iraq and Palestine. This arrangement directly contradicted the promises made to Sharif Hussein and set the stage for future conflict and betrayal.</w:t>
      </w:r>
    </w:p>
    <w:p w14:paraId="72FCDD06" w14:textId="77777777" w:rsidR="007664A5" w:rsidRPr="007664A5" w:rsidRDefault="007664A5" w:rsidP="007664A5">
      <w:pPr>
        <w:numPr>
          <w:ilvl w:val="0"/>
          <w:numId w:val="2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French Expulsion of Faisal from Syria:</w:t>
      </w:r>
      <w:r w:rsidRPr="007664A5">
        <w:rPr>
          <w:rFonts w:ascii="Times New Roman" w:eastAsia="Times New Roman" w:hAnsi="Times New Roman" w:cs="Times New Roman"/>
          <w:kern w:val="0"/>
          <w:sz w:val="24"/>
          <w:szCs w:val="24"/>
          <w14:ligatures w14:val="none"/>
        </w:rPr>
        <w:t xml:space="preserve"> After World War I, Sharif Hussein's son, Faisal, attempted to establish himself as the king of Syria. However, in 1920, the French, invoking the Sykes-Picot Agreement, expelled Faisal from Damascus, forcibly asserting their control over Syria. The expulsion of Faisal angered the Hashemite family and the Arab population, who saw it as a betrayal of Britain's wartime promises and a clear indication of European colonial ambitions in the region.</w:t>
      </w:r>
    </w:p>
    <w:p w14:paraId="69B83599"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Creation of Transjordan</w:t>
      </w:r>
    </w:p>
    <w:p w14:paraId="5AED29B0" w14:textId="77777777" w:rsidR="007664A5" w:rsidRPr="007664A5" w:rsidRDefault="007664A5" w:rsidP="007664A5">
      <w:pPr>
        <w:numPr>
          <w:ilvl w:val="0"/>
          <w:numId w:val="2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Division of the Mandate Territory:</w:t>
      </w:r>
      <w:r w:rsidRPr="007664A5">
        <w:rPr>
          <w:rFonts w:ascii="Times New Roman" w:eastAsia="Times New Roman" w:hAnsi="Times New Roman" w:cs="Times New Roman"/>
          <w:kern w:val="0"/>
          <w:sz w:val="24"/>
          <w:szCs w:val="24"/>
          <w14:ligatures w14:val="none"/>
        </w:rPr>
        <w:t xml:space="preserve"> In March 1921, to address the fallout from Faisal's expulsion and to compensate the Hashemites for their loss of Syria, Winston Churchill, then Colonial Secretary, convened a conference in Cairo to determine the future of British-controlled territories in the Middle East. During the Cairo Conference, Churchill decided to divide the Mandate of Palestine into two distinct administrative units: Palestine, to the west of the Jordan River, and Transjordan, to the east. This decision effectively removed Transjordan from the scope of the Balfour Declaration, which had promised a Jewish national home in Palestine. Churchill installed Emir Abdullah, another son of Sharif Hussein, as the ruler of the newly created Emirate of Transjordan, thereby attempting to placate the Hashemite family.</w:t>
      </w:r>
    </w:p>
    <w:p w14:paraId="57652F7C" w14:textId="77777777" w:rsidR="007664A5" w:rsidRPr="007664A5" w:rsidRDefault="007664A5" w:rsidP="007664A5">
      <w:pPr>
        <w:numPr>
          <w:ilvl w:val="0"/>
          <w:numId w:val="2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Destruction of the Original Mandate for Palestine Agreement:</w:t>
      </w:r>
      <w:r w:rsidRPr="007664A5">
        <w:rPr>
          <w:rFonts w:ascii="Times New Roman" w:eastAsia="Times New Roman" w:hAnsi="Times New Roman" w:cs="Times New Roman"/>
          <w:kern w:val="0"/>
          <w:sz w:val="24"/>
          <w:szCs w:val="24"/>
          <w14:ligatures w14:val="none"/>
        </w:rPr>
        <w:t xml:space="preserve"> The creation of Transjordan fundamentally altered the original terms of the League of Nations Mandate for Palestine. By carving out Transjordan, the British reduced the land available for the Jewish national home from 100% of the territory initially allocated to 23%, leaving only </w:t>
      </w:r>
      <w:r w:rsidRPr="007664A5">
        <w:rPr>
          <w:rFonts w:ascii="Times New Roman" w:eastAsia="Times New Roman" w:hAnsi="Times New Roman" w:cs="Times New Roman"/>
          <w:kern w:val="0"/>
          <w:sz w:val="24"/>
          <w:szCs w:val="24"/>
          <w14:ligatures w14:val="none"/>
        </w:rPr>
        <w:lastRenderedPageBreak/>
        <w:t>a small fraction of land for Jewish settlement. Transjordan, comprising 77% of the original mandate territory, was now excluded from Jewish settlement under the terms of the Balfour Declaration. This drastic reduction in available land made the task of dividing the remaining 23% between Jews and Palestinian Arabs nearly impossible given the small amount of territory and the complex political dynamics at play.</w:t>
      </w:r>
    </w:p>
    <w:p w14:paraId="5FDB8D20"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British Political Motives for Creating Transjordan</w:t>
      </w:r>
    </w:p>
    <w:p w14:paraId="04C1DFBE" w14:textId="77777777" w:rsidR="007664A5" w:rsidRPr="007664A5" w:rsidRDefault="007664A5" w:rsidP="007664A5">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Appeasing Arab Allies and the Hashemites:</w:t>
      </w:r>
      <w:r w:rsidRPr="007664A5">
        <w:rPr>
          <w:rFonts w:ascii="Times New Roman" w:eastAsia="Times New Roman" w:hAnsi="Times New Roman" w:cs="Times New Roman"/>
          <w:kern w:val="0"/>
          <w:sz w:val="24"/>
          <w:szCs w:val="24"/>
          <w14:ligatures w14:val="none"/>
        </w:rPr>
        <w:t xml:space="preserve"> By creating Transjordan and installing Abdullah as its ruler, Britain sought to fulfill some of its wartime commitments to the Hashemites, maintaining their alliance and influence in the region. This move was seen </w:t>
      </w:r>
      <w:proofErr w:type="gramStart"/>
      <w:r w:rsidRPr="007664A5">
        <w:rPr>
          <w:rFonts w:ascii="Times New Roman" w:eastAsia="Times New Roman" w:hAnsi="Times New Roman" w:cs="Times New Roman"/>
          <w:kern w:val="0"/>
          <w:sz w:val="24"/>
          <w:szCs w:val="24"/>
          <w14:ligatures w14:val="none"/>
        </w:rPr>
        <w:t>as a way to</w:t>
      </w:r>
      <w:proofErr w:type="gramEnd"/>
      <w:r w:rsidRPr="007664A5">
        <w:rPr>
          <w:rFonts w:ascii="Times New Roman" w:eastAsia="Times New Roman" w:hAnsi="Times New Roman" w:cs="Times New Roman"/>
          <w:kern w:val="0"/>
          <w:sz w:val="24"/>
          <w:szCs w:val="24"/>
          <w14:ligatures w14:val="none"/>
        </w:rPr>
        <w:t xml:space="preserve"> compensate for the loss of Syria and to uphold British credibility among Arab leaders.</w:t>
      </w:r>
    </w:p>
    <w:p w14:paraId="1CB12AB5" w14:textId="77777777" w:rsidR="007664A5" w:rsidRPr="007664A5" w:rsidRDefault="007664A5" w:rsidP="007664A5">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Strategic Buffer Against French Expansion:</w:t>
      </w:r>
      <w:r w:rsidRPr="007664A5">
        <w:rPr>
          <w:rFonts w:ascii="Times New Roman" w:eastAsia="Times New Roman" w:hAnsi="Times New Roman" w:cs="Times New Roman"/>
          <w:kern w:val="0"/>
          <w:sz w:val="24"/>
          <w:szCs w:val="24"/>
          <w14:ligatures w14:val="none"/>
        </w:rPr>
        <w:t xml:space="preserve"> The establishment of Transjordan also served as a strategic buffer against French-controlled Syria to the north. Britain, wary of French ambitions in the region, aimed to create a friendly regime east of the Jordan River that could act as a counterbalance to French influence.</w:t>
      </w:r>
    </w:p>
    <w:p w14:paraId="53C01B73" w14:textId="77777777" w:rsidR="007664A5" w:rsidRPr="007664A5" w:rsidRDefault="007664A5" w:rsidP="007664A5">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Cost-Effective Administration:</w:t>
      </w:r>
      <w:r w:rsidRPr="007664A5">
        <w:rPr>
          <w:rFonts w:ascii="Times New Roman" w:eastAsia="Times New Roman" w:hAnsi="Times New Roman" w:cs="Times New Roman"/>
          <w:kern w:val="0"/>
          <w:sz w:val="24"/>
          <w:szCs w:val="24"/>
          <w14:ligatures w14:val="none"/>
        </w:rPr>
        <w:t xml:space="preserve"> The British were motivated by the desire to minimize the costs and resources required to govern their new territories. Establishing a semi-autonomous emirate under Abdullah’s leadership allowed Britain to maintain control without direct colonial administration, reducing both financial and military burdens.</w:t>
      </w:r>
    </w:p>
    <w:p w14:paraId="0BE9DF60" w14:textId="77777777" w:rsidR="007664A5" w:rsidRPr="007664A5" w:rsidRDefault="007664A5" w:rsidP="007664A5">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Avoiding Arab-Jewish Tensions:</w:t>
      </w:r>
      <w:r w:rsidRPr="007664A5">
        <w:rPr>
          <w:rFonts w:ascii="Times New Roman" w:eastAsia="Times New Roman" w:hAnsi="Times New Roman" w:cs="Times New Roman"/>
          <w:kern w:val="0"/>
          <w:sz w:val="24"/>
          <w:szCs w:val="24"/>
          <w14:ligatures w14:val="none"/>
        </w:rPr>
        <w:t xml:space="preserve"> By creating Transjordan and excluding it from the terms of the Balfour Declaration, Britain aimed to limit Jewish settlement to areas west of the Jordan River. This was intended to appease Arab opposition to Jewish immigration and reduce tensions in the region. However, this policy would have significant consequences for both Jewish and Arab aspirations, as it created an untenable situation in the remaining territory.</w:t>
      </w:r>
    </w:p>
    <w:p w14:paraId="262B1C20"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British Administrative Approach in Transjordan</w:t>
      </w:r>
    </w:p>
    <w:p w14:paraId="5EE2BE95" w14:textId="77777777" w:rsidR="007664A5" w:rsidRPr="007664A5" w:rsidRDefault="007664A5" w:rsidP="007664A5">
      <w:pPr>
        <w:numPr>
          <w:ilvl w:val="0"/>
          <w:numId w:val="2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Autonomous Rule Under British Supervision:</w:t>
      </w:r>
      <w:r w:rsidRPr="007664A5">
        <w:rPr>
          <w:rFonts w:ascii="Times New Roman" w:eastAsia="Times New Roman" w:hAnsi="Times New Roman" w:cs="Times New Roman"/>
          <w:kern w:val="0"/>
          <w:sz w:val="24"/>
          <w:szCs w:val="24"/>
          <w14:ligatures w14:val="none"/>
        </w:rPr>
        <w:t xml:space="preserve"> Although nominally under British mandate, Transjordan was granted a significant degree of autonomy under the leadership of Emir Abdullah. Britain retained control over foreign policy, defense, and financial matters, while Abdullah governed the internal affairs of the emirate. This arrangement allowed Britain to maintain strategic oversight while minimizing direct administrative involvement.</w:t>
      </w:r>
    </w:p>
    <w:p w14:paraId="3BB6347E" w14:textId="77777777" w:rsidR="007664A5" w:rsidRPr="007664A5" w:rsidRDefault="007664A5" w:rsidP="007664A5">
      <w:pPr>
        <w:numPr>
          <w:ilvl w:val="0"/>
          <w:numId w:val="2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Legal and Political Exclusion from the Balfour Declaration:</w:t>
      </w:r>
      <w:r w:rsidRPr="007664A5">
        <w:rPr>
          <w:rFonts w:ascii="Times New Roman" w:eastAsia="Times New Roman" w:hAnsi="Times New Roman" w:cs="Times New Roman"/>
          <w:kern w:val="0"/>
          <w:sz w:val="24"/>
          <w:szCs w:val="24"/>
          <w14:ligatures w14:val="none"/>
        </w:rPr>
        <w:t xml:space="preserve"> The creation of Transjordan marked a significant departure from the original terms of the Mandate for Palestine. The 1922 White Paper explicitly stated that the provisions of the Balfour Declaration concerning a Jewish national home did not apply to the territories east of the Jordan River. This effectively barred Jewish settlement in Transjordan, reinforcing the division between the two regions and setting a precedent for future British policies in Palestine.</w:t>
      </w:r>
    </w:p>
    <w:p w14:paraId="5808A1DC"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Consequences: Impact on Jewish Settlement and Regional Tensions</w:t>
      </w:r>
    </w:p>
    <w:p w14:paraId="5E3657D3"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Impact on Jewish Settlement</w:t>
      </w:r>
    </w:p>
    <w:p w14:paraId="65D430DC" w14:textId="77777777" w:rsidR="007664A5" w:rsidRPr="007664A5" w:rsidRDefault="007664A5" w:rsidP="007664A5">
      <w:pPr>
        <w:numPr>
          <w:ilvl w:val="0"/>
          <w:numId w:val="2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lastRenderedPageBreak/>
        <w:t>Restriction of Jewish Settlement to Western Palestine:</w:t>
      </w:r>
      <w:r w:rsidRPr="007664A5">
        <w:rPr>
          <w:rFonts w:ascii="Times New Roman" w:eastAsia="Times New Roman" w:hAnsi="Times New Roman" w:cs="Times New Roman"/>
          <w:kern w:val="0"/>
          <w:sz w:val="24"/>
          <w:szCs w:val="24"/>
          <w14:ligatures w14:val="none"/>
        </w:rPr>
        <w:t xml:space="preserve"> The exclusion of Transjordan from the terms of the Balfour Declaration significantly limited the geographic scope available for Jewish settlement under the British Mandate. The Zionist movement, which had anticipated a Jewish homeland that included both sides of the Jordan River, saw this decision as a betrayal of the original intent of the Balfour Declaration. The British restriction confined Jewish immigration and land purchases to the relatively smaller and more densely populated area west of the Jordan River, increasing competition for land and resources.</w:t>
      </w:r>
    </w:p>
    <w:p w14:paraId="186367C1" w14:textId="77777777" w:rsidR="007664A5" w:rsidRPr="007664A5" w:rsidRDefault="007664A5" w:rsidP="007664A5">
      <w:pPr>
        <w:numPr>
          <w:ilvl w:val="0"/>
          <w:numId w:val="2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Frustration Among Zionist Leaders:</w:t>
      </w:r>
      <w:r w:rsidRPr="007664A5">
        <w:rPr>
          <w:rFonts w:ascii="Times New Roman" w:eastAsia="Times New Roman" w:hAnsi="Times New Roman" w:cs="Times New Roman"/>
          <w:kern w:val="0"/>
          <w:sz w:val="24"/>
          <w:szCs w:val="24"/>
          <w14:ligatures w14:val="none"/>
        </w:rPr>
        <w:t xml:space="preserve"> Zionist leaders, including figures such as Chaim Weizmann and David Ben-Gurion, expressed deep frustration with the British decision to exclude Transjordan from Jewish settlement. They argued that this move violated the terms of the Mandate and was a setback to the realization of the Zionist dream of a broader Jewish homeland. The restriction on settlement fueled a growing sense of distrust toward British authorities and increased the resolve of Zionist leaders to establish a Jewish state within the remaining territory of Palestine.</w:t>
      </w:r>
    </w:p>
    <w:p w14:paraId="389005F2" w14:textId="77777777" w:rsidR="007664A5" w:rsidRPr="007664A5" w:rsidRDefault="007664A5" w:rsidP="007664A5">
      <w:pPr>
        <w:numPr>
          <w:ilvl w:val="0"/>
          <w:numId w:val="2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Pressure on Land and Resources in Western Palestine:</w:t>
      </w:r>
      <w:r w:rsidRPr="007664A5">
        <w:rPr>
          <w:rFonts w:ascii="Times New Roman" w:eastAsia="Times New Roman" w:hAnsi="Times New Roman" w:cs="Times New Roman"/>
          <w:kern w:val="0"/>
          <w:sz w:val="24"/>
          <w:szCs w:val="24"/>
          <w14:ligatures w14:val="none"/>
        </w:rPr>
        <w:t xml:space="preserve"> With Jewish settlement confined to western Palestine, the demand for land increased significantly. Jewish organizations, such as the Jewish National Fund, intensified their efforts to purchase land from Arab landowners. This led to tensions between Jewish settlers and the Arab population, who feared dispossession and the loss of their traditional lands. The resulting competition over land ownership became a flashpoint for conflict, contributing to a series of violent confrontations in the 1920s and 1930s.</w:t>
      </w:r>
    </w:p>
    <w:p w14:paraId="0840DC8D"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Regional Tensions and Conflicts</w:t>
      </w:r>
    </w:p>
    <w:p w14:paraId="3B59B336" w14:textId="77777777" w:rsidR="007664A5" w:rsidRPr="007664A5" w:rsidRDefault="007664A5" w:rsidP="007664A5">
      <w:pPr>
        <w:numPr>
          <w:ilvl w:val="0"/>
          <w:numId w:val="2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Arab Nationalism and Resistance:</w:t>
      </w:r>
      <w:r w:rsidRPr="007664A5">
        <w:rPr>
          <w:rFonts w:ascii="Times New Roman" w:eastAsia="Times New Roman" w:hAnsi="Times New Roman" w:cs="Times New Roman"/>
          <w:kern w:val="0"/>
          <w:sz w:val="24"/>
          <w:szCs w:val="24"/>
          <w14:ligatures w14:val="none"/>
        </w:rPr>
        <w:t xml:space="preserve"> The creation of Transjordan and the exclusion of Jewish settlement from the eastern part of the Mandate did little to quell Arab nationalist sentiments. Many Arab leaders viewed the establishment of a separate emirate under British supervision as an extension of colonial control rather than a genuine step toward Arab independence. The disappointment and disillusionment felt by Arabs, particularly in Palestine, were exacerbated by their exclusion from the political process and their perception of British favoritism toward Zionist aspirations.</w:t>
      </w:r>
    </w:p>
    <w:p w14:paraId="7B3CFBF9" w14:textId="77777777" w:rsidR="007664A5" w:rsidRPr="007664A5" w:rsidRDefault="007664A5" w:rsidP="007664A5">
      <w:pPr>
        <w:numPr>
          <w:ilvl w:val="0"/>
          <w:numId w:val="2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Emir Abdullah’s Ambitions and Regional Politics:</w:t>
      </w:r>
      <w:r w:rsidRPr="007664A5">
        <w:rPr>
          <w:rFonts w:ascii="Times New Roman" w:eastAsia="Times New Roman" w:hAnsi="Times New Roman" w:cs="Times New Roman"/>
          <w:kern w:val="0"/>
          <w:sz w:val="24"/>
          <w:szCs w:val="24"/>
          <w14:ligatures w14:val="none"/>
        </w:rPr>
        <w:t xml:space="preserve"> While the creation of Transjordan gave Abdullah a territorial base, it also created tensions with other Arab leaders who saw his rule as illegitimate or as a threat to their own ambitions. Abdullah harbored aspirations of expanding his authority over a larger Arab state that could include Syria, Iraq, or Palestine. This ambition put him at odds with other Arab leaders, such as King Faisal of Iraq, and further complicated the political landscape of the region.</w:t>
      </w:r>
    </w:p>
    <w:p w14:paraId="6D9B8C18" w14:textId="77777777" w:rsidR="007664A5" w:rsidRPr="007664A5" w:rsidRDefault="007664A5" w:rsidP="007664A5">
      <w:pPr>
        <w:numPr>
          <w:ilvl w:val="0"/>
          <w:numId w:val="2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British Strategic Dilemmas:</w:t>
      </w:r>
      <w:r w:rsidRPr="007664A5">
        <w:rPr>
          <w:rFonts w:ascii="Times New Roman" w:eastAsia="Times New Roman" w:hAnsi="Times New Roman" w:cs="Times New Roman"/>
          <w:kern w:val="0"/>
          <w:sz w:val="24"/>
          <w:szCs w:val="24"/>
          <w14:ligatures w14:val="none"/>
        </w:rPr>
        <w:t xml:space="preserve"> The British strategy of using Transjordan as a buffer zone and a means to placate the Hashemites created strategic dilemmas for Britain. On the one hand, the British needed to maintain their alliance with Abdullah and the Hashemites to safeguard broader regional interests, particularly against French expansion in the north. On the other hand, the need to balance conflicting Jewish and Arab demands in Palestine often left Britain caught between competing interests, making effective governance increasingly challenging and causing British policies to appear inconsistent or biased.</w:t>
      </w:r>
    </w:p>
    <w:p w14:paraId="035A72AD"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Long-Term Consequences of the Creation of Transjordan</w:t>
      </w:r>
    </w:p>
    <w:p w14:paraId="3FEE175C" w14:textId="77777777" w:rsidR="007664A5" w:rsidRPr="007664A5" w:rsidRDefault="007664A5" w:rsidP="007664A5">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lastRenderedPageBreak/>
        <w:t>Fragmentation of the Arab Nationalist Movement:</w:t>
      </w:r>
      <w:r w:rsidRPr="007664A5">
        <w:rPr>
          <w:rFonts w:ascii="Times New Roman" w:eastAsia="Times New Roman" w:hAnsi="Times New Roman" w:cs="Times New Roman"/>
          <w:kern w:val="0"/>
          <w:sz w:val="24"/>
          <w:szCs w:val="24"/>
          <w14:ligatures w14:val="none"/>
        </w:rPr>
        <w:t xml:space="preserve"> The creation of Transjordan contributed to the fragmentation of the Arab nationalist movement in the Levant. While some Arab leaders cooperated with the British and sought accommodation, others rejected any compromise with colonial powers. This division weakened the collective Arab response to both colonialism and Zionism, fostering further disunity and mistrust among Arab factions. The establishment of a Hashemite state under British patronage was viewed with suspicion by many Arab nationalists, who saw it as a tool for British manipulation of the Arab world.</w:t>
      </w:r>
    </w:p>
    <w:p w14:paraId="2C030D53" w14:textId="77777777" w:rsidR="007664A5" w:rsidRPr="007664A5" w:rsidRDefault="007664A5" w:rsidP="007664A5">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Setting a Precedent for Partition:</w:t>
      </w:r>
      <w:r w:rsidRPr="007664A5">
        <w:rPr>
          <w:rFonts w:ascii="Times New Roman" w:eastAsia="Times New Roman" w:hAnsi="Times New Roman" w:cs="Times New Roman"/>
          <w:kern w:val="0"/>
          <w:sz w:val="24"/>
          <w:szCs w:val="24"/>
          <w14:ligatures w14:val="none"/>
        </w:rPr>
        <w:t xml:space="preserve"> The British decision to carve out Transjordan set a precedent for future territorial partition plans. The idea of partitioning Palestine to resolve conflicting claims would reemerge in later years, most notably with the Peel Commission's proposal in 1937 and the United Nations Partition Plan of 1947. The creation of Transjordan demonstrated that Britain was willing to consider partition as a viable solution to territorial disputes, even if it meant imposing artificial boundaries that did not reflect the demographic or political realities on the ground. This precedent would have profound implications for the future of the region, embedding the idea of partition in international diplomacy regarding Palestine.</w:t>
      </w:r>
    </w:p>
    <w:p w14:paraId="0C22E805" w14:textId="77777777" w:rsidR="007664A5" w:rsidRPr="007664A5" w:rsidRDefault="007664A5" w:rsidP="007664A5">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Increased Tensions Between Jewish and Arab Communities:</w:t>
      </w:r>
      <w:r w:rsidRPr="007664A5">
        <w:rPr>
          <w:rFonts w:ascii="Times New Roman" w:eastAsia="Times New Roman" w:hAnsi="Times New Roman" w:cs="Times New Roman"/>
          <w:kern w:val="0"/>
          <w:sz w:val="24"/>
          <w:szCs w:val="24"/>
          <w14:ligatures w14:val="none"/>
        </w:rPr>
        <w:t xml:space="preserve"> The exclusion of Transjordan from the Jewish national home and the subsequent restriction of Jewish settlement to western Palestine intensified tensions between Jewish and Arab communities. The narrowing of available territory for Jewish immigration heightened Arab fears of displacement and increased resentment toward both the British authorities and the Jewish settlers. These tensions manifested in a series of violent clashes, riots, and uprisings during the interwar period, including the 1920 Nebi Musa riots, the 1929 Hebron massacre, and the 1936–1939 Arab revolt in Palestine. These conflicts set the stage for continued violence and instability that would define the region for decades.</w:t>
      </w:r>
    </w:p>
    <w:p w14:paraId="322BCA81" w14:textId="77777777" w:rsidR="007664A5" w:rsidRPr="007664A5" w:rsidRDefault="007664A5" w:rsidP="007664A5">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Impact on British Colonial Policy:</w:t>
      </w:r>
      <w:r w:rsidRPr="007664A5">
        <w:rPr>
          <w:rFonts w:ascii="Times New Roman" w:eastAsia="Times New Roman" w:hAnsi="Times New Roman" w:cs="Times New Roman"/>
          <w:kern w:val="0"/>
          <w:sz w:val="24"/>
          <w:szCs w:val="24"/>
          <w14:ligatures w14:val="none"/>
        </w:rPr>
        <w:t xml:space="preserve"> The decision to create Transjordan as a separate entity also had a lasting impact on British colonial policy in the Middle East. The British strategy of dividing territories and managing them through local rulers became a hallmark of their approach in the region, contributing to the legacy of artificial borders and fragmented states that continues to affect Middle Eastern geopolitics today. This strategy allowed Britain to maintain control while minimizing its direct involvement, but it also left a legacy of unresolved conflicts and national divisions.</w:t>
      </w:r>
    </w:p>
    <w:p w14:paraId="550483AA" w14:textId="77777777" w:rsidR="007664A5" w:rsidRPr="007664A5" w:rsidRDefault="007664A5" w:rsidP="007664A5">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The Real Reason Palestinian Arabs Ended Up Without Their Promised State:</w:t>
      </w:r>
      <w:r w:rsidRPr="007664A5">
        <w:rPr>
          <w:rFonts w:ascii="Times New Roman" w:eastAsia="Times New Roman" w:hAnsi="Times New Roman" w:cs="Times New Roman"/>
          <w:kern w:val="0"/>
          <w:sz w:val="24"/>
          <w:szCs w:val="24"/>
          <w14:ligatures w14:val="none"/>
        </w:rPr>
        <w:t xml:space="preserve"> The exclusion of Transjordan from the British Mandate for Palestine is seen by many historians as a pivotal reason why Palestinian Arabs did not receive their promised state. By reducing the territory available for an Arab state by 77%, the British significantly diminished the prospects for a viable Palestinian state. This reduction in land, coupled with the complex dynamics of partitioning the remaining territory, made it exceedingly difficult to establish a unified Arab state. The decision to exclude Transjordan is considered a critical factor in the failure to establish a viable Palestinian state, as it drastically reduced the land available for such a state, leading to enduring conflicts over territory and sovereignty.</w:t>
      </w:r>
    </w:p>
    <w:p w14:paraId="293BF191"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Legacy of the Creation of Transjordan</w:t>
      </w:r>
    </w:p>
    <w:p w14:paraId="7BAF1539" w14:textId="77777777" w:rsidR="007664A5" w:rsidRPr="007664A5" w:rsidRDefault="007664A5" w:rsidP="007664A5">
      <w:pPr>
        <w:numPr>
          <w:ilvl w:val="0"/>
          <w:numId w:val="2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lastRenderedPageBreak/>
        <w:t>The Hashemite Kingdom of Jordan:</w:t>
      </w:r>
      <w:r w:rsidRPr="007664A5">
        <w:rPr>
          <w:rFonts w:ascii="Times New Roman" w:eastAsia="Times New Roman" w:hAnsi="Times New Roman" w:cs="Times New Roman"/>
          <w:kern w:val="0"/>
          <w:sz w:val="24"/>
          <w:szCs w:val="24"/>
          <w14:ligatures w14:val="none"/>
        </w:rPr>
        <w:t xml:space="preserve"> The Hashemite monarchy established in Transjordan evolved into the modern state of Jordan, which continues to play a significant role in Middle Eastern politics. The legacy of British decisions and the geopolitical context of Transjordan remain relevant in understanding contemporary Jordan. Jordan's unique position as a buffer state and mediator in regional conflicts is rooted in its origins as a British-created entity. Today, Jordan remains a key player in the Israeli-Palestinian conflict, often serving as an intermediary in peace negotiations and maintaining peace agreements with Israel.</w:t>
      </w:r>
    </w:p>
    <w:p w14:paraId="06CE2BD7" w14:textId="77777777" w:rsidR="007664A5" w:rsidRPr="007664A5" w:rsidRDefault="007664A5" w:rsidP="007664A5">
      <w:pPr>
        <w:numPr>
          <w:ilvl w:val="0"/>
          <w:numId w:val="2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Impact on the Israeli-Palestinian Conflict:</w:t>
      </w:r>
      <w:r w:rsidRPr="007664A5">
        <w:rPr>
          <w:rFonts w:ascii="Times New Roman" w:eastAsia="Times New Roman" w:hAnsi="Times New Roman" w:cs="Times New Roman"/>
          <w:kern w:val="0"/>
          <w:sz w:val="24"/>
          <w:szCs w:val="24"/>
          <w14:ligatures w14:val="none"/>
        </w:rPr>
        <w:t xml:space="preserve"> The creation of Transjordan and the subsequent reduction of land available for a Jewish and Arab state have had lasting implications for the Israeli-Palestinian conflict. The decision to carve out Transjordan set a precedent for partition as a means of resolving conflicting claims, a concept that would later shape key international proposals for peace in the region. Understanding the historical context of these decisions provides insight into the ongoing challenges faced by both Israeli and Palestinian communities and the complex dynamics that continue to fuel the conflict.</w:t>
      </w:r>
    </w:p>
    <w:p w14:paraId="2E747B99" w14:textId="77777777" w:rsidR="007664A5" w:rsidRPr="007664A5" w:rsidRDefault="007664A5" w:rsidP="007664A5">
      <w:pPr>
        <w:numPr>
          <w:ilvl w:val="0"/>
          <w:numId w:val="2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Shifting Allegiances and Regional Power Dynamics:</w:t>
      </w:r>
      <w:r w:rsidRPr="007664A5">
        <w:rPr>
          <w:rFonts w:ascii="Times New Roman" w:eastAsia="Times New Roman" w:hAnsi="Times New Roman" w:cs="Times New Roman"/>
          <w:kern w:val="0"/>
          <w:sz w:val="24"/>
          <w:szCs w:val="24"/>
          <w14:ligatures w14:val="none"/>
        </w:rPr>
        <w:t xml:space="preserve"> The creation of Transjordan also affected the balance of power in the Middle East. The Hashemites, initially installed by the British, later became key allies of the West during the Cold War, positioning Jordan as a moderate Arab state. The exclusion of Transjordan had ripple effects on neighboring countries, contributing to shifting allegiances and new alliances that continue to shape the region today. The Hashemite kingdom's unique position as both a British ally and an Arab state has allowed it to navigate complex political landscapes and maintain relative stability in a tumultuous region.</w:t>
      </w:r>
    </w:p>
    <w:p w14:paraId="45B661AA"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Conclusion: The Legacy of Transjordan’s Creation</w:t>
      </w:r>
    </w:p>
    <w:p w14:paraId="00CDA2BC"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The carving out of Transjordan from the Mandate of Palestine was a pivotal moment in the history of the Middle East. Driven by British political motives to balance conflicting interests, fulfill wartime promises, and minimize colonial costs, the creation of Transjordan had profound and far-reaching consequences. It restricted Jewish settlement to a smaller area, heightened regional tensions, and set a precedent for partition as a means of resolving territorial disputes. Moreover, it effectively destroyed the chance of a viable Jewish state existing peacefully alongside a viable Palestinian Arab state, as the division of the remaining 23% of the original mandate territory between Jews and Palestinian Arabs became an almost impossible task, given the limited land and complex political dynamics. This decision played a key role in shaping the course of the Israeli-Palestinian conflict and the broader geopolitics of the region, leaving a legacy that continues to influence Middle Eastern politics and peace efforts to this day.</w:t>
      </w:r>
    </w:p>
    <w:p w14:paraId="0763DF79" w14:textId="77777777" w:rsidR="007664A5" w:rsidRPr="007664A5" w:rsidRDefault="007664A5" w:rsidP="007664A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664A5">
        <w:rPr>
          <w:rFonts w:ascii="Times New Roman" w:eastAsia="Times New Roman" w:hAnsi="Times New Roman" w:cs="Times New Roman"/>
          <w:b/>
          <w:bCs/>
          <w:kern w:val="0"/>
          <w:sz w:val="27"/>
          <w:szCs w:val="27"/>
          <w14:ligatures w14:val="none"/>
        </w:rPr>
        <w:t>Chapter 5: The Holocaust, British Policies, and the Fight for a Jewish State: A Desperate Struggle for Survival</w:t>
      </w:r>
    </w:p>
    <w:p w14:paraId="1D80DFEE" w14:textId="77777777" w:rsidR="007664A5" w:rsidRPr="007664A5" w:rsidRDefault="007664A5" w:rsidP="007664A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664A5">
        <w:rPr>
          <w:rFonts w:ascii="Times New Roman" w:eastAsia="Times New Roman" w:hAnsi="Times New Roman" w:cs="Times New Roman"/>
          <w:b/>
          <w:bCs/>
          <w:kern w:val="0"/>
          <w:sz w:val="24"/>
          <w:szCs w:val="24"/>
          <w14:ligatures w14:val="none"/>
        </w:rPr>
        <w:t>Introduction</w:t>
      </w:r>
    </w:p>
    <w:p w14:paraId="741B5F10"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 xml:space="preserve">As the Holocaust unfolded in Europe, the Jewish people faced an unprecedented crisis, with mass extermination by the Nazis and a world largely indifferent to their plight. Despite these horrors, British policies in Palestine, particularly the decision to carve out Transjordan from the </w:t>
      </w:r>
      <w:r w:rsidRPr="007664A5">
        <w:rPr>
          <w:rFonts w:ascii="Times New Roman" w:eastAsia="Times New Roman" w:hAnsi="Times New Roman" w:cs="Times New Roman"/>
          <w:kern w:val="0"/>
          <w:sz w:val="24"/>
          <w:szCs w:val="24"/>
          <w14:ligatures w14:val="none"/>
        </w:rPr>
        <w:lastRenderedPageBreak/>
        <w:t>original territory of the British Mandate, created significant barriers to Jewish escape and survival. This chapter examines how British actions — including restrictive immigration policies during the Holocaust and the geopolitical maneuvering that shaped the mandate — compounded the suffering of Jews and contributed to the desperate struggle for a Jewish state. It also explores how these decisions fostered mistrust and conflict, leaving a legacy that continues to shape the Middle East today.</w:t>
      </w:r>
    </w:p>
    <w:p w14:paraId="591ACC17" w14:textId="77777777" w:rsidR="007664A5" w:rsidRPr="007664A5" w:rsidRDefault="007664A5" w:rsidP="007664A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664A5">
        <w:rPr>
          <w:rFonts w:ascii="Times New Roman" w:eastAsia="Times New Roman" w:hAnsi="Times New Roman" w:cs="Times New Roman"/>
          <w:b/>
          <w:bCs/>
          <w:kern w:val="0"/>
          <w:sz w:val="24"/>
          <w:szCs w:val="24"/>
          <w14:ligatures w14:val="none"/>
        </w:rPr>
        <w:t>The Carving Out of Transjordan: Setting the Stage for Disaster</w:t>
      </w:r>
    </w:p>
    <w:p w14:paraId="7414821E" w14:textId="77777777" w:rsidR="007664A5" w:rsidRPr="007664A5" w:rsidRDefault="007664A5" w:rsidP="007664A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7664A5">
        <w:rPr>
          <w:rFonts w:ascii="Times New Roman" w:eastAsia="Times New Roman" w:hAnsi="Times New Roman" w:cs="Times New Roman"/>
          <w:b/>
          <w:bCs/>
          <w:kern w:val="0"/>
          <w:sz w:val="20"/>
          <w:szCs w:val="20"/>
          <w14:ligatures w14:val="none"/>
        </w:rPr>
        <w:t>The Original Mandate and the Decision to Exclude Transjordan</w:t>
      </w:r>
    </w:p>
    <w:p w14:paraId="51D0AB17"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In 1921, the British unilaterally decided to carve out Transjordan (modern-day Jordan) from the territory initially included within the British Mandate for Palestine. This decision aimed to placate the Hashemite family after the French ousted Faisal, the son of Sharif Hussein, from Syria. To compensate, Britain created the Emirate of Transjordan under Abdullah, Faisal's brother, and excluded this area from the provisions of the Balfour Declaration, which had promised a Jewish national home in Palestine.</w:t>
      </w:r>
    </w:p>
    <w:p w14:paraId="4D40644D"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The exclusion of Transjordan set the groundwork for a series of disastrous consequences:</w:t>
      </w:r>
    </w:p>
    <w:p w14:paraId="3A54BABC" w14:textId="77777777" w:rsidR="007664A5" w:rsidRPr="007664A5" w:rsidRDefault="007664A5" w:rsidP="007664A5">
      <w:pPr>
        <w:numPr>
          <w:ilvl w:val="0"/>
          <w:numId w:val="2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Drastic Reduction of Territory for Jewish and Arab States:</w:t>
      </w:r>
      <w:r w:rsidRPr="007664A5">
        <w:rPr>
          <w:rFonts w:ascii="Times New Roman" w:eastAsia="Times New Roman" w:hAnsi="Times New Roman" w:cs="Times New Roman"/>
          <w:kern w:val="0"/>
          <w:sz w:val="24"/>
          <w:szCs w:val="24"/>
          <w14:ligatures w14:val="none"/>
        </w:rPr>
        <w:t xml:space="preserve"> By removing Transjordan from the territory designated for a potential Jewish homeland, the British reduced the available area for both Jewish and Arab communities by roughly 77%. This left only 23% of the original mandate land to be divided between Jews and Arabs, creating a situation where it was nearly impossible for either side to establish a viable state. This limited space fueled intense competition and conflict, setting up both communities for a prolonged struggle over the remaining land.</w:t>
      </w:r>
    </w:p>
    <w:p w14:paraId="5F8C9330" w14:textId="77777777" w:rsidR="007664A5" w:rsidRPr="007664A5" w:rsidRDefault="007664A5" w:rsidP="007664A5">
      <w:pPr>
        <w:numPr>
          <w:ilvl w:val="0"/>
          <w:numId w:val="2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Deepening Distrust Among Jewish Leaders:</w:t>
      </w:r>
      <w:r w:rsidRPr="007664A5">
        <w:rPr>
          <w:rFonts w:ascii="Times New Roman" w:eastAsia="Times New Roman" w:hAnsi="Times New Roman" w:cs="Times New Roman"/>
          <w:kern w:val="0"/>
          <w:sz w:val="24"/>
          <w:szCs w:val="24"/>
          <w14:ligatures w14:val="none"/>
        </w:rPr>
        <w:t xml:space="preserve"> The decision to exclude Transjordan from the territory promised in the Balfour Declaration was viewed by Jewish leaders as a severe betrayal. Figures like Chaim Weizmann and David Ben-Gurion argued that this move drastically undermined the prospects for a secure and sustainable Jewish state. The exclusion intensified Jewish distrust of British intentions and increased the determination to fight for every remaining piece of the mandate territory, making conflict all but inevitable.</w:t>
      </w:r>
    </w:p>
    <w:p w14:paraId="2EF790EC" w14:textId="77777777" w:rsidR="007664A5" w:rsidRPr="007664A5" w:rsidRDefault="007664A5" w:rsidP="007664A5">
      <w:pPr>
        <w:numPr>
          <w:ilvl w:val="0"/>
          <w:numId w:val="2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Escalating Arab Opposition and Tensions:</w:t>
      </w:r>
      <w:r w:rsidRPr="007664A5">
        <w:rPr>
          <w:rFonts w:ascii="Times New Roman" w:eastAsia="Times New Roman" w:hAnsi="Times New Roman" w:cs="Times New Roman"/>
          <w:kern w:val="0"/>
          <w:sz w:val="24"/>
          <w:szCs w:val="24"/>
          <w14:ligatures w14:val="none"/>
        </w:rPr>
        <w:t xml:space="preserve"> Rather than satisfying Arab demands, the exclusion of Transjordan heightened Arab resentment and opposition. Many Arab leaders saw the move as a colonial ploy to fragment their potential state and undermine their claims. With less land available, the continued Jewish immigration and settlement in the remaining territory became a flashpoint for conflict, further inflaming tensions and resistance, and making peaceful coexistence increasingly unlikely.</w:t>
      </w:r>
    </w:p>
    <w:p w14:paraId="6A7F8A91" w14:textId="77777777" w:rsidR="007664A5" w:rsidRPr="007664A5" w:rsidRDefault="007664A5" w:rsidP="007664A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7664A5">
        <w:rPr>
          <w:rFonts w:ascii="Times New Roman" w:eastAsia="Times New Roman" w:hAnsi="Times New Roman" w:cs="Times New Roman"/>
          <w:b/>
          <w:bCs/>
          <w:kern w:val="0"/>
          <w:sz w:val="20"/>
          <w:szCs w:val="20"/>
          <w14:ligatures w14:val="none"/>
        </w:rPr>
        <w:t>A Decision That Haunted British Policy: Perpetual Conflict and Mistrust</w:t>
      </w:r>
    </w:p>
    <w:p w14:paraId="39F3DEE7" w14:textId="77777777" w:rsidR="007664A5" w:rsidRPr="007664A5" w:rsidRDefault="007664A5" w:rsidP="007664A5">
      <w:pPr>
        <w:numPr>
          <w:ilvl w:val="0"/>
          <w:numId w:val="2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An Ongoing Source of Conflict:</w:t>
      </w:r>
      <w:r w:rsidRPr="007664A5">
        <w:rPr>
          <w:rFonts w:ascii="Times New Roman" w:eastAsia="Times New Roman" w:hAnsi="Times New Roman" w:cs="Times New Roman"/>
          <w:kern w:val="0"/>
          <w:sz w:val="24"/>
          <w:szCs w:val="24"/>
          <w14:ligatures w14:val="none"/>
        </w:rPr>
        <w:t xml:space="preserve"> The decision to carve out Transjordan haunted British policy throughout their mandate in Palestine. By drastically reducing the land available for both Jews and Arabs, the British effectively set up a situation ripe for conflict. Jewish communities felt cheated out of a significant portion of the land they had been promised, while Arabs viewed Jewish immigration as a direct threat to their diminished claims. This </w:t>
      </w:r>
      <w:r w:rsidRPr="007664A5">
        <w:rPr>
          <w:rFonts w:ascii="Times New Roman" w:eastAsia="Times New Roman" w:hAnsi="Times New Roman" w:cs="Times New Roman"/>
          <w:kern w:val="0"/>
          <w:sz w:val="24"/>
          <w:szCs w:val="24"/>
          <w14:ligatures w14:val="none"/>
        </w:rPr>
        <w:lastRenderedPageBreak/>
        <w:t>environment fostered ongoing violence and resistance, creating a constant headache for British administrators trying to maintain order.</w:t>
      </w:r>
    </w:p>
    <w:p w14:paraId="5BBB11EB" w14:textId="77777777" w:rsidR="007664A5" w:rsidRPr="007664A5" w:rsidRDefault="007664A5" w:rsidP="007664A5">
      <w:pPr>
        <w:numPr>
          <w:ilvl w:val="0"/>
          <w:numId w:val="2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Undermining British Credibility:</w:t>
      </w:r>
      <w:r w:rsidRPr="007664A5">
        <w:rPr>
          <w:rFonts w:ascii="Times New Roman" w:eastAsia="Times New Roman" w:hAnsi="Times New Roman" w:cs="Times New Roman"/>
          <w:kern w:val="0"/>
          <w:sz w:val="24"/>
          <w:szCs w:val="24"/>
          <w14:ligatures w14:val="none"/>
        </w:rPr>
        <w:t xml:space="preserve"> The exclusion of Transjordan damaged British credibility on both sides. To Jews, it was seen as a broken promise that undercut their hopes for a national home; to Arabs, it was another example of British manipulation and self-interest. Both sides came to see British policies as duplicitous, making it difficult for Britain to broker peace or negotiate any compromise with confidence.</w:t>
      </w:r>
    </w:p>
    <w:p w14:paraId="32AB4195" w14:textId="77777777" w:rsidR="007664A5" w:rsidRPr="007664A5" w:rsidRDefault="007664A5" w:rsidP="007664A5">
      <w:pPr>
        <w:numPr>
          <w:ilvl w:val="0"/>
          <w:numId w:val="2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Complicating Regional Dynamics and British Strategy:</w:t>
      </w:r>
      <w:r w:rsidRPr="007664A5">
        <w:rPr>
          <w:rFonts w:ascii="Times New Roman" w:eastAsia="Times New Roman" w:hAnsi="Times New Roman" w:cs="Times New Roman"/>
          <w:kern w:val="0"/>
          <w:sz w:val="24"/>
          <w:szCs w:val="24"/>
          <w14:ligatures w14:val="none"/>
        </w:rPr>
        <w:t xml:space="preserve"> The creation of Transjordan complicated British efforts to manage the broader regional dynamics. As an independent entity under King Abdullah, Transjordan pursued its own political objectives, which sometimes aligned with British interests but often conflicted with broader Arab nationalist movements. This made it even more difficult for the British to manage tensions between Jews and Arabs in the remaining mandate territory and highlighted the impossibility of reconciling these competing interests.</w:t>
      </w:r>
    </w:p>
    <w:p w14:paraId="6EFFC978" w14:textId="77777777" w:rsidR="007664A5" w:rsidRPr="007664A5" w:rsidRDefault="007664A5" w:rsidP="007664A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664A5">
        <w:rPr>
          <w:rFonts w:ascii="Times New Roman" w:eastAsia="Times New Roman" w:hAnsi="Times New Roman" w:cs="Times New Roman"/>
          <w:b/>
          <w:bCs/>
          <w:kern w:val="0"/>
          <w:sz w:val="24"/>
          <w:szCs w:val="24"/>
          <w14:ligatures w14:val="none"/>
        </w:rPr>
        <w:t>British Policies During the Holocaust: Restricting Jewish Immigration and Compounding the Crisis</w:t>
      </w:r>
    </w:p>
    <w:p w14:paraId="65E0E05A" w14:textId="77777777" w:rsidR="007664A5" w:rsidRPr="007664A5" w:rsidRDefault="007664A5" w:rsidP="007664A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7664A5">
        <w:rPr>
          <w:rFonts w:ascii="Times New Roman" w:eastAsia="Times New Roman" w:hAnsi="Times New Roman" w:cs="Times New Roman"/>
          <w:b/>
          <w:bCs/>
          <w:kern w:val="0"/>
          <w:sz w:val="20"/>
          <w:szCs w:val="20"/>
          <w14:ligatures w14:val="none"/>
        </w:rPr>
        <w:t>The White Paper of 1939: A Policy Rooted in the Exclusion of Transjordan</w:t>
      </w:r>
    </w:p>
    <w:p w14:paraId="7F0BBBED"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On the eve of World War II, the British government issued the White Paper of 1939, severely limiting Jewish immigration to Palestine. This policy, a direct response to the Arab Revolt of 1936-1939, capped Jewish immigration at 75,000 over five years and required Arab consent for any further immigration. The White Paper effectively shut the door to Jewish refugees fleeing Nazi persecution.</w:t>
      </w:r>
    </w:p>
    <w:p w14:paraId="00356E22"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This restriction was fundamentally tied to the earlier decision to carve out Transjordan. With Transjordan excluded from the territory available for a Jewish homeland, there was less land to accommodate Jewish refugees. This limited space, coupled with fears of escalating Jewish-Arab conflict, led the British to impose stringent immigration restrictions, just as Jews faced extermination in Europe, compounding the disaster of the Holocaust.</w:t>
      </w:r>
    </w:p>
    <w:p w14:paraId="1CCECBB8" w14:textId="77777777" w:rsidR="007664A5" w:rsidRPr="007664A5" w:rsidRDefault="007664A5" w:rsidP="007664A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7664A5">
        <w:rPr>
          <w:rFonts w:ascii="Times New Roman" w:eastAsia="Times New Roman" w:hAnsi="Times New Roman" w:cs="Times New Roman"/>
          <w:b/>
          <w:bCs/>
          <w:kern w:val="0"/>
          <w:sz w:val="20"/>
          <w:szCs w:val="20"/>
          <w14:ligatures w14:val="none"/>
        </w:rPr>
        <w:t>Turning Away Ships and Global Indifference: The Human Cost of Restrictive Policies</w:t>
      </w:r>
    </w:p>
    <w:p w14:paraId="446A229E" w14:textId="77777777" w:rsidR="007664A5" w:rsidRPr="007664A5" w:rsidRDefault="007664A5" w:rsidP="007664A5">
      <w:pPr>
        <w:numPr>
          <w:ilvl w:val="0"/>
          <w:numId w:val="2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Tragic Incidents: The Struma, Patria, and Exodus:</w:t>
      </w:r>
      <w:r w:rsidRPr="007664A5">
        <w:rPr>
          <w:rFonts w:ascii="Times New Roman" w:eastAsia="Times New Roman" w:hAnsi="Times New Roman" w:cs="Times New Roman"/>
          <w:kern w:val="0"/>
          <w:sz w:val="24"/>
          <w:szCs w:val="24"/>
          <w14:ligatures w14:val="none"/>
        </w:rPr>
        <w:t xml:space="preserve"> The tragedies of the Struma (1942), Patria (1940), and Exodus (1947) illustrate the dire consequences of British policies that stemmed from the exclusion of Transjordan. In each case, ships carrying Jewish refugees were intercepted, detained, or returned to Europe, directly resulting in the deaths of thousands who might have otherwise found safety in Palestine.</w:t>
      </w:r>
    </w:p>
    <w:p w14:paraId="36BEE848" w14:textId="77777777" w:rsidR="007664A5" w:rsidRPr="007664A5" w:rsidRDefault="007664A5" w:rsidP="007664A5">
      <w:pPr>
        <w:numPr>
          <w:ilvl w:val="0"/>
          <w:numId w:val="2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Global Indifference and Refusal to Help Jewish Refugees:</w:t>
      </w:r>
      <w:r w:rsidRPr="007664A5">
        <w:rPr>
          <w:rFonts w:ascii="Times New Roman" w:eastAsia="Times New Roman" w:hAnsi="Times New Roman" w:cs="Times New Roman"/>
          <w:kern w:val="0"/>
          <w:sz w:val="24"/>
          <w:szCs w:val="24"/>
          <w14:ligatures w14:val="none"/>
        </w:rPr>
        <w:t xml:space="preserve"> The international community’s reluctance to accept Jewish refugees, exemplified by the Evian Conference of 1938 and the rejection of the St. Louis in 1939, compounded the failures of British policy. The exclusion of Transjordan had already constrained Jewish immigration to Palestine, leaving Jews with few places to turn during the Holocaust.</w:t>
      </w:r>
    </w:p>
    <w:p w14:paraId="54E1E6AD" w14:textId="77777777" w:rsidR="007664A5" w:rsidRPr="007664A5" w:rsidRDefault="007664A5" w:rsidP="007664A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664A5">
        <w:rPr>
          <w:rFonts w:ascii="Times New Roman" w:eastAsia="Times New Roman" w:hAnsi="Times New Roman" w:cs="Times New Roman"/>
          <w:b/>
          <w:bCs/>
          <w:kern w:val="0"/>
          <w:sz w:val="24"/>
          <w:szCs w:val="24"/>
          <w14:ligatures w14:val="none"/>
        </w:rPr>
        <w:t>Jewish Resistance: A Struggle Against British and Arab Forces</w:t>
      </w:r>
    </w:p>
    <w:p w14:paraId="795B507D" w14:textId="77777777" w:rsidR="007664A5" w:rsidRPr="007664A5" w:rsidRDefault="007664A5" w:rsidP="007664A5">
      <w:pPr>
        <w:numPr>
          <w:ilvl w:val="0"/>
          <w:numId w:val="2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lastRenderedPageBreak/>
        <w:t>Jewish Armed Resistance:</w:t>
      </w:r>
      <w:r w:rsidRPr="007664A5">
        <w:rPr>
          <w:rFonts w:ascii="Times New Roman" w:eastAsia="Times New Roman" w:hAnsi="Times New Roman" w:cs="Times New Roman"/>
          <w:kern w:val="0"/>
          <w:sz w:val="24"/>
          <w:szCs w:val="24"/>
          <w14:ligatures w14:val="none"/>
        </w:rPr>
        <w:t xml:space="preserve"> Jewish paramilitary organizations like </w:t>
      </w:r>
      <w:proofErr w:type="spellStart"/>
      <w:r w:rsidRPr="007664A5">
        <w:rPr>
          <w:rFonts w:ascii="Times New Roman" w:eastAsia="Times New Roman" w:hAnsi="Times New Roman" w:cs="Times New Roman"/>
          <w:kern w:val="0"/>
          <w:sz w:val="24"/>
          <w:szCs w:val="24"/>
          <w14:ligatures w14:val="none"/>
        </w:rPr>
        <w:t>Haganah</w:t>
      </w:r>
      <w:proofErr w:type="spellEnd"/>
      <w:r w:rsidRPr="007664A5">
        <w:rPr>
          <w:rFonts w:ascii="Times New Roman" w:eastAsia="Times New Roman" w:hAnsi="Times New Roman" w:cs="Times New Roman"/>
          <w:kern w:val="0"/>
          <w:sz w:val="24"/>
          <w:szCs w:val="24"/>
          <w14:ligatures w14:val="none"/>
        </w:rPr>
        <w:t>, Irgun, and Lehi escalated their actions against British authorities, employing sabotage, bombings, and clandestine immigration operations to defy British policies and bring Jewish refugees to Palestine. These efforts were a direct response to the shrinking territory for a Jewish homeland caused by the exclusion of Transjordan.</w:t>
      </w:r>
    </w:p>
    <w:p w14:paraId="3F2BBCDA" w14:textId="77777777" w:rsidR="007664A5" w:rsidRPr="007664A5" w:rsidRDefault="007664A5" w:rsidP="007664A5">
      <w:pPr>
        <w:numPr>
          <w:ilvl w:val="0"/>
          <w:numId w:val="2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b/>
          <w:bCs/>
          <w:kern w:val="0"/>
          <w:sz w:val="24"/>
          <w:szCs w:val="24"/>
          <w14:ligatures w14:val="none"/>
        </w:rPr>
        <w:t>Arab Resistance and the Fight for Control:</w:t>
      </w:r>
      <w:r w:rsidRPr="007664A5">
        <w:rPr>
          <w:rFonts w:ascii="Times New Roman" w:eastAsia="Times New Roman" w:hAnsi="Times New Roman" w:cs="Times New Roman"/>
          <w:kern w:val="0"/>
          <w:sz w:val="24"/>
          <w:szCs w:val="24"/>
          <w14:ligatures w14:val="none"/>
        </w:rPr>
        <w:t xml:space="preserve"> Arab militias and leaders ramped up their opposition to Jewish immigration, launching strikes, attacks, and uprisings against Jewish communities and British forces. The exclusion of Transjordan did not alleviate these tensions but concentrated them within the remaining territory, leading to greater violence and conflict.</w:t>
      </w:r>
    </w:p>
    <w:p w14:paraId="0BF8D156" w14:textId="77777777" w:rsidR="007664A5" w:rsidRPr="007664A5" w:rsidRDefault="007664A5" w:rsidP="007664A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664A5">
        <w:rPr>
          <w:rFonts w:ascii="Times New Roman" w:eastAsia="Times New Roman" w:hAnsi="Times New Roman" w:cs="Times New Roman"/>
          <w:b/>
          <w:bCs/>
          <w:kern w:val="0"/>
          <w:sz w:val="24"/>
          <w:szCs w:val="24"/>
          <w14:ligatures w14:val="none"/>
        </w:rPr>
        <w:t>The British Withdrawal: Leaving a Region Destined to Explode</w:t>
      </w:r>
    </w:p>
    <w:p w14:paraId="6383976C" w14:textId="77777777" w:rsidR="007664A5" w:rsidRPr="007664A5" w:rsidRDefault="007664A5" w:rsidP="007664A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7664A5">
        <w:rPr>
          <w:rFonts w:ascii="Times New Roman" w:eastAsia="Times New Roman" w:hAnsi="Times New Roman" w:cs="Times New Roman"/>
          <w:b/>
          <w:bCs/>
          <w:kern w:val="0"/>
          <w:sz w:val="20"/>
          <w:szCs w:val="20"/>
          <w14:ligatures w14:val="none"/>
        </w:rPr>
        <w:t>A Policy Pathway to Chaos</w:t>
      </w:r>
    </w:p>
    <w:p w14:paraId="4A54F981"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The British decision to carve out Transjordan from the mandate territory set up the conditions for disaster before, during, and after the Holocaust. By significantly reducing the land available for Jews and Arabs, Britain created an environment in which both communities were forced into a zero-sum conflict over the remaining territory. As a result, both Jews and Arabs felt betrayed and marginalized, leading to a volatile and explosive situation that would continue to define the region for decades to come.</w:t>
      </w:r>
    </w:p>
    <w:p w14:paraId="38F49996" w14:textId="77777777" w:rsidR="007664A5" w:rsidRPr="007664A5" w:rsidRDefault="007664A5" w:rsidP="007664A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664A5">
        <w:rPr>
          <w:rFonts w:ascii="Times New Roman" w:eastAsia="Times New Roman" w:hAnsi="Times New Roman" w:cs="Times New Roman"/>
          <w:b/>
          <w:bCs/>
          <w:kern w:val="0"/>
          <w:sz w:val="24"/>
          <w:szCs w:val="24"/>
          <w14:ligatures w14:val="none"/>
        </w:rPr>
        <w:t>Conclusion: A Legacy of Conflict and Distrust</w:t>
      </w:r>
    </w:p>
    <w:p w14:paraId="1AB4F386" w14:textId="77777777" w:rsidR="007664A5" w:rsidRPr="007664A5" w:rsidRDefault="007664A5" w:rsidP="007664A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664A5">
        <w:rPr>
          <w:rFonts w:ascii="Times New Roman" w:eastAsia="Times New Roman" w:hAnsi="Times New Roman" w:cs="Times New Roman"/>
          <w:kern w:val="0"/>
          <w:sz w:val="24"/>
          <w:szCs w:val="24"/>
          <w14:ligatures w14:val="none"/>
        </w:rPr>
        <w:t>The British policies during their mandate, particularly the decision to carve out Transjordan, had far-reaching consequences that continue to affect the Middle East. By restricting the land available for a Jewish and Arab state, Britain exacerbated tensions, fostered mutual distrust, and set the stage for an enduring conflict. The Holocaust only intensified the desperation for a Jewish homeland, highlighting the tragic consequences of a world indifferent to Jewish suffering and a British policy that prioritized strategic interests over humanitarian needs. The legacy of these decisions remains a fundamental factor in the continuing Israeli-Palestinian conflict, demonstrating the long-term impact of colonial manipulation and broken promises.</w:t>
      </w:r>
    </w:p>
    <w:p w14:paraId="580C3E20" w14:textId="77777777" w:rsidR="0038365D" w:rsidRPr="0038365D" w:rsidRDefault="0038365D" w:rsidP="0038365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8365D">
        <w:rPr>
          <w:rFonts w:ascii="Times New Roman" w:eastAsia="Times New Roman" w:hAnsi="Times New Roman" w:cs="Times New Roman"/>
          <w:b/>
          <w:bCs/>
          <w:kern w:val="0"/>
          <w:sz w:val="27"/>
          <w:szCs w:val="27"/>
          <w14:ligatures w14:val="none"/>
        </w:rPr>
        <w:t>Chapter 6: Failed Promises and the Birth of the State of Israel</w:t>
      </w:r>
    </w:p>
    <w:p w14:paraId="68B82697"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Introduction</w:t>
      </w:r>
    </w:p>
    <w:p w14:paraId="7BAD6E4E" w14:textId="77777777" w:rsidR="0038365D" w:rsidRPr="0038365D" w:rsidRDefault="0038365D" w:rsidP="003836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kern w:val="0"/>
          <w:sz w:val="24"/>
          <w:szCs w:val="24"/>
          <w14:ligatures w14:val="none"/>
        </w:rPr>
        <w:t xml:space="preserve">Following the carving out of Transjordan and the increased tensions between Jewish and Arab communities in Palestine, the aftermath of World War II brought new challenges and shifting dynamics to the British Mandate. This chapter explores the historical context of British policy in Palestine after the war, the failed promises that characterized Britain's attempts to resolve the conflicting demands of Jews and Arabs, and the key events that led to the birth of the State of Israel and the subsequent 1948 </w:t>
      </w:r>
      <w:proofErr w:type="gramStart"/>
      <w:r w:rsidRPr="0038365D">
        <w:rPr>
          <w:rFonts w:ascii="Times New Roman" w:eastAsia="Times New Roman" w:hAnsi="Times New Roman" w:cs="Times New Roman"/>
          <w:kern w:val="0"/>
          <w:sz w:val="24"/>
          <w:szCs w:val="24"/>
          <w14:ligatures w14:val="none"/>
        </w:rPr>
        <w:t>Arab-Israeli</w:t>
      </w:r>
      <w:proofErr w:type="gramEnd"/>
      <w:r w:rsidRPr="0038365D">
        <w:rPr>
          <w:rFonts w:ascii="Times New Roman" w:eastAsia="Times New Roman" w:hAnsi="Times New Roman" w:cs="Times New Roman"/>
          <w:kern w:val="0"/>
          <w:sz w:val="24"/>
          <w:szCs w:val="24"/>
          <w14:ligatures w14:val="none"/>
        </w:rPr>
        <w:t xml:space="preserve"> War.</w:t>
      </w:r>
    </w:p>
    <w:p w14:paraId="476DA56A"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Historical Context: Aftermath of World War II and Growing Demands for Statehood</w:t>
      </w:r>
    </w:p>
    <w:p w14:paraId="546FAFBE" w14:textId="77777777" w:rsidR="0038365D" w:rsidRPr="0038365D" w:rsidRDefault="0038365D" w:rsidP="0038365D">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8365D">
        <w:rPr>
          <w:rFonts w:ascii="Times New Roman" w:eastAsia="Times New Roman" w:hAnsi="Times New Roman" w:cs="Times New Roman"/>
          <w:b/>
          <w:bCs/>
          <w:kern w:val="0"/>
          <w:sz w:val="20"/>
          <w:szCs w:val="20"/>
          <w14:ligatures w14:val="none"/>
        </w:rPr>
        <w:t>Impact of World War II on British Policy in Palestine:</w:t>
      </w:r>
    </w:p>
    <w:p w14:paraId="5BB5FCDD" w14:textId="77777777" w:rsidR="0038365D" w:rsidRPr="0038365D" w:rsidRDefault="0038365D" w:rsidP="0038365D">
      <w:pPr>
        <w:numPr>
          <w:ilvl w:val="0"/>
          <w:numId w:val="2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lastRenderedPageBreak/>
        <w:t>Post-War Realities and Changing Global Dynamics:</w:t>
      </w:r>
      <w:r w:rsidRPr="0038365D">
        <w:rPr>
          <w:rFonts w:ascii="Times New Roman" w:eastAsia="Times New Roman" w:hAnsi="Times New Roman" w:cs="Times New Roman"/>
          <w:kern w:val="0"/>
          <w:sz w:val="24"/>
          <w:szCs w:val="24"/>
          <w14:ligatures w14:val="none"/>
        </w:rPr>
        <w:t xml:space="preserve"> The end of World War II in 1945 marked the beginning of a new global order. Britain, economically and militarily weakened, struggled to maintain its colonial empire, while the United States and the Soviet Union emerged as superpowers advocating for decolonization and self-determination. Amid these shifting global dynamics, Britain faced mounting pressure to resolve the conflict in Palestine, where both Jewish and Arab communities were intensifying their demands for statehood.</w:t>
      </w:r>
    </w:p>
    <w:p w14:paraId="6FB29940" w14:textId="77777777" w:rsidR="0038365D" w:rsidRPr="0038365D" w:rsidRDefault="0038365D" w:rsidP="0038365D">
      <w:pPr>
        <w:numPr>
          <w:ilvl w:val="0"/>
          <w:numId w:val="2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Intensified Jewish Demands for Statehood:</w:t>
      </w:r>
      <w:r w:rsidRPr="0038365D">
        <w:rPr>
          <w:rFonts w:ascii="Times New Roman" w:eastAsia="Times New Roman" w:hAnsi="Times New Roman" w:cs="Times New Roman"/>
          <w:kern w:val="0"/>
          <w:sz w:val="24"/>
          <w:szCs w:val="24"/>
          <w14:ligatures w14:val="none"/>
        </w:rPr>
        <w:t xml:space="preserve"> The Holocaust, which resulted in the murder of six million Jews, galvanized Jewish calls for a national homeland that could provide refuge and security. This demand gained widespread sympathy in the United States and Europe. Many Holocaust survivors sought to immigrate to Palestine, viewing it as their ancestral homeland and a place to rebuild their lives. Zionist leaders like David Ben-Gurion pressed for the immediate establishment of a Jewish state, asserting that Jewish survival depended on having a sovereign homeland.</w:t>
      </w:r>
    </w:p>
    <w:p w14:paraId="31AE2CD4" w14:textId="77777777" w:rsidR="0038365D" w:rsidRPr="0038365D" w:rsidRDefault="0038365D" w:rsidP="0038365D">
      <w:pPr>
        <w:numPr>
          <w:ilvl w:val="0"/>
          <w:numId w:val="2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Arab Opposition and Rising Nationalism:</w:t>
      </w:r>
      <w:r w:rsidRPr="0038365D">
        <w:rPr>
          <w:rFonts w:ascii="Times New Roman" w:eastAsia="Times New Roman" w:hAnsi="Times New Roman" w:cs="Times New Roman"/>
          <w:kern w:val="0"/>
          <w:sz w:val="24"/>
          <w:szCs w:val="24"/>
          <w14:ligatures w14:val="none"/>
        </w:rPr>
        <w:t xml:space="preserve"> Arab leaders and communities in Palestine and the broader region vehemently opposed the establishment of a Jewish state, which they saw as a violation of their rights and aspirations. They argued that a Jewish state would displace the indigenous Arab population and alter the region's demographic and political landscape. The Arab League, founded in 1945, rejected any attempt to establish a Jewish state in Palestine, viewing it as an extension of European colonialism and vowing to resist </w:t>
      </w:r>
      <w:proofErr w:type="gramStart"/>
      <w:r w:rsidRPr="0038365D">
        <w:rPr>
          <w:rFonts w:ascii="Times New Roman" w:eastAsia="Times New Roman" w:hAnsi="Times New Roman" w:cs="Times New Roman"/>
          <w:kern w:val="0"/>
          <w:sz w:val="24"/>
          <w:szCs w:val="24"/>
          <w14:ligatures w14:val="none"/>
        </w:rPr>
        <w:t>it by all means</w:t>
      </w:r>
      <w:proofErr w:type="gramEnd"/>
      <w:r w:rsidRPr="0038365D">
        <w:rPr>
          <w:rFonts w:ascii="Times New Roman" w:eastAsia="Times New Roman" w:hAnsi="Times New Roman" w:cs="Times New Roman"/>
          <w:kern w:val="0"/>
          <w:sz w:val="24"/>
          <w:szCs w:val="24"/>
          <w14:ligatures w14:val="none"/>
        </w:rPr>
        <w:t>.</w:t>
      </w:r>
    </w:p>
    <w:p w14:paraId="01FA8F2C"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British Policy and the Growing Crisis</w:t>
      </w:r>
    </w:p>
    <w:p w14:paraId="04532969" w14:textId="77777777" w:rsidR="0038365D" w:rsidRPr="0038365D" w:rsidRDefault="0038365D" w:rsidP="0038365D">
      <w:pPr>
        <w:numPr>
          <w:ilvl w:val="0"/>
          <w:numId w:val="2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Struggle to Maintain Control:</w:t>
      </w:r>
      <w:r w:rsidRPr="0038365D">
        <w:rPr>
          <w:rFonts w:ascii="Times New Roman" w:eastAsia="Times New Roman" w:hAnsi="Times New Roman" w:cs="Times New Roman"/>
          <w:kern w:val="0"/>
          <w:sz w:val="24"/>
          <w:szCs w:val="24"/>
          <w14:ligatures w14:val="none"/>
        </w:rPr>
        <w:t xml:space="preserve"> Faced with competing demands and escalating unrest, Britain struggled to maintain control over Palestine. The post-war period saw a surge in Jewish immigration, much of it illegal, as Jews fled war-torn Europe. Britain enforced the 1939 White Paper quotas, limiting Jewish immigration to 75,000 over five years. The interception and deportation of ships carrying Jewish refugees sparked international outrage and intensified resistance from the Jewish community in Palestine.</w:t>
      </w:r>
    </w:p>
    <w:p w14:paraId="05684AE3" w14:textId="77777777" w:rsidR="0038365D" w:rsidRPr="0038365D" w:rsidRDefault="0038365D" w:rsidP="0038365D">
      <w:pPr>
        <w:numPr>
          <w:ilvl w:val="0"/>
          <w:numId w:val="2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Escalating Violence and Insurgency:</w:t>
      </w:r>
      <w:r w:rsidRPr="0038365D">
        <w:rPr>
          <w:rFonts w:ascii="Times New Roman" w:eastAsia="Times New Roman" w:hAnsi="Times New Roman" w:cs="Times New Roman"/>
          <w:kern w:val="0"/>
          <w:sz w:val="24"/>
          <w:szCs w:val="24"/>
          <w14:ligatures w14:val="none"/>
        </w:rPr>
        <w:t xml:space="preserve"> By the mid-1940s, Palestine had become increasingly volatile. Jewish paramilitary groups, such as the </w:t>
      </w:r>
      <w:proofErr w:type="spellStart"/>
      <w:r w:rsidRPr="0038365D">
        <w:rPr>
          <w:rFonts w:ascii="Times New Roman" w:eastAsia="Times New Roman" w:hAnsi="Times New Roman" w:cs="Times New Roman"/>
          <w:kern w:val="0"/>
          <w:sz w:val="24"/>
          <w:szCs w:val="24"/>
          <w14:ligatures w14:val="none"/>
        </w:rPr>
        <w:t>Haganah</w:t>
      </w:r>
      <w:proofErr w:type="spellEnd"/>
      <w:r w:rsidRPr="0038365D">
        <w:rPr>
          <w:rFonts w:ascii="Times New Roman" w:eastAsia="Times New Roman" w:hAnsi="Times New Roman" w:cs="Times New Roman"/>
          <w:kern w:val="0"/>
          <w:sz w:val="24"/>
          <w:szCs w:val="24"/>
          <w14:ligatures w14:val="none"/>
        </w:rPr>
        <w:t>, Irgun, and Lehi, stepped up attacks against British targets to resist British rule and facilitate Jewish immigration. The bombing of the King David Hotel in Jerusalem in July 1946, which killed 91 people, marked one of the deadliest attacks against British authority. Meanwhile, Arab militias prepared for a potential confrontation over Palestine's future. The British were caught between two increasingly militant nationalist movements, unable to impose order or negotiate a diplomatic solution.</w:t>
      </w:r>
    </w:p>
    <w:p w14:paraId="0D0D913E"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Failed Promises: Analysis of Partition Plans and Britain’s Diplomatic Failures</w:t>
      </w:r>
    </w:p>
    <w:p w14:paraId="5C89B73D" w14:textId="77777777" w:rsidR="0038365D" w:rsidRPr="0038365D" w:rsidRDefault="0038365D" w:rsidP="0038365D">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8365D">
        <w:rPr>
          <w:rFonts w:ascii="Times New Roman" w:eastAsia="Times New Roman" w:hAnsi="Times New Roman" w:cs="Times New Roman"/>
          <w:b/>
          <w:bCs/>
          <w:kern w:val="0"/>
          <w:sz w:val="20"/>
          <w:szCs w:val="20"/>
          <w14:ligatures w14:val="none"/>
        </w:rPr>
        <w:t>The Morrison-Grady Plan (1946):</w:t>
      </w:r>
    </w:p>
    <w:p w14:paraId="2A478F8B" w14:textId="77777777" w:rsidR="0038365D" w:rsidRPr="0038365D" w:rsidRDefault="0038365D" w:rsidP="0038365D">
      <w:pPr>
        <w:numPr>
          <w:ilvl w:val="0"/>
          <w:numId w:val="2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Proposal for Federal Partition:</w:t>
      </w:r>
      <w:r w:rsidRPr="0038365D">
        <w:rPr>
          <w:rFonts w:ascii="Times New Roman" w:eastAsia="Times New Roman" w:hAnsi="Times New Roman" w:cs="Times New Roman"/>
          <w:kern w:val="0"/>
          <w:sz w:val="24"/>
          <w:szCs w:val="24"/>
          <w14:ligatures w14:val="none"/>
        </w:rPr>
        <w:t xml:space="preserve"> In response to escalating violence and international pressure, Britain proposed the Morrison-Grady Plan in 1946, advocating for a federal solution that would divide Palestine into Jewish and Arab provinces, with Jerusalem under British control. This plan aimed to provide limited self-governance while maintaining overall British authority.</w:t>
      </w:r>
    </w:p>
    <w:p w14:paraId="165AA3BC" w14:textId="77777777" w:rsidR="0038365D" w:rsidRPr="0038365D" w:rsidRDefault="0038365D" w:rsidP="0038365D">
      <w:pPr>
        <w:numPr>
          <w:ilvl w:val="0"/>
          <w:numId w:val="2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lastRenderedPageBreak/>
        <w:t>Rejection by Both Sides:</w:t>
      </w:r>
      <w:r w:rsidRPr="0038365D">
        <w:rPr>
          <w:rFonts w:ascii="Times New Roman" w:eastAsia="Times New Roman" w:hAnsi="Times New Roman" w:cs="Times New Roman"/>
          <w:kern w:val="0"/>
          <w:sz w:val="24"/>
          <w:szCs w:val="24"/>
          <w14:ligatures w14:val="none"/>
        </w:rPr>
        <w:t xml:space="preserve"> The Morrison-Grady Plan was rejected by both Jewish and Arab leadership. The Zionist movement viewed it as inadequate because it did not grant full independence or statehood and severely restricted Jewish settlement and immigration. The Arab leadership, represented by the Arab Higher Committee, opposed any partition and demanded full independence for an Arab state. The plan's failure highlighted the deep mistrust and uncompromising positions of both parties.</w:t>
      </w:r>
    </w:p>
    <w:p w14:paraId="2E482DC7" w14:textId="77777777" w:rsidR="0038365D" w:rsidRPr="0038365D" w:rsidRDefault="0038365D" w:rsidP="0038365D">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8365D">
        <w:rPr>
          <w:rFonts w:ascii="Times New Roman" w:eastAsia="Times New Roman" w:hAnsi="Times New Roman" w:cs="Times New Roman"/>
          <w:b/>
          <w:bCs/>
          <w:kern w:val="0"/>
          <w:sz w:val="20"/>
          <w:szCs w:val="20"/>
          <w14:ligatures w14:val="none"/>
        </w:rPr>
        <w:t>The United Nations Partition Plan (1947):</w:t>
      </w:r>
    </w:p>
    <w:p w14:paraId="2210F3E7" w14:textId="77777777" w:rsidR="0038365D" w:rsidRPr="0038365D" w:rsidRDefault="0038365D" w:rsidP="0038365D">
      <w:pPr>
        <w:numPr>
          <w:ilvl w:val="0"/>
          <w:numId w:val="2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Formation of UNSCOP:</w:t>
      </w:r>
      <w:r w:rsidRPr="0038365D">
        <w:rPr>
          <w:rFonts w:ascii="Times New Roman" w:eastAsia="Times New Roman" w:hAnsi="Times New Roman" w:cs="Times New Roman"/>
          <w:kern w:val="0"/>
          <w:sz w:val="24"/>
          <w:szCs w:val="24"/>
          <w14:ligatures w14:val="none"/>
        </w:rPr>
        <w:t xml:space="preserve"> As the situation in Palestine deteriorated, Britain announced in February 1947 that it would refer the matter to the United Nations. The UN formed the United Nations Special Committee on Palestine (UNSCOP), which included representatives from 11 member states to investigate and propose a solution. UNSCOP conducted extensive hearings in Palestine and visited displaced persons camps in Europe, gathering testimony from Jewish and Arab representatives.</w:t>
      </w:r>
    </w:p>
    <w:p w14:paraId="7F6998C4" w14:textId="77777777" w:rsidR="0038365D" w:rsidRPr="0038365D" w:rsidRDefault="0038365D" w:rsidP="0038365D">
      <w:pPr>
        <w:numPr>
          <w:ilvl w:val="0"/>
          <w:numId w:val="2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UNSCOP's Recommendations and the Partition Plan:</w:t>
      </w:r>
      <w:r w:rsidRPr="0038365D">
        <w:rPr>
          <w:rFonts w:ascii="Times New Roman" w:eastAsia="Times New Roman" w:hAnsi="Times New Roman" w:cs="Times New Roman"/>
          <w:kern w:val="0"/>
          <w:sz w:val="24"/>
          <w:szCs w:val="24"/>
          <w14:ligatures w14:val="none"/>
        </w:rPr>
        <w:t xml:space="preserve"> UNSCOP recommended partitioning Palestine into two independent states — one Jewish and one Arab — with Jerusalem under international administration. The Jewish state would encompass roughly 55% of the territory, including the Negev Desert, while the Arab state would cover about 45%, including the West Bank and Gaza Strip.</w:t>
      </w:r>
    </w:p>
    <w:p w14:paraId="11168BB8" w14:textId="77777777" w:rsidR="0038365D" w:rsidRPr="0038365D" w:rsidRDefault="0038365D" w:rsidP="0038365D">
      <w:pPr>
        <w:numPr>
          <w:ilvl w:val="0"/>
          <w:numId w:val="2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Jewish Acceptance and Arab Rejection:</w:t>
      </w:r>
      <w:r w:rsidRPr="0038365D">
        <w:rPr>
          <w:rFonts w:ascii="Times New Roman" w:eastAsia="Times New Roman" w:hAnsi="Times New Roman" w:cs="Times New Roman"/>
          <w:kern w:val="0"/>
          <w:sz w:val="24"/>
          <w:szCs w:val="24"/>
          <w14:ligatures w14:val="none"/>
        </w:rPr>
        <w:t xml:space="preserve"> The Jewish Agency, led by David Ben-Gurion, accepted the UN Partition Plan, viewing it as an opportunity for Jewish statehood despite concerns about borders and the exclusion of Jerusalem. The Arab leadership, however, categorically rejected the plan, arguing that it violated the rights of the Arab majority and favored the Jewish minority, which comprised about one-third of the population. The Arab League declared it would resist the </w:t>
      </w:r>
      <w:proofErr w:type="gramStart"/>
      <w:r w:rsidRPr="0038365D">
        <w:rPr>
          <w:rFonts w:ascii="Times New Roman" w:eastAsia="Times New Roman" w:hAnsi="Times New Roman" w:cs="Times New Roman"/>
          <w:kern w:val="0"/>
          <w:sz w:val="24"/>
          <w:szCs w:val="24"/>
          <w14:ligatures w14:val="none"/>
        </w:rPr>
        <w:t>plan by all means, including</w:t>
      </w:r>
      <w:proofErr w:type="gramEnd"/>
      <w:r w:rsidRPr="0038365D">
        <w:rPr>
          <w:rFonts w:ascii="Times New Roman" w:eastAsia="Times New Roman" w:hAnsi="Times New Roman" w:cs="Times New Roman"/>
          <w:kern w:val="0"/>
          <w:sz w:val="24"/>
          <w:szCs w:val="24"/>
          <w14:ligatures w14:val="none"/>
        </w:rPr>
        <w:t xml:space="preserve"> armed force.</w:t>
      </w:r>
    </w:p>
    <w:p w14:paraId="28FAD6B4"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Britain’s Diplomatic Failures and Withdrawal</w:t>
      </w:r>
    </w:p>
    <w:p w14:paraId="3A0B8E75" w14:textId="77777777" w:rsidR="0038365D" w:rsidRPr="0038365D" w:rsidRDefault="0038365D" w:rsidP="0038365D">
      <w:pPr>
        <w:numPr>
          <w:ilvl w:val="0"/>
          <w:numId w:val="2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Inability to Broker a Compromise:</w:t>
      </w:r>
      <w:r w:rsidRPr="0038365D">
        <w:rPr>
          <w:rFonts w:ascii="Times New Roman" w:eastAsia="Times New Roman" w:hAnsi="Times New Roman" w:cs="Times New Roman"/>
          <w:kern w:val="0"/>
          <w:sz w:val="24"/>
          <w:szCs w:val="24"/>
          <w14:ligatures w14:val="none"/>
        </w:rPr>
        <w:t xml:space="preserve"> Throughout its mandate, Britain failed to broker a compromise between Jews and Arabs. Caught between conflicting promises and geopolitical interests, British officials struggled to present a coherent policy that could satisfy both communities. Referring the matter to the United Nations reflected Britain's diplomatic failure to resolve the conflict or reconcile its commitments under the Balfour Declaration with the reality of Arab opposition.</w:t>
      </w:r>
    </w:p>
    <w:p w14:paraId="6864FAE3" w14:textId="77777777" w:rsidR="0038365D" w:rsidRPr="0038365D" w:rsidRDefault="0038365D" w:rsidP="0038365D">
      <w:pPr>
        <w:numPr>
          <w:ilvl w:val="0"/>
          <w:numId w:val="2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Loss of Credibility and Control:</w:t>
      </w:r>
      <w:r w:rsidRPr="0038365D">
        <w:rPr>
          <w:rFonts w:ascii="Times New Roman" w:eastAsia="Times New Roman" w:hAnsi="Times New Roman" w:cs="Times New Roman"/>
          <w:kern w:val="0"/>
          <w:sz w:val="24"/>
          <w:szCs w:val="24"/>
          <w14:ligatures w14:val="none"/>
        </w:rPr>
        <w:t xml:space="preserve"> By the late 1940s, Britain had lost credibility with both Jews and Arabs. Jews saw British restrictions on immigration and land purchases as a betrayal of the Balfour Declaration, while Arabs viewed Britain as a colonial power imposing a foreign entity on their land. Britain's inability to manage escalating violence and its withdrawal from India in 1947 signaled its decline as an imperial power and its diminishing role in global affairs.</w:t>
      </w:r>
    </w:p>
    <w:p w14:paraId="04F9D53F"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 xml:space="preserve">Birth of Israel: Events Leading to Establishment and the 1948 </w:t>
      </w:r>
      <w:proofErr w:type="gramStart"/>
      <w:r w:rsidRPr="0038365D">
        <w:rPr>
          <w:rFonts w:ascii="Times New Roman" w:eastAsia="Times New Roman" w:hAnsi="Times New Roman" w:cs="Times New Roman"/>
          <w:b/>
          <w:bCs/>
          <w:kern w:val="0"/>
          <w:sz w:val="24"/>
          <w:szCs w:val="24"/>
          <w14:ligatures w14:val="none"/>
        </w:rPr>
        <w:t>Arab-Israeli</w:t>
      </w:r>
      <w:proofErr w:type="gramEnd"/>
      <w:r w:rsidRPr="0038365D">
        <w:rPr>
          <w:rFonts w:ascii="Times New Roman" w:eastAsia="Times New Roman" w:hAnsi="Times New Roman" w:cs="Times New Roman"/>
          <w:b/>
          <w:bCs/>
          <w:kern w:val="0"/>
          <w:sz w:val="24"/>
          <w:szCs w:val="24"/>
          <w14:ligatures w14:val="none"/>
        </w:rPr>
        <w:t xml:space="preserve"> War</w:t>
      </w:r>
    </w:p>
    <w:p w14:paraId="7F76923F" w14:textId="77777777" w:rsidR="0038365D" w:rsidRPr="0038365D" w:rsidRDefault="0038365D" w:rsidP="0038365D">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8365D">
        <w:rPr>
          <w:rFonts w:ascii="Times New Roman" w:eastAsia="Times New Roman" w:hAnsi="Times New Roman" w:cs="Times New Roman"/>
          <w:b/>
          <w:bCs/>
          <w:kern w:val="0"/>
          <w:sz w:val="20"/>
          <w:szCs w:val="20"/>
          <w14:ligatures w14:val="none"/>
        </w:rPr>
        <w:t>Decision to End the Mandate and Path to Statehood</w:t>
      </w:r>
    </w:p>
    <w:p w14:paraId="02D57C38" w14:textId="77777777" w:rsidR="0038365D" w:rsidRPr="0038365D" w:rsidRDefault="0038365D" w:rsidP="0038365D">
      <w:pPr>
        <w:numPr>
          <w:ilvl w:val="0"/>
          <w:numId w:val="2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lastRenderedPageBreak/>
        <w:t>British Withdrawal and the Countdown to Statehood:</w:t>
      </w:r>
      <w:r w:rsidRPr="0038365D">
        <w:rPr>
          <w:rFonts w:ascii="Times New Roman" w:eastAsia="Times New Roman" w:hAnsi="Times New Roman" w:cs="Times New Roman"/>
          <w:kern w:val="0"/>
          <w:sz w:val="24"/>
          <w:szCs w:val="24"/>
          <w14:ligatures w14:val="none"/>
        </w:rPr>
        <w:t xml:space="preserve"> In February 1947, Britain announced its intention to terminate the Mandate and withdraw from Palestine by May 15, 1948. This decision ended British colonial rule and set the stage for a new political reality. As the withdrawal date approached, tensions between Jewish and Arab communities escalated into open conflict. Jewish paramilitary groups prepared for an armed struggle, while Arab leaders organized militias to resist the partition plan.</w:t>
      </w:r>
    </w:p>
    <w:p w14:paraId="530B113D" w14:textId="77777777" w:rsidR="0038365D" w:rsidRPr="0038365D" w:rsidRDefault="0038365D" w:rsidP="0038365D">
      <w:pPr>
        <w:numPr>
          <w:ilvl w:val="0"/>
          <w:numId w:val="2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Declaration of Independence:</w:t>
      </w:r>
      <w:r w:rsidRPr="0038365D">
        <w:rPr>
          <w:rFonts w:ascii="Times New Roman" w:eastAsia="Times New Roman" w:hAnsi="Times New Roman" w:cs="Times New Roman"/>
          <w:kern w:val="0"/>
          <w:sz w:val="24"/>
          <w:szCs w:val="24"/>
          <w14:ligatures w14:val="none"/>
        </w:rPr>
        <w:t xml:space="preserve"> On May 14, 1948, David Ben-Gurion proclaimed the establishment of the State of Israel in Tel Aviv. The declaration asserted the right of the Jewish people to self-determination in their historic homeland, drawing on the Balfour Declaration and the UN Partition Plan. The new state was immediately recognized by the United States and the Soviet Union, signaling international support.</w:t>
      </w:r>
    </w:p>
    <w:p w14:paraId="6AA12109" w14:textId="77777777" w:rsidR="0038365D" w:rsidRPr="0038365D" w:rsidRDefault="0038365D" w:rsidP="0038365D">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8365D">
        <w:rPr>
          <w:rFonts w:ascii="Times New Roman" w:eastAsia="Times New Roman" w:hAnsi="Times New Roman" w:cs="Times New Roman"/>
          <w:b/>
          <w:bCs/>
          <w:kern w:val="0"/>
          <w:sz w:val="20"/>
          <w:szCs w:val="20"/>
          <w14:ligatures w14:val="none"/>
        </w:rPr>
        <w:t xml:space="preserve">The 1948 </w:t>
      </w:r>
      <w:proofErr w:type="gramStart"/>
      <w:r w:rsidRPr="0038365D">
        <w:rPr>
          <w:rFonts w:ascii="Times New Roman" w:eastAsia="Times New Roman" w:hAnsi="Times New Roman" w:cs="Times New Roman"/>
          <w:b/>
          <w:bCs/>
          <w:kern w:val="0"/>
          <w:sz w:val="20"/>
          <w:szCs w:val="20"/>
          <w14:ligatures w14:val="none"/>
        </w:rPr>
        <w:t>Arab-Israeli</w:t>
      </w:r>
      <w:proofErr w:type="gramEnd"/>
      <w:r w:rsidRPr="0038365D">
        <w:rPr>
          <w:rFonts w:ascii="Times New Roman" w:eastAsia="Times New Roman" w:hAnsi="Times New Roman" w:cs="Times New Roman"/>
          <w:b/>
          <w:bCs/>
          <w:kern w:val="0"/>
          <w:sz w:val="20"/>
          <w:szCs w:val="20"/>
          <w14:ligatures w14:val="none"/>
        </w:rPr>
        <w:t xml:space="preserve"> War: Outbreak and Course of Hostilities</w:t>
      </w:r>
    </w:p>
    <w:p w14:paraId="427D38E0" w14:textId="77777777" w:rsidR="0038365D" w:rsidRPr="0038365D" w:rsidRDefault="0038365D" w:rsidP="0038365D">
      <w:pPr>
        <w:numPr>
          <w:ilvl w:val="0"/>
          <w:numId w:val="2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Arab Invasion and Early Fighting:</w:t>
      </w:r>
      <w:r w:rsidRPr="0038365D">
        <w:rPr>
          <w:rFonts w:ascii="Times New Roman" w:eastAsia="Times New Roman" w:hAnsi="Times New Roman" w:cs="Times New Roman"/>
          <w:kern w:val="0"/>
          <w:sz w:val="24"/>
          <w:szCs w:val="24"/>
          <w14:ligatures w14:val="none"/>
        </w:rPr>
        <w:t xml:space="preserve"> The declaration of the State of Israel was met with immediate military action from Egypt, Transjordan, Syria, Lebanon, and Iraq, along with Palestinian Arab militias. The Arab League declared its intervention necessary to restore order and protect Palestinian Arab rights.</w:t>
      </w:r>
    </w:p>
    <w:p w14:paraId="58FBC4B6" w14:textId="77777777" w:rsidR="0038365D" w:rsidRPr="0038365D" w:rsidRDefault="0038365D" w:rsidP="0038365D">
      <w:pPr>
        <w:numPr>
          <w:ilvl w:val="0"/>
          <w:numId w:val="2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Israeli Defense and Expansion:</w:t>
      </w:r>
      <w:r w:rsidRPr="0038365D">
        <w:rPr>
          <w:rFonts w:ascii="Times New Roman" w:eastAsia="Times New Roman" w:hAnsi="Times New Roman" w:cs="Times New Roman"/>
          <w:kern w:val="0"/>
          <w:sz w:val="24"/>
          <w:szCs w:val="24"/>
          <w14:ligatures w14:val="none"/>
        </w:rPr>
        <w:t xml:space="preserve"> Despite initial setbacks, the newly formed Israeli Defense Forces (IDF) secured key strategic areas and repelled Arab advances, expanding Israeli territory beyond the borders proposed by the UN Partition Plan.</w:t>
      </w:r>
    </w:p>
    <w:p w14:paraId="4DB66411" w14:textId="77777777" w:rsidR="0038365D" w:rsidRPr="0038365D" w:rsidRDefault="0038365D" w:rsidP="0038365D">
      <w:pPr>
        <w:numPr>
          <w:ilvl w:val="0"/>
          <w:numId w:val="2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Ceasefires and Armistice Agreements:</w:t>
      </w:r>
      <w:r w:rsidRPr="0038365D">
        <w:rPr>
          <w:rFonts w:ascii="Times New Roman" w:eastAsia="Times New Roman" w:hAnsi="Times New Roman" w:cs="Times New Roman"/>
          <w:kern w:val="0"/>
          <w:sz w:val="24"/>
          <w:szCs w:val="24"/>
          <w14:ligatures w14:val="none"/>
        </w:rPr>
        <w:t xml:space="preserve"> Several UN-brokered ceasefires were reached during the war, but fighting resumed each time. By early 1949, Israel had expanded to control approximately 78% of the former Mandate territory. Armistice agreements ended hostilities, but they did not resolve the underlying conflict.</w:t>
      </w:r>
    </w:p>
    <w:p w14:paraId="6929B3DE"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Consequences of the War: Refugees, Expulsions, and Regional Hostilities</w:t>
      </w:r>
    </w:p>
    <w:p w14:paraId="7FE647BA" w14:textId="77777777" w:rsidR="0038365D" w:rsidRPr="0038365D" w:rsidRDefault="0038365D" w:rsidP="0038365D">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Palestinian Refugee Crisis:</w:t>
      </w:r>
      <w:r w:rsidRPr="0038365D">
        <w:rPr>
          <w:rFonts w:ascii="Times New Roman" w:eastAsia="Times New Roman" w:hAnsi="Times New Roman" w:cs="Times New Roman"/>
          <w:kern w:val="0"/>
          <w:sz w:val="24"/>
          <w:szCs w:val="24"/>
          <w14:ligatures w14:val="none"/>
        </w:rPr>
        <w:t xml:space="preserve"> About 700,000 Palestinian Arabs fled or were expelled during the fighting, creating a major refugee crisis. Their demand for the right of return became a central issue in the conflict.</w:t>
      </w:r>
    </w:p>
    <w:p w14:paraId="405AA2FB" w14:textId="77777777" w:rsidR="0038365D" w:rsidRPr="0038365D" w:rsidRDefault="0038365D" w:rsidP="0038365D">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Expulsion of Jews from Arab Countries:</w:t>
      </w:r>
      <w:r w:rsidRPr="0038365D">
        <w:rPr>
          <w:rFonts w:ascii="Times New Roman" w:eastAsia="Times New Roman" w:hAnsi="Times New Roman" w:cs="Times New Roman"/>
          <w:kern w:val="0"/>
          <w:sz w:val="24"/>
          <w:szCs w:val="24"/>
          <w14:ligatures w14:val="none"/>
        </w:rPr>
        <w:t xml:space="preserve"> In retaliation for the establishment of Israel, nearly all Arab nations expelled their Jewish populations, leading to the exodus of approximately 900,000 Jews, most of whom fled to Israel. This reshaped the demographic landscape of Israel and the Arab world.</w:t>
      </w:r>
    </w:p>
    <w:p w14:paraId="702B4D20" w14:textId="77777777" w:rsidR="0038365D" w:rsidRPr="0038365D" w:rsidRDefault="0038365D" w:rsidP="0038365D">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Egypt, Jordan, and Arab Nations' Exploitation of Palestinian Plight:</w:t>
      </w:r>
    </w:p>
    <w:p w14:paraId="483AAB94" w14:textId="77777777" w:rsidR="0038365D" w:rsidRPr="0038365D" w:rsidRDefault="0038365D" w:rsidP="0038365D">
      <w:pPr>
        <w:numPr>
          <w:ilvl w:val="1"/>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Annexation and Control:</w:t>
      </w:r>
      <w:r w:rsidRPr="0038365D">
        <w:rPr>
          <w:rFonts w:ascii="Times New Roman" w:eastAsia="Times New Roman" w:hAnsi="Times New Roman" w:cs="Times New Roman"/>
          <w:kern w:val="0"/>
          <w:sz w:val="24"/>
          <w:szCs w:val="24"/>
          <w14:ligatures w14:val="none"/>
        </w:rPr>
        <w:t xml:space="preserve"> After the war, Jordan annexed the West Bank, while Egypt took control of the Gaza Strip. Rather than promoting the creation of an independent Palestinian state, these nations prioritized their territorial gains and political objectives. Jordan imposed its administration over the West Bank, granting citizenship to Palestinian residents but limiting their political freedom. Meanwhile, Egypt maintained strict control over Gaza, restricting political activity and economic development.</w:t>
      </w:r>
    </w:p>
    <w:p w14:paraId="0DD5166C" w14:textId="77777777" w:rsidR="0038365D" w:rsidRPr="0038365D" w:rsidRDefault="0038365D" w:rsidP="0038365D">
      <w:pPr>
        <w:numPr>
          <w:ilvl w:val="1"/>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Limited Support for Palestinian Independence:</w:t>
      </w:r>
      <w:r w:rsidRPr="0038365D">
        <w:rPr>
          <w:rFonts w:ascii="Times New Roman" w:eastAsia="Times New Roman" w:hAnsi="Times New Roman" w:cs="Times New Roman"/>
          <w:kern w:val="0"/>
          <w:sz w:val="24"/>
          <w:szCs w:val="24"/>
          <w14:ligatures w14:val="none"/>
        </w:rPr>
        <w:t xml:space="preserve"> Despite their public support for the Palestinian cause, many Arab nations used the Palestinian issue as a tool for their political agendas rather than actively promoting Palestinian self-determination. The refugees were often kept in camps and denied citizenship or </w:t>
      </w:r>
      <w:r w:rsidRPr="0038365D">
        <w:rPr>
          <w:rFonts w:ascii="Times New Roman" w:eastAsia="Times New Roman" w:hAnsi="Times New Roman" w:cs="Times New Roman"/>
          <w:kern w:val="0"/>
          <w:sz w:val="24"/>
          <w:szCs w:val="24"/>
          <w14:ligatures w14:val="none"/>
        </w:rPr>
        <w:lastRenderedPageBreak/>
        <w:t>integration in their host countries, preserving their status as political leverage against Israel.</w:t>
      </w:r>
    </w:p>
    <w:p w14:paraId="42C9F5EA" w14:textId="77777777" w:rsidR="0038365D" w:rsidRPr="0038365D" w:rsidRDefault="0038365D" w:rsidP="0038365D">
      <w:pPr>
        <w:numPr>
          <w:ilvl w:val="1"/>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Suppression of Palestinian National Movements:</w:t>
      </w:r>
      <w:r w:rsidRPr="0038365D">
        <w:rPr>
          <w:rFonts w:ascii="Times New Roman" w:eastAsia="Times New Roman" w:hAnsi="Times New Roman" w:cs="Times New Roman"/>
          <w:kern w:val="0"/>
          <w:sz w:val="24"/>
          <w:szCs w:val="24"/>
          <w14:ligatures w14:val="none"/>
        </w:rPr>
        <w:t xml:space="preserve"> Arab governments, particularly in Jordan and Egypt, often suppressed independent Palestinian political movements, fearing they could threaten their authority. For example, Jordanian King Abdullah actively sought to integrate the West Bank into his kingdom, while Egyptian President Gamal Abdel Nasser aimed to control Palestinian political factions in Gaza.</w:t>
      </w:r>
    </w:p>
    <w:p w14:paraId="58EBF330" w14:textId="77777777" w:rsidR="0038365D" w:rsidRPr="0038365D" w:rsidRDefault="0038365D" w:rsidP="0038365D">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b/>
          <w:bCs/>
          <w:kern w:val="0"/>
          <w:sz w:val="24"/>
          <w:szCs w:val="24"/>
          <w14:ligatures w14:val="none"/>
        </w:rPr>
        <w:t>Establishment of Israel’s Statehood and Regional Tensions:</w:t>
      </w:r>
      <w:r w:rsidRPr="0038365D">
        <w:rPr>
          <w:rFonts w:ascii="Times New Roman" w:eastAsia="Times New Roman" w:hAnsi="Times New Roman" w:cs="Times New Roman"/>
          <w:kern w:val="0"/>
          <w:sz w:val="24"/>
          <w:szCs w:val="24"/>
          <w14:ligatures w14:val="none"/>
        </w:rPr>
        <w:t xml:space="preserve"> Despite its victory, Israel faced a hostile Arab world that refused to recognize its legitimacy. The unresolved status of Palestinian refugees and territorial disputes ensured continued conflict. Armistice lines drawn in 1949 remained contentious borders, periodically sparking new wars and diplomatic crises.</w:t>
      </w:r>
    </w:p>
    <w:p w14:paraId="6EDD68D4" w14:textId="77777777" w:rsidR="0038365D" w:rsidRPr="0038365D" w:rsidRDefault="0038365D" w:rsidP="0038365D">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8365D">
        <w:rPr>
          <w:rFonts w:ascii="Times New Roman" w:eastAsia="Times New Roman" w:hAnsi="Times New Roman" w:cs="Times New Roman"/>
          <w:b/>
          <w:bCs/>
          <w:kern w:val="0"/>
          <w:sz w:val="24"/>
          <w:szCs w:val="24"/>
          <w14:ligatures w14:val="none"/>
        </w:rPr>
        <w:t>Conclusion: The Birth of Israel and a Legacy of Conflict</w:t>
      </w:r>
    </w:p>
    <w:p w14:paraId="3F0B788A" w14:textId="77777777" w:rsidR="0038365D" w:rsidRPr="0038365D" w:rsidRDefault="0038365D" w:rsidP="0038365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65D">
        <w:rPr>
          <w:rFonts w:ascii="Times New Roman" w:eastAsia="Times New Roman" w:hAnsi="Times New Roman" w:cs="Times New Roman"/>
          <w:kern w:val="0"/>
          <w:sz w:val="24"/>
          <w:szCs w:val="24"/>
          <w14:ligatures w14:val="none"/>
        </w:rPr>
        <w:t xml:space="preserve">The aftermath of World War II, Britain’s diplomatic failures, and the interplay of Jewish and Arab nationalisms culminated in the birth of Israel and the first </w:t>
      </w:r>
      <w:proofErr w:type="gramStart"/>
      <w:r w:rsidRPr="0038365D">
        <w:rPr>
          <w:rFonts w:ascii="Times New Roman" w:eastAsia="Times New Roman" w:hAnsi="Times New Roman" w:cs="Times New Roman"/>
          <w:kern w:val="0"/>
          <w:sz w:val="24"/>
          <w:szCs w:val="24"/>
          <w14:ligatures w14:val="none"/>
        </w:rPr>
        <w:t>Arab-Israeli</w:t>
      </w:r>
      <w:proofErr w:type="gramEnd"/>
      <w:r w:rsidRPr="0038365D">
        <w:rPr>
          <w:rFonts w:ascii="Times New Roman" w:eastAsia="Times New Roman" w:hAnsi="Times New Roman" w:cs="Times New Roman"/>
          <w:kern w:val="0"/>
          <w:sz w:val="24"/>
          <w:szCs w:val="24"/>
          <w14:ligatures w14:val="none"/>
        </w:rPr>
        <w:t xml:space="preserve"> war in 1948. The events of 1948 entrenched divisions, set the stage for decades of conflict, and added layers of complexity to one of the world's most intractable disputes. The new state of Israel emerged amid celebration and tragedy, as Jews established a homeland while Palestinians faced displacement and despair. The exploitation of the Palestinian plight by Egypt, Jordan, and other Arab nations highlighted the complexities and contradictions of regional politics, ensuring that the struggle over land, identity, and statehood would </w:t>
      </w:r>
      <w:proofErr w:type="gramStart"/>
      <w:r w:rsidRPr="0038365D">
        <w:rPr>
          <w:rFonts w:ascii="Times New Roman" w:eastAsia="Times New Roman" w:hAnsi="Times New Roman" w:cs="Times New Roman"/>
          <w:kern w:val="0"/>
          <w:sz w:val="24"/>
          <w:szCs w:val="24"/>
          <w14:ligatures w14:val="none"/>
        </w:rPr>
        <w:t>continue into the future</w:t>
      </w:r>
      <w:proofErr w:type="gramEnd"/>
      <w:r w:rsidRPr="0038365D">
        <w:rPr>
          <w:rFonts w:ascii="Times New Roman" w:eastAsia="Times New Roman" w:hAnsi="Times New Roman" w:cs="Times New Roman"/>
          <w:kern w:val="0"/>
          <w:sz w:val="24"/>
          <w:szCs w:val="24"/>
          <w14:ligatures w14:val="none"/>
        </w:rPr>
        <w:t>.</w:t>
      </w:r>
    </w:p>
    <w:p w14:paraId="68BDF4B9" w14:textId="77777777"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6078E">
        <w:rPr>
          <w:rFonts w:ascii="Times New Roman" w:eastAsia="Times New Roman" w:hAnsi="Times New Roman" w:cs="Times New Roman"/>
          <w:b/>
          <w:bCs/>
          <w:kern w:val="0"/>
          <w:sz w:val="27"/>
          <w:szCs w:val="27"/>
          <w14:ligatures w14:val="none"/>
        </w:rPr>
        <w:t>Chapter 7: The Legacy of British and French Colonialism in the Middle East</w:t>
      </w:r>
    </w:p>
    <w:p w14:paraId="5A6240A3"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Introduction</w:t>
      </w:r>
    </w:p>
    <w:p w14:paraId="0656887B" w14:textId="77777777" w:rsidR="0036078E" w:rsidRPr="0036078E" w:rsidRDefault="0036078E" w:rsidP="0036078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kern w:val="0"/>
          <w:sz w:val="24"/>
          <w:szCs w:val="24"/>
          <w14:ligatures w14:val="none"/>
        </w:rPr>
        <w:t>Building upon the tumultuous events following the dissolution of the Ottoman Empire and the establishment of the British Mandate in Palestine, this chapter explores the broader impact of British and French colonial policies across the Middle East. It examines how these policies created artificial borders, fostered ethnic and sectarian divisions, and laid the groundwork for ongoing regional conflicts. The chapter also looks at the far-reaching consequences of the British and French mandates, including their influence on national identities, political dynamics, and the continuing instability in the region. Additionally, it considers the role of global powers, such as the United States and the Soviet Union, in shaping the region’s post-colonial trajectory.</w:t>
      </w:r>
    </w:p>
    <w:p w14:paraId="40BE934D"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Colonial Policies: Redrawing the Map of the Middle East</w:t>
      </w:r>
    </w:p>
    <w:p w14:paraId="6A25C8C9"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The Sykes-Picot Agreement (1916):</w:t>
      </w:r>
    </w:p>
    <w:p w14:paraId="4694C2BA" w14:textId="77777777" w:rsidR="0036078E" w:rsidRPr="0036078E" w:rsidRDefault="0036078E" w:rsidP="0036078E">
      <w:pPr>
        <w:numPr>
          <w:ilvl w:val="0"/>
          <w:numId w:val="2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Secret Agreement and Its Terms:</w:t>
      </w:r>
      <w:r w:rsidRPr="0036078E">
        <w:rPr>
          <w:rFonts w:ascii="Times New Roman" w:eastAsia="Times New Roman" w:hAnsi="Times New Roman" w:cs="Times New Roman"/>
          <w:kern w:val="0"/>
          <w:sz w:val="24"/>
          <w:szCs w:val="24"/>
          <w14:ligatures w14:val="none"/>
        </w:rPr>
        <w:t xml:space="preserve"> The Sykes-Picot Agreement, negotiated in secret during World War I between British diplomat Sir Mark Sykes and French diplomat François Georges-Picot, was a blueprint for the division of Ottoman territories in the Middle East. Under this agreement, Britain and France carved out spheres of influence and control over the Arab provinces of the Ottoman Empire, disregarding the aspirations </w:t>
      </w:r>
      <w:r w:rsidRPr="0036078E">
        <w:rPr>
          <w:rFonts w:ascii="Times New Roman" w:eastAsia="Times New Roman" w:hAnsi="Times New Roman" w:cs="Times New Roman"/>
          <w:kern w:val="0"/>
          <w:sz w:val="24"/>
          <w:szCs w:val="24"/>
          <w14:ligatures w14:val="none"/>
        </w:rPr>
        <w:lastRenderedPageBreak/>
        <w:t>of local populations. Britain would control Iraq, Transjordan, and Palestine, while France would take over Syria and Lebanon. This arbitrary division of territory ignored ethnic, religious, and tribal realities on the ground, leading to the creation of borders that did not reflect historical, cultural, or demographic boundaries.</w:t>
      </w:r>
    </w:p>
    <w:p w14:paraId="53FF2F23" w14:textId="77777777" w:rsidR="0036078E" w:rsidRPr="0036078E" w:rsidRDefault="0036078E" w:rsidP="0036078E">
      <w:pPr>
        <w:numPr>
          <w:ilvl w:val="0"/>
          <w:numId w:val="2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Impact on Arab Aspirations:</w:t>
      </w:r>
      <w:r w:rsidRPr="0036078E">
        <w:rPr>
          <w:rFonts w:ascii="Times New Roman" w:eastAsia="Times New Roman" w:hAnsi="Times New Roman" w:cs="Times New Roman"/>
          <w:kern w:val="0"/>
          <w:sz w:val="24"/>
          <w:szCs w:val="24"/>
          <w14:ligatures w14:val="none"/>
        </w:rPr>
        <w:t xml:space="preserve"> The Sykes-Picot Agreement undermined the aspirations of Arab nationalists, who had been promised independence in the McMahon-Hussein Correspondence in exchange for their support against the Ottoman Empire during World War I. When the terms of the Sykes-Picot Agreement became public, it was perceived as a profound betrayal by the Arabs, who felt that their hopes for self-determination and independence had been thwarted by European colonial powers. This sense of betrayal </w:t>
      </w:r>
      <w:proofErr w:type="gramStart"/>
      <w:r w:rsidRPr="0036078E">
        <w:rPr>
          <w:rFonts w:ascii="Times New Roman" w:eastAsia="Times New Roman" w:hAnsi="Times New Roman" w:cs="Times New Roman"/>
          <w:kern w:val="0"/>
          <w:sz w:val="24"/>
          <w:szCs w:val="24"/>
          <w14:ligatures w14:val="none"/>
        </w:rPr>
        <w:t>sowed</w:t>
      </w:r>
      <w:proofErr w:type="gramEnd"/>
      <w:r w:rsidRPr="0036078E">
        <w:rPr>
          <w:rFonts w:ascii="Times New Roman" w:eastAsia="Times New Roman" w:hAnsi="Times New Roman" w:cs="Times New Roman"/>
          <w:kern w:val="0"/>
          <w:sz w:val="24"/>
          <w:szCs w:val="24"/>
          <w14:ligatures w14:val="none"/>
        </w:rPr>
        <w:t xml:space="preserve"> deep-seated distrust of Western intentions and laid the groundwork for future conflicts and resistance movements across the region.</w:t>
      </w:r>
    </w:p>
    <w:p w14:paraId="7FC03C2F"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The British and French Mandates:</w:t>
      </w:r>
    </w:p>
    <w:p w14:paraId="0CD1DB8D" w14:textId="77777777" w:rsidR="0036078E" w:rsidRPr="0036078E" w:rsidRDefault="0036078E" w:rsidP="0036078E">
      <w:pPr>
        <w:numPr>
          <w:ilvl w:val="0"/>
          <w:numId w:val="2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Establishment of Mandates in the Middle East:</w:t>
      </w:r>
      <w:r w:rsidRPr="0036078E">
        <w:rPr>
          <w:rFonts w:ascii="Times New Roman" w:eastAsia="Times New Roman" w:hAnsi="Times New Roman" w:cs="Times New Roman"/>
          <w:kern w:val="0"/>
          <w:sz w:val="24"/>
          <w:szCs w:val="24"/>
          <w14:ligatures w14:val="none"/>
        </w:rPr>
        <w:t xml:space="preserve"> Following World War I, the League of Nations formally assigned Britain and France mandates over various parts of the Middle East. The mandates were ostensibly intended to prepare these territories for eventual self-rule, but in practice, they were extensions of colonial control. Britain took control of Palestine, Transjordan, and Iraq, while France governed Syria and Lebanon. The mandate system entrenched the authority of the colonial powers, allowing them to exploit local resources and dictate political and economic policies.</w:t>
      </w:r>
    </w:p>
    <w:p w14:paraId="69E06917" w14:textId="77777777" w:rsidR="0036078E" w:rsidRPr="0036078E" w:rsidRDefault="0036078E" w:rsidP="0036078E">
      <w:pPr>
        <w:numPr>
          <w:ilvl w:val="0"/>
          <w:numId w:val="2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Creation of Artificial States and Borders:</w:t>
      </w:r>
      <w:r w:rsidRPr="0036078E">
        <w:rPr>
          <w:rFonts w:ascii="Times New Roman" w:eastAsia="Times New Roman" w:hAnsi="Times New Roman" w:cs="Times New Roman"/>
          <w:kern w:val="0"/>
          <w:sz w:val="24"/>
          <w:szCs w:val="24"/>
          <w14:ligatures w14:val="none"/>
        </w:rPr>
        <w:t xml:space="preserve"> Under the mandate system, Britain and France created new states with borders that often bore little relation to the region's existing social, ethnic, or religious fabric. For instance, Iraq was formed by merging three distinct Ottoman provinces—Mosul, Baghdad, and Basra—into a single state, creating a patchwork of competing ethnic and sectarian groups, including Sunni Arabs, Shia Arabs, and Kurds. In Syria, the French carved out Lebanon to create a Christian-dominated state, disregarding the significant Muslim populations. These artificial borders and state structures have had lasting consequences, fueling sectarian tensions, political instability, and violent conflict that continue to affect the region today.</w:t>
      </w:r>
    </w:p>
    <w:p w14:paraId="612C9263"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Ethnic and Sectarian Divisions: The Colonial Legacy</w:t>
      </w:r>
    </w:p>
    <w:p w14:paraId="05F8C38C"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Fostering Division to Maintain Control:</w:t>
      </w:r>
    </w:p>
    <w:p w14:paraId="337294B2" w14:textId="77777777" w:rsidR="0036078E" w:rsidRPr="0036078E" w:rsidRDefault="0036078E" w:rsidP="0036078E">
      <w:pPr>
        <w:numPr>
          <w:ilvl w:val="0"/>
          <w:numId w:val="2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Divide and Rule Tactics:</w:t>
      </w:r>
      <w:r w:rsidRPr="0036078E">
        <w:rPr>
          <w:rFonts w:ascii="Times New Roman" w:eastAsia="Times New Roman" w:hAnsi="Times New Roman" w:cs="Times New Roman"/>
          <w:kern w:val="0"/>
          <w:sz w:val="24"/>
          <w:szCs w:val="24"/>
          <w14:ligatures w14:val="none"/>
        </w:rPr>
        <w:t xml:space="preserve"> The British and French colonial administrations often employed "divide and rule" tactics to maintain control over their mandates. By exacerbating ethnic, religious, and tribal divisions, the colonial powers sought to prevent unified opposition to their rule. In Iraq, for example, the British favored the Sunni Arab minority to staff the new administration, marginalizing the Shia majority and the Kurdish population. Similarly, in Lebanon, the French supported the Maronite Christian community, creating a political system that institutionalized sectarian divisions and left the Muslim population feeling disenfranchised. These policies of favoritism and manipulation deepened existing divides and fostered long-term resentment among various communities.</w:t>
      </w:r>
    </w:p>
    <w:p w14:paraId="4DBF4B67" w14:textId="77777777" w:rsidR="0036078E" w:rsidRPr="0036078E" w:rsidRDefault="0036078E" w:rsidP="0036078E">
      <w:pPr>
        <w:numPr>
          <w:ilvl w:val="0"/>
          <w:numId w:val="2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Marginalization and Exclusion:</w:t>
      </w:r>
      <w:r w:rsidRPr="0036078E">
        <w:rPr>
          <w:rFonts w:ascii="Times New Roman" w:eastAsia="Times New Roman" w:hAnsi="Times New Roman" w:cs="Times New Roman"/>
          <w:kern w:val="0"/>
          <w:sz w:val="24"/>
          <w:szCs w:val="24"/>
          <w14:ligatures w14:val="none"/>
        </w:rPr>
        <w:t xml:space="preserve"> In both British and French mandates, colonial authorities systematically marginalized certain groups from political and economic </w:t>
      </w:r>
      <w:r w:rsidRPr="0036078E">
        <w:rPr>
          <w:rFonts w:ascii="Times New Roman" w:eastAsia="Times New Roman" w:hAnsi="Times New Roman" w:cs="Times New Roman"/>
          <w:kern w:val="0"/>
          <w:sz w:val="24"/>
          <w:szCs w:val="24"/>
          <w14:ligatures w14:val="none"/>
        </w:rPr>
        <w:lastRenderedPageBreak/>
        <w:t>power, often based on sectarian or ethnic identity. This exclusion created a legacy of inequality and grievance that persisted after the mandates ended. In Syria, for instance, the French mandate relied heavily on Alawite and Christian minorities to staff the military and administrative structures, alienating the Sunni Arab majority and sowing the seeds of future conflict. In Palestine, British policies that restricted Jewish immigration and land purchases, while simultaneously failing to address Arab demands for independence, created a volatile environment where both communities felt aggrieved and marginalized.</w:t>
      </w:r>
    </w:p>
    <w:p w14:paraId="3EBC86FC"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Emergence of Nationalist Movements:</w:t>
      </w:r>
    </w:p>
    <w:p w14:paraId="61933FD8" w14:textId="77777777" w:rsidR="0036078E" w:rsidRPr="0036078E" w:rsidRDefault="0036078E" w:rsidP="0036078E">
      <w:pPr>
        <w:numPr>
          <w:ilvl w:val="0"/>
          <w:numId w:val="2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Arab Nationalism and Anti-Colonial Resistance:</w:t>
      </w:r>
      <w:r w:rsidRPr="0036078E">
        <w:rPr>
          <w:rFonts w:ascii="Times New Roman" w:eastAsia="Times New Roman" w:hAnsi="Times New Roman" w:cs="Times New Roman"/>
          <w:kern w:val="0"/>
          <w:sz w:val="24"/>
          <w:szCs w:val="24"/>
          <w14:ligatures w14:val="none"/>
        </w:rPr>
        <w:t xml:space="preserve"> In response to these policies, nationalist movements began to emerge across the region, driven by a desire for independence and self-determination. Arab nationalism, which sought to unite the various Arab-speaking peoples under a single national identity, gained significant momentum as a reaction against European colonial rule. Key figures such as King Faisal of Iraq and Egyptian leader Gamal Abdel Nasser became symbols of this broader Arab nationalist struggle. Anti-colonial resistance took various forms, including political activism, protests, and, in some cases, armed uprisings against colonial authorities.</w:t>
      </w:r>
    </w:p>
    <w:p w14:paraId="69053A8D" w14:textId="77777777" w:rsidR="0036078E" w:rsidRPr="0036078E" w:rsidRDefault="0036078E" w:rsidP="0036078E">
      <w:pPr>
        <w:numPr>
          <w:ilvl w:val="0"/>
          <w:numId w:val="2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Zionism and the Jewish National Movement:</w:t>
      </w:r>
      <w:r w:rsidRPr="0036078E">
        <w:rPr>
          <w:rFonts w:ascii="Times New Roman" w:eastAsia="Times New Roman" w:hAnsi="Times New Roman" w:cs="Times New Roman"/>
          <w:kern w:val="0"/>
          <w:sz w:val="24"/>
          <w:szCs w:val="24"/>
          <w14:ligatures w14:val="none"/>
        </w:rPr>
        <w:t xml:space="preserve"> Simultaneously, the Zionist movement continued to grow in strength and influence, driven by the goal of establishing a Jewish homeland in Palestine. The Balfour Declaration of 1917, followed by increasing Jewish immigration and land purchases, intensified the Zionist project and further fueled tensions with the Arab population. Jewish paramilitary groups, such as the </w:t>
      </w:r>
      <w:proofErr w:type="spellStart"/>
      <w:r w:rsidRPr="0036078E">
        <w:rPr>
          <w:rFonts w:ascii="Times New Roman" w:eastAsia="Times New Roman" w:hAnsi="Times New Roman" w:cs="Times New Roman"/>
          <w:kern w:val="0"/>
          <w:sz w:val="24"/>
          <w:szCs w:val="24"/>
          <w14:ligatures w14:val="none"/>
        </w:rPr>
        <w:t>Haganah</w:t>
      </w:r>
      <w:proofErr w:type="spellEnd"/>
      <w:r w:rsidRPr="0036078E">
        <w:rPr>
          <w:rFonts w:ascii="Times New Roman" w:eastAsia="Times New Roman" w:hAnsi="Times New Roman" w:cs="Times New Roman"/>
          <w:kern w:val="0"/>
          <w:sz w:val="24"/>
          <w:szCs w:val="24"/>
          <w14:ligatures w14:val="none"/>
        </w:rPr>
        <w:t>, Irgun, and Lehi, began to organize and prepare for armed conflict, seeing it as necessary to secure their aspirations for statehood in the face of growing Arab opposition and British restrictions.</w:t>
      </w:r>
    </w:p>
    <w:p w14:paraId="08A42172"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Long-Term Instability: The Consequences of Colonial Policies</w:t>
      </w:r>
    </w:p>
    <w:p w14:paraId="1BA3CD4F"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Entrenched Conflicts and State Fragility:</w:t>
      </w:r>
    </w:p>
    <w:p w14:paraId="760820B2" w14:textId="77777777" w:rsidR="0036078E" w:rsidRPr="0036078E" w:rsidRDefault="0036078E" w:rsidP="0036078E">
      <w:pPr>
        <w:numPr>
          <w:ilvl w:val="0"/>
          <w:numId w:val="2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Creation of Weak and Divided States:</w:t>
      </w:r>
      <w:r w:rsidRPr="0036078E">
        <w:rPr>
          <w:rFonts w:ascii="Times New Roman" w:eastAsia="Times New Roman" w:hAnsi="Times New Roman" w:cs="Times New Roman"/>
          <w:kern w:val="0"/>
          <w:sz w:val="24"/>
          <w:szCs w:val="24"/>
          <w14:ligatures w14:val="none"/>
        </w:rPr>
        <w:t xml:space="preserve"> The colonial legacy of artificial borders and fragmented states left many countries in the Middle East weak, divided, and vulnerable to internal and external conflicts. Iraq, Syria, and Lebanon, for example, have all experienced periods of intense civil strife, political instability, and foreign intervention due to the deep-rooted ethnic and sectarian divisions </w:t>
      </w:r>
      <w:proofErr w:type="gramStart"/>
      <w:r w:rsidRPr="0036078E">
        <w:rPr>
          <w:rFonts w:ascii="Times New Roman" w:eastAsia="Times New Roman" w:hAnsi="Times New Roman" w:cs="Times New Roman"/>
          <w:kern w:val="0"/>
          <w:sz w:val="24"/>
          <w:szCs w:val="24"/>
          <w14:ligatures w14:val="none"/>
        </w:rPr>
        <w:t>that colonial policies</w:t>
      </w:r>
      <w:proofErr w:type="gramEnd"/>
      <w:r w:rsidRPr="0036078E">
        <w:rPr>
          <w:rFonts w:ascii="Times New Roman" w:eastAsia="Times New Roman" w:hAnsi="Times New Roman" w:cs="Times New Roman"/>
          <w:kern w:val="0"/>
          <w:sz w:val="24"/>
          <w:szCs w:val="24"/>
          <w14:ligatures w14:val="none"/>
        </w:rPr>
        <w:t xml:space="preserve"> exacerbated. The artificiality of these states’ borders and the lack of a cohesive national identity have made it difficult for them to build stable and inclusive political institutions, contributing to cycles of violence and authoritarianism.</w:t>
      </w:r>
    </w:p>
    <w:p w14:paraId="30DB3411" w14:textId="77777777" w:rsidR="0036078E" w:rsidRPr="0036078E" w:rsidRDefault="0036078E" w:rsidP="0036078E">
      <w:pPr>
        <w:numPr>
          <w:ilvl w:val="0"/>
          <w:numId w:val="2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Perpetuation of Sectarian and Ethnic Tensions:</w:t>
      </w:r>
      <w:r w:rsidRPr="0036078E">
        <w:rPr>
          <w:rFonts w:ascii="Times New Roman" w:eastAsia="Times New Roman" w:hAnsi="Times New Roman" w:cs="Times New Roman"/>
          <w:kern w:val="0"/>
          <w:sz w:val="24"/>
          <w:szCs w:val="24"/>
          <w14:ligatures w14:val="none"/>
        </w:rPr>
        <w:t xml:space="preserve"> The British and French mandates institutionalized sectarian and ethnic divisions, which have persisted long after the end of colonial rule. In Iraq, the legacy of Sunni dominance and Shia marginalization laid the groundwork for decades of political instability, culminating in the rise of the Ba'ath Party and, later, the brutal dictatorship of Saddam Hussein. In Lebanon, the sectarian political system established under French rule contributed to the outbreak of a long and bloody civil war (1975-1990) that still influences Lebanese politics today. In Syria, the </w:t>
      </w:r>
      <w:r w:rsidRPr="0036078E">
        <w:rPr>
          <w:rFonts w:ascii="Times New Roman" w:eastAsia="Times New Roman" w:hAnsi="Times New Roman" w:cs="Times New Roman"/>
          <w:kern w:val="0"/>
          <w:sz w:val="24"/>
          <w:szCs w:val="24"/>
          <w14:ligatures w14:val="none"/>
        </w:rPr>
        <w:lastRenderedPageBreak/>
        <w:t>favoritism shown to the Alawite minority by the French mandate set the stage for the Assad family's rise to power and the devastating civil war that began in 2011.</w:t>
      </w:r>
    </w:p>
    <w:p w14:paraId="64693D20"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Enduring Impact on Regional Dynamics:</w:t>
      </w:r>
    </w:p>
    <w:p w14:paraId="345AE35F" w14:textId="77777777" w:rsidR="0036078E" w:rsidRPr="0036078E" w:rsidRDefault="0036078E" w:rsidP="0036078E">
      <w:pPr>
        <w:numPr>
          <w:ilvl w:val="0"/>
          <w:numId w:val="2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Conflict and Rivalries Between States:</w:t>
      </w:r>
      <w:r w:rsidRPr="0036078E">
        <w:rPr>
          <w:rFonts w:ascii="Times New Roman" w:eastAsia="Times New Roman" w:hAnsi="Times New Roman" w:cs="Times New Roman"/>
          <w:kern w:val="0"/>
          <w:sz w:val="24"/>
          <w:szCs w:val="24"/>
          <w14:ligatures w14:val="none"/>
        </w:rPr>
        <w:t xml:space="preserve"> The arbitrary borders and state structures imposed by the colonial powers fostered inter-state conflicts and rivalries that have persisted for decades. Iraq and Syria, for example, have experienced longstanding disputes over borders, water resources, and political influence, exacerbated by the colonial legacy of artificial state boundaries. The Israeli-Palestinian conflict, rooted in the conflicting promises made by Britain under the Balfour Declaration and the subsequent partition of Palestine, remains a focal point of regional tension and a source of deep-seated animosity between Israel and its Arab neighbors.</w:t>
      </w:r>
    </w:p>
    <w:p w14:paraId="1DD178D3" w14:textId="77777777" w:rsidR="0036078E" w:rsidRPr="0036078E" w:rsidRDefault="0036078E" w:rsidP="0036078E">
      <w:pPr>
        <w:numPr>
          <w:ilvl w:val="0"/>
          <w:numId w:val="2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Foreign Intervention and Regional Instability:</w:t>
      </w:r>
      <w:r w:rsidRPr="0036078E">
        <w:rPr>
          <w:rFonts w:ascii="Times New Roman" w:eastAsia="Times New Roman" w:hAnsi="Times New Roman" w:cs="Times New Roman"/>
          <w:kern w:val="0"/>
          <w:sz w:val="24"/>
          <w:szCs w:val="24"/>
          <w14:ligatures w14:val="none"/>
        </w:rPr>
        <w:t xml:space="preserve"> The colonial legacy has also made the Middle East a site of ongoing foreign intervention and geopolitical competition. The strategic importance of the region, due to its vast oil reserves and its location at the crossroads of Europe, Asia, and Africa, has made it a focal point for global powers. The artificial borders, weak states, and unresolved conflicts created by British and French colonialism have provided external powers, such as the United States, Russia, and Iran, with opportunities to intervene, often exacerbating existing tensions and fueling further instability.</w:t>
      </w:r>
    </w:p>
    <w:p w14:paraId="0814EACE"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The Cold War and the Middle East: A New Phase of External Influence:</w:t>
      </w:r>
    </w:p>
    <w:p w14:paraId="2580A480" w14:textId="77777777" w:rsidR="0036078E" w:rsidRPr="0036078E" w:rsidRDefault="0036078E" w:rsidP="0036078E">
      <w:pPr>
        <w:numPr>
          <w:ilvl w:val="0"/>
          <w:numId w:val="2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Superpower Rivalries and the Middle East:</w:t>
      </w:r>
      <w:r w:rsidRPr="0036078E">
        <w:rPr>
          <w:rFonts w:ascii="Times New Roman" w:eastAsia="Times New Roman" w:hAnsi="Times New Roman" w:cs="Times New Roman"/>
          <w:kern w:val="0"/>
          <w:sz w:val="24"/>
          <w:szCs w:val="24"/>
          <w14:ligatures w14:val="none"/>
        </w:rPr>
        <w:t xml:space="preserve"> With the onset of the Cold War, the Middle East became a critical arena for the geopolitical rivalry between the United States and the Soviet Union. Both superpowers sought to expand their influence in the region, often through support for competing factions or regimes. The legacy of colonial borders and state weaknesses made many Middle Eastern countries susceptible to external influence, further complicating regional politics and adding layers of conflict to the already volatile environment.</w:t>
      </w:r>
    </w:p>
    <w:p w14:paraId="533376CD" w14:textId="77777777" w:rsidR="0036078E" w:rsidRPr="0036078E" w:rsidRDefault="0036078E" w:rsidP="0036078E">
      <w:pPr>
        <w:numPr>
          <w:ilvl w:val="0"/>
          <w:numId w:val="2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U.S. and Soviet Involvement:</w:t>
      </w:r>
      <w:r w:rsidRPr="0036078E">
        <w:rPr>
          <w:rFonts w:ascii="Times New Roman" w:eastAsia="Times New Roman" w:hAnsi="Times New Roman" w:cs="Times New Roman"/>
          <w:kern w:val="0"/>
          <w:sz w:val="24"/>
          <w:szCs w:val="24"/>
          <w14:ligatures w14:val="none"/>
        </w:rPr>
        <w:t xml:space="preserve"> The United States, eager to counter Soviet influence, supported various regimes and factions aligned with Western interests, including Saudi Arabia, Iran under the Shah, and Israel. Meanwhile, the Soviet Union cultivated relationships with countries that expressed anti-imperialist and anti-Western sentiments, such as Egypt under Nasser, Syria, and Iraq. This rivalry often fueled regional conflicts, such as the </w:t>
      </w:r>
      <w:proofErr w:type="gramStart"/>
      <w:r w:rsidRPr="0036078E">
        <w:rPr>
          <w:rFonts w:ascii="Times New Roman" w:eastAsia="Times New Roman" w:hAnsi="Times New Roman" w:cs="Times New Roman"/>
          <w:kern w:val="0"/>
          <w:sz w:val="24"/>
          <w:szCs w:val="24"/>
          <w14:ligatures w14:val="none"/>
        </w:rPr>
        <w:t>Arab-Israeli</w:t>
      </w:r>
      <w:proofErr w:type="gramEnd"/>
      <w:r w:rsidRPr="0036078E">
        <w:rPr>
          <w:rFonts w:ascii="Times New Roman" w:eastAsia="Times New Roman" w:hAnsi="Times New Roman" w:cs="Times New Roman"/>
          <w:kern w:val="0"/>
          <w:sz w:val="24"/>
          <w:szCs w:val="24"/>
          <w14:ligatures w14:val="none"/>
        </w:rPr>
        <w:t xml:space="preserve"> wars, and reinforced the divisions sown by earlier colonial policies.</w:t>
      </w:r>
    </w:p>
    <w:p w14:paraId="78616811"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The Mandate System and Its Aftermath: Continuing Instability and Conflict</w:t>
      </w:r>
    </w:p>
    <w:p w14:paraId="4BE24CF6"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The End of the Mandate Era:</w:t>
      </w:r>
    </w:p>
    <w:p w14:paraId="43AF4BB7" w14:textId="77777777" w:rsidR="0036078E" w:rsidRPr="0036078E" w:rsidRDefault="0036078E" w:rsidP="0036078E">
      <w:pPr>
        <w:numPr>
          <w:ilvl w:val="0"/>
          <w:numId w:val="2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Transition to Independence and Continued Conflict:</w:t>
      </w:r>
      <w:r w:rsidRPr="0036078E">
        <w:rPr>
          <w:rFonts w:ascii="Times New Roman" w:eastAsia="Times New Roman" w:hAnsi="Times New Roman" w:cs="Times New Roman"/>
          <w:kern w:val="0"/>
          <w:sz w:val="24"/>
          <w:szCs w:val="24"/>
          <w14:ligatures w14:val="none"/>
        </w:rPr>
        <w:t xml:space="preserve"> By the mid-20th century, the mandate system was coming to an end, as Britain and France faced increasing pressure from nationalist movements and the international community to relinquish control over their territories. While most mandated territories eventually gained formal independence, the colonial legacy left behind a myriad of unresolved conflicts and challenges that have </w:t>
      </w:r>
      <w:r w:rsidRPr="0036078E">
        <w:rPr>
          <w:rFonts w:ascii="Times New Roman" w:eastAsia="Times New Roman" w:hAnsi="Times New Roman" w:cs="Times New Roman"/>
          <w:kern w:val="0"/>
          <w:sz w:val="24"/>
          <w:szCs w:val="24"/>
          <w14:ligatures w14:val="none"/>
        </w:rPr>
        <w:lastRenderedPageBreak/>
        <w:t>continued to shape the region. The departure of the colonial powers did not result in stable and prosperous states; rather, it often led to new forms of authoritarianism, external interference, and internal strife.</w:t>
      </w:r>
    </w:p>
    <w:p w14:paraId="36F876DC" w14:textId="77777777" w:rsidR="0036078E" w:rsidRPr="0036078E" w:rsidRDefault="0036078E" w:rsidP="0036078E">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36078E">
        <w:rPr>
          <w:rFonts w:ascii="Times New Roman" w:eastAsia="Times New Roman" w:hAnsi="Times New Roman" w:cs="Times New Roman"/>
          <w:b/>
          <w:bCs/>
          <w:kern w:val="0"/>
          <w:sz w:val="20"/>
          <w:szCs w:val="20"/>
          <w14:ligatures w14:val="none"/>
        </w:rPr>
        <w:t>Unresolved Questions of Identity and Sovereignty:</w:t>
      </w:r>
    </w:p>
    <w:p w14:paraId="74F4A56B" w14:textId="77777777" w:rsidR="0036078E" w:rsidRPr="0036078E" w:rsidRDefault="0036078E" w:rsidP="0036078E">
      <w:pPr>
        <w:numPr>
          <w:ilvl w:val="0"/>
          <w:numId w:val="2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National Identity and State Legitimacy:</w:t>
      </w:r>
      <w:r w:rsidRPr="0036078E">
        <w:rPr>
          <w:rFonts w:ascii="Times New Roman" w:eastAsia="Times New Roman" w:hAnsi="Times New Roman" w:cs="Times New Roman"/>
          <w:kern w:val="0"/>
          <w:sz w:val="24"/>
          <w:szCs w:val="24"/>
          <w14:ligatures w14:val="none"/>
        </w:rPr>
        <w:t xml:space="preserve"> The creation of artificial states with diverse and often antagonistic populations left unresolved questions about national identity and state legitimacy. In countries like Iraq, Syria, and Lebanon, the colonial legacy has made it difficult to forge a cohesive national identity, as competing ethnic and sectarian groups continue to vie for power and influence. The result has been ongoing struggles over what it means to be Iraqi, Syrian, or Lebanese and who has the right to govern.</w:t>
      </w:r>
    </w:p>
    <w:p w14:paraId="687AEF5B" w14:textId="77777777" w:rsidR="0036078E" w:rsidRPr="0036078E" w:rsidRDefault="0036078E" w:rsidP="0036078E">
      <w:pPr>
        <w:numPr>
          <w:ilvl w:val="0"/>
          <w:numId w:val="2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Enduring Territorial Disputes:</w:t>
      </w:r>
      <w:r w:rsidRPr="0036078E">
        <w:rPr>
          <w:rFonts w:ascii="Times New Roman" w:eastAsia="Times New Roman" w:hAnsi="Times New Roman" w:cs="Times New Roman"/>
          <w:kern w:val="0"/>
          <w:sz w:val="24"/>
          <w:szCs w:val="24"/>
          <w14:ligatures w14:val="none"/>
        </w:rPr>
        <w:t xml:space="preserve"> The legacy of colonial borders has also resulted in enduring territorial disputes between states in the Middle East. The borders drawn by British and French colonial authorities have been contested repeatedly, leading to wars and conflicts such as the Iran-Iraq War (1980-1988), the Gulf Wars (1990-1991 and 2003), and the ongoing Syrian Civil War. These conflicts have been driven, in part, by unresolved grievances and disputes over the legitimacy of state boundaries.</w:t>
      </w:r>
    </w:p>
    <w:p w14:paraId="4F3D6F11"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Conclusion: The Enduring Legacy of British and French Colonialism</w:t>
      </w:r>
    </w:p>
    <w:p w14:paraId="02DAC66E" w14:textId="77777777" w:rsidR="0036078E" w:rsidRPr="0036078E" w:rsidRDefault="0036078E" w:rsidP="0036078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kern w:val="0"/>
          <w:sz w:val="24"/>
          <w:szCs w:val="24"/>
          <w14:ligatures w14:val="none"/>
        </w:rPr>
        <w:t>The legacy of British and French colonialism in the Middle East has had profound and far-reaching consequences that continue to shape the region today. By creating artificial borders, fostering ethnic and sectarian divisions, and establishing weak and divided states, the colonial powers left behind a legacy of instability, conflict, and mistrust that has persisted long after their departure. The mandate system, with its inherent contradictions and failures, set the stage for many of the conflicts that have defined the modern Middle East, from the Israeli-Palestinian conflict to the Syrian Civil War. Understanding this colonial legacy is essential for comprehending the complexities and challenges facing the region and for seeking pathways to a more stable and peaceful future.</w:t>
      </w:r>
    </w:p>
    <w:p w14:paraId="2C228C62" w14:textId="1C0665AC"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C</w:t>
      </w:r>
      <w:r w:rsidRPr="0036078E">
        <w:rPr>
          <w:rFonts w:ascii="Times New Roman" w:eastAsia="Times New Roman" w:hAnsi="Times New Roman" w:cs="Times New Roman"/>
          <w:b/>
          <w:bCs/>
          <w:kern w:val="0"/>
          <w:sz w:val="27"/>
          <w:szCs w:val="27"/>
          <w14:ligatures w14:val="none"/>
        </w:rPr>
        <w:t>hapter 8: The Rise of Political Islam and the Failure to Create a Palestinian State</w:t>
      </w:r>
    </w:p>
    <w:p w14:paraId="44704DEA" w14:textId="77777777" w:rsidR="0036078E" w:rsidRPr="0036078E" w:rsidRDefault="0036078E" w:rsidP="0036078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kern w:val="0"/>
          <w:sz w:val="24"/>
          <w:szCs w:val="24"/>
          <w14:ligatures w14:val="none"/>
        </w:rPr>
        <w:t>Following the collapse of the British and French mandates and the establishment of the State of Israel in 1948, the Middle East entered a new phase of political and ideological transformation. The unresolved Israeli-Palestinian conflict and the colonial legacy of fragmented states and artificial borders created fertile ground for new political movements. Among these, political Islam emerged as a powerful force, responding to the failures of nationalist and secular movements to address the aspirations and grievances of the region's Muslim populations. This chapter explores the rise of political Islam, the reasons behind its appeal, and how the failure to create a viable Palestinian state contributed to radicalization and the growth of Islamist movements.</w:t>
      </w:r>
    </w:p>
    <w:p w14:paraId="2369DA55" w14:textId="77777777"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6078E">
        <w:rPr>
          <w:rFonts w:ascii="Times New Roman" w:eastAsia="Times New Roman" w:hAnsi="Times New Roman" w:cs="Times New Roman"/>
          <w:b/>
          <w:bCs/>
          <w:kern w:val="0"/>
          <w:sz w:val="27"/>
          <w:szCs w:val="27"/>
          <w14:ligatures w14:val="none"/>
        </w:rPr>
        <w:t>Historical Context: The Emergence of Political Islam and the Decline of Secular Nationalism</w:t>
      </w:r>
    </w:p>
    <w:p w14:paraId="2EE9BDEE"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lastRenderedPageBreak/>
        <w:t>The Decline of Arab Nationalism</w:t>
      </w:r>
    </w:p>
    <w:p w14:paraId="58281F23" w14:textId="77777777" w:rsidR="0036078E" w:rsidRPr="0036078E" w:rsidRDefault="0036078E" w:rsidP="0036078E">
      <w:pPr>
        <w:numPr>
          <w:ilvl w:val="0"/>
          <w:numId w:val="2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Failures of Secular Nationalist Movements:</w:t>
      </w:r>
      <w:r w:rsidRPr="0036078E">
        <w:rPr>
          <w:rFonts w:ascii="Times New Roman" w:eastAsia="Times New Roman" w:hAnsi="Times New Roman" w:cs="Times New Roman"/>
          <w:kern w:val="0"/>
          <w:sz w:val="24"/>
          <w:szCs w:val="24"/>
          <w14:ligatures w14:val="none"/>
        </w:rPr>
        <w:t xml:space="preserve"> In the wake of World War II and the decolonization process, secular Arab nationalist movements gained momentum across the Middle East. Led by figures such as Gamal Abdel Nasser in Egypt, these movements sought to unite Arab nations under a common identity, resist Western imperialism, and build strong, independent states. However, the defeat of Arab armies in the 1948 </w:t>
      </w:r>
      <w:proofErr w:type="gramStart"/>
      <w:r w:rsidRPr="0036078E">
        <w:rPr>
          <w:rFonts w:ascii="Times New Roman" w:eastAsia="Times New Roman" w:hAnsi="Times New Roman" w:cs="Times New Roman"/>
          <w:kern w:val="0"/>
          <w:sz w:val="24"/>
          <w:szCs w:val="24"/>
          <w14:ligatures w14:val="none"/>
        </w:rPr>
        <w:t>Arab-Israeli</w:t>
      </w:r>
      <w:proofErr w:type="gramEnd"/>
      <w:r w:rsidRPr="0036078E">
        <w:rPr>
          <w:rFonts w:ascii="Times New Roman" w:eastAsia="Times New Roman" w:hAnsi="Times New Roman" w:cs="Times New Roman"/>
          <w:kern w:val="0"/>
          <w:sz w:val="24"/>
          <w:szCs w:val="24"/>
          <w14:ligatures w14:val="none"/>
        </w:rPr>
        <w:t xml:space="preserve"> War, combined with economic challenges, political corruption, and a lack of democratic governance, gradually eroded the credibility of these secular nationalist movements. By the 1970s, disillusionment with Arab nationalism was widespread, as many Arabs felt it had failed to achieve its goals of unity, social justice, and liberation from foreign influence.</w:t>
      </w:r>
    </w:p>
    <w:p w14:paraId="163F6D17" w14:textId="77777777" w:rsidR="0036078E" w:rsidRPr="0036078E" w:rsidRDefault="0036078E" w:rsidP="0036078E">
      <w:pPr>
        <w:numPr>
          <w:ilvl w:val="0"/>
          <w:numId w:val="2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 xml:space="preserve">1967 </w:t>
      </w:r>
      <w:proofErr w:type="gramStart"/>
      <w:r w:rsidRPr="0036078E">
        <w:rPr>
          <w:rFonts w:ascii="Times New Roman" w:eastAsia="Times New Roman" w:hAnsi="Times New Roman" w:cs="Times New Roman"/>
          <w:b/>
          <w:bCs/>
          <w:kern w:val="0"/>
          <w:sz w:val="24"/>
          <w:szCs w:val="24"/>
          <w14:ligatures w14:val="none"/>
        </w:rPr>
        <w:t>Arab-Israeli</w:t>
      </w:r>
      <w:proofErr w:type="gramEnd"/>
      <w:r w:rsidRPr="0036078E">
        <w:rPr>
          <w:rFonts w:ascii="Times New Roman" w:eastAsia="Times New Roman" w:hAnsi="Times New Roman" w:cs="Times New Roman"/>
          <w:b/>
          <w:bCs/>
          <w:kern w:val="0"/>
          <w:sz w:val="24"/>
          <w:szCs w:val="24"/>
          <w14:ligatures w14:val="none"/>
        </w:rPr>
        <w:t xml:space="preserve"> War and the Crisis of Legitimacy:</w:t>
      </w:r>
      <w:r w:rsidRPr="0036078E">
        <w:rPr>
          <w:rFonts w:ascii="Times New Roman" w:eastAsia="Times New Roman" w:hAnsi="Times New Roman" w:cs="Times New Roman"/>
          <w:kern w:val="0"/>
          <w:sz w:val="24"/>
          <w:szCs w:val="24"/>
          <w14:ligatures w14:val="none"/>
        </w:rPr>
        <w:t xml:space="preserve"> The Six-Day War of 1967 marked a turning point in the decline of secular Arab nationalism. The swift defeat of Arab forces by Israel, resulting in the occupation of the West Bank, Gaza Strip, East Jerusalem, and the Golan Heights, exposed the weakness and disarray of Arab states. This defeat undermined the legitimacy of secular nationalist leaders and regimes, which had promised victory and the liberation of Palestine but failed to deliver. The loss of territory and the humiliation of military defeat created a vacuum that political Islam increasingly filled.</w:t>
      </w:r>
    </w:p>
    <w:p w14:paraId="1A48CA00"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The Rise of Political Islam</w:t>
      </w:r>
    </w:p>
    <w:p w14:paraId="757A0FC7" w14:textId="77777777" w:rsidR="0036078E" w:rsidRPr="0036078E" w:rsidRDefault="0036078E" w:rsidP="0036078E">
      <w:pPr>
        <w:numPr>
          <w:ilvl w:val="0"/>
          <w:numId w:val="2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Origins and Early Development:</w:t>
      </w:r>
      <w:r w:rsidRPr="0036078E">
        <w:rPr>
          <w:rFonts w:ascii="Times New Roman" w:eastAsia="Times New Roman" w:hAnsi="Times New Roman" w:cs="Times New Roman"/>
          <w:kern w:val="0"/>
          <w:sz w:val="24"/>
          <w:szCs w:val="24"/>
          <w14:ligatures w14:val="none"/>
        </w:rPr>
        <w:t xml:space="preserve"> Political Islam, or Islamism, encompasses a range of ideologies and movements that seek to apply Islamic principles and law (Sharia) to the governance of society and state. The roots of political Islam can be traced back to the early 20th century, with the founding of the Muslim Brotherhood in Egypt in 1928 by Hasan al-Banna. The Brotherhood advocated for a return to Islamic values and governance, opposing Western colonialism, secularism, and the perceived moral decline of Muslim societies. While initially a social and religious reform movement, the Brotherhood gradually became more political, advocating for an Islamic state governed by Sharia law.</w:t>
      </w:r>
    </w:p>
    <w:p w14:paraId="66BC44D2" w14:textId="77777777" w:rsidR="0036078E" w:rsidRPr="0036078E" w:rsidRDefault="0036078E" w:rsidP="0036078E">
      <w:pPr>
        <w:numPr>
          <w:ilvl w:val="0"/>
          <w:numId w:val="2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Key Figures and Ideologies:</w:t>
      </w:r>
      <w:r w:rsidRPr="0036078E">
        <w:rPr>
          <w:rFonts w:ascii="Times New Roman" w:eastAsia="Times New Roman" w:hAnsi="Times New Roman" w:cs="Times New Roman"/>
          <w:kern w:val="0"/>
          <w:sz w:val="24"/>
          <w:szCs w:val="24"/>
          <w14:ligatures w14:val="none"/>
        </w:rPr>
        <w:t xml:space="preserve"> Political Islam gained momentum in the post-colonial era through the writings and activism of influential figures such as Sayyid Qutb, Abul </w:t>
      </w:r>
      <w:proofErr w:type="spellStart"/>
      <w:r w:rsidRPr="0036078E">
        <w:rPr>
          <w:rFonts w:ascii="Times New Roman" w:eastAsia="Times New Roman" w:hAnsi="Times New Roman" w:cs="Times New Roman"/>
          <w:kern w:val="0"/>
          <w:sz w:val="24"/>
          <w:szCs w:val="24"/>
          <w14:ligatures w14:val="none"/>
        </w:rPr>
        <w:t>A'la</w:t>
      </w:r>
      <w:proofErr w:type="spellEnd"/>
      <w:r w:rsidRPr="0036078E">
        <w:rPr>
          <w:rFonts w:ascii="Times New Roman" w:eastAsia="Times New Roman" w:hAnsi="Times New Roman" w:cs="Times New Roman"/>
          <w:kern w:val="0"/>
          <w:sz w:val="24"/>
          <w:szCs w:val="24"/>
          <w14:ligatures w14:val="none"/>
        </w:rPr>
        <w:t xml:space="preserve"> </w:t>
      </w:r>
      <w:proofErr w:type="spellStart"/>
      <w:r w:rsidRPr="0036078E">
        <w:rPr>
          <w:rFonts w:ascii="Times New Roman" w:eastAsia="Times New Roman" w:hAnsi="Times New Roman" w:cs="Times New Roman"/>
          <w:kern w:val="0"/>
          <w:sz w:val="24"/>
          <w:szCs w:val="24"/>
          <w14:ligatures w14:val="none"/>
        </w:rPr>
        <w:t>Maududi</w:t>
      </w:r>
      <w:proofErr w:type="spellEnd"/>
      <w:r w:rsidRPr="0036078E">
        <w:rPr>
          <w:rFonts w:ascii="Times New Roman" w:eastAsia="Times New Roman" w:hAnsi="Times New Roman" w:cs="Times New Roman"/>
          <w:kern w:val="0"/>
          <w:sz w:val="24"/>
          <w:szCs w:val="24"/>
          <w14:ligatures w14:val="none"/>
        </w:rPr>
        <w:t xml:space="preserve">, and Ayatollah Ruhollah Khomeini. Qutb, an Egyptian intellectual and leader of the Muslim Brotherhood, argued that secular Arab governments were </w:t>
      </w:r>
      <w:proofErr w:type="gramStart"/>
      <w:r w:rsidRPr="0036078E">
        <w:rPr>
          <w:rFonts w:ascii="Times New Roman" w:eastAsia="Times New Roman" w:hAnsi="Times New Roman" w:cs="Times New Roman"/>
          <w:kern w:val="0"/>
          <w:sz w:val="24"/>
          <w:szCs w:val="24"/>
          <w14:ligatures w14:val="none"/>
        </w:rPr>
        <w:t>illegitimate</w:t>
      </w:r>
      <w:proofErr w:type="gramEnd"/>
      <w:r w:rsidRPr="0036078E">
        <w:rPr>
          <w:rFonts w:ascii="Times New Roman" w:eastAsia="Times New Roman" w:hAnsi="Times New Roman" w:cs="Times New Roman"/>
          <w:kern w:val="0"/>
          <w:sz w:val="24"/>
          <w:szCs w:val="24"/>
          <w14:ligatures w14:val="none"/>
        </w:rPr>
        <w:t xml:space="preserve"> and that Muslims were obligated to resist them. His writings, particularly </w:t>
      </w:r>
      <w:r w:rsidRPr="0036078E">
        <w:rPr>
          <w:rFonts w:ascii="Times New Roman" w:eastAsia="Times New Roman" w:hAnsi="Times New Roman" w:cs="Times New Roman"/>
          <w:i/>
          <w:iCs/>
          <w:kern w:val="0"/>
          <w:sz w:val="24"/>
          <w:szCs w:val="24"/>
          <w14:ligatures w14:val="none"/>
        </w:rPr>
        <w:t>"Milestones,"</w:t>
      </w:r>
      <w:r w:rsidRPr="0036078E">
        <w:rPr>
          <w:rFonts w:ascii="Times New Roman" w:eastAsia="Times New Roman" w:hAnsi="Times New Roman" w:cs="Times New Roman"/>
          <w:kern w:val="0"/>
          <w:sz w:val="24"/>
          <w:szCs w:val="24"/>
          <w14:ligatures w14:val="none"/>
        </w:rPr>
        <w:t xml:space="preserve"> called for a revolutionary struggle (jihad) to establish an Islamic state, laying the ideological groundwork for later radical Islamist movements. </w:t>
      </w:r>
      <w:proofErr w:type="spellStart"/>
      <w:r w:rsidRPr="0036078E">
        <w:rPr>
          <w:rFonts w:ascii="Times New Roman" w:eastAsia="Times New Roman" w:hAnsi="Times New Roman" w:cs="Times New Roman"/>
          <w:kern w:val="0"/>
          <w:sz w:val="24"/>
          <w:szCs w:val="24"/>
          <w14:ligatures w14:val="none"/>
        </w:rPr>
        <w:t>Maududi</w:t>
      </w:r>
      <w:proofErr w:type="spellEnd"/>
      <w:r w:rsidRPr="0036078E">
        <w:rPr>
          <w:rFonts w:ascii="Times New Roman" w:eastAsia="Times New Roman" w:hAnsi="Times New Roman" w:cs="Times New Roman"/>
          <w:kern w:val="0"/>
          <w:sz w:val="24"/>
          <w:szCs w:val="24"/>
          <w14:ligatures w14:val="none"/>
        </w:rPr>
        <w:t>, the founder of Jamaat-e-Islami in Pakistan, similarly called for the establishment of an Islamic state and the rejection of Western political models. In Iran, Khomeini’s revolutionary ideas eventually led to the overthrow of the Shah in 1979 and the establishment of the Islamic Republic of Iran, further inspiring Islamist movements across the Muslim world.</w:t>
      </w:r>
    </w:p>
    <w:p w14:paraId="5FA90C1F" w14:textId="77777777" w:rsidR="0036078E" w:rsidRPr="0036078E" w:rsidRDefault="0036078E" w:rsidP="0036078E">
      <w:pPr>
        <w:numPr>
          <w:ilvl w:val="0"/>
          <w:numId w:val="2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The 1979 Iranian Revolution:</w:t>
      </w:r>
      <w:r w:rsidRPr="0036078E">
        <w:rPr>
          <w:rFonts w:ascii="Times New Roman" w:eastAsia="Times New Roman" w:hAnsi="Times New Roman" w:cs="Times New Roman"/>
          <w:kern w:val="0"/>
          <w:sz w:val="24"/>
          <w:szCs w:val="24"/>
          <w14:ligatures w14:val="none"/>
        </w:rPr>
        <w:t xml:space="preserve"> The Islamic Revolution in Iran was a watershed moment that demonstrated the power of political Islam to overthrow a Western-backed secular regime and establish an Islamic state. The revolution's success inspired Islamist movements throughout the Middle East and beyond, including those in Palestine, by </w:t>
      </w:r>
      <w:r w:rsidRPr="0036078E">
        <w:rPr>
          <w:rFonts w:ascii="Times New Roman" w:eastAsia="Times New Roman" w:hAnsi="Times New Roman" w:cs="Times New Roman"/>
          <w:kern w:val="0"/>
          <w:sz w:val="24"/>
          <w:szCs w:val="24"/>
          <w14:ligatures w14:val="none"/>
        </w:rPr>
        <w:lastRenderedPageBreak/>
        <w:t>showing that an Islamic government could be established through popular uprising. The revolution also highlighted the potential of political Islam to challenge Western influence in the region, emboldening Islamist groups to pursue their goals more aggressively.</w:t>
      </w:r>
    </w:p>
    <w:p w14:paraId="7342E750" w14:textId="77777777"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6078E">
        <w:rPr>
          <w:rFonts w:ascii="Times New Roman" w:eastAsia="Times New Roman" w:hAnsi="Times New Roman" w:cs="Times New Roman"/>
          <w:b/>
          <w:bCs/>
          <w:kern w:val="0"/>
          <w:sz w:val="27"/>
          <w:szCs w:val="27"/>
          <w14:ligatures w14:val="none"/>
        </w:rPr>
        <w:t>The Failure to Create a Palestinian State: A Catalyst for Radicalization</w:t>
      </w:r>
    </w:p>
    <w:p w14:paraId="68B0D109"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Unfulfilled Aspirations for Palestinian Statehood</w:t>
      </w:r>
    </w:p>
    <w:p w14:paraId="6250328A" w14:textId="77777777" w:rsidR="0036078E" w:rsidRPr="0036078E" w:rsidRDefault="0036078E" w:rsidP="0036078E">
      <w:pPr>
        <w:numPr>
          <w:ilvl w:val="0"/>
          <w:numId w:val="2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Broken Promises and Diplomatic Failures:</w:t>
      </w:r>
      <w:r w:rsidRPr="0036078E">
        <w:rPr>
          <w:rFonts w:ascii="Times New Roman" w:eastAsia="Times New Roman" w:hAnsi="Times New Roman" w:cs="Times New Roman"/>
          <w:kern w:val="0"/>
          <w:sz w:val="24"/>
          <w:szCs w:val="24"/>
          <w14:ligatures w14:val="none"/>
        </w:rPr>
        <w:t xml:space="preserve"> The failure to create a viable Palestinian state has been one of the most significant sources of grievance and radicalization in the Middle East. Following the 1948 </w:t>
      </w:r>
      <w:proofErr w:type="gramStart"/>
      <w:r w:rsidRPr="0036078E">
        <w:rPr>
          <w:rFonts w:ascii="Times New Roman" w:eastAsia="Times New Roman" w:hAnsi="Times New Roman" w:cs="Times New Roman"/>
          <w:kern w:val="0"/>
          <w:sz w:val="24"/>
          <w:szCs w:val="24"/>
          <w14:ligatures w14:val="none"/>
        </w:rPr>
        <w:t>Arab-Israeli</w:t>
      </w:r>
      <w:proofErr w:type="gramEnd"/>
      <w:r w:rsidRPr="0036078E">
        <w:rPr>
          <w:rFonts w:ascii="Times New Roman" w:eastAsia="Times New Roman" w:hAnsi="Times New Roman" w:cs="Times New Roman"/>
          <w:kern w:val="0"/>
          <w:sz w:val="24"/>
          <w:szCs w:val="24"/>
          <w14:ligatures w14:val="none"/>
        </w:rPr>
        <w:t xml:space="preserve"> War, the UN Partition Plan of 1947, which had envisioned separate Jewish and Arab states in Palestine, was never fully implemented. Instead, Israel expanded its territory, while the West Bank was annexed by Jordan and the Gaza Strip was administered by Egypt. Palestinians, who had anticipated statehood, found themselves stateless, with no sovereign territory or political rights. Efforts to establish a Palestinian state through diplomacy, such as the 1949 Armistice Agreements, repeatedly failed, deepening Palestinian frustration and anger.</w:t>
      </w:r>
    </w:p>
    <w:p w14:paraId="39AFC408" w14:textId="77777777" w:rsidR="0036078E" w:rsidRPr="0036078E" w:rsidRDefault="0036078E" w:rsidP="0036078E">
      <w:pPr>
        <w:numPr>
          <w:ilvl w:val="0"/>
          <w:numId w:val="2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Displacement and Refugee Crisis:</w:t>
      </w:r>
      <w:r w:rsidRPr="0036078E">
        <w:rPr>
          <w:rFonts w:ascii="Times New Roman" w:eastAsia="Times New Roman" w:hAnsi="Times New Roman" w:cs="Times New Roman"/>
          <w:kern w:val="0"/>
          <w:sz w:val="24"/>
          <w:szCs w:val="24"/>
          <w14:ligatures w14:val="none"/>
        </w:rPr>
        <w:t xml:space="preserve"> The mass displacement of approximately 700,000 Palestinians during the 1948 war and their subsequent exile in refugee camps across the Arab world created a profound humanitarian crisis. The refugee camps became centers of political mobilization, resistance, and radicalization, where generations of Palestinians grew up with a deep sense of injustice and loss. The unresolved status of these refugees and their descendants, coupled with the failure of Arab states and the international community to secure a solution, became a driving force behind the rise of militant movements and calls for armed struggle against Israel.</w:t>
      </w:r>
    </w:p>
    <w:p w14:paraId="27002FF7"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The Rise of Palestinian Islamist Movements</w:t>
      </w:r>
    </w:p>
    <w:p w14:paraId="4D3CCE07" w14:textId="77777777" w:rsidR="0036078E" w:rsidRPr="0036078E" w:rsidRDefault="0036078E" w:rsidP="0036078E">
      <w:pPr>
        <w:numPr>
          <w:ilvl w:val="0"/>
          <w:numId w:val="2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From Secular to Islamist Resistance:</w:t>
      </w:r>
      <w:r w:rsidRPr="0036078E">
        <w:rPr>
          <w:rFonts w:ascii="Times New Roman" w:eastAsia="Times New Roman" w:hAnsi="Times New Roman" w:cs="Times New Roman"/>
          <w:kern w:val="0"/>
          <w:sz w:val="24"/>
          <w:szCs w:val="24"/>
          <w14:ligatures w14:val="none"/>
        </w:rPr>
        <w:t xml:space="preserve"> Initially, the Palestinian resistance was dominated by secular nationalist movements, such as the Palestine Liberation Organization (PLO) and its leading faction, Fatah, founded by Yasser Arafat. The PLO adopted a secular, socialist agenda, advocating for the establishment of a Palestinian state through armed struggle and political activism. However, the perceived failures of the PLO and other secular factions to achieve tangible results, especially after the Israeli victories in 1967 and 1973, led to growing disillusionment among Palestinians. Many began to turn to Islamist movements that promised to restore dignity, justice, and sovereignty through adherence to Islamic principles.</w:t>
      </w:r>
    </w:p>
    <w:p w14:paraId="30B8BE55" w14:textId="77777777" w:rsidR="0036078E" w:rsidRPr="0036078E" w:rsidRDefault="0036078E" w:rsidP="0036078E">
      <w:pPr>
        <w:numPr>
          <w:ilvl w:val="0"/>
          <w:numId w:val="2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Establishment of Hamas (1987):</w:t>
      </w:r>
      <w:r w:rsidRPr="0036078E">
        <w:rPr>
          <w:rFonts w:ascii="Times New Roman" w:eastAsia="Times New Roman" w:hAnsi="Times New Roman" w:cs="Times New Roman"/>
          <w:kern w:val="0"/>
          <w:sz w:val="24"/>
          <w:szCs w:val="24"/>
          <w14:ligatures w14:val="none"/>
        </w:rPr>
        <w:t xml:space="preserve"> In this context, Hamas (the Islamic Resistance Movement) was founded in 1987 during the First Intifada, a Palestinian uprising against Israeli rule in the West Bank and Gaza Strip. Hamas emerged as an offshoot of the Muslim Brotherhood in Gaza, advocating for the liberation of all Palestinian territories from Israeli control and the establishment of an Islamic state in historic Palestine. Unlike the PLO, which was willing to consider a two-state solution under certain conditions, Hamas rejected any compromise with Israel and called for an armed jihad to reclaim all of Palestine. Hamas’s charter framed the conflict in religious terms, portraying it as a struggle between Islam and Zionism, and gained significant support among Palestinians frustrated by the failure of diplomatic approaches.</w:t>
      </w:r>
    </w:p>
    <w:p w14:paraId="3A6A89E9" w14:textId="77777777" w:rsidR="0036078E" w:rsidRPr="0036078E" w:rsidRDefault="0036078E" w:rsidP="0036078E">
      <w:pPr>
        <w:numPr>
          <w:ilvl w:val="0"/>
          <w:numId w:val="2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lastRenderedPageBreak/>
        <w:t>Formation of Islamic Jihad:</w:t>
      </w:r>
      <w:r w:rsidRPr="0036078E">
        <w:rPr>
          <w:rFonts w:ascii="Times New Roman" w:eastAsia="Times New Roman" w:hAnsi="Times New Roman" w:cs="Times New Roman"/>
          <w:kern w:val="0"/>
          <w:sz w:val="24"/>
          <w:szCs w:val="24"/>
          <w14:ligatures w14:val="none"/>
        </w:rPr>
        <w:t xml:space="preserve"> Islamic Jihad, another Islamist group formed in the early 1980s, also emerged as an alternative to the PLO’s secular approach. Inspired by the Iranian Revolution and the writings of Islamist ideologues like Sayyid Qutb, Islamic Jihad sought to wage a holy war against Israel and promote an Islamic revolution in Palestine. It maintained a more radical stance than Hamas, focusing exclusively on armed resistance and rejecting any form of political negotiation or compromise with Israel.</w:t>
      </w:r>
    </w:p>
    <w:p w14:paraId="243990FA" w14:textId="77777777"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6078E">
        <w:rPr>
          <w:rFonts w:ascii="Times New Roman" w:eastAsia="Times New Roman" w:hAnsi="Times New Roman" w:cs="Times New Roman"/>
          <w:b/>
          <w:bCs/>
          <w:kern w:val="0"/>
          <w:sz w:val="27"/>
          <w:szCs w:val="27"/>
          <w14:ligatures w14:val="none"/>
        </w:rPr>
        <w:t>Radicalization and the Broader Impact of Political Islam</w:t>
      </w:r>
    </w:p>
    <w:p w14:paraId="4F7B9EC9"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The Spread of Islamist Movements Beyond Palestine</w:t>
      </w:r>
    </w:p>
    <w:p w14:paraId="5487684C" w14:textId="77777777" w:rsidR="0036078E" w:rsidRPr="0036078E" w:rsidRDefault="0036078E" w:rsidP="0036078E">
      <w:pPr>
        <w:numPr>
          <w:ilvl w:val="0"/>
          <w:numId w:val="2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Regional Influences and Connections:</w:t>
      </w:r>
      <w:r w:rsidRPr="0036078E">
        <w:rPr>
          <w:rFonts w:ascii="Times New Roman" w:eastAsia="Times New Roman" w:hAnsi="Times New Roman" w:cs="Times New Roman"/>
          <w:kern w:val="0"/>
          <w:sz w:val="24"/>
          <w:szCs w:val="24"/>
          <w14:ligatures w14:val="none"/>
        </w:rPr>
        <w:t xml:space="preserve"> The rise of Palestinian Islamist movements did not occur in isolation but was influenced by and interconnected with broader regional and global trends. The 1979 Islamic Revolution in Iran, led by Ayatollah Khomeini, served as a major inspiration for Islamist movements throughout the Muslim world, demonstrating that an Islamic state could be established through popular revolution. The success of the Iranian revolution emboldened Islamist movements in countries like Egypt, Sudan, and Algeria, which sought to replicate the Iranian model and challenged the legitimacy of secular regimes.</w:t>
      </w:r>
    </w:p>
    <w:p w14:paraId="69B91F4C" w14:textId="77777777" w:rsidR="0036078E" w:rsidRPr="0036078E" w:rsidRDefault="0036078E" w:rsidP="0036078E">
      <w:pPr>
        <w:numPr>
          <w:ilvl w:val="0"/>
          <w:numId w:val="2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Support from Regional Actors:</w:t>
      </w:r>
      <w:r w:rsidRPr="0036078E">
        <w:rPr>
          <w:rFonts w:ascii="Times New Roman" w:eastAsia="Times New Roman" w:hAnsi="Times New Roman" w:cs="Times New Roman"/>
          <w:kern w:val="0"/>
          <w:sz w:val="24"/>
          <w:szCs w:val="24"/>
          <w14:ligatures w14:val="none"/>
        </w:rPr>
        <w:t xml:space="preserve"> Islamist movements in Palestine also received support from various regional actors. Iran</w:t>
      </w:r>
      <w:proofErr w:type="gramStart"/>
      <w:r w:rsidRPr="0036078E">
        <w:rPr>
          <w:rFonts w:ascii="Times New Roman" w:eastAsia="Times New Roman" w:hAnsi="Times New Roman" w:cs="Times New Roman"/>
          <w:kern w:val="0"/>
          <w:sz w:val="24"/>
          <w:szCs w:val="24"/>
          <w14:ligatures w14:val="none"/>
        </w:rPr>
        <w:t>, in particular, became</w:t>
      </w:r>
      <w:proofErr w:type="gramEnd"/>
      <w:r w:rsidRPr="0036078E">
        <w:rPr>
          <w:rFonts w:ascii="Times New Roman" w:eastAsia="Times New Roman" w:hAnsi="Times New Roman" w:cs="Times New Roman"/>
          <w:kern w:val="0"/>
          <w:sz w:val="24"/>
          <w:szCs w:val="24"/>
          <w14:ligatures w14:val="none"/>
        </w:rPr>
        <w:t xml:space="preserve"> a key supporter of Hamas and Islamic Jihad, providing financial aid, weapons, and training to bolster their resistance against Israel. The Islamic Republic of Iran viewed support for Palestinian Islamists as a means of expanding its influence in the Arab world, countering its regional rivals, and promoting its revolutionary ideology. Similarly, other states and non-state actors, such as Hezbollah in Lebanon, offered support to Palestinian Islamist groups, creating a complex web of alliances and rivalries that shaped the dynamics of the Israeli-Palestinian conflict.</w:t>
      </w:r>
    </w:p>
    <w:p w14:paraId="7DF291D4"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Impact on Israeli-Palestinian Relations</w:t>
      </w:r>
    </w:p>
    <w:p w14:paraId="5DD16F72" w14:textId="77777777" w:rsidR="0036078E" w:rsidRPr="0036078E" w:rsidRDefault="0036078E" w:rsidP="0036078E">
      <w:pPr>
        <w:numPr>
          <w:ilvl w:val="0"/>
          <w:numId w:val="2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Cycles of Violence and Escalation:</w:t>
      </w:r>
      <w:r w:rsidRPr="0036078E">
        <w:rPr>
          <w:rFonts w:ascii="Times New Roman" w:eastAsia="Times New Roman" w:hAnsi="Times New Roman" w:cs="Times New Roman"/>
          <w:kern w:val="0"/>
          <w:sz w:val="24"/>
          <w:szCs w:val="24"/>
          <w14:ligatures w14:val="none"/>
        </w:rPr>
        <w:t xml:space="preserve"> The rise of Islamist movements such as Hamas and Islamic Jihad led to a significant shift in the dynamics of the Israeli-Palestinian conflict. These groups adopted tactics such as suicide bombings, rocket attacks, and other forms of asymmetric warfare, targeting both military and civilian sites within Israel. Their actions provoked harsh Israeli military responses, including targeted assassinations, aerial bombardments, and ground operations in the Gaza Strip and West Bank. This cycle of violence and retaliation fueled further radicalization on both sides, making it increasingly difficult to achieve a peaceful resolution.</w:t>
      </w:r>
    </w:p>
    <w:p w14:paraId="46AD44F3" w14:textId="77777777" w:rsidR="0036078E" w:rsidRPr="0036078E" w:rsidRDefault="0036078E" w:rsidP="0036078E">
      <w:pPr>
        <w:numPr>
          <w:ilvl w:val="0"/>
          <w:numId w:val="2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Challenges to Peace Negotiations:</w:t>
      </w:r>
      <w:r w:rsidRPr="0036078E">
        <w:rPr>
          <w:rFonts w:ascii="Times New Roman" w:eastAsia="Times New Roman" w:hAnsi="Times New Roman" w:cs="Times New Roman"/>
          <w:kern w:val="0"/>
          <w:sz w:val="24"/>
          <w:szCs w:val="24"/>
          <w14:ligatures w14:val="none"/>
        </w:rPr>
        <w:t xml:space="preserve"> The emergence of Hamas as a significant political and military force presented a major challenge to peace negotiations between Israel and the PLO. Hamas’s rejection of the Oslo Accords (1993) and other attempts at peace, along with its refusal to recognize Israel’s right to exist, created a major obstacle to any comprehensive peace agreement. The organization’s electoral victory in the 2006 Palestinian legislative elections, followed by its violent takeover of Gaza in 2007, further divided the Palestinian political landscape and led to the bifurcation of Palestinian governance, with Hamas controlling Gaza and the Palestinian Authority governing parts of the West Bank.</w:t>
      </w:r>
    </w:p>
    <w:p w14:paraId="003B04A2" w14:textId="77777777"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6078E">
        <w:rPr>
          <w:rFonts w:ascii="Times New Roman" w:eastAsia="Times New Roman" w:hAnsi="Times New Roman" w:cs="Times New Roman"/>
          <w:b/>
          <w:bCs/>
          <w:kern w:val="0"/>
          <w:sz w:val="27"/>
          <w:szCs w:val="27"/>
          <w14:ligatures w14:val="none"/>
        </w:rPr>
        <w:lastRenderedPageBreak/>
        <w:t>Failed Statehood, Radicalization, and the Changing Middle East</w:t>
      </w:r>
    </w:p>
    <w:p w14:paraId="732D72F8"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Impact of the Failure to Establish a Palestinian State</w:t>
      </w:r>
    </w:p>
    <w:p w14:paraId="31A0962C" w14:textId="77777777" w:rsidR="0036078E" w:rsidRPr="0036078E" w:rsidRDefault="0036078E" w:rsidP="0036078E">
      <w:pPr>
        <w:numPr>
          <w:ilvl w:val="0"/>
          <w:numId w:val="2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Entrenchment of Hostilities and Fragmentation:</w:t>
      </w:r>
      <w:r w:rsidRPr="0036078E">
        <w:rPr>
          <w:rFonts w:ascii="Times New Roman" w:eastAsia="Times New Roman" w:hAnsi="Times New Roman" w:cs="Times New Roman"/>
          <w:kern w:val="0"/>
          <w:sz w:val="24"/>
          <w:szCs w:val="24"/>
          <w14:ligatures w14:val="none"/>
        </w:rPr>
        <w:t xml:space="preserve"> The failure to create a viable Palestinian state has contributed to the entrenchment of hostilities and fragmentation within Palestinian society and the broader Arab world. The division between Hamas and the Palestinian Authority, along with the broader divide between Islamist and secular factions, has weakened Palestinian political cohesion and undermined efforts to negotiate a unified strategy for achieving statehood. The lack of a clear path to statehood has fueled despair and frustration, leading some Palestinians to support more radical solutions.</w:t>
      </w:r>
    </w:p>
    <w:p w14:paraId="78ADE46E" w14:textId="77777777" w:rsidR="0036078E" w:rsidRPr="0036078E" w:rsidRDefault="0036078E" w:rsidP="0036078E">
      <w:pPr>
        <w:numPr>
          <w:ilvl w:val="0"/>
          <w:numId w:val="2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Contributing to Regional Instability:</w:t>
      </w:r>
      <w:r w:rsidRPr="0036078E">
        <w:rPr>
          <w:rFonts w:ascii="Times New Roman" w:eastAsia="Times New Roman" w:hAnsi="Times New Roman" w:cs="Times New Roman"/>
          <w:kern w:val="0"/>
          <w:sz w:val="24"/>
          <w:szCs w:val="24"/>
          <w14:ligatures w14:val="none"/>
        </w:rPr>
        <w:t xml:space="preserve"> The unresolved Israeli-Palestinian conflict has had profound implications for regional stability. The Palestinian cause remains a rallying point for Arab and Muslim populations across the Middle East, who see it as a symbol of resistance against Western imperialism and Zionism. Islamist movements have used the Palestinian issue to bolster their legitimacy, recruit followers, and justify their actions, often leading to regional conflicts and tensions. The conflict has also drawn in various regional and global powers, further complicating the dynamics of Middle Eastern politics.</w:t>
      </w:r>
    </w:p>
    <w:p w14:paraId="422156FB" w14:textId="77777777" w:rsidR="0036078E" w:rsidRPr="0036078E" w:rsidRDefault="0036078E" w:rsidP="0036078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36078E">
        <w:rPr>
          <w:rFonts w:ascii="Times New Roman" w:eastAsia="Times New Roman" w:hAnsi="Times New Roman" w:cs="Times New Roman"/>
          <w:b/>
          <w:bCs/>
          <w:kern w:val="0"/>
          <w:sz w:val="24"/>
          <w:szCs w:val="24"/>
          <w14:ligatures w14:val="none"/>
        </w:rPr>
        <w:t>The Future of Political Islam and Palestinian Statehood</w:t>
      </w:r>
    </w:p>
    <w:p w14:paraId="1412C150" w14:textId="77777777" w:rsidR="0036078E" w:rsidRPr="0036078E" w:rsidRDefault="0036078E" w:rsidP="0036078E">
      <w:pPr>
        <w:numPr>
          <w:ilvl w:val="0"/>
          <w:numId w:val="2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Continuing Challenges and Opportunities:</w:t>
      </w:r>
      <w:r w:rsidRPr="0036078E">
        <w:rPr>
          <w:rFonts w:ascii="Times New Roman" w:eastAsia="Times New Roman" w:hAnsi="Times New Roman" w:cs="Times New Roman"/>
          <w:kern w:val="0"/>
          <w:sz w:val="24"/>
          <w:szCs w:val="24"/>
          <w14:ligatures w14:val="none"/>
        </w:rPr>
        <w:t xml:space="preserve"> The rise of political Islam and the failure to establish a Palestinian state continue to shape the political landscape of the Middle East. As Islamist movements such as Hamas and Islamic Jihad remain key players in the Israeli-Palestinian conflict, any future peace efforts must address their concerns, ideologies, and demands. At the same time, the broader regional landscape is evolving, with new geopolitical realities and shifting alliances presenting both challenges and opportunities for resolving the conflict.</w:t>
      </w:r>
    </w:p>
    <w:p w14:paraId="2E8EE3A5" w14:textId="77777777" w:rsidR="0036078E" w:rsidRPr="0036078E" w:rsidRDefault="0036078E" w:rsidP="0036078E">
      <w:pPr>
        <w:numPr>
          <w:ilvl w:val="0"/>
          <w:numId w:val="2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b/>
          <w:bCs/>
          <w:kern w:val="0"/>
          <w:sz w:val="24"/>
          <w:szCs w:val="24"/>
          <w14:ligatures w14:val="none"/>
        </w:rPr>
        <w:t>Prospects for Resolution:</w:t>
      </w:r>
      <w:r w:rsidRPr="0036078E">
        <w:rPr>
          <w:rFonts w:ascii="Times New Roman" w:eastAsia="Times New Roman" w:hAnsi="Times New Roman" w:cs="Times New Roman"/>
          <w:kern w:val="0"/>
          <w:sz w:val="24"/>
          <w:szCs w:val="24"/>
          <w14:ligatures w14:val="none"/>
        </w:rPr>
        <w:t xml:space="preserve"> For a lasting resolution to the Israeli-Palestinian conflict, it is essential to recognize and address the root causes of radicalization and the appeal of political Islam. This requires acknowledging the grievances of Palestinian populations, including the demand for statehood, rights, and dignity, while also fostering dialogue between different factions and stakeholders. It will require creative diplomacy, international support, and the willingness of all parties to compromise and seek common ground.</w:t>
      </w:r>
    </w:p>
    <w:p w14:paraId="3ABFF2A7" w14:textId="77777777" w:rsidR="0036078E" w:rsidRPr="0036078E" w:rsidRDefault="0036078E" w:rsidP="0036078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6078E">
        <w:rPr>
          <w:rFonts w:ascii="Times New Roman" w:eastAsia="Times New Roman" w:hAnsi="Times New Roman" w:cs="Times New Roman"/>
          <w:b/>
          <w:bCs/>
          <w:kern w:val="0"/>
          <w:sz w:val="27"/>
          <w:szCs w:val="27"/>
          <w14:ligatures w14:val="none"/>
        </w:rPr>
        <w:t>Conclusion: The Rise of Political Islam and Its Impact on the Middle East</w:t>
      </w:r>
    </w:p>
    <w:p w14:paraId="70CCD5F8" w14:textId="77777777" w:rsidR="0036078E" w:rsidRPr="0036078E" w:rsidRDefault="0036078E" w:rsidP="0036078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78E">
        <w:rPr>
          <w:rFonts w:ascii="Times New Roman" w:eastAsia="Times New Roman" w:hAnsi="Times New Roman" w:cs="Times New Roman"/>
          <w:kern w:val="0"/>
          <w:sz w:val="24"/>
          <w:szCs w:val="24"/>
          <w14:ligatures w14:val="none"/>
        </w:rPr>
        <w:t xml:space="preserve">The rise of political Islam in the Middle East, fueled by the failure to establish a Palestinian state and the decline of secular nationalism, has significantly reshaped the region’s political dynamics. Islamist movements, from the Muslim Brotherhood to Hamas, have emerged as powerful forces challenging the status quo, advocating for a return to Islamic values and governance, and promoting resistance against perceived foreign oppression. The failure to resolve the Israeli-Palestinian conflict and to address the aspirations of both Jews and Arabs has further entrenched these movements and complicated efforts for peace. Understanding the rise of political Islam is </w:t>
      </w:r>
      <w:r w:rsidRPr="0036078E">
        <w:rPr>
          <w:rFonts w:ascii="Times New Roman" w:eastAsia="Times New Roman" w:hAnsi="Times New Roman" w:cs="Times New Roman"/>
          <w:kern w:val="0"/>
          <w:sz w:val="24"/>
          <w:szCs w:val="24"/>
          <w14:ligatures w14:val="none"/>
        </w:rPr>
        <w:lastRenderedPageBreak/>
        <w:t>essential to comprehending the complexities of the modern Middle East and finding a path toward a more stable and just future.</w:t>
      </w:r>
    </w:p>
    <w:p w14:paraId="5601E7BB" w14:textId="77777777" w:rsidR="007216DF" w:rsidRPr="007216DF" w:rsidRDefault="007216DF" w:rsidP="007216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16DF">
        <w:rPr>
          <w:rFonts w:ascii="Times New Roman" w:eastAsia="Times New Roman" w:hAnsi="Times New Roman" w:cs="Times New Roman"/>
          <w:b/>
          <w:bCs/>
          <w:kern w:val="0"/>
          <w:sz w:val="27"/>
          <w:szCs w:val="27"/>
          <w14:ligatures w14:val="none"/>
        </w:rPr>
        <w:t>Chapter 9: The Role of Amin al-Husseini: The Grand Mufti of Jerusalem</w:t>
      </w:r>
    </w:p>
    <w:p w14:paraId="2223CF7F"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Following the rise of political Islam and the continued failure to establish a Palestinian state, Amin al-Husseini, the Grand Mufti of Jerusalem, stands out as a pivotal and controversial leader in the history of the Israeli-Palestinian conflict. His leadership during the British Mandate, alliances with Nazi Germany, and enduring influence on Palestinian nationalism have made him a central figure in debates about the region's political landscape. This chapter explores al-Husseini's rise to power, his wartime activities, and the impact of his decisions on Palestinian resistance and Middle Eastern politics.</w:t>
      </w:r>
    </w:p>
    <w:p w14:paraId="52DBF774"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Historical Context: The Rise of Amin al-Husseini as a National Leader</w:t>
      </w:r>
    </w:p>
    <w:p w14:paraId="5BB0FF72"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Early Life and Appointment as Grand Mufti:</w:t>
      </w:r>
    </w:p>
    <w:p w14:paraId="30449E3E"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Born in 1897 in Jerusalem, Amin al-Husseini came from a prominent Palestinian Arab family deeply involved in religious and political affairs. Educated in both Islamic studies and modern subjects, he served briefly in the Ottoman Army during World War I and later studied in Cairo, developing strong pan-Arabist and nationalist beliefs. After the British assumed control of Palestine, al-Husseini emerged as a significant figure in local politics, known for his opposition to Zionism and British colonialism.</w:t>
      </w:r>
    </w:p>
    <w:p w14:paraId="53778498"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 xml:space="preserve">In 1921, following the death of his half-brother, Kamil al-Husseini, British High Commissioner Herbert Samuel appointed Amin al-Husseini as the Grand Mufti of Jerusalem, despite his relative youth and limited religious credentials. Samuel, a Jewish British politician, believed that by co-opting al-Husseini—a figure already popular among Palestinian Arabs for his nationalist stance—the British could moderate Arab resistance and stabilize the situation in Palestine. This decision </w:t>
      </w:r>
      <w:proofErr w:type="gramStart"/>
      <w:r w:rsidRPr="007216DF">
        <w:rPr>
          <w:rFonts w:ascii="Times New Roman" w:eastAsia="Times New Roman" w:hAnsi="Times New Roman" w:cs="Times New Roman"/>
          <w:kern w:val="0"/>
          <w:sz w:val="24"/>
          <w:szCs w:val="24"/>
          <w14:ligatures w14:val="none"/>
        </w:rPr>
        <w:t>was based on the assumption</w:t>
      </w:r>
      <w:proofErr w:type="gramEnd"/>
      <w:r w:rsidRPr="007216DF">
        <w:rPr>
          <w:rFonts w:ascii="Times New Roman" w:eastAsia="Times New Roman" w:hAnsi="Times New Roman" w:cs="Times New Roman"/>
          <w:kern w:val="0"/>
          <w:sz w:val="24"/>
          <w:szCs w:val="24"/>
          <w14:ligatures w14:val="none"/>
        </w:rPr>
        <w:t xml:space="preserve"> that al-Husseini, with his family’s influence, could help bridge the gap between the British authorities and the local Arab population. However, this strategy backfired spectacularly.</w:t>
      </w:r>
    </w:p>
    <w:p w14:paraId="2B268D6B"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The Consequences of a Miscalculated Decision:</w:t>
      </w:r>
    </w:p>
    <w:p w14:paraId="010BFF51"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The appointment gave al-Husseini significant control over religious and political affairs in Palestine. He quickly consolidated power, using his position to strengthen Arab resistance against both Zionist immigration and British rule. His leadership was marked by increased tensions, such as the 1929 Hebron massacre and the 1936 Arab Revolt, where he played a crucial role in organizing and inciting violence. Rather than moderating Arab opposition, al-Husseini’s influence heightened resistance and deepened divisions. His actions directly challenged British authority, forcing them to adopt stricter security measures and tougher immigration policies, which only further inflamed tensions.</w:t>
      </w:r>
    </w:p>
    <w:p w14:paraId="444E77CE"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Leadership During the British Mandate:</w:t>
      </w:r>
    </w:p>
    <w:p w14:paraId="1156E837"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Formation of the Supreme Muslim Council:</w:t>
      </w:r>
    </w:p>
    <w:p w14:paraId="4E1744C5"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lastRenderedPageBreak/>
        <w:t xml:space="preserve">As Grand Mufti, al-Husseini was also appointed the head of the Supreme Muslim Council, a body established by the British to manage Islamic religious affairs and properties. This role gave him control over substantial financial resources and a platform to promote his nationalist agenda. He used this influence </w:t>
      </w:r>
      <w:proofErr w:type="gramStart"/>
      <w:r w:rsidRPr="007216DF">
        <w:rPr>
          <w:rFonts w:ascii="Times New Roman" w:eastAsia="Times New Roman" w:hAnsi="Times New Roman" w:cs="Times New Roman"/>
          <w:kern w:val="0"/>
          <w:sz w:val="24"/>
          <w:szCs w:val="24"/>
          <w14:ligatures w14:val="none"/>
        </w:rPr>
        <w:t>to</w:t>
      </w:r>
      <w:proofErr w:type="gramEnd"/>
      <w:r w:rsidRPr="007216DF">
        <w:rPr>
          <w:rFonts w:ascii="Times New Roman" w:eastAsia="Times New Roman" w:hAnsi="Times New Roman" w:cs="Times New Roman"/>
          <w:kern w:val="0"/>
          <w:sz w:val="24"/>
          <w:szCs w:val="24"/>
          <w14:ligatures w14:val="none"/>
        </w:rPr>
        <w:t xml:space="preserve"> campaign vigorously against Jewish immigration and land acquisitions, which were increasing under the terms of the Balfour Declaration and British Mandate policies. Al-Husseini portrayed the conflict not only as a struggle for national rights but also as a defense of Islamic holy sites, particularly the Al-Aqsa Mosque, framing it as a religious duty for Muslims to resist Zionist encroachment.</w:t>
      </w:r>
    </w:p>
    <w:p w14:paraId="6DB61BA5"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Polarizing Palestinian Politics:</w:t>
      </w:r>
    </w:p>
    <w:p w14:paraId="7E4F8039"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Al-Husseini's leadership style polarized Palestinian politics. While he garnered significant support from those who saw him as a defender of Palestinian and Muslim rights, he alienated other factions, including those who favored negotiation or compromise. His uncompromising stance made it difficult for more moderate voices to emerge within the Palestinian national movement, contributing to a fractured political landscape that struggled to unite around a common strategy.</w:t>
      </w:r>
    </w:p>
    <w:p w14:paraId="4AF71181"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Collaboration with Nazi Germany and Wartime Activities</w:t>
      </w:r>
    </w:p>
    <w:p w14:paraId="03675304"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Exile and Alliance with the Nazis:</w:t>
      </w:r>
    </w:p>
    <w:p w14:paraId="2DE86911"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Following his involvement in the 1936–1939 Arab Revolt, the British sought to arrest al-Husseini, prompting him to flee Palestine in 1937. After a failed pro-Axis coup in Iraq in 1941, he escaped to fascist Italy and then Nazi Germany, where he sought support against both British rule and Zionism. In Berlin, al-Husseini met with key Nazi leaders, including Adolf Hitler, Heinrich Himmler, and Joachim von Ribbentrop. He presented himself as a natural ally in the fight against the British Empire and Zionism, pledging Arab support for the Nazi war effort in exchange for German assistance in preventing Jewish immigration to Palestine.</w:t>
      </w:r>
    </w:p>
    <w:p w14:paraId="481375E3"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Consequences of His Wartime Actions:</w:t>
      </w:r>
    </w:p>
    <w:p w14:paraId="2D9E4E99"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 xml:space="preserve">While in Germany, al-Husseini engaged in various activities to support the Nazi regime. He broadcast propaganda in Arabic, urging Arabs to support the Axis powers and resist British and Zionist influence. He also played a significant role in recruiting Muslim volunteers for the Waffen-SS, such as the </w:t>
      </w:r>
      <w:proofErr w:type="spellStart"/>
      <w:r w:rsidRPr="007216DF">
        <w:rPr>
          <w:rFonts w:ascii="Times New Roman" w:eastAsia="Times New Roman" w:hAnsi="Times New Roman" w:cs="Times New Roman"/>
          <w:kern w:val="0"/>
          <w:sz w:val="24"/>
          <w:szCs w:val="24"/>
          <w14:ligatures w14:val="none"/>
        </w:rPr>
        <w:t>Handschar</w:t>
      </w:r>
      <w:proofErr w:type="spellEnd"/>
      <w:r w:rsidRPr="007216DF">
        <w:rPr>
          <w:rFonts w:ascii="Times New Roman" w:eastAsia="Times New Roman" w:hAnsi="Times New Roman" w:cs="Times New Roman"/>
          <w:kern w:val="0"/>
          <w:sz w:val="24"/>
          <w:szCs w:val="24"/>
          <w14:ligatures w14:val="none"/>
        </w:rPr>
        <w:t xml:space="preserve"> Division, which participated in brutal anti-partisan operations in the Balkans.</w:t>
      </w:r>
    </w:p>
    <w:p w14:paraId="2D3A01D9"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Al-Husseini's alliance with Nazi Germany had far-reaching consequences. His close association with the Nazis, along with his outspoken anti-Semitism, damaged the Palestinian cause in the eyes of the Western world, particularly after World War II. His lobbying efforts to block Jewish refugees from escaping to Palestine, while not directly involved in the Holocaust, have been criticized for their alignment with Nazi objectives. These actions left a stain on his legacy and provided ammunition for those who sought to discredit Palestinian nationalism by associating it with Nazi sympathies.</w:t>
      </w:r>
    </w:p>
    <w:p w14:paraId="2565B980"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Al-Husseini’s Influence on Palestinian Nationalism and Arab Politics</w:t>
      </w:r>
    </w:p>
    <w:p w14:paraId="4A8A2AE8"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lastRenderedPageBreak/>
        <w:t>Shaping Palestinian Nationalism:</w:t>
      </w:r>
    </w:p>
    <w:p w14:paraId="319CE418"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Al-Husseini remains a symbol of Palestinian resistance against British colonialism and Zionism. His leadership emphasized the religious and national aspects of the Palestinian struggle, portraying it as a sacred duty to defend Islamic holy sites. This framing continues to resonate with many Palestinians and Muslims worldwide, keeping his legacy alive in the narrative of resistance.</w:t>
      </w:r>
    </w:p>
    <w:p w14:paraId="6AE73014"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However, his leadership also created a lasting polarization within Palestinian politics. His refusal to consider compromise, coupled with his alliance with the Nazis, made it difficult for moderate voices to gain prominence. This uncompromising approach influenced future Palestinian leaders, including Yasser Arafat, and has contributed to a legacy of mistrust and zero-sum thinking in the conflict.</w:t>
      </w:r>
    </w:p>
    <w:p w14:paraId="422C546B"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Impact on Broader Arab Politics:</w:t>
      </w:r>
    </w:p>
    <w:p w14:paraId="39AF6F1A"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Al-Husseini’s emphasis on the religious dimension of the Palestinian struggle helped lay the groundwork for the rise of political Islam in Palestine and the broader Arab world. His rhetoric of resistance and martyrdom continues to be echoed by groups like Hamas, who frame their fight against Israel in similar religious and nationalist terms. His legacy also complicates Arab-Israeli relations, as his collaboration with Nazi Germany remains a controversial and divisive issue.</w:t>
      </w:r>
    </w:p>
    <w:p w14:paraId="1A46174F"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Controversies and Legacy: Reassessing Amin al-Husseini’s Role</w:t>
      </w:r>
    </w:p>
    <w:p w14:paraId="0DF8E388"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Debates Over His Role and Influence:</w:t>
      </w:r>
    </w:p>
    <w:p w14:paraId="203D83DE"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Historians continue to debate al-Husseini's impact on Palestinian nationalism and Arab politics. Some view him as a pragmatic leader seeking international support for a beleaguered cause, while others see him as an ideologically driven figure whose actions, particularly during World War II, tainted the Palestinian struggle for independence. His influence on subsequent Palestinian leaders and his role in shaping the narrative of resistance remains a topic of contention.</w:t>
      </w:r>
    </w:p>
    <w:p w14:paraId="72F89C9C"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Continuing Influence in Modern Politics:</w:t>
      </w:r>
    </w:p>
    <w:p w14:paraId="469CF905"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Al-Husseini’s image as a symbol of resistance to Zionism and Western imperialism continues to resonate in contemporary Palestinian and Arab discourse. His legacy is invoked by those who oppose normalization with Israel, while his rhetoric around Jerusalem and Islamic holy sites remains highly relevant. At the same time, his controversial wartime alliances and uncompromising stance complicate efforts for peace and reconciliation, highlighting the challenges of moving beyond a deeply entrenched conflict.</w:t>
      </w:r>
    </w:p>
    <w:p w14:paraId="0F0A0179"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Conclusion: Al-Husseini's Complex Legacy in Palestinian and Middle Eastern History</w:t>
      </w:r>
    </w:p>
    <w:p w14:paraId="0DE72B78"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 xml:space="preserve">Amin al-Husseini's tenure as Grand Mufti of Jerusalem, his leadership of the Palestinian resistance, and his controversial wartime activities in Nazi Germany make him one of the most enigmatic figures in the Israeli-Palestinian conflict. His role in shaping Palestinian nationalism </w:t>
      </w:r>
      <w:r w:rsidRPr="007216DF">
        <w:rPr>
          <w:rFonts w:ascii="Times New Roman" w:eastAsia="Times New Roman" w:hAnsi="Times New Roman" w:cs="Times New Roman"/>
          <w:kern w:val="0"/>
          <w:sz w:val="24"/>
          <w:szCs w:val="24"/>
          <w14:ligatures w14:val="none"/>
        </w:rPr>
        <w:lastRenderedPageBreak/>
        <w:t>and influencing Arab politics is undeniable, but his legacy is fraught with complexities and contradictions. While he is revered by some as a symbol of resistance, his alliances and actions have also cast a long shadow over the Palestinian cause, affecting its global perception and internal dynamics. Understanding al-Husseini's life, actions, and legacy is essential for understanding the historical roots of the Israeli-Palestinian conflict and the broader political currents that continue to shape the Middle East today.</w:t>
      </w:r>
    </w:p>
    <w:p w14:paraId="04DD938E" w14:textId="77777777" w:rsidR="007216DF" w:rsidRPr="007216DF" w:rsidRDefault="007216DF" w:rsidP="007216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16DF">
        <w:rPr>
          <w:rFonts w:ascii="Times New Roman" w:eastAsia="Times New Roman" w:hAnsi="Times New Roman" w:cs="Times New Roman"/>
          <w:b/>
          <w:bCs/>
          <w:kern w:val="0"/>
          <w:sz w:val="27"/>
          <w:szCs w:val="27"/>
          <w14:ligatures w14:val="none"/>
        </w:rPr>
        <w:t>Chapter 10: The Rise of Palestinian Global Terrorism: Creating Modern Tactics of Terrorism</w:t>
      </w:r>
    </w:p>
    <w:p w14:paraId="437264FC"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Palestinian groups have played a significant role in shaping modern terrorism, introducing tactics and strategies that have had profound global implications. This chapter examines the origins of these tactics, the key attacks that brought them to the world’s attention, and the global impact of Palestinian terrorism on security policies, counterterrorism strategies, and international relations. From the early 1960s, Palestinian groups like the Palestine Liberation Organization (PLO) and its various factions, including Fatah and the Popular Front for the Liberation of Palestine (PFLP), pioneered tactics such as hijackings, bombings, and hostage-taking that have since become central to the playbook of terrorist organizations worldwide.</w:t>
      </w:r>
    </w:p>
    <w:p w14:paraId="1698EC72"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Historical Context: Origins of Modern Terrorist Tactics Developed by Palestinian Groups</w:t>
      </w:r>
    </w:p>
    <w:p w14:paraId="03B37D2D"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Formation of Palestinian Guerrilla Groups:</w:t>
      </w:r>
    </w:p>
    <w:p w14:paraId="17D5DDD3" w14:textId="77777777" w:rsidR="007216DF" w:rsidRPr="007216DF" w:rsidRDefault="007216DF" w:rsidP="007216DF">
      <w:pPr>
        <w:numPr>
          <w:ilvl w:val="0"/>
          <w:numId w:val="2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Birth of Palestinian Resistance Movements:</w:t>
      </w:r>
      <w:r w:rsidRPr="007216DF">
        <w:rPr>
          <w:rFonts w:ascii="Times New Roman" w:eastAsia="Times New Roman" w:hAnsi="Times New Roman" w:cs="Times New Roman"/>
          <w:kern w:val="0"/>
          <w:sz w:val="24"/>
          <w:szCs w:val="24"/>
          <w14:ligatures w14:val="none"/>
        </w:rPr>
        <w:t xml:space="preserve"> The 1967 Six-Day War, which resulted in the Israeli occupation of the West Bank, Gaza Strip, and East Jerusalem, intensified Palestinian nationalism and gave rise to a new generation of militant organizations. Frustrated by the failure of Arab states to defeat Israel and achieve Palestinian independence, many Palestinians began to support armed struggle as the primary means of achieving their goals. The PLO, under Yasser Arafat’s leadership, became the umbrella organization for various Palestinian groups advocating for armed resistance against Israel. The PLO's charter called for the "liberation of Palestine" through armed struggle, setting the stage for a wave of militant activities in the years to follow.</w:t>
      </w:r>
    </w:p>
    <w:p w14:paraId="02AB9D28" w14:textId="77777777" w:rsidR="007216DF" w:rsidRPr="007216DF" w:rsidRDefault="007216DF" w:rsidP="007216DF">
      <w:pPr>
        <w:numPr>
          <w:ilvl w:val="0"/>
          <w:numId w:val="2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Influence of International Leftist Movements:</w:t>
      </w:r>
      <w:r w:rsidRPr="007216DF">
        <w:rPr>
          <w:rFonts w:ascii="Times New Roman" w:eastAsia="Times New Roman" w:hAnsi="Times New Roman" w:cs="Times New Roman"/>
          <w:kern w:val="0"/>
          <w:sz w:val="24"/>
          <w:szCs w:val="24"/>
          <w14:ligatures w14:val="none"/>
        </w:rPr>
        <w:t xml:space="preserve"> The late 1960s and early 1970s were marked by the rise of global revolutionary movements, including anti-colonial struggles in Africa, Asia, and Latin America, and radical leftist organizations in Europe and North America. Palestinian groups, particularly the PFLP, drew inspiration from these movements, adopting guerrilla tactics and Marxist-Leninist ideologies. The PFLP, led by George Habash, explicitly linked the Palestinian cause to broader anti-imperialist struggles, framing their fight against Israel as part of a global resistance against Western colonialism and capitalism. This ideological alignment facilitated cooperation with other revolutionary groups, such as the Japanese Red Army, the Baader-</w:t>
      </w:r>
      <w:proofErr w:type="spellStart"/>
      <w:r w:rsidRPr="007216DF">
        <w:rPr>
          <w:rFonts w:ascii="Times New Roman" w:eastAsia="Times New Roman" w:hAnsi="Times New Roman" w:cs="Times New Roman"/>
          <w:kern w:val="0"/>
          <w:sz w:val="24"/>
          <w:szCs w:val="24"/>
          <w14:ligatures w14:val="none"/>
        </w:rPr>
        <w:t>Meinhof</w:t>
      </w:r>
      <w:proofErr w:type="spellEnd"/>
      <w:r w:rsidRPr="007216DF">
        <w:rPr>
          <w:rFonts w:ascii="Times New Roman" w:eastAsia="Times New Roman" w:hAnsi="Times New Roman" w:cs="Times New Roman"/>
          <w:kern w:val="0"/>
          <w:sz w:val="24"/>
          <w:szCs w:val="24"/>
          <w14:ligatures w14:val="none"/>
        </w:rPr>
        <w:t xml:space="preserve"> Group, and the Irish Republican Army (IRA), and laid the groundwork for the internationalization of Palestinian terrorism.</w:t>
      </w:r>
    </w:p>
    <w:p w14:paraId="0CB8AF2C"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Development of Terrorist Tactics:</w:t>
      </w:r>
    </w:p>
    <w:p w14:paraId="2424E1D6" w14:textId="77777777" w:rsidR="007216DF" w:rsidRPr="007216DF" w:rsidRDefault="007216DF" w:rsidP="007216DF">
      <w:pPr>
        <w:numPr>
          <w:ilvl w:val="0"/>
          <w:numId w:val="2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lastRenderedPageBreak/>
        <w:t>Shift to International Terrorism:</w:t>
      </w:r>
      <w:r w:rsidRPr="007216DF">
        <w:rPr>
          <w:rFonts w:ascii="Times New Roman" w:eastAsia="Times New Roman" w:hAnsi="Times New Roman" w:cs="Times New Roman"/>
          <w:kern w:val="0"/>
          <w:sz w:val="24"/>
          <w:szCs w:val="24"/>
          <w14:ligatures w14:val="none"/>
        </w:rPr>
        <w:t xml:space="preserve"> In the late 1960s, Palestinian groups shifted from primarily targeting Israeli soldiers and settlers in the occupied territories to attacking Israeli and Jewish targets abroad, as well as international entities perceived as supporting Israel. This change was partly driven by a desire to internationalize the Palestinian struggle and gain global attention for their cause. The PFLP pioneered airplane hijackings as a means of propaganda and political leverage, beginning with the hijacking of an El Al flight from Rome to Tel Aviv in July 1968. The hijacking was designed to dramatize the Palestinian cause and force international governments to take notice.</w:t>
      </w:r>
    </w:p>
    <w:p w14:paraId="35F897B7" w14:textId="77777777" w:rsidR="007216DF" w:rsidRPr="007216DF" w:rsidRDefault="007216DF" w:rsidP="007216DF">
      <w:pPr>
        <w:numPr>
          <w:ilvl w:val="0"/>
          <w:numId w:val="2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Use of Hijackings and Hostage-Taking:</w:t>
      </w:r>
      <w:r w:rsidRPr="007216DF">
        <w:rPr>
          <w:rFonts w:ascii="Times New Roman" w:eastAsia="Times New Roman" w:hAnsi="Times New Roman" w:cs="Times New Roman"/>
          <w:kern w:val="0"/>
          <w:sz w:val="24"/>
          <w:szCs w:val="24"/>
          <w14:ligatures w14:val="none"/>
        </w:rPr>
        <w:t xml:space="preserve"> Palestinian groups quickly recognized the tactical advantages of hijackings and hostage-taking. These acts could be carried out with relatively few resources, attract significant media coverage, and exert pressure on governments to negotiate, release prisoners, or make political concessions. For example, in 1970, the PFLP simultaneously hijacked four aircraft and diverted them to a remote airstrip in Jordan known as Dawson's Field, where they held the </w:t>
      </w:r>
      <w:proofErr w:type="gramStart"/>
      <w:r w:rsidRPr="007216DF">
        <w:rPr>
          <w:rFonts w:ascii="Times New Roman" w:eastAsia="Times New Roman" w:hAnsi="Times New Roman" w:cs="Times New Roman"/>
          <w:kern w:val="0"/>
          <w:sz w:val="24"/>
          <w:szCs w:val="24"/>
          <w14:ligatures w14:val="none"/>
        </w:rPr>
        <w:t>passengers</w:t>
      </w:r>
      <w:proofErr w:type="gramEnd"/>
      <w:r w:rsidRPr="007216DF">
        <w:rPr>
          <w:rFonts w:ascii="Times New Roman" w:eastAsia="Times New Roman" w:hAnsi="Times New Roman" w:cs="Times New Roman"/>
          <w:kern w:val="0"/>
          <w:sz w:val="24"/>
          <w:szCs w:val="24"/>
          <w14:ligatures w14:val="none"/>
        </w:rPr>
        <w:t xml:space="preserve"> hostage and demanded the release of Palestinian militants imprisoned in Europe and Israel. This operation showcased their ability to coordinate complex attacks across multiple countries, capturing global headlines and forcing international attention on their demands.</w:t>
      </w:r>
    </w:p>
    <w:p w14:paraId="1CE10EED" w14:textId="77777777" w:rsidR="007216DF" w:rsidRPr="007216DF" w:rsidRDefault="007216DF" w:rsidP="007216DF">
      <w:pPr>
        <w:numPr>
          <w:ilvl w:val="0"/>
          <w:numId w:val="2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Introduction of Suicide Bombings:</w:t>
      </w:r>
      <w:r w:rsidRPr="007216DF">
        <w:rPr>
          <w:rFonts w:ascii="Times New Roman" w:eastAsia="Times New Roman" w:hAnsi="Times New Roman" w:cs="Times New Roman"/>
          <w:kern w:val="0"/>
          <w:sz w:val="24"/>
          <w:szCs w:val="24"/>
          <w14:ligatures w14:val="none"/>
        </w:rPr>
        <w:t xml:space="preserve"> Although suicide bombings would become a more prominent tactic in the late 1980s and 1990s, their conceptual roots can be traced back to Palestinian groups. Early operations involved high-risk missions where survival was unlikely, signaling a willingness to sacrifice individual operatives for strategic gains. Groups like Hamas and Palestinian Islamic Jihad later adopted suicide bombings extensively during the First and Second Intifadas.</w:t>
      </w:r>
    </w:p>
    <w:p w14:paraId="0106682D"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Key Attacks: Analysis of Significant Incidents Like the Munich Olympics Massacre (1972)</w:t>
      </w:r>
    </w:p>
    <w:p w14:paraId="6DD74429"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Munich Olympics Massacre (1972):</w:t>
      </w:r>
    </w:p>
    <w:p w14:paraId="765ED37A" w14:textId="77777777" w:rsidR="007216DF" w:rsidRPr="007216DF" w:rsidRDefault="007216DF" w:rsidP="007216DF">
      <w:pPr>
        <w:numPr>
          <w:ilvl w:val="0"/>
          <w:numId w:val="2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Overview of the Attack:</w:t>
      </w:r>
      <w:r w:rsidRPr="007216DF">
        <w:rPr>
          <w:rFonts w:ascii="Times New Roman" w:eastAsia="Times New Roman" w:hAnsi="Times New Roman" w:cs="Times New Roman"/>
          <w:kern w:val="0"/>
          <w:sz w:val="24"/>
          <w:szCs w:val="24"/>
          <w14:ligatures w14:val="none"/>
        </w:rPr>
        <w:t xml:space="preserve"> On September 5, 1972, eight members of Black September, a Palestinian militant faction affiliated with Fatah, stormed the Israeli team’s quarters at the Munich Olympic Village. The terrorists killed two Israeli athletes and took nine others hostage, demanding the release of 234 Palestinian prisoners held in Israeli jails, along with two German-held radicals. The incident, broadcast live on television worldwide, culminated in a failed rescue attempt by German police at the </w:t>
      </w:r>
      <w:proofErr w:type="spellStart"/>
      <w:r w:rsidRPr="007216DF">
        <w:rPr>
          <w:rFonts w:ascii="Times New Roman" w:eastAsia="Times New Roman" w:hAnsi="Times New Roman" w:cs="Times New Roman"/>
          <w:kern w:val="0"/>
          <w:sz w:val="24"/>
          <w:szCs w:val="24"/>
          <w14:ligatures w14:val="none"/>
        </w:rPr>
        <w:t>Fürstenfeldbruck</w:t>
      </w:r>
      <w:proofErr w:type="spellEnd"/>
      <w:r w:rsidRPr="007216DF">
        <w:rPr>
          <w:rFonts w:ascii="Times New Roman" w:eastAsia="Times New Roman" w:hAnsi="Times New Roman" w:cs="Times New Roman"/>
          <w:kern w:val="0"/>
          <w:sz w:val="24"/>
          <w:szCs w:val="24"/>
          <w14:ligatures w14:val="none"/>
        </w:rPr>
        <w:t xml:space="preserve"> airbase, resulting in the deaths of all nine hostages, five of the terrorists, and a German police officer.</w:t>
      </w:r>
    </w:p>
    <w:p w14:paraId="2EE3DAFE" w14:textId="77777777" w:rsidR="007216DF" w:rsidRPr="007216DF" w:rsidRDefault="007216DF" w:rsidP="007216DF">
      <w:pPr>
        <w:numPr>
          <w:ilvl w:val="0"/>
          <w:numId w:val="2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Impact and Significance:</w:t>
      </w:r>
      <w:r w:rsidRPr="007216DF">
        <w:rPr>
          <w:rFonts w:ascii="Times New Roman" w:eastAsia="Times New Roman" w:hAnsi="Times New Roman" w:cs="Times New Roman"/>
          <w:kern w:val="0"/>
          <w:sz w:val="24"/>
          <w:szCs w:val="24"/>
          <w14:ligatures w14:val="none"/>
        </w:rPr>
        <w:t xml:space="preserve"> The Munich massacre was a watershed moment in the history of modern terrorism. It marked the first time a terrorist attack was broadcast live across the globe, bringing the Palestinian cause to the forefront of international consciousness. The attack underscored the vulnerability of civilian targets and highlighted the inadequacy of existing counterterrorism measures. It also demonstrated how terrorists could use the media to amplify their message and exert psychological pressure on both their immediate targets and the global audience.</w:t>
      </w:r>
    </w:p>
    <w:p w14:paraId="76551CDC"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Air France Flight 139 Hijacking (1976):</w:t>
      </w:r>
    </w:p>
    <w:p w14:paraId="3A4114EA" w14:textId="77777777" w:rsidR="007216DF" w:rsidRPr="007216DF" w:rsidRDefault="007216DF" w:rsidP="007216DF">
      <w:pPr>
        <w:numPr>
          <w:ilvl w:val="0"/>
          <w:numId w:val="2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lastRenderedPageBreak/>
        <w:t>Overview of the Attack:</w:t>
      </w:r>
      <w:r w:rsidRPr="007216DF">
        <w:rPr>
          <w:rFonts w:ascii="Times New Roman" w:eastAsia="Times New Roman" w:hAnsi="Times New Roman" w:cs="Times New Roman"/>
          <w:kern w:val="0"/>
          <w:sz w:val="24"/>
          <w:szCs w:val="24"/>
          <w14:ligatures w14:val="none"/>
        </w:rPr>
        <w:t xml:space="preserve"> On June 27, 1976, two members of the PFLP and two German militants from the Revolutionary Cells hijacked Air France Flight 139, which was </w:t>
      </w:r>
      <w:proofErr w:type="spellStart"/>
      <w:r w:rsidRPr="007216DF">
        <w:rPr>
          <w:rFonts w:ascii="Times New Roman" w:eastAsia="Times New Roman" w:hAnsi="Times New Roman" w:cs="Times New Roman"/>
          <w:kern w:val="0"/>
          <w:sz w:val="24"/>
          <w:szCs w:val="24"/>
          <w14:ligatures w14:val="none"/>
        </w:rPr>
        <w:t>en</w:t>
      </w:r>
      <w:proofErr w:type="spellEnd"/>
      <w:r w:rsidRPr="007216DF">
        <w:rPr>
          <w:rFonts w:ascii="Times New Roman" w:eastAsia="Times New Roman" w:hAnsi="Times New Roman" w:cs="Times New Roman"/>
          <w:kern w:val="0"/>
          <w:sz w:val="24"/>
          <w:szCs w:val="24"/>
          <w14:ligatures w14:val="none"/>
        </w:rPr>
        <w:t xml:space="preserve"> route from Tel Aviv to Paris via Athens. The plane, with 248 passengers on board, was diverted to Entebbe, Uganda, where the hijackers were joined by additional militants. They separated the Israeli and Jewish passengers from the others and demanded the release of 40 Palestinians held in Israel and 13 other militants imprisoned in various countries. The hijacking ended with a dramatic rescue operation by Israeli commandos, known as Operation Entebbe or Operation Thunderbolt, resulting in the liberation of 102 hostages and the deaths of all but one of the hijackers.</w:t>
      </w:r>
    </w:p>
    <w:p w14:paraId="6DCC2B8C" w14:textId="77777777" w:rsidR="007216DF" w:rsidRPr="007216DF" w:rsidRDefault="007216DF" w:rsidP="007216DF">
      <w:pPr>
        <w:numPr>
          <w:ilvl w:val="0"/>
          <w:numId w:val="2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Impact and Significance:</w:t>
      </w:r>
      <w:r w:rsidRPr="007216DF">
        <w:rPr>
          <w:rFonts w:ascii="Times New Roman" w:eastAsia="Times New Roman" w:hAnsi="Times New Roman" w:cs="Times New Roman"/>
          <w:kern w:val="0"/>
          <w:sz w:val="24"/>
          <w:szCs w:val="24"/>
          <w14:ligatures w14:val="none"/>
        </w:rPr>
        <w:t xml:space="preserve"> The Entebbe hijacking and subsequent rescue demonstrated the ability of Palestinian groups to carry out complex, long-distance operations with international collaborators. It underscored the global reach of Palestinian terrorism and the willingness of these groups to target civilians to achieve political aims. The incident also prompted countries worldwide to reassess and strengthen their aviation security measures, leading to stricter airport screening procedures, better coordination among security agencies, and new counterterrorism protocols.</w:t>
      </w:r>
    </w:p>
    <w:p w14:paraId="4CAF9232"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Global Impact: Influence of Palestinian Terrorism on Global Security and Counterterrorism Strategies</w:t>
      </w:r>
    </w:p>
    <w:p w14:paraId="06885738"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Shaping International Counterterrorism Measures:</w:t>
      </w:r>
    </w:p>
    <w:p w14:paraId="3786A4A9" w14:textId="77777777" w:rsidR="007216DF" w:rsidRPr="007216DF" w:rsidRDefault="007216DF" w:rsidP="007216DF">
      <w:pPr>
        <w:numPr>
          <w:ilvl w:val="0"/>
          <w:numId w:val="2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Aviation Security Reforms:</w:t>
      </w:r>
      <w:r w:rsidRPr="007216DF">
        <w:rPr>
          <w:rFonts w:ascii="Times New Roman" w:eastAsia="Times New Roman" w:hAnsi="Times New Roman" w:cs="Times New Roman"/>
          <w:kern w:val="0"/>
          <w:sz w:val="24"/>
          <w:szCs w:val="24"/>
          <w14:ligatures w14:val="none"/>
        </w:rPr>
        <w:t xml:space="preserve"> The hijackings and bombings carried out by Palestinian groups fundamentally changed global aviation security. Governments worldwide implemented comprehensive security measures, such as fortified cockpit doors, armed air marshals, passenger screening, and international cooperation on intelligence sharing and crisis management. These responses to Palestinian terrorism laid the foundation for modern aviation security practices.</w:t>
      </w:r>
    </w:p>
    <w:p w14:paraId="4367AC67" w14:textId="77777777" w:rsidR="007216DF" w:rsidRPr="007216DF" w:rsidRDefault="007216DF" w:rsidP="007216DF">
      <w:pPr>
        <w:numPr>
          <w:ilvl w:val="0"/>
          <w:numId w:val="2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Creation of Counterterrorism Units:</w:t>
      </w:r>
      <w:r w:rsidRPr="007216DF">
        <w:rPr>
          <w:rFonts w:ascii="Times New Roman" w:eastAsia="Times New Roman" w:hAnsi="Times New Roman" w:cs="Times New Roman"/>
          <w:kern w:val="0"/>
          <w:sz w:val="24"/>
          <w:szCs w:val="24"/>
          <w14:ligatures w14:val="none"/>
        </w:rPr>
        <w:t xml:space="preserve"> High-profile attacks by Palestinian groups spurred the formation of elite counterterrorism units in several countries. Israel established its special forces, such as Sayeret </w:t>
      </w:r>
      <w:proofErr w:type="spellStart"/>
      <w:r w:rsidRPr="007216DF">
        <w:rPr>
          <w:rFonts w:ascii="Times New Roman" w:eastAsia="Times New Roman" w:hAnsi="Times New Roman" w:cs="Times New Roman"/>
          <w:kern w:val="0"/>
          <w:sz w:val="24"/>
          <w:szCs w:val="24"/>
          <w14:ligatures w14:val="none"/>
        </w:rPr>
        <w:t>Matkal</w:t>
      </w:r>
      <w:proofErr w:type="spellEnd"/>
      <w:r w:rsidRPr="007216DF">
        <w:rPr>
          <w:rFonts w:ascii="Times New Roman" w:eastAsia="Times New Roman" w:hAnsi="Times New Roman" w:cs="Times New Roman"/>
          <w:kern w:val="0"/>
          <w:sz w:val="24"/>
          <w:szCs w:val="24"/>
          <w14:ligatures w14:val="none"/>
        </w:rPr>
        <w:t xml:space="preserve"> and Yamam, to deal specifically with hostage situations and counterterrorism operations. Germany created the GSG-9 unit after the Munich Olympics massacre, and the United States and other Western nations followed suit by developing their specialized teams.</w:t>
      </w:r>
    </w:p>
    <w:p w14:paraId="7B4DD06B"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Redefining the Scope of Global Security:</w:t>
      </w:r>
    </w:p>
    <w:p w14:paraId="73419360" w14:textId="77777777" w:rsidR="007216DF" w:rsidRPr="007216DF" w:rsidRDefault="007216DF" w:rsidP="007216DF">
      <w:pPr>
        <w:numPr>
          <w:ilvl w:val="0"/>
          <w:numId w:val="2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Expansion of International Law and Cooperation:</w:t>
      </w:r>
      <w:r w:rsidRPr="007216DF">
        <w:rPr>
          <w:rFonts w:ascii="Times New Roman" w:eastAsia="Times New Roman" w:hAnsi="Times New Roman" w:cs="Times New Roman"/>
          <w:kern w:val="0"/>
          <w:sz w:val="24"/>
          <w:szCs w:val="24"/>
          <w14:ligatures w14:val="none"/>
        </w:rPr>
        <w:t xml:space="preserve"> The rise of Palestinian terrorism led to the development of international legal frameworks aimed at preventing and punishing terrorist acts. Conventions like the 1970 Hague Convention and the 1971 Montreal Convention were direct responses to Palestinian hijackings and established legal standards for prosecuting hijackers and fostering international cooperation on counterterrorism efforts.</w:t>
      </w:r>
    </w:p>
    <w:p w14:paraId="35BFC97B" w14:textId="77777777" w:rsidR="007216DF" w:rsidRPr="007216DF" w:rsidRDefault="007216DF" w:rsidP="007216DF">
      <w:pPr>
        <w:numPr>
          <w:ilvl w:val="0"/>
          <w:numId w:val="2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Influence on Intelligence and Surveillance Practices:</w:t>
      </w:r>
      <w:r w:rsidRPr="007216DF">
        <w:rPr>
          <w:rFonts w:ascii="Times New Roman" w:eastAsia="Times New Roman" w:hAnsi="Times New Roman" w:cs="Times New Roman"/>
          <w:kern w:val="0"/>
          <w:sz w:val="24"/>
          <w:szCs w:val="24"/>
          <w14:ligatures w14:val="none"/>
        </w:rPr>
        <w:t xml:space="preserve"> Palestinian terrorism underscored the need for enhanced intelligence gathering and surveillance. Countries worldwide invested heavily in their intelligence services to monitor terrorist organizations, track movements, and disrupt plans. This focus on intelligence and </w:t>
      </w:r>
      <w:r w:rsidRPr="007216DF">
        <w:rPr>
          <w:rFonts w:ascii="Times New Roman" w:eastAsia="Times New Roman" w:hAnsi="Times New Roman" w:cs="Times New Roman"/>
          <w:kern w:val="0"/>
          <w:sz w:val="24"/>
          <w:szCs w:val="24"/>
          <w14:ligatures w14:val="none"/>
        </w:rPr>
        <w:lastRenderedPageBreak/>
        <w:t>surveillance became a cornerstone of counterterrorism strategies, leading to multinational task forces, intelligence-sharing agreements, and coordinated efforts to combat global terrorism.</w:t>
      </w:r>
    </w:p>
    <w:p w14:paraId="19A1340D"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Impact on Political and Diplomatic Policies:</w:t>
      </w:r>
    </w:p>
    <w:p w14:paraId="58568B52" w14:textId="77777777" w:rsidR="007216DF" w:rsidRPr="007216DF" w:rsidRDefault="007216DF" w:rsidP="007216DF">
      <w:pPr>
        <w:numPr>
          <w:ilvl w:val="0"/>
          <w:numId w:val="2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Reassessment of Foreign Policies:</w:t>
      </w:r>
      <w:r w:rsidRPr="007216DF">
        <w:rPr>
          <w:rFonts w:ascii="Times New Roman" w:eastAsia="Times New Roman" w:hAnsi="Times New Roman" w:cs="Times New Roman"/>
          <w:kern w:val="0"/>
          <w:sz w:val="24"/>
          <w:szCs w:val="24"/>
          <w14:ligatures w14:val="none"/>
        </w:rPr>
        <w:t xml:space="preserve"> The global reach of Palestinian terrorism prompted many countries, especially in Europe, to reassess their foreign policies regarding the Middle East. Fear of continued instability fostering further terrorism led to more active engagement in diplomatic efforts to resolve the Israeli-Palestinian conflict.</w:t>
      </w:r>
    </w:p>
    <w:p w14:paraId="0B2BB643" w14:textId="77777777" w:rsidR="007216DF" w:rsidRPr="007216DF" w:rsidRDefault="007216DF" w:rsidP="007216DF">
      <w:pPr>
        <w:numPr>
          <w:ilvl w:val="0"/>
          <w:numId w:val="2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Catalyst for International Terrorism:</w:t>
      </w:r>
      <w:r w:rsidRPr="007216DF">
        <w:rPr>
          <w:rFonts w:ascii="Times New Roman" w:eastAsia="Times New Roman" w:hAnsi="Times New Roman" w:cs="Times New Roman"/>
          <w:kern w:val="0"/>
          <w:sz w:val="24"/>
          <w:szCs w:val="24"/>
          <w14:ligatures w14:val="none"/>
        </w:rPr>
        <w:t xml:space="preserve"> Palestinian groups were pioneers of modern international terrorism, and their tactics were soon adopted by other terrorist organizations worldwide. Palestinian groups demonstrated the effectiveness of terrorism in achieving political objectives, influencing various separatist and revolutionary movements.</w:t>
      </w:r>
    </w:p>
    <w:p w14:paraId="26FBEA47"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Consequences for Palestinian and International Relations</w:t>
      </w:r>
    </w:p>
    <w:p w14:paraId="295779A4"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Impact on Palestinian Relations and Negotiations:</w:t>
      </w:r>
    </w:p>
    <w:p w14:paraId="1BE245DF" w14:textId="77777777" w:rsidR="007216DF" w:rsidRPr="007216DF" w:rsidRDefault="007216DF" w:rsidP="007216DF">
      <w:pPr>
        <w:numPr>
          <w:ilvl w:val="0"/>
          <w:numId w:val="2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Marginalization of Moderate Voices:</w:t>
      </w:r>
      <w:r w:rsidRPr="007216DF">
        <w:rPr>
          <w:rFonts w:ascii="Times New Roman" w:eastAsia="Times New Roman" w:hAnsi="Times New Roman" w:cs="Times New Roman"/>
          <w:kern w:val="0"/>
          <w:sz w:val="24"/>
          <w:szCs w:val="24"/>
          <w14:ligatures w14:val="none"/>
        </w:rPr>
        <w:t xml:space="preserve"> The rise of Palestinian terrorism, particularly its targeting of civilians, led to the marginalization of moderate Palestinian voices favoring negotiations and political solutions. The association of the Palestinian cause with terrorism damaged its credibility among Western supporters and complicated efforts to build coalitions for peace.</w:t>
      </w:r>
    </w:p>
    <w:p w14:paraId="529F45D1" w14:textId="77777777" w:rsidR="007216DF" w:rsidRPr="007216DF" w:rsidRDefault="007216DF" w:rsidP="007216DF">
      <w:pPr>
        <w:numPr>
          <w:ilvl w:val="0"/>
          <w:numId w:val="2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Shift in Global Perception and Policy:</w:t>
      </w:r>
      <w:r w:rsidRPr="007216DF">
        <w:rPr>
          <w:rFonts w:ascii="Times New Roman" w:eastAsia="Times New Roman" w:hAnsi="Times New Roman" w:cs="Times New Roman"/>
          <w:kern w:val="0"/>
          <w:sz w:val="24"/>
          <w:szCs w:val="24"/>
          <w14:ligatures w14:val="none"/>
        </w:rPr>
        <w:t xml:space="preserve"> While Palestinian terrorism initially brought attention to the Palestinian cause, it also led to a shift in global perception. Many countries came to view Palestinian groups primarily as terrorist organizations rather than legitimate national liberation movements, influencing foreign policy decisions, including security cooperation with Israel and counterterrorism initiatives.</w:t>
      </w:r>
    </w:p>
    <w:p w14:paraId="4346398B"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Long-Term Implications for International Terrorism:</w:t>
      </w:r>
    </w:p>
    <w:p w14:paraId="781A626F" w14:textId="77777777" w:rsidR="007216DF" w:rsidRPr="007216DF" w:rsidRDefault="007216DF" w:rsidP="007216DF">
      <w:pPr>
        <w:numPr>
          <w:ilvl w:val="0"/>
          <w:numId w:val="2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Creation of Precedents for Future Terrorist Groups:</w:t>
      </w:r>
      <w:r w:rsidRPr="007216DF">
        <w:rPr>
          <w:rFonts w:ascii="Times New Roman" w:eastAsia="Times New Roman" w:hAnsi="Times New Roman" w:cs="Times New Roman"/>
          <w:kern w:val="0"/>
          <w:sz w:val="24"/>
          <w:szCs w:val="24"/>
          <w14:ligatures w14:val="none"/>
        </w:rPr>
        <w:t xml:space="preserve"> Palestinian groups set precedents for future terrorist organizations, including using civilian hostages, conducting cross-border attacks, and leveraging global media. The tactics developed by Palestinian groups have been emulated by numerous terrorist organizations, illustrating their lasting influence on modern terrorism.</w:t>
      </w:r>
    </w:p>
    <w:p w14:paraId="273F2D78" w14:textId="77777777" w:rsidR="007216DF" w:rsidRPr="007216DF" w:rsidRDefault="007216DF" w:rsidP="007216DF">
      <w:pPr>
        <w:numPr>
          <w:ilvl w:val="0"/>
          <w:numId w:val="2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b/>
          <w:bCs/>
          <w:kern w:val="0"/>
          <w:sz w:val="24"/>
          <w:szCs w:val="24"/>
          <w14:ligatures w14:val="none"/>
        </w:rPr>
        <w:t>Formation of Global Counterterrorism Norms:</w:t>
      </w:r>
      <w:r w:rsidRPr="007216DF">
        <w:rPr>
          <w:rFonts w:ascii="Times New Roman" w:eastAsia="Times New Roman" w:hAnsi="Times New Roman" w:cs="Times New Roman"/>
          <w:kern w:val="0"/>
          <w:sz w:val="24"/>
          <w:szCs w:val="24"/>
          <w14:ligatures w14:val="none"/>
        </w:rPr>
        <w:t xml:space="preserve"> The response to Palestinian terrorism played a key role in shaping the development of global counterterrorism norms and practices, leading to stronger international cooperation, more robust legal frameworks, and specialized counterterrorism agencies.</w:t>
      </w:r>
    </w:p>
    <w:p w14:paraId="3DC012DC" w14:textId="77777777" w:rsidR="007216DF" w:rsidRPr="007216DF" w:rsidRDefault="007216DF" w:rsidP="007216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216DF">
        <w:rPr>
          <w:rFonts w:ascii="Times New Roman" w:eastAsia="Times New Roman" w:hAnsi="Times New Roman" w:cs="Times New Roman"/>
          <w:b/>
          <w:bCs/>
          <w:kern w:val="0"/>
          <w:sz w:val="24"/>
          <w:szCs w:val="24"/>
          <w14:ligatures w14:val="none"/>
        </w:rPr>
        <w:t>Conclusion: The Legacy of Palestinian Terrorism in Modern Global Conflict</w:t>
      </w:r>
    </w:p>
    <w:p w14:paraId="0CA05997" w14:textId="77777777" w:rsidR="007216DF" w:rsidRPr="007216DF" w:rsidRDefault="007216DF" w:rsidP="007216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16DF">
        <w:rPr>
          <w:rFonts w:ascii="Times New Roman" w:eastAsia="Times New Roman" w:hAnsi="Times New Roman" w:cs="Times New Roman"/>
          <w:kern w:val="0"/>
          <w:sz w:val="24"/>
          <w:szCs w:val="24"/>
          <w14:ligatures w14:val="none"/>
        </w:rPr>
        <w:t xml:space="preserve">The rise of Palestinian terrorism marked a significant shift in the nature of the Israeli-Palestinian conflict and the broader landscape of global security. While these tactics succeeded in drawing </w:t>
      </w:r>
      <w:r w:rsidRPr="007216DF">
        <w:rPr>
          <w:rFonts w:ascii="Times New Roman" w:eastAsia="Times New Roman" w:hAnsi="Times New Roman" w:cs="Times New Roman"/>
          <w:kern w:val="0"/>
          <w:sz w:val="24"/>
          <w:szCs w:val="24"/>
          <w14:ligatures w14:val="none"/>
        </w:rPr>
        <w:lastRenderedPageBreak/>
        <w:t>global attention to the Palestinian cause, they also led to unintended consequences, including the marginalization of moderate voices and a shift in international opinion. The legacy of Palestinian terrorism serves as a reminder of the far-reaching consequences of using violence as a political tool and the importance of finding alternative paths to peace and reconciliation.</w:t>
      </w:r>
    </w:p>
    <w:p w14:paraId="20D54B26"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Chapter 11: The British Legacy in the Rise of Extremist Movements and 9/11</w:t>
      </w:r>
    </w:p>
    <w:p w14:paraId="31B0A3D5" w14:textId="77777777" w:rsidR="008F23DF" w:rsidRPr="008F23DF" w:rsidRDefault="008F23DF" w:rsidP="008F23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kern w:val="0"/>
          <w:sz w:val="24"/>
          <w:szCs w:val="24"/>
          <w14:ligatures w14:val="none"/>
        </w:rPr>
        <w:t>The 9/11 attacks on the United States were a defining moment in global history, fundamentally altering international relations, security policies, and the perception of terrorism. While the direct perpetrators were members of Al-Qaeda, a transnational terrorist organization, the roots of the extremist ideologies and movements that led to 9/11 can be traced back to colonial legacies, particularly those left by the British Empire in the Middle East. This chapter explores the historical impact of British colonial rule on the rise of extremist movements, the connections between British policies and the ideological currents that fueled 9/11, and the global responses that reshaped the international landscape.</w:t>
      </w:r>
    </w:p>
    <w:p w14:paraId="6089F09A"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Historical Impact: British Colonial Legacies and the Rise of Extremist Groups</w:t>
      </w:r>
    </w:p>
    <w:p w14:paraId="26E03610"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British Colonial Rule and the Fragmentation of the Middle East</w:t>
      </w:r>
    </w:p>
    <w:p w14:paraId="0286CFCB" w14:textId="77777777" w:rsidR="008F23DF" w:rsidRPr="008F23DF" w:rsidRDefault="008F23DF" w:rsidP="008F23DF">
      <w:pPr>
        <w:numPr>
          <w:ilvl w:val="0"/>
          <w:numId w:val="2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Creation of Artificial Borders and Divisions:</w:t>
      </w:r>
      <w:r w:rsidRPr="008F23DF">
        <w:rPr>
          <w:rFonts w:ascii="Times New Roman" w:eastAsia="Times New Roman" w:hAnsi="Times New Roman" w:cs="Times New Roman"/>
          <w:kern w:val="0"/>
          <w:sz w:val="24"/>
          <w:szCs w:val="24"/>
          <w14:ligatures w14:val="none"/>
        </w:rPr>
        <w:t xml:space="preserve"> Following the collapse of the Ottoman Empire after World War I, British and French powers redrew the map of the Middle East to serve their strategic interests. The secret Sykes-Picot Agreement of 1916 divided the region into British and French spheres of influence, ignoring ethnic, religious, and tribal realities. The resulting artificial borders, such as those separating Iraq, Syria, Jordan, and Palestine, fostered long-term political fragmentation, ethnic tensions, and territorial disputes. This fragmentation created an environment ripe for conflict and extremism, as communities that had coexisted under Ottoman rule were now pitted against one another within the framework of new, arbitrarily defined nation-states.</w:t>
      </w:r>
    </w:p>
    <w:p w14:paraId="08DE5945" w14:textId="77777777" w:rsidR="008F23DF" w:rsidRPr="008F23DF" w:rsidRDefault="008F23DF" w:rsidP="008F23DF">
      <w:pPr>
        <w:numPr>
          <w:ilvl w:val="0"/>
          <w:numId w:val="2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Manipulation of Sectarian and Ethnic Identities:</w:t>
      </w:r>
      <w:r w:rsidRPr="008F23DF">
        <w:rPr>
          <w:rFonts w:ascii="Times New Roman" w:eastAsia="Times New Roman" w:hAnsi="Times New Roman" w:cs="Times New Roman"/>
          <w:kern w:val="0"/>
          <w:sz w:val="24"/>
          <w:szCs w:val="24"/>
          <w14:ligatures w14:val="none"/>
        </w:rPr>
        <w:t xml:space="preserve"> To maintain control over these newly acquired territories, British authorities employed divide-and-rule tactics, manipulating ethnic and sectarian identities to weaken potential opposition. For instance, in Iraq, the British installed Sunni elites to govern a population that was predominantly Shia, sowing seeds of resentment and mistrust between different groups. In Palestine, conflicting promises made to both Jews and Arabs created a sense of betrayal and laid the foundation for long-term conflict. These tactics fueled future extremism as marginalized groups increasingly turned to radical ideologies to assert their power and legitimacy.</w:t>
      </w:r>
    </w:p>
    <w:p w14:paraId="55135A39"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Impact of the Mandate System and Arbitrary State Formation</w:t>
      </w:r>
    </w:p>
    <w:p w14:paraId="62792958" w14:textId="77777777" w:rsidR="008F23DF" w:rsidRPr="008F23DF" w:rsidRDefault="008F23DF" w:rsidP="008F23DF">
      <w:pPr>
        <w:numPr>
          <w:ilvl w:val="0"/>
          <w:numId w:val="2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Imposition of the Mandate System:</w:t>
      </w:r>
      <w:r w:rsidRPr="008F23DF">
        <w:rPr>
          <w:rFonts w:ascii="Times New Roman" w:eastAsia="Times New Roman" w:hAnsi="Times New Roman" w:cs="Times New Roman"/>
          <w:kern w:val="0"/>
          <w:sz w:val="24"/>
          <w:szCs w:val="24"/>
          <w14:ligatures w14:val="none"/>
        </w:rPr>
        <w:t xml:space="preserve"> The League of Nations mandate system granted Britain control over key territories, including Palestine, Iraq, and Transjordan, ostensibly to prepare them for self-governance. In practice, the mandate system entrenched British strategic and economic interests, fostering political instability as nationalist movements emerged to challenge colonial rule. In Palestine, the British mandate laid the groundwork for the Israeli-Palestinian conflict by making contradictory commitments to Jews and Arabs, leading to a cycle of violence and extremism that continues to this day.</w:t>
      </w:r>
    </w:p>
    <w:p w14:paraId="5D33EE0F" w14:textId="77777777" w:rsidR="008F23DF" w:rsidRPr="008F23DF" w:rsidRDefault="008F23DF" w:rsidP="008F23DF">
      <w:pPr>
        <w:numPr>
          <w:ilvl w:val="0"/>
          <w:numId w:val="2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lastRenderedPageBreak/>
        <w:t>Failure to Establish Inclusive Governance:</w:t>
      </w:r>
      <w:r w:rsidRPr="008F23DF">
        <w:rPr>
          <w:rFonts w:ascii="Times New Roman" w:eastAsia="Times New Roman" w:hAnsi="Times New Roman" w:cs="Times New Roman"/>
          <w:kern w:val="0"/>
          <w:sz w:val="24"/>
          <w:szCs w:val="24"/>
          <w14:ligatures w14:val="none"/>
        </w:rPr>
        <w:t xml:space="preserve"> British colonial rule often prioritized stability over democracy, propping up authoritarian regimes or favoring certain groups over others. This failure to establish inclusive governance created fertile ground for extremist movements, as disenfranchised communities turned to radical ideologies to challenge both colonial rule and their local oppressors. The rise of groups like the Muslim Brotherhood in Egypt in 1928 can be linked to these colonial failures, as they positioned themselves as defenders of Islam and justice against corrupt, foreign-backed regimes.</w:t>
      </w:r>
    </w:p>
    <w:p w14:paraId="2C408E2A"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The Role of British Policies in Shaping Extremist Ideologies</w:t>
      </w:r>
    </w:p>
    <w:p w14:paraId="439ABD7F" w14:textId="77777777" w:rsidR="008F23DF" w:rsidRPr="008F23DF" w:rsidRDefault="008F23DF" w:rsidP="008F23DF">
      <w:pPr>
        <w:numPr>
          <w:ilvl w:val="0"/>
          <w:numId w:val="2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Repression Leading to Radicalization:</w:t>
      </w:r>
      <w:r w:rsidRPr="008F23DF">
        <w:rPr>
          <w:rFonts w:ascii="Times New Roman" w:eastAsia="Times New Roman" w:hAnsi="Times New Roman" w:cs="Times New Roman"/>
          <w:kern w:val="0"/>
          <w:sz w:val="24"/>
          <w:szCs w:val="24"/>
          <w14:ligatures w14:val="none"/>
        </w:rPr>
        <w:t xml:space="preserve"> British authorities frequently resorted to repression to maintain control, such as imprisoning nationalist leaders, banning political parties, and violently suppressing uprisings. In Palestine, the British response to the Arab Revolt of 1936-1939 involved harsh military measures, mass arrests, and the destruction of villages, which deepened resentment and radicalized the local population. Such repression often backfired, driving opposition underground and encouraging the formation of more radical groups willing to use violence to achieve their aims.</w:t>
      </w:r>
    </w:p>
    <w:p w14:paraId="22647B9E" w14:textId="77777777" w:rsidR="008F23DF" w:rsidRPr="008F23DF" w:rsidRDefault="008F23DF" w:rsidP="008F23DF">
      <w:pPr>
        <w:numPr>
          <w:ilvl w:val="0"/>
          <w:numId w:val="2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Support for Islamist Factions Against Secular Nationalists:</w:t>
      </w:r>
      <w:r w:rsidRPr="008F23DF">
        <w:rPr>
          <w:rFonts w:ascii="Times New Roman" w:eastAsia="Times New Roman" w:hAnsi="Times New Roman" w:cs="Times New Roman"/>
          <w:kern w:val="0"/>
          <w:sz w:val="24"/>
          <w:szCs w:val="24"/>
          <w14:ligatures w14:val="none"/>
        </w:rPr>
        <w:t xml:space="preserve"> In the post-World War II period, British authorities often viewed Islamist factions as a counterbalance to secular nationalist movements perceived as more threatening to Western interests. This strategy, which involved supporting Islamist groups to counter communism and secular Arab nationalism, inadvertently legitimized these groups and provided them with resources. The Muslim Brotherhood, for example, initially received tacit British support as a counterbalance to Egyptian nationalists. However, this strategy backfired as Islamist groups radicalized further and turned against their former backers.</w:t>
      </w:r>
    </w:p>
    <w:p w14:paraId="03E72502"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Creation of Power Vacuums and Conditions for Extremism</w:t>
      </w:r>
    </w:p>
    <w:p w14:paraId="55837193" w14:textId="77777777" w:rsidR="008F23DF" w:rsidRPr="008F23DF" w:rsidRDefault="008F23DF" w:rsidP="008F23DF">
      <w:pPr>
        <w:numPr>
          <w:ilvl w:val="0"/>
          <w:numId w:val="2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Withdrawal Without Stability:</w:t>
      </w:r>
      <w:r w:rsidRPr="008F23DF">
        <w:rPr>
          <w:rFonts w:ascii="Times New Roman" w:eastAsia="Times New Roman" w:hAnsi="Times New Roman" w:cs="Times New Roman"/>
          <w:kern w:val="0"/>
          <w:sz w:val="24"/>
          <w:szCs w:val="24"/>
          <w14:ligatures w14:val="none"/>
        </w:rPr>
        <w:t xml:space="preserve"> When Britain withdrew from its colonies, it often left behind power vacuums and unresolved conflicts. In Palestine, the British withdrawal in 1948 without a clear transition plan led to the </w:t>
      </w:r>
      <w:proofErr w:type="gramStart"/>
      <w:r w:rsidRPr="008F23DF">
        <w:rPr>
          <w:rFonts w:ascii="Times New Roman" w:eastAsia="Times New Roman" w:hAnsi="Times New Roman" w:cs="Times New Roman"/>
          <w:kern w:val="0"/>
          <w:sz w:val="24"/>
          <w:szCs w:val="24"/>
          <w14:ligatures w14:val="none"/>
        </w:rPr>
        <w:t>Arab-Israeli</w:t>
      </w:r>
      <w:proofErr w:type="gramEnd"/>
      <w:r w:rsidRPr="008F23DF">
        <w:rPr>
          <w:rFonts w:ascii="Times New Roman" w:eastAsia="Times New Roman" w:hAnsi="Times New Roman" w:cs="Times New Roman"/>
          <w:kern w:val="0"/>
          <w:sz w:val="24"/>
          <w:szCs w:val="24"/>
          <w14:ligatures w14:val="none"/>
        </w:rPr>
        <w:t xml:space="preserve"> War and the displacement of hundreds of thousands of Palestinians, creating a refugee crisis and a breeding ground for extremism. In Iraq, the end of British control in 1958 coincided with a violent coup, leading to decades of authoritarian rule and sectarian conflict.</w:t>
      </w:r>
    </w:p>
    <w:p w14:paraId="2EA908EB" w14:textId="77777777" w:rsidR="008F23DF" w:rsidRPr="008F23DF" w:rsidRDefault="008F23DF" w:rsidP="008F23DF">
      <w:pPr>
        <w:numPr>
          <w:ilvl w:val="0"/>
          <w:numId w:val="2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Long-Term Consequences of Arbitrary Borders:</w:t>
      </w:r>
      <w:r w:rsidRPr="008F23DF">
        <w:rPr>
          <w:rFonts w:ascii="Times New Roman" w:eastAsia="Times New Roman" w:hAnsi="Times New Roman" w:cs="Times New Roman"/>
          <w:kern w:val="0"/>
          <w:sz w:val="24"/>
          <w:szCs w:val="24"/>
          <w14:ligatures w14:val="none"/>
        </w:rPr>
        <w:t xml:space="preserve"> The borders drawn by British colonial authorities, especially those created under the Sykes-Picot Agreement, have had lasting consequences for regional stability. These borders cut across ethnic, tribal, and sectarian lines, creating states that were inherently unstable. The partitioning of Kurdistan between Iraq, Iran, Syria, and Turkey created conditions for ongoing ethnic conflict, while Lebanon’s confessional balance led to perennial sectarian tensions and external intervention, contributing to the rise of groups like Hezbollah.</w:t>
      </w:r>
    </w:p>
    <w:p w14:paraId="25C7E428"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Overview of the 9/11 Attacks and Their Connections to Middle Eastern Conflicts</w:t>
      </w:r>
    </w:p>
    <w:p w14:paraId="0088A2A2"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The 9/11 Attacks and Their Immediate Impact</w:t>
      </w:r>
    </w:p>
    <w:p w14:paraId="14D3DB00" w14:textId="77777777" w:rsidR="008F23DF" w:rsidRPr="008F23DF" w:rsidRDefault="008F23DF" w:rsidP="008F23DF">
      <w:pPr>
        <w:numPr>
          <w:ilvl w:val="0"/>
          <w:numId w:val="2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lastRenderedPageBreak/>
        <w:t>Overview of the Attacks:</w:t>
      </w:r>
      <w:r w:rsidRPr="008F23DF">
        <w:rPr>
          <w:rFonts w:ascii="Times New Roman" w:eastAsia="Times New Roman" w:hAnsi="Times New Roman" w:cs="Times New Roman"/>
          <w:kern w:val="0"/>
          <w:sz w:val="24"/>
          <w:szCs w:val="24"/>
          <w14:ligatures w14:val="none"/>
        </w:rPr>
        <w:t xml:space="preserve"> On September 11, 2001, 19 militants associated with Al-Qaeda carried out coordinated terrorist attacks on U.S. soil, hijacking four airplanes and crashing them into key targets, including the World Trade Center and the Pentagon. Nearly 3,000 people were killed, making it the deadliest terrorist attack in world history and prompting a profound global response.</w:t>
      </w:r>
    </w:p>
    <w:p w14:paraId="1E8540AE" w14:textId="77777777" w:rsidR="008F23DF" w:rsidRPr="008F23DF" w:rsidRDefault="008F23DF" w:rsidP="008F23DF">
      <w:pPr>
        <w:numPr>
          <w:ilvl w:val="0"/>
          <w:numId w:val="2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Origins of Al-Qaeda and Its Ideology:</w:t>
      </w:r>
      <w:r w:rsidRPr="008F23DF">
        <w:rPr>
          <w:rFonts w:ascii="Times New Roman" w:eastAsia="Times New Roman" w:hAnsi="Times New Roman" w:cs="Times New Roman"/>
          <w:kern w:val="0"/>
          <w:sz w:val="24"/>
          <w:szCs w:val="24"/>
          <w14:ligatures w14:val="none"/>
        </w:rPr>
        <w:t xml:space="preserve"> Al-Qaeda, founded by Osama bin Laden and other Arab militants in the late 1980s, emerged from the Afghan jihad against the Soviet Union, initially supported by the United States and its allies. However, after the Soviet withdrawal, Al-Qaeda turned against the U.S. and its allies, viewing them as imperialist powers oppressing the Muslim world. Al-Qaeda's ideology, heavily influenced by Salafist-jihadist interpretations of Islam, emphasized violent jihad to defend the Muslim world and restore an Islamic caliphate.</w:t>
      </w:r>
    </w:p>
    <w:p w14:paraId="790F2298"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Connections to British Colonial Legacies</w:t>
      </w:r>
    </w:p>
    <w:p w14:paraId="54AF1F6F" w14:textId="77777777" w:rsidR="008F23DF" w:rsidRPr="008F23DF" w:rsidRDefault="008F23DF" w:rsidP="008F23DF">
      <w:pPr>
        <w:numPr>
          <w:ilvl w:val="0"/>
          <w:numId w:val="2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British Influence on Middle Eastern Conflicts:</w:t>
      </w:r>
      <w:r w:rsidRPr="008F23DF">
        <w:rPr>
          <w:rFonts w:ascii="Times New Roman" w:eastAsia="Times New Roman" w:hAnsi="Times New Roman" w:cs="Times New Roman"/>
          <w:kern w:val="0"/>
          <w:sz w:val="24"/>
          <w:szCs w:val="24"/>
          <w14:ligatures w14:val="none"/>
        </w:rPr>
        <w:t xml:space="preserve"> British colonial legacies, particularly arbitrary borders, divisive policies, and manipulation of local factions, played a significant role in shaping the conflicts that later fueled extremist ideologies. The origins of modern jihadist movements can be traced back to the colonial policies that suppressed nationalist movements and inadvertently empowered radical Islamist factions.</w:t>
      </w:r>
    </w:p>
    <w:p w14:paraId="5D55D172" w14:textId="77777777" w:rsidR="008F23DF" w:rsidRPr="008F23DF" w:rsidRDefault="008F23DF" w:rsidP="008F23DF">
      <w:pPr>
        <w:numPr>
          <w:ilvl w:val="0"/>
          <w:numId w:val="2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British-Saudi Relations and the Rise of Wahhabism:</w:t>
      </w:r>
      <w:r w:rsidRPr="008F23DF">
        <w:rPr>
          <w:rFonts w:ascii="Times New Roman" w:eastAsia="Times New Roman" w:hAnsi="Times New Roman" w:cs="Times New Roman"/>
          <w:kern w:val="0"/>
          <w:sz w:val="24"/>
          <w:szCs w:val="24"/>
          <w14:ligatures w14:val="none"/>
        </w:rPr>
        <w:t xml:space="preserve"> British support for the House of Saud during World War I helped establish Saudi Arabia as a major power. Saudi Arabia's state ideology, Wahhabism, has significantly influenced extremist ideologies worldwide, including those of Al-Qaeda. British backing of the Saudis helped spread Wahhabi doctrines, which have provided theological justification for jihadist groups.</w:t>
      </w:r>
    </w:p>
    <w:p w14:paraId="4050E060"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Radicalization in the Post-Colonial Middle East</w:t>
      </w:r>
    </w:p>
    <w:p w14:paraId="79BC942B" w14:textId="77777777" w:rsidR="008F23DF" w:rsidRPr="008F23DF" w:rsidRDefault="008F23DF" w:rsidP="008F23DF">
      <w:pPr>
        <w:numPr>
          <w:ilvl w:val="0"/>
          <w:numId w:val="2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Impact of the Afghan Jihad and Western Intervention:</w:t>
      </w:r>
      <w:r w:rsidRPr="008F23DF">
        <w:rPr>
          <w:rFonts w:ascii="Times New Roman" w:eastAsia="Times New Roman" w:hAnsi="Times New Roman" w:cs="Times New Roman"/>
          <w:kern w:val="0"/>
          <w:sz w:val="24"/>
          <w:szCs w:val="24"/>
          <w14:ligatures w14:val="none"/>
        </w:rPr>
        <w:t xml:space="preserve"> The Soviet invasion of Afghanistan in 1979 and the subsequent jihad played a crucial role in radicalizing Islamist militants and fostering transnational jihadist networks. These militants, trained and radicalized during the Afghan war, formed the backbone of Al-Qaeda and other jihadist groups, convinced they could defeat superpowers, motivating them to challenge the U.S. after the Cold War.</w:t>
      </w:r>
    </w:p>
    <w:p w14:paraId="528D38E5" w14:textId="77777777" w:rsidR="008F23DF" w:rsidRPr="008F23DF" w:rsidRDefault="008F23DF" w:rsidP="008F23DF">
      <w:pPr>
        <w:numPr>
          <w:ilvl w:val="0"/>
          <w:numId w:val="2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Legacy of British Policies in Iraq and Syria:</w:t>
      </w:r>
      <w:r w:rsidRPr="008F23DF">
        <w:rPr>
          <w:rFonts w:ascii="Times New Roman" w:eastAsia="Times New Roman" w:hAnsi="Times New Roman" w:cs="Times New Roman"/>
          <w:kern w:val="0"/>
          <w:sz w:val="24"/>
          <w:szCs w:val="24"/>
          <w14:ligatures w14:val="none"/>
        </w:rPr>
        <w:t xml:space="preserve"> The aftermath of British colonial rule in Iraq and Syria significantly contributed to extremism. The arbitrary borders created by the British in Iraq led to sectarian conflict and deep-seated grievances exploited by Al-Qaeda in Iraq (AQI) and ISIS. In Syria, colonial policies playing on sectarian divisions contributed to the civil war that began in 2011 and the rise of extremist groups.</w:t>
      </w:r>
    </w:p>
    <w:p w14:paraId="0ECC8C06"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Global Responses: Impact on International Relations and Counterterrorism Strategies</w:t>
      </w:r>
    </w:p>
    <w:p w14:paraId="58248C0F"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Transformation of Global Security Policies</w:t>
      </w:r>
    </w:p>
    <w:p w14:paraId="0D1DF90A" w14:textId="77777777" w:rsidR="008F23DF" w:rsidRPr="008F23DF" w:rsidRDefault="008F23DF" w:rsidP="008F23DF">
      <w:pPr>
        <w:numPr>
          <w:ilvl w:val="0"/>
          <w:numId w:val="2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Launch of the Global War on Terror (GWOT):</w:t>
      </w:r>
      <w:r w:rsidRPr="008F23DF">
        <w:rPr>
          <w:rFonts w:ascii="Times New Roman" w:eastAsia="Times New Roman" w:hAnsi="Times New Roman" w:cs="Times New Roman"/>
          <w:kern w:val="0"/>
          <w:sz w:val="24"/>
          <w:szCs w:val="24"/>
          <w14:ligatures w14:val="none"/>
        </w:rPr>
        <w:t xml:space="preserve"> In response to 9/11, the U.S. launched the GWOT, including military operations in Afghanistan and Iraq, intelligence efforts, </w:t>
      </w:r>
      <w:r w:rsidRPr="008F23DF">
        <w:rPr>
          <w:rFonts w:ascii="Times New Roman" w:eastAsia="Times New Roman" w:hAnsi="Times New Roman" w:cs="Times New Roman"/>
          <w:kern w:val="0"/>
          <w:sz w:val="24"/>
          <w:szCs w:val="24"/>
          <w14:ligatures w14:val="none"/>
        </w:rPr>
        <w:lastRenderedPageBreak/>
        <w:t>and global diplomatic initiatives to combat terrorism. This fundamentally reshaped U.S. foreign policy and international relations, drawing countries into new alliances and conflicts.</w:t>
      </w:r>
    </w:p>
    <w:p w14:paraId="51E7A316" w14:textId="77777777" w:rsidR="008F23DF" w:rsidRPr="008F23DF" w:rsidRDefault="008F23DF" w:rsidP="008F23DF">
      <w:pPr>
        <w:numPr>
          <w:ilvl w:val="0"/>
          <w:numId w:val="2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Changes in Counterterrorism Legislation and Practices:</w:t>
      </w:r>
      <w:r w:rsidRPr="008F23DF">
        <w:rPr>
          <w:rFonts w:ascii="Times New Roman" w:eastAsia="Times New Roman" w:hAnsi="Times New Roman" w:cs="Times New Roman"/>
          <w:kern w:val="0"/>
          <w:sz w:val="24"/>
          <w:szCs w:val="24"/>
          <w14:ligatures w14:val="none"/>
        </w:rPr>
        <w:t xml:space="preserve"> The 9/11 attacks led to significant changes in counterterrorism legislation worldwide, such as the USA PATRIOT Act, which expanded law enforcement powers and surveillance capabilities, impacting civil liberties and human rights and sparking debates over security and freedom.</w:t>
      </w:r>
    </w:p>
    <w:p w14:paraId="3E687482"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Reconfiguration of International Relations</w:t>
      </w:r>
    </w:p>
    <w:p w14:paraId="484A802F" w14:textId="77777777" w:rsidR="008F23DF" w:rsidRPr="008F23DF" w:rsidRDefault="008F23DF" w:rsidP="008F23DF">
      <w:pPr>
        <w:numPr>
          <w:ilvl w:val="0"/>
          <w:numId w:val="2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Realignment of Alliances and Partnerships:</w:t>
      </w:r>
      <w:r w:rsidRPr="008F23DF">
        <w:rPr>
          <w:rFonts w:ascii="Times New Roman" w:eastAsia="Times New Roman" w:hAnsi="Times New Roman" w:cs="Times New Roman"/>
          <w:kern w:val="0"/>
          <w:sz w:val="24"/>
          <w:szCs w:val="24"/>
          <w14:ligatures w14:val="none"/>
        </w:rPr>
        <w:t xml:space="preserve"> The 9/11 attacks prompted a realignment of global alliances, with NATO invoking Article 5 and launching a collective military response. However, the U.S. invasion of Iraq in 2003 created significant rifts with traditional allies, particularly in Europe.</w:t>
      </w:r>
    </w:p>
    <w:p w14:paraId="6D24668F" w14:textId="77777777" w:rsidR="008F23DF" w:rsidRPr="008F23DF" w:rsidRDefault="008F23DF" w:rsidP="008F23DF">
      <w:pPr>
        <w:numPr>
          <w:ilvl w:val="0"/>
          <w:numId w:val="2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Impact on the Middle East and Beyond:</w:t>
      </w:r>
      <w:r w:rsidRPr="008F23DF">
        <w:rPr>
          <w:rFonts w:ascii="Times New Roman" w:eastAsia="Times New Roman" w:hAnsi="Times New Roman" w:cs="Times New Roman"/>
          <w:kern w:val="0"/>
          <w:sz w:val="24"/>
          <w:szCs w:val="24"/>
          <w14:ligatures w14:val="none"/>
        </w:rPr>
        <w:t xml:space="preserve"> The invasions of Afghanistan and Iraq destabilized both countries, leading to prolonged conflicts, humanitarian crises, and the rise of new extremist groups. The Iraq war was viewed as a miscalculation that exacerbated regional instability and fueled anti-Western sentiment.</w:t>
      </w:r>
    </w:p>
    <w:p w14:paraId="287F73D6" w14:textId="77777777" w:rsidR="008F23DF" w:rsidRPr="008F23DF" w:rsidRDefault="008F23DF" w:rsidP="008F23D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23DF">
        <w:rPr>
          <w:rFonts w:ascii="Times New Roman" w:eastAsia="Times New Roman" w:hAnsi="Times New Roman" w:cs="Times New Roman"/>
          <w:b/>
          <w:bCs/>
          <w:kern w:val="0"/>
          <w:sz w:val="24"/>
          <w:szCs w:val="24"/>
          <w14:ligatures w14:val="none"/>
        </w:rPr>
        <w:t>Expansion of Global Counterterrorism Norms and Cooperation</w:t>
      </w:r>
    </w:p>
    <w:p w14:paraId="3C8BA432" w14:textId="77777777" w:rsidR="008F23DF" w:rsidRPr="008F23DF" w:rsidRDefault="008F23DF" w:rsidP="008F23DF">
      <w:pPr>
        <w:numPr>
          <w:ilvl w:val="0"/>
          <w:numId w:val="2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Strengthening of International Legal Frameworks:</w:t>
      </w:r>
      <w:r w:rsidRPr="008F23DF">
        <w:rPr>
          <w:rFonts w:ascii="Times New Roman" w:eastAsia="Times New Roman" w:hAnsi="Times New Roman" w:cs="Times New Roman"/>
          <w:kern w:val="0"/>
          <w:sz w:val="24"/>
          <w:szCs w:val="24"/>
          <w14:ligatures w14:val="none"/>
        </w:rPr>
        <w:t xml:space="preserve"> The response to 9/11 involved efforts to strengthen international legal frameworks against terrorism, such as UN Security Council resolutions calling for enhanced cooperation, intelligence-sharing, and counterterrorism measures.</w:t>
      </w:r>
    </w:p>
    <w:p w14:paraId="5426E8A1" w14:textId="77777777" w:rsidR="008F23DF" w:rsidRPr="008F23DF" w:rsidRDefault="008F23DF" w:rsidP="008F23DF">
      <w:pPr>
        <w:numPr>
          <w:ilvl w:val="0"/>
          <w:numId w:val="2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Development of New Counterterrorism Strategies:</w:t>
      </w:r>
      <w:r w:rsidRPr="008F23DF">
        <w:rPr>
          <w:rFonts w:ascii="Times New Roman" w:eastAsia="Times New Roman" w:hAnsi="Times New Roman" w:cs="Times New Roman"/>
          <w:kern w:val="0"/>
          <w:sz w:val="24"/>
          <w:szCs w:val="24"/>
          <w14:ligatures w14:val="none"/>
        </w:rPr>
        <w:t xml:space="preserve"> The global response led to new counterterrorism strategies emphasizing both military and non-military approaches, such as counter-radicalization programs, efforts to counter terrorist propaganda, and comprehensive strategies combining law enforcement, intelligence, and community engagement.</w:t>
      </w:r>
    </w:p>
    <w:p w14:paraId="73B759DA"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Long-Term Implications for Global Stability and Peace</w:t>
      </w:r>
    </w:p>
    <w:p w14:paraId="5BFEF994" w14:textId="77777777" w:rsidR="008F23DF" w:rsidRPr="008F23DF" w:rsidRDefault="008F23DF" w:rsidP="008F23DF">
      <w:pPr>
        <w:numPr>
          <w:ilvl w:val="0"/>
          <w:numId w:val="2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Erosion of Trust and Increase in Surveillance:</w:t>
      </w:r>
      <w:r w:rsidRPr="008F23DF">
        <w:rPr>
          <w:rFonts w:ascii="Times New Roman" w:eastAsia="Times New Roman" w:hAnsi="Times New Roman" w:cs="Times New Roman"/>
          <w:kern w:val="0"/>
          <w:sz w:val="24"/>
          <w:szCs w:val="24"/>
          <w14:ligatures w14:val="none"/>
        </w:rPr>
        <w:t xml:space="preserve"> The focus on security and counterterrorism has led to increased surveillance and monitoring, raising concerns about privacy, civil liberties, and human rights, contributing to social polarization and radicalization.</w:t>
      </w:r>
    </w:p>
    <w:p w14:paraId="5FB9867E" w14:textId="77777777" w:rsidR="008F23DF" w:rsidRPr="008F23DF" w:rsidRDefault="008F23DF" w:rsidP="008F23DF">
      <w:pPr>
        <w:numPr>
          <w:ilvl w:val="0"/>
          <w:numId w:val="2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b/>
          <w:bCs/>
          <w:kern w:val="0"/>
          <w:sz w:val="24"/>
          <w:szCs w:val="24"/>
          <w14:ligatures w14:val="none"/>
        </w:rPr>
        <w:t>Challenges of a Multipolar World:</w:t>
      </w:r>
      <w:r w:rsidRPr="008F23DF">
        <w:rPr>
          <w:rFonts w:ascii="Times New Roman" w:eastAsia="Times New Roman" w:hAnsi="Times New Roman" w:cs="Times New Roman"/>
          <w:kern w:val="0"/>
          <w:sz w:val="24"/>
          <w:szCs w:val="24"/>
          <w14:ligatures w14:val="none"/>
        </w:rPr>
        <w:t xml:space="preserve"> The global response to 9/11 highlighted the complexities of operating in a multipolar world with varying interests, priorities, and approaches to counterterrorism, complicating international efforts.</w:t>
      </w:r>
    </w:p>
    <w:p w14:paraId="6B6986E8" w14:textId="77777777" w:rsidR="008F23DF" w:rsidRPr="008F23DF" w:rsidRDefault="008F23DF" w:rsidP="008F23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23DF">
        <w:rPr>
          <w:rFonts w:ascii="Times New Roman" w:eastAsia="Times New Roman" w:hAnsi="Times New Roman" w:cs="Times New Roman"/>
          <w:b/>
          <w:bCs/>
          <w:kern w:val="0"/>
          <w:sz w:val="27"/>
          <w:szCs w:val="27"/>
          <w14:ligatures w14:val="none"/>
        </w:rPr>
        <w:t>Conclusion: The Enduring Legacy of British Colonial Policies in Modern Extremism and Global Terrorism</w:t>
      </w:r>
    </w:p>
    <w:p w14:paraId="4A696B24" w14:textId="77777777" w:rsidR="008F23DF" w:rsidRPr="008F23DF" w:rsidRDefault="008F23DF" w:rsidP="008F23D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23DF">
        <w:rPr>
          <w:rFonts w:ascii="Times New Roman" w:eastAsia="Times New Roman" w:hAnsi="Times New Roman" w:cs="Times New Roman"/>
          <w:kern w:val="0"/>
          <w:sz w:val="24"/>
          <w:szCs w:val="24"/>
          <w14:ligatures w14:val="none"/>
        </w:rPr>
        <w:t xml:space="preserve">The 9/11 attacks were a watershed moment that fundamentally reshaped global security and international relations. The roots of the extremist ideologies leading to 9/11 can be traced back to </w:t>
      </w:r>
      <w:r w:rsidRPr="008F23DF">
        <w:rPr>
          <w:rFonts w:ascii="Times New Roman" w:eastAsia="Times New Roman" w:hAnsi="Times New Roman" w:cs="Times New Roman"/>
          <w:kern w:val="0"/>
          <w:sz w:val="24"/>
          <w:szCs w:val="24"/>
          <w14:ligatures w14:val="none"/>
        </w:rPr>
        <w:lastRenderedPageBreak/>
        <w:t>British colonial policies in the Middle East, which created conditions that fueled conflict and extremism. Addressing these historical grievances, fostering inclusive governance, and promoting dialogue will be crucial for building a more stable and peaceful world. Understanding the connections between past and present is essential for preventing future conflicts and creating a global order that is more just, secure, and resilient.</w:t>
      </w:r>
    </w:p>
    <w:p w14:paraId="5DD9749B" w14:textId="77777777" w:rsidR="004C238D" w:rsidRPr="00A02D37" w:rsidRDefault="004C238D" w:rsidP="005C101A">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p>
    <w:p w14:paraId="1B6B7A1D" w14:textId="77777777" w:rsidR="004C238D" w:rsidRPr="00A02D37" w:rsidRDefault="004C238D" w:rsidP="005C101A">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p>
    <w:p w14:paraId="28EDBFEC"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Here is the revised version of Chapter 12, incorporating the suggested changes:</w:t>
      </w:r>
    </w:p>
    <w:p w14:paraId="43E87D34" w14:textId="77777777" w:rsidR="007F5F5F" w:rsidRPr="007F5F5F" w:rsidRDefault="007F5F5F" w:rsidP="007F5F5F">
      <w:pPr>
        <w:spacing w:after="0"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pict w14:anchorId="73CA09FA">
          <v:rect id="_x0000_i1025" style="width:0;height:1.5pt" o:hralign="center" o:hrstd="t" o:hr="t" fillcolor="#a0a0a0" stroked="f"/>
        </w:pict>
      </w:r>
    </w:p>
    <w:p w14:paraId="4917FDC5"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Chapter 12: Palestinian Arabs as Victims: British Rule, Arab Powers, and Leadership Failures</w:t>
      </w:r>
    </w:p>
    <w:p w14:paraId="386F4C27"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The Palestinian Arabs have long been caught in a web of geopolitical machinations and leadership failures that have compounded their suffering and prolonged their statelessness. This chapter examines how Palestinian Arabs have been victimized by a combination of British colonial policies, the geopolitical maneuvers of neighboring Arab states, and the missteps of their own leadership. It explores how these factors have contributed to the displacement, marginalization, and continued suffering of the Palestinian people. The chapter also discusses the human cost of these policies, the missed opportunities for peace and prosperity, and the potential for a new path forward.</w:t>
      </w:r>
    </w:p>
    <w:p w14:paraId="20C948FD"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Historical Context: The British Legacy and Palestinian Displacement</w:t>
      </w:r>
    </w:p>
    <w:p w14:paraId="6501DD10"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British Mandate Policies and Manipulation:</w:t>
      </w:r>
    </w:p>
    <w:p w14:paraId="138A8FC6" w14:textId="77777777" w:rsidR="007F5F5F" w:rsidRPr="007F5F5F" w:rsidRDefault="007F5F5F" w:rsidP="007F5F5F">
      <w:pPr>
        <w:numPr>
          <w:ilvl w:val="0"/>
          <w:numId w:val="2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Colonial Governance and Divide-and-Rule Tactics:</w:t>
      </w:r>
      <w:r w:rsidRPr="007F5F5F">
        <w:rPr>
          <w:rFonts w:ascii="Times New Roman" w:eastAsia="Times New Roman" w:hAnsi="Times New Roman" w:cs="Times New Roman"/>
          <w:kern w:val="0"/>
          <w:sz w:val="24"/>
          <w:szCs w:val="24"/>
          <w14:ligatures w14:val="none"/>
        </w:rPr>
        <w:t xml:space="preserve"> Under the British Mandate, the colonial authorities employed classic divide-and-rule tactics to maintain control over Palestine. They made conflicting promises to both Jews and Arabs—the Balfour Declaration (1917) promised a "national home for the Jewish people," while various correspondences with Arab leaders, such as the McMahon-Hussein Correspondence (1915-1916), suggested support for Arab independence. This ambiguity created an environment of distrust and animosity between the two communities, setting the stage for future conflicts. The 1939 White Paper further exacerbated tensions by severely limiting Jewish immigration while restricting Palestinian self-governance, leading to increased frustration among Palestinian Arabs.</w:t>
      </w:r>
    </w:p>
    <w:p w14:paraId="45BA540E" w14:textId="77777777" w:rsidR="007F5F5F" w:rsidRPr="007F5F5F" w:rsidRDefault="007F5F5F" w:rsidP="007F5F5F">
      <w:pPr>
        <w:numPr>
          <w:ilvl w:val="0"/>
          <w:numId w:val="2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Exclusion from Political Processes:</w:t>
      </w:r>
      <w:r w:rsidRPr="007F5F5F">
        <w:rPr>
          <w:rFonts w:ascii="Times New Roman" w:eastAsia="Times New Roman" w:hAnsi="Times New Roman" w:cs="Times New Roman"/>
          <w:kern w:val="0"/>
          <w:sz w:val="24"/>
          <w:szCs w:val="24"/>
          <w14:ligatures w14:val="none"/>
        </w:rPr>
        <w:t xml:space="preserve"> During the British Mandate, Palestinian Arabs were systematically excluded from meaningful political processes that could have allowed them to express their aspirations for statehood. Although the British held various conferences and commissions to address the issue, such as the Peel Commission (1937) and the London Conference (1939), these often resulted in decisions that failed to meet Arab demands for independence or adequately address their concerns. Key figures like Herbert Samuel, the first High Commissioner of Palestine, played roles that influenced </w:t>
      </w:r>
      <w:r w:rsidRPr="007F5F5F">
        <w:rPr>
          <w:rFonts w:ascii="Times New Roman" w:eastAsia="Times New Roman" w:hAnsi="Times New Roman" w:cs="Times New Roman"/>
          <w:kern w:val="0"/>
          <w:sz w:val="24"/>
          <w:szCs w:val="24"/>
          <w14:ligatures w14:val="none"/>
        </w:rPr>
        <w:lastRenderedPageBreak/>
        <w:t>the trajectory of both Jewish and Arab communities, often exacerbating tensions and leading to widespread disillusionment.</w:t>
      </w:r>
    </w:p>
    <w:p w14:paraId="18376E9C"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Palestinian Displacement and the Nakba:</w:t>
      </w:r>
    </w:p>
    <w:p w14:paraId="219B2220" w14:textId="77777777" w:rsidR="007F5F5F" w:rsidRPr="007F5F5F" w:rsidRDefault="007F5F5F" w:rsidP="007F5F5F">
      <w:pPr>
        <w:numPr>
          <w:ilvl w:val="0"/>
          <w:numId w:val="2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 xml:space="preserve">The 1948 </w:t>
      </w:r>
      <w:proofErr w:type="gramStart"/>
      <w:r w:rsidRPr="007F5F5F">
        <w:rPr>
          <w:rFonts w:ascii="Times New Roman" w:eastAsia="Times New Roman" w:hAnsi="Times New Roman" w:cs="Times New Roman"/>
          <w:b/>
          <w:bCs/>
          <w:kern w:val="0"/>
          <w:sz w:val="24"/>
          <w:szCs w:val="24"/>
          <w14:ligatures w14:val="none"/>
        </w:rPr>
        <w:t>Arab-Israeli</w:t>
      </w:r>
      <w:proofErr w:type="gramEnd"/>
      <w:r w:rsidRPr="007F5F5F">
        <w:rPr>
          <w:rFonts w:ascii="Times New Roman" w:eastAsia="Times New Roman" w:hAnsi="Times New Roman" w:cs="Times New Roman"/>
          <w:b/>
          <w:bCs/>
          <w:kern w:val="0"/>
          <w:sz w:val="24"/>
          <w:szCs w:val="24"/>
          <w14:ligatures w14:val="none"/>
        </w:rPr>
        <w:t xml:space="preserve"> War and Mass Displacement:</w:t>
      </w:r>
      <w:r w:rsidRPr="007F5F5F">
        <w:rPr>
          <w:rFonts w:ascii="Times New Roman" w:eastAsia="Times New Roman" w:hAnsi="Times New Roman" w:cs="Times New Roman"/>
          <w:kern w:val="0"/>
          <w:sz w:val="24"/>
          <w:szCs w:val="24"/>
          <w14:ligatures w14:val="none"/>
        </w:rPr>
        <w:t xml:space="preserve"> The 1948 war that followed the establishment of the State of Israel led to the displacement of approximately 700,000 Palestinian Arabs. Known as the Nakba, or "Catastrophe," this mass exodus was a profound event in Palestinian history, leaving a deep psychological scar and creating a large, stateless refugee population. Many Palestinians were expelled or fled their homes due to the fighting and fears of retribution, becoming refugees in neighboring Arab countries or in territories such as the West Bank and Gaza Strip.</w:t>
      </w:r>
    </w:p>
    <w:p w14:paraId="5778FC17" w14:textId="77777777" w:rsidR="007F5F5F" w:rsidRPr="007F5F5F" w:rsidRDefault="007F5F5F" w:rsidP="007F5F5F">
      <w:pPr>
        <w:numPr>
          <w:ilvl w:val="0"/>
          <w:numId w:val="2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British Role in Facilitating Displacement:</w:t>
      </w:r>
      <w:r w:rsidRPr="007F5F5F">
        <w:rPr>
          <w:rFonts w:ascii="Times New Roman" w:eastAsia="Times New Roman" w:hAnsi="Times New Roman" w:cs="Times New Roman"/>
          <w:kern w:val="0"/>
          <w:sz w:val="24"/>
          <w:szCs w:val="24"/>
          <w14:ligatures w14:val="none"/>
        </w:rPr>
        <w:t xml:space="preserve"> The British withdrawal from Palestine in 1948, which came without a clear plan for ensuring a peaceful transition or protecting the rights of the local Arab population, contributed to the chaos and displacement that ensued. The lack of British intervention to prevent violence or address the emerging humanitarian crisis demonstrated their failure to fulfill their responsibilities under the League of Nations Mandate, leaving Palestinian Arabs vulnerable to the conflicts that erupted.</w:t>
      </w:r>
    </w:p>
    <w:p w14:paraId="576BEFB9"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Arab Political Machinations: Geopolitical Agendas and Exploitation by Arab Leaders</w:t>
      </w:r>
    </w:p>
    <w:p w14:paraId="62D85F3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Geopolitical Agendas of Arab States:</w:t>
      </w:r>
    </w:p>
    <w:p w14:paraId="21CA17CD" w14:textId="77777777" w:rsidR="007F5F5F" w:rsidRPr="007F5F5F" w:rsidRDefault="007F5F5F" w:rsidP="007F5F5F">
      <w:pPr>
        <w:numPr>
          <w:ilvl w:val="0"/>
          <w:numId w:val="2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Competing Interests and Lack of Unity:</w:t>
      </w:r>
      <w:r w:rsidRPr="007F5F5F">
        <w:rPr>
          <w:rFonts w:ascii="Times New Roman" w:eastAsia="Times New Roman" w:hAnsi="Times New Roman" w:cs="Times New Roman"/>
          <w:kern w:val="0"/>
          <w:sz w:val="24"/>
          <w:szCs w:val="24"/>
          <w14:ligatures w14:val="none"/>
        </w:rPr>
        <w:t xml:space="preserve"> The Arab states’ involvement in the Israeli-Palestinian conflict has often been driven by their own geopolitical agendas rather than a genuine commitment to Palestinian independence. During the 1948 war, the armies of Egypt, Transjordan (later Jordan), Iraq, Syria, and Lebanon invaded the newly declared State of Israel, ostensibly to support the Palestinian cause. However, their actions were often motivated by competing national interests, such as territorial expansion or regional dominance, rather than a coordinated effort to establish a Palestinian state. For example, Transjordan, led by King Abdullah I, sought to annex the West Bank, while Egypt aimed to extend its influence over the Gaza Strip. These conflicting objectives undermined the effectiveness of the Arab military intervention and left Palestinians without a state of their own.</w:t>
      </w:r>
    </w:p>
    <w:p w14:paraId="60FFE43E" w14:textId="77777777" w:rsidR="007F5F5F" w:rsidRPr="007F5F5F" w:rsidRDefault="007F5F5F" w:rsidP="007F5F5F">
      <w:pPr>
        <w:numPr>
          <w:ilvl w:val="0"/>
          <w:numId w:val="2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Refusal to Resettle Palestinian Refugees:</w:t>
      </w:r>
      <w:r w:rsidRPr="007F5F5F">
        <w:rPr>
          <w:rFonts w:ascii="Times New Roman" w:eastAsia="Times New Roman" w:hAnsi="Times New Roman" w:cs="Times New Roman"/>
          <w:kern w:val="0"/>
          <w:sz w:val="24"/>
          <w:szCs w:val="24"/>
          <w14:ligatures w14:val="none"/>
        </w:rPr>
        <w:t xml:space="preserve"> After the 1948 war, many Arab countries refused to resettle Palestinian refugees within their borders, instead confining them to refugee camps in Jordan, Lebanon, Syria, and elsewhere. The Arab League passed a resolution in 1959 preventing the assimilation of Palestinian refugees into their host countries, citing the need to preserve their national identity and keep international attention focused on the right of return. However, this policy often left refugees in a state of perpetual limbo, with limited rights, access to employment, or social services, and fostered resentment toward their host governments. Palestinian refugees became political pawns in the broader </w:t>
      </w:r>
      <w:proofErr w:type="gramStart"/>
      <w:r w:rsidRPr="007F5F5F">
        <w:rPr>
          <w:rFonts w:ascii="Times New Roman" w:eastAsia="Times New Roman" w:hAnsi="Times New Roman" w:cs="Times New Roman"/>
          <w:kern w:val="0"/>
          <w:sz w:val="24"/>
          <w:szCs w:val="24"/>
          <w14:ligatures w14:val="none"/>
        </w:rPr>
        <w:t>Arab-Israeli</w:t>
      </w:r>
      <w:proofErr w:type="gramEnd"/>
      <w:r w:rsidRPr="007F5F5F">
        <w:rPr>
          <w:rFonts w:ascii="Times New Roman" w:eastAsia="Times New Roman" w:hAnsi="Times New Roman" w:cs="Times New Roman"/>
          <w:kern w:val="0"/>
          <w:sz w:val="24"/>
          <w:szCs w:val="24"/>
          <w14:ligatures w14:val="none"/>
        </w:rPr>
        <w:t xml:space="preserve"> conflict, their plight exploited to maintain pressure on Israel without any realistic plan for their resettlement or integration.</w:t>
      </w:r>
    </w:p>
    <w:p w14:paraId="53E41762"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lastRenderedPageBreak/>
        <w:t>Exploitation and Manipulation by Arab Leaders:</w:t>
      </w:r>
    </w:p>
    <w:p w14:paraId="7061E3EA" w14:textId="77777777" w:rsidR="007F5F5F" w:rsidRPr="007F5F5F" w:rsidRDefault="007F5F5F" w:rsidP="007F5F5F">
      <w:pPr>
        <w:numPr>
          <w:ilvl w:val="0"/>
          <w:numId w:val="2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Use of the Palestinian Cause as a Political Tool:</w:t>
      </w:r>
      <w:r w:rsidRPr="007F5F5F">
        <w:rPr>
          <w:rFonts w:ascii="Times New Roman" w:eastAsia="Times New Roman" w:hAnsi="Times New Roman" w:cs="Times New Roman"/>
          <w:kern w:val="0"/>
          <w:sz w:val="24"/>
          <w:szCs w:val="24"/>
          <w14:ligatures w14:val="none"/>
        </w:rPr>
        <w:t xml:space="preserve"> Arab leaders have frequently used the Palestinian cause </w:t>
      </w:r>
      <w:proofErr w:type="gramStart"/>
      <w:r w:rsidRPr="007F5F5F">
        <w:rPr>
          <w:rFonts w:ascii="Times New Roman" w:eastAsia="Times New Roman" w:hAnsi="Times New Roman" w:cs="Times New Roman"/>
          <w:kern w:val="0"/>
          <w:sz w:val="24"/>
          <w:szCs w:val="24"/>
          <w14:ligatures w14:val="none"/>
        </w:rPr>
        <w:t>as a means to</w:t>
      </w:r>
      <w:proofErr w:type="gramEnd"/>
      <w:r w:rsidRPr="007F5F5F">
        <w:rPr>
          <w:rFonts w:ascii="Times New Roman" w:eastAsia="Times New Roman" w:hAnsi="Times New Roman" w:cs="Times New Roman"/>
          <w:kern w:val="0"/>
          <w:sz w:val="24"/>
          <w:szCs w:val="24"/>
          <w14:ligatures w14:val="none"/>
        </w:rPr>
        <w:t xml:space="preserve"> consolidate their power domestically and assert their influence regionally. The Palestinian issue has been invoked by numerous Arab regimes to legitimize their rule, distract from internal dissent, and mobilize public support. For example, Gamal Abdel Nasser of Egypt and his successors used the rhetoric of Palestinian liberation to bolster their credentials as champions of Arab nationalism and to maintain a confrontational stance against Israel. Similarly, Saddam Hussein of Iraq invoked the Palestinian struggle as part of his broader narrative of Arab unity and resistance against Western imperialism.</w:t>
      </w:r>
    </w:p>
    <w:p w14:paraId="767175A0" w14:textId="77777777" w:rsidR="007F5F5F" w:rsidRPr="007F5F5F" w:rsidRDefault="007F5F5F" w:rsidP="007F5F5F">
      <w:pPr>
        <w:numPr>
          <w:ilvl w:val="0"/>
          <w:numId w:val="2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Failure to Support Genuine Palestinian Autonomy:</w:t>
      </w:r>
      <w:r w:rsidRPr="007F5F5F">
        <w:rPr>
          <w:rFonts w:ascii="Times New Roman" w:eastAsia="Times New Roman" w:hAnsi="Times New Roman" w:cs="Times New Roman"/>
          <w:kern w:val="0"/>
          <w:sz w:val="24"/>
          <w:szCs w:val="24"/>
          <w14:ligatures w14:val="none"/>
        </w:rPr>
        <w:t xml:space="preserve"> Despite their vocal support for the Palestinian cause, Arab leaders have often resisted any move that would lead to genuine Palestinian autonomy or independence, fearing it might challenge their own authority or upset the regional balance of power. When the Palestine Liberation Organization (PLO) began to emerge as an independent force, it was seen by some Arab governments as a threat to their sovereignty and internal stability. In 1970, King Hussein of Jordan, fearing that the PLO’s presence in Jordan would undermine his rule, launched a military campaign known as Black September to expel Palestinian militants, resulting in thousands of deaths and a deep rupture between Jordan and the Palestinian leadership.</w:t>
      </w:r>
    </w:p>
    <w:p w14:paraId="79BA716F"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Failures of Palestinian Leadership: Internal Corruption, Mismanagement, and Missed Opportunities</w:t>
      </w:r>
    </w:p>
    <w:p w14:paraId="009EA856"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Prioritizing the Elimination of Israel Over State-Building:</w:t>
      </w:r>
    </w:p>
    <w:p w14:paraId="61ACAC34" w14:textId="77777777" w:rsidR="007F5F5F" w:rsidRPr="007F5F5F" w:rsidRDefault="007F5F5F" w:rsidP="007F5F5F">
      <w:pPr>
        <w:numPr>
          <w:ilvl w:val="0"/>
          <w:numId w:val="2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Rejection of Compromise and Peace Opportunities:</w:t>
      </w:r>
      <w:r w:rsidRPr="007F5F5F">
        <w:rPr>
          <w:rFonts w:ascii="Times New Roman" w:eastAsia="Times New Roman" w:hAnsi="Times New Roman" w:cs="Times New Roman"/>
          <w:kern w:val="0"/>
          <w:sz w:val="24"/>
          <w:szCs w:val="24"/>
          <w14:ligatures w14:val="none"/>
        </w:rPr>
        <w:t xml:space="preserve"> Palestinian leaders, especially under the PLO and later Hamas, have often prioritized the goal of eliminating Israel over realistic strategies for state-building and coexistence. From the 1948 </w:t>
      </w:r>
      <w:proofErr w:type="gramStart"/>
      <w:r w:rsidRPr="007F5F5F">
        <w:rPr>
          <w:rFonts w:ascii="Times New Roman" w:eastAsia="Times New Roman" w:hAnsi="Times New Roman" w:cs="Times New Roman"/>
          <w:kern w:val="0"/>
          <w:sz w:val="24"/>
          <w:szCs w:val="24"/>
          <w14:ligatures w14:val="none"/>
        </w:rPr>
        <w:t>Arab-Israeli</w:t>
      </w:r>
      <w:proofErr w:type="gramEnd"/>
      <w:r w:rsidRPr="007F5F5F">
        <w:rPr>
          <w:rFonts w:ascii="Times New Roman" w:eastAsia="Times New Roman" w:hAnsi="Times New Roman" w:cs="Times New Roman"/>
          <w:kern w:val="0"/>
          <w:sz w:val="24"/>
          <w:szCs w:val="24"/>
          <w14:ligatures w14:val="none"/>
        </w:rPr>
        <w:t xml:space="preserve"> War to the present, many Palestinian factions have adopted a maximalist stance, refusing to recognize Israel’s right to exist and rejecting peace initiatives that could have led to the establishment of a Palestinian state alongside Israel. The PLO initially rejected the UN Partition Plan in 1947, and later refused to accept numerous peace proposals, such as those at Camp David in 2000 and the Clinton Parameters in 2001, that offered the possibility of statehood.</w:t>
      </w:r>
    </w:p>
    <w:p w14:paraId="3857333D" w14:textId="77777777" w:rsidR="007F5F5F" w:rsidRPr="007F5F5F" w:rsidRDefault="007F5F5F" w:rsidP="007F5F5F">
      <w:pPr>
        <w:numPr>
          <w:ilvl w:val="0"/>
          <w:numId w:val="2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Militarization of the Struggle:</w:t>
      </w:r>
      <w:r w:rsidRPr="007F5F5F">
        <w:rPr>
          <w:rFonts w:ascii="Times New Roman" w:eastAsia="Times New Roman" w:hAnsi="Times New Roman" w:cs="Times New Roman"/>
          <w:kern w:val="0"/>
          <w:sz w:val="24"/>
          <w:szCs w:val="24"/>
          <w14:ligatures w14:val="none"/>
        </w:rPr>
        <w:t xml:space="preserve"> The decision to prioritize armed struggle over diplomatic engagement has had long-term consequences for the Palestinian cause. The use of tactics such as terrorism, suicide bombings, and rocket attacks by groups like Hamas and Islamic Jihad has often alienated potential allies and hardened Israeli public opinion against concessions. These actions have provided Israel with justifications for its military responses, security measures, and continued occupation of Palestinian territories, while undermining efforts to achieve international support for Palestinian statehood.</w:t>
      </w:r>
    </w:p>
    <w:p w14:paraId="04558321"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Internal Corruption and Mismanagement:</w:t>
      </w:r>
    </w:p>
    <w:p w14:paraId="5F9445E7" w14:textId="77777777" w:rsidR="007F5F5F" w:rsidRPr="007F5F5F" w:rsidRDefault="007F5F5F" w:rsidP="007F5F5F">
      <w:pPr>
        <w:numPr>
          <w:ilvl w:val="0"/>
          <w:numId w:val="2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Corruption and Governance Failures within the Palestinian Authority:</w:t>
      </w:r>
      <w:r w:rsidRPr="007F5F5F">
        <w:rPr>
          <w:rFonts w:ascii="Times New Roman" w:eastAsia="Times New Roman" w:hAnsi="Times New Roman" w:cs="Times New Roman"/>
          <w:kern w:val="0"/>
          <w:sz w:val="24"/>
          <w:szCs w:val="24"/>
          <w14:ligatures w14:val="none"/>
        </w:rPr>
        <w:t xml:space="preserve"> The establishment of the Palestinian Authority (PA) in the mid-1990s, following the Oslo </w:t>
      </w:r>
      <w:r w:rsidRPr="007F5F5F">
        <w:rPr>
          <w:rFonts w:ascii="Times New Roman" w:eastAsia="Times New Roman" w:hAnsi="Times New Roman" w:cs="Times New Roman"/>
          <w:kern w:val="0"/>
          <w:sz w:val="24"/>
          <w:szCs w:val="24"/>
          <w14:ligatures w14:val="none"/>
        </w:rPr>
        <w:lastRenderedPageBreak/>
        <w:t>Accords, was intended to pave the way for Palestinian self-rule and eventual statehood. However, the PA has been plagued by widespread corruption, nepotism, and authoritarian practices, which have eroded public trust and hampered its ability to govern effectively. Funds intended for development and public services have often been diverted for personal gain or political patronage, undermining economic growth and the provision of basic services to the Palestinian population.</w:t>
      </w:r>
    </w:p>
    <w:p w14:paraId="564AA29B" w14:textId="77777777" w:rsidR="007F5F5F" w:rsidRPr="007F5F5F" w:rsidRDefault="007F5F5F" w:rsidP="007F5F5F">
      <w:pPr>
        <w:numPr>
          <w:ilvl w:val="0"/>
          <w:numId w:val="2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Factions and Power Struggles:</w:t>
      </w:r>
      <w:r w:rsidRPr="007F5F5F">
        <w:rPr>
          <w:rFonts w:ascii="Times New Roman" w:eastAsia="Times New Roman" w:hAnsi="Times New Roman" w:cs="Times New Roman"/>
          <w:kern w:val="0"/>
          <w:sz w:val="24"/>
          <w:szCs w:val="24"/>
          <w14:ligatures w14:val="none"/>
        </w:rPr>
        <w:t xml:space="preserve"> Internal divisions and power struggles between different Palestinian factions, most notably between Fatah and Hamas, have further weakened the Palestinian national movement. The split between Fatah, which controls the West Bank under the Palestinian Authority, and Hamas, which governs the Gaza Strip, has created a fractured political landscape that makes it difficult to present a unified front in negotiations or international diplomacy. This division has also resulted in violent clashes, political repression, and governance paralysis, further complicating the prospects for Palestinian statehood and effective self-governance.</w:t>
      </w:r>
    </w:p>
    <w:p w14:paraId="084CFF89"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Human Cost: Consequences for Ordinary Palestinians</w:t>
      </w:r>
    </w:p>
    <w:p w14:paraId="0CF3DB7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Humanitarian Crises and Social Impacts:</w:t>
      </w:r>
    </w:p>
    <w:p w14:paraId="02378D59" w14:textId="77777777" w:rsidR="007F5F5F" w:rsidRPr="007F5F5F" w:rsidRDefault="007F5F5F" w:rsidP="007F5F5F">
      <w:pPr>
        <w:numPr>
          <w:ilvl w:val="0"/>
          <w:numId w:val="2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Enduring Refugee Crisis:</w:t>
      </w:r>
      <w:r w:rsidRPr="007F5F5F">
        <w:rPr>
          <w:rFonts w:ascii="Times New Roman" w:eastAsia="Times New Roman" w:hAnsi="Times New Roman" w:cs="Times New Roman"/>
          <w:kern w:val="0"/>
          <w:sz w:val="24"/>
          <w:szCs w:val="24"/>
          <w14:ligatures w14:val="none"/>
        </w:rPr>
        <w:t xml:space="preserve"> The failure to resolve the status of Palestinian refugees has had profound social, economic, and psychological impacts. Millions of Palestinians remain in refugee camps or diaspora communities, facing poverty, unemployment, and limited access to education and healthcare. The lack of a permanent resolution has perpetuated their status as stateless people, dependent on international aid and vulnerable to political exploitation.</w:t>
      </w:r>
    </w:p>
    <w:p w14:paraId="28364163" w14:textId="77777777" w:rsidR="007F5F5F" w:rsidRPr="007F5F5F" w:rsidRDefault="007F5F5F" w:rsidP="007F5F5F">
      <w:pPr>
        <w:numPr>
          <w:ilvl w:val="0"/>
          <w:numId w:val="2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Living Conditions Under Occupation and Blockade:</w:t>
      </w:r>
      <w:r w:rsidRPr="007F5F5F">
        <w:rPr>
          <w:rFonts w:ascii="Times New Roman" w:eastAsia="Times New Roman" w:hAnsi="Times New Roman" w:cs="Times New Roman"/>
          <w:kern w:val="0"/>
          <w:sz w:val="24"/>
          <w:szCs w:val="24"/>
          <w14:ligatures w14:val="none"/>
        </w:rPr>
        <w:t xml:space="preserve"> Palestinians living in the West Bank and Gaza Strip face numerous challenges stemming from the ongoing Israeli occupation and blockade. Restrictions on movement, access to resources, and economic opportunities have resulted in high levels of unemployment, poverty, and food insecurity. The blockade of Gaza, imposed by Israel and Egypt following Hamas’s takeover in 2007, has created a dire humanitarian situation, with shortages of basic goods, electricity, and clean water. Frequent military confrontations between Israel and Palestinian militant groups have resulted in civilian casualties, destruction of infrastructure, and psychological trauma.</w:t>
      </w:r>
    </w:p>
    <w:p w14:paraId="44773355"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Psychological and Social Toll:</w:t>
      </w:r>
    </w:p>
    <w:p w14:paraId="2BF90F7C" w14:textId="77777777" w:rsidR="007F5F5F" w:rsidRPr="007F5F5F" w:rsidRDefault="007F5F5F" w:rsidP="007F5F5F">
      <w:pPr>
        <w:numPr>
          <w:ilvl w:val="0"/>
          <w:numId w:val="2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Impact on Mental Health and Social Cohesion:</w:t>
      </w:r>
      <w:r w:rsidRPr="007F5F5F">
        <w:rPr>
          <w:rFonts w:ascii="Times New Roman" w:eastAsia="Times New Roman" w:hAnsi="Times New Roman" w:cs="Times New Roman"/>
          <w:kern w:val="0"/>
          <w:sz w:val="24"/>
          <w:szCs w:val="24"/>
          <w14:ligatures w14:val="none"/>
        </w:rPr>
        <w:t xml:space="preserve"> The protracted conflict, displacement, and lack of a stable political framework have taken a significant toll on the mental health of ordinary Palestinians. High levels of stress, anxiety, and trauma are prevalent, particularly among children who have grown up amidst violence, military incursions, and instability. The lack of hope for a peaceful resolution or improvement in living conditions has fueled radicalization, social fragmentation, and a sense of disillusionment with both local and international leadership.</w:t>
      </w:r>
    </w:p>
    <w:p w14:paraId="0CD3C617"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Alternative Paths and Missed Opportunities</w:t>
      </w:r>
    </w:p>
    <w:p w14:paraId="3363231E"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lastRenderedPageBreak/>
        <w:t>Discussion of Missed Economic Opportunities:</w:t>
      </w:r>
    </w:p>
    <w:p w14:paraId="7D4709AA" w14:textId="77777777" w:rsidR="007F5F5F" w:rsidRPr="007F5F5F" w:rsidRDefault="007F5F5F" w:rsidP="007F5F5F">
      <w:pPr>
        <w:numPr>
          <w:ilvl w:val="0"/>
          <w:numId w:val="2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Opportunities for Economic Development and Cooperation:</w:t>
      </w:r>
      <w:r w:rsidRPr="007F5F5F">
        <w:rPr>
          <w:rFonts w:ascii="Times New Roman" w:eastAsia="Times New Roman" w:hAnsi="Times New Roman" w:cs="Times New Roman"/>
          <w:kern w:val="0"/>
          <w:sz w:val="24"/>
          <w:szCs w:val="24"/>
          <w14:ligatures w14:val="none"/>
        </w:rPr>
        <w:t xml:space="preserve"> Numerous opportunities for economic development, cooperation, and </w:t>
      </w:r>
      <w:proofErr w:type="gramStart"/>
      <w:r w:rsidRPr="007F5F5F">
        <w:rPr>
          <w:rFonts w:ascii="Times New Roman" w:eastAsia="Times New Roman" w:hAnsi="Times New Roman" w:cs="Times New Roman"/>
          <w:kern w:val="0"/>
          <w:sz w:val="24"/>
          <w:szCs w:val="24"/>
          <w14:ligatures w14:val="none"/>
        </w:rPr>
        <w:t>peace-building</w:t>
      </w:r>
      <w:proofErr w:type="gramEnd"/>
      <w:r w:rsidRPr="007F5F5F">
        <w:rPr>
          <w:rFonts w:ascii="Times New Roman" w:eastAsia="Times New Roman" w:hAnsi="Times New Roman" w:cs="Times New Roman"/>
          <w:kern w:val="0"/>
          <w:sz w:val="24"/>
          <w:szCs w:val="24"/>
          <w14:ligatures w14:val="none"/>
        </w:rPr>
        <w:t xml:space="preserve"> have been missed due to the failure of Palestinian leaders to pursue pragmatic policies and seek constructive engagement with Israel and the international community. Initiatives such as joint industrial zones, cross-border trade agreements, and infrastructure projects could have provided economic benefits and improved living standards, fostering a more conducive environment for peace. However, political intransigence, corruption, and the prioritization of armed resistance over dialogue have often prevented these opportunities from being realized.</w:t>
      </w:r>
    </w:p>
    <w:p w14:paraId="294AC1CF"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Grassroots Movements for Peace:</w:t>
      </w:r>
    </w:p>
    <w:p w14:paraId="33F9F033" w14:textId="77777777" w:rsidR="007F5F5F" w:rsidRPr="007F5F5F" w:rsidRDefault="007F5F5F" w:rsidP="007F5F5F">
      <w:pPr>
        <w:numPr>
          <w:ilvl w:val="0"/>
          <w:numId w:val="2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Emergence of Civil Society Initiatives:</w:t>
      </w:r>
      <w:r w:rsidRPr="007F5F5F">
        <w:rPr>
          <w:rFonts w:ascii="Times New Roman" w:eastAsia="Times New Roman" w:hAnsi="Times New Roman" w:cs="Times New Roman"/>
          <w:kern w:val="0"/>
          <w:sz w:val="24"/>
          <w:szCs w:val="24"/>
          <w14:ligatures w14:val="none"/>
        </w:rPr>
        <w:t xml:space="preserve"> Despite the challenges, numerous grassroots movements and civil society initiatives have emerged, advocating for peace, dialogue, and coexistence between Israelis and Palestinians. These include joint peace-building projects, reconciliation efforts, and local community engagement initiatives that emphasize common human values and the potential for shared prosperity. While these initiatives face significant obstacles, they offer a potential alternative path that emphasizes mutual understanding, nonviolence, and coexistence.</w:t>
      </w:r>
    </w:p>
    <w:p w14:paraId="1680B1BE"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Potential Paths to Prosperity:</w:t>
      </w:r>
    </w:p>
    <w:p w14:paraId="622F7800" w14:textId="77777777" w:rsidR="007F5F5F" w:rsidRPr="007F5F5F" w:rsidRDefault="007F5F5F" w:rsidP="007F5F5F">
      <w:pPr>
        <w:numPr>
          <w:ilvl w:val="0"/>
          <w:numId w:val="2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Investing in Governance and Institution-Building:</w:t>
      </w:r>
      <w:r w:rsidRPr="007F5F5F">
        <w:rPr>
          <w:rFonts w:ascii="Times New Roman" w:eastAsia="Times New Roman" w:hAnsi="Times New Roman" w:cs="Times New Roman"/>
          <w:kern w:val="0"/>
          <w:sz w:val="24"/>
          <w:szCs w:val="24"/>
          <w14:ligatures w14:val="none"/>
        </w:rPr>
        <w:t xml:space="preserve"> To build a viable Palestinian state, there must be a renewed focus on governance, transparency, and institution-building. This involves tackling corruption, promoting political accountability, and investing in social infrastructure, such as education, healthcare, and public services. International support, conditional on meaningful reforms, can help create a foundation for a more stable and prosperous future for Palestinians.</w:t>
      </w:r>
    </w:p>
    <w:p w14:paraId="521B77C2" w14:textId="77777777" w:rsidR="007F5F5F" w:rsidRPr="007F5F5F" w:rsidRDefault="007F5F5F" w:rsidP="007F5F5F">
      <w:pPr>
        <w:numPr>
          <w:ilvl w:val="0"/>
          <w:numId w:val="2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Re-evaluating Priorities and Engaging in Diplomacy:</w:t>
      </w:r>
      <w:r w:rsidRPr="007F5F5F">
        <w:rPr>
          <w:rFonts w:ascii="Times New Roman" w:eastAsia="Times New Roman" w:hAnsi="Times New Roman" w:cs="Times New Roman"/>
          <w:kern w:val="0"/>
          <w:sz w:val="24"/>
          <w:szCs w:val="24"/>
          <w14:ligatures w14:val="none"/>
        </w:rPr>
        <w:t xml:space="preserve"> A re-evaluation of Palestinian leadership priorities, emphasizing state-building, peaceful negotiation, and constructive engagement with Israel and the international community, is essential for moving toward a two-state solution. While challenging, recognizing the futility of violence and the potential benefits of cooperation can help to pave the way for meaningful progress.</w:t>
      </w:r>
    </w:p>
    <w:p w14:paraId="02CE2C91"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Conclusion: Call for New Leadership and International Support for Peace-Building Efforts</w:t>
      </w:r>
    </w:p>
    <w:p w14:paraId="3A90570C"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The Palestinian people have been victims not only of external powers like the British and the surrounding Arab states but also of their own leadership's failures. The focus on maximalist goals, internal corruption, and political fragmentation have prevented Palestinians from achieving statehood and realizing their potential. However, the path forward need not be one of perpetual conflict. By re-evaluating priorities, investing in governance and civil society, and engaging constructively in diplomacy, there is still hope for a peaceful and prosperous future. International support for these efforts will be crucial, but ultimately, it is up to Palestinian leaders and people to chart a new course toward peace, justice, and self-determination.</w:t>
      </w:r>
    </w:p>
    <w:p w14:paraId="2692C21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lastRenderedPageBreak/>
        <w:t>Chapter 13: Yasser Arafat, the PLO, and the Politics of Perpetual Conflict</w:t>
      </w:r>
    </w:p>
    <w:p w14:paraId="672D2128"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Yasser Arafat remains one of the most polarizing figures in the history of the Israeli-Palestinian conflict. To some, he is a symbol of resistance and the struggle for Palestinian self-determination. To others, he is a manipulator who used terrorism, propaganda, and corruption to further his own agenda. This chapter explores Arafat's life, his leadership of the Palestine Liberation Organization (PLO), his connections to earlier figures like Amin al-Husseini, his strategy of perpetuating conflict, and the repeated exiles and expulsions that characterized his tumultuous career.</w:t>
      </w:r>
    </w:p>
    <w:p w14:paraId="495DE0D6"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Early Life of Yasser Arafat: The Egyptian Connection</w:t>
      </w:r>
    </w:p>
    <w:p w14:paraId="31873B66"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Yasser Arafat, born Mohammed Abdel Rahman Abdel Raouf Arafat al-Qudwa al-Husseini in Cairo in 1929, came from a family with deep ties to Palestinian nationalism. Despite later claims of being born in Jerusalem to bolster his Palestinian credentials, Arafat’s origins were firmly rooted in Egypt. His early life was marked by a tumultuous political environment and a strong ideological influence from his family's connection to Amin al-Husseini, the Grand Mufti of Jerusalem.</w:t>
      </w:r>
    </w:p>
    <w:p w14:paraId="2BFE80BD"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Amin al-Husseini, notorious for his alliance with Nazi Germany during World War II, was a key figure in the Arab resistance against both British colonial rule and Jewish settlement in Mandatory Palestine. His vehement opposition to any form of Jewish state and his use of violent tactics profoundly influenced Arafat’s ideological development. Al-Husseini’s strategy of rejecting compromise and using force to achieve political goals became a foundational element in Arafat’s approach to the Palestinian cause.</w:t>
      </w:r>
    </w:p>
    <w:p w14:paraId="5D9D8D7A"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Formation of Fatah and the Rise of the PLO</w:t>
      </w:r>
    </w:p>
    <w:p w14:paraId="004971B8"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In 1959, Arafat co-founded Fatah (Harakat al-Tahrir al-</w:t>
      </w:r>
      <w:proofErr w:type="spellStart"/>
      <w:r w:rsidRPr="007F5F5F">
        <w:rPr>
          <w:rFonts w:ascii="Times New Roman" w:eastAsia="Times New Roman" w:hAnsi="Times New Roman" w:cs="Times New Roman"/>
          <w:kern w:val="0"/>
          <w:sz w:val="24"/>
          <w:szCs w:val="24"/>
          <w14:ligatures w14:val="none"/>
        </w:rPr>
        <w:t>Watani</w:t>
      </w:r>
      <w:proofErr w:type="spellEnd"/>
      <w:r w:rsidRPr="007F5F5F">
        <w:rPr>
          <w:rFonts w:ascii="Times New Roman" w:eastAsia="Times New Roman" w:hAnsi="Times New Roman" w:cs="Times New Roman"/>
          <w:kern w:val="0"/>
          <w:sz w:val="24"/>
          <w:szCs w:val="24"/>
          <w14:ligatures w14:val="none"/>
        </w:rPr>
        <w:t xml:space="preserve"> al-</w:t>
      </w:r>
      <w:proofErr w:type="spellStart"/>
      <w:r w:rsidRPr="007F5F5F">
        <w:rPr>
          <w:rFonts w:ascii="Times New Roman" w:eastAsia="Times New Roman" w:hAnsi="Times New Roman" w:cs="Times New Roman"/>
          <w:kern w:val="0"/>
          <w:sz w:val="24"/>
          <w:szCs w:val="24"/>
          <w14:ligatures w14:val="none"/>
        </w:rPr>
        <w:t>Filastini</w:t>
      </w:r>
      <w:proofErr w:type="spellEnd"/>
      <w:r w:rsidRPr="007F5F5F">
        <w:rPr>
          <w:rFonts w:ascii="Times New Roman" w:eastAsia="Times New Roman" w:hAnsi="Times New Roman" w:cs="Times New Roman"/>
          <w:kern w:val="0"/>
          <w:sz w:val="24"/>
          <w:szCs w:val="24"/>
          <w14:ligatures w14:val="none"/>
        </w:rPr>
        <w:t>), a Palestinian nationalist movement dedicated to armed struggle against Israel. Initially a small, underground group, Fatah quickly gained prominence through guerrilla raids and attacks on Israeli targets. Arafat’s charisma, political acumen, and dedication to the Palestinian cause helped propel Fatah to the forefront of the Palestinian national movement.</w:t>
      </w:r>
    </w:p>
    <w:p w14:paraId="1C9C3EA4"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By 1964, the Arab League established the Palestine Liberation Organization (PLO) to unify various Palestinian factions. Under Arafat's leadership, the PLO adopted a strategy of "armed struggle," which included bombings, hijackings, and assassinations aimed at drawing international attention to the Palestinian cause. Arafat became chairman of the PLO in 1969, and Fatah soon emerged as the dominant faction within the organization.</w:t>
      </w:r>
    </w:p>
    <w:p w14:paraId="311BE628"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Exile and Survival: Arafat's Forced Departures</w:t>
      </w:r>
    </w:p>
    <w:p w14:paraId="165966D3"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 xml:space="preserve">Arafat's tenure as the leader of the PLO was marked by a series of exiles, as his militant tactics and political ambitions often led to clashes with host countries. His first major exile occurred in 1970, during Black September in Jordan, when King Hussein, alarmed by the growing power and autonomy of the PLO, ordered his army to drive out Palestinian fighters. The PLO had effectively created a "state within a state" in Jordan, operating independently and undermining </w:t>
      </w:r>
      <w:r w:rsidRPr="007F5F5F">
        <w:rPr>
          <w:rFonts w:ascii="Times New Roman" w:eastAsia="Times New Roman" w:hAnsi="Times New Roman" w:cs="Times New Roman"/>
          <w:kern w:val="0"/>
          <w:sz w:val="24"/>
          <w:szCs w:val="24"/>
          <w14:ligatures w14:val="none"/>
        </w:rPr>
        <w:lastRenderedPageBreak/>
        <w:t>the monarchy's authority. After months of bloody conflict, Arafat and the PLO were expelled from Jordan and relocated to Lebanon.</w:t>
      </w:r>
    </w:p>
    <w:p w14:paraId="7ECA5B67"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In Lebanon, the PLO established a new base of operations, taking advantage of the country's weak central government and existing sectarian tensions. From their stronghold in Beirut and the refugee camps in southern Lebanon, the PLO launched numerous attacks against Israel, including cross-border raids and the infamous Munich Massacre in 1972. However, the PLO’s activities further destabilized Lebanon, contributing to the outbreak of the Lebanese Civil War in 1975. This period was marked by intense fighting between various Lebanese factions, with the PLO playing a central role.</w:t>
      </w:r>
    </w:p>
    <w:p w14:paraId="34218BCF"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Arafat's presence in Lebanon ended in 1982 with the Israeli invasion, aimed at dismantling the PLO infrastructure following repeated attacks on northern Israel. After a prolonged siege of West Beirut, the PLO was forced to evacuate under international supervision. Arafat and his fighters were exiled once more, this time relocating to Tunis, Tunisia, where the PLO headquarters remained until the early 1990s. Despite being physically distanced from the conflict, Arafat continued to lead the PLO from exile, orchestrating attacks and maintaining his influence over Palestinian affairs.</w:t>
      </w:r>
    </w:p>
    <w:p w14:paraId="05FD54C0"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Tactics of Terror and Diplomacy: Arafat's Dual Strategy</w:t>
      </w:r>
    </w:p>
    <w:p w14:paraId="62A90757"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Arafat’s leadership of the PLO was characterized by a dual strategy of militancy and diplomacy. Throughout the 1970s and 1980s, Arafat and the PLO orchestrated numerous high-profile terrorist attacks to gain international attention and pressure Israel. This included hijackings, bombings, and assassinations, such as the Munich Massacre in 1972, which horrified the world but also drew global attention to the Palestinian cause.</w:t>
      </w:r>
    </w:p>
    <w:p w14:paraId="098B7A49"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At the same time, Arafat was aware of the need for political engagement. He frequently shifted his stance, oscillating between calls for armed struggle and offers of peace talks. This strategy allowed him to maintain his position as the undisputed leader of the Palestinian people while keeping his options open. His participation in the Oslo Accords in the early 1990s, which involved recognizing Israel's right to exist and renouncing terrorism, was seen as a major step toward peace. However, many observers believed Arafat’s commitment to the accords was ambivalent, as he continued to encourage violent resistance in public speeches and covertly supported militant groups.</w:t>
      </w:r>
    </w:p>
    <w:p w14:paraId="46DF08A7"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Corruption and Power: Arafat's Self-Interest</w:t>
      </w:r>
    </w:p>
    <w:p w14:paraId="755BC91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Arafat’s leadership of the PLO and the Palestinian Authority was marked by allegations of widespread corruption and financial mismanagement. As chairman, Arafat maintained strict control over the organization's finances, which were funded by donations from Arab states, international aid, and various illicit activities. This allowed him to wield enormous power, using PLO funds to buy loyalty, maintain authority, and prevent challenges to his leadership. Arafat’s autocratic style ensured that he retained control over both political and financial matters, leading to accusations that he diverted significant amounts of money to personal accounts and funded a lavish lifestyle.</w:t>
      </w:r>
    </w:p>
    <w:p w14:paraId="5D3EF3DD"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lastRenderedPageBreak/>
        <w:t>Arafat's financial control was not just for personal enrichment; it was a means to ensure his absolute power. He would distribute money to loyalists within the organization and among various Palestinian factions, thereby preventing the emergence of any serious opposition. This led to a culture of patronage and corruption that persisted throughout his tenure, fostering resentment and frustration among ordinary Palestinians who continued to live in poverty and hardship.</w:t>
      </w:r>
    </w:p>
    <w:p w14:paraId="531E4438"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Perpetuation of Conflict: Intentions Behind Endless Struggle</w:t>
      </w:r>
    </w:p>
    <w:p w14:paraId="4B2BF781"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There is a compelling argument that Arafat had little intention of ever truly resolving the conflict with Israel. A perpetual state of conflict allowed Arafat to remain the central figure in Palestinian politics, justified his leadership, and provided a continuous flow of international aid and political support. Peace would have required concessions that might have weakened his authority and brought challenges from other factions.</w:t>
      </w:r>
    </w:p>
    <w:p w14:paraId="70C2DD90"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Arafat’s handling of the Oslo Accords exemplifies this duplicity. While publicly agreeing to the accords, Arafat continued to incite violence and support militant activities covertly. His approach was to present himself as a peacemaker to the international community while maintaining his hardline credentials among Palestinians. He walked a delicate line, balancing public diplomacy with private militancy, ensuring that the conflict remained unresolved and his leadership unchallenged.</w:t>
      </w:r>
    </w:p>
    <w:p w14:paraId="7EBAC502"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 xml:space="preserve">The Second Intifada (2000-2005) further exposed Arafat's intentions. Despite being involved in the Camp David negotiations in 2000, where unprecedented concessions were offered by Israeli Prime Minister Ehud Barak, Arafat walked away from the table. Many analysts believe he saw the violence of the Second Intifada </w:t>
      </w:r>
      <w:proofErr w:type="gramStart"/>
      <w:r w:rsidRPr="007F5F5F">
        <w:rPr>
          <w:rFonts w:ascii="Times New Roman" w:eastAsia="Times New Roman" w:hAnsi="Times New Roman" w:cs="Times New Roman"/>
          <w:kern w:val="0"/>
          <w:sz w:val="24"/>
          <w:szCs w:val="24"/>
          <w14:ligatures w14:val="none"/>
        </w:rPr>
        <w:t>as a means to</w:t>
      </w:r>
      <w:proofErr w:type="gramEnd"/>
      <w:r w:rsidRPr="007F5F5F">
        <w:rPr>
          <w:rFonts w:ascii="Times New Roman" w:eastAsia="Times New Roman" w:hAnsi="Times New Roman" w:cs="Times New Roman"/>
          <w:kern w:val="0"/>
          <w:sz w:val="24"/>
          <w:szCs w:val="24"/>
          <w14:ligatures w14:val="none"/>
        </w:rPr>
        <w:t xml:space="preserve"> regain control and pressure Israel without making substantial compromises.</w:t>
      </w:r>
    </w:p>
    <w:p w14:paraId="5E24ECEA"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Arafat's Legacy of Conflict: The Role of Exile and Power</w:t>
      </w:r>
    </w:p>
    <w:p w14:paraId="49A1AB58"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Arafat’s repeated exiles—from Jordan, Lebanon, and finally to Tunisia—did not diminish his influence; instead, they reinforced his image as a resilient leader who could survive and adapt to any challenge. Each exile allowed Arafat to reposition himself strategically, presenting himself as both a victim and a symbol of the Palestinian struggle. He used these exiles to garner sympathy, maintain international support, and perpetuate the narrative of Palestinian victimhood under Israeli and Western oppression.</w:t>
      </w:r>
    </w:p>
    <w:p w14:paraId="5A371CBE"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 xml:space="preserve">Despite these challenges, Arafat's </w:t>
      </w:r>
      <w:proofErr w:type="gramStart"/>
      <w:r w:rsidRPr="007F5F5F">
        <w:rPr>
          <w:rFonts w:ascii="Times New Roman" w:eastAsia="Times New Roman" w:hAnsi="Times New Roman" w:cs="Times New Roman"/>
          <w:kern w:val="0"/>
          <w:sz w:val="24"/>
          <w:szCs w:val="24"/>
          <w14:ligatures w14:val="none"/>
        </w:rPr>
        <w:t>ultimate goal</w:t>
      </w:r>
      <w:proofErr w:type="gramEnd"/>
      <w:r w:rsidRPr="007F5F5F">
        <w:rPr>
          <w:rFonts w:ascii="Times New Roman" w:eastAsia="Times New Roman" w:hAnsi="Times New Roman" w:cs="Times New Roman"/>
          <w:kern w:val="0"/>
          <w:sz w:val="24"/>
          <w:szCs w:val="24"/>
          <w14:ligatures w14:val="none"/>
        </w:rPr>
        <w:t xml:space="preserve"> was not necessarily to resolve the conflict but to keep it alive in order to maintain his power, authority, and financial benefits. His strategy ensured that the PLO remained the central actor in the Palestinian nationalist movement and that he, as its leader, remained indispensable.</w:t>
      </w:r>
    </w:p>
    <w:p w14:paraId="0F5693B2"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Conclusion: Arafat's Complex Legacy</w:t>
      </w:r>
    </w:p>
    <w:p w14:paraId="076CD202"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 xml:space="preserve">Yasser Arafat’s leadership was marked by contradictions: he was a charismatic figure who could rally international support for the Palestinian cause, yet his tactics often involved violence and terror that isolated potential allies. He was a leader who spoke the language of </w:t>
      </w:r>
      <w:proofErr w:type="gramStart"/>
      <w:r w:rsidRPr="007F5F5F">
        <w:rPr>
          <w:rFonts w:ascii="Times New Roman" w:eastAsia="Times New Roman" w:hAnsi="Times New Roman" w:cs="Times New Roman"/>
          <w:kern w:val="0"/>
          <w:sz w:val="24"/>
          <w:szCs w:val="24"/>
          <w14:ligatures w14:val="none"/>
        </w:rPr>
        <w:t>peace, yet</w:t>
      </w:r>
      <w:proofErr w:type="gramEnd"/>
      <w:r w:rsidRPr="007F5F5F">
        <w:rPr>
          <w:rFonts w:ascii="Times New Roman" w:eastAsia="Times New Roman" w:hAnsi="Times New Roman" w:cs="Times New Roman"/>
          <w:kern w:val="0"/>
          <w:sz w:val="24"/>
          <w:szCs w:val="24"/>
          <w14:ligatures w14:val="none"/>
        </w:rPr>
        <w:t xml:space="preserve"> </w:t>
      </w:r>
      <w:r w:rsidRPr="007F5F5F">
        <w:rPr>
          <w:rFonts w:ascii="Times New Roman" w:eastAsia="Times New Roman" w:hAnsi="Times New Roman" w:cs="Times New Roman"/>
          <w:kern w:val="0"/>
          <w:sz w:val="24"/>
          <w:szCs w:val="24"/>
          <w14:ligatures w14:val="none"/>
        </w:rPr>
        <w:lastRenderedPageBreak/>
        <w:t>maintained a commitment to conflict that served his personal and political interests. His ties to Amin al-Husseini, his use of exile to his advantage, and his pattern of perpetuating conflict rather than resolving it have left a complicated legacy for Palestinians and Israelis alike. Arafat remains a symbol of resistance for some, but for others, he represents a missed opportunity for peace and a legacy of conflict that continues to impact the Middle East to this day.</w:t>
      </w:r>
    </w:p>
    <w:p w14:paraId="67E27FDB"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Here is the revised version of Chapter 14, incorporating the suggested changes to clarify motivations, highlight key players, streamline the narrative, and strengthen the conclusion:</w:t>
      </w:r>
    </w:p>
    <w:p w14:paraId="774FF163" w14:textId="77777777" w:rsidR="007F5F5F" w:rsidRPr="007F5F5F" w:rsidRDefault="007F5F5F" w:rsidP="007F5F5F">
      <w:pPr>
        <w:spacing w:after="0"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pict w14:anchorId="4CAB6F88">
          <v:rect id="_x0000_i1027" style="width:0;height:1.5pt" o:hralign="center" o:hrstd="t" o:hr="t" fillcolor="#a0a0a0" stroked="f"/>
        </w:pict>
      </w:r>
    </w:p>
    <w:p w14:paraId="50EC5455"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Chapter 14: The Oslo Accords: Arafat’s Deception and the Elusive Promise of Peace</w:t>
      </w:r>
    </w:p>
    <w:p w14:paraId="156C13F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The Oslo Accords were a watershed moment in the Israeli-Palestinian conflict, marking the first time that both parties officially recognized each other and agreed to negotiate a peaceful resolution. Signed in 1993, the accords were hailed by many as a significant breakthrough toward ending decades of hostility and violence. However, behind the scenes, Yasser Arafat's true intentions and his use of the Oslo process as a strategic maneuver rather than a genuine pursuit of peace remained ambiguous. This chapter explores the details of the Oslo Accords, the role of U.S. President Bill Clinton in facilitating negotiations, the specifics of the deals Arafat walked away from, Arafat's strategic maneuvers to strengthen his position, and the subsequent transition of power after his death.</w:t>
      </w:r>
    </w:p>
    <w:p w14:paraId="6E472227"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Road to Oslo: The Beginnings of Secret Negotiations</w:t>
      </w:r>
    </w:p>
    <w:p w14:paraId="39F6252F"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By the early 1990s, the collapse of the Soviet Union, the aftermath of the Gulf War, and a growing realization that the ongoing conflict would only lead to more bloodshed created a new geopolitical environment conducive to peace talks. Secret negotiations between Israeli and Palestinian representatives began in Oslo, Norway, in early 1993. Initially informal, these negotiations were held in secret to avoid public scrutiny and potential political backlash. The Israeli delegation was led by figures such as Yossi Beilin and Uri Savir, while the Palestinian team included Ahmed Qurei and others, who reported directly to Arafat.</w:t>
      </w:r>
    </w:p>
    <w:p w14:paraId="32FD4F05"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Norway provided a neutral ground for these talks, with Norwegian diplomats playing a key role as facilitators. The unique aspect of these negotiations was that they occurred directly between Israelis and Palestinians, bypassing other Arab states and the United Nations, creating a unique sense of ownership and responsibility for both parties.</w:t>
      </w:r>
    </w:p>
    <w:p w14:paraId="3ACD4F94"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Oslo Accords: Key Terms and Provisions</w:t>
      </w:r>
    </w:p>
    <w:p w14:paraId="7172B5A8"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The Oslo Accords, officially signed on September 13, 1993, at the White House, established a framework for future negotiations aimed at achieving a comprehensive peace agreement. Key elements of the accords included:</w:t>
      </w:r>
    </w:p>
    <w:p w14:paraId="58AFE684" w14:textId="77777777" w:rsidR="007F5F5F" w:rsidRPr="007F5F5F" w:rsidRDefault="007F5F5F" w:rsidP="007F5F5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lastRenderedPageBreak/>
        <w:t>Mutual Recognition</w:t>
      </w:r>
      <w:r w:rsidRPr="007F5F5F">
        <w:rPr>
          <w:rFonts w:ascii="Times New Roman" w:eastAsia="Times New Roman" w:hAnsi="Times New Roman" w:cs="Times New Roman"/>
          <w:kern w:val="0"/>
          <w:sz w:val="24"/>
          <w:szCs w:val="24"/>
          <w14:ligatures w14:val="none"/>
        </w:rPr>
        <w:t>: For the first time, the PLO recognized Israel's right to exist in peace and security, while Israel recognized the PLO as the legitimate representative of the Palestinian people.</w:t>
      </w:r>
    </w:p>
    <w:p w14:paraId="6F2B32C9" w14:textId="77777777" w:rsidR="007F5F5F" w:rsidRPr="007F5F5F" w:rsidRDefault="007F5F5F" w:rsidP="007F5F5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Phased Approach to Peace</w:t>
      </w:r>
      <w:r w:rsidRPr="007F5F5F">
        <w:rPr>
          <w:rFonts w:ascii="Times New Roman" w:eastAsia="Times New Roman" w:hAnsi="Times New Roman" w:cs="Times New Roman"/>
          <w:kern w:val="0"/>
          <w:sz w:val="24"/>
          <w:szCs w:val="24"/>
          <w14:ligatures w14:val="none"/>
        </w:rPr>
        <w:t>: The accords outlined a phased process whereby Israel would gradually withdraw from parts of the West Bank and Gaza Strip, with Palestinian self-rule established in these areas. The goal was to create interim self-government for the Palestinians and set a timetable for further negotiations to resolve final status issues, including borders, the status of Jerusalem, refugees, and security arrangements.</w:t>
      </w:r>
    </w:p>
    <w:p w14:paraId="67484B3E" w14:textId="77777777" w:rsidR="007F5F5F" w:rsidRPr="007F5F5F" w:rsidRDefault="007F5F5F" w:rsidP="007F5F5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Creation of the Palestinian Authority (PA)</w:t>
      </w:r>
      <w:r w:rsidRPr="007F5F5F">
        <w:rPr>
          <w:rFonts w:ascii="Times New Roman" w:eastAsia="Times New Roman" w:hAnsi="Times New Roman" w:cs="Times New Roman"/>
          <w:kern w:val="0"/>
          <w:sz w:val="24"/>
          <w:szCs w:val="24"/>
          <w14:ligatures w14:val="none"/>
        </w:rPr>
        <w:t>: The accords led to the creation of the Palestinian Authority, a semi-autonomous administrative body tasked with governing Palestinian-populated areas in the West Bank and Gaza. Arafat was invited to lead this new body, granting him legitimacy and authority over the Palestinian territories.</w:t>
      </w:r>
    </w:p>
    <w:p w14:paraId="5B7B7E09" w14:textId="77777777" w:rsidR="007F5F5F" w:rsidRPr="007F5F5F" w:rsidRDefault="007F5F5F" w:rsidP="007F5F5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Security Cooperation</w:t>
      </w:r>
      <w:r w:rsidRPr="007F5F5F">
        <w:rPr>
          <w:rFonts w:ascii="Times New Roman" w:eastAsia="Times New Roman" w:hAnsi="Times New Roman" w:cs="Times New Roman"/>
          <w:kern w:val="0"/>
          <w:sz w:val="24"/>
          <w:szCs w:val="24"/>
          <w14:ligatures w14:val="none"/>
        </w:rPr>
        <w:t>: Both parties agreed to renounce violence and cooperate on security issues. A Palestinian police force would be established to maintain order in areas under Palestinian control, and both sides committed to combating terrorism and preventing attacks on each other.</w:t>
      </w:r>
    </w:p>
    <w:p w14:paraId="2B9F0A6B" w14:textId="77777777" w:rsidR="007F5F5F" w:rsidRPr="007F5F5F" w:rsidRDefault="007F5F5F" w:rsidP="007F5F5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Economic Cooperation</w:t>
      </w:r>
      <w:r w:rsidRPr="007F5F5F">
        <w:rPr>
          <w:rFonts w:ascii="Times New Roman" w:eastAsia="Times New Roman" w:hAnsi="Times New Roman" w:cs="Times New Roman"/>
          <w:kern w:val="0"/>
          <w:sz w:val="24"/>
          <w:szCs w:val="24"/>
          <w14:ligatures w14:val="none"/>
        </w:rPr>
        <w:t>: The accords called for cooperation in economic development, including promoting joint ventures and trade relations, to foster economic improvements for Palestinians and promote coexistence.</w:t>
      </w:r>
    </w:p>
    <w:p w14:paraId="0F5F7AF9"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Role of President Bill Clinton: Broker and Cheerleader</w:t>
      </w:r>
    </w:p>
    <w:p w14:paraId="5CFD5C9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U.S. President Bill Clinton played a crucial role in facilitating the Oslo process, seeing it as a potential legacy-defining achievement. His administration worked tirelessly behind the scenes, providing diplomatic support and encouragement to both parties.</w:t>
      </w:r>
    </w:p>
    <w:p w14:paraId="7ED657FC"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Clinton viewed the Oslo Accords as an opportunity to bring stability to a volatile region, strengthen ties with moderate Arab states, and bolster American influence in the Middle East. Hosting the signing ceremony at the White House, Clinton sought to convey to the world that peace was within reach and that the U.S. was the principal architect of this historic rapprochement. The image of Yasser Arafat and Israeli Prime Minister Yitzhak Rabin shaking hands, with Clinton standing between them, became an iconic symbol of hope for peace.</w:t>
      </w:r>
    </w:p>
    <w:p w14:paraId="7FFA48CB"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Arafat’s Deception: Using Oslo as a Strategic Tool</w:t>
      </w:r>
    </w:p>
    <w:p w14:paraId="3FC78377"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While many in the international community viewed the Oslo Accords as a genuine step toward peace, Arafat saw them as a strategic tool to gain a foothold in the West Bank and Gaza and to strengthen the Palestinian position. Despite publicly embracing the accords, Arafat's private statements and actions suggested he had no intention of achieving a final peace settlement.</w:t>
      </w:r>
    </w:p>
    <w:p w14:paraId="640B3F79" w14:textId="77777777" w:rsidR="007F5F5F" w:rsidRPr="007F5F5F" w:rsidRDefault="007F5F5F" w:rsidP="007F5F5F">
      <w:pPr>
        <w:numPr>
          <w:ilvl w:val="0"/>
          <w:numId w:val="2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Incitement and Continued Violence</w:t>
      </w:r>
      <w:r w:rsidRPr="007F5F5F">
        <w:rPr>
          <w:rFonts w:ascii="Times New Roman" w:eastAsia="Times New Roman" w:hAnsi="Times New Roman" w:cs="Times New Roman"/>
          <w:kern w:val="0"/>
          <w:sz w:val="24"/>
          <w:szCs w:val="24"/>
          <w14:ligatures w14:val="none"/>
        </w:rPr>
        <w:t xml:space="preserve">: Despite agreeing to renounce violence, Arafat continued to incite hatred against Israel in Palestinian media and public speeches. He often used ambiguous language, suggesting that the accords were a step toward liberating </w:t>
      </w:r>
      <w:proofErr w:type="gramStart"/>
      <w:r w:rsidRPr="007F5F5F">
        <w:rPr>
          <w:rFonts w:ascii="Times New Roman" w:eastAsia="Times New Roman" w:hAnsi="Times New Roman" w:cs="Times New Roman"/>
          <w:kern w:val="0"/>
          <w:sz w:val="24"/>
          <w:szCs w:val="24"/>
          <w14:ligatures w14:val="none"/>
        </w:rPr>
        <w:t>all of</w:t>
      </w:r>
      <w:proofErr w:type="gramEnd"/>
      <w:r w:rsidRPr="007F5F5F">
        <w:rPr>
          <w:rFonts w:ascii="Times New Roman" w:eastAsia="Times New Roman" w:hAnsi="Times New Roman" w:cs="Times New Roman"/>
          <w:kern w:val="0"/>
          <w:sz w:val="24"/>
          <w:szCs w:val="24"/>
          <w14:ligatures w14:val="none"/>
        </w:rPr>
        <w:t xml:space="preserve"> historic Palestine. While he presented himself as a peacemaker to the international community, he assured his followers that the peace process was merely a tactical step toward the </w:t>
      </w:r>
      <w:proofErr w:type="gramStart"/>
      <w:r w:rsidRPr="007F5F5F">
        <w:rPr>
          <w:rFonts w:ascii="Times New Roman" w:eastAsia="Times New Roman" w:hAnsi="Times New Roman" w:cs="Times New Roman"/>
          <w:kern w:val="0"/>
          <w:sz w:val="24"/>
          <w:szCs w:val="24"/>
          <w14:ligatures w14:val="none"/>
        </w:rPr>
        <w:t>ultimate goal</w:t>
      </w:r>
      <w:proofErr w:type="gramEnd"/>
      <w:r w:rsidRPr="007F5F5F">
        <w:rPr>
          <w:rFonts w:ascii="Times New Roman" w:eastAsia="Times New Roman" w:hAnsi="Times New Roman" w:cs="Times New Roman"/>
          <w:kern w:val="0"/>
          <w:sz w:val="24"/>
          <w:szCs w:val="24"/>
          <w14:ligatures w14:val="none"/>
        </w:rPr>
        <w:t xml:space="preserve"> of achieving all Palestinian demands.</w:t>
      </w:r>
    </w:p>
    <w:p w14:paraId="1E8EFD98" w14:textId="77777777" w:rsidR="007F5F5F" w:rsidRPr="007F5F5F" w:rsidRDefault="007F5F5F" w:rsidP="007F5F5F">
      <w:pPr>
        <w:numPr>
          <w:ilvl w:val="0"/>
          <w:numId w:val="2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lastRenderedPageBreak/>
        <w:t>Arming the Palestinians</w:t>
      </w:r>
      <w:r w:rsidRPr="007F5F5F">
        <w:rPr>
          <w:rFonts w:ascii="Times New Roman" w:eastAsia="Times New Roman" w:hAnsi="Times New Roman" w:cs="Times New Roman"/>
          <w:kern w:val="0"/>
          <w:sz w:val="24"/>
          <w:szCs w:val="24"/>
          <w14:ligatures w14:val="none"/>
        </w:rPr>
        <w:t>: A key provision of the Oslo Accords was the establishment of a Palestinian police force to maintain order in areas under Palestinian Authority control. However, Arafat exploited this provision to build a quasi-military force that could be used to pressure Israel. He allowed weapons to flow into the Palestinian territories, and many officers recruited into the Palestinian police were former militants. Instead of fostering cooperation, the Palestinian police often turned a blind eye to, or even actively supported, attacks on Israeli targets.</w:t>
      </w:r>
    </w:p>
    <w:p w14:paraId="6EA374A0" w14:textId="77777777" w:rsidR="007F5F5F" w:rsidRPr="007F5F5F" w:rsidRDefault="007F5F5F" w:rsidP="007F5F5F">
      <w:pPr>
        <w:numPr>
          <w:ilvl w:val="0"/>
          <w:numId w:val="2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Using the Peace Process as Leverage</w:t>
      </w:r>
      <w:r w:rsidRPr="007F5F5F">
        <w:rPr>
          <w:rFonts w:ascii="Times New Roman" w:eastAsia="Times New Roman" w:hAnsi="Times New Roman" w:cs="Times New Roman"/>
          <w:kern w:val="0"/>
          <w:sz w:val="24"/>
          <w:szCs w:val="24"/>
          <w14:ligatures w14:val="none"/>
        </w:rPr>
        <w:t>: Arafat used the peace process to gain political and economic concessions from Israel and the international community. By participating in negotiations, he secured billions of dollars in international aid and political legitimacy for the Palestinian Authority. However, he resisted meaningful compromise on core issues such as the right of return for Palestinian refugees or the status of Jerusalem. Arafat’s strategy was to extract as many concessions as possible without committing to a final settlement.</w:t>
      </w:r>
    </w:p>
    <w:p w14:paraId="0FBE181D"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Camp David Summit (2000): The Deal Arafat Walked Away From</w:t>
      </w:r>
    </w:p>
    <w:p w14:paraId="0AAFB8ED"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In July 2000, U.S. President Bill Clinton invited Arafat and Israeli Prime Minister Ehud Barak to Camp David to negotiate a final status agreement. The summit represented the most serious attempt to reach a comprehensive peace agreement since the Oslo process began. Barak, eager to achieve a historic peace deal, offered unprecedented concessions:</w:t>
      </w:r>
    </w:p>
    <w:p w14:paraId="12560BE8" w14:textId="77777777" w:rsidR="007F5F5F" w:rsidRPr="007F5F5F" w:rsidRDefault="007F5F5F" w:rsidP="007F5F5F">
      <w:pPr>
        <w:numPr>
          <w:ilvl w:val="0"/>
          <w:numId w:val="2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Territorial Compromise</w:t>
      </w:r>
      <w:r w:rsidRPr="007F5F5F">
        <w:rPr>
          <w:rFonts w:ascii="Times New Roman" w:eastAsia="Times New Roman" w:hAnsi="Times New Roman" w:cs="Times New Roman"/>
          <w:kern w:val="0"/>
          <w:sz w:val="24"/>
          <w:szCs w:val="24"/>
          <w14:ligatures w14:val="none"/>
        </w:rPr>
        <w:t>: Barak proposed withdrawing from approximately 94-96% of the West Bank and all of Gaza, allowing for the creation of a Palestinian state. To compensate for the land Israel would retain, Barak offered additional land from within Israel's borders.</w:t>
      </w:r>
    </w:p>
    <w:p w14:paraId="0A13726A" w14:textId="77777777" w:rsidR="007F5F5F" w:rsidRPr="007F5F5F" w:rsidRDefault="007F5F5F" w:rsidP="007F5F5F">
      <w:pPr>
        <w:numPr>
          <w:ilvl w:val="0"/>
          <w:numId w:val="2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Jerusalem and Holy Sites</w:t>
      </w:r>
      <w:r w:rsidRPr="007F5F5F">
        <w:rPr>
          <w:rFonts w:ascii="Times New Roman" w:eastAsia="Times New Roman" w:hAnsi="Times New Roman" w:cs="Times New Roman"/>
          <w:kern w:val="0"/>
          <w:sz w:val="24"/>
          <w:szCs w:val="24"/>
          <w14:ligatures w14:val="none"/>
        </w:rPr>
        <w:t>: Barak made a groundbreaking offer to divide Jerusalem, allowing for Palestinian sovereignty over East Jerusalem and most of the Arab neighborhoods. He also proposed shared control of the Temple Mount/Haram al-Sharif, with arrangements to ensure access to and respect for all holy sites.</w:t>
      </w:r>
    </w:p>
    <w:p w14:paraId="271909A7" w14:textId="77777777" w:rsidR="007F5F5F" w:rsidRPr="007F5F5F" w:rsidRDefault="007F5F5F" w:rsidP="007F5F5F">
      <w:pPr>
        <w:numPr>
          <w:ilvl w:val="0"/>
          <w:numId w:val="2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b/>
          <w:bCs/>
          <w:kern w:val="0"/>
          <w:sz w:val="24"/>
          <w:szCs w:val="24"/>
          <w14:ligatures w14:val="none"/>
        </w:rPr>
        <w:t>Refugee Issue</w:t>
      </w:r>
      <w:r w:rsidRPr="007F5F5F">
        <w:rPr>
          <w:rFonts w:ascii="Times New Roman" w:eastAsia="Times New Roman" w:hAnsi="Times New Roman" w:cs="Times New Roman"/>
          <w:kern w:val="0"/>
          <w:sz w:val="24"/>
          <w:szCs w:val="24"/>
          <w14:ligatures w14:val="none"/>
        </w:rPr>
        <w:t>: Barak offered a solution to the Palestinian refugee issue, which included a limited right of return for a symbolic number of refugees to Israel, with the rest resettled in the Palestinian state or third countries, coupled with an international fund to compensate and resettle refugees.</w:t>
      </w:r>
    </w:p>
    <w:p w14:paraId="0694078A"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Despite these unprecedented offers, Arafat walked away from the negotiations without making a counteroffer. Clinton later blamed Arafat for the failure of the summit, stating that Arafat had missed a historic opportunity for peace. Arafat's refusal to engage seriously in negotiations and his unwillingness to compromise led many to conclude that he was not interested in a peaceful resolution that would require difficult concessions.</w:t>
      </w:r>
    </w:p>
    <w:p w14:paraId="77F1F1A0"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Arafat’s True Intentions: Preparing for Conflict</w:t>
      </w:r>
    </w:p>
    <w:p w14:paraId="17CF85AF"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 xml:space="preserve">After the Camp David Summit, Arafat returned to the West Bank and began preparing for the next phase of conflict. By September 2000, the Second Intifada erupted, sparked by a visit by Israeli opposition leader Ariel Sharon to the Temple Mount. The violence quickly escalated, with </w:t>
      </w:r>
      <w:r w:rsidRPr="007F5F5F">
        <w:rPr>
          <w:rFonts w:ascii="Times New Roman" w:eastAsia="Times New Roman" w:hAnsi="Times New Roman" w:cs="Times New Roman"/>
          <w:kern w:val="0"/>
          <w:sz w:val="24"/>
          <w:szCs w:val="24"/>
          <w14:ligatures w14:val="none"/>
        </w:rPr>
        <w:lastRenderedPageBreak/>
        <w:t>Palestinian militants launching suicide bombings and attacks against Israeli civilians and soldiers.</w:t>
      </w:r>
    </w:p>
    <w:p w14:paraId="0F48361C"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Arafat played a dual role during this period. Publicly, he condemned the violence and called for calm, but privately, he encouraged and facilitated continued attacks. Palestinian security forces, armed and trained under the Oslo Accords, were often complicit in terrorist activities. The Second Intifada resulted in thousands of deaths on both sides and marked the collapse of the Oslo peace process.</w:t>
      </w:r>
    </w:p>
    <w:p w14:paraId="6050981A"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Arafat's Death and the Transition of Power</w:t>
      </w:r>
    </w:p>
    <w:p w14:paraId="0EE805AD"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Yasser Arafat's health began to decline in late 2004. He was airlifted to France in October for medical treatment after suffering from a mysterious illness. On November 11, 2004, Arafat died at a French military hospital in Paris. The exact cause of his death remains controversial, with some alleging poisoning, while others point to natural causes like a stroke or blood disorder. His death marked the end of an era for the Palestinian national movement and raised questions about the future of Palestinian leadership.</w:t>
      </w:r>
    </w:p>
    <w:p w14:paraId="762E645C"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Ascension of Mahmoud Abbas and New Leadership</w:t>
      </w:r>
    </w:p>
    <w:p w14:paraId="6CCD0532"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Following Arafat's death, Mahmoud Abbas (Abu Mazen), who had served as Arafat's deputy and a key negotiator in the Oslo process, was elected President of the Palestinian Authority in January 2005. Abbas, considered more moderate than Arafat, was seen as a leader who might genuinely pursue a negotiated settlement with Israel.</w:t>
      </w:r>
    </w:p>
    <w:p w14:paraId="104D3F09"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Under Abbas, the Palestinian leadership initially attempted to revive peace talks and restore calm after the bloody years of the Second Intifada. However, he faced numerous challenges, including internal divisions, the rise of Hamas as a political force, and continuing Israeli settlement activity in the West Bank.</w:t>
      </w:r>
    </w:p>
    <w:p w14:paraId="7E77F716"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Abbas's authority was further undermined by perceptions of corruption within the Palestinian Authority, lack of progress in peace negotiations, and his inability to unify Palestinian factions. The 2006 parliamentary elections, in which Hamas won a decisive victory, led to a split between Fatah, which controls the West Bank, and Hamas, which took over Gaza in a violent coup in 2007.</w:t>
      </w:r>
    </w:p>
    <w:p w14:paraId="5B4EF762"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The Aftermath: Arafat's Legacy and Its Impact on the Peace Process</w:t>
      </w:r>
    </w:p>
    <w:p w14:paraId="7F75561F"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Yasser Arafat’s death marked a turning point in Palestinian politics, but his legacy continues to influence the Israeli-Palestinian conflict. Under his leadership, the PLO and the Palestinian Authority became synonymous with a leadership style that combined militant resistance, diplomatic maneuvering, and reluctance to embrace genuine peace. The failure of the Oslo Accords and the collapse of the Camp David Summit left a bitter legacy, casting a long shadow over subsequent peace efforts.</w:t>
      </w:r>
    </w:p>
    <w:p w14:paraId="5375D633"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 xml:space="preserve">Arafat’s approach—accepting negotiations while covertly supporting militancy—remains a model for many who followed him. His legacy includes the fragmentation of the Palestinian </w:t>
      </w:r>
      <w:r w:rsidRPr="007F5F5F">
        <w:rPr>
          <w:rFonts w:ascii="Times New Roman" w:eastAsia="Times New Roman" w:hAnsi="Times New Roman" w:cs="Times New Roman"/>
          <w:kern w:val="0"/>
          <w:sz w:val="24"/>
          <w:szCs w:val="24"/>
          <w14:ligatures w14:val="none"/>
        </w:rPr>
        <w:lastRenderedPageBreak/>
        <w:t>polity and the entrenchment of narratives that make compromise difficult. Despite his death, the dynamics he set in motion continue to define the conflict's parameters, illustrating that peace remains an elusive goal.</w:t>
      </w:r>
    </w:p>
    <w:p w14:paraId="6AA754F1" w14:textId="77777777" w:rsidR="007F5F5F" w:rsidRPr="007F5F5F" w:rsidRDefault="007F5F5F" w:rsidP="007F5F5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F5F5F">
        <w:rPr>
          <w:rFonts w:ascii="Times New Roman" w:eastAsia="Times New Roman" w:hAnsi="Times New Roman" w:cs="Times New Roman"/>
          <w:b/>
          <w:bCs/>
          <w:kern w:val="0"/>
          <w:sz w:val="27"/>
          <w:szCs w:val="27"/>
          <w14:ligatures w14:val="none"/>
        </w:rPr>
        <w:t>Conclusion: The Elusive Promise of Peace</w:t>
      </w:r>
    </w:p>
    <w:p w14:paraId="30728967"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The Oslo Accords, once hailed as a historic breakthrough, ultimately failed to deliver peace. While Arafat publicly embraced the accords, his actions demonstrated a lack of genuine commitment to a final resolution. By using the Oslo process to gain international legitimacy, financial aid, and military strength, Arafat ensured that the conflict remained unresolved. His decision to walk away from the Camp David Summit and his role in inciting the Second Intifada revealed a leader more interested in perpetuating conflict than achieving a lasting peace.</w:t>
      </w:r>
    </w:p>
    <w:p w14:paraId="350E04D1" w14:textId="77777777" w:rsidR="007F5F5F" w:rsidRPr="007F5F5F" w:rsidRDefault="007F5F5F" w:rsidP="007F5F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F5F5F">
        <w:rPr>
          <w:rFonts w:ascii="Times New Roman" w:eastAsia="Times New Roman" w:hAnsi="Times New Roman" w:cs="Times New Roman"/>
          <w:kern w:val="0"/>
          <w:sz w:val="24"/>
          <w:szCs w:val="24"/>
          <w14:ligatures w14:val="none"/>
        </w:rPr>
        <w:t>With Arafat's death, leadership passed to Mahmoud Abbas, whose efforts to pursue peace have been hampered by deep-seated divisions and the legacies of Arafat's rule. The Palestinian leadership continues to grapple with internal and external pressures, and the path to peace remains fraught with challenges. The history of the Oslo Accords and Arafat’s approach to leadership serve as a reminder of how complex and challenging the search for peace in the Middle East remains.</w:t>
      </w:r>
    </w:p>
    <w:p w14:paraId="3E5CDAC5" w14:textId="77777777" w:rsidR="00A44A83" w:rsidRPr="00A44A83" w:rsidRDefault="00A44A83" w:rsidP="00A44A8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44A83">
        <w:rPr>
          <w:rFonts w:ascii="Times New Roman" w:eastAsia="Times New Roman" w:hAnsi="Times New Roman" w:cs="Times New Roman"/>
          <w:b/>
          <w:bCs/>
          <w:kern w:val="0"/>
          <w:sz w:val="27"/>
          <w:szCs w:val="27"/>
          <w14:ligatures w14:val="none"/>
        </w:rPr>
        <w:t>Chapter 15: The Palestinian Impact on Regional Stability: Disruption in Jordan, Lebanon, and Other Arab Countries</w:t>
      </w:r>
    </w:p>
    <w:p w14:paraId="0B418AF7" w14:textId="77777777" w:rsidR="00A44A83" w:rsidRPr="00A44A83" w:rsidRDefault="00A44A83" w:rsidP="00A44A8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44A83">
        <w:rPr>
          <w:rFonts w:ascii="Times New Roman" w:eastAsia="Times New Roman" w:hAnsi="Times New Roman" w:cs="Times New Roman"/>
          <w:b/>
          <w:bCs/>
          <w:kern w:val="0"/>
          <w:sz w:val="24"/>
          <w:szCs w:val="24"/>
          <w14:ligatures w14:val="none"/>
        </w:rPr>
        <w:t>Introduction</w:t>
      </w:r>
    </w:p>
    <w:p w14:paraId="6C7CEDF5"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t xml:space="preserve">The Palestinian struggle for statehood and the consequences of their displacement after the 1948 </w:t>
      </w:r>
      <w:proofErr w:type="gramStart"/>
      <w:r w:rsidRPr="00A44A83">
        <w:rPr>
          <w:rFonts w:ascii="Times New Roman" w:eastAsia="Times New Roman" w:hAnsi="Times New Roman" w:cs="Times New Roman"/>
          <w:kern w:val="0"/>
          <w:sz w:val="24"/>
          <w:szCs w:val="24"/>
          <w14:ligatures w14:val="none"/>
        </w:rPr>
        <w:t>Arab-Israeli</w:t>
      </w:r>
      <w:proofErr w:type="gramEnd"/>
      <w:r w:rsidRPr="00A44A83">
        <w:rPr>
          <w:rFonts w:ascii="Times New Roman" w:eastAsia="Times New Roman" w:hAnsi="Times New Roman" w:cs="Times New Roman"/>
          <w:kern w:val="0"/>
          <w:sz w:val="24"/>
          <w:szCs w:val="24"/>
          <w14:ligatures w14:val="none"/>
        </w:rPr>
        <w:t xml:space="preserve"> War have profoundly affected the Middle East, influencing both regional politics and internal stability in several Arab countries. In their quest for a homeland, Palestinians have become symbols of Arab unity while also being sources of internal conflict within many Arab states. This chapter explores how the presence and activities of Palestinians—both refugees and militant factions—have impacted the stability of countries like Jordan and </w:t>
      </w:r>
      <w:proofErr w:type="gramStart"/>
      <w:r w:rsidRPr="00A44A83">
        <w:rPr>
          <w:rFonts w:ascii="Times New Roman" w:eastAsia="Times New Roman" w:hAnsi="Times New Roman" w:cs="Times New Roman"/>
          <w:kern w:val="0"/>
          <w:sz w:val="24"/>
          <w:szCs w:val="24"/>
          <w14:ligatures w14:val="none"/>
        </w:rPr>
        <w:t>Lebanon, and</w:t>
      </w:r>
      <w:proofErr w:type="gramEnd"/>
      <w:r w:rsidRPr="00A44A83">
        <w:rPr>
          <w:rFonts w:ascii="Times New Roman" w:eastAsia="Times New Roman" w:hAnsi="Times New Roman" w:cs="Times New Roman"/>
          <w:kern w:val="0"/>
          <w:sz w:val="24"/>
          <w:szCs w:val="24"/>
          <w14:ligatures w14:val="none"/>
        </w:rPr>
        <w:t xml:space="preserve"> examines their influence on other Arab states. The discussion will highlight how the Palestinian struggle, particularly through organizations such as the Palestine Liberation Organization (PLO) and various militant groups, contributed to civil strife, political upheaval, and geopolitical realignments across the region, revealing a complex interplay between solidarity and tension.</w:t>
      </w:r>
    </w:p>
    <w:p w14:paraId="0FC1D41B" w14:textId="77777777" w:rsidR="00A44A83" w:rsidRPr="00A44A83" w:rsidRDefault="00A44A83" w:rsidP="00A44A8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44A83">
        <w:rPr>
          <w:rFonts w:ascii="Times New Roman" w:eastAsia="Times New Roman" w:hAnsi="Times New Roman" w:cs="Times New Roman"/>
          <w:b/>
          <w:bCs/>
          <w:kern w:val="0"/>
          <w:sz w:val="24"/>
          <w:szCs w:val="24"/>
          <w14:ligatures w14:val="none"/>
        </w:rPr>
        <w:t>The Palestinian Presence in Jordan: From Alliance to Conflict</w:t>
      </w:r>
    </w:p>
    <w:p w14:paraId="19F2CC47"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Jordan as a Hub for Palestinian Refugees</w:t>
      </w:r>
    </w:p>
    <w:p w14:paraId="129389AD"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t xml:space="preserve">After the 1948 </w:t>
      </w:r>
      <w:proofErr w:type="gramStart"/>
      <w:r w:rsidRPr="00A44A83">
        <w:rPr>
          <w:rFonts w:ascii="Times New Roman" w:eastAsia="Times New Roman" w:hAnsi="Times New Roman" w:cs="Times New Roman"/>
          <w:kern w:val="0"/>
          <w:sz w:val="24"/>
          <w:szCs w:val="24"/>
          <w14:ligatures w14:val="none"/>
        </w:rPr>
        <w:t>Arab-Israeli</w:t>
      </w:r>
      <w:proofErr w:type="gramEnd"/>
      <w:r w:rsidRPr="00A44A83">
        <w:rPr>
          <w:rFonts w:ascii="Times New Roman" w:eastAsia="Times New Roman" w:hAnsi="Times New Roman" w:cs="Times New Roman"/>
          <w:kern w:val="0"/>
          <w:sz w:val="24"/>
          <w:szCs w:val="24"/>
          <w14:ligatures w14:val="none"/>
        </w:rPr>
        <w:t xml:space="preserve"> War, Jordan became the primary destination for Palestinian refugees, absorbing hundreds of thousands into its population. By 1950, Jordan had taken in approximately 500,000 Palestinian refugees, and </w:t>
      </w:r>
      <w:proofErr w:type="gramStart"/>
      <w:r w:rsidRPr="00A44A83">
        <w:rPr>
          <w:rFonts w:ascii="Times New Roman" w:eastAsia="Times New Roman" w:hAnsi="Times New Roman" w:cs="Times New Roman"/>
          <w:kern w:val="0"/>
          <w:sz w:val="24"/>
          <w:szCs w:val="24"/>
          <w14:ligatures w14:val="none"/>
        </w:rPr>
        <w:t>King Abdullah</w:t>
      </w:r>
      <w:proofErr w:type="gramEnd"/>
      <w:r w:rsidRPr="00A44A83">
        <w:rPr>
          <w:rFonts w:ascii="Times New Roman" w:eastAsia="Times New Roman" w:hAnsi="Times New Roman" w:cs="Times New Roman"/>
          <w:kern w:val="0"/>
          <w:sz w:val="24"/>
          <w:szCs w:val="24"/>
          <w14:ligatures w14:val="none"/>
        </w:rPr>
        <w:t xml:space="preserve"> I granted them citizenship, making Jordan the only Arab state to do so on a large scale. By the early 1970s, Palestinians constituted nearly half of Jordan's population, with a large concentration in the capital, Amman, and other major cities like Zarqa and Irbid.</w:t>
      </w:r>
    </w:p>
    <w:p w14:paraId="41156912"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lastRenderedPageBreak/>
        <w:t>While integrating Palestinian refugees into Jordan's social and political fabric allowed many Palestinians to rebuild their lives and contribute to the country's economy, it also created tensions. The growing Palestinian population, with its increasing political assertiveness, was seen by many native Jordanians as a threat to the Hashemite monarchy's authority, particularly as Palestinian nationalism gained momentum.</w:t>
      </w:r>
    </w:p>
    <w:p w14:paraId="6D6CAC5B"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Rise of the PLO and Palestinian Guerrilla Activity</w:t>
      </w:r>
    </w:p>
    <w:p w14:paraId="7D1D1092"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t>The establishment of the PLO in 1964 marked a new phase in Palestinian nationalism. Under Yasser Arafat's leadership, the PLO adopted a militant approach, advocating armed struggle against Israel. By the late 1960s, the PLO and its factions, especially Fatah, began operating openly from Jordan, launching guerrilla attacks against Israel from bases within Jordanian territory.</w:t>
      </w:r>
    </w:p>
    <w:p w14:paraId="5F11B86F"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t>Initially, King Hussein’s government supported these activities as part of the broader Arab resistance against Israel. However, the PLO's growing power and autonomy soon began to challenge Jordanian state authority. The PLO established a "state within a state" in Jordan, maintaining its own military forces, checkpoints, and administrative structures. This arrangement undermined King Hussein's control over his territory and created a direct challenge to his rule.</w:t>
      </w:r>
    </w:p>
    <w:p w14:paraId="45DD5CDB"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Black September: The Palestinian Insurgency in Jordan</w:t>
      </w:r>
    </w:p>
    <w:p w14:paraId="584011ED"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t>Tensions between the PLO and the Jordanian government escalated throughout 1969 and 1970, culminating in the events of "Black September."</w:t>
      </w:r>
    </w:p>
    <w:p w14:paraId="2CFC9F2B" w14:textId="77777777" w:rsidR="00A44A83" w:rsidRPr="00A44A83" w:rsidRDefault="00A44A83" w:rsidP="00A44A83">
      <w:pPr>
        <w:numPr>
          <w:ilvl w:val="0"/>
          <w:numId w:val="3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Immediate Causes of the Conflict:</w:t>
      </w:r>
      <w:r w:rsidRPr="00A44A83">
        <w:rPr>
          <w:rFonts w:ascii="Times New Roman" w:eastAsia="Times New Roman" w:hAnsi="Times New Roman" w:cs="Times New Roman"/>
          <w:kern w:val="0"/>
          <w:sz w:val="24"/>
          <w:szCs w:val="24"/>
          <w14:ligatures w14:val="none"/>
        </w:rPr>
        <w:t xml:space="preserve"> Several incidents, including a failed assassination attempt on King Hussein by Palestinian militants and the hijacking of multiple commercial airliners by the Popular Front for the Liberation of Palestine (PFLP) in September 1970, ignited the conflict. The PLO's actions increasingly appeared as a direct threat to Jordanian sovereignty and a destabilizing factor within the country.</w:t>
      </w:r>
    </w:p>
    <w:p w14:paraId="727307F0" w14:textId="77777777" w:rsidR="00A44A83" w:rsidRPr="00A44A83" w:rsidRDefault="00A44A83" w:rsidP="00A44A83">
      <w:pPr>
        <w:numPr>
          <w:ilvl w:val="0"/>
          <w:numId w:val="3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Military Confrontation:</w:t>
      </w:r>
      <w:r w:rsidRPr="00A44A83">
        <w:rPr>
          <w:rFonts w:ascii="Times New Roman" w:eastAsia="Times New Roman" w:hAnsi="Times New Roman" w:cs="Times New Roman"/>
          <w:kern w:val="0"/>
          <w:sz w:val="24"/>
          <w:szCs w:val="24"/>
          <w14:ligatures w14:val="none"/>
        </w:rPr>
        <w:t xml:space="preserve"> In response, King Hussein ordered the Jordanian Army to confront the Palestinian militants. A brutal military conflict ensued, lasting for about ten days. The Jordanian army targeted PLO bases and Palestinian refugee camps, resulting in heavy casualties. Estimates of Palestinian deaths vary, ranging from 3,000 to 10,000. This conflict caused significant internal displacement and revealed the dangers of militant activities undermining national sovereignty.</w:t>
      </w:r>
    </w:p>
    <w:p w14:paraId="420481CA" w14:textId="77777777" w:rsidR="00A44A83" w:rsidRPr="00A44A83" w:rsidRDefault="00A44A83" w:rsidP="00A44A83">
      <w:pPr>
        <w:numPr>
          <w:ilvl w:val="0"/>
          <w:numId w:val="3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Aftermath and Expulsion of the PLO:</w:t>
      </w:r>
      <w:r w:rsidRPr="00A44A83">
        <w:rPr>
          <w:rFonts w:ascii="Times New Roman" w:eastAsia="Times New Roman" w:hAnsi="Times New Roman" w:cs="Times New Roman"/>
          <w:kern w:val="0"/>
          <w:sz w:val="24"/>
          <w:szCs w:val="24"/>
          <w14:ligatures w14:val="none"/>
        </w:rPr>
        <w:t xml:space="preserve"> By July 1971, the PLO was expelled from Jordan, relocating its base to Lebanon. This expulsion strained Jordan's relations with other Arab states but reinforced King Hussein's authority. The events of Black September underscored the disruptive potential of Palestinian militant activities on host countries and highlighted the challenge of supporting the Palestinian cause while maintaining internal stability.</w:t>
      </w:r>
    </w:p>
    <w:p w14:paraId="41F4091C" w14:textId="77777777" w:rsidR="00A44A83" w:rsidRPr="00A44A83" w:rsidRDefault="00A44A83" w:rsidP="00A44A8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44A83">
        <w:rPr>
          <w:rFonts w:ascii="Times New Roman" w:eastAsia="Times New Roman" w:hAnsi="Times New Roman" w:cs="Times New Roman"/>
          <w:b/>
          <w:bCs/>
          <w:kern w:val="0"/>
          <w:sz w:val="24"/>
          <w:szCs w:val="24"/>
          <w14:ligatures w14:val="none"/>
        </w:rPr>
        <w:t>The Palestinian Impact on Lebanon: Civil War and State Collapse</w:t>
      </w:r>
    </w:p>
    <w:p w14:paraId="4A0E5222"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Lebanon as a New Base for the PLO</w:t>
      </w:r>
    </w:p>
    <w:p w14:paraId="2271CFD3"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lastRenderedPageBreak/>
        <w:t>After being expelled from Jordan, the PLO moved its headquarters to Lebanon, where it established itself in Palestinian refugee camps around Beirut and in southern Lebanon. By the mid-1970s, an estimated 300,000 Palestinians were living in Lebanon, many in densely populated camps. The influx of armed Palestinian militants soon destabilized Lebanon's fragile sectarian balance, which was already tense due to the presence of Maronite Christians, Sunni Muslims, Shia Muslims, and Druze communities.</w:t>
      </w:r>
    </w:p>
    <w:p w14:paraId="033E9398"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Militarization of Palestinian Camps and Rise of the “State Within a State”</w:t>
      </w:r>
    </w:p>
    <w:p w14:paraId="12B0DBB4" w14:textId="77777777" w:rsidR="00A44A83" w:rsidRPr="00A44A83" w:rsidRDefault="00A44A83" w:rsidP="00A44A83">
      <w:pPr>
        <w:numPr>
          <w:ilvl w:val="0"/>
          <w:numId w:val="3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Establishment of PLO Strongholds:</w:t>
      </w:r>
      <w:r w:rsidRPr="00A44A83">
        <w:rPr>
          <w:rFonts w:ascii="Times New Roman" w:eastAsia="Times New Roman" w:hAnsi="Times New Roman" w:cs="Times New Roman"/>
          <w:kern w:val="0"/>
          <w:sz w:val="24"/>
          <w:szCs w:val="24"/>
          <w14:ligatures w14:val="none"/>
        </w:rPr>
        <w:t xml:space="preserve"> The PLO quickly established a powerful military presence, setting up bases in Palestinian camps and maintaining control over large areas in southern Lebanon, known as "</w:t>
      </w:r>
      <w:proofErr w:type="spellStart"/>
      <w:r w:rsidRPr="00A44A83">
        <w:rPr>
          <w:rFonts w:ascii="Times New Roman" w:eastAsia="Times New Roman" w:hAnsi="Times New Roman" w:cs="Times New Roman"/>
          <w:kern w:val="0"/>
          <w:sz w:val="24"/>
          <w:szCs w:val="24"/>
          <w14:ligatures w14:val="none"/>
        </w:rPr>
        <w:t>Fatahland</w:t>
      </w:r>
      <w:proofErr w:type="spellEnd"/>
      <w:r w:rsidRPr="00A44A83">
        <w:rPr>
          <w:rFonts w:ascii="Times New Roman" w:eastAsia="Times New Roman" w:hAnsi="Times New Roman" w:cs="Times New Roman"/>
          <w:kern w:val="0"/>
          <w:sz w:val="24"/>
          <w:szCs w:val="24"/>
          <w14:ligatures w14:val="none"/>
        </w:rPr>
        <w:t>." These areas operated as de facto autonomous zones, largely independent of Lebanese authority. The PLO's activities were seen as a threat to Lebanon’s sovereignty and exacerbated existing political and sectarian tensions.</w:t>
      </w:r>
    </w:p>
    <w:p w14:paraId="25E945B0" w14:textId="77777777" w:rsidR="00A44A83" w:rsidRPr="00A44A83" w:rsidRDefault="00A44A83" w:rsidP="00A44A83">
      <w:pPr>
        <w:numPr>
          <w:ilvl w:val="0"/>
          <w:numId w:val="3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Cross-Border Attacks and Israeli Retaliation:</w:t>
      </w:r>
      <w:r w:rsidRPr="00A44A83">
        <w:rPr>
          <w:rFonts w:ascii="Times New Roman" w:eastAsia="Times New Roman" w:hAnsi="Times New Roman" w:cs="Times New Roman"/>
          <w:kern w:val="0"/>
          <w:sz w:val="24"/>
          <w:szCs w:val="24"/>
          <w14:ligatures w14:val="none"/>
        </w:rPr>
        <w:t xml:space="preserve"> The PLO launched cross-border attacks against Israel from its bases in southern Lebanon, prompting Israeli retaliatory strikes. This cycle of violence escalated tensions within Lebanon and placed enormous pressure on its government, which struggled to control the PLO due to internal divisions and limited capacity.</w:t>
      </w:r>
    </w:p>
    <w:p w14:paraId="01232B63"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Escalation to Civil War: The Lebanese Civil War (1975-1990)</w:t>
      </w:r>
    </w:p>
    <w:p w14:paraId="3D441C27" w14:textId="77777777" w:rsidR="00A44A83" w:rsidRPr="00A44A83" w:rsidRDefault="00A44A83" w:rsidP="00A44A83">
      <w:pPr>
        <w:numPr>
          <w:ilvl w:val="0"/>
          <w:numId w:val="3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The Spark of Civil War:</w:t>
      </w:r>
      <w:r w:rsidRPr="00A44A83">
        <w:rPr>
          <w:rFonts w:ascii="Times New Roman" w:eastAsia="Times New Roman" w:hAnsi="Times New Roman" w:cs="Times New Roman"/>
          <w:kern w:val="0"/>
          <w:sz w:val="24"/>
          <w:szCs w:val="24"/>
          <w14:ligatures w14:val="none"/>
        </w:rPr>
        <w:t xml:space="preserve"> The PLO’s growing influence, coupled with existing sectarian tensions, contributed significantly to the outbreak of the Lebanese Civil War in 1975. Palestinian militias, aligned with leftist Muslim factions, clashed with Christian militias, particularly the Phalange, who viewed the Palestinian presence as a demographic and political threat to Lebanon's Christian-led government.</w:t>
      </w:r>
    </w:p>
    <w:p w14:paraId="78F8DDEE" w14:textId="77777777" w:rsidR="00A44A83" w:rsidRPr="00A44A83" w:rsidRDefault="00A44A83" w:rsidP="00A44A83">
      <w:pPr>
        <w:numPr>
          <w:ilvl w:val="0"/>
          <w:numId w:val="3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PLO's Role in the Conflict:</w:t>
      </w:r>
      <w:r w:rsidRPr="00A44A83">
        <w:rPr>
          <w:rFonts w:ascii="Times New Roman" w:eastAsia="Times New Roman" w:hAnsi="Times New Roman" w:cs="Times New Roman"/>
          <w:kern w:val="0"/>
          <w:sz w:val="24"/>
          <w:szCs w:val="24"/>
          <w14:ligatures w14:val="none"/>
        </w:rPr>
        <w:t xml:space="preserve"> Throughout the civil war, the PLO was a major military and political actor, often aligning with Muslim factions against Christian militias. This involvement deepened the conflict, drawing in regional and international powers, including Syria, Israel, and the United States, each pursuing its own interests and agendas. The war also highlighted the complex relationship between the PLO and Lebanon’s Shia population, setting the stage for the rise of Hezbollah.</w:t>
      </w:r>
    </w:p>
    <w:p w14:paraId="7E66EFFD"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The Israeli Invasion and Siege of Beirut (1982)</w:t>
      </w:r>
    </w:p>
    <w:p w14:paraId="4E11B8EA" w14:textId="77777777" w:rsidR="00A44A83" w:rsidRPr="00A44A83" w:rsidRDefault="00A44A83" w:rsidP="00A44A83">
      <w:pPr>
        <w:numPr>
          <w:ilvl w:val="0"/>
          <w:numId w:val="3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Israeli Invasion of Lebanon:</w:t>
      </w:r>
      <w:r w:rsidRPr="00A44A83">
        <w:rPr>
          <w:rFonts w:ascii="Times New Roman" w:eastAsia="Times New Roman" w:hAnsi="Times New Roman" w:cs="Times New Roman"/>
          <w:kern w:val="0"/>
          <w:sz w:val="24"/>
          <w:szCs w:val="24"/>
          <w14:ligatures w14:val="none"/>
        </w:rPr>
        <w:t xml:space="preserve"> In 1982, Israel launched Operation Peace for Galilee, a full-scale invasion aimed at destroying the PLO's military infrastructure and reducing the threat of cross-border attacks. The invasion led to a prolonged siege of Beirut, where PLO forces were concentrated.</w:t>
      </w:r>
    </w:p>
    <w:p w14:paraId="18EFDA87" w14:textId="77777777" w:rsidR="00A44A83" w:rsidRPr="00A44A83" w:rsidRDefault="00A44A83" w:rsidP="00A44A83">
      <w:pPr>
        <w:numPr>
          <w:ilvl w:val="0"/>
          <w:numId w:val="3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PLO's Forced Departure:</w:t>
      </w:r>
      <w:r w:rsidRPr="00A44A83">
        <w:rPr>
          <w:rFonts w:ascii="Times New Roman" w:eastAsia="Times New Roman" w:hAnsi="Times New Roman" w:cs="Times New Roman"/>
          <w:kern w:val="0"/>
          <w:sz w:val="24"/>
          <w:szCs w:val="24"/>
          <w14:ligatures w14:val="none"/>
        </w:rPr>
        <w:t xml:space="preserve"> After intense fighting and international pressure, Yasser Arafat and the PLO were forced to leave Beirut under the protection of a multinational force, relocating to Tunis, Tunisia. This marked a significant setback for the PLO but did not end Palestinian influence in Lebanon, where various factions continued to play a role in ongoing conflict.</w:t>
      </w:r>
    </w:p>
    <w:p w14:paraId="449F27A3"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lastRenderedPageBreak/>
        <w:t>Long-Term Consequences for Lebanon</w:t>
      </w:r>
    </w:p>
    <w:p w14:paraId="28C073B4" w14:textId="77777777" w:rsidR="00A44A83" w:rsidRPr="00A44A83" w:rsidRDefault="00A44A83" w:rsidP="00A44A83">
      <w:pPr>
        <w:numPr>
          <w:ilvl w:val="0"/>
          <w:numId w:val="3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Collapse of State Authority:</w:t>
      </w:r>
      <w:r w:rsidRPr="00A44A83">
        <w:rPr>
          <w:rFonts w:ascii="Times New Roman" w:eastAsia="Times New Roman" w:hAnsi="Times New Roman" w:cs="Times New Roman"/>
          <w:kern w:val="0"/>
          <w:sz w:val="24"/>
          <w:szCs w:val="24"/>
          <w14:ligatures w14:val="none"/>
        </w:rPr>
        <w:t xml:space="preserve"> The PLO's actions and involvement in the Lebanese Civil War contributed to the collapse of Lebanese state authority, leading to a fractured country with militia-controlled territories. The war left Lebanon deeply divided, with weakened institutions and a fragile political landscape that persists to this day.</w:t>
      </w:r>
    </w:p>
    <w:p w14:paraId="7A2391E9" w14:textId="77777777" w:rsidR="00A44A83" w:rsidRPr="00A44A83" w:rsidRDefault="00A44A83" w:rsidP="00A44A83">
      <w:pPr>
        <w:numPr>
          <w:ilvl w:val="0"/>
          <w:numId w:val="3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Prolonged Conflict and Human Suffering:</w:t>
      </w:r>
      <w:r w:rsidRPr="00A44A83">
        <w:rPr>
          <w:rFonts w:ascii="Times New Roman" w:eastAsia="Times New Roman" w:hAnsi="Times New Roman" w:cs="Times New Roman"/>
          <w:kern w:val="0"/>
          <w:sz w:val="24"/>
          <w:szCs w:val="24"/>
          <w14:ligatures w14:val="none"/>
        </w:rPr>
        <w:t xml:space="preserve"> The civil war, exacerbated by the Palestinian presence, resulted in an estimated 120,000 deaths and widespread destruction. The war displaced a significant portion of the population, contributing to Lebanon's complex refugee problem and deepening societal divisions.</w:t>
      </w:r>
    </w:p>
    <w:p w14:paraId="41A18976" w14:textId="77777777" w:rsidR="00A44A83" w:rsidRPr="00A44A83" w:rsidRDefault="00A44A83" w:rsidP="00A44A8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44A83">
        <w:rPr>
          <w:rFonts w:ascii="Times New Roman" w:eastAsia="Times New Roman" w:hAnsi="Times New Roman" w:cs="Times New Roman"/>
          <w:b/>
          <w:bCs/>
          <w:kern w:val="0"/>
          <w:sz w:val="24"/>
          <w:szCs w:val="24"/>
          <w14:ligatures w14:val="none"/>
        </w:rPr>
        <w:t>Palestinian Actions in Other Arab Countries: Disruption and Repercussions</w:t>
      </w:r>
    </w:p>
    <w:p w14:paraId="6D234A68"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Palestinian Impact in Syria</w:t>
      </w:r>
    </w:p>
    <w:p w14:paraId="7DEA701D" w14:textId="77777777" w:rsidR="00A44A83" w:rsidRPr="00A44A83" w:rsidRDefault="00A44A83" w:rsidP="00A44A83">
      <w:pPr>
        <w:numPr>
          <w:ilvl w:val="0"/>
          <w:numId w:val="3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Factions Aligned with Syrian Regime:</w:t>
      </w:r>
      <w:r w:rsidRPr="00A44A83">
        <w:rPr>
          <w:rFonts w:ascii="Times New Roman" w:eastAsia="Times New Roman" w:hAnsi="Times New Roman" w:cs="Times New Roman"/>
          <w:kern w:val="0"/>
          <w:sz w:val="24"/>
          <w:szCs w:val="24"/>
          <w14:ligatures w14:val="none"/>
        </w:rPr>
        <w:t xml:space="preserve"> Syria, under President Hafez al-Assad, initially supported Palestinian groups, particularly factions opposed to Arafat’s leadership, such as the Popular Front for the Liberation of Palestine - General Command (PFLP-GC). However, relations fluctuated, reflecting broader regional dynamics and Syria's geopolitical ambitions.</w:t>
      </w:r>
    </w:p>
    <w:p w14:paraId="25DBFDF3" w14:textId="77777777" w:rsidR="00A44A83" w:rsidRPr="00A44A83" w:rsidRDefault="00A44A83" w:rsidP="00A44A83">
      <w:pPr>
        <w:numPr>
          <w:ilvl w:val="0"/>
          <w:numId w:val="3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Syrian Intervention in Lebanon:</w:t>
      </w:r>
      <w:r w:rsidRPr="00A44A83">
        <w:rPr>
          <w:rFonts w:ascii="Times New Roman" w:eastAsia="Times New Roman" w:hAnsi="Times New Roman" w:cs="Times New Roman"/>
          <w:kern w:val="0"/>
          <w:sz w:val="24"/>
          <w:szCs w:val="24"/>
          <w14:ligatures w14:val="none"/>
        </w:rPr>
        <w:t xml:space="preserve"> Syria intervened in the Lebanese Civil War to restore peace but also to curb the influence of the PLO and other factions that threatened Syrian interests. Syrian forces clashed with Palestinian groups, illustrating the often-contentious relationship between Palestinian militants and their supposed Arab allies.</w:t>
      </w:r>
    </w:p>
    <w:p w14:paraId="03AA1F09"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Palestinian Impact in Kuwait</w:t>
      </w:r>
    </w:p>
    <w:p w14:paraId="307541E3" w14:textId="77777777" w:rsidR="00A44A83" w:rsidRPr="00A44A83" w:rsidRDefault="00A44A83" w:rsidP="00A44A83">
      <w:pPr>
        <w:numPr>
          <w:ilvl w:val="0"/>
          <w:numId w:val="3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Palestinian Support for Saddam Hussein (1990):</w:t>
      </w:r>
      <w:r w:rsidRPr="00A44A83">
        <w:rPr>
          <w:rFonts w:ascii="Times New Roman" w:eastAsia="Times New Roman" w:hAnsi="Times New Roman" w:cs="Times New Roman"/>
          <w:kern w:val="0"/>
          <w:sz w:val="24"/>
          <w:szCs w:val="24"/>
          <w14:ligatures w14:val="none"/>
        </w:rPr>
        <w:t xml:space="preserve"> During the 1990-1991 Gulf War, the PLO controversially supported Saddam Hussein's invasion of Kuwait, alienating many Gulf states that had been sympathetic to the Palestinian cause. This led to a severe backlash against Palestinians in Kuwait and other Gulf countries.</w:t>
      </w:r>
    </w:p>
    <w:p w14:paraId="1D6D5BFC" w14:textId="77777777" w:rsidR="00A44A83" w:rsidRPr="00A44A83" w:rsidRDefault="00A44A83" w:rsidP="00A44A83">
      <w:pPr>
        <w:numPr>
          <w:ilvl w:val="0"/>
          <w:numId w:val="3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Expulsion from Kuwait:</w:t>
      </w:r>
      <w:r w:rsidRPr="00A44A83">
        <w:rPr>
          <w:rFonts w:ascii="Times New Roman" w:eastAsia="Times New Roman" w:hAnsi="Times New Roman" w:cs="Times New Roman"/>
          <w:kern w:val="0"/>
          <w:sz w:val="24"/>
          <w:szCs w:val="24"/>
          <w14:ligatures w14:val="none"/>
        </w:rPr>
        <w:t xml:space="preserve"> Following Iraq's defeat in the Gulf War, Kuwait expelled around 200,000 Palestinians, accusing them of collaboration with Iraqi forces. This mass expulsion had significant economic and social repercussions for the Palestinian community, heavily dependent on remittances from Gulf states.</w:t>
      </w:r>
    </w:p>
    <w:p w14:paraId="076EA712"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Palestinian Actions in Egypt</w:t>
      </w:r>
    </w:p>
    <w:p w14:paraId="3B0C0CD2" w14:textId="77777777" w:rsidR="00A44A83" w:rsidRPr="00A44A83" w:rsidRDefault="00A44A83" w:rsidP="00A44A83">
      <w:pPr>
        <w:numPr>
          <w:ilvl w:val="0"/>
          <w:numId w:val="3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Support for Islamic Militancy:</w:t>
      </w:r>
      <w:r w:rsidRPr="00A44A83">
        <w:rPr>
          <w:rFonts w:ascii="Times New Roman" w:eastAsia="Times New Roman" w:hAnsi="Times New Roman" w:cs="Times New Roman"/>
          <w:kern w:val="0"/>
          <w:sz w:val="24"/>
          <w:szCs w:val="24"/>
          <w14:ligatures w14:val="none"/>
        </w:rPr>
        <w:t xml:space="preserve"> Palestinian factions like Islamic Jihad and Hamas have historically found support and recruits in Egypt, particularly among groups opposed to Egypt's peace treaty with Israel. This has occasionally led to tensions between Egypt and Palestinian groups, especially when militant activities crossed into Egyptian territory.</w:t>
      </w:r>
    </w:p>
    <w:p w14:paraId="58549F5E" w14:textId="77777777" w:rsidR="00A44A83" w:rsidRPr="00A44A83" w:rsidRDefault="00A44A83" w:rsidP="00A44A83">
      <w:pPr>
        <w:numPr>
          <w:ilvl w:val="0"/>
          <w:numId w:val="3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Security Crackdowns:</w:t>
      </w:r>
      <w:r w:rsidRPr="00A44A83">
        <w:rPr>
          <w:rFonts w:ascii="Times New Roman" w:eastAsia="Times New Roman" w:hAnsi="Times New Roman" w:cs="Times New Roman"/>
          <w:kern w:val="0"/>
          <w:sz w:val="24"/>
          <w:szCs w:val="24"/>
          <w14:ligatures w14:val="none"/>
        </w:rPr>
        <w:t xml:space="preserve"> Egypt, under Presidents Anwar Sadat and Hosni Mubarak, conducted crackdowns on Palestinian militants and their Egyptian sympathizers, fearing their activities could destabilize Egypt or provoke renewed conflict with Israel.</w:t>
      </w:r>
    </w:p>
    <w:p w14:paraId="4172B323" w14:textId="77777777" w:rsidR="00A44A83" w:rsidRPr="00A44A83" w:rsidRDefault="00A44A83" w:rsidP="00A44A8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44A83">
        <w:rPr>
          <w:rFonts w:ascii="Times New Roman" w:eastAsia="Times New Roman" w:hAnsi="Times New Roman" w:cs="Times New Roman"/>
          <w:b/>
          <w:bCs/>
          <w:kern w:val="0"/>
          <w:sz w:val="24"/>
          <w:szCs w:val="24"/>
          <w14:ligatures w14:val="none"/>
        </w:rPr>
        <w:t>Broader Regional Implications</w:t>
      </w:r>
    </w:p>
    <w:p w14:paraId="684F2552" w14:textId="77777777" w:rsidR="00A44A83" w:rsidRPr="00A44A83" w:rsidRDefault="00A44A83" w:rsidP="00A44A83">
      <w:pPr>
        <w:numPr>
          <w:ilvl w:val="0"/>
          <w:numId w:val="3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lastRenderedPageBreak/>
        <w:t>Arab Disunity and the Question of Palestinian Statehood:</w:t>
      </w:r>
      <w:r w:rsidRPr="00A44A83">
        <w:rPr>
          <w:rFonts w:ascii="Times New Roman" w:eastAsia="Times New Roman" w:hAnsi="Times New Roman" w:cs="Times New Roman"/>
          <w:kern w:val="0"/>
          <w:sz w:val="24"/>
          <w:szCs w:val="24"/>
          <w14:ligatures w14:val="none"/>
        </w:rPr>
        <w:t xml:space="preserve"> Palestinian actions in various Arab states have often highlighted divisions within the Arab world regarding the Palestinian cause. While Arab governments publicly support Palestinian statehood, their responses to Palestinian activities have frequently been shaped by national interests, internal security concerns, and regional rivalries.</w:t>
      </w:r>
    </w:p>
    <w:p w14:paraId="3F57B24D" w14:textId="77777777" w:rsidR="00A44A83" w:rsidRPr="00A44A83" w:rsidRDefault="00A44A83" w:rsidP="00A44A83">
      <w:pPr>
        <w:numPr>
          <w:ilvl w:val="0"/>
          <w:numId w:val="3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Erosion of Arab Solidarity:</w:t>
      </w:r>
      <w:r w:rsidRPr="00A44A83">
        <w:rPr>
          <w:rFonts w:ascii="Times New Roman" w:eastAsia="Times New Roman" w:hAnsi="Times New Roman" w:cs="Times New Roman"/>
          <w:kern w:val="0"/>
          <w:sz w:val="24"/>
          <w:szCs w:val="24"/>
          <w14:ligatures w14:val="none"/>
        </w:rPr>
        <w:t xml:space="preserve"> The conflicts involving Palestinian groups have exposed and exacerbated rifts within the Arab League and other regional bodies. The sense of shared purpose initially uniting Arab countries around the Palestinian cause has been undermined by differing national agendas, particularly when Palestinian activities threaten internal stability or geopolitical interests.</w:t>
      </w:r>
    </w:p>
    <w:p w14:paraId="226002F3" w14:textId="77777777" w:rsidR="00A44A83" w:rsidRPr="00A44A83" w:rsidRDefault="00A44A83" w:rsidP="00A44A83">
      <w:pPr>
        <w:numPr>
          <w:ilvl w:val="0"/>
          <w:numId w:val="3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b/>
          <w:bCs/>
          <w:kern w:val="0"/>
          <w:sz w:val="24"/>
          <w:szCs w:val="24"/>
          <w14:ligatures w14:val="none"/>
        </w:rPr>
        <w:t>Shift in Palestinian Strategy:</w:t>
      </w:r>
      <w:r w:rsidRPr="00A44A83">
        <w:rPr>
          <w:rFonts w:ascii="Times New Roman" w:eastAsia="Times New Roman" w:hAnsi="Times New Roman" w:cs="Times New Roman"/>
          <w:kern w:val="0"/>
          <w:sz w:val="24"/>
          <w:szCs w:val="24"/>
          <w14:ligatures w14:val="none"/>
        </w:rPr>
        <w:t xml:space="preserve"> Faced with the realities of displacement, expulsion, and diminishing support from key Arab states, the PLO under Arafat began to shift its strategy in the late 1980s toward seeking a negotiated settlement with Israel, culminating in the Oslo Accords of the 1990s. This shift marked a recognition of the limitations of armed struggle and the need for diplomatic engagement to achieve Palestinian goals.</w:t>
      </w:r>
    </w:p>
    <w:p w14:paraId="585DE8FC" w14:textId="77777777" w:rsidR="00A44A83" w:rsidRPr="00A44A83" w:rsidRDefault="00A44A83" w:rsidP="00A44A8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44A83">
        <w:rPr>
          <w:rFonts w:ascii="Times New Roman" w:eastAsia="Times New Roman" w:hAnsi="Times New Roman" w:cs="Times New Roman"/>
          <w:b/>
          <w:bCs/>
          <w:kern w:val="0"/>
          <w:sz w:val="24"/>
          <w:szCs w:val="24"/>
          <w14:ligatures w14:val="none"/>
        </w:rPr>
        <w:t>Conclusion</w:t>
      </w:r>
    </w:p>
    <w:p w14:paraId="25BFFB0B" w14:textId="77777777" w:rsidR="00A44A83" w:rsidRPr="00A44A83" w:rsidRDefault="00A44A83"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4A83">
        <w:rPr>
          <w:rFonts w:ascii="Times New Roman" w:eastAsia="Times New Roman" w:hAnsi="Times New Roman" w:cs="Times New Roman"/>
          <w:kern w:val="0"/>
          <w:sz w:val="24"/>
          <w:szCs w:val="24"/>
          <w14:ligatures w14:val="none"/>
        </w:rPr>
        <w:t>The Palestinian impact on the stability of neighboring Arab states has been profound and multifaceted. While Palestinian refugees and militants have played crucial roles in promoting the cause of Palestinian statehood, their actions have also disrupted the internal politics of host countries, sparked conflicts, and exposed the limits of Arab unity. The legacy of Palestinian activity in Jordan, Lebanon, and other Arab states underscores the complex interplay between the Palestinian struggle and broader regional dynamics, revealing both solidarity and tension. As Palestinians continue to seek a resolution to their statelessness, understanding these historical interactions is key to comprehending the ongoing challenges facing the region.</w:t>
      </w:r>
    </w:p>
    <w:p w14:paraId="34173D8B" w14:textId="10BF3AF5" w:rsidR="00EF1AEB" w:rsidRPr="00A44A83" w:rsidRDefault="00EF1AEB" w:rsidP="00A44A8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kern w:val="0"/>
          <w:sz w:val="24"/>
          <w:szCs w:val="24"/>
          <w14:ligatures w14:val="none"/>
        </w:rPr>
        <w:t>Middle East today.</w:t>
      </w:r>
    </w:p>
    <w:p w14:paraId="54F2AAA9" w14:textId="77777777" w:rsidR="00A523AA" w:rsidRPr="00A523AA" w:rsidRDefault="00A523AA" w:rsidP="00A523A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23AA">
        <w:rPr>
          <w:rFonts w:ascii="Times New Roman" w:eastAsia="Times New Roman" w:hAnsi="Times New Roman" w:cs="Times New Roman"/>
          <w:b/>
          <w:bCs/>
          <w:kern w:val="0"/>
          <w:sz w:val="27"/>
          <w:szCs w:val="27"/>
          <w14:ligatures w14:val="none"/>
        </w:rPr>
        <w:t>Chapter 16: The Forgotten Refugees: Palestinian Camps and the Arab World's Role in the Crisis</w:t>
      </w:r>
    </w:p>
    <w:p w14:paraId="7C89FEE4"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Introduction</w:t>
      </w:r>
    </w:p>
    <w:p w14:paraId="55046770"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 xml:space="preserve">The Palestinian refugee crisis remains a long-standing and contentious issue in the Israeli-Palestinian conflict. While much attention has focused on the displacement of Palestinians after the 1948 </w:t>
      </w:r>
      <w:proofErr w:type="gramStart"/>
      <w:r w:rsidRPr="00A523AA">
        <w:rPr>
          <w:rFonts w:ascii="Times New Roman" w:eastAsia="Times New Roman" w:hAnsi="Times New Roman" w:cs="Times New Roman"/>
          <w:kern w:val="0"/>
          <w:sz w:val="24"/>
          <w:szCs w:val="24"/>
          <w14:ligatures w14:val="none"/>
        </w:rPr>
        <w:t>Arab-Israeli</w:t>
      </w:r>
      <w:proofErr w:type="gramEnd"/>
      <w:r w:rsidRPr="00A523AA">
        <w:rPr>
          <w:rFonts w:ascii="Times New Roman" w:eastAsia="Times New Roman" w:hAnsi="Times New Roman" w:cs="Times New Roman"/>
          <w:kern w:val="0"/>
          <w:sz w:val="24"/>
          <w:szCs w:val="24"/>
          <w14:ligatures w14:val="none"/>
        </w:rPr>
        <w:t xml:space="preserve"> War and the creation of the State of Israel, the subsequent actions of Arab states and their role in perpetuating the refugee problem have received less scrutiny. The establishment of refugee camps across the Arab world—particularly in Jordan, Lebanon, Syria, and the Gaza Strip—and the annexation of territories intended for a future Palestinian state by Egypt and Jordan have significantly shaped the trajectory of this crisis.</w:t>
      </w:r>
    </w:p>
    <w:p w14:paraId="25012235"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This chapter examines how these developments contributed to the enduring statelessness and suffering of the Palestinian people, exploring the creation and perpetuation of Palestinian refugee camps and the annexations by Egypt and Jordan, and their impact on the refugee crisis.</w:t>
      </w:r>
    </w:p>
    <w:p w14:paraId="378A2206"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The Exodus of 1948: Origins of the Refugee Crisis</w:t>
      </w:r>
    </w:p>
    <w:p w14:paraId="494800B1"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lastRenderedPageBreak/>
        <w:t xml:space="preserve">The Palestinian refugee crisis began in 1948, during the </w:t>
      </w:r>
      <w:proofErr w:type="gramStart"/>
      <w:r w:rsidRPr="00A523AA">
        <w:rPr>
          <w:rFonts w:ascii="Times New Roman" w:eastAsia="Times New Roman" w:hAnsi="Times New Roman" w:cs="Times New Roman"/>
          <w:kern w:val="0"/>
          <w:sz w:val="24"/>
          <w:szCs w:val="24"/>
          <w14:ligatures w14:val="none"/>
        </w:rPr>
        <w:t>Arab-Israeli</w:t>
      </w:r>
      <w:proofErr w:type="gramEnd"/>
      <w:r w:rsidRPr="00A523AA">
        <w:rPr>
          <w:rFonts w:ascii="Times New Roman" w:eastAsia="Times New Roman" w:hAnsi="Times New Roman" w:cs="Times New Roman"/>
          <w:kern w:val="0"/>
          <w:sz w:val="24"/>
          <w:szCs w:val="24"/>
          <w14:ligatures w14:val="none"/>
        </w:rPr>
        <w:t xml:space="preserve"> War that followed the end of the British Mandate and Israel's declaration of independence on May 14, 1948. An estimated 700,000 to 750,000 Palestinian Arabs fled or were expelled from their homes. While some left due to fear of violence and the chaos of war, others were directly expelled by Israeli forces, or they heeded calls from Arab leaders who promised a return after an anticipated military victory over the new Jewish state.</w:t>
      </w:r>
    </w:p>
    <w:p w14:paraId="6A4F6F33"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These refugees sought shelter in neighboring Arab countries, creating an immediate humanitarian crisis. Temporary camps were quickly established, but as the political situation remained unresolved, these camps became semi-permanent settlements, highlighting the host countries' reluctance or inability to fully integrate the refugees.</w:t>
      </w:r>
    </w:p>
    <w:p w14:paraId="0469DCC2"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The Annexation of the West Bank and Gaza: Egypt and Jordan's Role</w:t>
      </w:r>
    </w:p>
    <w:p w14:paraId="6C46C129"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Egypt's Control of Gaza</w:t>
      </w:r>
    </w:p>
    <w:p w14:paraId="716D350E" w14:textId="77777777" w:rsidR="00A523AA" w:rsidRPr="00A523AA" w:rsidRDefault="00A523AA" w:rsidP="00A523AA">
      <w:pPr>
        <w:numPr>
          <w:ilvl w:val="0"/>
          <w:numId w:val="3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Military Administration and Strategic Control:</w:t>
      </w:r>
      <w:r w:rsidRPr="00A523AA">
        <w:rPr>
          <w:rFonts w:ascii="Times New Roman" w:eastAsia="Times New Roman" w:hAnsi="Times New Roman" w:cs="Times New Roman"/>
          <w:kern w:val="0"/>
          <w:sz w:val="24"/>
          <w:szCs w:val="24"/>
          <w14:ligatures w14:val="none"/>
        </w:rPr>
        <w:t xml:space="preserve"> After the 1948 </w:t>
      </w:r>
      <w:proofErr w:type="gramStart"/>
      <w:r w:rsidRPr="00A523AA">
        <w:rPr>
          <w:rFonts w:ascii="Times New Roman" w:eastAsia="Times New Roman" w:hAnsi="Times New Roman" w:cs="Times New Roman"/>
          <w:kern w:val="0"/>
          <w:sz w:val="24"/>
          <w:szCs w:val="24"/>
          <w14:ligatures w14:val="none"/>
        </w:rPr>
        <w:t>Arab-Israeli</w:t>
      </w:r>
      <w:proofErr w:type="gramEnd"/>
      <w:r w:rsidRPr="00A523AA">
        <w:rPr>
          <w:rFonts w:ascii="Times New Roman" w:eastAsia="Times New Roman" w:hAnsi="Times New Roman" w:cs="Times New Roman"/>
          <w:kern w:val="0"/>
          <w:sz w:val="24"/>
          <w:szCs w:val="24"/>
          <w14:ligatures w14:val="none"/>
        </w:rPr>
        <w:t xml:space="preserve"> War, Egypt took control of the Gaza Strip, a territory allocated for an Arab state under the 1947 UN Partition Plan. Unlike Jordan, which formally annexed the West Bank, Egypt did not annex Gaza but placed it under military administration. The Egyptian government did not grant citizenship to the Palestinian residents of Gaza, effectively keeping them in a state of statelessness and dependency.</w:t>
      </w:r>
    </w:p>
    <w:p w14:paraId="05996156" w14:textId="77777777" w:rsidR="00A523AA" w:rsidRPr="00A523AA" w:rsidRDefault="00A523AA" w:rsidP="00A523AA">
      <w:pPr>
        <w:numPr>
          <w:ilvl w:val="0"/>
          <w:numId w:val="3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Strategic Motivations:</w:t>
      </w:r>
      <w:r w:rsidRPr="00A523AA">
        <w:rPr>
          <w:rFonts w:ascii="Times New Roman" w:eastAsia="Times New Roman" w:hAnsi="Times New Roman" w:cs="Times New Roman"/>
          <w:kern w:val="0"/>
          <w:sz w:val="24"/>
          <w:szCs w:val="24"/>
          <w14:ligatures w14:val="none"/>
        </w:rPr>
        <w:t xml:space="preserve"> Egypt's control of Gaza was driven primarily by strategic concerns. President Gamal Abdel Nasser viewed Gaza as a buffer zone against Israel and a potential base for military operations. Holding Gaza also allowed Egypt to maintain its status as a leader in the Arab world and to claim it was actively supporting the Palestinian cause.</w:t>
      </w:r>
    </w:p>
    <w:p w14:paraId="6837CE79" w14:textId="77777777" w:rsidR="00A523AA" w:rsidRPr="00A523AA" w:rsidRDefault="00A523AA" w:rsidP="00A523AA">
      <w:pPr>
        <w:numPr>
          <w:ilvl w:val="0"/>
          <w:numId w:val="3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Treatment of Gaza and Its People:</w:t>
      </w:r>
      <w:r w:rsidRPr="00A523AA">
        <w:rPr>
          <w:rFonts w:ascii="Times New Roman" w:eastAsia="Times New Roman" w:hAnsi="Times New Roman" w:cs="Times New Roman"/>
          <w:kern w:val="0"/>
          <w:sz w:val="24"/>
          <w:szCs w:val="24"/>
          <w14:ligatures w14:val="none"/>
        </w:rPr>
        <w:t xml:space="preserve"> Under Egyptian rule, the Gaza Strip remained impoverished and heavily militarized, with strict controls over the movement of its residents. The Palestinian refugees in Gaza were not offered Egyptian citizenship, which limited their rights and opportunities, keeping them dependent on the United Nations Relief and Works Agency (UNRWA) for basic services.</w:t>
      </w:r>
    </w:p>
    <w:p w14:paraId="3FF8D492"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Jordan's Annexation of the West Bank</w:t>
      </w:r>
    </w:p>
    <w:p w14:paraId="47FFABFF" w14:textId="77777777" w:rsidR="00A523AA" w:rsidRPr="00A523AA" w:rsidRDefault="00A523AA" w:rsidP="00A523AA">
      <w:pPr>
        <w:numPr>
          <w:ilvl w:val="0"/>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Formal Annexation:</w:t>
      </w:r>
      <w:r w:rsidRPr="00A523AA">
        <w:rPr>
          <w:rFonts w:ascii="Times New Roman" w:eastAsia="Times New Roman" w:hAnsi="Times New Roman" w:cs="Times New Roman"/>
          <w:kern w:val="0"/>
          <w:sz w:val="24"/>
          <w:szCs w:val="24"/>
          <w14:ligatures w14:val="none"/>
        </w:rPr>
        <w:t xml:space="preserve"> In April 1950, Jordan formally annexed the West Bank, including East Jerusalem, which had been allocated to an Arab state under the UN Partition Plan. This annexation, ratified by the Jordanian parliament, was initially intended to be temporary until a final settlement of the Palestinian issue could be achieved. Jordan was the only Arab state to offer citizenship to Palestinian refugees, allowing some level of integration.</w:t>
      </w:r>
    </w:p>
    <w:p w14:paraId="36763000" w14:textId="77777777" w:rsidR="00A523AA" w:rsidRPr="00A523AA" w:rsidRDefault="00A523AA" w:rsidP="00A523AA">
      <w:pPr>
        <w:numPr>
          <w:ilvl w:val="0"/>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Motivations for Annexation:</w:t>
      </w:r>
    </w:p>
    <w:p w14:paraId="6F1C4C16" w14:textId="77777777" w:rsidR="00A523AA" w:rsidRPr="00A523AA" w:rsidRDefault="00A523AA" w:rsidP="00A523AA">
      <w:pPr>
        <w:numPr>
          <w:ilvl w:val="1"/>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i/>
          <w:iCs/>
          <w:kern w:val="0"/>
          <w:sz w:val="24"/>
          <w:szCs w:val="24"/>
          <w14:ligatures w14:val="none"/>
        </w:rPr>
        <w:t>Dynastic and Strategic Interests:</w:t>
      </w:r>
      <w:r w:rsidRPr="00A523AA">
        <w:rPr>
          <w:rFonts w:ascii="Times New Roman" w:eastAsia="Times New Roman" w:hAnsi="Times New Roman" w:cs="Times New Roman"/>
          <w:kern w:val="0"/>
          <w:sz w:val="24"/>
          <w:szCs w:val="24"/>
          <w14:ligatures w14:val="none"/>
        </w:rPr>
        <w:t xml:space="preserve"> King Abdullah I of Jordan sought to expand his territory and consolidate his rule over the newly acquired lands. Controlling East Jerusalem and the West Bank provided Jordan with significant religious, historical, and geopolitical influence.</w:t>
      </w:r>
    </w:p>
    <w:p w14:paraId="2B9FCAE6" w14:textId="77777777" w:rsidR="00A523AA" w:rsidRPr="00A523AA" w:rsidRDefault="00A523AA" w:rsidP="00A523AA">
      <w:pPr>
        <w:numPr>
          <w:ilvl w:val="1"/>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i/>
          <w:iCs/>
          <w:kern w:val="0"/>
          <w:sz w:val="24"/>
          <w:szCs w:val="24"/>
          <w14:ligatures w14:val="none"/>
        </w:rPr>
        <w:lastRenderedPageBreak/>
        <w:t>Pan-Arab Leadership:</w:t>
      </w:r>
      <w:r w:rsidRPr="00A523AA">
        <w:rPr>
          <w:rFonts w:ascii="Times New Roman" w:eastAsia="Times New Roman" w:hAnsi="Times New Roman" w:cs="Times New Roman"/>
          <w:kern w:val="0"/>
          <w:sz w:val="24"/>
          <w:szCs w:val="24"/>
          <w14:ligatures w14:val="none"/>
        </w:rPr>
        <w:t xml:space="preserve"> By annexing the West Bank, Jordan positioned itself as a key player in the Arab world's opposition to Israel and as a protector of Palestinian interests. The annexation also served </w:t>
      </w:r>
      <w:proofErr w:type="gramStart"/>
      <w:r w:rsidRPr="00A523AA">
        <w:rPr>
          <w:rFonts w:ascii="Times New Roman" w:eastAsia="Times New Roman" w:hAnsi="Times New Roman" w:cs="Times New Roman"/>
          <w:kern w:val="0"/>
          <w:sz w:val="24"/>
          <w:szCs w:val="24"/>
          <w14:ligatures w14:val="none"/>
        </w:rPr>
        <w:t>as a means to</w:t>
      </w:r>
      <w:proofErr w:type="gramEnd"/>
      <w:r w:rsidRPr="00A523AA">
        <w:rPr>
          <w:rFonts w:ascii="Times New Roman" w:eastAsia="Times New Roman" w:hAnsi="Times New Roman" w:cs="Times New Roman"/>
          <w:kern w:val="0"/>
          <w:sz w:val="24"/>
          <w:szCs w:val="24"/>
          <w14:ligatures w14:val="none"/>
        </w:rPr>
        <w:t xml:space="preserve"> challenge Egypt's growing influence under Nasser.</w:t>
      </w:r>
    </w:p>
    <w:p w14:paraId="2C37AA67" w14:textId="77777777" w:rsidR="00A523AA" w:rsidRPr="00A523AA" w:rsidRDefault="00A523AA" w:rsidP="00A523AA">
      <w:pPr>
        <w:numPr>
          <w:ilvl w:val="0"/>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International Reactions:</w:t>
      </w:r>
      <w:r w:rsidRPr="00A523AA">
        <w:rPr>
          <w:rFonts w:ascii="Times New Roman" w:eastAsia="Times New Roman" w:hAnsi="Times New Roman" w:cs="Times New Roman"/>
          <w:kern w:val="0"/>
          <w:sz w:val="24"/>
          <w:szCs w:val="24"/>
          <w14:ligatures w14:val="none"/>
        </w:rPr>
        <w:t xml:space="preserve"> Jordan’s annexation was recognized only by the United Kingdom and Pakistan, while the wider international community, including the United Nations, did not formally recognize it, as it violated the 1947 UN Partition Plan. Other Arab states, particularly Egypt and Syria, viewed Jordan’s actions with suspicion, believing that King Abdullah was more interested in expanding his rule than genuinely supporting Palestinian self-determination.</w:t>
      </w:r>
    </w:p>
    <w:p w14:paraId="6E910AE1"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Why Egypt and Jordan Annexed Territories Meant for a Palestinian State</w:t>
      </w:r>
    </w:p>
    <w:p w14:paraId="4D5B554B"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The annexations by Egypt and Jordan were driven by a combination of strategic, political, and dynastic interests:</w:t>
      </w:r>
    </w:p>
    <w:p w14:paraId="43E40C51" w14:textId="77777777" w:rsidR="00A523AA" w:rsidRPr="00A523AA" w:rsidRDefault="00A523AA" w:rsidP="00A523AA">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Rejection of the UN Partition Plan:</w:t>
      </w:r>
      <w:r w:rsidRPr="00A523AA">
        <w:rPr>
          <w:rFonts w:ascii="Times New Roman" w:eastAsia="Times New Roman" w:hAnsi="Times New Roman" w:cs="Times New Roman"/>
          <w:kern w:val="0"/>
          <w:sz w:val="24"/>
          <w:szCs w:val="24"/>
          <w14:ligatures w14:val="none"/>
        </w:rPr>
        <w:t xml:space="preserve"> Both Egypt and Jordan, along with other Arab states, rejected the 1947 UN Partition Plan and refused to recognize the creation of Israel. They saw the annexation of Gaza and the West Bank as legitimate actions to prevent the territories from becoming part of an Israeli state and to maintain their stance against Israel.</w:t>
      </w:r>
    </w:p>
    <w:p w14:paraId="1EB952C0" w14:textId="77777777" w:rsidR="00A523AA" w:rsidRPr="00A523AA" w:rsidRDefault="00A523AA" w:rsidP="00A523AA">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Preventing the Emergence of an Independent Palestinian State:</w:t>
      </w:r>
      <w:r w:rsidRPr="00A523AA">
        <w:rPr>
          <w:rFonts w:ascii="Times New Roman" w:eastAsia="Times New Roman" w:hAnsi="Times New Roman" w:cs="Times New Roman"/>
          <w:kern w:val="0"/>
          <w:sz w:val="24"/>
          <w:szCs w:val="24"/>
          <w14:ligatures w14:val="none"/>
        </w:rPr>
        <w:t xml:space="preserve"> Egypt and Jordan were wary of an independent Palestinian state, which could threaten their political authority and regional influence. For Jordan, in particular, the emergence of a Palestinian state in the West Bank could promote Palestinian nationalism that might challenge the Hashemite monarchy.</w:t>
      </w:r>
    </w:p>
    <w:p w14:paraId="46A842A0" w14:textId="77777777" w:rsidR="00A523AA" w:rsidRPr="00A523AA" w:rsidRDefault="00A523AA" w:rsidP="00A523AA">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Expanding Influence and Control:</w:t>
      </w:r>
      <w:r w:rsidRPr="00A523AA">
        <w:rPr>
          <w:rFonts w:ascii="Times New Roman" w:eastAsia="Times New Roman" w:hAnsi="Times New Roman" w:cs="Times New Roman"/>
          <w:kern w:val="0"/>
          <w:sz w:val="24"/>
          <w:szCs w:val="24"/>
          <w14:ligatures w14:val="none"/>
        </w:rPr>
        <w:t xml:space="preserve"> Both Egypt and Jordan aimed to expand their territorial control and influence. For Jordan, annexing the West Bank increased its size and population and provided control over significant religious and historical sites in Jerusalem. For Egypt, holding Gaza helped maintain its status as a leading Arab state opposing Israel.</w:t>
      </w:r>
    </w:p>
    <w:p w14:paraId="4010DAC7" w14:textId="77777777" w:rsidR="00A523AA" w:rsidRPr="00A523AA" w:rsidRDefault="00A523AA" w:rsidP="00A523AA">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Lack of a Unified International Response:</w:t>
      </w:r>
      <w:r w:rsidRPr="00A523AA">
        <w:rPr>
          <w:rFonts w:ascii="Times New Roman" w:eastAsia="Times New Roman" w:hAnsi="Times New Roman" w:cs="Times New Roman"/>
          <w:kern w:val="0"/>
          <w:sz w:val="24"/>
          <w:szCs w:val="24"/>
          <w14:ligatures w14:val="none"/>
        </w:rPr>
        <w:t xml:space="preserve"> The absence of a cohesive international response, especially from Western powers preoccupied with Cold War dynamics, allowed Egypt and Jordan to consolidate their control over these territories. The United Nations, focused on mediating ceasefires and achieving peace, was not </w:t>
      </w:r>
      <w:proofErr w:type="gramStart"/>
      <w:r w:rsidRPr="00A523AA">
        <w:rPr>
          <w:rFonts w:ascii="Times New Roman" w:eastAsia="Times New Roman" w:hAnsi="Times New Roman" w:cs="Times New Roman"/>
          <w:kern w:val="0"/>
          <w:sz w:val="24"/>
          <w:szCs w:val="24"/>
          <w14:ligatures w14:val="none"/>
        </w:rPr>
        <w:t>in a position</w:t>
      </w:r>
      <w:proofErr w:type="gramEnd"/>
      <w:r w:rsidRPr="00A523AA">
        <w:rPr>
          <w:rFonts w:ascii="Times New Roman" w:eastAsia="Times New Roman" w:hAnsi="Times New Roman" w:cs="Times New Roman"/>
          <w:kern w:val="0"/>
          <w:sz w:val="24"/>
          <w:szCs w:val="24"/>
          <w14:ligatures w14:val="none"/>
        </w:rPr>
        <w:t xml:space="preserve"> to enforce the original partition plan or prevent the unilateral actions by Egypt and Jordan.</w:t>
      </w:r>
    </w:p>
    <w:p w14:paraId="61A5D849"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Establishment and Perpetuation of Palestinian Refugee Camps</w:t>
      </w:r>
    </w:p>
    <w:p w14:paraId="32675A1D"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Refugee Camps in Host Arab Countries</w:t>
      </w:r>
    </w:p>
    <w:p w14:paraId="41F8CC19" w14:textId="77777777" w:rsidR="00A523AA" w:rsidRPr="00A523AA" w:rsidRDefault="00A523AA" w:rsidP="00A523AA">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Jordan:</w:t>
      </w:r>
      <w:r w:rsidRPr="00A523AA">
        <w:rPr>
          <w:rFonts w:ascii="Times New Roman" w:eastAsia="Times New Roman" w:hAnsi="Times New Roman" w:cs="Times New Roman"/>
          <w:kern w:val="0"/>
          <w:sz w:val="24"/>
          <w:szCs w:val="24"/>
          <w14:ligatures w14:val="none"/>
        </w:rPr>
        <w:t xml:space="preserve"> Jordan absorbed the largest number of Palestinian refugees, particularly after annexing the West Bank. Although Jordan granted citizenship to most refugees, many remained in camps around cities such as Amman, Jerash, and Irbid. These camps became semi-permanent settlements, reflecting Jordan's complex approach to integrating Palestinians while maintaining control.</w:t>
      </w:r>
    </w:p>
    <w:p w14:paraId="00BAB274" w14:textId="77777777" w:rsidR="00A523AA" w:rsidRPr="00A523AA" w:rsidRDefault="00A523AA" w:rsidP="00A523AA">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lastRenderedPageBreak/>
        <w:t>Lebanon:</w:t>
      </w:r>
      <w:r w:rsidRPr="00A523AA">
        <w:rPr>
          <w:rFonts w:ascii="Times New Roman" w:eastAsia="Times New Roman" w:hAnsi="Times New Roman" w:cs="Times New Roman"/>
          <w:kern w:val="0"/>
          <w:sz w:val="24"/>
          <w:szCs w:val="24"/>
          <w14:ligatures w14:val="none"/>
        </w:rPr>
        <w:t xml:space="preserve"> Lebanon refused to grant citizenship to Palestinian refugees, fearing that integrating them would upset the country's delicate sectarian balance. Strict restrictions were imposed on employment, property ownership, and movement, confining many Palestinians to camps like Shatila, Sabra, and Ein </w:t>
      </w:r>
      <w:proofErr w:type="spellStart"/>
      <w:r w:rsidRPr="00A523AA">
        <w:rPr>
          <w:rFonts w:ascii="Times New Roman" w:eastAsia="Times New Roman" w:hAnsi="Times New Roman" w:cs="Times New Roman"/>
          <w:kern w:val="0"/>
          <w:sz w:val="24"/>
          <w:szCs w:val="24"/>
          <w14:ligatures w14:val="none"/>
        </w:rPr>
        <w:t>el</w:t>
      </w:r>
      <w:proofErr w:type="spellEnd"/>
      <w:r w:rsidRPr="00A523AA">
        <w:rPr>
          <w:rFonts w:ascii="Times New Roman" w:eastAsia="Times New Roman" w:hAnsi="Times New Roman" w:cs="Times New Roman"/>
          <w:kern w:val="0"/>
          <w:sz w:val="24"/>
          <w:szCs w:val="24"/>
          <w14:ligatures w14:val="none"/>
        </w:rPr>
        <w:t>-Hilweh, which were overcrowded, underdeveloped, and lacked basic services.</w:t>
      </w:r>
    </w:p>
    <w:p w14:paraId="155CB7AD" w14:textId="77777777" w:rsidR="00A523AA" w:rsidRPr="00A523AA" w:rsidRDefault="00A523AA" w:rsidP="00A523AA">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Syria:</w:t>
      </w:r>
      <w:r w:rsidRPr="00A523AA">
        <w:rPr>
          <w:rFonts w:ascii="Times New Roman" w:eastAsia="Times New Roman" w:hAnsi="Times New Roman" w:cs="Times New Roman"/>
          <w:kern w:val="0"/>
          <w:sz w:val="24"/>
          <w:szCs w:val="24"/>
          <w14:ligatures w14:val="none"/>
        </w:rPr>
        <w:t xml:space="preserve"> Syria offered a somewhat more lenient approach, granting Palestinian refugees certain rights, such as access to education and healthcare, but still denying them full citizenship. Camps like Yarmouk in Damascus became important centers of Palestinian life but also suffered from poverty and marginalization.</w:t>
      </w:r>
    </w:p>
    <w:p w14:paraId="20FF2FC8" w14:textId="77777777" w:rsidR="00A523AA" w:rsidRPr="00A523AA" w:rsidRDefault="00A523AA" w:rsidP="00A523AA">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Gaza Strip:</w:t>
      </w:r>
      <w:r w:rsidRPr="00A523AA">
        <w:rPr>
          <w:rFonts w:ascii="Times New Roman" w:eastAsia="Times New Roman" w:hAnsi="Times New Roman" w:cs="Times New Roman"/>
          <w:kern w:val="0"/>
          <w:sz w:val="24"/>
          <w:szCs w:val="24"/>
          <w14:ligatures w14:val="none"/>
        </w:rPr>
        <w:t xml:space="preserve"> The Gaza Strip, administered by Egypt until 1967, became home to </w:t>
      </w:r>
      <w:proofErr w:type="gramStart"/>
      <w:r w:rsidRPr="00A523AA">
        <w:rPr>
          <w:rFonts w:ascii="Times New Roman" w:eastAsia="Times New Roman" w:hAnsi="Times New Roman" w:cs="Times New Roman"/>
          <w:kern w:val="0"/>
          <w:sz w:val="24"/>
          <w:szCs w:val="24"/>
          <w14:ligatures w14:val="none"/>
        </w:rPr>
        <w:t>a large number of</w:t>
      </w:r>
      <w:proofErr w:type="gramEnd"/>
      <w:r w:rsidRPr="00A523AA">
        <w:rPr>
          <w:rFonts w:ascii="Times New Roman" w:eastAsia="Times New Roman" w:hAnsi="Times New Roman" w:cs="Times New Roman"/>
          <w:kern w:val="0"/>
          <w:sz w:val="24"/>
          <w:szCs w:val="24"/>
          <w14:ligatures w14:val="none"/>
        </w:rPr>
        <w:t xml:space="preserve"> Palestinian refugees. The Strip's limited size and large refugee population led to severe overcrowding and poverty. Conditions in camps like Jabalia, Rafah, and Khan Younis were harsh, with inadequate housing, sanitation, and infrastructure.</w:t>
      </w:r>
    </w:p>
    <w:p w14:paraId="78D8D904"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Current Status of Palestinian Refugee Camps</w:t>
      </w:r>
    </w:p>
    <w:p w14:paraId="320A7058"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Today, Palestinian refugee camps continue to exist in Jordan, Lebanon, Syria, and the Gaza Strip, managed largely by UNRWA and host countries. Conditions vary significantly, depending on local political dynamics and the availability of international aid:</w:t>
      </w:r>
    </w:p>
    <w:p w14:paraId="5584A1D4" w14:textId="77777777" w:rsidR="00A523AA" w:rsidRPr="00A523AA" w:rsidRDefault="00A523AA" w:rsidP="00A523AA">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Jordan:</w:t>
      </w:r>
      <w:r w:rsidRPr="00A523AA">
        <w:rPr>
          <w:rFonts w:ascii="Times New Roman" w:eastAsia="Times New Roman" w:hAnsi="Times New Roman" w:cs="Times New Roman"/>
          <w:kern w:val="0"/>
          <w:sz w:val="24"/>
          <w:szCs w:val="24"/>
          <w14:ligatures w14:val="none"/>
        </w:rPr>
        <w:t xml:space="preserve"> Jordan remains home to the largest number of Palestinian refugees, with ten official camps still in operation. Many refugees have integrated into Jordanian society, but those in camps often face poor living conditions, overcrowding, and limited access to resources. However, Jordan grants citizenship to most Palestinian refugees, providing them with more rights and opportunities than in other host countries.</w:t>
      </w:r>
    </w:p>
    <w:p w14:paraId="5C413541" w14:textId="77777777" w:rsidR="00A523AA" w:rsidRPr="00A523AA" w:rsidRDefault="00A523AA" w:rsidP="00A523AA">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Lebanon:</w:t>
      </w:r>
      <w:r w:rsidRPr="00A523AA">
        <w:rPr>
          <w:rFonts w:ascii="Times New Roman" w:eastAsia="Times New Roman" w:hAnsi="Times New Roman" w:cs="Times New Roman"/>
          <w:kern w:val="0"/>
          <w:sz w:val="24"/>
          <w:szCs w:val="24"/>
          <w14:ligatures w14:val="none"/>
        </w:rPr>
        <w:t xml:space="preserve"> Palestinian refugees in Lebanon face significant restrictions. Denied citizenship, barred from many professions, and often confined to 12 official camps with inadequate infrastructure and services, they experience high levels of poverty and unemployment, living in deteriorating conditions.</w:t>
      </w:r>
    </w:p>
    <w:p w14:paraId="4CA4E663" w14:textId="77777777" w:rsidR="00A523AA" w:rsidRPr="00A523AA" w:rsidRDefault="00A523AA" w:rsidP="00A523AA">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Syria:</w:t>
      </w:r>
      <w:r w:rsidRPr="00A523AA">
        <w:rPr>
          <w:rFonts w:ascii="Times New Roman" w:eastAsia="Times New Roman" w:hAnsi="Times New Roman" w:cs="Times New Roman"/>
          <w:kern w:val="0"/>
          <w:sz w:val="24"/>
          <w:szCs w:val="24"/>
          <w14:ligatures w14:val="none"/>
        </w:rPr>
        <w:t xml:space="preserve"> The Syrian civil war has exacerbated the plight of Palestinian refugees. Many camps, such as Yarmouk in Damascus, have been destroyed or heavily damaged, and refugees have been displaced multiple times. Access to services is limited, and many refugees face harsh conditions with little hope of returning to their original homes.</w:t>
      </w:r>
    </w:p>
    <w:p w14:paraId="6D2753C1" w14:textId="77777777" w:rsidR="00A523AA" w:rsidRPr="00A523AA" w:rsidRDefault="00A523AA" w:rsidP="00A523AA">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Gaza Strip:</w:t>
      </w:r>
      <w:r w:rsidRPr="00A523AA">
        <w:rPr>
          <w:rFonts w:ascii="Times New Roman" w:eastAsia="Times New Roman" w:hAnsi="Times New Roman" w:cs="Times New Roman"/>
          <w:kern w:val="0"/>
          <w:sz w:val="24"/>
          <w:szCs w:val="24"/>
          <w14:ligatures w14:val="none"/>
        </w:rPr>
        <w:t xml:space="preserve"> Conditions in Gaza remain among the worst for Palestinian refugees. The territory is densely populated, under blockade by Israel and Egypt, and suffers from severe economic hardship, frequent conflicts, and inadequate access to basic services. The camps in Gaza are overcrowded, and the blockade has severely restricted the movement of goods and people, leading to ongoing humanitarian crises.</w:t>
      </w:r>
    </w:p>
    <w:p w14:paraId="18C5139E"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Why Israel Does Not Regard Gaza and the West Bank as "Occupied Territories" Belonging to Egypt or Jordan</w:t>
      </w:r>
    </w:p>
    <w:p w14:paraId="5B8E5BA7"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Israel does not regard Gaza and the West Bank as "occupied territories" belonging to Egypt or Jordan because neither Egypt's control over Gaza nor Jordan's annexation of the West Bank was widely recognized internationally. Under international law, these territories were not considered sovereign Egyptian or Jordanian land; they were parts of the British Mandate for Palestine, designated for a future Arab state that never materialized.</w:t>
      </w:r>
    </w:p>
    <w:p w14:paraId="7F5F0BE7" w14:textId="77777777" w:rsidR="00A523AA" w:rsidRPr="00A523AA" w:rsidRDefault="00A523AA" w:rsidP="00A523AA">
      <w:pPr>
        <w:numPr>
          <w:ilvl w:val="0"/>
          <w:numId w:val="3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lastRenderedPageBreak/>
        <w:t>Lack of International Recognition:</w:t>
      </w:r>
      <w:r w:rsidRPr="00A523AA">
        <w:rPr>
          <w:rFonts w:ascii="Times New Roman" w:eastAsia="Times New Roman" w:hAnsi="Times New Roman" w:cs="Times New Roman"/>
          <w:kern w:val="0"/>
          <w:sz w:val="24"/>
          <w:szCs w:val="24"/>
          <w14:ligatures w14:val="none"/>
        </w:rPr>
        <w:t xml:space="preserve"> While Jordan annexed the West Bank and Egypt controlled Gaza, their claims were not widely recognized. Only a few countries recognized Jordan's annexation, and Egypt never formally annexed Gaza. The broader international community viewed these territories as legally designated for the Arab state proposed by the UN Partition Plan, which was never implemented due to Arab rejection.</w:t>
      </w:r>
    </w:p>
    <w:p w14:paraId="7C588EE1" w14:textId="77777777" w:rsidR="00A523AA" w:rsidRPr="00A523AA" w:rsidRDefault="00A523AA" w:rsidP="00A523AA">
      <w:pPr>
        <w:numPr>
          <w:ilvl w:val="0"/>
          <w:numId w:val="3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1967 Six-Day War and Israeli Control:</w:t>
      </w:r>
      <w:r w:rsidRPr="00A523AA">
        <w:rPr>
          <w:rFonts w:ascii="Times New Roman" w:eastAsia="Times New Roman" w:hAnsi="Times New Roman" w:cs="Times New Roman"/>
          <w:kern w:val="0"/>
          <w:sz w:val="24"/>
          <w:szCs w:val="24"/>
          <w14:ligatures w14:val="none"/>
        </w:rPr>
        <w:t xml:space="preserve"> In the 1967 Six-Day War, Israel captured the West Bank from Jordan and Gaza from Egypt. Israel viewed its control over these territories as part of a broader conflict resolution process, not as an invasion of sovereign Egyptian or Jordanian land. The territories were not considered Egyptian or Jordanian land, but rather as disputed areas whose status would need to be determined through negotiations.</w:t>
      </w:r>
    </w:p>
    <w:p w14:paraId="6C6E5894" w14:textId="77777777" w:rsidR="00A523AA" w:rsidRPr="00A523AA" w:rsidRDefault="00A523AA" w:rsidP="00A523AA">
      <w:pPr>
        <w:numPr>
          <w:ilvl w:val="0"/>
          <w:numId w:val="3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Legal and Historical Claims:</w:t>
      </w:r>
      <w:r w:rsidRPr="00A523AA">
        <w:rPr>
          <w:rFonts w:ascii="Times New Roman" w:eastAsia="Times New Roman" w:hAnsi="Times New Roman" w:cs="Times New Roman"/>
          <w:kern w:val="0"/>
          <w:sz w:val="24"/>
          <w:szCs w:val="24"/>
          <w14:ligatures w14:val="none"/>
        </w:rPr>
        <w:t xml:space="preserve"> Israel argues that since neither Jordan nor Egypt had legitimate sovereignty over the territories, its control after 1967 does not constitute occupation in the traditional legal sense. Israel maintains that it acquired these territories in a defensive war and that their status is subject to future peace negotiations. Additionally, Israel's historical claims to the land, particularly the West Bank, which includes areas of significant Jewish historical and religious importance, further complicate the question of sovereignty.</w:t>
      </w:r>
    </w:p>
    <w:p w14:paraId="604915EE"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Conclusion</w:t>
      </w:r>
    </w:p>
    <w:p w14:paraId="6EDB4884"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The annexation of Gaza and the West Bank by Egypt and Jordan, and the establishment and perpetuation of Palestinian refugee camps, were critical developments that shaped the Israeli-Palestinian conflict for decades. While Israel's role in creating the refugee crisis is well-known, the responsibility of Arab states in perpetuating the plight of the refugees is often overlooked. Today, Palestinian refugee camps remain stark reminders of the unresolved status of millions of Palestinians living in limbo. Understanding the geopolitical dynamics that led to the creation of these camps and the policies that have maintained them is essential to grasping the complex, ongoing nature of the Israeli-Palestinian conflict. Addressing the Palestinian refugee crisis effectively will require recognizing the roles of both Israel and the Arab world in sustaining this tragic status quo</w:t>
      </w:r>
    </w:p>
    <w:p w14:paraId="439B9D67" w14:textId="77777777" w:rsidR="00A523AA" w:rsidRPr="00A523AA" w:rsidRDefault="00A523AA" w:rsidP="00A523A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23AA">
        <w:rPr>
          <w:rFonts w:ascii="Times New Roman" w:eastAsia="Times New Roman" w:hAnsi="Times New Roman" w:cs="Times New Roman"/>
          <w:b/>
          <w:bCs/>
          <w:kern w:val="0"/>
          <w:sz w:val="27"/>
          <w:szCs w:val="27"/>
          <w14:ligatures w14:val="none"/>
        </w:rPr>
        <w:t>Chapter 17: The Palestinians' Dilemma: Leadership Failures, Ideological Traps, and Internal Chaos</w:t>
      </w:r>
    </w:p>
    <w:p w14:paraId="43F23EA0"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Introduction</w:t>
      </w:r>
    </w:p>
    <w:p w14:paraId="3F596188"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The suffering of the Palestinian people is widely attributed to external factors like Israeli policies, international neglect, and historical colonial legacies. Yet, a deeper exploration uncovers another dimension—one where internal failures, ideological entrapments, and leadership betrayals have played a critical role in prolonging the conflict and deepening the Palestinian crisis. This chapter examines how certain Palestinian leaders have manipulated ideologies of jihad and martyrdom to maintain control, how these beliefs perpetuate a cycle of hatred and suffering, and how these dynamics, alongside corruption and failed governance, continue to obstruct any meaningful path to peace.</w:t>
      </w:r>
    </w:p>
    <w:p w14:paraId="62FF7D57"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The Embrace of Jihad and Martyrdom: An Ideological Trap</w:t>
      </w:r>
    </w:p>
    <w:p w14:paraId="7E7851C3"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lastRenderedPageBreak/>
        <w:t>Militant interpretations of jihad and the glorification of martyrdom have become central tenets of certain Palestinian resistance narratives, particularly those propagated by groups like Hamas and Islamic Jihad. For decades, these groups have utilized these ideologies to mobilize support, maintain control, and legitimize violence against Israel.</w:t>
      </w:r>
    </w:p>
    <w:p w14:paraId="68E599E7"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The Roots of the Ideology:</w:t>
      </w:r>
      <w:r w:rsidRPr="00A523AA">
        <w:rPr>
          <w:rFonts w:ascii="Times New Roman" w:eastAsia="Times New Roman" w:hAnsi="Times New Roman" w:cs="Times New Roman"/>
          <w:kern w:val="0"/>
          <w:sz w:val="24"/>
          <w:szCs w:val="24"/>
          <w14:ligatures w14:val="none"/>
        </w:rPr>
        <w:t xml:space="preserve"> The origins of this ideological shift can be traced back to the 1960s and 1970s, with the rise of political Islam and the increasing influence of radical figures such as Amin al-Husseini and later, Yasser Arafat. Husseini's collaboration with Nazi Germany and his uncompromising stance against Jewish settlement set the tone for a rejectionist approach to the conflict. Arafat and the PLO adopted this rejectionist ideology, using militant resistance and political maneuvering to reject any peace process that did not meet all their demands.</w:t>
      </w:r>
    </w:p>
    <w:p w14:paraId="4B4E1AB1"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As the Palestinian nationalist cause became increasingly infused with religious fervor, militant ideologies like jihad and martyrdom gained prominence. During the First Intifada (1987-1993) and the Second Intifada (2000-2005), these ideas were promoted by militant groups encouraging young Palestinians to become "martyrs" through suicide bombings and attacks against Israeli civilians and soldiers. This narrative framed the conflict as a religious duty and glorified those who died in these attacks as heroes and role models.</w:t>
      </w:r>
    </w:p>
    <w:p w14:paraId="0E62E819"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The Cost of Embracing Ideological Extremism</w:t>
      </w:r>
    </w:p>
    <w:p w14:paraId="036EBADD"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While the ideology of jihad and martyrdom has served as a potent tool for mobilizing resistance, it has also exacted a heavy toll on the Palestinian people.</w:t>
      </w:r>
    </w:p>
    <w:p w14:paraId="4A03511A"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Endless Cycle of Hatred and Suffering:</w:t>
      </w:r>
      <w:r w:rsidRPr="00A523AA">
        <w:rPr>
          <w:rFonts w:ascii="Times New Roman" w:eastAsia="Times New Roman" w:hAnsi="Times New Roman" w:cs="Times New Roman"/>
          <w:kern w:val="0"/>
          <w:sz w:val="24"/>
          <w:szCs w:val="24"/>
          <w14:ligatures w14:val="none"/>
        </w:rPr>
        <w:t xml:space="preserve"> By glorifying violence and martyrdom, parts of Palestinian society have normalized death and suffering as inherent elements of their struggle. This pervasive ideology has profound psychological effects, fostering a sense of fatalism and despair while fueling a continuous cycle of conflict, with every act of violence met by retaliation, leading to more bloodshed and hardship.</w:t>
      </w:r>
    </w:p>
    <w:p w14:paraId="7C4B41B6"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Manipulation by Leadership:</w:t>
      </w:r>
      <w:r w:rsidRPr="00A523AA">
        <w:rPr>
          <w:rFonts w:ascii="Times New Roman" w:eastAsia="Times New Roman" w:hAnsi="Times New Roman" w:cs="Times New Roman"/>
          <w:kern w:val="0"/>
          <w:sz w:val="24"/>
          <w:szCs w:val="24"/>
          <w14:ligatures w14:val="none"/>
        </w:rPr>
        <w:t xml:space="preserve"> Palestinian leaders, particularly those in Hamas, have utilized the ideology of jihad and martyrdom to manipulate and control the population. By promoting these ideas, they maintain a narrative of resistance that justifies their rule and deflects blame for governance failures. This strategy allows them to suppress dissent and present themselves as defenders of the Palestinian cause.</w:t>
      </w:r>
    </w:p>
    <w:p w14:paraId="6E24D934"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A Misplaced Focus on Victimhood:</w:t>
      </w:r>
      <w:r w:rsidRPr="00A523AA">
        <w:rPr>
          <w:rFonts w:ascii="Times New Roman" w:eastAsia="Times New Roman" w:hAnsi="Times New Roman" w:cs="Times New Roman"/>
          <w:kern w:val="0"/>
          <w:sz w:val="24"/>
          <w:szCs w:val="24"/>
          <w14:ligatures w14:val="none"/>
        </w:rPr>
        <w:t xml:space="preserve"> The emphasis on militant ideologies has led to a culture that often prioritizes conflict over development. Instead of investing in education, infrastructure, and economic opportunities, resources are frequently directed toward sustaining the conflict—through weapons production, tunnel construction, and military training. This approach has left many Palestinians trapped in refugee camps and impoverished neighborhoods, reliant on aid and caught in a cycle of victimhood.</w:t>
      </w:r>
    </w:p>
    <w:p w14:paraId="16AD83EC"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Hamas: Cultivating Martyrdom While Exploiting the People</w:t>
      </w:r>
    </w:p>
    <w:p w14:paraId="19AABB18"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 xml:space="preserve">Since taking control of Gaza in 2007, Hamas has actively promoted the ideology of jihad and martyrdom to consolidate its authority and maintain its militant stance against Israel. Hamas’s </w:t>
      </w:r>
      <w:r w:rsidRPr="00A523AA">
        <w:rPr>
          <w:rFonts w:ascii="Times New Roman" w:eastAsia="Times New Roman" w:hAnsi="Times New Roman" w:cs="Times New Roman"/>
          <w:kern w:val="0"/>
          <w:sz w:val="24"/>
          <w:szCs w:val="24"/>
          <w14:ligatures w14:val="none"/>
        </w:rPr>
        <w:lastRenderedPageBreak/>
        <w:t>charter explicitly calls for the destruction of Israel and envisions a Palestinian state from the river to the sea, framed as a religious obligation.</w:t>
      </w:r>
    </w:p>
    <w:p w14:paraId="45D850B3"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Billions Spent on Weapons and Tunnels:</w:t>
      </w:r>
      <w:r w:rsidRPr="00A523AA">
        <w:rPr>
          <w:rFonts w:ascii="Times New Roman" w:eastAsia="Times New Roman" w:hAnsi="Times New Roman" w:cs="Times New Roman"/>
          <w:kern w:val="0"/>
          <w:sz w:val="24"/>
          <w:szCs w:val="24"/>
          <w14:ligatures w14:val="none"/>
        </w:rPr>
        <w:t xml:space="preserve"> While Hamas has directed significant resources toward its militant activities, such as building tunnels and manufacturing rockets, this focus has come at a substantial cost to economic development and social services. The funds that could have been used to improve living conditions, build schools, or create jobs are diverted to sustain an ongoing conflict, leaving Gaza’s population impoverished and struggling to survive.</w:t>
      </w:r>
    </w:p>
    <w:p w14:paraId="169CB9B9"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Seizing Goods and Controlling Resources:</w:t>
      </w:r>
      <w:r w:rsidRPr="00A523AA">
        <w:rPr>
          <w:rFonts w:ascii="Times New Roman" w:eastAsia="Times New Roman" w:hAnsi="Times New Roman" w:cs="Times New Roman"/>
          <w:kern w:val="0"/>
          <w:sz w:val="24"/>
          <w:szCs w:val="24"/>
          <w14:ligatures w14:val="none"/>
        </w:rPr>
        <w:t xml:space="preserve"> Hamas maintains tight control over the flow of goods into Gaza, often seizing imports for its use or to sell at inflated prices on the black market. Essential goods such as food, medicine, and building materials are frequently taxed or redirected, with proceeds going to fund militant activities. Ordinary Gazans are forced to pay exorbitant prices for </w:t>
      </w:r>
      <w:proofErr w:type="gramStart"/>
      <w:r w:rsidRPr="00A523AA">
        <w:rPr>
          <w:rFonts w:ascii="Times New Roman" w:eastAsia="Times New Roman" w:hAnsi="Times New Roman" w:cs="Times New Roman"/>
          <w:kern w:val="0"/>
          <w:sz w:val="24"/>
          <w:szCs w:val="24"/>
          <w14:ligatures w14:val="none"/>
        </w:rPr>
        <w:t>basic necessities</w:t>
      </w:r>
      <w:proofErr w:type="gramEnd"/>
      <w:r w:rsidRPr="00A523AA">
        <w:rPr>
          <w:rFonts w:ascii="Times New Roman" w:eastAsia="Times New Roman" w:hAnsi="Times New Roman" w:cs="Times New Roman"/>
          <w:kern w:val="0"/>
          <w:sz w:val="24"/>
          <w:szCs w:val="24"/>
          <w14:ligatures w14:val="none"/>
        </w:rPr>
        <w:t>, exacerbating their hardship in an already dire economic situation.</w:t>
      </w:r>
    </w:p>
    <w:p w14:paraId="158DA7C1"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Propaganda and Indoctrination:</w:t>
      </w:r>
      <w:r w:rsidRPr="00A523AA">
        <w:rPr>
          <w:rFonts w:ascii="Times New Roman" w:eastAsia="Times New Roman" w:hAnsi="Times New Roman" w:cs="Times New Roman"/>
          <w:kern w:val="0"/>
          <w:sz w:val="24"/>
          <w:szCs w:val="24"/>
          <w14:ligatures w14:val="none"/>
        </w:rPr>
        <w:t xml:space="preserve"> Hamas also cultivates the ideology of martyrdom through education, media, and public events. School curricula, television programs, and public rallies glorify those who have died in attacks against Israel, presenting them as martyrs who have achieved the highest honor. This propaganda fosters a culture where children are raised to view death in the name of jihad as a noble aspiration, perpetuating a cycle of violence.</w:t>
      </w:r>
    </w:p>
    <w:p w14:paraId="76695DC5"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The West Bank Under Mahmoud Abbas: Paralysis and Stagnation</w:t>
      </w:r>
    </w:p>
    <w:p w14:paraId="433F336C"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While Gaza has been under Hamas's militant grip, the West Bank, led by Mahmoud Abbas and the Palestinian Authority (PA), faces its challenges.</w:t>
      </w:r>
    </w:p>
    <w:p w14:paraId="6AA47C97"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A Paralysis of Leadership:</w:t>
      </w:r>
      <w:r w:rsidRPr="00A523AA">
        <w:rPr>
          <w:rFonts w:ascii="Times New Roman" w:eastAsia="Times New Roman" w:hAnsi="Times New Roman" w:cs="Times New Roman"/>
          <w:kern w:val="0"/>
          <w:sz w:val="24"/>
          <w:szCs w:val="24"/>
          <w14:ligatures w14:val="none"/>
        </w:rPr>
        <w:t xml:space="preserve"> Abbas’s leadership has been marked by a lack of vision, reform, and progress. The PA has been paralyzed by internal power struggles, corruption, and an inability to deliver basic services or achieve meaningful progress toward peace or statehood. Elections have been repeatedly delayed, and Abbas continues to govern by decree, often suppressing political dissent and stifling opposition, leading to widespread frustration among Palestinians.</w:t>
      </w:r>
    </w:p>
    <w:p w14:paraId="434C9C33"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Economic Mismanagement and Corruption:</w:t>
      </w:r>
      <w:r w:rsidRPr="00A523AA">
        <w:rPr>
          <w:rFonts w:ascii="Times New Roman" w:eastAsia="Times New Roman" w:hAnsi="Times New Roman" w:cs="Times New Roman"/>
          <w:kern w:val="0"/>
          <w:sz w:val="24"/>
          <w:szCs w:val="24"/>
          <w14:ligatures w14:val="none"/>
        </w:rPr>
        <w:t xml:space="preserve"> The PA has been plagued by corruption, with high-ranking officials benefiting from international aid while ordinary Palestinians suffer. Funds meant for infrastructure, development, and public services often vanish, contributing to a stagnant economy and deteriorating living conditions. This lack of governance and transparency has led to growing resentment and disillusionment among West Bank residents.</w:t>
      </w:r>
    </w:p>
    <w:p w14:paraId="6D112738"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Failed Peace Negotiations and Isolation:</w:t>
      </w:r>
      <w:r w:rsidRPr="00A523AA">
        <w:rPr>
          <w:rFonts w:ascii="Times New Roman" w:eastAsia="Times New Roman" w:hAnsi="Times New Roman" w:cs="Times New Roman"/>
          <w:kern w:val="0"/>
          <w:sz w:val="24"/>
          <w:szCs w:val="24"/>
          <w14:ligatures w14:val="none"/>
        </w:rPr>
        <w:t xml:space="preserve"> Abbas’s inability to advance peace negotiations has further isolated the PA. With no meaningful talks in sight, the PA relies on international diplomatic efforts and symbolic gestures rather than substantive moves toward peace. This approach has created a sense of inertia, with little progress on the ground and no clear path forward, exacerbating the Palestinian plight.</w:t>
      </w:r>
    </w:p>
    <w:p w14:paraId="461A6F40"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Israel's Dilemma: Maneuvering Through Palestinian Turmoil</w:t>
      </w:r>
    </w:p>
    <w:p w14:paraId="7F2AD744"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lastRenderedPageBreak/>
        <w:t>Israel faces a complex dilemma in dealing with the internal chaos within the Palestinian territories. The lack of unified and stable Palestinian leadership complicates negotiations, as internal divisions undermine every attempt at progress.</w:t>
      </w:r>
    </w:p>
    <w:p w14:paraId="299156EC"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Navigating Palestinian Division:</w:t>
      </w:r>
      <w:r w:rsidRPr="00A523AA">
        <w:rPr>
          <w:rFonts w:ascii="Times New Roman" w:eastAsia="Times New Roman" w:hAnsi="Times New Roman" w:cs="Times New Roman"/>
          <w:kern w:val="0"/>
          <w:sz w:val="24"/>
          <w:szCs w:val="24"/>
          <w14:ligatures w14:val="none"/>
        </w:rPr>
        <w:t xml:space="preserve"> Israeli leaders, including Benjamin Netanyahu, often point to the fractured nature of Palestinian leadership as a challenge to achieving a negotiated peace, arguing that Israel lacks a credible partner for meaningful dialogue. This stance has allowed Israel to expand settlements, maintain a strong military presence, and avoid serious peace negotiations.</w:t>
      </w:r>
    </w:p>
    <w:p w14:paraId="47C06218"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Netanyahu’s Strategy:</w:t>
      </w:r>
      <w:r w:rsidRPr="00A523AA">
        <w:rPr>
          <w:rFonts w:ascii="Times New Roman" w:eastAsia="Times New Roman" w:hAnsi="Times New Roman" w:cs="Times New Roman"/>
          <w:kern w:val="0"/>
          <w:sz w:val="24"/>
          <w:szCs w:val="24"/>
          <w14:ligatures w14:val="none"/>
        </w:rPr>
        <w:t xml:space="preserve"> Netanyahu, who has served as Prime Minister for over 15 years, has used the ongoing turmoil within the Palestinian territories to his advantage. Critics argue that his policies have exacerbated Palestinian suffering and deepened divisions, further </w:t>
      </w:r>
      <w:proofErr w:type="gramStart"/>
      <w:r w:rsidRPr="00A523AA">
        <w:rPr>
          <w:rFonts w:ascii="Times New Roman" w:eastAsia="Times New Roman" w:hAnsi="Times New Roman" w:cs="Times New Roman"/>
          <w:kern w:val="0"/>
          <w:sz w:val="24"/>
          <w:szCs w:val="24"/>
          <w14:ligatures w14:val="none"/>
        </w:rPr>
        <w:t>entrenching</w:t>
      </w:r>
      <w:proofErr w:type="gramEnd"/>
      <w:r w:rsidRPr="00A523AA">
        <w:rPr>
          <w:rFonts w:ascii="Times New Roman" w:eastAsia="Times New Roman" w:hAnsi="Times New Roman" w:cs="Times New Roman"/>
          <w:kern w:val="0"/>
          <w:sz w:val="24"/>
          <w:szCs w:val="24"/>
          <w14:ligatures w14:val="none"/>
        </w:rPr>
        <w:t xml:space="preserve"> the status quo and making a negotiated settlement less likely. Netanyahu’s strategy of highlighting Palestinian disarray has allowed him to maintain a position of strength while avoiding concessions.</w:t>
      </w:r>
    </w:p>
    <w:p w14:paraId="3A7FFBB3"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Trapped in a Cycle of Victimhood: The Palestinian People’s Predicament</w:t>
      </w:r>
    </w:p>
    <w:p w14:paraId="5AE7D8B8"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The ideology of jihad and martyrdom, promoted by Palestinian leaders like Hamas, has left ordinary Palestinians trapped in a cycle of suffering and victimhood. By embracing this ideology, the Palestinian people have become victims of their leaders’ manipulation, living under a narrative that glorifies death over life and struggle over peace.</w:t>
      </w:r>
    </w:p>
    <w:p w14:paraId="0B71EAC1"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A Call for Internal Reform:</w:t>
      </w:r>
      <w:r w:rsidRPr="00A523AA">
        <w:rPr>
          <w:rFonts w:ascii="Times New Roman" w:eastAsia="Times New Roman" w:hAnsi="Times New Roman" w:cs="Times New Roman"/>
          <w:kern w:val="0"/>
          <w:sz w:val="24"/>
          <w:szCs w:val="24"/>
          <w14:ligatures w14:val="none"/>
        </w:rPr>
        <w:t xml:space="preserve"> No external actor can "save" the Palestinian people from the failures of their leadership. Until Palestinians demand new leaders who prioritize governance, accountability, and development over militant resistance, they will remain caught in this cycle.</w:t>
      </w:r>
    </w:p>
    <w:p w14:paraId="2C47B4C6"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Conclusion: Breaking Free from Ideological Entrapment</w:t>
      </w:r>
    </w:p>
    <w:p w14:paraId="55EECE6B"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The Palestinian people face immense challenges, but many are driven by internal dynamics that perpetuate their suffering. The embrace of jihad and martyrdom, manipulated by leaders who benefit from ongoing conflict, has left Palestinians without a clear path forward.</w:t>
      </w:r>
    </w:p>
    <w:p w14:paraId="4571CB71"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Breaking free from this cycle will require a dual approach: internal reform, where Palestinians demand genuine leadership that prioritizes peace and prosperity, and external support from the international community to create conditions conducive to dialogue and reconciliation. Only through a combination of these efforts can the Palestinian people hope to achieve their aspirations for a peaceful and prosperous future.</w:t>
      </w:r>
    </w:p>
    <w:p w14:paraId="4C2B0988" w14:textId="77777777" w:rsidR="004C238D" w:rsidRPr="004C238D" w:rsidRDefault="004C238D" w:rsidP="004C238D">
      <w:pPr>
        <w:pBdr>
          <w:bottom w:val="single" w:sz="6" w:space="1" w:color="auto"/>
        </w:pBdr>
        <w:spacing w:after="0" w:line="240" w:lineRule="auto"/>
        <w:jc w:val="center"/>
        <w:rPr>
          <w:rFonts w:ascii="Times New Roman" w:eastAsia="Times New Roman" w:hAnsi="Times New Roman" w:cs="Times New Roman"/>
          <w:vanish/>
          <w:kern w:val="0"/>
          <w:sz w:val="24"/>
          <w:szCs w:val="24"/>
          <w14:ligatures w14:val="none"/>
        </w:rPr>
      </w:pPr>
      <w:r w:rsidRPr="004C238D">
        <w:rPr>
          <w:rFonts w:ascii="Times New Roman" w:eastAsia="Times New Roman" w:hAnsi="Times New Roman" w:cs="Times New Roman"/>
          <w:vanish/>
          <w:kern w:val="0"/>
          <w:sz w:val="24"/>
          <w:szCs w:val="24"/>
          <w14:ligatures w14:val="none"/>
        </w:rPr>
        <w:t>Top of Form</w:t>
      </w:r>
    </w:p>
    <w:p w14:paraId="2A197AA1" w14:textId="77777777" w:rsidR="004C238D" w:rsidRPr="004C238D" w:rsidRDefault="004C238D" w:rsidP="004C238D">
      <w:pPr>
        <w:pBdr>
          <w:top w:val="single" w:sz="6" w:space="1" w:color="auto"/>
        </w:pBdr>
        <w:spacing w:after="0" w:line="240" w:lineRule="auto"/>
        <w:jc w:val="center"/>
        <w:rPr>
          <w:rFonts w:ascii="Times New Roman" w:eastAsia="Times New Roman" w:hAnsi="Times New Roman" w:cs="Times New Roman"/>
          <w:vanish/>
          <w:kern w:val="0"/>
          <w:sz w:val="24"/>
          <w:szCs w:val="24"/>
          <w14:ligatures w14:val="none"/>
        </w:rPr>
      </w:pPr>
      <w:r w:rsidRPr="004C238D">
        <w:rPr>
          <w:rFonts w:ascii="Times New Roman" w:eastAsia="Times New Roman" w:hAnsi="Times New Roman" w:cs="Times New Roman"/>
          <w:vanish/>
          <w:kern w:val="0"/>
          <w:sz w:val="24"/>
          <w:szCs w:val="24"/>
          <w14:ligatures w14:val="none"/>
        </w:rPr>
        <w:t>Bottom of Form</w:t>
      </w:r>
    </w:p>
    <w:p w14:paraId="1E4FCC40" w14:textId="77777777" w:rsidR="00A523AA" w:rsidRPr="00A523AA" w:rsidRDefault="00A523AA" w:rsidP="00A523A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23AA">
        <w:rPr>
          <w:rFonts w:ascii="Times New Roman" w:eastAsia="Times New Roman" w:hAnsi="Times New Roman" w:cs="Times New Roman"/>
          <w:b/>
          <w:bCs/>
          <w:kern w:val="0"/>
          <w:sz w:val="27"/>
          <w:szCs w:val="27"/>
          <w14:ligatures w14:val="none"/>
        </w:rPr>
        <w:t>Chapter 18: Israel’s Role and Impact on Peace Efforts</w:t>
      </w:r>
    </w:p>
    <w:p w14:paraId="765B77CE"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Introduction: The Dual Role of Israel in Peace Processes</w:t>
      </w:r>
    </w:p>
    <w:p w14:paraId="2E1021C2" w14:textId="77777777" w:rsidR="00A523AA" w:rsidRPr="00A523AA" w:rsidRDefault="00A523AA" w:rsidP="00A523A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kern w:val="0"/>
          <w:sz w:val="24"/>
          <w:szCs w:val="24"/>
          <w14:ligatures w14:val="none"/>
        </w:rPr>
        <w:t xml:space="preserve">The Israeli-Palestinian conflict is one of the most enduring and complex conflicts in modern history. Israel's role in this conflict has been multifaceted, involving both efforts toward peace and actions perceived as obstacles to peace. This chapter explores Israel’s dual role, from its </w:t>
      </w:r>
      <w:r w:rsidRPr="00A523AA">
        <w:rPr>
          <w:rFonts w:ascii="Times New Roman" w:eastAsia="Times New Roman" w:hAnsi="Times New Roman" w:cs="Times New Roman"/>
          <w:kern w:val="0"/>
          <w:sz w:val="24"/>
          <w:szCs w:val="24"/>
          <w14:ligatures w14:val="none"/>
        </w:rPr>
        <w:lastRenderedPageBreak/>
        <w:t>early years focused on security and survival to its engagement in peace initiatives and the challenges that have shaped the Israeli-Palestinian landscape. By examining internal and external factors, we assess Israel's impact on peace efforts, its evolving strategies, and its potential future role in resolving the conflict.</w:t>
      </w:r>
    </w:p>
    <w:p w14:paraId="3BEBD622"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Complex Identity in Peace Efforts</w:t>
      </w:r>
    </w:p>
    <w:p w14:paraId="6182BB34" w14:textId="77777777" w:rsidR="00A523AA" w:rsidRPr="00A523AA" w:rsidRDefault="00A523AA" w:rsidP="00A523AA">
      <w:pPr>
        <w:numPr>
          <w:ilvl w:val="0"/>
          <w:numId w:val="3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Participant and Obstacle</w:t>
      </w:r>
      <w:r w:rsidRPr="00A523AA">
        <w:rPr>
          <w:rFonts w:ascii="Times New Roman" w:eastAsia="Times New Roman" w:hAnsi="Times New Roman" w:cs="Times New Roman"/>
          <w:kern w:val="0"/>
          <w:sz w:val="24"/>
          <w:szCs w:val="24"/>
          <w14:ligatures w14:val="none"/>
        </w:rPr>
        <w:t>: Israel has played a dual role in the peace process: a proactive participant in peace negotiations and initiatives, while also taking actions—such as settlement expansion and military operations—that many see as obstacles to lasting peace. This duality reflects Israel’s complex identity, shaped by its historical experiences, security concerns, and domestic political dynamics.</w:t>
      </w:r>
    </w:p>
    <w:p w14:paraId="6F54A676" w14:textId="77777777" w:rsidR="00A523AA" w:rsidRPr="00A523AA" w:rsidRDefault="00A523AA" w:rsidP="00A523AA">
      <w:pPr>
        <w:numPr>
          <w:ilvl w:val="0"/>
          <w:numId w:val="3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Diverse Perspectives on Israel’s Role</w:t>
      </w:r>
      <w:r w:rsidRPr="00A523AA">
        <w:rPr>
          <w:rFonts w:ascii="Times New Roman" w:eastAsia="Times New Roman" w:hAnsi="Times New Roman" w:cs="Times New Roman"/>
          <w:kern w:val="0"/>
          <w:sz w:val="24"/>
          <w:szCs w:val="24"/>
          <w14:ligatures w14:val="none"/>
        </w:rPr>
        <w:t>: Within Israel, there are diverse perspectives on its involvement in the peace process. Some Israelis support a two-state solution and advocate for compromise, while others prioritize security and territorial integrity. Internationally, Israel’s role is viewed through various lenses: some see Israel as a democratic state defending itself against existential threats, while others criticize its policies as contributing to the ongoing conflict. This complexity requires a nuanced exploration of Israel's actions, policies, and motivations.</w:t>
      </w:r>
    </w:p>
    <w:p w14:paraId="1D82DE47"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Israel's Early Years: Security and Survival</w:t>
      </w:r>
    </w:p>
    <w:p w14:paraId="4096025D" w14:textId="77777777" w:rsidR="00A523AA" w:rsidRPr="00A523AA" w:rsidRDefault="00A523AA" w:rsidP="00A523AA">
      <w:pPr>
        <w:numPr>
          <w:ilvl w:val="0"/>
          <w:numId w:val="3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Post-Independence Challenges (1948-1967)</w:t>
      </w:r>
      <w:r w:rsidRPr="00A523AA">
        <w:rPr>
          <w:rFonts w:ascii="Times New Roman" w:eastAsia="Times New Roman" w:hAnsi="Times New Roman" w:cs="Times New Roman"/>
          <w:kern w:val="0"/>
          <w:sz w:val="24"/>
          <w:szCs w:val="24"/>
          <w14:ligatures w14:val="none"/>
        </w:rPr>
        <w:t>: Following its declaration of independence in 1948, Israel faced a state of perpetual conflict with its Arab neighbors, who refused to recognize its legitimacy. The 1948 War of Independence established Israel's borders but also led to the displacement of hundreds of thousands of Palestinians. In the years that followed, Israel faced constant threats, including cross-border raids, military skirmishes, and economic blockades, shaping its strategic thinking with an emphasis on security and survival.</w:t>
      </w:r>
    </w:p>
    <w:p w14:paraId="55E588F1" w14:textId="77777777" w:rsidR="00A523AA" w:rsidRPr="00A523AA" w:rsidRDefault="00A523AA" w:rsidP="00A523AA">
      <w:pPr>
        <w:numPr>
          <w:ilvl w:val="0"/>
          <w:numId w:val="3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Impact of the 1948 War and Subsequent Conflicts</w:t>
      </w:r>
      <w:r w:rsidRPr="00A523AA">
        <w:rPr>
          <w:rFonts w:ascii="Times New Roman" w:eastAsia="Times New Roman" w:hAnsi="Times New Roman" w:cs="Times New Roman"/>
          <w:kern w:val="0"/>
          <w:sz w:val="24"/>
          <w:szCs w:val="24"/>
          <w14:ligatures w14:val="none"/>
        </w:rPr>
        <w:t>: The 1948 War and subsequent conflicts, such as the 1956 Suez Crisis and the 1967 Six-Day War, reinforced Israel’s perception of being surrounded by hostile enemies. These wars also brought millions of Palestinians under Israeli control, complicating the peace process and raising new challenges for coexistence.</w:t>
      </w:r>
    </w:p>
    <w:p w14:paraId="61C3799D"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Nation-Building and Military Doctrine</w:t>
      </w:r>
    </w:p>
    <w:p w14:paraId="231D63BD" w14:textId="77777777" w:rsidR="00A523AA" w:rsidRPr="00A523AA" w:rsidRDefault="00A523AA" w:rsidP="00A523AA">
      <w:pPr>
        <w:numPr>
          <w:ilvl w:val="0"/>
          <w:numId w:val="3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Development of Military Doctrine</w:t>
      </w:r>
      <w:r w:rsidRPr="00A523AA">
        <w:rPr>
          <w:rFonts w:ascii="Times New Roman" w:eastAsia="Times New Roman" w:hAnsi="Times New Roman" w:cs="Times New Roman"/>
          <w:kern w:val="0"/>
          <w:sz w:val="24"/>
          <w:szCs w:val="24"/>
          <w14:ligatures w14:val="none"/>
        </w:rPr>
        <w:t>: To ensure its survival, Israel developed a military doctrine combining deterrence with preemptive defense. This doctrine relied on maintaining a qualitative military edge and rapid mobilization, while also being ready to strike preemptively when facing imminent threats. While ensuring Israel’s security, this posture created tensions with its neighbors and influenced its approach to peace negotiations.</w:t>
      </w:r>
    </w:p>
    <w:p w14:paraId="39880C1F" w14:textId="77777777" w:rsidR="00A523AA" w:rsidRPr="00A523AA" w:rsidRDefault="00A523AA" w:rsidP="00A523AA">
      <w:pPr>
        <w:numPr>
          <w:ilvl w:val="0"/>
          <w:numId w:val="3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Influence on Peace Efforts</w:t>
      </w:r>
      <w:r w:rsidRPr="00A523AA">
        <w:rPr>
          <w:rFonts w:ascii="Times New Roman" w:eastAsia="Times New Roman" w:hAnsi="Times New Roman" w:cs="Times New Roman"/>
          <w:kern w:val="0"/>
          <w:sz w:val="24"/>
          <w:szCs w:val="24"/>
          <w14:ligatures w14:val="none"/>
        </w:rPr>
        <w:t xml:space="preserve">: Israel's focus on security and military strength has profoundly impacted its approach to peace. While these concerns have driven Israel to seek peace agreements to prevent further conflicts, they have also led to actions perceived </w:t>
      </w:r>
      <w:r w:rsidRPr="00A523AA">
        <w:rPr>
          <w:rFonts w:ascii="Times New Roman" w:eastAsia="Times New Roman" w:hAnsi="Times New Roman" w:cs="Times New Roman"/>
          <w:kern w:val="0"/>
          <w:sz w:val="24"/>
          <w:szCs w:val="24"/>
          <w14:ligatures w14:val="none"/>
        </w:rPr>
        <w:lastRenderedPageBreak/>
        <w:t>as provocative, such as settlement expansion, military operations, and strict security measures.</w:t>
      </w:r>
    </w:p>
    <w:p w14:paraId="3345DF86"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Israel’s Peace Initiatives and Agreements</w:t>
      </w:r>
    </w:p>
    <w:p w14:paraId="1A9CDE7D" w14:textId="77777777" w:rsidR="00A523AA" w:rsidRPr="00A523AA" w:rsidRDefault="00A523AA" w:rsidP="00A523AA">
      <w:pPr>
        <w:numPr>
          <w:ilvl w:val="0"/>
          <w:numId w:val="3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Camp David Accords (1978)</w:t>
      </w:r>
      <w:r w:rsidRPr="00A523AA">
        <w:rPr>
          <w:rFonts w:ascii="Times New Roman" w:eastAsia="Times New Roman" w:hAnsi="Times New Roman" w:cs="Times New Roman"/>
          <w:kern w:val="0"/>
          <w:sz w:val="24"/>
          <w:szCs w:val="24"/>
          <w14:ligatures w14:val="none"/>
        </w:rPr>
        <w:t xml:space="preserve">: The Camp David Accords, brokered by U.S. President Jimmy Carter, led to a peace treaty between Israel and Egypt in 1979, marking Egypt as the first Arab state to officially recognize Israel. This agreement demonstrated Israel's willingness to make territorial concessions in exchange for peace, setting a precedent for future negotiations. However, it also highlighted the limitations of bilateral agreements that did not address the broader </w:t>
      </w:r>
      <w:proofErr w:type="gramStart"/>
      <w:r w:rsidRPr="00A523AA">
        <w:rPr>
          <w:rFonts w:ascii="Times New Roman" w:eastAsia="Times New Roman" w:hAnsi="Times New Roman" w:cs="Times New Roman"/>
          <w:kern w:val="0"/>
          <w:sz w:val="24"/>
          <w:szCs w:val="24"/>
          <w14:ligatures w14:val="none"/>
        </w:rPr>
        <w:t>Arab-Israeli</w:t>
      </w:r>
      <w:proofErr w:type="gramEnd"/>
      <w:r w:rsidRPr="00A523AA">
        <w:rPr>
          <w:rFonts w:ascii="Times New Roman" w:eastAsia="Times New Roman" w:hAnsi="Times New Roman" w:cs="Times New Roman"/>
          <w:kern w:val="0"/>
          <w:sz w:val="24"/>
          <w:szCs w:val="24"/>
          <w14:ligatures w14:val="none"/>
        </w:rPr>
        <w:t xml:space="preserve"> conflict.</w:t>
      </w:r>
    </w:p>
    <w:p w14:paraId="0F102DD7" w14:textId="77777777" w:rsidR="00A523AA" w:rsidRPr="00A523AA" w:rsidRDefault="00A523AA" w:rsidP="00A523AA">
      <w:pPr>
        <w:numPr>
          <w:ilvl w:val="0"/>
          <w:numId w:val="3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Oslo Accords (1993)</w:t>
      </w:r>
      <w:r w:rsidRPr="00A523AA">
        <w:rPr>
          <w:rFonts w:ascii="Times New Roman" w:eastAsia="Times New Roman" w:hAnsi="Times New Roman" w:cs="Times New Roman"/>
          <w:kern w:val="0"/>
          <w:sz w:val="24"/>
          <w:szCs w:val="24"/>
          <w14:ligatures w14:val="none"/>
        </w:rPr>
        <w:t>: The Oslo Accords represented the first direct negotiations between Israel and the Palestine Liberation Organization (PLO) and established a framework for a two-state solution. While initially seen as a breakthrough, the Oslo Accords faced numerous challenges, including opposition from extremist factions, violence, and continued settlement expansion, leading to a mixed legacy of hope and frustration.</w:t>
      </w:r>
    </w:p>
    <w:p w14:paraId="7ABB4F11" w14:textId="77777777" w:rsidR="00A523AA" w:rsidRPr="00A523AA" w:rsidRDefault="00A523AA" w:rsidP="00A523AA">
      <w:pPr>
        <w:numPr>
          <w:ilvl w:val="0"/>
          <w:numId w:val="3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Peace with Jordan (1994)</w:t>
      </w:r>
      <w:r w:rsidRPr="00A523AA">
        <w:rPr>
          <w:rFonts w:ascii="Times New Roman" w:eastAsia="Times New Roman" w:hAnsi="Times New Roman" w:cs="Times New Roman"/>
          <w:kern w:val="0"/>
          <w:sz w:val="24"/>
          <w:szCs w:val="24"/>
          <w14:ligatures w14:val="none"/>
        </w:rPr>
        <w:t>: The 1994 peace treaty between Israel and Jordan normalized relations and addressed issues such as water sharing and security cooperation. However, like the peace with Egypt, it did not comprehensively address the Palestinian issue, and Jordan continued to advocate for a viable Palestinian state.</w:t>
      </w:r>
    </w:p>
    <w:p w14:paraId="7ED547B1"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Barriers to Peace: Israeli Policies and Actions</w:t>
      </w:r>
    </w:p>
    <w:p w14:paraId="572C4FB4" w14:textId="77777777" w:rsidR="00A523AA" w:rsidRPr="00A523AA" w:rsidRDefault="00A523AA" w:rsidP="00A523AA">
      <w:pPr>
        <w:numPr>
          <w:ilvl w:val="0"/>
          <w:numId w:val="3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Settlement Expansion in the West Bank</w:t>
      </w:r>
      <w:r w:rsidRPr="00A523AA">
        <w:rPr>
          <w:rFonts w:ascii="Times New Roman" w:eastAsia="Times New Roman" w:hAnsi="Times New Roman" w:cs="Times New Roman"/>
          <w:kern w:val="0"/>
          <w:sz w:val="24"/>
          <w:szCs w:val="24"/>
          <w14:ligatures w14:val="none"/>
        </w:rPr>
        <w:t>: Since the 1967 war, Israel has pursued settlement expansion in the West Bank, citing historical, religious, and security reasons. The continued growth of settlements is viewed by Palestinians and much of the international community as a significant obstacle to peace, eroding trust and complicating efforts to negotiate a two-state solution.</w:t>
      </w:r>
    </w:p>
    <w:p w14:paraId="59FA96B6" w14:textId="77777777" w:rsidR="00A523AA" w:rsidRPr="00A523AA" w:rsidRDefault="00A523AA" w:rsidP="00A523AA">
      <w:pPr>
        <w:numPr>
          <w:ilvl w:val="0"/>
          <w:numId w:val="3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Security Measures and Border Controls</w:t>
      </w:r>
      <w:r w:rsidRPr="00A523AA">
        <w:rPr>
          <w:rFonts w:ascii="Times New Roman" w:eastAsia="Times New Roman" w:hAnsi="Times New Roman" w:cs="Times New Roman"/>
          <w:kern w:val="0"/>
          <w:sz w:val="24"/>
          <w:szCs w:val="24"/>
          <w14:ligatures w14:val="none"/>
        </w:rPr>
        <w:t>: In response to terrorism and violence, Israel has implemented security measures, such as constructing a separation barrier, military checkpoints, and strict border controls. While effective in reducing attacks, these measures have severe economic and humanitarian impacts on Palestinian communities, contributing to resentment and undermining prospects for peace.</w:t>
      </w:r>
    </w:p>
    <w:p w14:paraId="7D74BAA6" w14:textId="77777777" w:rsidR="00A523AA" w:rsidRPr="00A523AA" w:rsidRDefault="00A523AA" w:rsidP="00A523AA">
      <w:pPr>
        <w:numPr>
          <w:ilvl w:val="0"/>
          <w:numId w:val="3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Responses to Palestinian Terrorism</w:t>
      </w:r>
      <w:r w:rsidRPr="00A523AA">
        <w:rPr>
          <w:rFonts w:ascii="Times New Roman" w:eastAsia="Times New Roman" w:hAnsi="Times New Roman" w:cs="Times New Roman"/>
          <w:kern w:val="0"/>
          <w:sz w:val="24"/>
          <w:szCs w:val="24"/>
          <w14:ligatures w14:val="none"/>
        </w:rPr>
        <w:t>: Israel has responded to terrorism with military operations, targeted assassinations, and political measures. While these actions have neutralized immediate threats, they have often led to cycles of violence, with both sides retaliating, further complicating peace efforts.</w:t>
      </w:r>
    </w:p>
    <w:p w14:paraId="02298026"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Internal Israeli Politics and the Peace Process</w:t>
      </w:r>
    </w:p>
    <w:p w14:paraId="0D25DF70" w14:textId="77777777" w:rsidR="00A523AA" w:rsidRPr="00A523AA" w:rsidRDefault="00A523AA" w:rsidP="00A523AA">
      <w:pPr>
        <w:numPr>
          <w:ilvl w:val="0"/>
          <w:numId w:val="3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Political Fragmentation and Shifts</w:t>
      </w:r>
      <w:r w:rsidRPr="00A523AA">
        <w:rPr>
          <w:rFonts w:ascii="Times New Roman" w:eastAsia="Times New Roman" w:hAnsi="Times New Roman" w:cs="Times New Roman"/>
          <w:kern w:val="0"/>
          <w:sz w:val="24"/>
          <w:szCs w:val="24"/>
          <w14:ligatures w14:val="none"/>
        </w:rPr>
        <w:t>: Israel's fragmented political landscape, with numerous parties representing diverse ideological and religious constituencies, often results in coalition governments that balance competing interests. This internal division has contributed to policy inconsistency and shifting positions on the peace process.</w:t>
      </w:r>
    </w:p>
    <w:p w14:paraId="00F996EC" w14:textId="77777777" w:rsidR="00A523AA" w:rsidRPr="00A523AA" w:rsidRDefault="00A523AA" w:rsidP="00A523AA">
      <w:pPr>
        <w:numPr>
          <w:ilvl w:val="0"/>
          <w:numId w:val="3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Impact of Public Opinion</w:t>
      </w:r>
      <w:r w:rsidRPr="00A523AA">
        <w:rPr>
          <w:rFonts w:ascii="Times New Roman" w:eastAsia="Times New Roman" w:hAnsi="Times New Roman" w:cs="Times New Roman"/>
          <w:kern w:val="0"/>
          <w:sz w:val="24"/>
          <w:szCs w:val="24"/>
          <w14:ligatures w14:val="none"/>
        </w:rPr>
        <w:t>: Public opinion in Israel significantly influences government policies on peace. The Israeli public is divided on the issue, with some supporting a two-</w:t>
      </w:r>
      <w:r w:rsidRPr="00A523AA">
        <w:rPr>
          <w:rFonts w:ascii="Times New Roman" w:eastAsia="Times New Roman" w:hAnsi="Times New Roman" w:cs="Times New Roman"/>
          <w:kern w:val="0"/>
          <w:sz w:val="24"/>
          <w:szCs w:val="24"/>
          <w14:ligatures w14:val="none"/>
        </w:rPr>
        <w:lastRenderedPageBreak/>
        <w:t>state solution and others advocating for annexation or maintaining the status quo. Security concerns, demographic changes, and leadership shape public sentiment.</w:t>
      </w:r>
    </w:p>
    <w:p w14:paraId="021F8DEE"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Israel's Regional Peace Strategies</w:t>
      </w:r>
    </w:p>
    <w:p w14:paraId="0F94A282" w14:textId="77777777" w:rsidR="00A523AA" w:rsidRPr="00A523AA" w:rsidRDefault="00A523AA" w:rsidP="00A523AA">
      <w:pPr>
        <w:numPr>
          <w:ilvl w:val="0"/>
          <w:numId w:val="3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 xml:space="preserve">Normalization Agreements (2020 and </w:t>
      </w:r>
      <w:proofErr w:type="gramStart"/>
      <w:r w:rsidRPr="00A523AA">
        <w:rPr>
          <w:rFonts w:ascii="Times New Roman" w:eastAsia="Times New Roman" w:hAnsi="Times New Roman" w:cs="Times New Roman"/>
          <w:b/>
          <w:bCs/>
          <w:kern w:val="0"/>
          <w:sz w:val="24"/>
          <w:szCs w:val="24"/>
          <w14:ligatures w14:val="none"/>
        </w:rPr>
        <w:t>Beyond</w:t>
      </w:r>
      <w:proofErr w:type="gramEnd"/>
      <w:r w:rsidRPr="00A523AA">
        <w:rPr>
          <w:rFonts w:ascii="Times New Roman" w:eastAsia="Times New Roman" w:hAnsi="Times New Roman" w:cs="Times New Roman"/>
          <w:b/>
          <w:bCs/>
          <w:kern w:val="0"/>
          <w:sz w:val="24"/>
          <w:szCs w:val="24"/>
          <w14:ligatures w14:val="none"/>
        </w:rPr>
        <w:t>)</w:t>
      </w:r>
      <w:r w:rsidRPr="00A523AA">
        <w:rPr>
          <w:rFonts w:ascii="Times New Roman" w:eastAsia="Times New Roman" w:hAnsi="Times New Roman" w:cs="Times New Roman"/>
          <w:kern w:val="0"/>
          <w:sz w:val="24"/>
          <w:szCs w:val="24"/>
          <w14:ligatures w14:val="none"/>
        </w:rPr>
        <w:t>: The Abraham Accords normalized diplomatic and economic relations between Israel and several Arab states, marking a shift in regional dynamics. While these agreements strengthen Israel’s regional standing, they have raised concerns among Palestinians, who fear their cause is being sidelined.</w:t>
      </w:r>
    </w:p>
    <w:p w14:paraId="542B1265" w14:textId="77777777" w:rsidR="00A523AA" w:rsidRPr="00A523AA" w:rsidRDefault="00A523AA" w:rsidP="00A523AA">
      <w:pPr>
        <w:numPr>
          <w:ilvl w:val="0"/>
          <w:numId w:val="3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Indirect Channels of Peace</w:t>
      </w:r>
      <w:r w:rsidRPr="00A523AA">
        <w:rPr>
          <w:rFonts w:ascii="Times New Roman" w:eastAsia="Times New Roman" w:hAnsi="Times New Roman" w:cs="Times New Roman"/>
          <w:kern w:val="0"/>
          <w:sz w:val="24"/>
          <w:szCs w:val="24"/>
          <w14:ligatures w14:val="none"/>
        </w:rPr>
        <w:t>: Israel has engaged in back-channel diplomacy and indirect negotiations with various actors, building trust and exploring creative solutions. These efforts have been crucial in preparing for formal peace negotiations, but their impact remains limited without addressing core issues.</w:t>
      </w:r>
    </w:p>
    <w:p w14:paraId="136D7F57"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International Relations and the Peace Process</w:t>
      </w:r>
    </w:p>
    <w:p w14:paraId="6ABAED7E" w14:textId="77777777" w:rsidR="00A523AA" w:rsidRPr="00A523AA" w:rsidRDefault="00A523AA" w:rsidP="00A523AA">
      <w:pPr>
        <w:numPr>
          <w:ilvl w:val="0"/>
          <w:numId w:val="3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Role of the United States and Other Powers</w:t>
      </w:r>
      <w:r w:rsidRPr="00A523AA">
        <w:rPr>
          <w:rFonts w:ascii="Times New Roman" w:eastAsia="Times New Roman" w:hAnsi="Times New Roman" w:cs="Times New Roman"/>
          <w:kern w:val="0"/>
          <w:sz w:val="24"/>
          <w:szCs w:val="24"/>
          <w14:ligatures w14:val="none"/>
        </w:rPr>
        <w:t>: The United States has played a central role in mediating peace efforts, providing support to Israel while facilitating negotiations. Other international actors, such as the European Union and the United Nations, have also advocated for a two-state solution.</w:t>
      </w:r>
    </w:p>
    <w:p w14:paraId="2035E027" w14:textId="77777777" w:rsidR="00A523AA" w:rsidRPr="00A523AA" w:rsidRDefault="00A523AA" w:rsidP="00A523AA">
      <w:pPr>
        <w:numPr>
          <w:ilvl w:val="0"/>
          <w:numId w:val="3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Obstacles and Missed Opportunities for Peace</w:t>
      </w:r>
      <w:r w:rsidRPr="00A523AA">
        <w:rPr>
          <w:rFonts w:ascii="Times New Roman" w:eastAsia="Times New Roman" w:hAnsi="Times New Roman" w:cs="Times New Roman"/>
          <w:kern w:val="0"/>
          <w:sz w:val="24"/>
          <w:szCs w:val="24"/>
          <w14:ligatures w14:val="none"/>
        </w:rPr>
        <w:t>: Several key moments in the peace process have seen negotiations break down due to mistrust, unmet expectations, or external events. Missed opportunities for regional integration and deeper engagement have also limited progress.</w:t>
      </w:r>
    </w:p>
    <w:p w14:paraId="4DE508CA"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Efforts Toward Peace and Coexistence</w:t>
      </w:r>
    </w:p>
    <w:p w14:paraId="668F184E" w14:textId="77777777" w:rsidR="00A523AA" w:rsidRPr="00A523AA" w:rsidRDefault="00A523AA" w:rsidP="00A523AA">
      <w:pPr>
        <w:numPr>
          <w:ilvl w:val="0"/>
          <w:numId w:val="3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Grassroots Movements and Civil Society Initiatives</w:t>
      </w:r>
      <w:r w:rsidRPr="00A523AA">
        <w:rPr>
          <w:rFonts w:ascii="Times New Roman" w:eastAsia="Times New Roman" w:hAnsi="Times New Roman" w:cs="Times New Roman"/>
          <w:kern w:val="0"/>
          <w:sz w:val="24"/>
          <w:szCs w:val="24"/>
          <w14:ligatures w14:val="none"/>
        </w:rPr>
        <w:t>: Israeli NGOs, peace activists, and grassroots movements have worked to promote coexistence, dialogue, and mutual understanding. These initiatives demonstrate the potential for civil society to contribute to the peace process.</w:t>
      </w:r>
    </w:p>
    <w:p w14:paraId="1AA449E5" w14:textId="77777777" w:rsidR="00A523AA" w:rsidRPr="00A523AA" w:rsidRDefault="00A523AA" w:rsidP="00A523AA">
      <w:pPr>
        <w:numPr>
          <w:ilvl w:val="0"/>
          <w:numId w:val="3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Proposals for a Lasting Peace</w:t>
      </w:r>
      <w:r w:rsidRPr="00A523AA">
        <w:rPr>
          <w:rFonts w:ascii="Times New Roman" w:eastAsia="Times New Roman" w:hAnsi="Times New Roman" w:cs="Times New Roman"/>
          <w:kern w:val="0"/>
          <w:sz w:val="24"/>
          <w:szCs w:val="24"/>
          <w14:ligatures w14:val="none"/>
        </w:rPr>
        <w:t>: Israel has proposed various peace initiatives, including land swaps, security arrangements, and economic incentives. While many proposals have faced resistance or skepticism, they highlight the need for continued creativity and flexibility in peace negotiations.</w:t>
      </w:r>
    </w:p>
    <w:p w14:paraId="2BB39CB3" w14:textId="77777777" w:rsidR="00A523AA" w:rsidRPr="00A523AA" w:rsidRDefault="00A523AA" w:rsidP="00A523A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523AA">
        <w:rPr>
          <w:rFonts w:ascii="Times New Roman" w:eastAsia="Times New Roman" w:hAnsi="Times New Roman" w:cs="Times New Roman"/>
          <w:b/>
          <w:bCs/>
          <w:kern w:val="0"/>
          <w:sz w:val="24"/>
          <w:szCs w:val="24"/>
          <w14:ligatures w14:val="none"/>
        </w:rPr>
        <w:t>Conclusion: Israel's Complex Role in the Quest for Peace</w:t>
      </w:r>
    </w:p>
    <w:p w14:paraId="248F55F2" w14:textId="77777777" w:rsidR="00A523AA" w:rsidRPr="00A523AA" w:rsidRDefault="00A523AA" w:rsidP="00A523AA">
      <w:pPr>
        <w:numPr>
          <w:ilvl w:val="0"/>
          <w:numId w:val="3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Balancing Security and Peace</w:t>
      </w:r>
      <w:r w:rsidRPr="00A523AA">
        <w:rPr>
          <w:rFonts w:ascii="Times New Roman" w:eastAsia="Times New Roman" w:hAnsi="Times New Roman" w:cs="Times New Roman"/>
          <w:kern w:val="0"/>
          <w:sz w:val="24"/>
          <w:szCs w:val="24"/>
          <w14:ligatures w14:val="none"/>
        </w:rPr>
        <w:t>: Israel’s role in the peace process is marked by a balancing act between security needs and the desire for peace. Understanding this role requires recognizing its security concerns, historical experiences, and domestic pressures, as well as acknowledging the impact of its policies on prospects for peace.</w:t>
      </w:r>
    </w:p>
    <w:p w14:paraId="29E0F35E" w14:textId="77777777" w:rsidR="00A523AA" w:rsidRPr="00A523AA" w:rsidRDefault="00A523AA" w:rsidP="00A523AA">
      <w:pPr>
        <w:numPr>
          <w:ilvl w:val="0"/>
          <w:numId w:val="3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t>Path Forward: Recommendations for Enhancing Israel's Role in Peace Efforts</w:t>
      </w:r>
      <w:r w:rsidRPr="00A523AA">
        <w:rPr>
          <w:rFonts w:ascii="Times New Roman" w:eastAsia="Times New Roman" w:hAnsi="Times New Roman" w:cs="Times New Roman"/>
          <w:kern w:val="0"/>
          <w:sz w:val="24"/>
          <w:szCs w:val="24"/>
          <w14:ligatures w14:val="none"/>
        </w:rPr>
        <w:t>: To enhance its role, Israel could consider policy shifts that prioritize de-escalation, freeze settlement expansion, and invest in Palestinian economic development. Renewed dialogue, both formal and informal, with Palestinian leaders and regional partners, could help rebuild trust.</w:t>
      </w:r>
    </w:p>
    <w:p w14:paraId="35E51772" w14:textId="77777777" w:rsidR="00A523AA" w:rsidRPr="00A523AA" w:rsidRDefault="00A523AA" w:rsidP="00A523AA">
      <w:pPr>
        <w:numPr>
          <w:ilvl w:val="0"/>
          <w:numId w:val="3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23AA">
        <w:rPr>
          <w:rFonts w:ascii="Times New Roman" w:eastAsia="Times New Roman" w:hAnsi="Times New Roman" w:cs="Times New Roman"/>
          <w:b/>
          <w:bCs/>
          <w:kern w:val="0"/>
          <w:sz w:val="24"/>
          <w:szCs w:val="24"/>
          <w14:ligatures w14:val="none"/>
        </w:rPr>
        <w:lastRenderedPageBreak/>
        <w:t>Hope for the Future</w:t>
      </w:r>
      <w:r w:rsidRPr="00A523AA">
        <w:rPr>
          <w:rFonts w:ascii="Times New Roman" w:eastAsia="Times New Roman" w:hAnsi="Times New Roman" w:cs="Times New Roman"/>
          <w:kern w:val="0"/>
          <w:sz w:val="24"/>
          <w:szCs w:val="24"/>
          <w14:ligatures w14:val="none"/>
        </w:rPr>
        <w:t>: Despite the challenges, there remains potential for peace if both sides are willing to compromise, build trust, and cooperate. Grassroots movements, civil society, and regional partners can foster dialogue and understanding, while international actors provide support and pressure for meaningful negotiations. The path to peace is challenging but achievable through sustained commitment and a shared vision for a better future.</w:t>
      </w:r>
    </w:p>
    <w:p w14:paraId="352C8590" w14:textId="77777777" w:rsidR="002433E6" w:rsidRPr="00A02D37" w:rsidRDefault="002433E6" w:rsidP="002433E6">
      <w:pPr>
        <w:pBdr>
          <w:bottom w:val="single" w:sz="6" w:space="1" w:color="auto"/>
        </w:pBdr>
        <w:spacing w:after="0" w:line="240" w:lineRule="auto"/>
        <w:jc w:val="center"/>
        <w:rPr>
          <w:rFonts w:ascii="Times New Roman" w:eastAsia="Times New Roman" w:hAnsi="Times New Roman" w:cs="Times New Roman"/>
          <w:vanish/>
          <w:kern w:val="0"/>
          <w:sz w:val="24"/>
          <w:szCs w:val="24"/>
          <w14:ligatures w14:val="none"/>
        </w:rPr>
      </w:pPr>
      <w:r w:rsidRPr="00A02D37">
        <w:rPr>
          <w:rFonts w:ascii="Times New Roman" w:eastAsia="Times New Roman" w:hAnsi="Times New Roman" w:cs="Times New Roman"/>
          <w:vanish/>
          <w:kern w:val="0"/>
          <w:sz w:val="24"/>
          <w:szCs w:val="24"/>
          <w14:ligatures w14:val="none"/>
        </w:rPr>
        <w:t>Top of Form</w:t>
      </w:r>
    </w:p>
    <w:p w14:paraId="080CAFF2" w14:textId="77777777" w:rsidR="002433E6" w:rsidRPr="00A02D37" w:rsidRDefault="002433E6" w:rsidP="002433E6">
      <w:pPr>
        <w:pBdr>
          <w:top w:val="single" w:sz="6" w:space="1" w:color="auto"/>
        </w:pBdr>
        <w:spacing w:after="0" w:line="240" w:lineRule="auto"/>
        <w:jc w:val="center"/>
        <w:rPr>
          <w:rFonts w:ascii="Times New Roman" w:eastAsia="Times New Roman" w:hAnsi="Times New Roman" w:cs="Times New Roman"/>
          <w:vanish/>
          <w:kern w:val="0"/>
          <w:sz w:val="24"/>
          <w:szCs w:val="24"/>
          <w14:ligatures w14:val="none"/>
        </w:rPr>
      </w:pPr>
      <w:r w:rsidRPr="00A02D37">
        <w:rPr>
          <w:rFonts w:ascii="Times New Roman" w:eastAsia="Times New Roman" w:hAnsi="Times New Roman" w:cs="Times New Roman"/>
          <w:vanish/>
          <w:kern w:val="0"/>
          <w:sz w:val="24"/>
          <w:szCs w:val="24"/>
          <w14:ligatures w14:val="none"/>
        </w:rPr>
        <w:t>Bottom of Form</w:t>
      </w:r>
    </w:p>
    <w:p w14:paraId="27777993" w14:textId="77777777" w:rsidR="005A38C1" w:rsidRPr="005A38C1" w:rsidRDefault="005A38C1" w:rsidP="005A38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38C1">
        <w:rPr>
          <w:rFonts w:ascii="Times New Roman" w:eastAsia="Times New Roman" w:hAnsi="Times New Roman" w:cs="Times New Roman"/>
          <w:b/>
          <w:bCs/>
          <w:kern w:val="0"/>
          <w:sz w:val="27"/>
          <w:szCs w:val="27"/>
          <w14:ligatures w14:val="none"/>
        </w:rPr>
        <w:t>Chapter 19: Israel’s Gaza Withdrawal and the Consequences</w:t>
      </w:r>
    </w:p>
    <w:p w14:paraId="2D7FC768"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Introduction</w:t>
      </w:r>
    </w:p>
    <w:p w14:paraId="1A11B3CE" w14:textId="77777777" w:rsidR="005A38C1" w:rsidRPr="005A38C1" w:rsidRDefault="005A38C1" w:rsidP="005A38C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kern w:val="0"/>
          <w:sz w:val="24"/>
          <w:szCs w:val="24"/>
          <w14:ligatures w14:val="none"/>
        </w:rPr>
        <w:t>The 2005 Israeli withdrawal from Gaza, known as the "Gaza Disengagement," was a pivotal moment in the Israeli-Palestinian conflict, with significant political, military, and humanitarian consequences. Initiated by Israeli Prime Minister Ariel Sharon, the decision to unilaterally withdraw all Israeli troops and dismantle settlements in Gaza aimed to reduce friction between Israelis and Palestinians and improve Israel’s security and international standing. However, the aftermath of the withdrawal was far from straightforward, resulting in complex outcomes that continue to impact the region today. This chapter examines the historical context of the withdrawal, the strategic calculations behind it, and its far-reaching consequences, including the humanitarian crisis in Gaza, the rise of Hamas, and the shifting dynamics of Israeli-Palestinian relations.</w:t>
      </w:r>
    </w:p>
    <w:p w14:paraId="342BA334"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Historical Context: Decision Behind Israel’s 2005 Withdrawal from Gaza</w:t>
      </w:r>
    </w:p>
    <w:p w14:paraId="0920D2AB" w14:textId="77777777" w:rsidR="005A38C1" w:rsidRPr="005A38C1" w:rsidRDefault="005A38C1" w:rsidP="005A38C1">
      <w:pPr>
        <w:numPr>
          <w:ilvl w:val="0"/>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Background to the Disengagement</w:t>
      </w:r>
      <w:r w:rsidRPr="005A38C1">
        <w:rPr>
          <w:rFonts w:ascii="Times New Roman" w:eastAsia="Times New Roman" w:hAnsi="Times New Roman" w:cs="Times New Roman"/>
          <w:kern w:val="0"/>
          <w:sz w:val="24"/>
          <w:szCs w:val="24"/>
          <w14:ligatures w14:val="none"/>
        </w:rPr>
        <w:t>:</w:t>
      </w:r>
    </w:p>
    <w:p w14:paraId="4B3E9641" w14:textId="77777777" w:rsidR="005A38C1" w:rsidRPr="005A38C1" w:rsidRDefault="005A38C1" w:rsidP="005A38C1">
      <w:pPr>
        <w:numPr>
          <w:ilvl w:val="1"/>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History of Israeli Presence in Gaza</w:t>
      </w:r>
      <w:r w:rsidRPr="005A38C1">
        <w:rPr>
          <w:rFonts w:ascii="Times New Roman" w:eastAsia="Times New Roman" w:hAnsi="Times New Roman" w:cs="Times New Roman"/>
          <w:kern w:val="0"/>
          <w:sz w:val="24"/>
          <w:szCs w:val="24"/>
          <w14:ligatures w14:val="none"/>
        </w:rPr>
        <w:t>: Israel captured the Gaza Strip from Egypt during the Six-Day War of 1967 and subsequently established several settlements in the territory. By 2005, approximately 8,000 Israeli settlers lived in 21 settlements in Gaza, amidst a Palestinian population of about 1.3 million. The Israeli military maintained a presence in Gaza to protect these settlements and counter militant groups, resulting in frequent clashes and heightened tension between Israelis and Palestinians.</w:t>
      </w:r>
    </w:p>
    <w:p w14:paraId="3B1714EE" w14:textId="77777777" w:rsidR="005A38C1" w:rsidRPr="005A38C1" w:rsidRDefault="005A38C1" w:rsidP="005A38C1">
      <w:pPr>
        <w:numPr>
          <w:ilvl w:val="1"/>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Escalation of Violence During the Second Intifada</w:t>
      </w:r>
      <w:r w:rsidRPr="005A38C1">
        <w:rPr>
          <w:rFonts w:ascii="Times New Roman" w:eastAsia="Times New Roman" w:hAnsi="Times New Roman" w:cs="Times New Roman"/>
          <w:kern w:val="0"/>
          <w:sz w:val="24"/>
          <w:szCs w:val="24"/>
          <w14:ligatures w14:val="none"/>
        </w:rPr>
        <w:t>: The Second Intifada (2000-2005) marked a period of intense violence, with Gaza being a focal point of the conflict. Palestinian militants launched numerous attacks against Israeli targets, including suicide bombings and rocket fire, while the Israeli military conducted raids, targeted killings, and operations to neutralize perceived threats. The violence led to significant casualties and increased security concerns within Israel, contributing to a perception that continued occupation of Gaza was unsustainable.</w:t>
      </w:r>
    </w:p>
    <w:p w14:paraId="7F8AB5B7" w14:textId="77777777" w:rsidR="005A38C1" w:rsidRPr="005A38C1" w:rsidRDefault="005A38C1" w:rsidP="005A38C1">
      <w:pPr>
        <w:numPr>
          <w:ilvl w:val="0"/>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Strategic Rationale Behind the Disengagement Plan</w:t>
      </w:r>
      <w:r w:rsidRPr="005A38C1">
        <w:rPr>
          <w:rFonts w:ascii="Times New Roman" w:eastAsia="Times New Roman" w:hAnsi="Times New Roman" w:cs="Times New Roman"/>
          <w:kern w:val="0"/>
          <w:sz w:val="24"/>
          <w:szCs w:val="24"/>
          <w14:ligatures w14:val="none"/>
        </w:rPr>
        <w:t>:</w:t>
      </w:r>
    </w:p>
    <w:p w14:paraId="076A23B9" w14:textId="77777777" w:rsidR="005A38C1" w:rsidRPr="005A38C1" w:rsidRDefault="005A38C1" w:rsidP="005A38C1">
      <w:pPr>
        <w:numPr>
          <w:ilvl w:val="1"/>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Ariel Sharon’s Policy Shift</w:t>
      </w:r>
      <w:r w:rsidRPr="005A38C1">
        <w:rPr>
          <w:rFonts w:ascii="Times New Roman" w:eastAsia="Times New Roman" w:hAnsi="Times New Roman" w:cs="Times New Roman"/>
          <w:kern w:val="0"/>
          <w:sz w:val="24"/>
          <w:szCs w:val="24"/>
          <w14:ligatures w14:val="none"/>
        </w:rPr>
        <w:t xml:space="preserve">: Ariel Sharon, a long-time advocate of Israeli settlement in Gaza and the West Bank, proposed the Gaza Disengagement Plan in December 2003. Sharon argued that the withdrawal would reduce Israel's security burden, improve its demographic position by separating from the densely populated Palestinian territory, and strengthen Israel's international standing by demonstrating its commitment to peace. The plan was also seen </w:t>
      </w:r>
      <w:proofErr w:type="gramStart"/>
      <w:r w:rsidRPr="005A38C1">
        <w:rPr>
          <w:rFonts w:ascii="Times New Roman" w:eastAsia="Times New Roman" w:hAnsi="Times New Roman" w:cs="Times New Roman"/>
          <w:kern w:val="0"/>
          <w:sz w:val="24"/>
          <w:szCs w:val="24"/>
          <w14:ligatures w14:val="none"/>
        </w:rPr>
        <w:t>as a way to</w:t>
      </w:r>
      <w:proofErr w:type="gramEnd"/>
      <w:r w:rsidRPr="005A38C1">
        <w:rPr>
          <w:rFonts w:ascii="Times New Roman" w:eastAsia="Times New Roman" w:hAnsi="Times New Roman" w:cs="Times New Roman"/>
          <w:kern w:val="0"/>
          <w:sz w:val="24"/>
          <w:szCs w:val="24"/>
          <w14:ligatures w14:val="none"/>
        </w:rPr>
        <w:t xml:space="preserve"> </w:t>
      </w:r>
      <w:r w:rsidRPr="005A38C1">
        <w:rPr>
          <w:rFonts w:ascii="Times New Roman" w:eastAsia="Times New Roman" w:hAnsi="Times New Roman" w:cs="Times New Roman"/>
          <w:kern w:val="0"/>
          <w:sz w:val="24"/>
          <w:szCs w:val="24"/>
          <w14:ligatures w14:val="none"/>
        </w:rPr>
        <w:lastRenderedPageBreak/>
        <w:t>"disengage" from an intractable conflict and to reassert Israel's right to unilaterally determine its borders.</w:t>
      </w:r>
    </w:p>
    <w:p w14:paraId="0DE9159A" w14:textId="77777777" w:rsidR="005A38C1" w:rsidRPr="005A38C1" w:rsidRDefault="005A38C1" w:rsidP="005A38C1">
      <w:pPr>
        <w:numPr>
          <w:ilvl w:val="1"/>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Unilateral Action Amid Stalled Negotiations</w:t>
      </w:r>
      <w:r w:rsidRPr="005A38C1">
        <w:rPr>
          <w:rFonts w:ascii="Times New Roman" w:eastAsia="Times New Roman" w:hAnsi="Times New Roman" w:cs="Times New Roman"/>
          <w:kern w:val="0"/>
          <w:sz w:val="24"/>
          <w:szCs w:val="24"/>
          <w14:ligatures w14:val="none"/>
        </w:rPr>
        <w:t>: The decision to withdraw unilaterally was partly a response to the failure of the Oslo Accords and subsequent peace initiatives. By 2005, peace negotiations between Israel and the Palestinian Authority (PA) were effectively stalled, with both sides blaming each other for the lack of progress. Sharon’s government concluded that a unilateral move would allow Israel to control its security situation and reduce international isolation, without waiting indefinitely for a negotiated agreement.</w:t>
      </w:r>
    </w:p>
    <w:p w14:paraId="41EE5A8F" w14:textId="77777777" w:rsidR="005A38C1" w:rsidRPr="005A38C1" w:rsidRDefault="005A38C1" w:rsidP="005A38C1">
      <w:pPr>
        <w:numPr>
          <w:ilvl w:val="0"/>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Implementation of the Gaza Disengagement</w:t>
      </w:r>
      <w:r w:rsidRPr="005A38C1">
        <w:rPr>
          <w:rFonts w:ascii="Times New Roman" w:eastAsia="Times New Roman" w:hAnsi="Times New Roman" w:cs="Times New Roman"/>
          <w:kern w:val="0"/>
          <w:sz w:val="24"/>
          <w:szCs w:val="24"/>
          <w14:ligatures w14:val="none"/>
        </w:rPr>
        <w:t>:</w:t>
      </w:r>
    </w:p>
    <w:p w14:paraId="701500D4" w14:textId="77777777" w:rsidR="005A38C1" w:rsidRPr="005A38C1" w:rsidRDefault="005A38C1" w:rsidP="005A38C1">
      <w:pPr>
        <w:numPr>
          <w:ilvl w:val="1"/>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Dismantling of Settlements and Military Evacuation</w:t>
      </w:r>
      <w:r w:rsidRPr="005A38C1">
        <w:rPr>
          <w:rFonts w:ascii="Times New Roman" w:eastAsia="Times New Roman" w:hAnsi="Times New Roman" w:cs="Times New Roman"/>
          <w:kern w:val="0"/>
          <w:sz w:val="24"/>
          <w:szCs w:val="24"/>
          <w14:ligatures w14:val="none"/>
        </w:rPr>
        <w:t>: In August 2005, Israel began dismantling all 21 Israeli settlements in Gaza and four settlements in the northern West Bank. Approximately 8,000 settlers were evacuated, and the Israeli Defense Forces (IDF) withdrew all military installations from Gaza. The evacuation, completed in September 2005, marked the end of 38 years of Israeli military presence in Gaza. The move was highly controversial within Israel, sparking political divisions and widespread protests, particularly among settlers and right-wing groups.</w:t>
      </w:r>
    </w:p>
    <w:p w14:paraId="70CDBFE5" w14:textId="77777777" w:rsidR="005A38C1" w:rsidRPr="005A38C1" w:rsidRDefault="005A38C1" w:rsidP="005A38C1">
      <w:pPr>
        <w:numPr>
          <w:ilvl w:val="1"/>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Handover to the Palestinian Authority and Subsequent Developments</w:t>
      </w:r>
      <w:r w:rsidRPr="005A38C1">
        <w:rPr>
          <w:rFonts w:ascii="Times New Roman" w:eastAsia="Times New Roman" w:hAnsi="Times New Roman" w:cs="Times New Roman"/>
          <w:kern w:val="0"/>
          <w:sz w:val="24"/>
          <w:szCs w:val="24"/>
          <w14:ligatures w14:val="none"/>
        </w:rPr>
        <w:t>: After the withdrawal, the Palestinian Authority, led by President Mahmoud Abbas, was tasked with taking control of Gaza. However, the PA faced significant challenges in establishing effective governance, partly due to internal political struggles with Hamas, a militant Islamist group opposed to recognizing Israel and any negotiated settlement. The PA’s inability to maintain security and provide services set the stage for further conflict.</w:t>
      </w:r>
    </w:p>
    <w:p w14:paraId="2047B033"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Consequences: Humanitarian Crisis and Political Fallout Following the Withdrawal</w:t>
      </w:r>
    </w:p>
    <w:p w14:paraId="793F5FAD" w14:textId="77777777" w:rsidR="005A38C1" w:rsidRPr="005A38C1" w:rsidRDefault="005A38C1" w:rsidP="005A38C1">
      <w:pPr>
        <w:numPr>
          <w:ilvl w:val="0"/>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Humanitarian Crisis in Gaza</w:t>
      </w:r>
      <w:r w:rsidRPr="005A38C1">
        <w:rPr>
          <w:rFonts w:ascii="Times New Roman" w:eastAsia="Times New Roman" w:hAnsi="Times New Roman" w:cs="Times New Roman"/>
          <w:kern w:val="0"/>
          <w:sz w:val="24"/>
          <w:szCs w:val="24"/>
          <w14:ligatures w14:val="none"/>
        </w:rPr>
        <w:t>:</w:t>
      </w:r>
    </w:p>
    <w:p w14:paraId="0F46772C" w14:textId="77777777" w:rsidR="005A38C1" w:rsidRPr="005A38C1" w:rsidRDefault="005A38C1" w:rsidP="005A38C1">
      <w:pPr>
        <w:numPr>
          <w:ilvl w:val="1"/>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Rise of Hamas and Internal Palestinian Conflict</w:t>
      </w:r>
      <w:r w:rsidRPr="005A38C1">
        <w:rPr>
          <w:rFonts w:ascii="Times New Roman" w:eastAsia="Times New Roman" w:hAnsi="Times New Roman" w:cs="Times New Roman"/>
          <w:kern w:val="0"/>
          <w:sz w:val="24"/>
          <w:szCs w:val="24"/>
          <w14:ligatures w14:val="none"/>
        </w:rPr>
        <w:t>: The withdrawal created a political vacuum in Gaza, quickly filled by Hamas, which gained support through its social service networks and reputation for resisting Israeli occupation. In the 2006 Palestinian legislative elections, Hamas won a decisive victory, leading to a power struggle with Fatah, the dominant faction of the PA. This struggle culminated in a brief but bloody civil war in Gaza in 2007, resulting in Hamas taking full control of the territory and expelling Fatah forces. Gaza has since been governed by Hamas, which maintains a policy of armed resistance against Israel.</w:t>
      </w:r>
    </w:p>
    <w:p w14:paraId="1D568843" w14:textId="77777777" w:rsidR="005A38C1" w:rsidRPr="005A38C1" w:rsidRDefault="005A38C1" w:rsidP="005A38C1">
      <w:pPr>
        <w:numPr>
          <w:ilvl w:val="1"/>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Blockade and Economic Isolation</w:t>
      </w:r>
      <w:r w:rsidRPr="005A38C1">
        <w:rPr>
          <w:rFonts w:ascii="Times New Roman" w:eastAsia="Times New Roman" w:hAnsi="Times New Roman" w:cs="Times New Roman"/>
          <w:kern w:val="0"/>
          <w:sz w:val="24"/>
          <w:szCs w:val="24"/>
          <w14:ligatures w14:val="none"/>
        </w:rPr>
        <w:t>: Following Hamas’s takeover, Israel and Egypt imposed a blockade on Gaza, restricting the movement of goods and people. Israel justified the blockade as necessary to prevent the smuggling of weapons and materials that could be used by Hamas and other militant groups. However, the blockade has severely impacted Gaza’s economy and infrastructure, leading to high levels of poverty, unemployment, and dependence on humanitarian aid. Access to essential services, such as healthcare, electricity, and clean water, remains severely restricted, contributing to what international organizations describe as a humanitarian crisis.</w:t>
      </w:r>
    </w:p>
    <w:p w14:paraId="1BB62B70" w14:textId="77777777" w:rsidR="005A38C1" w:rsidRPr="005A38C1" w:rsidRDefault="005A38C1" w:rsidP="005A38C1">
      <w:pPr>
        <w:numPr>
          <w:ilvl w:val="1"/>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lastRenderedPageBreak/>
        <w:t>Diversion of Imported Materials by Hamas</w:t>
      </w:r>
      <w:r w:rsidRPr="005A38C1">
        <w:rPr>
          <w:rFonts w:ascii="Times New Roman" w:eastAsia="Times New Roman" w:hAnsi="Times New Roman" w:cs="Times New Roman"/>
          <w:kern w:val="0"/>
          <w:sz w:val="24"/>
          <w:szCs w:val="24"/>
          <w14:ligatures w14:val="none"/>
        </w:rPr>
        <w:t>: A significant factor in the continuation of the blockade is Hamas’s diversion of imported materials for military purposes. Resources intended for reconstruction, aid, and infrastructure are often redirected by Hamas to build tunnels, manufacture weapons, and construct military installations. This practice exacerbates the humanitarian situation, as every easing of the blockade is met with further militarization by Hamas, leading to continued suffering for ordinary Gazans.</w:t>
      </w:r>
    </w:p>
    <w:p w14:paraId="36AD2AE6" w14:textId="77777777" w:rsidR="005A38C1" w:rsidRPr="005A38C1" w:rsidRDefault="005A38C1" w:rsidP="005A38C1">
      <w:pPr>
        <w:numPr>
          <w:ilvl w:val="1"/>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Use of Human Shields and Civilian Infrastructure</w:t>
      </w:r>
      <w:r w:rsidRPr="005A38C1">
        <w:rPr>
          <w:rFonts w:ascii="Times New Roman" w:eastAsia="Times New Roman" w:hAnsi="Times New Roman" w:cs="Times New Roman"/>
          <w:kern w:val="0"/>
          <w:sz w:val="24"/>
          <w:szCs w:val="24"/>
          <w14:ligatures w14:val="none"/>
        </w:rPr>
        <w:t>: Hamas has been criticized for using civilians as human shields by positioning fighters and weapons in densely populated areas, including schools, hospitals, and residential buildings. This tactic aims to deter Israeli strikes and increase international criticism, but it also puts civilians at risk and further complicates the conflict.</w:t>
      </w:r>
    </w:p>
    <w:p w14:paraId="2C5390C6" w14:textId="77777777" w:rsidR="005A38C1" w:rsidRPr="005A38C1" w:rsidRDefault="005A38C1" w:rsidP="005A38C1">
      <w:pPr>
        <w:numPr>
          <w:ilvl w:val="1"/>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Indoctrination and Militarization of Youth</w:t>
      </w:r>
      <w:r w:rsidRPr="005A38C1">
        <w:rPr>
          <w:rFonts w:ascii="Times New Roman" w:eastAsia="Times New Roman" w:hAnsi="Times New Roman" w:cs="Times New Roman"/>
          <w:kern w:val="0"/>
          <w:sz w:val="24"/>
          <w:szCs w:val="24"/>
          <w14:ligatures w14:val="none"/>
        </w:rPr>
        <w:t>: Hamas promotes a culture of jihad and martyrdom through education and media, recruiting children into its youth wings and training them to become fighters. This focus on militant ideology and preparation for conflict perpetuates a cycle of violence and shapes the mindset of new generations, limiting prospects for peace.</w:t>
      </w:r>
    </w:p>
    <w:p w14:paraId="1CE5BFE4" w14:textId="77777777" w:rsidR="005A38C1" w:rsidRPr="005A38C1" w:rsidRDefault="005A38C1" w:rsidP="005A38C1">
      <w:pPr>
        <w:numPr>
          <w:ilvl w:val="1"/>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Harsh Dictatorship and Control of the Population</w:t>
      </w:r>
      <w:r w:rsidRPr="005A38C1">
        <w:rPr>
          <w:rFonts w:ascii="Times New Roman" w:eastAsia="Times New Roman" w:hAnsi="Times New Roman" w:cs="Times New Roman"/>
          <w:kern w:val="0"/>
          <w:sz w:val="24"/>
          <w:szCs w:val="24"/>
          <w14:ligatures w14:val="none"/>
        </w:rPr>
        <w:t>: Hamas governs Gaza with strict control, imposing an authoritarian regime that seeks to establish an Islamic state with adherence to Sharia law. Dissent is not tolerated, and opponents face intimidation, arrest, or worse. This harsh rule complicates efforts to promote peace and stability in the region.</w:t>
      </w:r>
    </w:p>
    <w:p w14:paraId="34FF5E01"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Political Fallout: Shifting Dynamics in Israeli-Palestinian Relations</w:t>
      </w:r>
    </w:p>
    <w:p w14:paraId="43C60D7A" w14:textId="77777777" w:rsidR="005A38C1" w:rsidRPr="005A38C1" w:rsidRDefault="005A38C1" w:rsidP="005A38C1">
      <w:pPr>
        <w:numPr>
          <w:ilvl w:val="0"/>
          <w:numId w:val="3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Impact on Israeli Politics</w:t>
      </w:r>
      <w:r w:rsidRPr="005A38C1">
        <w:rPr>
          <w:rFonts w:ascii="Times New Roman" w:eastAsia="Times New Roman" w:hAnsi="Times New Roman" w:cs="Times New Roman"/>
          <w:kern w:val="0"/>
          <w:sz w:val="24"/>
          <w:szCs w:val="24"/>
          <w14:ligatures w14:val="none"/>
        </w:rPr>
        <w:t>: The Gaza withdrawal had profound consequences for Israeli politics, contributing to significant political realignments. Ariel Sharon’s decision to disengage led to the formation of the centrist party Kadima, which aimed to continue his policies. However, Sharon’s incapacitation in 2006 and subsequent leadership changes, along with renewed hostilities, shifted priorities. The withdrawal also deepened divisions within Israeli society between proponents of the settlement movement and those favoring a two-state solution.</w:t>
      </w:r>
    </w:p>
    <w:p w14:paraId="1FFFD53E" w14:textId="77777777" w:rsidR="005A38C1" w:rsidRPr="005A38C1" w:rsidRDefault="005A38C1" w:rsidP="005A38C1">
      <w:pPr>
        <w:numPr>
          <w:ilvl w:val="0"/>
          <w:numId w:val="3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Erosion of the Peace Process</w:t>
      </w:r>
      <w:r w:rsidRPr="005A38C1">
        <w:rPr>
          <w:rFonts w:ascii="Times New Roman" w:eastAsia="Times New Roman" w:hAnsi="Times New Roman" w:cs="Times New Roman"/>
          <w:kern w:val="0"/>
          <w:sz w:val="24"/>
          <w:szCs w:val="24"/>
          <w14:ligatures w14:val="none"/>
        </w:rPr>
        <w:t>: The Gaza Disengagement, initially seen by some as a step toward peace, did not lead to renewed negotiations or reconciliation. The rise of Hamas and continued rocket attacks from Gaza led to skepticism about further concessions, contributing to a hardening of public opinion in Israel against further withdrawals.</w:t>
      </w:r>
    </w:p>
    <w:p w14:paraId="34A46FC9"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Strategic and Security Consequences</w:t>
      </w:r>
    </w:p>
    <w:p w14:paraId="236137B4" w14:textId="77777777" w:rsidR="005A38C1" w:rsidRPr="005A38C1" w:rsidRDefault="005A38C1" w:rsidP="005A38C1">
      <w:pPr>
        <w:numPr>
          <w:ilvl w:val="0"/>
          <w:numId w:val="3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Increased Militarization of Gaza</w:t>
      </w:r>
      <w:r w:rsidRPr="005A38C1">
        <w:rPr>
          <w:rFonts w:ascii="Times New Roman" w:eastAsia="Times New Roman" w:hAnsi="Times New Roman" w:cs="Times New Roman"/>
          <w:kern w:val="0"/>
          <w:sz w:val="24"/>
          <w:szCs w:val="24"/>
          <w14:ligatures w14:val="none"/>
        </w:rPr>
        <w:t>: After the withdrawal, Hamas significantly increased its military capabilities, smuggling weapons and developing rockets that could reach deeper into Israeli territory. This created new security threats for Israel, prompting measures like the Iron Dome missile defense system and periodic military operations.</w:t>
      </w:r>
    </w:p>
    <w:p w14:paraId="63A2CB61" w14:textId="77777777" w:rsidR="005A38C1" w:rsidRPr="005A38C1" w:rsidRDefault="005A38C1" w:rsidP="005A38C1">
      <w:pPr>
        <w:numPr>
          <w:ilvl w:val="0"/>
          <w:numId w:val="3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International Reactions and Diplomatic Consequences</w:t>
      </w:r>
      <w:r w:rsidRPr="005A38C1">
        <w:rPr>
          <w:rFonts w:ascii="Times New Roman" w:eastAsia="Times New Roman" w:hAnsi="Times New Roman" w:cs="Times New Roman"/>
          <w:kern w:val="0"/>
          <w:sz w:val="24"/>
          <w:szCs w:val="24"/>
          <w14:ligatures w14:val="none"/>
        </w:rPr>
        <w:t xml:space="preserve">: The Gaza withdrawal initially received international praise, but subsequent developments—such as the humanitarian crisis, blockade, and repeated conflicts—have led to growing international criticism. This </w:t>
      </w:r>
      <w:r w:rsidRPr="005A38C1">
        <w:rPr>
          <w:rFonts w:ascii="Times New Roman" w:eastAsia="Times New Roman" w:hAnsi="Times New Roman" w:cs="Times New Roman"/>
          <w:kern w:val="0"/>
          <w:sz w:val="24"/>
          <w:szCs w:val="24"/>
          <w14:ligatures w14:val="none"/>
        </w:rPr>
        <w:lastRenderedPageBreak/>
        <w:t>has complicated Israel’s diplomatic relations and fueled calls for greater humanitarian access.</w:t>
      </w:r>
    </w:p>
    <w:p w14:paraId="77614404"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Humanitarian Consequences</w:t>
      </w:r>
    </w:p>
    <w:p w14:paraId="697B505A" w14:textId="77777777" w:rsidR="005A38C1" w:rsidRPr="005A38C1" w:rsidRDefault="005A38C1" w:rsidP="005A38C1">
      <w:pPr>
        <w:numPr>
          <w:ilvl w:val="0"/>
          <w:numId w:val="3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Human Rights Concerns</w:t>
      </w:r>
      <w:r w:rsidRPr="005A38C1">
        <w:rPr>
          <w:rFonts w:ascii="Times New Roman" w:eastAsia="Times New Roman" w:hAnsi="Times New Roman" w:cs="Times New Roman"/>
          <w:kern w:val="0"/>
          <w:sz w:val="24"/>
          <w:szCs w:val="24"/>
          <w14:ligatures w14:val="none"/>
        </w:rPr>
        <w:t>: The blockade and periodic conflicts have led to significant human rights concerns, including shortages of food, clean water, medical supplies, and electricity. Both Israel and Hamas have faced criticism: Israel for imposing collective punishment and Hamas for abuses like using human shields and suppressing dissent.</w:t>
      </w:r>
    </w:p>
    <w:p w14:paraId="3AC6731F" w14:textId="77777777" w:rsidR="005A38C1" w:rsidRPr="005A38C1" w:rsidRDefault="005A38C1" w:rsidP="005A38C1">
      <w:pPr>
        <w:numPr>
          <w:ilvl w:val="0"/>
          <w:numId w:val="3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Dependence on International Aid</w:t>
      </w:r>
      <w:r w:rsidRPr="005A38C1">
        <w:rPr>
          <w:rFonts w:ascii="Times New Roman" w:eastAsia="Times New Roman" w:hAnsi="Times New Roman" w:cs="Times New Roman"/>
          <w:kern w:val="0"/>
          <w:sz w:val="24"/>
          <w:szCs w:val="24"/>
          <w14:ligatures w14:val="none"/>
        </w:rPr>
        <w:t>: Gaza’s reliance on international aid has created a cycle of dependency that hinders sustainable development and economic recovery, leaving Gaza in a state of perpetual crisis.</w:t>
      </w:r>
    </w:p>
    <w:p w14:paraId="6A3B51B6"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The Broader Impact on Regional Dynamics</w:t>
      </w:r>
    </w:p>
    <w:p w14:paraId="00BAB113" w14:textId="77777777" w:rsidR="005A38C1" w:rsidRPr="005A38C1" w:rsidRDefault="005A38C1" w:rsidP="005A38C1">
      <w:pPr>
        <w:numPr>
          <w:ilvl w:val="0"/>
          <w:numId w:val="3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Impact on Israeli-Egyptian Relations</w:t>
      </w:r>
      <w:r w:rsidRPr="005A38C1">
        <w:rPr>
          <w:rFonts w:ascii="Times New Roman" w:eastAsia="Times New Roman" w:hAnsi="Times New Roman" w:cs="Times New Roman"/>
          <w:kern w:val="0"/>
          <w:sz w:val="24"/>
          <w:szCs w:val="24"/>
          <w14:ligatures w14:val="none"/>
        </w:rPr>
        <w:t>: The situation in Gaza has affected relations between Israel and Egypt, which has participated in the blockade and acted as a mediator in ceasefire negotiations. Egypt seeks to balance its security interests with regional pressures.</w:t>
      </w:r>
    </w:p>
    <w:p w14:paraId="1527E658" w14:textId="77777777" w:rsidR="005A38C1" w:rsidRPr="005A38C1" w:rsidRDefault="005A38C1" w:rsidP="005A38C1">
      <w:pPr>
        <w:numPr>
          <w:ilvl w:val="0"/>
          <w:numId w:val="3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 xml:space="preserve">Implications for Broader </w:t>
      </w:r>
      <w:proofErr w:type="gramStart"/>
      <w:r w:rsidRPr="005A38C1">
        <w:rPr>
          <w:rFonts w:ascii="Times New Roman" w:eastAsia="Times New Roman" w:hAnsi="Times New Roman" w:cs="Times New Roman"/>
          <w:b/>
          <w:bCs/>
          <w:kern w:val="0"/>
          <w:sz w:val="24"/>
          <w:szCs w:val="24"/>
          <w14:ligatures w14:val="none"/>
        </w:rPr>
        <w:t>Arab-Israeli</w:t>
      </w:r>
      <w:proofErr w:type="gramEnd"/>
      <w:r w:rsidRPr="005A38C1">
        <w:rPr>
          <w:rFonts w:ascii="Times New Roman" w:eastAsia="Times New Roman" w:hAnsi="Times New Roman" w:cs="Times New Roman"/>
          <w:b/>
          <w:bCs/>
          <w:kern w:val="0"/>
          <w:sz w:val="24"/>
          <w:szCs w:val="24"/>
          <w14:ligatures w14:val="none"/>
        </w:rPr>
        <w:t xml:space="preserve"> Relations</w:t>
      </w:r>
      <w:r w:rsidRPr="005A38C1">
        <w:rPr>
          <w:rFonts w:ascii="Times New Roman" w:eastAsia="Times New Roman" w:hAnsi="Times New Roman" w:cs="Times New Roman"/>
          <w:kern w:val="0"/>
          <w:sz w:val="24"/>
          <w:szCs w:val="24"/>
          <w14:ligatures w14:val="none"/>
        </w:rPr>
        <w:t>: The Gaza conflict complicates normalization efforts with Arab states, despite the Abraham Accords. It continues to serve as a focal point for criticism and opposition within the Arab world, highlighting the challenges of achieving comprehensive peace without addressing the core issues of the conflict.</w:t>
      </w:r>
    </w:p>
    <w:p w14:paraId="36BC798A"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Conclusion: The Lasting Impact of Israel’s Gaza Withdrawal</w:t>
      </w:r>
    </w:p>
    <w:p w14:paraId="778F719E" w14:textId="77777777" w:rsidR="005A38C1" w:rsidRPr="005A38C1" w:rsidRDefault="005A38C1" w:rsidP="005A38C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kern w:val="0"/>
          <w:sz w:val="24"/>
          <w:szCs w:val="24"/>
          <w14:ligatures w14:val="none"/>
        </w:rPr>
        <w:t>The 2005 Gaza Disengagement was a complex and contentious decision that reshaped the Israeli-Palestinian conflict in unforeseen ways. While it was intended to reduce conflict and promote peace, it has, in many ways, led to further polarization and violence. The rise of Hamas, the humanitarian crisis, and continued hostilities underscore the limitations of unilateral actions and the difficulty of achieving lasting peace without meaningful negotiations and cooperation. As the situation in Gaza remains tense, finding</w:t>
      </w:r>
    </w:p>
    <w:p w14:paraId="20AA95FF" w14:textId="77777777" w:rsidR="005A38C1" w:rsidRPr="005A38C1" w:rsidRDefault="005A38C1" w:rsidP="005A38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38C1">
        <w:rPr>
          <w:rFonts w:ascii="Times New Roman" w:eastAsia="Times New Roman" w:hAnsi="Times New Roman" w:cs="Times New Roman"/>
          <w:b/>
          <w:bCs/>
          <w:kern w:val="0"/>
          <w:sz w:val="27"/>
          <w:szCs w:val="27"/>
          <w14:ligatures w14:val="none"/>
        </w:rPr>
        <w:t xml:space="preserve">Chapter 20: Modern Strategies and the October 7th, </w:t>
      </w:r>
      <w:proofErr w:type="gramStart"/>
      <w:r w:rsidRPr="005A38C1">
        <w:rPr>
          <w:rFonts w:ascii="Times New Roman" w:eastAsia="Times New Roman" w:hAnsi="Times New Roman" w:cs="Times New Roman"/>
          <w:b/>
          <w:bCs/>
          <w:kern w:val="0"/>
          <w:sz w:val="27"/>
          <w:szCs w:val="27"/>
          <w14:ligatures w14:val="none"/>
        </w:rPr>
        <w:t>2023</w:t>
      </w:r>
      <w:proofErr w:type="gramEnd"/>
      <w:r w:rsidRPr="005A38C1">
        <w:rPr>
          <w:rFonts w:ascii="Times New Roman" w:eastAsia="Times New Roman" w:hAnsi="Times New Roman" w:cs="Times New Roman"/>
          <w:b/>
          <w:bCs/>
          <w:kern w:val="0"/>
          <w:sz w:val="27"/>
          <w:szCs w:val="27"/>
          <w14:ligatures w14:val="none"/>
        </w:rPr>
        <w:t xml:space="preserve"> Attack</w:t>
      </w:r>
    </w:p>
    <w:p w14:paraId="4B4921E4"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Introduction</w:t>
      </w:r>
    </w:p>
    <w:p w14:paraId="4FA601E4" w14:textId="77777777" w:rsidR="005A38C1" w:rsidRPr="005A38C1" w:rsidRDefault="005A38C1" w:rsidP="005A38C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kern w:val="0"/>
          <w:sz w:val="24"/>
          <w:szCs w:val="24"/>
          <w14:ligatures w14:val="none"/>
        </w:rPr>
        <w:t xml:space="preserve">The October 7th, </w:t>
      </w:r>
      <w:proofErr w:type="gramStart"/>
      <w:r w:rsidRPr="005A38C1">
        <w:rPr>
          <w:rFonts w:ascii="Times New Roman" w:eastAsia="Times New Roman" w:hAnsi="Times New Roman" w:cs="Times New Roman"/>
          <w:kern w:val="0"/>
          <w:sz w:val="24"/>
          <w:szCs w:val="24"/>
          <w14:ligatures w14:val="none"/>
        </w:rPr>
        <w:t>2023</w:t>
      </w:r>
      <w:proofErr w:type="gramEnd"/>
      <w:r w:rsidRPr="005A38C1">
        <w:rPr>
          <w:rFonts w:ascii="Times New Roman" w:eastAsia="Times New Roman" w:hAnsi="Times New Roman" w:cs="Times New Roman"/>
          <w:kern w:val="0"/>
          <w:sz w:val="24"/>
          <w:szCs w:val="24"/>
          <w14:ligatures w14:val="none"/>
        </w:rPr>
        <w:t xml:space="preserve"> attack marked a significant escalation in the Israeli-Palestinian conflict, dramatically altering the geopolitical landscape and raising urgent questions about future strategies for peace and security in the region. This chapter examines the historical context and strategies that led up to the attack, provides a detailed account of the events, and analyzes the broader implications for regional dynamics, international relations, and the long-term prospects for peace.</w:t>
      </w:r>
    </w:p>
    <w:p w14:paraId="2EA36E68"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 xml:space="preserve">Historical Context: Strategies Leading Up to the October 7th, </w:t>
      </w:r>
      <w:proofErr w:type="gramStart"/>
      <w:r w:rsidRPr="005A38C1">
        <w:rPr>
          <w:rFonts w:ascii="Times New Roman" w:eastAsia="Times New Roman" w:hAnsi="Times New Roman" w:cs="Times New Roman"/>
          <w:b/>
          <w:bCs/>
          <w:kern w:val="0"/>
          <w:sz w:val="24"/>
          <w:szCs w:val="24"/>
          <w14:ligatures w14:val="none"/>
        </w:rPr>
        <w:t>2023</w:t>
      </w:r>
      <w:proofErr w:type="gramEnd"/>
      <w:r w:rsidRPr="005A38C1">
        <w:rPr>
          <w:rFonts w:ascii="Times New Roman" w:eastAsia="Times New Roman" w:hAnsi="Times New Roman" w:cs="Times New Roman"/>
          <w:b/>
          <w:bCs/>
          <w:kern w:val="0"/>
          <w:sz w:val="24"/>
          <w:szCs w:val="24"/>
          <w14:ligatures w14:val="none"/>
        </w:rPr>
        <w:t xml:space="preserve"> Attack</w:t>
      </w:r>
    </w:p>
    <w:p w14:paraId="4ECF58CF" w14:textId="77777777" w:rsidR="005A38C1" w:rsidRPr="005A38C1" w:rsidRDefault="005A38C1" w:rsidP="005A38C1">
      <w:pPr>
        <w:numPr>
          <w:ilvl w:val="0"/>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lastRenderedPageBreak/>
        <w:t>Changing Dynamics in the Israeli-Palestinian Conflict</w:t>
      </w:r>
      <w:r w:rsidRPr="005A38C1">
        <w:rPr>
          <w:rFonts w:ascii="Times New Roman" w:eastAsia="Times New Roman" w:hAnsi="Times New Roman" w:cs="Times New Roman"/>
          <w:kern w:val="0"/>
          <w:sz w:val="24"/>
          <w:szCs w:val="24"/>
          <w14:ligatures w14:val="none"/>
        </w:rPr>
        <w:t>:</w:t>
      </w:r>
    </w:p>
    <w:p w14:paraId="038ECC8D" w14:textId="77777777" w:rsidR="005A38C1" w:rsidRPr="005A38C1" w:rsidRDefault="005A38C1" w:rsidP="005A38C1">
      <w:pPr>
        <w:numPr>
          <w:ilvl w:val="1"/>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Ongoing Stalemate and Erosion of Peace Efforts</w:t>
      </w:r>
      <w:r w:rsidRPr="005A38C1">
        <w:rPr>
          <w:rFonts w:ascii="Times New Roman" w:eastAsia="Times New Roman" w:hAnsi="Times New Roman" w:cs="Times New Roman"/>
          <w:kern w:val="0"/>
          <w:sz w:val="24"/>
          <w:szCs w:val="24"/>
          <w14:ligatures w14:val="none"/>
        </w:rPr>
        <w:t>: Leading up to October 2023, the Israeli-Palestinian conflict had been characterized by a prolonged stalemate, with little progress in peace negotiations and increasing disillusionment on both sides. The Oslo Accords, signed in the 1990s, had stalled, and subsequent peace initiatives failed to produce meaningful results. The situation saw periodic escalations of violence, continued Israeli settlement expansion in the West Bank, and an enduring humanitarian crisis in Gaza. The lack of a viable political solution led to growing frustration among Palestinians and a hardening of positions within Israeli society, creating a volatile environment.</w:t>
      </w:r>
    </w:p>
    <w:p w14:paraId="1849FE6A" w14:textId="77777777" w:rsidR="005A38C1" w:rsidRPr="005A38C1" w:rsidRDefault="005A38C1" w:rsidP="005A38C1">
      <w:pPr>
        <w:numPr>
          <w:ilvl w:val="1"/>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Fragmentation of Palestinian Leadership</w:t>
      </w:r>
      <w:r w:rsidRPr="005A38C1">
        <w:rPr>
          <w:rFonts w:ascii="Times New Roman" w:eastAsia="Times New Roman" w:hAnsi="Times New Roman" w:cs="Times New Roman"/>
          <w:kern w:val="0"/>
          <w:sz w:val="24"/>
          <w:szCs w:val="24"/>
          <w14:ligatures w14:val="none"/>
        </w:rPr>
        <w:t>: Internal divisions within the Palestinian political landscape had deepened in the years leading up to the attack. The split between Hamas, which controls Gaza, and Fatah, which governs the West Bank, prevented the formation of a unified Palestinian strategy. Hamas maintained its stance of armed resistance against Israel, while Fatah continued diplomatic efforts despite limited success. This division created a power vacuum that extremist factions could exploit, complicating any efforts toward a cohesive Palestinian approach to peace or conflict.</w:t>
      </w:r>
    </w:p>
    <w:p w14:paraId="69B1DD08" w14:textId="77777777" w:rsidR="005A38C1" w:rsidRPr="005A38C1" w:rsidRDefault="005A38C1" w:rsidP="005A38C1">
      <w:pPr>
        <w:numPr>
          <w:ilvl w:val="0"/>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Shifting Regional and International Dynamics</w:t>
      </w:r>
      <w:r w:rsidRPr="005A38C1">
        <w:rPr>
          <w:rFonts w:ascii="Times New Roman" w:eastAsia="Times New Roman" w:hAnsi="Times New Roman" w:cs="Times New Roman"/>
          <w:kern w:val="0"/>
          <w:sz w:val="24"/>
          <w:szCs w:val="24"/>
          <w14:ligatures w14:val="none"/>
        </w:rPr>
        <w:t>:</w:t>
      </w:r>
    </w:p>
    <w:p w14:paraId="67796268" w14:textId="77777777" w:rsidR="005A38C1" w:rsidRPr="005A38C1" w:rsidRDefault="005A38C1" w:rsidP="005A38C1">
      <w:pPr>
        <w:numPr>
          <w:ilvl w:val="1"/>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Normalization Efforts and the Abraham Accords</w:t>
      </w:r>
      <w:r w:rsidRPr="005A38C1">
        <w:rPr>
          <w:rFonts w:ascii="Times New Roman" w:eastAsia="Times New Roman" w:hAnsi="Times New Roman" w:cs="Times New Roman"/>
          <w:kern w:val="0"/>
          <w:sz w:val="24"/>
          <w:szCs w:val="24"/>
          <w14:ligatures w14:val="none"/>
        </w:rPr>
        <w:t>: The normalization agreements between Israel and several Arab states, beginning with the Abraham Accords in 2020, significantly changed the regional landscape. These accords were seen by Israel as a diplomatic victory, allowing it to strengthen ties with countries such as the UAE, Bahrain, Sudan, and Morocco. However, the normalization of relations without addressing the Palestinian issue led to increased frustration among Palestinians and their supporters, who perceived it as a betrayal and further marginalization of the Palestinian cause.</w:t>
      </w:r>
    </w:p>
    <w:p w14:paraId="36C11C34" w14:textId="77777777" w:rsidR="005A38C1" w:rsidRPr="005A38C1" w:rsidRDefault="005A38C1" w:rsidP="005A38C1">
      <w:pPr>
        <w:numPr>
          <w:ilvl w:val="1"/>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Iran's Influence and Regional Proxy Dynamics</w:t>
      </w:r>
      <w:r w:rsidRPr="005A38C1">
        <w:rPr>
          <w:rFonts w:ascii="Times New Roman" w:eastAsia="Times New Roman" w:hAnsi="Times New Roman" w:cs="Times New Roman"/>
          <w:kern w:val="0"/>
          <w:sz w:val="24"/>
          <w:szCs w:val="24"/>
          <w14:ligatures w14:val="none"/>
        </w:rPr>
        <w:t>: Iran’s support and financing of militant groups in Gaza, Lebanon, Syria, and elsewhere remained a significant factor in regional dynamics. Tehran's strategy of using proxy forces, including Hezbollah and Palestinian factions, aimed to challenge Israeli influence and maintain pressure on its regional adversaries. In the months leading up to October 2023, reports of arms smuggling, military training, and financial support from Iran to Palestinian militant groups increased, contributing to rising tensions.</w:t>
      </w:r>
    </w:p>
    <w:p w14:paraId="2963CA5D" w14:textId="77777777" w:rsidR="005A38C1" w:rsidRPr="005A38C1" w:rsidRDefault="005A38C1" w:rsidP="005A38C1">
      <w:pPr>
        <w:numPr>
          <w:ilvl w:val="0"/>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Military and Strategic Preparations</w:t>
      </w:r>
      <w:r w:rsidRPr="005A38C1">
        <w:rPr>
          <w:rFonts w:ascii="Times New Roman" w:eastAsia="Times New Roman" w:hAnsi="Times New Roman" w:cs="Times New Roman"/>
          <w:kern w:val="0"/>
          <w:sz w:val="24"/>
          <w:szCs w:val="24"/>
          <w14:ligatures w14:val="none"/>
        </w:rPr>
        <w:t>:</w:t>
      </w:r>
    </w:p>
    <w:p w14:paraId="74571298" w14:textId="77777777" w:rsidR="005A38C1" w:rsidRPr="005A38C1" w:rsidRDefault="005A38C1" w:rsidP="005A38C1">
      <w:pPr>
        <w:numPr>
          <w:ilvl w:val="1"/>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Hamas’s Military Build-Up and Tactical Shifts</w:t>
      </w:r>
      <w:r w:rsidRPr="005A38C1">
        <w:rPr>
          <w:rFonts w:ascii="Times New Roman" w:eastAsia="Times New Roman" w:hAnsi="Times New Roman" w:cs="Times New Roman"/>
          <w:kern w:val="0"/>
          <w:sz w:val="24"/>
          <w:szCs w:val="24"/>
          <w14:ligatures w14:val="none"/>
        </w:rPr>
        <w:t>: Leading up to the attack, Hamas and other militant factions in Gaza had been engaged in an intensive military build-up, including acquiring more sophisticated weaponry and developing new tactics. This included expanding their rocket arsenal, developing drones, and enhancing tunnel networks for offensive and defensive operations. Hamas also improved its intelligence capabilities and coordination with other militant groups, preparing for a potential escalation.</w:t>
      </w:r>
    </w:p>
    <w:p w14:paraId="4B7155FE" w14:textId="77777777" w:rsidR="005A38C1" w:rsidRPr="005A38C1" w:rsidRDefault="005A38C1" w:rsidP="005A38C1">
      <w:pPr>
        <w:numPr>
          <w:ilvl w:val="1"/>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Israeli Security Measures and Pre-Emptive Strategies</w:t>
      </w:r>
      <w:r w:rsidRPr="005A38C1">
        <w:rPr>
          <w:rFonts w:ascii="Times New Roman" w:eastAsia="Times New Roman" w:hAnsi="Times New Roman" w:cs="Times New Roman"/>
          <w:kern w:val="0"/>
          <w:sz w:val="24"/>
          <w:szCs w:val="24"/>
          <w14:ligatures w14:val="none"/>
        </w:rPr>
        <w:t xml:space="preserve">: Israel, aware of the increased threat, continued to invest in defensive capabilities, including the Iron Dome missile defense system, border security technologies, and intelligence operations to preempt attacks. The Israeli military (IDF) also engaged in periodic preemptive strikes against suspected militant targets to disrupt planned attacks </w:t>
      </w:r>
      <w:r w:rsidRPr="005A38C1">
        <w:rPr>
          <w:rFonts w:ascii="Times New Roman" w:eastAsia="Times New Roman" w:hAnsi="Times New Roman" w:cs="Times New Roman"/>
          <w:kern w:val="0"/>
          <w:sz w:val="24"/>
          <w:szCs w:val="24"/>
          <w14:ligatures w14:val="none"/>
        </w:rPr>
        <w:lastRenderedPageBreak/>
        <w:t>and degrade militant capabilities. Despite these efforts, the environment remained volatile, and the potential for large-scale conflict persisted.</w:t>
      </w:r>
    </w:p>
    <w:p w14:paraId="55FCC604"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 xml:space="preserve">The October 7th, </w:t>
      </w:r>
      <w:proofErr w:type="gramStart"/>
      <w:r w:rsidRPr="005A38C1">
        <w:rPr>
          <w:rFonts w:ascii="Times New Roman" w:eastAsia="Times New Roman" w:hAnsi="Times New Roman" w:cs="Times New Roman"/>
          <w:b/>
          <w:bCs/>
          <w:kern w:val="0"/>
          <w:sz w:val="24"/>
          <w:szCs w:val="24"/>
          <w14:ligatures w14:val="none"/>
        </w:rPr>
        <w:t>2023</w:t>
      </w:r>
      <w:proofErr w:type="gramEnd"/>
      <w:r w:rsidRPr="005A38C1">
        <w:rPr>
          <w:rFonts w:ascii="Times New Roman" w:eastAsia="Times New Roman" w:hAnsi="Times New Roman" w:cs="Times New Roman"/>
          <w:b/>
          <w:bCs/>
          <w:kern w:val="0"/>
          <w:sz w:val="24"/>
          <w:szCs w:val="24"/>
          <w14:ligatures w14:val="none"/>
        </w:rPr>
        <w:t xml:space="preserve"> Attack: Detailed Account and Broader Implications</w:t>
      </w:r>
    </w:p>
    <w:p w14:paraId="5D457200" w14:textId="77777777" w:rsidR="005A38C1" w:rsidRPr="005A38C1" w:rsidRDefault="005A38C1" w:rsidP="005A38C1">
      <w:pPr>
        <w:numPr>
          <w:ilvl w:val="0"/>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The Attack on October 7th, 2023</w:t>
      </w:r>
      <w:r w:rsidRPr="005A38C1">
        <w:rPr>
          <w:rFonts w:ascii="Times New Roman" w:eastAsia="Times New Roman" w:hAnsi="Times New Roman" w:cs="Times New Roman"/>
          <w:kern w:val="0"/>
          <w:sz w:val="24"/>
          <w:szCs w:val="24"/>
          <w14:ligatures w14:val="none"/>
        </w:rPr>
        <w:t>:</w:t>
      </w:r>
    </w:p>
    <w:p w14:paraId="4C334F14" w14:textId="77777777" w:rsidR="005A38C1" w:rsidRPr="005A38C1" w:rsidRDefault="005A38C1" w:rsidP="005A38C1">
      <w:pPr>
        <w:numPr>
          <w:ilvl w:val="1"/>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Unfolding of the Attack</w:t>
      </w:r>
      <w:r w:rsidRPr="005A38C1">
        <w:rPr>
          <w:rFonts w:ascii="Times New Roman" w:eastAsia="Times New Roman" w:hAnsi="Times New Roman" w:cs="Times New Roman"/>
          <w:kern w:val="0"/>
          <w:sz w:val="24"/>
          <w:szCs w:val="24"/>
          <w14:ligatures w14:val="none"/>
        </w:rPr>
        <w:t>: On October 7th, 2023, Hamas and other militant factions in Gaza launched a coordinated and unprecedented attack on Israel. The attack began with a massive barrage of rockets fired from Gaza into southern and central Israel, targeting civilian and military sites. Simultaneously, armed militants infiltrated Israeli territory using tunnels, drones, and by sea, attacking Israeli towns and military outposts near the Gaza border. The scale and intensity of the assault caught Israeli security forces off guard, leading to significant casualties and damage.</w:t>
      </w:r>
    </w:p>
    <w:p w14:paraId="676D8D60" w14:textId="77777777" w:rsidR="005A38C1" w:rsidRPr="005A38C1" w:rsidRDefault="005A38C1" w:rsidP="005A38C1">
      <w:pPr>
        <w:numPr>
          <w:ilvl w:val="1"/>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Savagery of the Attack and Atrocities Committed</w:t>
      </w:r>
      <w:r w:rsidRPr="005A38C1">
        <w:rPr>
          <w:rFonts w:ascii="Times New Roman" w:eastAsia="Times New Roman" w:hAnsi="Times New Roman" w:cs="Times New Roman"/>
          <w:kern w:val="0"/>
          <w:sz w:val="24"/>
          <w:szCs w:val="24"/>
          <w14:ligatures w14:val="none"/>
        </w:rPr>
        <w:t>: The attack was marked by extreme brutality, including deliberate targeting of civilians. Hamas fighters carried out massacres in Israeli border communities, attacking homes, schools, and community centers. Reports of indiscriminate killings, including the murder of entire families, execution of hostages, and mutilation of bodies, emerged. There were horrifying accounts of rape and other forms of violence as deliberate tactics of terror. These atrocities shocked the international community and hardened Israeli resolve to eliminate Hamas's military capabilities.</w:t>
      </w:r>
    </w:p>
    <w:p w14:paraId="70D59747" w14:textId="77777777" w:rsidR="005A38C1" w:rsidRPr="005A38C1" w:rsidRDefault="005A38C1" w:rsidP="005A38C1">
      <w:pPr>
        <w:numPr>
          <w:ilvl w:val="1"/>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Key Components of the Attack</w:t>
      </w:r>
      <w:r w:rsidRPr="005A38C1">
        <w:rPr>
          <w:rFonts w:ascii="Times New Roman" w:eastAsia="Times New Roman" w:hAnsi="Times New Roman" w:cs="Times New Roman"/>
          <w:kern w:val="0"/>
          <w:sz w:val="24"/>
          <w:szCs w:val="24"/>
          <w14:ligatures w14:val="none"/>
        </w:rPr>
        <w:t>:</w:t>
      </w:r>
    </w:p>
    <w:p w14:paraId="4D198537" w14:textId="77777777" w:rsidR="005A38C1" w:rsidRPr="005A38C1" w:rsidRDefault="005A38C1" w:rsidP="005A38C1">
      <w:pPr>
        <w:numPr>
          <w:ilvl w:val="2"/>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Rocket Barrages</w:t>
      </w:r>
      <w:r w:rsidRPr="005A38C1">
        <w:rPr>
          <w:rFonts w:ascii="Times New Roman" w:eastAsia="Times New Roman" w:hAnsi="Times New Roman" w:cs="Times New Roman"/>
          <w:kern w:val="0"/>
          <w:sz w:val="24"/>
          <w:szCs w:val="24"/>
          <w14:ligatures w14:val="none"/>
        </w:rPr>
        <w:t>: Thousands of rockets were launched in a coordinated assault, including long-range rockets that reached Tel Aviv and Jerusalem. The sheer volume of rockets overwhelmed the Iron Dome defense system, resulting in direct hits on civilian infrastructure.</w:t>
      </w:r>
    </w:p>
    <w:p w14:paraId="671863B9" w14:textId="77777777" w:rsidR="005A38C1" w:rsidRPr="005A38C1" w:rsidRDefault="005A38C1" w:rsidP="005A38C1">
      <w:pPr>
        <w:numPr>
          <w:ilvl w:val="2"/>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Militant Infiltrations</w:t>
      </w:r>
      <w:r w:rsidRPr="005A38C1">
        <w:rPr>
          <w:rFonts w:ascii="Times New Roman" w:eastAsia="Times New Roman" w:hAnsi="Times New Roman" w:cs="Times New Roman"/>
          <w:kern w:val="0"/>
          <w:sz w:val="24"/>
          <w:szCs w:val="24"/>
          <w14:ligatures w14:val="none"/>
        </w:rPr>
        <w:t>: Heavily armed fighters infiltrated Israeli territory, targeting military bases and border communities. These ground attacks aimed to inflict maximum damage, take hostages, and create chaos.</w:t>
      </w:r>
    </w:p>
    <w:p w14:paraId="2DB69AC2" w14:textId="77777777" w:rsidR="005A38C1" w:rsidRPr="005A38C1" w:rsidRDefault="005A38C1" w:rsidP="005A38C1">
      <w:pPr>
        <w:numPr>
          <w:ilvl w:val="2"/>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Use of Drones and Naval Attacks</w:t>
      </w:r>
      <w:r w:rsidRPr="005A38C1">
        <w:rPr>
          <w:rFonts w:ascii="Times New Roman" w:eastAsia="Times New Roman" w:hAnsi="Times New Roman" w:cs="Times New Roman"/>
          <w:kern w:val="0"/>
          <w:sz w:val="24"/>
          <w:szCs w:val="24"/>
          <w14:ligatures w14:val="none"/>
        </w:rPr>
        <w:t>: Hamas employed drones to attack Israeli military positions, and naval units attempted to breach Israeli coastal defenses, demonstrating sophisticated coordination and evolving military capabilities.</w:t>
      </w:r>
    </w:p>
    <w:p w14:paraId="515BC331" w14:textId="77777777" w:rsidR="005A38C1" w:rsidRPr="005A38C1" w:rsidRDefault="005A38C1" w:rsidP="005A38C1">
      <w:pPr>
        <w:numPr>
          <w:ilvl w:val="0"/>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Casualties and Immediate Consequences</w:t>
      </w:r>
      <w:r w:rsidRPr="005A38C1">
        <w:rPr>
          <w:rFonts w:ascii="Times New Roman" w:eastAsia="Times New Roman" w:hAnsi="Times New Roman" w:cs="Times New Roman"/>
          <w:kern w:val="0"/>
          <w:sz w:val="24"/>
          <w:szCs w:val="24"/>
          <w14:ligatures w14:val="none"/>
        </w:rPr>
        <w:t>: The attack resulted in the deaths of hundreds of Israelis and left thousands injured. Significant damage occurred to infrastructure, including power lines, water facilities, and transportation networks. The scale of rocket fire, ground incursions, and committed atrocities marked a new phase in the conflict, drawing international attention and concern.</w:t>
      </w:r>
    </w:p>
    <w:p w14:paraId="485C09EA"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Broader Implications of the Attack</w:t>
      </w:r>
    </w:p>
    <w:p w14:paraId="0DF52B0E" w14:textId="77777777" w:rsidR="005A38C1" w:rsidRPr="005A38C1" w:rsidRDefault="005A38C1" w:rsidP="005A38C1">
      <w:pPr>
        <w:numPr>
          <w:ilvl w:val="0"/>
          <w:numId w:val="3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Escalation of Hostilities</w:t>
      </w:r>
      <w:r w:rsidRPr="005A38C1">
        <w:rPr>
          <w:rFonts w:ascii="Times New Roman" w:eastAsia="Times New Roman" w:hAnsi="Times New Roman" w:cs="Times New Roman"/>
          <w:kern w:val="0"/>
          <w:sz w:val="24"/>
          <w:szCs w:val="24"/>
          <w14:ligatures w14:val="none"/>
        </w:rPr>
        <w:t>: The attack triggered a swift response from Israel, with the IDF launching a full-scale military operation in Gaza to neutralize Hamas’s military capabilities. This included aerial bombardments, ground incursions, and targeted assassinations of Hamas leaders, leading to further casualties on both sides and threatening to draw in other regional actors.</w:t>
      </w:r>
    </w:p>
    <w:p w14:paraId="118171C9" w14:textId="77777777" w:rsidR="005A38C1" w:rsidRPr="005A38C1" w:rsidRDefault="005A38C1" w:rsidP="005A38C1">
      <w:pPr>
        <w:numPr>
          <w:ilvl w:val="0"/>
          <w:numId w:val="3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lastRenderedPageBreak/>
        <w:t>Impact on Regional Dynamics</w:t>
      </w:r>
      <w:r w:rsidRPr="005A38C1">
        <w:rPr>
          <w:rFonts w:ascii="Times New Roman" w:eastAsia="Times New Roman" w:hAnsi="Times New Roman" w:cs="Times New Roman"/>
          <w:kern w:val="0"/>
          <w:sz w:val="24"/>
          <w:szCs w:val="24"/>
          <w14:ligatures w14:val="none"/>
        </w:rPr>
        <w:t>: The attack and Israel's military response prompted diverse reactions from regional actors. Countries that had normalized relations with Israel faced internal and external pressure to condemn Israeli actions or risk domestic unrest. Meanwhile, Iran and its proxies rallied support against Israel, with Hezbollah threatening to open a new front in the north if the conflict escalated.</w:t>
      </w:r>
    </w:p>
    <w:p w14:paraId="2DF6DA40" w14:textId="77777777" w:rsidR="005A38C1" w:rsidRPr="005A38C1" w:rsidRDefault="005A38C1" w:rsidP="005A38C1">
      <w:pPr>
        <w:numPr>
          <w:ilvl w:val="0"/>
          <w:numId w:val="3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Global Diplomatic Fallout</w:t>
      </w:r>
      <w:r w:rsidRPr="005A38C1">
        <w:rPr>
          <w:rFonts w:ascii="Times New Roman" w:eastAsia="Times New Roman" w:hAnsi="Times New Roman" w:cs="Times New Roman"/>
          <w:kern w:val="0"/>
          <w:sz w:val="24"/>
          <w:szCs w:val="24"/>
          <w14:ligatures w14:val="none"/>
        </w:rPr>
        <w:t>: The international community reacted swiftly, with many countries calling for an immediate ceasefire. The United States, European Union, and UN engaged in intense diplomatic efforts to de-escalate the situation, while also reaffirming Israel's right to self-defense. However, the civilian casualties in Gaza sparked protests and condemnation worldwide, complicating diplomatic efforts.</w:t>
      </w:r>
    </w:p>
    <w:p w14:paraId="721FA5DC"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Broader Implications: Strategic Shifts and Future Prospects for Peace</w:t>
      </w:r>
    </w:p>
    <w:p w14:paraId="432AD63E" w14:textId="77777777" w:rsidR="005A38C1" w:rsidRPr="005A38C1" w:rsidRDefault="005A38C1" w:rsidP="005A38C1">
      <w:pPr>
        <w:numPr>
          <w:ilvl w:val="0"/>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Strategies of Key Actors: Yahya Sinwar and Benjamin Netanyahu</w:t>
      </w:r>
      <w:r w:rsidRPr="005A38C1">
        <w:rPr>
          <w:rFonts w:ascii="Times New Roman" w:eastAsia="Times New Roman" w:hAnsi="Times New Roman" w:cs="Times New Roman"/>
          <w:kern w:val="0"/>
          <w:sz w:val="24"/>
          <w:szCs w:val="24"/>
          <w14:ligatures w14:val="none"/>
        </w:rPr>
        <w:t>:</w:t>
      </w:r>
    </w:p>
    <w:p w14:paraId="5D69E2F6" w14:textId="77777777" w:rsidR="005A38C1" w:rsidRPr="005A38C1" w:rsidRDefault="005A38C1" w:rsidP="005A38C1">
      <w:pPr>
        <w:numPr>
          <w:ilvl w:val="1"/>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Yahya Sinwar and Hamas's Strategic Calculations</w:t>
      </w:r>
      <w:r w:rsidRPr="005A38C1">
        <w:rPr>
          <w:rFonts w:ascii="Times New Roman" w:eastAsia="Times New Roman" w:hAnsi="Times New Roman" w:cs="Times New Roman"/>
          <w:kern w:val="0"/>
          <w:sz w:val="24"/>
          <w:szCs w:val="24"/>
          <w14:ligatures w14:val="none"/>
        </w:rPr>
        <w:t>: Yahya Sinwar, the leader of Hamas in Gaza, has played a pivotal role in shaping the group's strategy. Under his leadership, Hamas has focused on building military capabilities, including rocket production and tunnel construction, while emphasizing armed resistance. Sinwar views the conflict with Israel as part of a broader religious and ideological confrontation, aiming to establish an Islamic state in Gaza and beyond.</w:t>
      </w:r>
    </w:p>
    <w:p w14:paraId="4234DA6C" w14:textId="77777777" w:rsidR="005A38C1" w:rsidRPr="005A38C1" w:rsidRDefault="005A38C1" w:rsidP="005A38C1">
      <w:pPr>
        <w:numPr>
          <w:ilvl w:val="1"/>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Benjamin Netanyahu and Israel's Security Doctrine</w:t>
      </w:r>
      <w:r w:rsidRPr="005A38C1">
        <w:rPr>
          <w:rFonts w:ascii="Times New Roman" w:eastAsia="Times New Roman" w:hAnsi="Times New Roman" w:cs="Times New Roman"/>
          <w:kern w:val="0"/>
          <w:sz w:val="24"/>
          <w:szCs w:val="24"/>
          <w14:ligatures w14:val="none"/>
        </w:rPr>
        <w:t>: Prime Minister Benjamin Netanyahu has consistently prioritized security and deterrence over negotiations. His strategy focuses on maintaining Israel’s military superiority, expanding settlements, and strengthening alliances. Netanyahu argues that there is no viable peace partner, particularly given Hamas’s refusal to recognize Israel. The October 7th attack reinforced his commitment to a policy of deterrence.</w:t>
      </w:r>
    </w:p>
    <w:p w14:paraId="00AC4006" w14:textId="77777777" w:rsidR="005A38C1" w:rsidRPr="005A38C1" w:rsidRDefault="005A38C1" w:rsidP="005A38C1">
      <w:pPr>
        <w:numPr>
          <w:ilvl w:val="0"/>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Challenges to the Two-State Solution</w:t>
      </w:r>
      <w:r w:rsidRPr="005A38C1">
        <w:rPr>
          <w:rFonts w:ascii="Times New Roman" w:eastAsia="Times New Roman" w:hAnsi="Times New Roman" w:cs="Times New Roman"/>
          <w:kern w:val="0"/>
          <w:sz w:val="24"/>
          <w:szCs w:val="24"/>
          <w14:ligatures w14:val="none"/>
        </w:rPr>
        <w:t>:</w:t>
      </w:r>
    </w:p>
    <w:p w14:paraId="6B20D109" w14:textId="77777777" w:rsidR="005A38C1" w:rsidRPr="005A38C1" w:rsidRDefault="005A38C1" w:rsidP="005A38C1">
      <w:pPr>
        <w:numPr>
          <w:ilvl w:val="1"/>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Geopolitical and Demographic Realities</w:t>
      </w:r>
      <w:r w:rsidRPr="005A38C1">
        <w:rPr>
          <w:rFonts w:ascii="Times New Roman" w:eastAsia="Times New Roman" w:hAnsi="Times New Roman" w:cs="Times New Roman"/>
          <w:kern w:val="0"/>
          <w:sz w:val="24"/>
          <w:szCs w:val="24"/>
          <w14:ligatures w14:val="none"/>
        </w:rPr>
        <w:t>: Continued hostilities, political fragmentation, and mutual distrust have made a two-state solution increasingly remote. The geographical realities, presence of settlements, and ongoing violence all contribute to the perception that a two-state solution is no longer feasible.</w:t>
      </w:r>
    </w:p>
    <w:p w14:paraId="65004293" w14:textId="77777777" w:rsidR="005A38C1" w:rsidRPr="005A38C1" w:rsidRDefault="005A38C1" w:rsidP="005A38C1">
      <w:pPr>
        <w:numPr>
          <w:ilvl w:val="1"/>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Historical Roots of the Territorial Conflict</w:t>
      </w:r>
      <w:r w:rsidRPr="005A38C1">
        <w:rPr>
          <w:rFonts w:ascii="Times New Roman" w:eastAsia="Times New Roman" w:hAnsi="Times New Roman" w:cs="Times New Roman"/>
          <w:kern w:val="0"/>
          <w:sz w:val="24"/>
          <w:szCs w:val="24"/>
          <w14:ligatures w14:val="none"/>
        </w:rPr>
        <w:t>: The difficulty in dividing the land traces back to the British decision to carve out Transjordan from the original Mandate for Palestine, leaving only a small portion to be divided between Jews and Palestinian Arabs. This decision created a foundational territorial challenge that remains at the core of the conflict today.</w:t>
      </w:r>
    </w:p>
    <w:p w14:paraId="5606F3F7" w14:textId="77777777" w:rsidR="005A38C1" w:rsidRPr="005A38C1" w:rsidRDefault="005A38C1" w:rsidP="005A38C1">
      <w:pPr>
        <w:numPr>
          <w:ilvl w:val="0"/>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International and Regional Prospects for Peace</w:t>
      </w:r>
      <w:r w:rsidRPr="005A38C1">
        <w:rPr>
          <w:rFonts w:ascii="Times New Roman" w:eastAsia="Times New Roman" w:hAnsi="Times New Roman" w:cs="Times New Roman"/>
          <w:kern w:val="0"/>
          <w:sz w:val="24"/>
          <w:szCs w:val="24"/>
          <w14:ligatures w14:val="none"/>
        </w:rPr>
        <w:t>:</w:t>
      </w:r>
    </w:p>
    <w:p w14:paraId="63CA4084" w14:textId="77777777" w:rsidR="005A38C1" w:rsidRPr="005A38C1" w:rsidRDefault="005A38C1" w:rsidP="005A38C1">
      <w:pPr>
        <w:numPr>
          <w:ilvl w:val="1"/>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Increased Involvement of International Actors</w:t>
      </w:r>
      <w:r w:rsidRPr="005A38C1">
        <w:rPr>
          <w:rFonts w:ascii="Times New Roman" w:eastAsia="Times New Roman" w:hAnsi="Times New Roman" w:cs="Times New Roman"/>
          <w:kern w:val="0"/>
          <w:sz w:val="24"/>
          <w:szCs w:val="24"/>
          <w14:ligatures w14:val="none"/>
        </w:rPr>
        <w:t>: The attack has galvanized international actors to take a more active role in managing the conflict. Sustainable peace will require not only bilateral negotiations but also a broader regional framework involving key regional players.</w:t>
      </w:r>
    </w:p>
    <w:p w14:paraId="6119F678" w14:textId="77777777" w:rsidR="005A38C1" w:rsidRPr="005A38C1" w:rsidRDefault="005A38C1" w:rsidP="005A38C1">
      <w:pPr>
        <w:numPr>
          <w:ilvl w:val="1"/>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Need for a Comprehensive Approach to Peace</w:t>
      </w:r>
      <w:r w:rsidRPr="005A38C1">
        <w:rPr>
          <w:rFonts w:ascii="Times New Roman" w:eastAsia="Times New Roman" w:hAnsi="Times New Roman" w:cs="Times New Roman"/>
          <w:kern w:val="0"/>
          <w:sz w:val="24"/>
          <w:szCs w:val="24"/>
          <w14:ligatures w14:val="none"/>
        </w:rPr>
        <w:t>: The events of October 7th highlight the need for a comprehensive approach that goes beyond bilateral negotiations, addresses regional dynamics, and tackles underlying drivers of conflict, including economic deprivation, political exclusion, and religious extremism.</w:t>
      </w:r>
    </w:p>
    <w:p w14:paraId="3C1156B9"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lastRenderedPageBreak/>
        <w:t>Conclusion</w:t>
      </w:r>
    </w:p>
    <w:p w14:paraId="0038DE16" w14:textId="77777777" w:rsidR="005A38C1" w:rsidRPr="005A38C1" w:rsidRDefault="005A38C1" w:rsidP="005A38C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kern w:val="0"/>
          <w:sz w:val="24"/>
          <w:szCs w:val="24"/>
          <w14:ligatures w14:val="none"/>
        </w:rPr>
        <w:t xml:space="preserve">The October 7th, </w:t>
      </w:r>
      <w:proofErr w:type="gramStart"/>
      <w:r w:rsidRPr="005A38C1">
        <w:rPr>
          <w:rFonts w:ascii="Times New Roman" w:eastAsia="Times New Roman" w:hAnsi="Times New Roman" w:cs="Times New Roman"/>
          <w:kern w:val="0"/>
          <w:sz w:val="24"/>
          <w:szCs w:val="24"/>
          <w14:ligatures w14:val="none"/>
        </w:rPr>
        <w:t>2023</w:t>
      </w:r>
      <w:proofErr w:type="gramEnd"/>
      <w:r w:rsidRPr="005A38C1">
        <w:rPr>
          <w:rFonts w:ascii="Times New Roman" w:eastAsia="Times New Roman" w:hAnsi="Times New Roman" w:cs="Times New Roman"/>
          <w:kern w:val="0"/>
          <w:sz w:val="24"/>
          <w:szCs w:val="24"/>
          <w14:ligatures w14:val="none"/>
        </w:rPr>
        <w:t xml:space="preserve"> attack represents a watershed moment in the Israeli-Palestinian conflict, underscoring the urgent need for new strategies and approaches to achieve peace and security. The path forward will require addressing both immediate security concerns and the deeper, underlying issues that fuel conflict. Only through a comprehensive and inclusive approach can there be hope for a more stable and just future for both Israelis and Palestinians.</w:t>
      </w:r>
    </w:p>
    <w:p w14:paraId="5D4CA520" w14:textId="77777777" w:rsidR="005A38C1" w:rsidRPr="005A38C1" w:rsidRDefault="005A38C1" w:rsidP="005A38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38C1">
        <w:rPr>
          <w:rFonts w:ascii="Times New Roman" w:eastAsia="Times New Roman" w:hAnsi="Times New Roman" w:cs="Times New Roman"/>
          <w:b/>
          <w:bCs/>
          <w:kern w:val="0"/>
          <w:sz w:val="27"/>
          <w:szCs w:val="27"/>
          <w14:ligatures w14:val="none"/>
        </w:rPr>
        <w:t>Chapter 21: Hezbollah, Lebanon, and the Shadow of Conflict</w:t>
      </w:r>
    </w:p>
    <w:p w14:paraId="6067B688" w14:textId="77777777" w:rsidR="005A38C1" w:rsidRPr="005A38C1" w:rsidRDefault="005A38C1" w:rsidP="005A38C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kern w:val="0"/>
          <w:sz w:val="24"/>
          <w:szCs w:val="24"/>
          <w14:ligatures w14:val="none"/>
        </w:rPr>
        <w:t>Hezbollah, a militant group and political party based in Lebanon, has emerged as one of the most powerful non-state actors in the Middle East. Its role in the Israeli-Palestinian conflict, its influence over Lebanese politics, and its involvement in regional geopolitics have made Hezbollah a central player in the broader struggle for power and influence in the Middle East. This chapter explores Hezbollah's origins, its military and political strategies, its relationship with Lebanon and regional powers, and its impact on the dynamics of conflict in the region.</w:t>
      </w:r>
    </w:p>
    <w:p w14:paraId="05D26D8E"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Origins of Hezbollah: The Rise of a Militant Movement</w:t>
      </w:r>
    </w:p>
    <w:p w14:paraId="74C19482" w14:textId="77777777" w:rsidR="005A38C1" w:rsidRPr="005A38C1" w:rsidRDefault="005A38C1" w:rsidP="005A38C1">
      <w:pPr>
        <w:numPr>
          <w:ilvl w:val="0"/>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The Formation of Hezbollah</w:t>
      </w:r>
      <w:r w:rsidRPr="005A38C1">
        <w:rPr>
          <w:rFonts w:ascii="Times New Roman" w:eastAsia="Times New Roman" w:hAnsi="Times New Roman" w:cs="Times New Roman"/>
          <w:kern w:val="0"/>
          <w:sz w:val="24"/>
          <w:szCs w:val="24"/>
          <w14:ligatures w14:val="none"/>
        </w:rPr>
        <w:t>:</w:t>
      </w:r>
    </w:p>
    <w:p w14:paraId="416B3AB5" w14:textId="77777777" w:rsidR="005A38C1" w:rsidRPr="005A38C1" w:rsidRDefault="005A38C1" w:rsidP="005A38C1">
      <w:pPr>
        <w:numPr>
          <w:ilvl w:val="1"/>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The Lebanese Civil War and Shiite Mobilization</w:t>
      </w:r>
      <w:r w:rsidRPr="005A38C1">
        <w:rPr>
          <w:rFonts w:ascii="Times New Roman" w:eastAsia="Times New Roman" w:hAnsi="Times New Roman" w:cs="Times New Roman"/>
          <w:kern w:val="0"/>
          <w:sz w:val="24"/>
          <w:szCs w:val="24"/>
          <w14:ligatures w14:val="none"/>
        </w:rPr>
        <w:t>: Hezbollah emerged in the early 1980s during the Lebanese Civil War (1975-1990), a period of profound sectarian violence and political fragmentation. The Shiite community in Lebanon, long marginalized economically and politically, began to mobilize in response to the war's chaos. Hezbollah was born out of this context, heavily influenced by the Iranian Revolution of 1979 and the ideological framework of Shia Islamism.</w:t>
      </w:r>
    </w:p>
    <w:p w14:paraId="49B818C8" w14:textId="77777777" w:rsidR="005A38C1" w:rsidRPr="005A38C1" w:rsidRDefault="005A38C1" w:rsidP="005A38C1">
      <w:pPr>
        <w:numPr>
          <w:ilvl w:val="1"/>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Iranian Influence and Support</w:t>
      </w:r>
      <w:r w:rsidRPr="005A38C1">
        <w:rPr>
          <w:rFonts w:ascii="Times New Roman" w:eastAsia="Times New Roman" w:hAnsi="Times New Roman" w:cs="Times New Roman"/>
          <w:kern w:val="0"/>
          <w:sz w:val="24"/>
          <w:szCs w:val="24"/>
          <w14:ligatures w14:val="none"/>
        </w:rPr>
        <w:t xml:space="preserve">: The Iranian Revolutionary Guard Corps (IRGC) played a crucial role in Hezbollah's formation, providing training, arms, and financial support. Iran viewed Hezbollah </w:t>
      </w:r>
      <w:proofErr w:type="gramStart"/>
      <w:r w:rsidRPr="005A38C1">
        <w:rPr>
          <w:rFonts w:ascii="Times New Roman" w:eastAsia="Times New Roman" w:hAnsi="Times New Roman" w:cs="Times New Roman"/>
          <w:kern w:val="0"/>
          <w:sz w:val="24"/>
          <w:szCs w:val="24"/>
          <w14:ligatures w14:val="none"/>
        </w:rPr>
        <w:t>as a means to</w:t>
      </w:r>
      <w:proofErr w:type="gramEnd"/>
      <w:r w:rsidRPr="005A38C1">
        <w:rPr>
          <w:rFonts w:ascii="Times New Roman" w:eastAsia="Times New Roman" w:hAnsi="Times New Roman" w:cs="Times New Roman"/>
          <w:kern w:val="0"/>
          <w:sz w:val="24"/>
          <w:szCs w:val="24"/>
          <w14:ligatures w14:val="none"/>
        </w:rPr>
        <w:t xml:space="preserve"> export its revolutionary ideology and expand its influence in the Arab world, particularly against Israel and Western interests. Hezbollah’s early leaders, including its Secretary-General Hassan Nasrallah, were deeply inspired by the teachings of Iran’s Ayatollah Khomeini and committed to the principle of </w:t>
      </w:r>
      <w:r w:rsidRPr="005A38C1">
        <w:rPr>
          <w:rFonts w:ascii="Times New Roman" w:eastAsia="Times New Roman" w:hAnsi="Times New Roman" w:cs="Times New Roman"/>
          <w:i/>
          <w:iCs/>
          <w:kern w:val="0"/>
          <w:sz w:val="24"/>
          <w:szCs w:val="24"/>
          <w14:ligatures w14:val="none"/>
        </w:rPr>
        <w:t>Wilayat al-Faqih</w:t>
      </w:r>
      <w:r w:rsidRPr="005A38C1">
        <w:rPr>
          <w:rFonts w:ascii="Times New Roman" w:eastAsia="Times New Roman" w:hAnsi="Times New Roman" w:cs="Times New Roman"/>
          <w:kern w:val="0"/>
          <w:sz w:val="24"/>
          <w:szCs w:val="24"/>
          <w14:ligatures w14:val="none"/>
        </w:rPr>
        <w:t xml:space="preserve"> (Guardianship of the Jurist).</w:t>
      </w:r>
    </w:p>
    <w:p w14:paraId="369B8121" w14:textId="77777777" w:rsidR="005A38C1" w:rsidRPr="005A38C1" w:rsidRDefault="005A38C1" w:rsidP="005A38C1">
      <w:pPr>
        <w:numPr>
          <w:ilvl w:val="1"/>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Founding Principles and Objectives</w:t>
      </w:r>
      <w:r w:rsidRPr="005A38C1">
        <w:rPr>
          <w:rFonts w:ascii="Times New Roman" w:eastAsia="Times New Roman" w:hAnsi="Times New Roman" w:cs="Times New Roman"/>
          <w:kern w:val="0"/>
          <w:sz w:val="24"/>
          <w:szCs w:val="24"/>
          <w14:ligatures w14:val="none"/>
        </w:rPr>
        <w:t>: Hezbollah’s founding charter, issued in 1985, declared its goals to be the establishment of an Islamic state in Lebanon, the expulsion of Western influences, and the destruction of Israel. Its commitment to armed resistance against Israel and ideological alignment with Iran set it apart from other Lebanese factions, positioning it as a key player in regional conflicts.</w:t>
      </w:r>
    </w:p>
    <w:p w14:paraId="06B5ABFA" w14:textId="77777777" w:rsidR="005A38C1" w:rsidRPr="005A38C1" w:rsidRDefault="005A38C1" w:rsidP="005A38C1">
      <w:pPr>
        <w:numPr>
          <w:ilvl w:val="0"/>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The Israeli Invasion of Lebanon and Hezbollah’s Early Growth</w:t>
      </w:r>
      <w:r w:rsidRPr="005A38C1">
        <w:rPr>
          <w:rFonts w:ascii="Times New Roman" w:eastAsia="Times New Roman" w:hAnsi="Times New Roman" w:cs="Times New Roman"/>
          <w:kern w:val="0"/>
          <w:sz w:val="24"/>
          <w:szCs w:val="24"/>
          <w14:ligatures w14:val="none"/>
        </w:rPr>
        <w:t>:</w:t>
      </w:r>
    </w:p>
    <w:p w14:paraId="02935943" w14:textId="77777777" w:rsidR="005A38C1" w:rsidRPr="005A38C1" w:rsidRDefault="005A38C1" w:rsidP="005A38C1">
      <w:pPr>
        <w:numPr>
          <w:ilvl w:val="1"/>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The 1982 Israeli Invasion</w:t>
      </w:r>
      <w:r w:rsidRPr="005A38C1">
        <w:rPr>
          <w:rFonts w:ascii="Times New Roman" w:eastAsia="Times New Roman" w:hAnsi="Times New Roman" w:cs="Times New Roman"/>
          <w:kern w:val="0"/>
          <w:sz w:val="24"/>
          <w:szCs w:val="24"/>
          <w14:ligatures w14:val="none"/>
        </w:rPr>
        <w:t xml:space="preserve">: Israel's invasion of Lebanon in 1982 aimed to expel the Palestine Liberation Organization (PLO) from Lebanese territory and establish a security buffer zone in the south. The invasion led to a widespread backlash among Lebanese Shiites, who saw it as a foreign occupation. Hezbollah capitalized on this sentiment, positioning itself as the vanguard of resistance against Israeli forces. Its early tactics included guerrilla warfare, suicide </w:t>
      </w:r>
      <w:r w:rsidRPr="005A38C1">
        <w:rPr>
          <w:rFonts w:ascii="Times New Roman" w:eastAsia="Times New Roman" w:hAnsi="Times New Roman" w:cs="Times New Roman"/>
          <w:kern w:val="0"/>
          <w:sz w:val="24"/>
          <w:szCs w:val="24"/>
          <w14:ligatures w14:val="none"/>
        </w:rPr>
        <w:lastRenderedPageBreak/>
        <w:t>bombings, and kidnappings, aimed at inflicting maximum damage on Israeli forces and their allies.</w:t>
      </w:r>
    </w:p>
    <w:p w14:paraId="69D3FEBC" w14:textId="77777777" w:rsidR="005A38C1" w:rsidRPr="005A38C1" w:rsidRDefault="005A38C1" w:rsidP="005A38C1">
      <w:pPr>
        <w:numPr>
          <w:ilvl w:val="1"/>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Attacks on Western Targets</w:t>
      </w:r>
      <w:r w:rsidRPr="005A38C1">
        <w:rPr>
          <w:rFonts w:ascii="Times New Roman" w:eastAsia="Times New Roman" w:hAnsi="Times New Roman" w:cs="Times New Roman"/>
          <w:kern w:val="0"/>
          <w:sz w:val="24"/>
          <w:szCs w:val="24"/>
          <w14:ligatures w14:val="none"/>
        </w:rPr>
        <w:t>: In its early years, Hezbollah also targeted Western interests in Lebanon, including the 1983 bombings of the U.S. Marine barracks and the French paratrooper headquarters in Beirut, killing hundreds of American and French servicemen. These attacks, along with the kidnapping of Western hostages, aimed to push Western forces out of Lebanon and establish Hezbollah’s credentials as a potent resistance movement.</w:t>
      </w:r>
    </w:p>
    <w:p w14:paraId="04E05043"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Hezbollah’s Political and Military Evolution</w:t>
      </w:r>
    </w:p>
    <w:p w14:paraId="2C73DC47" w14:textId="77777777" w:rsidR="005A38C1" w:rsidRPr="005A38C1" w:rsidRDefault="005A38C1" w:rsidP="005A38C1">
      <w:pPr>
        <w:numPr>
          <w:ilvl w:val="0"/>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Hezbollah’s Integration into Lebanese Politics</w:t>
      </w:r>
      <w:r w:rsidRPr="005A38C1">
        <w:rPr>
          <w:rFonts w:ascii="Times New Roman" w:eastAsia="Times New Roman" w:hAnsi="Times New Roman" w:cs="Times New Roman"/>
          <w:kern w:val="0"/>
          <w:sz w:val="24"/>
          <w:szCs w:val="24"/>
          <w14:ligatures w14:val="none"/>
        </w:rPr>
        <w:t>:</w:t>
      </w:r>
    </w:p>
    <w:p w14:paraId="73D663A3" w14:textId="77777777" w:rsidR="005A38C1" w:rsidRPr="005A38C1" w:rsidRDefault="005A38C1" w:rsidP="005A38C1">
      <w:pPr>
        <w:numPr>
          <w:ilvl w:val="1"/>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Transition from Militant Group to Political Party</w:t>
      </w:r>
      <w:r w:rsidRPr="005A38C1">
        <w:rPr>
          <w:rFonts w:ascii="Times New Roman" w:eastAsia="Times New Roman" w:hAnsi="Times New Roman" w:cs="Times New Roman"/>
          <w:kern w:val="0"/>
          <w:sz w:val="24"/>
          <w:szCs w:val="24"/>
          <w14:ligatures w14:val="none"/>
        </w:rPr>
        <w:t>: While Hezbollah began as a militant organization, it gradually transformed into a political party with significant influence over Lebanese politics. In 1992, following the end of the Lebanese Civil War, Hezbollah participated in the Lebanese parliamentary elections, marking a strategic shift from armed resistance to a dual role as a political and military actor. This move allowed Hezbollah to gain legitimacy within Lebanon and expand its influence over state institutions.</w:t>
      </w:r>
    </w:p>
    <w:p w14:paraId="02B947E0" w14:textId="77777777" w:rsidR="005A38C1" w:rsidRPr="005A38C1" w:rsidRDefault="005A38C1" w:rsidP="005A38C1">
      <w:pPr>
        <w:numPr>
          <w:ilvl w:val="1"/>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Building a Political Base</w:t>
      </w:r>
      <w:r w:rsidRPr="005A38C1">
        <w:rPr>
          <w:rFonts w:ascii="Times New Roman" w:eastAsia="Times New Roman" w:hAnsi="Times New Roman" w:cs="Times New Roman"/>
          <w:kern w:val="0"/>
          <w:sz w:val="24"/>
          <w:szCs w:val="24"/>
          <w14:ligatures w14:val="none"/>
        </w:rPr>
        <w:t>: Hezbollah’s political strategy involved cultivating support among Lebanon’s Shiite community by providing social services, including healthcare, education, and welfare. The organization established a vast network of schools, clinics, and charitable organizations that filled gaps left by the weak Lebanese state, earning substantial popular support. This grassroots approach, combined with its continued military resistance against Israel, enabled Hezbollah to maintain its dual identity as both a resistance movement and a legitimate political party.</w:t>
      </w:r>
    </w:p>
    <w:p w14:paraId="1906FFF8" w14:textId="77777777" w:rsidR="005A38C1" w:rsidRPr="005A38C1" w:rsidRDefault="005A38C1" w:rsidP="005A38C1">
      <w:pPr>
        <w:numPr>
          <w:ilvl w:val="1"/>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Lebanese Government and Sectarian Power Dynamics</w:t>
      </w:r>
      <w:r w:rsidRPr="005A38C1">
        <w:rPr>
          <w:rFonts w:ascii="Times New Roman" w:eastAsia="Times New Roman" w:hAnsi="Times New Roman" w:cs="Times New Roman"/>
          <w:kern w:val="0"/>
          <w:sz w:val="24"/>
          <w:szCs w:val="24"/>
          <w14:ligatures w14:val="none"/>
        </w:rPr>
        <w:t>: Hezbollah's participation in Lebanese politics is shaped by the country's complex sectarian system, which allocates political power among its various religious communities. Hezbollah has formed alliances with other factions, such as the Christian Free Patriotic Movement led by Michel Aoun, to strengthen its position within the government. However, its military capabilities and ties to Iran and Syria often put it at odds with groups aligned with Saudi Arabia, the United States, and other Western countries.</w:t>
      </w:r>
    </w:p>
    <w:p w14:paraId="3C968B4A" w14:textId="77777777" w:rsidR="005A38C1" w:rsidRPr="005A38C1" w:rsidRDefault="005A38C1" w:rsidP="005A38C1">
      <w:pPr>
        <w:numPr>
          <w:ilvl w:val="0"/>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Military Capabilities and Strategies</w:t>
      </w:r>
      <w:r w:rsidRPr="005A38C1">
        <w:rPr>
          <w:rFonts w:ascii="Times New Roman" w:eastAsia="Times New Roman" w:hAnsi="Times New Roman" w:cs="Times New Roman"/>
          <w:kern w:val="0"/>
          <w:sz w:val="24"/>
          <w:szCs w:val="24"/>
          <w14:ligatures w14:val="none"/>
        </w:rPr>
        <w:t>:</w:t>
      </w:r>
    </w:p>
    <w:p w14:paraId="766A5738" w14:textId="77777777" w:rsidR="005A38C1" w:rsidRPr="005A38C1" w:rsidRDefault="005A38C1" w:rsidP="005A38C1">
      <w:pPr>
        <w:numPr>
          <w:ilvl w:val="1"/>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Hezbollah’s Military Infrastructure</w:t>
      </w:r>
      <w:r w:rsidRPr="005A38C1">
        <w:rPr>
          <w:rFonts w:ascii="Times New Roman" w:eastAsia="Times New Roman" w:hAnsi="Times New Roman" w:cs="Times New Roman"/>
          <w:kern w:val="0"/>
          <w:sz w:val="24"/>
          <w:szCs w:val="24"/>
          <w14:ligatures w14:val="none"/>
        </w:rPr>
        <w:t xml:space="preserve">: Hezbollah has built a formidable military infrastructure in Lebanon, particularly in the south and the </w:t>
      </w:r>
      <w:proofErr w:type="spellStart"/>
      <w:r w:rsidRPr="005A38C1">
        <w:rPr>
          <w:rFonts w:ascii="Times New Roman" w:eastAsia="Times New Roman" w:hAnsi="Times New Roman" w:cs="Times New Roman"/>
          <w:kern w:val="0"/>
          <w:sz w:val="24"/>
          <w:szCs w:val="24"/>
          <w14:ligatures w14:val="none"/>
        </w:rPr>
        <w:t>Bekaa</w:t>
      </w:r>
      <w:proofErr w:type="spellEnd"/>
      <w:r w:rsidRPr="005A38C1">
        <w:rPr>
          <w:rFonts w:ascii="Times New Roman" w:eastAsia="Times New Roman" w:hAnsi="Times New Roman" w:cs="Times New Roman"/>
          <w:kern w:val="0"/>
          <w:sz w:val="24"/>
          <w:szCs w:val="24"/>
          <w14:ligatures w14:val="none"/>
        </w:rPr>
        <w:t xml:space="preserve"> Valley. It possesses an extensive arsenal that includes tens of thousands of rockets and missiles, some capable of reaching deep into Israeli territory. Hezbollah’s forces are well-trained in guerrilla warfare and asymmetric tactics, with a sophisticated network of tunnels and bunkers designed to withstand Israeli airstrikes.</w:t>
      </w:r>
    </w:p>
    <w:p w14:paraId="68A0E82B" w14:textId="77777777" w:rsidR="005A38C1" w:rsidRPr="005A38C1" w:rsidRDefault="005A38C1" w:rsidP="005A38C1">
      <w:pPr>
        <w:numPr>
          <w:ilvl w:val="1"/>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Tactics and Engagements with Israel</w:t>
      </w:r>
      <w:r w:rsidRPr="005A38C1">
        <w:rPr>
          <w:rFonts w:ascii="Times New Roman" w:eastAsia="Times New Roman" w:hAnsi="Times New Roman" w:cs="Times New Roman"/>
          <w:kern w:val="0"/>
          <w:sz w:val="24"/>
          <w:szCs w:val="24"/>
          <w14:ligatures w14:val="none"/>
        </w:rPr>
        <w:t xml:space="preserve">: Hezbollah has refined its military tactics over the decades, focusing on a strategy of deterrence against Israel. The 2006 conflict with Israel, also known as the Second Lebanon War, demonstrated Hezbollah’s capability to inflict significant damage on Israeli forces and infrastructure, despite Israel's superior firepower. The war ended without a clear </w:t>
      </w:r>
      <w:r w:rsidRPr="005A38C1">
        <w:rPr>
          <w:rFonts w:ascii="Times New Roman" w:eastAsia="Times New Roman" w:hAnsi="Times New Roman" w:cs="Times New Roman"/>
          <w:kern w:val="0"/>
          <w:sz w:val="24"/>
          <w:szCs w:val="24"/>
          <w14:ligatures w14:val="none"/>
        </w:rPr>
        <w:lastRenderedPageBreak/>
        <w:t>victory for either side, solidifying Hezbollah’s status as a formidable military opponent and a credible deterrent against future Israeli incursions.</w:t>
      </w:r>
    </w:p>
    <w:p w14:paraId="7FF797F4" w14:textId="77777777" w:rsidR="005A38C1" w:rsidRPr="005A38C1" w:rsidRDefault="005A38C1" w:rsidP="005A38C1">
      <w:pPr>
        <w:numPr>
          <w:ilvl w:val="1"/>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Role in Regional Conflicts</w:t>
      </w:r>
      <w:r w:rsidRPr="005A38C1">
        <w:rPr>
          <w:rFonts w:ascii="Times New Roman" w:eastAsia="Times New Roman" w:hAnsi="Times New Roman" w:cs="Times New Roman"/>
          <w:kern w:val="0"/>
          <w:sz w:val="24"/>
          <w:szCs w:val="24"/>
          <w14:ligatures w14:val="none"/>
        </w:rPr>
        <w:t>: Hezbollah’s military activities extend beyond Lebanon. Since the Syrian Civil War began in 2011, Hezbollah has intervened extensively in support of the Assad regime, bolstering its regional influence and deepening its alliance with Iran. Hezbollah fighters have participated in key battles across Syria, gaining valuable combat experience in urban and conventional warfare.</w:t>
      </w:r>
    </w:p>
    <w:p w14:paraId="588D5FC7"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Hezbollah’s Relationship with Lebanon and Regional Powers</w:t>
      </w:r>
    </w:p>
    <w:p w14:paraId="42A0441D" w14:textId="77777777" w:rsidR="005A38C1" w:rsidRPr="005A38C1" w:rsidRDefault="005A38C1" w:rsidP="005A38C1">
      <w:pPr>
        <w:numPr>
          <w:ilvl w:val="0"/>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 and Lebanon: A Complex Relationship</w:t>
      </w:r>
      <w:r w:rsidRPr="005A38C1">
        <w:rPr>
          <w:rFonts w:ascii="Times New Roman" w:eastAsia="Times New Roman" w:hAnsi="Times New Roman" w:cs="Times New Roman"/>
          <w:kern w:val="0"/>
          <w:sz w:val="24"/>
          <w:szCs w:val="24"/>
          <w14:ligatures w14:val="none"/>
        </w:rPr>
        <w:t>:</w:t>
      </w:r>
    </w:p>
    <w:p w14:paraId="1961D8D1" w14:textId="77777777" w:rsidR="005A38C1" w:rsidRPr="005A38C1" w:rsidRDefault="005A38C1" w:rsidP="005A38C1">
      <w:pPr>
        <w:numPr>
          <w:ilvl w:val="1"/>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Influence Over Lebanese Politics and Security</w:t>
      </w:r>
      <w:r w:rsidRPr="005A38C1">
        <w:rPr>
          <w:rFonts w:ascii="Times New Roman" w:eastAsia="Times New Roman" w:hAnsi="Times New Roman" w:cs="Times New Roman"/>
          <w:kern w:val="0"/>
          <w:sz w:val="24"/>
          <w:szCs w:val="24"/>
          <w14:ligatures w14:val="none"/>
        </w:rPr>
        <w:t>: Hezbollah's dual role as both a political party and a militant group gives it disproportionate influence over Lebanese politics and security policy. It operates a parallel military structure independent of the Lebanese Armed Forces (LAF), creating a state-within-a-state dynamic that undermines Lebanese sovereignty. This dual role has made Hezbollah both a power broker and a source of division, balancing its local interests with a broader regional agenda.</w:t>
      </w:r>
    </w:p>
    <w:p w14:paraId="59C779F4" w14:textId="77777777" w:rsidR="005A38C1" w:rsidRPr="005A38C1" w:rsidRDefault="005A38C1" w:rsidP="005A38C1">
      <w:pPr>
        <w:numPr>
          <w:ilvl w:val="1"/>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Sectarian Tensions and Internal Opposition</w:t>
      </w:r>
      <w:r w:rsidRPr="005A38C1">
        <w:rPr>
          <w:rFonts w:ascii="Times New Roman" w:eastAsia="Times New Roman" w:hAnsi="Times New Roman" w:cs="Times New Roman"/>
          <w:kern w:val="0"/>
          <w:sz w:val="24"/>
          <w:szCs w:val="24"/>
          <w14:ligatures w14:val="none"/>
        </w:rPr>
        <w:t xml:space="preserve">: While Hezbollah enjoys substantial support among Lebanon's Shiite population, it faces opposition from other communities, including Christians, Sunnis, and Druze, who view its military activities and allegiance to Iran as destabilizing. The assassination of former Prime Minister Rafik Hariri in 2005, for which Hezbollah members were indicted by </w:t>
      </w:r>
      <w:proofErr w:type="gramStart"/>
      <w:r w:rsidRPr="005A38C1">
        <w:rPr>
          <w:rFonts w:ascii="Times New Roman" w:eastAsia="Times New Roman" w:hAnsi="Times New Roman" w:cs="Times New Roman"/>
          <w:kern w:val="0"/>
          <w:sz w:val="24"/>
          <w:szCs w:val="24"/>
          <w14:ligatures w14:val="none"/>
        </w:rPr>
        <w:t>a</w:t>
      </w:r>
      <w:proofErr w:type="gramEnd"/>
      <w:r w:rsidRPr="005A38C1">
        <w:rPr>
          <w:rFonts w:ascii="Times New Roman" w:eastAsia="Times New Roman" w:hAnsi="Times New Roman" w:cs="Times New Roman"/>
          <w:kern w:val="0"/>
          <w:sz w:val="24"/>
          <w:szCs w:val="24"/>
          <w14:ligatures w14:val="none"/>
        </w:rPr>
        <w:t xml:space="preserve"> UN-backed tribunal, further deepened divisions in Lebanese society.</w:t>
      </w:r>
    </w:p>
    <w:p w14:paraId="549E700A" w14:textId="77777777" w:rsidR="005A38C1" w:rsidRPr="005A38C1" w:rsidRDefault="005A38C1" w:rsidP="005A38C1">
      <w:pPr>
        <w:numPr>
          <w:ilvl w:val="0"/>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 and Regional Powers</w:t>
      </w:r>
      <w:r w:rsidRPr="005A38C1">
        <w:rPr>
          <w:rFonts w:ascii="Times New Roman" w:eastAsia="Times New Roman" w:hAnsi="Times New Roman" w:cs="Times New Roman"/>
          <w:kern w:val="0"/>
          <w:sz w:val="24"/>
          <w:szCs w:val="24"/>
          <w14:ligatures w14:val="none"/>
        </w:rPr>
        <w:t>:</w:t>
      </w:r>
    </w:p>
    <w:p w14:paraId="5D3D06C6" w14:textId="77777777" w:rsidR="005A38C1" w:rsidRPr="005A38C1" w:rsidRDefault="005A38C1" w:rsidP="005A38C1">
      <w:pPr>
        <w:numPr>
          <w:ilvl w:val="1"/>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The Iran-Syria-Hezbollah Axis</w:t>
      </w:r>
      <w:r w:rsidRPr="005A38C1">
        <w:rPr>
          <w:rFonts w:ascii="Times New Roman" w:eastAsia="Times New Roman" w:hAnsi="Times New Roman" w:cs="Times New Roman"/>
          <w:kern w:val="0"/>
          <w:sz w:val="24"/>
          <w:szCs w:val="24"/>
          <w14:ligatures w14:val="none"/>
        </w:rPr>
        <w:t>: Hezbollah is a key player in the "Axis of Resistance," an alliance that includes Iran, Syria, and other groups opposed to Israeli and Western influence. This axis provides Hezbollah with military, financial, and logistical support, while Hezbollah serves as Iran’s most significant proxy in its regional power struggle against Israel and Sunni Arab states.</w:t>
      </w:r>
    </w:p>
    <w:p w14:paraId="0939BD4A" w14:textId="77777777" w:rsidR="005A38C1" w:rsidRPr="005A38C1" w:rsidRDefault="005A38C1" w:rsidP="005A38C1">
      <w:pPr>
        <w:numPr>
          <w:ilvl w:val="1"/>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Hezbollah’s Role in Syria</w:t>
      </w:r>
      <w:r w:rsidRPr="005A38C1">
        <w:rPr>
          <w:rFonts w:ascii="Times New Roman" w:eastAsia="Times New Roman" w:hAnsi="Times New Roman" w:cs="Times New Roman"/>
          <w:kern w:val="0"/>
          <w:sz w:val="24"/>
          <w:szCs w:val="24"/>
          <w14:ligatures w14:val="none"/>
        </w:rPr>
        <w:t>: Hezbollah’s intervention in the Syrian Civil War has been crucial to the survival of the Assad regime, a critical ally for both Hezbollah and Iran. By deploying fighters to Syria, Hezbollah has helped Assad recapture key territories, expanding its influence in the Levant but also increasing its exposure to regional tensions.</w:t>
      </w:r>
    </w:p>
    <w:p w14:paraId="071F6DD1"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Hezbollah's Impact on Lebanese Society and Governance</w:t>
      </w:r>
    </w:p>
    <w:p w14:paraId="5BC4ABAA" w14:textId="77777777" w:rsidR="005A38C1" w:rsidRPr="005A38C1" w:rsidRDefault="005A38C1" w:rsidP="005A38C1">
      <w:pPr>
        <w:numPr>
          <w:ilvl w:val="0"/>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Political Power and Paralysis</w:t>
      </w:r>
      <w:r w:rsidRPr="005A38C1">
        <w:rPr>
          <w:rFonts w:ascii="Times New Roman" w:eastAsia="Times New Roman" w:hAnsi="Times New Roman" w:cs="Times New Roman"/>
          <w:kern w:val="0"/>
          <w:sz w:val="24"/>
          <w:szCs w:val="24"/>
          <w14:ligatures w14:val="none"/>
        </w:rPr>
        <w:t>:</w:t>
      </w:r>
    </w:p>
    <w:p w14:paraId="22FA7034" w14:textId="77777777" w:rsidR="005A38C1" w:rsidRPr="005A38C1" w:rsidRDefault="005A38C1" w:rsidP="005A38C1">
      <w:pPr>
        <w:numPr>
          <w:ilvl w:val="1"/>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Blocking Reforms and Governing Challenges</w:t>
      </w:r>
      <w:r w:rsidRPr="005A38C1">
        <w:rPr>
          <w:rFonts w:ascii="Times New Roman" w:eastAsia="Times New Roman" w:hAnsi="Times New Roman" w:cs="Times New Roman"/>
          <w:kern w:val="0"/>
          <w:sz w:val="24"/>
          <w:szCs w:val="24"/>
          <w14:ligatures w14:val="none"/>
        </w:rPr>
        <w:t>: Hezbollah’s power within Lebanon has often paralyzed the government, making it difficult to implement reforms or reach political consensus. Hezbollah’s veto power in the cabinet, combined with its ability to mobilize supporters, has allowed it to block legislation and government actions it deems contrary to its interests or those of its regional allies.</w:t>
      </w:r>
    </w:p>
    <w:p w14:paraId="7CAF2D64" w14:textId="77777777" w:rsidR="005A38C1" w:rsidRPr="005A38C1" w:rsidRDefault="005A38C1" w:rsidP="005A38C1">
      <w:pPr>
        <w:numPr>
          <w:ilvl w:val="1"/>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lastRenderedPageBreak/>
        <w:t>Economic Impacts</w:t>
      </w:r>
      <w:r w:rsidRPr="005A38C1">
        <w:rPr>
          <w:rFonts w:ascii="Times New Roman" w:eastAsia="Times New Roman" w:hAnsi="Times New Roman" w:cs="Times New Roman"/>
          <w:kern w:val="0"/>
          <w:sz w:val="24"/>
          <w:szCs w:val="24"/>
          <w14:ligatures w14:val="none"/>
        </w:rPr>
        <w:t>: Hezbollah’s activities have had significant economic repercussions for Lebanon. Its involvement in regional conflicts and confrontations with Israel has brought sanctions and international isolation. Additionally, Hezbollah's control over key smuggling routes and illicit activities, such as drug trafficking, has complicated Lebanon's economic crisis, deterring foreign investment.</w:t>
      </w:r>
    </w:p>
    <w:p w14:paraId="676D3F80" w14:textId="77777777" w:rsidR="005A38C1" w:rsidRPr="005A38C1" w:rsidRDefault="005A38C1" w:rsidP="005A38C1">
      <w:pPr>
        <w:numPr>
          <w:ilvl w:val="0"/>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Humanitarian Consequences and Social Impact</w:t>
      </w:r>
      <w:r w:rsidRPr="005A38C1">
        <w:rPr>
          <w:rFonts w:ascii="Times New Roman" w:eastAsia="Times New Roman" w:hAnsi="Times New Roman" w:cs="Times New Roman"/>
          <w:kern w:val="0"/>
          <w:sz w:val="24"/>
          <w:szCs w:val="24"/>
          <w14:ligatures w14:val="none"/>
        </w:rPr>
        <w:t>:</w:t>
      </w:r>
    </w:p>
    <w:p w14:paraId="6529FA2C" w14:textId="77777777" w:rsidR="005A38C1" w:rsidRPr="005A38C1" w:rsidRDefault="005A38C1" w:rsidP="005A38C1">
      <w:pPr>
        <w:numPr>
          <w:ilvl w:val="1"/>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Social Services and Dependency</w:t>
      </w:r>
      <w:r w:rsidRPr="005A38C1">
        <w:rPr>
          <w:rFonts w:ascii="Times New Roman" w:eastAsia="Times New Roman" w:hAnsi="Times New Roman" w:cs="Times New Roman"/>
          <w:kern w:val="0"/>
          <w:sz w:val="24"/>
          <w:szCs w:val="24"/>
          <w14:ligatures w14:val="none"/>
        </w:rPr>
        <w:t>: While Hezbollah has provided substantial social services to Lebanon’s Shiite community, creating a base of support, this strategy has also fostered dependency and reduced pressure on the Lebanese state to provide these services. The dual role of Hezbollah as both a military force and a social service provider has created a situation where many Shiites in Lebanon rely on Hezbollah for basic needs, complicating efforts to build a cohesive national identity.</w:t>
      </w:r>
    </w:p>
    <w:p w14:paraId="166F60AC" w14:textId="77777777" w:rsidR="005A38C1" w:rsidRPr="005A38C1" w:rsidRDefault="005A38C1" w:rsidP="005A38C1">
      <w:pPr>
        <w:numPr>
          <w:ilvl w:val="1"/>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Internal Displacement and Refugee Crisis</w:t>
      </w:r>
      <w:r w:rsidRPr="005A38C1">
        <w:rPr>
          <w:rFonts w:ascii="Times New Roman" w:eastAsia="Times New Roman" w:hAnsi="Times New Roman" w:cs="Times New Roman"/>
          <w:kern w:val="0"/>
          <w:sz w:val="24"/>
          <w:szCs w:val="24"/>
          <w14:ligatures w14:val="none"/>
        </w:rPr>
        <w:t>: Hezbollah's involvement in the Syrian conflict has contributed to the massive influx of Syrian refugees, straining Lebanon’s fragile infrastructure, economy, and social cohesion.</w:t>
      </w:r>
    </w:p>
    <w:p w14:paraId="49DC7589"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t>Global Perceptions and Future Prospects</w:t>
      </w:r>
    </w:p>
    <w:p w14:paraId="2995D473" w14:textId="77777777" w:rsidR="005A38C1" w:rsidRPr="005A38C1" w:rsidRDefault="005A38C1" w:rsidP="005A38C1">
      <w:pPr>
        <w:numPr>
          <w:ilvl w:val="0"/>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 in International Relations</w:t>
      </w:r>
      <w:r w:rsidRPr="005A38C1">
        <w:rPr>
          <w:rFonts w:ascii="Times New Roman" w:eastAsia="Times New Roman" w:hAnsi="Times New Roman" w:cs="Times New Roman"/>
          <w:kern w:val="0"/>
          <w:sz w:val="24"/>
          <w:szCs w:val="24"/>
          <w14:ligatures w14:val="none"/>
        </w:rPr>
        <w:t>:</w:t>
      </w:r>
    </w:p>
    <w:p w14:paraId="740404C9" w14:textId="77777777" w:rsidR="005A38C1" w:rsidRPr="005A38C1" w:rsidRDefault="005A38C1" w:rsidP="005A38C1">
      <w:pPr>
        <w:numPr>
          <w:ilvl w:val="1"/>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Designation as a Terrorist Organization</w:t>
      </w:r>
      <w:r w:rsidRPr="005A38C1">
        <w:rPr>
          <w:rFonts w:ascii="Times New Roman" w:eastAsia="Times New Roman" w:hAnsi="Times New Roman" w:cs="Times New Roman"/>
          <w:kern w:val="0"/>
          <w:sz w:val="24"/>
          <w:szCs w:val="24"/>
          <w14:ligatures w14:val="none"/>
        </w:rPr>
        <w:t>: Many countries, including the United States, Canada, the United Kingdom, and members of the European Union, have designated Hezbollah as a terrorist organization due to its attacks against civilians, involvement in global criminal activities, and military operations against Israel. These designations have resulted in sanctions and efforts to curb Hezbollah’s funding and operations globally.</w:t>
      </w:r>
    </w:p>
    <w:p w14:paraId="59387806" w14:textId="77777777" w:rsidR="005A38C1" w:rsidRPr="005A38C1" w:rsidRDefault="005A38C1" w:rsidP="005A38C1">
      <w:pPr>
        <w:numPr>
          <w:ilvl w:val="1"/>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Hezbollah’s Propaganda and Soft Power</w:t>
      </w:r>
      <w:r w:rsidRPr="005A38C1">
        <w:rPr>
          <w:rFonts w:ascii="Times New Roman" w:eastAsia="Times New Roman" w:hAnsi="Times New Roman" w:cs="Times New Roman"/>
          <w:kern w:val="0"/>
          <w:sz w:val="24"/>
          <w:szCs w:val="24"/>
          <w14:ligatures w14:val="none"/>
        </w:rPr>
        <w:t>: Despite being designated as a terrorist organization, Hezbollah has sought to enhance its image through propaganda and soft power. The group operates several media outlets, including Al-Manar television, which broadcasts its narrative to audiences across the Arab world.</w:t>
      </w:r>
    </w:p>
    <w:p w14:paraId="66615252" w14:textId="77777777" w:rsidR="005A38C1" w:rsidRPr="005A38C1" w:rsidRDefault="005A38C1" w:rsidP="005A38C1">
      <w:pPr>
        <w:numPr>
          <w:ilvl w:val="0"/>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Future Challenges and Potential Flashpoints</w:t>
      </w:r>
      <w:r w:rsidRPr="005A38C1">
        <w:rPr>
          <w:rFonts w:ascii="Times New Roman" w:eastAsia="Times New Roman" w:hAnsi="Times New Roman" w:cs="Times New Roman"/>
          <w:kern w:val="0"/>
          <w:sz w:val="24"/>
          <w:szCs w:val="24"/>
          <w14:ligatures w14:val="none"/>
        </w:rPr>
        <w:t>:</w:t>
      </w:r>
    </w:p>
    <w:p w14:paraId="3EA01351" w14:textId="77777777" w:rsidR="005A38C1" w:rsidRPr="005A38C1" w:rsidRDefault="005A38C1" w:rsidP="005A38C1">
      <w:pPr>
        <w:numPr>
          <w:ilvl w:val="1"/>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Potential for Renewed Conflict with Israel</w:t>
      </w:r>
      <w:r w:rsidRPr="005A38C1">
        <w:rPr>
          <w:rFonts w:ascii="Times New Roman" w:eastAsia="Times New Roman" w:hAnsi="Times New Roman" w:cs="Times New Roman"/>
          <w:kern w:val="0"/>
          <w:sz w:val="24"/>
          <w:szCs w:val="24"/>
          <w14:ligatures w14:val="none"/>
        </w:rPr>
        <w:t>: Hezbollah’s continued military build-up, combined with ongoing tensions with Israel, presents a constant risk of renewed conflict. Any escalation, whether triggered by a border incident, an Israeli preemptive strike, or Hezbollah’s activities in Syria, could lead to a large-scale war with devastating consequences.</w:t>
      </w:r>
    </w:p>
    <w:p w14:paraId="1E11EA1D" w14:textId="77777777" w:rsidR="005A38C1" w:rsidRPr="005A38C1" w:rsidRDefault="005A38C1" w:rsidP="005A38C1">
      <w:pPr>
        <w:numPr>
          <w:ilvl w:val="1"/>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Internal Lebanese Dynamics</w:t>
      </w:r>
      <w:r w:rsidRPr="005A38C1">
        <w:rPr>
          <w:rFonts w:ascii="Times New Roman" w:eastAsia="Times New Roman" w:hAnsi="Times New Roman" w:cs="Times New Roman"/>
          <w:kern w:val="0"/>
          <w:sz w:val="24"/>
          <w:szCs w:val="24"/>
          <w14:ligatures w14:val="none"/>
        </w:rPr>
        <w:t>: Hezbollah faces growing challenges from economic collapse, anti-corruption protests, and demands for political reform. As Lebanon’s crisis deepens, Hezbollah must balance maintaining its influence with responding to rising discontent.</w:t>
      </w:r>
    </w:p>
    <w:p w14:paraId="304F0C4A" w14:textId="77777777" w:rsidR="005A38C1" w:rsidRPr="005A38C1" w:rsidRDefault="005A38C1" w:rsidP="005A38C1">
      <w:pPr>
        <w:numPr>
          <w:ilvl w:val="1"/>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b/>
          <w:bCs/>
          <w:kern w:val="0"/>
          <w:sz w:val="24"/>
          <w:szCs w:val="24"/>
          <w14:ligatures w14:val="none"/>
        </w:rPr>
        <w:t>Regional and Global Implications</w:t>
      </w:r>
      <w:r w:rsidRPr="005A38C1">
        <w:rPr>
          <w:rFonts w:ascii="Times New Roman" w:eastAsia="Times New Roman" w:hAnsi="Times New Roman" w:cs="Times New Roman"/>
          <w:kern w:val="0"/>
          <w:sz w:val="24"/>
          <w:szCs w:val="24"/>
          <w14:ligatures w14:val="none"/>
        </w:rPr>
        <w:t>: Hezbollah's role as a proxy for Iranian interests places it at the center of broader regional and international tensions. As U.S.-Iran relations, Israel-Iran confrontations, and Saudi-Iran rivalry continue to shape the region, Hezbollah’s actions will remain closely monitored.</w:t>
      </w:r>
    </w:p>
    <w:p w14:paraId="63973DBC" w14:textId="77777777" w:rsidR="005A38C1" w:rsidRPr="005A38C1" w:rsidRDefault="005A38C1" w:rsidP="005A38C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A38C1">
        <w:rPr>
          <w:rFonts w:ascii="Times New Roman" w:eastAsia="Times New Roman" w:hAnsi="Times New Roman" w:cs="Times New Roman"/>
          <w:b/>
          <w:bCs/>
          <w:kern w:val="0"/>
          <w:sz w:val="24"/>
          <w:szCs w:val="24"/>
          <w14:ligatures w14:val="none"/>
        </w:rPr>
        <w:lastRenderedPageBreak/>
        <w:t>Conclusion: Hezbollah’s Enduring Influence in a Fractured Lebanon</w:t>
      </w:r>
    </w:p>
    <w:p w14:paraId="3C2840BF" w14:textId="77777777" w:rsidR="005A38C1" w:rsidRPr="005A38C1" w:rsidRDefault="005A38C1" w:rsidP="005A38C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A38C1">
        <w:rPr>
          <w:rFonts w:ascii="Times New Roman" w:eastAsia="Times New Roman" w:hAnsi="Times New Roman" w:cs="Times New Roman"/>
          <w:kern w:val="0"/>
          <w:sz w:val="24"/>
          <w:szCs w:val="24"/>
          <w14:ligatures w14:val="none"/>
        </w:rPr>
        <w:t xml:space="preserve">Hezbollah remains a formidable force in Lebanon and the Middle East. Its combination of military prowess, political influence, and social services gives it a dual character as both a state-like actor and a militant group. While its resistance against Israel has </w:t>
      </w:r>
      <w:proofErr w:type="gramStart"/>
      <w:r w:rsidRPr="005A38C1">
        <w:rPr>
          <w:rFonts w:ascii="Times New Roman" w:eastAsia="Times New Roman" w:hAnsi="Times New Roman" w:cs="Times New Roman"/>
          <w:kern w:val="0"/>
          <w:sz w:val="24"/>
          <w:szCs w:val="24"/>
          <w14:ligatures w14:val="none"/>
        </w:rPr>
        <w:t>earned</w:t>
      </w:r>
      <w:proofErr w:type="gramEnd"/>
      <w:r w:rsidRPr="005A38C1">
        <w:rPr>
          <w:rFonts w:ascii="Times New Roman" w:eastAsia="Times New Roman" w:hAnsi="Times New Roman" w:cs="Times New Roman"/>
          <w:kern w:val="0"/>
          <w:sz w:val="24"/>
          <w:szCs w:val="24"/>
          <w14:ligatures w14:val="none"/>
        </w:rPr>
        <w:t xml:space="preserve"> it acclaim in some circles, its close ties to Iran, involvement in Syria, and role in Lebanon's fractured politics make it deeply polarizing. As Lebanon grapples with internal crises and volatile regional dynamics, Hezbollah’s actions will continue to shape the country's and the region's future, with significant implications for peace, stability, and security in the Middle East.</w:t>
      </w:r>
    </w:p>
    <w:p w14:paraId="31064AA5" w14:textId="77777777" w:rsidR="008433E4" w:rsidRPr="008433E4" w:rsidRDefault="008433E4" w:rsidP="008433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433E4">
        <w:rPr>
          <w:rFonts w:ascii="Times New Roman" w:eastAsia="Times New Roman" w:hAnsi="Times New Roman" w:cs="Times New Roman"/>
          <w:b/>
          <w:bCs/>
          <w:kern w:val="0"/>
          <w:sz w:val="27"/>
          <w:szCs w:val="27"/>
          <w14:ligatures w14:val="none"/>
        </w:rPr>
        <w:t>Chapter 22: The Roles of Iran and Russia: Strategic Alliances and Regional Power Plays</w:t>
      </w:r>
    </w:p>
    <w:p w14:paraId="596A6D9D" w14:textId="77777777" w:rsidR="008433E4" w:rsidRPr="008433E4" w:rsidRDefault="008433E4" w:rsidP="008433E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Iran and Russia have emerged as two of the most influential external actors in the Middle East, each pursuing strategic interests that significantly impact the dynamics of the Israeli-Palestinian conflict and broader regional geopolitics. Their involvement is motivated by a combination of geopolitical ambitions, ideological considerations, and economic interests. This chapter explores the roles of Iran and Russia in the Middle East, their strategic goals, their alliances with regional actors, and the implications of their actions for peace and stability in the region.</w:t>
      </w:r>
    </w:p>
    <w:p w14:paraId="62FBF96C"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Iran's Role in the Middle East: Ideology, Strategy, and Influence</w:t>
      </w:r>
    </w:p>
    <w:p w14:paraId="779C98D2" w14:textId="77777777" w:rsidR="008433E4" w:rsidRPr="008433E4" w:rsidRDefault="008433E4" w:rsidP="008433E4">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Iran’s Strategic Objectives</w:t>
      </w:r>
      <w:r w:rsidRPr="008433E4">
        <w:rPr>
          <w:rFonts w:ascii="Times New Roman" w:eastAsia="Times New Roman" w:hAnsi="Times New Roman" w:cs="Times New Roman"/>
          <w:kern w:val="0"/>
          <w:sz w:val="24"/>
          <w:szCs w:val="24"/>
          <w14:ligatures w14:val="none"/>
        </w:rPr>
        <w:t>:</w:t>
      </w:r>
    </w:p>
    <w:p w14:paraId="4D9FA268"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Exporting the Islamic Revolution and Ideological Influence</w:t>
      </w:r>
      <w:r w:rsidRPr="008433E4">
        <w:rPr>
          <w:rFonts w:ascii="Times New Roman" w:eastAsia="Times New Roman" w:hAnsi="Times New Roman" w:cs="Times New Roman"/>
          <w:kern w:val="0"/>
          <w:sz w:val="24"/>
          <w:szCs w:val="24"/>
          <w14:ligatures w14:val="none"/>
        </w:rPr>
        <w:t>: Since the 1979 Islamic Revolution, Iran's foreign policy has been driven by both strategic interests and ideological imperatives. One of the central goals of the Iranian regime has been to export its revolutionary ideology, promoting its brand of Shiite Islamism as a counterbalance to Western influence and Sunni monarchies in the Gulf. Iran sees itself as a leader of pan-Islamic resistance against perceived Western hegemony and views support for groups like Hezbollah, Hamas, and Islamic Jihad as part of its broader mission.</w:t>
      </w:r>
    </w:p>
    <w:p w14:paraId="00263BD6"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Regional Dominance and the “Axis of Resistance”</w:t>
      </w:r>
      <w:r w:rsidRPr="008433E4">
        <w:rPr>
          <w:rFonts w:ascii="Times New Roman" w:eastAsia="Times New Roman" w:hAnsi="Times New Roman" w:cs="Times New Roman"/>
          <w:kern w:val="0"/>
          <w:sz w:val="24"/>
          <w:szCs w:val="24"/>
          <w14:ligatures w14:val="none"/>
        </w:rPr>
        <w:t>: Iran's strategy includes establishing itself as a dominant regional power. To achieve this, Tehran has created and supported a network of allied non-state actors and proxy militias across the region. This "Axis of Resistance," which includes Hezbollah in Lebanon, Shiite militias in Iraq, the Houthis in Yemen, and groups in Syria, forms the backbone of Iran’s strategy to project power and influence. By supporting these groups, Iran aims to challenge U.S. and Israeli influence and counterbalance regional rivals like Saudi Arabia and other Gulf states.</w:t>
      </w:r>
    </w:p>
    <w:p w14:paraId="55D2423A"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Deterrence Against Israel and the United States</w:t>
      </w:r>
      <w:r w:rsidRPr="008433E4">
        <w:rPr>
          <w:rFonts w:ascii="Times New Roman" w:eastAsia="Times New Roman" w:hAnsi="Times New Roman" w:cs="Times New Roman"/>
          <w:kern w:val="0"/>
          <w:sz w:val="24"/>
          <w:szCs w:val="24"/>
          <w14:ligatures w14:val="none"/>
        </w:rPr>
        <w:t>: Iran views Israel and the United States as its principal adversaries. Its military strategy is designed to deter these adversaries from attacking Iran directly, using proxies to create multiple fronts that can threaten Israel and U.S. interests. Iran’s development of ballistic missiles, nuclear ambitions, and support for Hezbollah and Hamas are all aimed at creating a deterrent effect that can prevent military action against it.</w:t>
      </w:r>
    </w:p>
    <w:p w14:paraId="7E43A1D4" w14:textId="77777777" w:rsidR="008433E4" w:rsidRPr="008433E4" w:rsidRDefault="008433E4" w:rsidP="008433E4">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Iran's Alliance with Hezbollah and Palestinian Groups</w:t>
      </w:r>
      <w:r w:rsidRPr="008433E4">
        <w:rPr>
          <w:rFonts w:ascii="Times New Roman" w:eastAsia="Times New Roman" w:hAnsi="Times New Roman" w:cs="Times New Roman"/>
          <w:kern w:val="0"/>
          <w:sz w:val="24"/>
          <w:szCs w:val="24"/>
          <w14:ligatures w14:val="none"/>
        </w:rPr>
        <w:t>:</w:t>
      </w:r>
    </w:p>
    <w:p w14:paraId="03A44CC9"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Support for Hezbollah</w:t>
      </w:r>
      <w:r w:rsidRPr="008433E4">
        <w:rPr>
          <w:rFonts w:ascii="Times New Roman" w:eastAsia="Times New Roman" w:hAnsi="Times New Roman" w:cs="Times New Roman"/>
          <w:kern w:val="0"/>
          <w:sz w:val="24"/>
          <w:szCs w:val="24"/>
          <w14:ligatures w14:val="none"/>
        </w:rPr>
        <w:t>: Iran’s alliance with Hezbollah is central to its strategy in the Middle East. Tehran provides Hezbollah with funding, weapons, training, and political support, making it one of the most powerful non-state military actors in the region. This support maintains Hezbollah as a formidable deterrent against Israel, while also enhancing Iran’s influence in Lebanon and the Levant. Hezbollah’s involvement in Syria, under Iranian guidance, has further solidified this alliance, making it a critical component of Iran's regional strategy.</w:t>
      </w:r>
    </w:p>
    <w:p w14:paraId="51227DC8"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Backing Palestinian Factions</w:t>
      </w:r>
      <w:r w:rsidRPr="008433E4">
        <w:rPr>
          <w:rFonts w:ascii="Times New Roman" w:eastAsia="Times New Roman" w:hAnsi="Times New Roman" w:cs="Times New Roman"/>
          <w:kern w:val="0"/>
          <w:sz w:val="24"/>
          <w:szCs w:val="24"/>
          <w14:ligatures w14:val="none"/>
        </w:rPr>
        <w:t>: Iran also supports Palestinian factions, particularly Hamas and Islamic Jihad, serving as additional proxies against Israel. By providing these groups with financial aid, arms, and training, Iran seeks to maintain pressure on Israel's southern flank and position itself as a key player in the Palestinian struggle. This support allows Iran to project itself as a champion of the Palestinian cause, gaining credibility among Arab and Muslim populations, despite the sectarian divide between Sunni Palestinians and Shiite Iranians.</w:t>
      </w:r>
    </w:p>
    <w:p w14:paraId="3340356D" w14:textId="77777777" w:rsidR="008433E4" w:rsidRPr="008433E4" w:rsidRDefault="008433E4" w:rsidP="008433E4">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Iran's Involvement in Regional Conflicts</w:t>
      </w:r>
      <w:r w:rsidRPr="008433E4">
        <w:rPr>
          <w:rFonts w:ascii="Times New Roman" w:eastAsia="Times New Roman" w:hAnsi="Times New Roman" w:cs="Times New Roman"/>
          <w:kern w:val="0"/>
          <w:sz w:val="24"/>
          <w:szCs w:val="24"/>
          <w14:ligatures w14:val="none"/>
        </w:rPr>
        <w:t>:</w:t>
      </w:r>
    </w:p>
    <w:p w14:paraId="414E7349"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Syrian Civil War</w:t>
      </w:r>
      <w:r w:rsidRPr="008433E4">
        <w:rPr>
          <w:rFonts w:ascii="Times New Roman" w:eastAsia="Times New Roman" w:hAnsi="Times New Roman" w:cs="Times New Roman"/>
          <w:kern w:val="0"/>
          <w:sz w:val="24"/>
          <w:szCs w:val="24"/>
          <w14:ligatures w14:val="none"/>
        </w:rPr>
        <w:t>: Iran’s intervention in the Syrian Civil War is one of its most significant military engagements in the region. Tehran has provided crucial support to the Assad regime through funding, military advisers, and direct involvement of Iranian Revolutionary Guard Corps (IRGC) forces. Iran has also mobilized Shiite militias from Iraq, Afghanistan, and Pakistan to fight in Syria under its command. By maintaining Assad in power, Iran secures a vital ally and a critical land corridor to Hezbollah in Lebanon, ensuring that its supply lines remain open and enhancing its ability to challenge Israel.</w:t>
      </w:r>
    </w:p>
    <w:p w14:paraId="79A98571"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Influence in Iraq</w:t>
      </w:r>
      <w:r w:rsidRPr="008433E4">
        <w:rPr>
          <w:rFonts w:ascii="Times New Roman" w:eastAsia="Times New Roman" w:hAnsi="Times New Roman" w:cs="Times New Roman"/>
          <w:kern w:val="0"/>
          <w:sz w:val="24"/>
          <w:szCs w:val="24"/>
          <w14:ligatures w14:val="none"/>
        </w:rPr>
        <w:t>: Following the U.S. invasion of Iraq in 2003, Iran has expanded its influence over Iraq’s political, military, and economic spheres. Tehran has cultivated close ties with various Shiite militias and political parties in Iraq, many of which have become integrated into the Iraqi state’s security apparatus. This influence allows Iran to project power beyond its borders, challenge U.S. interests, and maintain a strategic buffer zone against potential threats from the West or Sunni Arab states.</w:t>
      </w:r>
    </w:p>
    <w:p w14:paraId="77713CA7"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Support for the Houthis in Yemen</w:t>
      </w:r>
      <w:r w:rsidRPr="008433E4">
        <w:rPr>
          <w:rFonts w:ascii="Times New Roman" w:eastAsia="Times New Roman" w:hAnsi="Times New Roman" w:cs="Times New Roman"/>
          <w:kern w:val="0"/>
          <w:sz w:val="24"/>
          <w:szCs w:val="24"/>
          <w14:ligatures w14:val="none"/>
        </w:rPr>
        <w:t>: In Yemen, Iran supports the Houthi rebels, who belong to the Zaidi Shiite sect. This support includes arms, training, and financial aid, extending Iran’s influence on the Arabian Peninsula and challenging Saudi Arabia, its main regional rival. The Houthis have launched missile and drone attacks on Saudi territory, serving Iran's goal of creating multiple pressure points against Riyadh.</w:t>
      </w:r>
    </w:p>
    <w:p w14:paraId="4E30D591" w14:textId="77777777" w:rsidR="008433E4" w:rsidRPr="008433E4" w:rsidRDefault="008433E4" w:rsidP="008433E4">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Iran's Nuclear Ambitions and International Relations</w:t>
      </w:r>
      <w:r w:rsidRPr="008433E4">
        <w:rPr>
          <w:rFonts w:ascii="Times New Roman" w:eastAsia="Times New Roman" w:hAnsi="Times New Roman" w:cs="Times New Roman"/>
          <w:kern w:val="0"/>
          <w:sz w:val="24"/>
          <w:szCs w:val="24"/>
          <w14:ligatures w14:val="none"/>
        </w:rPr>
        <w:t>:</w:t>
      </w:r>
    </w:p>
    <w:p w14:paraId="427E021A"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Nuclear Program as a Strategic Tool</w:t>
      </w:r>
      <w:r w:rsidRPr="008433E4">
        <w:rPr>
          <w:rFonts w:ascii="Times New Roman" w:eastAsia="Times New Roman" w:hAnsi="Times New Roman" w:cs="Times New Roman"/>
          <w:kern w:val="0"/>
          <w:sz w:val="24"/>
          <w:szCs w:val="24"/>
          <w14:ligatures w14:val="none"/>
        </w:rPr>
        <w:t>: Iran’s nuclear program has been a critical component of its strategy to deter foreign intervention and assert its regional dominance. While Tehran claims its nuclear program is for peaceful purposes, many in the international community suspect it aims to develop nuclear weapons capability. The pursuit of this program has brought Iran into direct confrontation with the West, leading to sanctions, diplomatic isolation, and military threats. Nevertheless, Tehran continues to leverage its nuclear program as a bargaining chip in negotiations, seeking concessions while advancing its regional goals.</w:t>
      </w:r>
    </w:p>
    <w:p w14:paraId="772384E5" w14:textId="77777777" w:rsidR="008433E4" w:rsidRPr="008433E4" w:rsidRDefault="008433E4" w:rsidP="008433E4">
      <w:pPr>
        <w:numPr>
          <w:ilvl w:val="1"/>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International Isolation and Strategic Partnerships</w:t>
      </w:r>
      <w:r w:rsidRPr="008433E4">
        <w:rPr>
          <w:rFonts w:ascii="Times New Roman" w:eastAsia="Times New Roman" w:hAnsi="Times New Roman" w:cs="Times New Roman"/>
          <w:kern w:val="0"/>
          <w:sz w:val="24"/>
          <w:szCs w:val="24"/>
          <w14:ligatures w14:val="none"/>
        </w:rPr>
        <w:t>: Despite facing international sanctions and isolation, Iran has sought to build strategic partnerships with countries like Russia and China. These partnerships have provided Iran with economic lifelines, military technology, and diplomatic support. Russia</w:t>
      </w:r>
      <w:proofErr w:type="gramStart"/>
      <w:r w:rsidRPr="008433E4">
        <w:rPr>
          <w:rFonts w:ascii="Times New Roman" w:eastAsia="Times New Roman" w:hAnsi="Times New Roman" w:cs="Times New Roman"/>
          <w:kern w:val="0"/>
          <w:sz w:val="24"/>
          <w:szCs w:val="24"/>
          <w14:ligatures w14:val="none"/>
        </w:rPr>
        <w:t>, in particular, has</w:t>
      </w:r>
      <w:proofErr w:type="gramEnd"/>
      <w:r w:rsidRPr="008433E4">
        <w:rPr>
          <w:rFonts w:ascii="Times New Roman" w:eastAsia="Times New Roman" w:hAnsi="Times New Roman" w:cs="Times New Roman"/>
          <w:kern w:val="0"/>
          <w:sz w:val="24"/>
          <w:szCs w:val="24"/>
          <w14:ligatures w14:val="none"/>
        </w:rPr>
        <w:t xml:space="preserve"> emerged as a critical ally, collaborating with Iran in Syria and supporting its regional ambitions.</w:t>
      </w:r>
    </w:p>
    <w:p w14:paraId="28AE4326"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Russia's Role in the Middle East: Geopolitical Ambitions and Strategic Alliances</w:t>
      </w:r>
    </w:p>
    <w:p w14:paraId="4052C951" w14:textId="77777777" w:rsidR="008433E4" w:rsidRPr="008433E4" w:rsidRDefault="008433E4" w:rsidP="008433E4">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Russia’s Strategic Objectives in the Middle East</w:t>
      </w:r>
      <w:r w:rsidRPr="008433E4">
        <w:rPr>
          <w:rFonts w:ascii="Times New Roman" w:eastAsia="Times New Roman" w:hAnsi="Times New Roman" w:cs="Times New Roman"/>
          <w:kern w:val="0"/>
          <w:sz w:val="24"/>
          <w:szCs w:val="24"/>
          <w14:ligatures w14:val="none"/>
        </w:rPr>
        <w:t>:</w:t>
      </w:r>
    </w:p>
    <w:p w14:paraId="43021153"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Restoration of Great Power Status</w:t>
      </w:r>
      <w:r w:rsidRPr="008433E4">
        <w:rPr>
          <w:rFonts w:ascii="Times New Roman" w:eastAsia="Times New Roman" w:hAnsi="Times New Roman" w:cs="Times New Roman"/>
          <w:kern w:val="0"/>
          <w:sz w:val="24"/>
          <w:szCs w:val="24"/>
          <w14:ligatures w14:val="none"/>
        </w:rPr>
        <w:t>: Russia’s involvement in the Middle East is driven by its desire to reassert itself as a global power capable of challenging the United States and its allies. By engaging in the Middle East, Moscow aims to demonstrate its ability to shape global events, project military power beyond its borders, and act as a counterbalance to U.S. influence.</w:t>
      </w:r>
    </w:p>
    <w:p w14:paraId="415F8261"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Securing Economic Interests and Military Presence</w:t>
      </w:r>
      <w:r w:rsidRPr="008433E4">
        <w:rPr>
          <w:rFonts w:ascii="Times New Roman" w:eastAsia="Times New Roman" w:hAnsi="Times New Roman" w:cs="Times New Roman"/>
          <w:kern w:val="0"/>
          <w:sz w:val="24"/>
          <w:szCs w:val="24"/>
          <w14:ligatures w14:val="none"/>
        </w:rPr>
        <w:t>: Russia’s strategy in the Middle East also involves securing its economic interests, particularly in the energy sector. Russian companies have invested heavily in oil and gas projects in the region, and Moscow seeks to maintain influence over global energy markets. Additionally, Russia aims to establish a military foothold in the region, achieved through its intervention in Syria, where it has secured naval and air bases that extend its reach into the Mediterranean.</w:t>
      </w:r>
    </w:p>
    <w:p w14:paraId="0819AC4B" w14:textId="77777777" w:rsidR="008433E4" w:rsidRPr="008433E4" w:rsidRDefault="008433E4" w:rsidP="008433E4">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Russia's Military Intervention in Syria</w:t>
      </w:r>
      <w:r w:rsidRPr="008433E4">
        <w:rPr>
          <w:rFonts w:ascii="Times New Roman" w:eastAsia="Times New Roman" w:hAnsi="Times New Roman" w:cs="Times New Roman"/>
          <w:kern w:val="0"/>
          <w:sz w:val="24"/>
          <w:szCs w:val="24"/>
          <w14:ligatures w14:val="none"/>
        </w:rPr>
        <w:t>:</w:t>
      </w:r>
    </w:p>
    <w:p w14:paraId="5BF35FAF"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Syrian Civil War and Russian Calculations</w:t>
      </w:r>
      <w:r w:rsidRPr="008433E4">
        <w:rPr>
          <w:rFonts w:ascii="Times New Roman" w:eastAsia="Times New Roman" w:hAnsi="Times New Roman" w:cs="Times New Roman"/>
          <w:kern w:val="0"/>
          <w:sz w:val="24"/>
          <w:szCs w:val="24"/>
          <w14:ligatures w14:val="none"/>
        </w:rPr>
        <w:t>: Russia’s direct military intervention in Syria began in 2015, launching an air campaign to support the Assad regime. This intervention was motivated by multiple factors: protecting a longstanding ally in Assad, preserving its access to the Tartus naval base (Russia's only naval facility in the Mediterranean), combating Islamist extremism, and demonstrating its military capabilities to the world.</w:t>
      </w:r>
    </w:p>
    <w:p w14:paraId="22AA9D62"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Coordination with Iran and Hezbollah</w:t>
      </w:r>
      <w:r w:rsidRPr="008433E4">
        <w:rPr>
          <w:rFonts w:ascii="Times New Roman" w:eastAsia="Times New Roman" w:hAnsi="Times New Roman" w:cs="Times New Roman"/>
          <w:kern w:val="0"/>
          <w:sz w:val="24"/>
          <w:szCs w:val="24"/>
          <w14:ligatures w14:val="none"/>
        </w:rPr>
        <w:t>: Russia’s intervention in Syria has been closely coordinated with Iran and Hezbollah, forming a de facto alliance aimed at preserving the Assad regime and defeating both moderate and extremist opposition groups. While Russia and Iran occasionally diverge in their specific objectives, they share a common interest in maintaining Assad in power and preventing Western-backed regime change. Moscow’s military support, combined with Iran's ground forces and Hezbollah’s fighters, has been crucial in turning the tide of the Syrian Civil War in Assad's favor.</w:t>
      </w:r>
    </w:p>
    <w:p w14:paraId="06648628" w14:textId="77777777" w:rsidR="008433E4" w:rsidRPr="008433E4" w:rsidRDefault="008433E4" w:rsidP="008433E4">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Russia’s Broader Middle Eastern Strategy</w:t>
      </w:r>
      <w:r w:rsidRPr="008433E4">
        <w:rPr>
          <w:rFonts w:ascii="Times New Roman" w:eastAsia="Times New Roman" w:hAnsi="Times New Roman" w:cs="Times New Roman"/>
          <w:kern w:val="0"/>
          <w:sz w:val="24"/>
          <w:szCs w:val="24"/>
          <w14:ligatures w14:val="none"/>
        </w:rPr>
        <w:t>:</w:t>
      </w:r>
    </w:p>
    <w:p w14:paraId="597B5FEE"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Building Alliances with Regional Powers</w:t>
      </w:r>
      <w:r w:rsidRPr="008433E4">
        <w:rPr>
          <w:rFonts w:ascii="Times New Roman" w:eastAsia="Times New Roman" w:hAnsi="Times New Roman" w:cs="Times New Roman"/>
          <w:kern w:val="0"/>
          <w:sz w:val="24"/>
          <w:szCs w:val="24"/>
          <w14:ligatures w14:val="none"/>
        </w:rPr>
        <w:t>: Beyond Syria, Russia has pursued a policy of building pragmatic alliances with various Middle Eastern states, including traditional U.S. allies such as Saudi Arabia, the UAE, and Egypt. By positioning itself as a reliable partner that does not impose political conditions, Moscow has managed to strengthen its economic and military ties with a range of regional actors. Russia’s willingness to engage with all sides, including Israel, Iran, Turkey, and the Gulf states, has enhanced its diplomatic leverage and allowed it to act as a mediator in regional conflicts.</w:t>
      </w:r>
    </w:p>
    <w:p w14:paraId="6D1C1E86"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Engagement with Israel</w:t>
      </w:r>
      <w:r w:rsidRPr="008433E4">
        <w:rPr>
          <w:rFonts w:ascii="Times New Roman" w:eastAsia="Times New Roman" w:hAnsi="Times New Roman" w:cs="Times New Roman"/>
          <w:kern w:val="0"/>
          <w:sz w:val="24"/>
          <w:szCs w:val="24"/>
          <w14:ligatures w14:val="none"/>
        </w:rPr>
        <w:t>: Russia maintains a complex but cooperative relationship with Israel. While supporting Iran and Hezbollah in Syria, Moscow has engaged in regular dialogue with Israel to prevent military clashes and coordinate actions. Russia’s coordination with Israel, including allowing Israeli airstrikes against Iranian targets in Syria, reflects Moscow’s pragmatic approach to balancing its interests in the region.</w:t>
      </w:r>
    </w:p>
    <w:p w14:paraId="6ACBFE8D" w14:textId="77777777" w:rsidR="008433E4" w:rsidRPr="008433E4" w:rsidRDefault="008433E4" w:rsidP="008433E4">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Russia's Impact on Regional Security Dynamics</w:t>
      </w:r>
      <w:r w:rsidRPr="008433E4">
        <w:rPr>
          <w:rFonts w:ascii="Times New Roman" w:eastAsia="Times New Roman" w:hAnsi="Times New Roman" w:cs="Times New Roman"/>
          <w:kern w:val="0"/>
          <w:sz w:val="24"/>
          <w:szCs w:val="24"/>
          <w14:ligatures w14:val="none"/>
        </w:rPr>
        <w:t>:</w:t>
      </w:r>
    </w:p>
    <w:p w14:paraId="2EF15B70"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Strengthening Assad and the Iranian Axis</w:t>
      </w:r>
      <w:r w:rsidRPr="008433E4">
        <w:rPr>
          <w:rFonts w:ascii="Times New Roman" w:eastAsia="Times New Roman" w:hAnsi="Times New Roman" w:cs="Times New Roman"/>
          <w:kern w:val="0"/>
          <w:sz w:val="24"/>
          <w:szCs w:val="24"/>
          <w14:ligatures w14:val="none"/>
        </w:rPr>
        <w:t>: Russia's intervention in Syria has significantly strengthened the Assad regime and, by extension, the Iranian axis in the region. This has altered the balance of power in the Middle East, emboldening Iran and its proxies while diminishing the influence of Western-backed actors. Russia’s actions have also legitimized its role as a power broker, forcing other regional players to engage with Moscow to protect their interests.</w:t>
      </w:r>
    </w:p>
    <w:p w14:paraId="7C4DA709" w14:textId="77777777" w:rsidR="008433E4" w:rsidRPr="008433E4" w:rsidRDefault="008433E4" w:rsidP="008433E4">
      <w:pPr>
        <w:numPr>
          <w:ilvl w:val="1"/>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Challenging U.S. Dominance</w:t>
      </w:r>
      <w:r w:rsidRPr="008433E4">
        <w:rPr>
          <w:rFonts w:ascii="Times New Roman" w:eastAsia="Times New Roman" w:hAnsi="Times New Roman" w:cs="Times New Roman"/>
          <w:kern w:val="0"/>
          <w:sz w:val="24"/>
          <w:szCs w:val="24"/>
          <w14:ligatures w14:val="none"/>
        </w:rPr>
        <w:t>: Russia’s engagement in the Middle East is also aimed at challenging U.S. dominance in the region. By supporting regimes and groups opposed to U.S. policies, Moscow seeks to undermine American influence and promote a multipolar world order in which Russia plays a leading role. Russia's actions in Syria and its growing ties with Iran, Turkey, and other regional powers have complicated U.S. efforts to achieve its objectives in the Middle East.</w:t>
      </w:r>
    </w:p>
    <w:p w14:paraId="4A0DEBD2"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Iran and Russia: A Strategic Partnership with Diverging Interests</w:t>
      </w:r>
    </w:p>
    <w:p w14:paraId="131CB254" w14:textId="77777777" w:rsidR="008433E4" w:rsidRPr="008433E4" w:rsidRDefault="008433E4" w:rsidP="008433E4">
      <w:pPr>
        <w:numPr>
          <w:ilvl w:val="0"/>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Convergence of Interests</w:t>
      </w:r>
      <w:r w:rsidRPr="008433E4">
        <w:rPr>
          <w:rFonts w:ascii="Times New Roman" w:eastAsia="Times New Roman" w:hAnsi="Times New Roman" w:cs="Times New Roman"/>
          <w:kern w:val="0"/>
          <w:sz w:val="24"/>
          <w:szCs w:val="24"/>
          <w14:ligatures w14:val="none"/>
        </w:rPr>
        <w:t>:</w:t>
      </w:r>
    </w:p>
    <w:p w14:paraId="4EF20E97" w14:textId="77777777" w:rsidR="008433E4" w:rsidRPr="008433E4" w:rsidRDefault="008433E4" w:rsidP="008433E4">
      <w:pPr>
        <w:numPr>
          <w:ilvl w:val="1"/>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Shared Opposition to U.S. Policies</w:t>
      </w:r>
      <w:r w:rsidRPr="008433E4">
        <w:rPr>
          <w:rFonts w:ascii="Times New Roman" w:eastAsia="Times New Roman" w:hAnsi="Times New Roman" w:cs="Times New Roman"/>
          <w:kern w:val="0"/>
          <w:sz w:val="24"/>
          <w:szCs w:val="24"/>
          <w14:ligatures w14:val="none"/>
        </w:rPr>
        <w:t>: Iran and Russia share a common interest in countering U.S. influence in the Middle East and preventing Western-backed regime changes. Both countries have supported the Assad regime in Syria and have worked together to undermine U.S. and Western strategies in the region.</w:t>
      </w:r>
    </w:p>
    <w:p w14:paraId="37269B09" w14:textId="77777777" w:rsidR="008433E4" w:rsidRPr="008433E4" w:rsidRDefault="008433E4" w:rsidP="008433E4">
      <w:pPr>
        <w:numPr>
          <w:ilvl w:val="1"/>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Collaboration in Syria and Beyond</w:t>
      </w:r>
      <w:r w:rsidRPr="008433E4">
        <w:rPr>
          <w:rFonts w:ascii="Times New Roman" w:eastAsia="Times New Roman" w:hAnsi="Times New Roman" w:cs="Times New Roman"/>
          <w:kern w:val="0"/>
          <w:sz w:val="24"/>
          <w:szCs w:val="24"/>
          <w14:ligatures w14:val="none"/>
        </w:rPr>
        <w:t>: The military cooperation between Russia and Iran in Syria has been a key example of their strategic partnership. Russian airpower, combined with Iranian-backed ground forces, has proven effective in sustaining the Assad regime and defeating opposition forces. Both countries have also coordinated efforts to stabilize and rebuild Syria in the aftermath of the conflict, seeking to entrench their influence in the Levant.</w:t>
      </w:r>
    </w:p>
    <w:p w14:paraId="5F167C7D" w14:textId="77777777" w:rsidR="008433E4" w:rsidRPr="008433E4" w:rsidRDefault="008433E4" w:rsidP="008433E4">
      <w:pPr>
        <w:numPr>
          <w:ilvl w:val="0"/>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Divergences and Competing Goals</w:t>
      </w:r>
      <w:r w:rsidRPr="008433E4">
        <w:rPr>
          <w:rFonts w:ascii="Times New Roman" w:eastAsia="Times New Roman" w:hAnsi="Times New Roman" w:cs="Times New Roman"/>
          <w:kern w:val="0"/>
          <w:sz w:val="24"/>
          <w:szCs w:val="24"/>
          <w14:ligatures w14:val="none"/>
        </w:rPr>
        <w:t>:</w:t>
      </w:r>
    </w:p>
    <w:p w14:paraId="7CB2A78A" w14:textId="77777777" w:rsidR="008433E4" w:rsidRPr="008433E4" w:rsidRDefault="008433E4" w:rsidP="008433E4">
      <w:pPr>
        <w:numPr>
          <w:ilvl w:val="1"/>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Conflicting Visions for the Region</w:t>
      </w:r>
      <w:r w:rsidRPr="008433E4">
        <w:rPr>
          <w:rFonts w:ascii="Times New Roman" w:eastAsia="Times New Roman" w:hAnsi="Times New Roman" w:cs="Times New Roman"/>
          <w:kern w:val="0"/>
          <w:sz w:val="24"/>
          <w:szCs w:val="24"/>
          <w14:ligatures w14:val="none"/>
        </w:rPr>
        <w:t>: Despite their cooperation, Iran and Russia have different long-term visions for the Middle East. Iran seeks to expand its influence across the region, promoting its revolutionary ideology and supporting Shiite militias and political movements. Russia, on the other hand, is primarily interested in maintaining stability, expanding its influence, and preventing the rise of Islamist extremism. Moscow is wary of Iran’s ambitions to dominate the region and is concerned about the potential for Iranian actions to provoke further conflict with Israel or the Gulf states.</w:t>
      </w:r>
    </w:p>
    <w:p w14:paraId="6CD25B0E" w14:textId="77777777" w:rsidR="008433E4" w:rsidRPr="008433E4" w:rsidRDefault="008433E4" w:rsidP="008433E4">
      <w:pPr>
        <w:numPr>
          <w:ilvl w:val="1"/>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Balancing Relations with Other Regional Actors</w:t>
      </w:r>
      <w:r w:rsidRPr="008433E4">
        <w:rPr>
          <w:rFonts w:ascii="Times New Roman" w:eastAsia="Times New Roman" w:hAnsi="Times New Roman" w:cs="Times New Roman"/>
          <w:kern w:val="0"/>
          <w:sz w:val="24"/>
          <w:szCs w:val="24"/>
          <w14:ligatures w14:val="none"/>
        </w:rPr>
        <w:t xml:space="preserve">: Russia’s efforts to maintain good relations with all regional players, including Israel, Turkey, and Saudi Arabia, occasionally put it at odds with Iran. Moscow’s coordination with Israel over Syria, its engagement with Saudi Arabia and the UAE, and its desire to limit </w:t>
      </w:r>
      <w:r w:rsidRPr="008433E4">
        <w:rPr>
          <w:rFonts w:ascii="Times New Roman" w:eastAsia="Times New Roman" w:hAnsi="Times New Roman" w:cs="Times New Roman"/>
          <w:kern w:val="0"/>
          <w:sz w:val="24"/>
          <w:szCs w:val="24"/>
          <w14:ligatures w14:val="none"/>
        </w:rPr>
        <w:lastRenderedPageBreak/>
        <w:t>Iran’s influence in the post-war reconstruction of Syria highlight the complexities of the Russia-Iran relationship.</w:t>
      </w:r>
    </w:p>
    <w:p w14:paraId="5CFC2717"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Implications for the Middle East and Prospects for Peace</w:t>
      </w:r>
    </w:p>
    <w:p w14:paraId="507472B3" w14:textId="77777777" w:rsidR="008433E4" w:rsidRPr="008433E4" w:rsidRDefault="008433E4" w:rsidP="008433E4">
      <w:pPr>
        <w:numPr>
          <w:ilvl w:val="0"/>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Impact on the Israeli-Palestinian Conflict</w:t>
      </w:r>
      <w:r w:rsidRPr="008433E4">
        <w:rPr>
          <w:rFonts w:ascii="Times New Roman" w:eastAsia="Times New Roman" w:hAnsi="Times New Roman" w:cs="Times New Roman"/>
          <w:kern w:val="0"/>
          <w:sz w:val="24"/>
          <w:szCs w:val="24"/>
          <w14:ligatures w14:val="none"/>
        </w:rPr>
        <w:t>:</w:t>
      </w:r>
    </w:p>
    <w:p w14:paraId="1E611299" w14:textId="77777777" w:rsidR="008433E4" w:rsidRPr="008433E4" w:rsidRDefault="008433E4" w:rsidP="008433E4">
      <w:pPr>
        <w:numPr>
          <w:ilvl w:val="1"/>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Support for Anti-Israel Actors</w:t>
      </w:r>
      <w:r w:rsidRPr="008433E4">
        <w:rPr>
          <w:rFonts w:ascii="Times New Roman" w:eastAsia="Times New Roman" w:hAnsi="Times New Roman" w:cs="Times New Roman"/>
          <w:kern w:val="0"/>
          <w:sz w:val="24"/>
          <w:szCs w:val="24"/>
          <w14:ligatures w14:val="none"/>
        </w:rPr>
        <w:t>: Iran's support for groups like Hezbollah, Hamas, and Islamic Jihad keeps pressure on Israel from multiple fronts, complicating efforts toward peace. Meanwhile, Russia's balancing act allows it to engage with all sides, including Israel and Palestinian factions, although its primary focus remains on broader geopolitical goals rather than directly mediating the Israeli-Palestinian conflict.</w:t>
      </w:r>
    </w:p>
    <w:p w14:paraId="0D133BB2" w14:textId="77777777" w:rsidR="008433E4" w:rsidRPr="008433E4" w:rsidRDefault="008433E4" w:rsidP="008433E4">
      <w:pPr>
        <w:numPr>
          <w:ilvl w:val="1"/>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Destabilizing Effects on Regional Security</w:t>
      </w:r>
      <w:r w:rsidRPr="008433E4">
        <w:rPr>
          <w:rFonts w:ascii="Times New Roman" w:eastAsia="Times New Roman" w:hAnsi="Times New Roman" w:cs="Times New Roman"/>
          <w:kern w:val="0"/>
          <w:sz w:val="24"/>
          <w:szCs w:val="24"/>
          <w14:ligatures w14:val="none"/>
        </w:rPr>
        <w:t>: The actions of Iran and Russia have contributed to the overall instability of the Middle East. Iran's support for militant groups and proxy wars in Syria, Yemen, and Iraq perpetuates conflicts with regional spillover effects. Russia's military engagement in Syria, while bolstering Assad, has also led to confrontations with Western powers and strained relations with several Middle Eastern states.</w:t>
      </w:r>
    </w:p>
    <w:p w14:paraId="35E5D369" w14:textId="77777777" w:rsidR="008433E4" w:rsidRPr="008433E4" w:rsidRDefault="008433E4" w:rsidP="008433E4">
      <w:pPr>
        <w:numPr>
          <w:ilvl w:val="0"/>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Challenges and Opportunities for Peace</w:t>
      </w:r>
      <w:r w:rsidRPr="008433E4">
        <w:rPr>
          <w:rFonts w:ascii="Times New Roman" w:eastAsia="Times New Roman" w:hAnsi="Times New Roman" w:cs="Times New Roman"/>
          <w:kern w:val="0"/>
          <w:sz w:val="24"/>
          <w:szCs w:val="24"/>
          <w14:ligatures w14:val="none"/>
        </w:rPr>
        <w:t>:</w:t>
      </w:r>
    </w:p>
    <w:p w14:paraId="4CEC4261" w14:textId="77777777" w:rsidR="008433E4" w:rsidRPr="008433E4" w:rsidRDefault="008433E4" w:rsidP="008433E4">
      <w:pPr>
        <w:numPr>
          <w:ilvl w:val="1"/>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Navigating Iran-Russia Relations</w:t>
      </w:r>
      <w:r w:rsidRPr="008433E4">
        <w:rPr>
          <w:rFonts w:ascii="Times New Roman" w:eastAsia="Times New Roman" w:hAnsi="Times New Roman" w:cs="Times New Roman"/>
          <w:kern w:val="0"/>
          <w:sz w:val="24"/>
          <w:szCs w:val="24"/>
          <w14:ligatures w14:val="none"/>
        </w:rPr>
        <w:t>: Any comprehensive peace effort in the Middle East must consider the complex dynamics of Iran-Russia relations. While their partnership has strengthened the Assad regime and expanded Iranian influence, their diverging interests create both challenges and opportunities for diplomacy. A nuanced approach that leverages Russia’s willingness to engage with all sides and addresses Iran’s security concerns could create openings for dialogue and conflict resolution.</w:t>
      </w:r>
    </w:p>
    <w:p w14:paraId="1EBB57E9" w14:textId="77777777" w:rsidR="008433E4" w:rsidRPr="008433E4" w:rsidRDefault="008433E4" w:rsidP="008433E4">
      <w:pPr>
        <w:numPr>
          <w:ilvl w:val="1"/>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Need for International Engagement</w:t>
      </w:r>
      <w:r w:rsidRPr="008433E4">
        <w:rPr>
          <w:rFonts w:ascii="Times New Roman" w:eastAsia="Times New Roman" w:hAnsi="Times New Roman" w:cs="Times New Roman"/>
          <w:kern w:val="0"/>
          <w:sz w:val="24"/>
          <w:szCs w:val="24"/>
          <w14:ligatures w14:val="none"/>
        </w:rPr>
        <w:t>: Achieving peace in the Middle East will require concerted efforts by the international community to engage both Iran and Russia constructively. Encouraging dialogue, promoting confidence-building measures, and addressing the underlying drivers of conflict—such as economic deprivation, political exclusion, and ideological extremism—will be critical to reducing tensions and promoting long-term stability.</w:t>
      </w:r>
    </w:p>
    <w:p w14:paraId="142842DD"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Conclusion: Strategic Power Plays and the Future of the Middle East</w:t>
      </w:r>
    </w:p>
    <w:p w14:paraId="6799DB1E" w14:textId="77777777" w:rsidR="008433E4" w:rsidRPr="008433E4" w:rsidRDefault="008433E4" w:rsidP="008433E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 xml:space="preserve">Iran and Russia have emerged as key players in the complex geopolitical landscape of the Middle East, each pursuing its own interests while occasionally collaborating to achieve shared objectives. Iran’s ideological commitment to resistance and regional dominance, combined with Russia’s desire to restore its status as a global power, has shaped their actions in Syria, Lebanon, and beyond. While their involvement has contributed to regional instability, it has also highlighted the need for a more comprehensive approach to peace that </w:t>
      </w:r>
      <w:proofErr w:type="gramStart"/>
      <w:r w:rsidRPr="008433E4">
        <w:rPr>
          <w:rFonts w:ascii="Times New Roman" w:eastAsia="Times New Roman" w:hAnsi="Times New Roman" w:cs="Times New Roman"/>
          <w:kern w:val="0"/>
          <w:sz w:val="24"/>
          <w:szCs w:val="24"/>
          <w14:ligatures w14:val="none"/>
        </w:rPr>
        <w:t>takes into account</w:t>
      </w:r>
      <w:proofErr w:type="gramEnd"/>
      <w:r w:rsidRPr="008433E4">
        <w:rPr>
          <w:rFonts w:ascii="Times New Roman" w:eastAsia="Times New Roman" w:hAnsi="Times New Roman" w:cs="Times New Roman"/>
          <w:kern w:val="0"/>
          <w:sz w:val="24"/>
          <w:szCs w:val="24"/>
          <w14:ligatures w14:val="none"/>
        </w:rPr>
        <w:t xml:space="preserve"> the roles and interests of all regional and external actors. As the Middle East continues to face the challenges of conflict, governance, and development, the strategies and actions of Iran and Russia will remain central to shaping its future trajectory.</w:t>
      </w:r>
    </w:p>
    <w:p w14:paraId="280A7964" w14:textId="77777777" w:rsidR="00B014C9" w:rsidRPr="00A02D37" w:rsidRDefault="00B014C9" w:rsidP="002433E6">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p>
    <w:p w14:paraId="232E7151" w14:textId="77777777" w:rsidR="008433E4" w:rsidRPr="008433E4" w:rsidRDefault="008433E4" w:rsidP="008433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433E4">
        <w:rPr>
          <w:rFonts w:ascii="Times New Roman" w:eastAsia="Times New Roman" w:hAnsi="Times New Roman" w:cs="Times New Roman"/>
          <w:b/>
          <w:bCs/>
          <w:kern w:val="0"/>
          <w:sz w:val="27"/>
          <w:szCs w:val="27"/>
          <w14:ligatures w14:val="none"/>
        </w:rPr>
        <w:lastRenderedPageBreak/>
        <w:t>Chapter 23: Controlling the Narrative: How Britain Shaped History to Obscure the Carving Out of Transjordan</w:t>
      </w:r>
    </w:p>
    <w:p w14:paraId="47BDFE6D"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Introduction</w:t>
      </w:r>
    </w:p>
    <w:p w14:paraId="5ED678CF" w14:textId="77777777" w:rsidR="008433E4" w:rsidRPr="008433E4" w:rsidRDefault="008433E4" w:rsidP="008433E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The British decision to carve out Transjordan from the original territory of the British Mandate for Palestine had profound and long-lasting consequences. It not only set the stage for conflict and complications before, during, and after the Holocaust but also established a historical narrative that obscured British actions and placed undue blame on the Jewish state for the absence of a Palestinian state. This chapter examines how Britain systematically shaped history books, maps, and official documentation to create the impression that the mandate territory was always limited to the west of the Jordan River. By controlling this narrative, Britain managed to solidify a global perception that Israel's existence was the primary obstacle to a Palestinian state—a narrative that has influenced international opinion and policy ever since.</w:t>
      </w:r>
    </w:p>
    <w:p w14:paraId="64E5758A"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The Rewriting of History: Redrawing the Mandate Boundaries</w:t>
      </w:r>
    </w:p>
    <w:p w14:paraId="51DB0EE4" w14:textId="77777777" w:rsidR="008433E4" w:rsidRPr="008433E4" w:rsidRDefault="008433E4" w:rsidP="008433E4">
      <w:pPr>
        <w:numPr>
          <w:ilvl w:val="0"/>
          <w:numId w:val="3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Original Mandate for Palestine and the Exclusion of Transjordan</w:t>
      </w:r>
      <w:r w:rsidRPr="008433E4">
        <w:rPr>
          <w:rFonts w:ascii="Times New Roman" w:eastAsia="Times New Roman" w:hAnsi="Times New Roman" w:cs="Times New Roman"/>
          <w:kern w:val="0"/>
          <w:sz w:val="24"/>
          <w:szCs w:val="24"/>
          <w14:ligatures w14:val="none"/>
        </w:rPr>
        <w:t>:</w:t>
      </w:r>
    </w:p>
    <w:p w14:paraId="5BD71FE9"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When the League of Nations granted Britain the mandate for Palestine in 1922, it included all the land west and east of the Jordan River. The Balfour Declaration of 1917, which was incorporated into the mandate, promised the establishment of a “national home for the Jewish people” within this territory. However, the 1921 decision to carve out Transjordan fundamentally altered the terms of the mandate.</w:t>
      </w:r>
    </w:p>
    <w:p w14:paraId="66F01ABD" w14:textId="77777777" w:rsidR="008433E4" w:rsidRPr="008433E4" w:rsidRDefault="008433E4" w:rsidP="008433E4">
      <w:pPr>
        <w:numPr>
          <w:ilvl w:val="1"/>
          <w:numId w:val="3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Carving Out of Transjordan</w:t>
      </w:r>
      <w:r w:rsidRPr="008433E4">
        <w:rPr>
          <w:rFonts w:ascii="Times New Roman" w:eastAsia="Times New Roman" w:hAnsi="Times New Roman" w:cs="Times New Roman"/>
          <w:kern w:val="0"/>
          <w:sz w:val="24"/>
          <w:szCs w:val="24"/>
          <w14:ligatures w14:val="none"/>
        </w:rPr>
        <w:t>: Britain decided to separate Transjordan from the rest of Palestine to satisfy Hashemite ambitions and placate Arab leaders after World War I. This decision, however, was not fully transparent to the global public. Many people outside the region were unaware that Transjordan, comprising about 77% of the original mandate territory, had been excluded from the Jewish homeland promised under the Balfour Declaration.</w:t>
      </w:r>
    </w:p>
    <w:p w14:paraId="243EB07C" w14:textId="77777777" w:rsidR="008433E4" w:rsidRPr="008433E4" w:rsidRDefault="008433E4" w:rsidP="008433E4">
      <w:pPr>
        <w:numPr>
          <w:ilvl w:val="0"/>
          <w:numId w:val="3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British Efforts to Rewrite History</w:t>
      </w:r>
      <w:r w:rsidRPr="008433E4">
        <w:rPr>
          <w:rFonts w:ascii="Times New Roman" w:eastAsia="Times New Roman" w:hAnsi="Times New Roman" w:cs="Times New Roman"/>
          <w:kern w:val="0"/>
          <w:sz w:val="24"/>
          <w:szCs w:val="24"/>
          <w14:ligatures w14:val="none"/>
        </w:rPr>
        <w:t>:</w:t>
      </w:r>
    </w:p>
    <w:p w14:paraId="14054723"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Once Transjordan was carved out, British officials took deliberate steps to shape the narrative and suggest that the territory west of the Jordan River—what remained of Palestine—was the only land ever intended for a Jewish national home. This involved several key actions:</w:t>
      </w:r>
    </w:p>
    <w:p w14:paraId="2986C522" w14:textId="77777777" w:rsidR="008433E4" w:rsidRPr="008433E4" w:rsidRDefault="008433E4" w:rsidP="008433E4">
      <w:pPr>
        <w:numPr>
          <w:ilvl w:val="1"/>
          <w:numId w:val="345"/>
        </w:numPr>
        <w:spacing w:before="100" w:beforeAutospacing="1" w:after="100" w:afterAutospacing="1" w:line="240" w:lineRule="auto"/>
        <w:ind w:left="1440" w:hanging="36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Manipulation of Maps and Cartography</w:t>
      </w:r>
      <w:r w:rsidRPr="008433E4">
        <w:rPr>
          <w:rFonts w:ascii="Times New Roman" w:eastAsia="Times New Roman" w:hAnsi="Times New Roman" w:cs="Times New Roman"/>
          <w:kern w:val="0"/>
          <w:sz w:val="24"/>
          <w:szCs w:val="24"/>
          <w14:ligatures w14:val="none"/>
        </w:rPr>
        <w:t>: British maps produced after 1921 increasingly depicted the borders of the mandate territory as encompassing only the area west of the Jordan River. Maps used in official British documents, as well as those circulated in schools and government publications, omitted the eastern portion, creating the impression that Transjordan was always a separate entity and not part of the original mandate for Palestine. This subtle but powerful manipulation helped to rewrite the geopolitical reality in the public's mind.</w:t>
      </w:r>
    </w:p>
    <w:p w14:paraId="324584C4" w14:textId="77777777" w:rsidR="008433E4" w:rsidRPr="008433E4" w:rsidRDefault="008433E4" w:rsidP="008433E4">
      <w:pPr>
        <w:numPr>
          <w:ilvl w:val="1"/>
          <w:numId w:val="345"/>
        </w:numPr>
        <w:spacing w:before="100" w:beforeAutospacing="1" w:after="100" w:afterAutospacing="1" w:line="240" w:lineRule="auto"/>
        <w:ind w:left="1440" w:hanging="36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Editing Official Documents and Texts</w:t>
      </w:r>
      <w:r w:rsidRPr="008433E4">
        <w:rPr>
          <w:rFonts w:ascii="Times New Roman" w:eastAsia="Times New Roman" w:hAnsi="Times New Roman" w:cs="Times New Roman"/>
          <w:kern w:val="0"/>
          <w:sz w:val="24"/>
          <w:szCs w:val="24"/>
          <w14:ligatures w14:val="none"/>
        </w:rPr>
        <w:t xml:space="preserve">: British records, historical books, and educational materials began to reflect this altered narrative. Key documents and </w:t>
      </w:r>
      <w:r w:rsidRPr="008433E4">
        <w:rPr>
          <w:rFonts w:ascii="Times New Roman" w:eastAsia="Times New Roman" w:hAnsi="Times New Roman" w:cs="Times New Roman"/>
          <w:kern w:val="0"/>
          <w:sz w:val="24"/>
          <w:szCs w:val="24"/>
          <w14:ligatures w14:val="none"/>
        </w:rPr>
        <w:lastRenderedPageBreak/>
        <w:t>publications removed references to the initial inclusion of Transjordan as part of the mandate, focusing instead on the remaining territory. The portrayal of the mandate territory as exclusively west of the Jordan River was reinforced in both academic and popular histories, shaping the understanding of the region for generations.</w:t>
      </w:r>
    </w:p>
    <w:p w14:paraId="30031DC2" w14:textId="77777777" w:rsidR="008433E4" w:rsidRPr="008433E4" w:rsidRDefault="008433E4" w:rsidP="008433E4">
      <w:pPr>
        <w:numPr>
          <w:ilvl w:val="1"/>
          <w:numId w:val="345"/>
        </w:numPr>
        <w:spacing w:before="100" w:beforeAutospacing="1" w:after="100" w:afterAutospacing="1" w:line="240" w:lineRule="auto"/>
        <w:ind w:left="1440" w:hanging="36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Omitting Key Details in Diplomatic Communications</w:t>
      </w:r>
      <w:r w:rsidRPr="008433E4">
        <w:rPr>
          <w:rFonts w:ascii="Times New Roman" w:eastAsia="Times New Roman" w:hAnsi="Times New Roman" w:cs="Times New Roman"/>
          <w:kern w:val="0"/>
          <w:sz w:val="24"/>
          <w:szCs w:val="24"/>
          <w14:ligatures w14:val="none"/>
        </w:rPr>
        <w:t>: In negotiations with other powers and in the proceedings of international bodies such as the League of Nations, British diplomats carefully framed discussions to avoid mentioning the carve-out of Transjordan. Instead, they emphasized the complexity of administering the remaining territory, deflecting attention away from the 1921 decision that had significantly altered the original mandate. This selective disclosure created a misleading picture of the mandate's intent and scope.</w:t>
      </w:r>
    </w:p>
    <w:p w14:paraId="02996B0E"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Cementing a False Narrative: The Partition Plan as the “Only Option”</w:t>
      </w:r>
    </w:p>
    <w:p w14:paraId="52ACA7D0" w14:textId="77777777" w:rsidR="008433E4" w:rsidRPr="008433E4" w:rsidRDefault="008433E4" w:rsidP="008433E4">
      <w:pPr>
        <w:numPr>
          <w:ilvl w:val="0"/>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Promoting the UN Partition Plan of 1947</w:t>
      </w:r>
      <w:r w:rsidRPr="008433E4">
        <w:rPr>
          <w:rFonts w:ascii="Times New Roman" w:eastAsia="Times New Roman" w:hAnsi="Times New Roman" w:cs="Times New Roman"/>
          <w:kern w:val="0"/>
          <w:sz w:val="24"/>
          <w:szCs w:val="24"/>
          <w14:ligatures w14:val="none"/>
        </w:rPr>
        <w:t>:</w:t>
      </w:r>
    </w:p>
    <w:p w14:paraId="44AECB74"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The British presented the 1947 United Nations Partition Plan, which proposed dividing the remaining 23% of the mandate territory into separate Jewish and Arab states, as the only viable solution to the conflict. This plan, introduced after years of violence and tension, was framed as a final attempt to resolve the competing claims of Jews and Arabs in Palestine.</w:t>
      </w:r>
    </w:p>
    <w:p w14:paraId="00BFF969"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However, this narrative obscured a critical point: the land proposed for division in 1947 was only a fraction of the original territory envisaged under the Balfour Declaration, precisely because of the earlier British decision to carve out Transjordan. The exclusion of Transjordan was rarely mentioned in public discourse about the partition plan, leading many to believe that the small territory remaining west of the Jordan River was the entirety of what had been offered for a Jewish homeland.</w:t>
      </w:r>
    </w:p>
    <w:p w14:paraId="5FCFE392" w14:textId="77777777" w:rsidR="008433E4" w:rsidRPr="008433E4" w:rsidRDefault="008433E4" w:rsidP="008433E4">
      <w:pPr>
        <w:numPr>
          <w:ilvl w:val="0"/>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Erasing the Context of Transjordan’s Exclusion</w:t>
      </w:r>
      <w:r w:rsidRPr="008433E4">
        <w:rPr>
          <w:rFonts w:ascii="Times New Roman" w:eastAsia="Times New Roman" w:hAnsi="Times New Roman" w:cs="Times New Roman"/>
          <w:kern w:val="0"/>
          <w:sz w:val="24"/>
          <w:szCs w:val="24"/>
          <w14:ligatures w14:val="none"/>
        </w:rPr>
        <w:t>:</w:t>
      </w:r>
    </w:p>
    <w:p w14:paraId="455A3B3F"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The British effort to control the historical narrative was reinforced by erasing the context of Transjordan's exclusion from educational materials, political discussions, and public debates:</w:t>
      </w:r>
    </w:p>
    <w:p w14:paraId="319FB1B6" w14:textId="77777777" w:rsidR="008433E4" w:rsidRPr="008433E4" w:rsidRDefault="008433E4" w:rsidP="008433E4">
      <w:pPr>
        <w:numPr>
          <w:ilvl w:val="1"/>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Educational Curricula and Textbooks</w:t>
      </w:r>
      <w:r w:rsidRPr="008433E4">
        <w:rPr>
          <w:rFonts w:ascii="Times New Roman" w:eastAsia="Times New Roman" w:hAnsi="Times New Roman" w:cs="Times New Roman"/>
          <w:kern w:val="0"/>
          <w:sz w:val="24"/>
          <w:szCs w:val="24"/>
          <w14:ligatures w14:val="none"/>
        </w:rPr>
        <w:t>: British-influenced educational curricula in Palestine, other colonial territories, and even in Western countries often presented the partition as a binary conflict between Jews and Arabs over a small strip of land. The removal of Transjordan from the original mandate was either omitted or downplayed, reinforcing the perception that Jewish settlement in Palestine was the sole cause of conflict and that the existence of Israel was the main obstacle to peace.</w:t>
      </w:r>
    </w:p>
    <w:p w14:paraId="56715414" w14:textId="77777777" w:rsidR="008433E4" w:rsidRPr="008433E4" w:rsidRDefault="008433E4" w:rsidP="008433E4">
      <w:pPr>
        <w:numPr>
          <w:ilvl w:val="1"/>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Public Messaging and Media Manipulation</w:t>
      </w:r>
      <w:r w:rsidRPr="008433E4">
        <w:rPr>
          <w:rFonts w:ascii="Times New Roman" w:eastAsia="Times New Roman" w:hAnsi="Times New Roman" w:cs="Times New Roman"/>
          <w:kern w:val="0"/>
          <w:sz w:val="24"/>
          <w:szCs w:val="24"/>
          <w14:ligatures w14:val="none"/>
        </w:rPr>
        <w:t xml:space="preserve">: British authorities controlled the media narrative by emphasizing the Arab-Jewish conflict over the remaining 23% of the mandate territory. British media, which was globally influential at the time, promoted stories of Jewish and Arab tensions without providing the critical </w:t>
      </w:r>
      <w:r w:rsidRPr="008433E4">
        <w:rPr>
          <w:rFonts w:ascii="Times New Roman" w:eastAsia="Times New Roman" w:hAnsi="Times New Roman" w:cs="Times New Roman"/>
          <w:kern w:val="0"/>
          <w:sz w:val="24"/>
          <w:szCs w:val="24"/>
          <w14:ligatures w14:val="none"/>
        </w:rPr>
        <w:lastRenderedPageBreak/>
        <w:t>background of Transjordan’s carve-out. This selective focus distorted the public's understanding, framing the creation of a Jewish state as an unjust imposition rather than the outcome of British colonial policy decisions.</w:t>
      </w:r>
    </w:p>
    <w:p w14:paraId="54B36F9C" w14:textId="77777777" w:rsidR="008433E4" w:rsidRPr="008433E4" w:rsidRDefault="008433E4" w:rsidP="008433E4">
      <w:pPr>
        <w:numPr>
          <w:ilvl w:val="1"/>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International Diplomatic Strategy</w:t>
      </w:r>
      <w:r w:rsidRPr="008433E4">
        <w:rPr>
          <w:rFonts w:ascii="Times New Roman" w:eastAsia="Times New Roman" w:hAnsi="Times New Roman" w:cs="Times New Roman"/>
          <w:kern w:val="0"/>
          <w:sz w:val="24"/>
          <w:szCs w:val="24"/>
          <w14:ligatures w14:val="none"/>
        </w:rPr>
        <w:t>: British representatives in international bodies like the United Nations selectively referenced the remaining mandate territory, excluding discussions about Transjordan's earlier removal. By presenting the partition of the land west of the Jordan River as a compromise between equally legitimate national claims, Britain positioned itself as a mediator rather than an instigator of the territorial dispute.</w:t>
      </w:r>
    </w:p>
    <w:p w14:paraId="02CDA68A"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The Impact of a Controlled Historical Narrative: Shaping Global Opinion</w:t>
      </w:r>
    </w:p>
    <w:p w14:paraId="267AC112" w14:textId="77777777" w:rsidR="008433E4" w:rsidRPr="008433E4" w:rsidRDefault="008433E4" w:rsidP="008433E4">
      <w:pPr>
        <w:numPr>
          <w:ilvl w:val="0"/>
          <w:numId w:val="3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Creating the Misconception that Israel Prevented a Palestinian State</w:t>
      </w:r>
      <w:r w:rsidRPr="008433E4">
        <w:rPr>
          <w:rFonts w:ascii="Times New Roman" w:eastAsia="Times New Roman" w:hAnsi="Times New Roman" w:cs="Times New Roman"/>
          <w:kern w:val="0"/>
          <w:sz w:val="24"/>
          <w:szCs w:val="24"/>
          <w14:ligatures w14:val="none"/>
        </w:rPr>
        <w:t>:</w:t>
      </w:r>
    </w:p>
    <w:p w14:paraId="4E4D8736"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The British manipulation of maps, documents, and historical narratives contributed significantly to a global misconception that the existence of Israel was the primary reason there was no Palestinian state. By obscuring the fact that Transjordan had once been part of the land intended for a Jewish national home, the narrative that a Palestinian state was impossible because of Jewish claims became cemented in the minds of policymakers and the public alike.</w:t>
      </w:r>
    </w:p>
    <w:p w14:paraId="0F4911E4" w14:textId="77777777" w:rsidR="008433E4" w:rsidRPr="008433E4" w:rsidRDefault="008433E4" w:rsidP="008433E4">
      <w:pPr>
        <w:numPr>
          <w:ilvl w:val="1"/>
          <w:numId w:val="3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Blaming Israel for the Absence of a Palestinian State</w:t>
      </w:r>
      <w:r w:rsidRPr="008433E4">
        <w:rPr>
          <w:rFonts w:ascii="Times New Roman" w:eastAsia="Times New Roman" w:hAnsi="Times New Roman" w:cs="Times New Roman"/>
          <w:kern w:val="0"/>
          <w:sz w:val="24"/>
          <w:szCs w:val="24"/>
          <w14:ligatures w14:val="none"/>
        </w:rPr>
        <w:t>: As the narrative that the Jewish state prevented a Palestinian state took hold, international pressure increasingly focused on Israel as the obstacle to peace. This view ignored the complex historical context and Britain’s role in altering the original terms of the mandate. The global community came to see the conflict as a zero-sum game between Israelis and Palestinians, neglecting the British decision that had made a fair territorial division nearly impossible from the start.</w:t>
      </w:r>
    </w:p>
    <w:p w14:paraId="01400131" w14:textId="77777777" w:rsidR="008433E4" w:rsidRPr="008433E4" w:rsidRDefault="008433E4" w:rsidP="008433E4">
      <w:pPr>
        <w:numPr>
          <w:ilvl w:val="0"/>
          <w:numId w:val="3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Long-Term Consequences of British Narrative Control</w:t>
      </w:r>
      <w:r w:rsidRPr="008433E4">
        <w:rPr>
          <w:rFonts w:ascii="Times New Roman" w:eastAsia="Times New Roman" w:hAnsi="Times New Roman" w:cs="Times New Roman"/>
          <w:kern w:val="0"/>
          <w:sz w:val="24"/>
          <w:szCs w:val="24"/>
          <w14:ligatures w14:val="none"/>
        </w:rPr>
        <w:t>:</w:t>
      </w:r>
    </w:p>
    <w:p w14:paraId="0F7A7278" w14:textId="77777777" w:rsidR="008433E4" w:rsidRPr="008433E4" w:rsidRDefault="008433E4" w:rsidP="008433E4">
      <w:pPr>
        <w:numPr>
          <w:ilvl w:val="1"/>
          <w:numId w:val="348"/>
        </w:numPr>
        <w:spacing w:before="100" w:beforeAutospacing="1" w:after="100" w:afterAutospacing="1" w:line="240" w:lineRule="auto"/>
        <w:ind w:left="1440" w:hanging="36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Entrenchment of Anti-Israel Sentiment</w:t>
      </w:r>
      <w:r w:rsidRPr="008433E4">
        <w:rPr>
          <w:rFonts w:ascii="Times New Roman" w:eastAsia="Times New Roman" w:hAnsi="Times New Roman" w:cs="Times New Roman"/>
          <w:kern w:val="0"/>
          <w:sz w:val="24"/>
          <w:szCs w:val="24"/>
          <w14:ligatures w14:val="none"/>
        </w:rPr>
        <w:t>: The British-crafted narrative contributed to a widespread perception that Israel’s existence was illegitimate or inherently unjust. This perception has fueled decades of hostility toward Israel, both in the Arab world and among other nations, shaping the diplomatic and political landscape in ways that continue to impact the peace process.</w:t>
      </w:r>
    </w:p>
    <w:p w14:paraId="67862BE0" w14:textId="77777777" w:rsidR="008433E4" w:rsidRPr="008433E4" w:rsidRDefault="008433E4" w:rsidP="008433E4">
      <w:pPr>
        <w:numPr>
          <w:ilvl w:val="1"/>
          <w:numId w:val="348"/>
        </w:numPr>
        <w:spacing w:before="100" w:beforeAutospacing="1" w:after="100" w:afterAutospacing="1" w:line="240" w:lineRule="auto"/>
        <w:ind w:left="1440" w:hanging="36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Obscuring British Responsibility</w:t>
      </w:r>
      <w:r w:rsidRPr="008433E4">
        <w:rPr>
          <w:rFonts w:ascii="Times New Roman" w:eastAsia="Times New Roman" w:hAnsi="Times New Roman" w:cs="Times New Roman"/>
          <w:kern w:val="0"/>
          <w:sz w:val="24"/>
          <w:szCs w:val="24"/>
          <w14:ligatures w14:val="none"/>
        </w:rPr>
        <w:t>: By controlling the narrative, Britain effectively deflected blame for the region’s instability and ongoing conflict. The focus on Israel as the primary obstacle to a Palestinian state allowed Britain to evade scrutiny for its decisions, including the carve-out of Transjordan, which had fundamentally altered the feasibility of partitioning the remaining land between Jews and Arabs.</w:t>
      </w:r>
    </w:p>
    <w:p w14:paraId="214E2441" w14:textId="77777777" w:rsidR="008433E4" w:rsidRPr="008433E4" w:rsidRDefault="008433E4" w:rsidP="008433E4">
      <w:pPr>
        <w:numPr>
          <w:ilvl w:val="1"/>
          <w:numId w:val="348"/>
        </w:numPr>
        <w:spacing w:before="100" w:beforeAutospacing="1" w:after="100" w:afterAutospacing="1" w:line="240" w:lineRule="auto"/>
        <w:ind w:left="1440" w:hanging="36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Shaping International Policy and Attitudes</w:t>
      </w:r>
      <w:r w:rsidRPr="008433E4">
        <w:rPr>
          <w:rFonts w:ascii="Times New Roman" w:eastAsia="Times New Roman" w:hAnsi="Times New Roman" w:cs="Times New Roman"/>
          <w:kern w:val="0"/>
          <w:sz w:val="24"/>
          <w:szCs w:val="24"/>
          <w14:ligatures w14:val="none"/>
        </w:rPr>
        <w:t>: The controlled narrative influenced how international bodies, such as the United Nations, approached the Israeli-Palestinian conflict. The omission of Transjordan from discussions of the original mandate boundaries helped frame Israel as the aggressor in global opinion, impacting resolutions, debates, and diplomatic initiatives for decades.</w:t>
      </w:r>
    </w:p>
    <w:p w14:paraId="4DD194C0"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Conclusion: The Lasting Impact of a Manipulated Historical Narrative</w:t>
      </w:r>
    </w:p>
    <w:p w14:paraId="7C4459FF" w14:textId="77777777" w:rsidR="008433E4" w:rsidRPr="008433E4" w:rsidRDefault="008433E4" w:rsidP="008433E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lastRenderedPageBreak/>
        <w:t>By rewriting history to suggest that the British Mandate for Palestine always existed solely west of the Jordan River and that the partition plan was the only possible solution, Britain effectively shaped global perceptions of the Israeli-Palestinian conflict. This deliberate narrative control obscured the true history of the region, downplayed Britain’s role in creating an impossible situation, and shifted blame onto the Jewish state for the lack of a Palestinian state. As a result, the world has largely accepted a false narrative, one that continues to fuel misunderstanding, conflict, and biased international policies to this day. The legacy of this manipulation has made the pursuit of peace even more complex, entrenching divisions and perpetuating a conflict rooted in the deliberate reshaping of historical truth.</w:t>
      </w:r>
    </w:p>
    <w:p w14:paraId="6EDD1050" w14:textId="77777777" w:rsidR="008433E4" w:rsidRPr="008433E4" w:rsidRDefault="008433E4" w:rsidP="008433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433E4">
        <w:rPr>
          <w:rFonts w:ascii="Times New Roman" w:eastAsia="Times New Roman" w:hAnsi="Times New Roman" w:cs="Times New Roman"/>
          <w:b/>
          <w:bCs/>
          <w:kern w:val="0"/>
          <w:sz w:val="27"/>
          <w:szCs w:val="27"/>
          <w14:ligatures w14:val="none"/>
        </w:rPr>
        <w:t>Chapter 24: Propaganda and Media Manipulation: Hamas and the Strategy of Controlled Conflict</w:t>
      </w:r>
    </w:p>
    <w:p w14:paraId="31C7B297"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Introduction</w:t>
      </w:r>
    </w:p>
    <w:p w14:paraId="551B297D" w14:textId="77777777" w:rsidR="008433E4" w:rsidRPr="008433E4" w:rsidRDefault="008433E4" w:rsidP="008433E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The conflict between Israel and Hamas extends beyond military confrontation; it is also a battle for public perception and narrative. Since its founding in 1987, Hamas, designated as a terrorist organization by many countries, including the United States, the European Union, and Israel, has pursued a dual strategy: conducting an armed struggle against Israel while simultaneously engaging in sophisticated propaganda and media manipulation. This chapter explores how Hamas uses deliberate provocations and conflicts to shape the global media narrative, influence international opinion, and present itself as the legitimate representative of the Palestinian cause. Through strategic propaganda, Hamas seeks to delegitimize Israel on the world stage and gain sympathy and support from international audiences.</w:t>
      </w:r>
    </w:p>
    <w:p w14:paraId="0E138A10"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Hamas's Origins and the Role of Propaganda</w:t>
      </w:r>
    </w:p>
    <w:p w14:paraId="1EA43FA3" w14:textId="77777777" w:rsidR="008433E4" w:rsidRPr="008433E4" w:rsidRDefault="008433E4" w:rsidP="008433E4">
      <w:pPr>
        <w:numPr>
          <w:ilvl w:val="0"/>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Founding and Objectives of Hamas</w:t>
      </w:r>
      <w:r w:rsidRPr="008433E4">
        <w:rPr>
          <w:rFonts w:ascii="Times New Roman" w:eastAsia="Times New Roman" w:hAnsi="Times New Roman" w:cs="Times New Roman"/>
          <w:kern w:val="0"/>
          <w:sz w:val="24"/>
          <w:szCs w:val="24"/>
          <w14:ligatures w14:val="none"/>
        </w:rPr>
        <w:t>:</w:t>
      </w:r>
    </w:p>
    <w:p w14:paraId="1E2A100E"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Hamas, an acronym for “Harakat al-</w:t>
      </w:r>
      <w:proofErr w:type="spellStart"/>
      <w:r w:rsidRPr="008433E4">
        <w:rPr>
          <w:rFonts w:ascii="Times New Roman" w:eastAsia="Times New Roman" w:hAnsi="Times New Roman" w:cs="Times New Roman"/>
          <w:kern w:val="0"/>
          <w:sz w:val="24"/>
          <w:szCs w:val="24"/>
          <w14:ligatures w14:val="none"/>
        </w:rPr>
        <w:t>Muqawama</w:t>
      </w:r>
      <w:proofErr w:type="spellEnd"/>
      <w:r w:rsidRPr="008433E4">
        <w:rPr>
          <w:rFonts w:ascii="Times New Roman" w:eastAsia="Times New Roman" w:hAnsi="Times New Roman" w:cs="Times New Roman"/>
          <w:kern w:val="0"/>
          <w:sz w:val="24"/>
          <w:szCs w:val="24"/>
          <w14:ligatures w14:val="none"/>
        </w:rPr>
        <w:t xml:space="preserve"> al-</w:t>
      </w:r>
      <w:proofErr w:type="spellStart"/>
      <w:r w:rsidRPr="008433E4">
        <w:rPr>
          <w:rFonts w:ascii="Times New Roman" w:eastAsia="Times New Roman" w:hAnsi="Times New Roman" w:cs="Times New Roman"/>
          <w:kern w:val="0"/>
          <w:sz w:val="24"/>
          <w:szCs w:val="24"/>
          <w14:ligatures w14:val="none"/>
        </w:rPr>
        <w:t>Islamiyya</w:t>
      </w:r>
      <w:proofErr w:type="spellEnd"/>
      <w:r w:rsidRPr="008433E4">
        <w:rPr>
          <w:rFonts w:ascii="Times New Roman" w:eastAsia="Times New Roman" w:hAnsi="Times New Roman" w:cs="Times New Roman"/>
          <w:kern w:val="0"/>
          <w:sz w:val="24"/>
          <w:szCs w:val="24"/>
          <w14:ligatures w14:val="none"/>
        </w:rPr>
        <w:t xml:space="preserve">” (Islamic Resistance Movement), was founded in 1987 during the First Intifada (Palestinian uprising) against Israeli occupation. Its founding charter explicitly calls for the destruction of Israel and the establishment of an Islamic state in </w:t>
      </w:r>
      <w:proofErr w:type="gramStart"/>
      <w:r w:rsidRPr="008433E4">
        <w:rPr>
          <w:rFonts w:ascii="Times New Roman" w:eastAsia="Times New Roman" w:hAnsi="Times New Roman" w:cs="Times New Roman"/>
          <w:kern w:val="0"/>
          <w:sz w:val="24"/>
          <w:szCs w:val="24"/>
          <w14:ligatures w14:val="none"/>
        </w:rPr>
        <w:t>all of</w:t>
      </w:r>
      <w:proofErr w:type="gramEnd"/>
      <w:r w:rsidRPr="008433E4">
        <w:rPr>
          <w:rFonts w:ascii="Times New Roman" w:eastAsia="Times New Roman" w:hAnsi="Times New Roman" w:cs="Times New Roman"/>
          <w:kern w:val="0"/>
          <w:sz w:val="24"/>
          <w:szCs w:val="24"/>
          <w14:ligatures w14:val="none"/>
        </w:rPr>
        <w:t xml:space="preserve"> historic Palestine. Unlike its secular rival, the Palestine Liberation Organization (PLO), Hamas is rooted in political Islam and derives much of its ideology and tactics from the Muslim Brotherhood, which emphasizes both jihad (armed struggle) and </w:t>
      </w:r>
      <w:proofErr w:type="spellStart"/>
      <w:r w:rsidRPr="008433E4">
        <w:rPr>
          <w:rFonts w:ascii="Times New Roman" w:eastAsia="Times New Roman" w:hAnsi="Times New Roman" w:cs="Times New Roman"/>
          <w:kern w:val="0"/>
          <w:sz w:val="24"/>
          <w:szCs w:val="24"/>
          <w14:ligatures w14:val="none"/>
        </w:rPr>
        <w:t>dawa</w:t>
      </w:r>
      <w:proofErr w:type="spellEnd"/>
      <w:r w:rsidRPr="008433E4">
        <w:rPr>
          <w:rFonts w:ascii="Times New Roman" w:eastAsia="Times New Roman" w:hAnsi="Times New Roman" w:cs="Times New Roman"/>
          <w:kern w:val="0"/>
          <w:sz w:val="24"/>
          <w:szCs w:val="24"/>
          <w14:ligatures w14:val="none"/>
        </w:rPr>
        <w:t xml:space="preserve"> (proselytization and social services).</w:t>
      </w:r>
    </w:p>
    <w:p w14:paraId="4EB6B9A2"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From its inception, Hamas recognized the importance of controlling the narrative. The organization's leaders understood that their military capabilities were limited compared to Israel's and that international opinion could be a powerful weapon. Therefore, propaganda and information warfare became central components of Hamas's strategy.</w:t>
      </w:r>
    </w:p>
    <w:p w14:paraId="52FC5FCE" w14:textId="77777777" w:rsidR="008433E4" w:rsidRPr="008433E4" w:rsidRDefault="008433E4" w:rsidP="008433E4">
      <w:pPr>
        <w:numPr>
          <w:ilvl w:val="0"/>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Use of Media and Propaganda in the Early Years</w:t>
      </w:r>
      <w:r w:rsidRPr="008433E4">
        <w:rPr>
          <w:rFonts w:ascii="Times New Roman" w:eastAsia="Times New Roman" w:hAnsi="Times New Roman" w:cs="Times New Roman"/>
          <w:kern w:val="0"/>
          <w:sz w:val="24"/>
          <w:szCs w:val="24"/>
          <w14:ligatures w14:val="none"/>
        </w:rPr>
        <w:t>:</w:t>
      </w:r>
    </w:p>
    <w:p w14:paraId="36F44784"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From the outset, Hamas utilized various media, including leaflets, posters, radio broadcasts, and later, internet and social media platforms, to disseminate its messages. Hamas's early propaganda efforts focused on several key themes:</w:t>
      </w:r>
    </w:p>
    <w:p w14:paraId="54685916" w14:textId="77777777" w:rsidR="008433E4" w:rsidRPr="008433E4" w:rsidRDefault="008433E4" w:rsidP="008433E4">
      <w:pPr>
        <w:numPr>
          <w:ilvl w:val="1"/>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Resistance and Martyrdom</w:t>
      </w:r>
      <w:r w:rsidRPr="008433E4">
        <w:rPr>
          <w:rFonts w:ascii="Times New Roman" w:eastAsia="Times New Roman" w:hAnsi="Times New Roman" w:cs="Times New Roman"/>
          <w:kern w:val="0"/>
          <w:sz w:val="24"/>
          <w:szCs w:val="24"/>
          <w14:ligatures w14:val="none"/>
        </w:rPr>
        <w:t>: Hamas portrayed its fighters as "mujahideen" (holy warriors) engaged in a righteous struggle against Israeli "occupation." The group glorified "martyrdom" and suicide bombings, framing them as acts of heroism against a superior enemy. This narrative sought to mobilize Palestinian support and foster a culture of resistance.</w:t>
      </w:r>
    </w:p>
    <w:p w14:paraId="422E7B6E" w14:textId="77777777" w:rsidR="008433E4" w:rsidRPr="008433E4" w:rsidRDefault="008433E4" w:rsidP="008433E4">
      <w:pPr>
        <w:numPr>
          <w:ilvl w:val="1"/>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Victimhood and Oppression</w:t>
      </w:r>
      <w:r w:rsidRPr="008433E4">
        <w:rPr>
          <w:rFonts w:ascii="Times New Roman" w:eastAsia="Times New Roman" w:hAnsi="Times New Roman" w:cs="Times New Roman"/>
          <w:kern w:val="0"/>
          <w:sz w:val="24"/>
          <w:szCs w:val="24"/>
          <w14:ligatures w14:val="none"/>
        </w:rPr>
        <w:t>: Hamas consistently emphasized the suffering of Palestinians under Israeli control, highlighting casualties, home demolitions, and other hardships as evidence of Israeli oppression. By presenting Palestinians as the victims of Israeli aggression, Hamas aimed to gain international sympathy and support.</w:t>
      </w:r>
    </w:p>
    <w:p w14:paraId="0C420E05" w14:textId="77777777" w:rsidR="008433E4" w:rsidRPr="008433E4" w:rsidRDefault="008433E4" w:rsidP="008433E4">
      <w:pPr>
        <w:numPr>
          <w:ilvl w:val="1"/>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Delegitimizing Israel</w:t>
      </w:r>
      <w:r w:rsidRPr="008433E4">
        <w:rPr>
          <w:rFonts w:ascii="Times New Roman" w:eastAsia="Times New Roman" w:hAnsi="Times New Roman" w:cs="Times New Roman"/>
          <w:kern w:val="0"/>
          <w:sz w:val="24"/>
          <w:szCs w:val="24"/>
          <w14:ligatures w14:val="none"/>
        </w:rPr>
        <w:t>: The organization used media to delegitimize Israel by portraying it as a colonial and imperialist entity, illegally occupying Palestinian land. This narrative was designed to erode Israel's legitimacy and support among international audiences.</w:t>
      </w:r>
    </w:p>
    <w:p w14:paraId="5D208E3C"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The Strategy of Controlled Conflict: Deliberate Provocations to Shape the Narrative</w:t>
      </w:r>
    </w:p>
    <w:p w14:paraId="44FD8B62" w14:textId="77777777" w:rsidR="008433E4" w:rsidRPr="008433E4" w:rsidRDefault="008433E4" w:rsidP="008433E4">
      <w:pPr>
        <w:numPr>
          <w:ilvl w:val="0"/>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Using Deliberate Provocations to Trigger Israeli Responses</w:t>
      </w:r>
      <w:r w:rsidRPr="008433E4">
        <w:rPr>
          <w:rFonts w:ascii="Times New Roman" w:eastAsia="Times New Roman" w:hAnsi="Times New Roman" w:cs="Times New Roman"/>
          <w:kern w:val="0"/>
          <w:sz w:val="24"/>
          <w:szCs w:val="24"/>
          <w14:ligatures w14:val="none"/>
        </w:rPr>
        <w:t>:</w:t>
      </w:r>
    </w:p>
    <w:p w14:paraId="4DD9048B" w14:textId="77777777" w:rsidR="008433E4" w:rsidRPr="008433E4" w:rsidRDefault="008433E4" w:rsidP="008433E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Hamas has employed the tactic of deliberately provoking conflicts with Israel to control the media narrative and achieve its strategic objectives. The organization understands that in asymmetric warfare, it can use its relative military weakness to its advantage by framing itself as the underdog.</w:t>
      </w:r>
    </w:p>
    <w:p w14:paraId="19902F73"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Launching Rocket Attacks and Mortar Shells</w:t>
      </w:r>
      <w:r w:rsidRPr="008433E4">
        <w:rPr>
          <w:rFonts w:ascii="Times New Roman" w:eastAsia="Times New Roman" w:hAnsi="Times New Roman" w:cs="Times New Roman"/>
          <w:kern w:val="0"/>
          <w:sz w:val="24"/>
          <w:szCs w:val="24"/>
          <w14:ligatures w14:val="none"/>
        </w:rPr>
        <w:t>: Hamas frequently fires rockets and mortars indiscriminately into Israeli civilian areas, often without immediate provocation from Israel. These attacks serve dual purposes: demonstrating resistance against Israel and provoking an Israeli military response.</w:t>
      </w:r>
    </w:p>
    <w:p w14:paraId="4B791848"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Human Shields and Civilian Areas</w:t>
      </w:r>
      <w:r w:rsidRPr="008433E4">
        <w:rPr>
          <w:rFonts w:ascii="Times New Roman" w:eastAsia="Times New Roman" w:hAnsi="Times New Roman" w:cs="Times New Roman"/>
          <w:kern w:val="0"/>
          <w:sz w:val="24"/>
          <w:szCs w:val="24"/>
          <w14:ligatures w14:val="none"/>
        </w:rPr>
        <w:t>: Hamas strategically positions its military assets, including rocket launchers and weapons caches, in densely populated civilian areas, such as schools, hospitals, and residential buildings. This tactic serves multiple purposes:</w:t>
      </w:r>
    </w:p>
    <w:p w14:paraId="7FA56342" w14:textId="77777777" w:rsidR="008433E4" w:rsidRPr="008433E4" w:rsidRDefault="008433E4" w:rsidP="008433E4">
      <w:pPr>
        <w:numPr>
          <w:ilvl w:val="2"/>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Maximizing Civilian Casualties</w:t>
      </w:r>
      <w:r w:rsidRPr="008433E4">
        <w:rPr>
          <w:rFonts w:ascii="Times New Roman" w:eastAsia="Times New Roman" w:hAnsi="Times New Roman" w:cs="Times New Roman"/>
          <w:kern w:val="0"/>
          <w:sz w:val="24"/>
          <w:szCs w:val="24"/>
          <w14:ligatures w14:val="none"/>
        </w:rPr>
        <w:t>: When Israel retaliates against these military assets, the risk of civilian casualties increases, providing Hamas with powerful propaganda material to portray Israel as indiscriminately targeting civilians.</w:t>
      </w:r>
    </w:p>
    <w:p w14:paraId="06DDEAC5" w14:textId="77777777" w:rsidR="008433E4" w:rsidRPr="008433E4" w:rsidRDefault="008433E4" w:rsidP="008433E4">
      <w:pPr>
        <w:numPr>
          <w:ilvl w:val="2"/>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Drawing International Condemnation</w:t>
      </w:r>
      <w:r w:rsidRPr="008433E4">
        <w:rPr>
          <w:rFonts w:ascii="Times New Roman" w:eastAsia="Times New Roman" w:hAnsi="Times New Roman" w:cs="Times New Roman"/>
          <w:kern w:val="0"/>
          <w:sz w:val="24"/>
          <w:szCs w:val="24"/>
          <w14:ligatures w14:val="none"/>
        </w:rPr>
        <w:t>: Images and stories of civilian casualties are quickly disseminated by Hamas through its media channels and international outlets, leading to widespread condemnation of Israel's actions.</w:t>
      </w:r>
    </w:p>
    <w:p w14:paraId="0A842A90"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Border Protests and Incursions</w:t>
      </w:r>
      <w:r w:rsidRPr="008433E4">
        <w:rPr>
          <w:rFonts w:ascii="Times New Roman" w:eastAsia="Times New Roman" w:hAnsi="Times New Roman" w:cs="Times New Roman"/>
          <w:kern w:val="0"/>
          <w:sz w:val="24"/>
          <w:szCs w:val="24"/>
          <w14:ligatures w14:val="none"/>
        </w:rPr>
        <w:t>: Hamas has organized mass protests and incursions at the Gaza-Israel border, such as the "Great March of Return" in 2018. These protests are often framed as peaceful, despite involving violent actions like throwing rocks, Molotov cocktails, and attempting to breach the border fence. Hamas uses these confrontations to provoke a response from the Israeli military, knowing that any casualties will be portrayed as victims of Israeli brutality.</w:t>
      </w:r>
    </w:p>
    <w:p w14:paraId="0B618320" w14:textId="77777777" w:rsidR="008433E4" w:rsidRPr="008433E4" w:rsidRDefault="008433E4" w:rsidP="008433E4">
      <w:pPr>
        <w:numPr>
          <w:ilvl w:val="0"/>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Controlling the Media Narrative</w:t>
      </w:r>
      <w:r w:rsidRPr="008433E4">
        <w:rPr>
          <w:rFonts w:ascii="Times New Roman" w:eastAsia="Times New Roman" w:hAnsi="Times New Roman" w:cs="Times New Roman"/>
          <w:kern w:val="0"/>
          <w:sz w:val="24"/>
          <w:szCs w:val="24"/>
          <w14:ligatures w14:val="none"/>
        </w:rPr>
        <w:t>:</w:t>
      </w:r>
    </w:p>
    <w:p w14:paraId="36F00791"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Selective Footage and Staged Events</w:t>
      </w:r>
      <w:r w:rsidRPr="008433E4">
        <w:rPr>
          <w:rFonts w:ascii="Times New Roman" w:eastAsia="Times New Roman" w:hAnsi="Times New Roman" w:cs="Times New Roman"/>
          <w:kern w:val="0"/>
          <w:sz w:val="24"/>
          <w:szCs w:val="24"/>
          <w14:ligatures w14:val="none"/>
        </w:rPr>
        <w:t>: Hamas meticulously controls the flow of information coming out of Gaza. It selectively releases footage of Israeli airstrikes, particularly those showing damage to civilian infrastructure or casualties, while withholding footage of its military activities. In some instances, Hamas has been accused of staging events or manipulating footage to exaggerate the impact of Israeli strikes or fabricate incidents.</w:t>
      </w:r>
    </w:p>
    <w:p w14:paraId="315F0E35"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Restricting Foreign Media Access</w:t>
      </w:r>
      <w:r w:rsidRPr="008433E4">
        <w:rPr>
          <w:rFonts w:ascii="Times New Roman" w:eastAsia="Times New Roman" w:hAnsi="Times New Roman" w:cs="Times New Roman"/>
          <w:kern w:val="0"/>
          <w:sz w:val="24"/>
          <w:szCs w:val="24"/>
          <w14:ligatures w14:val="none"/>
        </w:rPr>
        <w:t>: Hamas closely monitors and restricts foreign journalists working in Gaza. Journalists who report on Hamas's use of human shields or military activities in civilian areas face threats and intimidation. As a result, much of the reporting from Gaza is shaped by the narrative that Hamas wants to project—one of victimhood and resistance against Israeli aggression.</w:t>
      </w:r>
    </w:p>
    <w:p w14:paraId="26B0DA80"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 xml:space="preserve">Using </w:t>
      </w:r>
      <w:proofErr w:type="gramStart"/>
      <w:r w:rsidRPr="008433E4">
        <w:rPr>
          <w:rFonts w:ascii="Times New Roman" w:eastAsia="Times New Roman" w:hAnsi="Times New Roman" w:cs="Times New Roman"/>
          <w:b/>
          <w:bCs/>
          <w:kern w:val="0"/>
          <w:sz w:val="24"/>
          <w:szCs w:val="24"/>
          <w14:ligatures w14:val="none"/>
        </w:rPr>
        <w:t>Social Media</w:t>
      </w:r>
      <w:proofErr w:type="gramEnd"/>
      <w:r w:rsidRPr="008433E4">
        <w:rPr>
          <w:rFonts w:ascii="Times New Roman" w:eastAsia="Times New Roman" w:hAnsi="Times New Roman" w:cs="Times New Roman"/>
          <w:b/>
          <w:bCs/>
          <w:kern w:val="0"/>
          <w:sz w:val="24"/>
          <w:szCs w:val="24"/>
          <w14:ligatures w14:val="none"/>
        </w:rPr>
        <w:t xml:space="preserve"> for Propaganda</w:t>
      </w:r>
      <w:r w:rsidRPr="008433E4">
        <w:rPr>
          <w:rFonts w:ascii="Times New Roman" w:eastAsia="Times New Roman" w:hAnsi="Times New Roman" w:cs="Times New Roman"/>
          <w:kern w:val="0"/>
          <w:sz w:val="24"/>
          <w:szCs w:val="24"/>
          <w14:ligatures w14:val="none"/>
        </w:rPr>
        <w:t>: Hamas has adapted to modern communication technologies, using platforms such as Twitter, Facebook, and YouTube to disseminate its messages globally. These platforms allow Hamas to bypass traditional media filters and reach a broader audience with images, videos, and statements that portray Israel in a negative light.</w:t>
      </w:r>
    </w:p>
    <w:p w14:paraId="69BB32C5" w14:textId="77777777" w:rsidR="008433E4" w:rsidRPr="008433E4" w:rsidRDefault="008433E4" w:rsidP="008433E4">
      <w:pPr>
        <w:numPr>
          <w:ilvl w:val="1"/>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Cultivating Sympathetic Journalists and NGOs</w:t>
      </w:r>
      <w:r w:rsidRPr="008433E4">
        <w:rPr>
          <w:rFonts w:ascii="Times New Roman" w:eastAsia="Times New Roman" w:hAnsi="Times New Roman" w:cs="Times New Roman"/>
          <w:kern w:val="0"/>
          <w:sz w:val="24"/>
          <w:szCs w:val="24"/>
          <w14:ligatures w14:val="none"/>
        </w:rPr>
        <w:t>: Hamas works to cultivate relationships with sympathetic journalists and non-governmental organizations (NGOs) to ensure its narrative reaches global audiences. It often provides exclusive access to friendly media outlets, which then shape international opinion in favor of the Palestinian cause.</w:t>
      </w:r>
    </w:p>
    <w:p w14:paraId="4D979A57"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The Impact of Propaganda on International Opinion</w:t>
      </w:r>
    </w:p>
    <w:p w14:paraId="4C08CF3A" w14:textId="77777777" w:rsidR="008433E4" w:rsidRPr="008433E4" w:rsidRDefault="008433E4" w:rsidP="008433E4">
      <w:pPr>
        <w:numPr>
          <w:ilvl w:val="0"/>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Shaping Global Perception and Political Responses</w:t>
      </w:r>
      <w:r w:rsidRPr="008433E4">
        <w:rPr>
          <w:rFonts w:ascii="Times New Roman" w:eastAsia="Times New Roman" w:hAnsi="Times New Roman" w:cs="Times New Roman"/>
          <w:kern w:val="0"/>
          <w:sz w:val="24"/>
          <w:szCs w:val="24"/>
          <w14:ligatures w14:val="none"/>
        </w:rPr>
        <w:t>:</w:t>
      </w:r>
    </w:p>
    <w:p w14:paraId="0902B2D3" w14:textId="77777777" w:rsidR="008433E4" w:rsidRPr="008433E4" w:rsidRDefault="008433E4" w:rsidP="008433E4">
      <w:pPr>
        <w:numPr>
          <w:ilvl w:val="1"/>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Eroding Israel’s International Standing</w:t>
      </w:r>
      <w:r w:rsidRPr="008433E4">
        <w:rPr>
          <w:rFonts w:ascii="Times New Roman" w:eastAsia="Times New Roman" w:hAnsi="Times New Roman" w:cs="Times New Roman"/>
          <w:kern w:val="0"/>
          <w:sz w:val="24"/>
          <w:szCs w:val="24"/>
          <w14:ligatures w14:val="none"/>
        </w:rPr>
        <w:t>: By controlling the narrative, Hamas has succeeded in eroding Israel's standing on the international stage. The portrayal of Israel as an aggressor targeting civilians, regardless of context, has led to widespread condemnation and calls for sanctions, investigations, and diplomatic pressure against Israel.</w:t>
      </w:r>
    </w:p>
    <w:p w14:paraId="4792F875" w14:textId="77777777" w:rsidR="008433E4" w:rsidRPr="008433E4" w:rsidRDefault="008433E4" w:rsidP="008433E4">
      <w:pPr>
        <w:numPr>
          <w:ilvl w:val="1"/>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Leveraging Sympathy and Support for the Palestinian Cause</w:t>
      </w:r>
      <w:r w:rsidRPr="008433E4">
        <w:rPr>
          <w:rFonts w:ascii="Times New Roman" w:eastAsia="Times New Roman" w:hAnsi="Times New Roman" w:cs="Times New Roman"/>
          <w:kern w:val="0"/>
          <w:sz w:val="24"/>
          <w:szCs w:val="24"/>
          <w14:ligatures w14:val="none"/>
        </w:rPr>
        <w:t>: Hamas’s ability to present itself as the defender of Palestinian rights has garnered significant sympathy and support from global audiences, including in Western countries. This support has translated into political actions, such as the Boycott, Divestment, Sanctions (BDS) movement, which seeks to pressure Israel economically and politically.</w:t>
      </w:r>
    </w:p>
    <w:p w14:paraId="6C5275FF" w14:textId="77777777" w:rsidR="008433E4" w:rsidRPr="008433E4" w:rsidRDefault="008433E4" w:rsidP="008433E4">
      <w:pPr>
        <w:numPr>
          <w:ilvl w:val="1"/>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Using International Forums to Isolate Israel</w:t>
      </w:r>
      <w:r w:rsidRPr="008433E4">
        <w:rPr>
          <w:rFonts w:ascii="Times New Roman" w:eastAsia="Times New Roman" w:hAnsi="Times New Roman" w:cs="Times New Roman"/>
          <w:kern w:val="0"/>
          <w:sz w:val="24"/>
          <w:szCs w:val="24"/>
          <w14:ligatures w14:val="none"/>
        </w:rPr>
        <w:t>: Hamas’s narrative strategy has been effective in international forums like the United Nations, where resolutions and debates frequently criticize Israeli actions in Gaza while often ignoring or downplaying Hamas's role in instigating violence. This selective focus on Israel has contributed to its diplomatic isolation and undermined efforts for a balanced resolution to the conflict.</w:t>
      </w:r>
    </w:p>
    <w:p w14:paraId="32859B25"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The Broader Strategy of Media Manipulation: Long-Term Goals</w:t>
      </w:r>
    </w:p>
    <w:p w14:paraId="4A9D964F" w14:textId="77777777" w:rsidR="008433E4" w:rsidRPr="008433E4" w:rsidRDefault="008433E4" w:rsidP="008433E4">
      <w:pPr>
        <w:numPr>
          <w:ilvl w:val="0"/>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Hamas’s Objectives in Controlling the Narrative</w:t>
      </w:r>
      <w:r w:rsidRPr="008433E4">
        <w:rPr>
          <w:rFonts w:ascii="Times New Roman" w:eastAsia="Times New Roman" w:hAnsi="Times New Roman" w:cs="Times New Roman"/>
          <w:kern w:val="0"/>
          <w:sz w:val="24"/>
          <w:szCs w:val="24"/>
          <w14:ligatures w14:val="none"/>
        </w:rPr>
        <w:t>:</w:t>
      </w:r>
    </w:p>
    <w:p w14:paraId="1A9C3390" w14:textId="77777777" w:rsidR="008433E4" w:rsidRPr="008433E4" w:rsidRDefault="008433E4" w:rsidP="008433E4">
      <w:pPr>
        <w:numPr>
          <w:ilvl w:val="1"/>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Undermining the Peace Process</w:t>
      </w:r>
      <w:r w:rsidRPr="008433E4">
        <w:rPr>
          <w:rFonts w:ascii="Times New Roman" w:eastAsia="Times New Roman" w:hAnsi="Times New Roman" w:cs="Times New Roman"/>
          <w:kern w:val="0"/>
          <w:sz w:val="24"/>
          <w:szCs w:val="24"/>
          <w14:ligatures w14:val="none"/>
        </w:rPr>
        <w:t>: By provoking conflict and manipulating the media narrative, Hamas aims to undermine any potential peace process between Israel and the Palestinian Authority (PA). Hamas opposes negotiations with Israel and views any compromise as a betrayal of its ideological goal of eliminating the Jewish state. By presenting itself as the true defender of Palestinian rights, Hamas seeks to delegitimize the PA and position itself as the only credible representative of the Palestinian people.</w:t>
      </w:r>
    </w:p>
    <w:p w14:paraId="7572CD23" w14:textId="77777777" w:rsidR="008433E4" w:rsidRPr="008433E4" w:rsidRDefault="008433E4" w:rsidP="008433E4">
      <w:pPr>
        <w:numPr>
          <w:ilvl w:val="1"/>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Maintaining Control over Gaza and Expanding Influence</w:t>
      </w:r>
      <w:r w:rsidRPr="008433E4">
        <w:rPr>
          <w:rFonts w:ascii="Times New Roman" w:eastAsia="Times New Roman" w:hAnsi="Times New Roman" w:cs="Times New Roman"/>
          <w:kern w:val="0"/>
          <w:sz w:val="24"/>
          <w:szCs w:val="24"/>
          <w14:ligatures w14:val="none"/>
        </w:rPr>
        <w:t>: Controlling the narrative allows Hamas to maintain its hold over Gaza and potentially expand its influence in the West Bank. By presenting itself as the steadfast opponent of Israeli occupation, Hamas can rally popular support, suppress internal dissent, and discredit its rivals, particularly the PA.</w:t>
      </w:r>
    </w:p>
    <w:p w14:paraId="5034AFE6" w14:textId="77777777" w:rsidR="008433E4" w:rsidRPr="008433E4" w:rsidRDefault="008433E4" w:rsidP="008433E4">
      <w:pPr>
        <w:numPr>
          <w:ilvl w:val="1"/>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Securing International Aid and Funding</w:t>
      </w:r>
      <w:r w:rsidRPr="008433E4">
        <w:rPr>
          <w:rFonts w:ascii="Times New Roman" w:eastAsia="Times New Roman" w:hAnsi="Times New Roman" w:cs="Times New Roman"/>
          <w:kern w:val="0"/>
          <w:sz w:val="24"/>
          <w:szCs w:val="24"/>
          <w14:ligatures w14:val="none"/>
        </w:rPr>
        <w:t>: Hamas uses its narrative to appeal for international aid and funding, portraying itself as the provider of essential services to the people of Gaza. By highlighting the suffering of Gazans, it seeks to draw humanitarian assistance from international donors, which it then uses to maintain its control over Gaza and fund its activities.</w:t>
      </w:r>
    </w:p>
    <w:p w14:paraId="104CF1E2"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Conclusion: Propaganda as a Weapon of Conflict</w:t>
      </w:r>
    </w:p>
    <w:p w14:paraId="4FE1CA12" w14:textId="5DB61F7C" w:rsidR="00B014C9" w:rsidRPr="00A02D37" w:rsidRDefault="008433E4" w:rsidP="00B014C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Hamas’s focus on propaganda and media manipulation is a core element of its strategy against Israel. By deliberately provoking conflicts, controlling the media narrative, and portraying itself as both a victim and a resistance force, Hamas has shaped international opinion in its favor. This strategy has undermined Israel’s standing, garnered global support for the Palestinian cause, and reinforced Hamas’s position within Palestinian society. Understanding this aspect of the conflict is essential to grasp the complexities of the Israeli-Palestinian struggle and the broader challenges of achieving a just and lasting peace in the region.</w:t>
      </w:r>
      <w:r w:rsidR="00B014C9" w:rsidRPr="00A02D37">
        <w:rPr>
          <w:rFonts w:ascii="Times New Roman" w:eastAsia="Times New Roman" w:hAnsi="Times New Roman" w:cs="Times New Roman"/>
          <w:vanish/>
          <w:kern w:val="0"/>
          <w:sz w:val="24"/>
          <w:szCs w:val="24"/>
          <w14:ligatures w14:val="none"/>
        </w:rPr>
        <w:t>Top of Form</w:t>
      </w:r>
    </w:p>
    <w:p w14:paraId="2411EDDB" w14:textId="77777777" w:rsidR="00B014C9" w:rsidRPr="00A02D37" w:rsidRDefault="00B014C9" w:rsidP="00B014C9">
      <w:pPr>
        <w:pBdr>
          <w:top w:val="single" w:sz="6" w:space="1" w:color="auto"/>
        </w:pBdr>
        <w:spacing w:after="0" w:line="240" w:lineRule="auto"/>
        <w:jc w:val="center"/>
        <w:rPr>
          <w:rFonts w:ascii="Times New Roman" w:eastAsia="Times New Roman" w:hAnsi="Times New Roman" w:cs="Times New Roman"/>
          <w:vanish/>
          <w:kern w:val="0"/>
          <w:sz w:val="24"/>
          <w:szCs w:val="24"/>
          <w14:ligatures w14:val="none"/>
        </w:rPr>
      </w:pPr>
      <w:r w:rsidRPr="00A02D37">
        <w:rPr>
          <w:rFonts w:ascii="Times New Roman" w:eastAsia="Times New Roman" w:hAnsi="Times New Roman" w:cs="Times New Roman"/>
          <w:vanish/>
          <w:kern w:val="0"/>
          <w:sz w:val="24"/>
          <w:szCs w:val="24"/>
          <w14:ligatures w14:val="none"/>
        </w:rPr>
        <w:t>Bottom of Form</w:t>
      </w:r>
    </w:p>
    <w:p w14:paraId="0A5DED1D" w14:textId="77777777" w:rsidR="008433E4" w:rsidRPr="008433E4" w:rsidRDefault="008433E4" w:rsidP="008433E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433E4">
        <w:rPr>
          <w:rFonts w:ascii="Times New Roman" w:eastAsia="Times New Roman" w:hAnsi="Times New Roman" w:cs="Times New Roman"/>
          <w:b/>
          <w:bCs/>
          <w:kern w:val="0"/>
          <w:sz w:val="27"/>
          <w:szCs w:val="27"/>
          <w14:ligatures w14:val="none"/>
        </w:rPr>
        <w:t>Chapter 25: The Failure of Jews and Jewish Organizations to Control the Narrative</w:t>
      </w:r>
    </w:p>
    <w:p w14:paraId="505E34E5"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Introduction: The Narrative Battle in the Israeli-Palestinian Conflict</w:t>
      </w:r>
    </w:p>
    <w:p w14:paraId="49201A58" w14:textId="77777777" w:rsidR="008433E4" w:rsidRPr="008433E4" w:rsidRDefault="008433E4" w:rsidP="008433E4">
      <w:pPr>
        <w:numPr>
          <w:ilvl w:val="0"/>
          <w:numId w:val="3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The Importance of Controlling the Narrative:</w:t>
      </w:r>
    </w:p>
    <w:p w14:paraId="6F9F840C" w14:textId="77777777" w:rsidR="008433E4" w:rsidRPr="008433E4" w:rsidRDefault="008433E4" w:rsidP="008433E4">
      <w:pPr>
        <w:numPr>
          <w:ilvl w:val="1"/>
          <w:numId w:val="3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kern w:val="0"/>
          <w:sz w:val="24"/>
          <w:szCs w:val="24"/>
          <w14:ligatures w14:val="none"/>
        </w:rPr>
        <w:t>In any conflict, the story told can significantly impact global perceptions, diplomatic efforts, and international support. For Israel and Jewish organizations worldwide, effectively communicating their perspective on the Israeli-Palestinian conflict is crucial for maintaining global support and justifying policy decisions. However, Jewish organizations face a particularly challenging narrative battle in today’s complex media environment, characterized by shifting global attitudes and powerful counter-narratives.</w:t>
      </w:r>
    </w:p>
    <w:p w14:paraId="5599B7A5" w14:textId="77777777" w:rsidR="008433E4" w:rsidRPr="008433E4" w:rsidRDefault="008433E4" w:rsidP="008433E4">
      <w:pPr>
        <w:numPr>
          <w:ilvl w:val="1"/>
          <w:numId w:val="3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Fragmented Advocacy Efforts:</w:t>
      </w:r>
      <w:r w:rsidRPr="008433E4">
        <w:rPr>
          <w:rFonts w:ascii="Times New Roman" w:eastAsia="Times New Roman" w:hAnsi="Times New Roman" w:cs="Times New Roman"/>
          <w:kern w:val="0"/>
          <w:sz w:val="24"/>
          <w:szCs w:val="24"/>
          <w14:ligatures w14:val="none"/>
        </w:rPr>
        <w:t xml:space="preserve"> The Jewish community is diverse, with varying viewpoints, political beliefs, and advocacy strategies. This diversity, while a source of strength, also leads to fragmented efforts that complicate the ability to present a unified narrative. Differences between Israel-based and diaspora organizations, left- and right-leaning groups, and religious and secular factions have made it difficult to articulate a consistent message that resonates widely.</w:t>
      </w:r>
    </w:p>
    <w:p w14:paraId="05271561"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Historical Context: Early Advocacy and the Shaping of the Jewish Narrative</w:t>
      </w:r>
    </w:p>
    <w:p w14:paraId="476BD4F3" w14:textId="77777777" w:rsidR="008433E4" w:rsidRPr="008433E4" w:rsidRDefault="008433E4" w:rsidP="008433E4">
      <w:pPr>
        <w:numPr>
          <w:ilvl w:val="0"/>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Foundations of Jewish Advocacy:</w:t>
      </w:r>
    </w:p>
    <w:p w14:paraId="0ED53649" w14:textId="77777777" w:rsidR="008433E4" w:rsidRPr="008433E4" w:rsidRDefault="008433E4" w:rsidP="008433E4">
      <w:pPr>
        <w:numPr>
          <w:ilvl w:val="1"/>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Zionist Advocacy in the Pre-State Era:</w:t>
      </w:r>
      <w:r w:rsidRPr="008433E4">
        <w:rPr>
          <w:rFonts w:ascii="Times New Roman" w:eastAsia="Times New Roman" w:hAnsi="Times New Roman" w:cs="Times New Roman"/>
          <w:kern w:val="0"/>
          <w:sz w:val="24"/>
          <w:szCs w:val="24"/>
          <w14:ligatures w14:val="none"/>
        </w:rPr>
        <w:t xml:space="preserve"> From the late 19th century onward, the Zionist movement promoted the idea of a Jewish homeland in Palestine. Leaders like Theodor Herzl and Chaim Weizmann lobbied European powers and the United States, presenting Zionism as a legitimate national liberation movement. Their efforts were key in securing the Balfour Declaration in 1917 and garnering support for Jewish immigration to Palestine.</w:t>
      </w:r>
    </w:p>
    <w:p w14:paraId="2490575A" w14:textId="77777777" w:rsidR="008433E4" w:rsidRPr="008433E4" w:rsidRDefault="008433E4" w:rsidP="008433E4">
      <w:pPr>
        <w:numPr>
          <w:ilvl w:val="1"/>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Post-Holocaust Advocacy:</w:t>
      </w:r>
      <w:r w:rsidRPr="008433E4">
        <w:rPr>
          <w:rFonts w:ascii="Times New Roman" w:eastAsia="Times New Roman" w:hAnsi="Times New Roman" w:cs="Times New Roman"/>
          <w:kern w:val="0"/>
          <w:sz w:val="24"/>
          <w:szCs w:val="24"/>
          <w14:ligatures w14:val="none"/>
        </w:rPr>
        <w:t xml:space="preserve"> After the Holocaust, Jewish organizations and the new State of Israel emphasized Israel’s creation as a moral necessity—a haven for Jews after genocide. This narrative focused on the Jewish people's historic and religious ties to the land, the right to self-determination, and the existential threats faced by the new state, resonating strongly in the post-World War II context, especially in the United States and Western Europe.</w:t>
      </w:r>
    </w:p>
    <w:p w14:paraId="5073E073" w14:textId="77777777" w:rsidR="008433E4" w:rsidRPr="008433E4" w:rsidRDefault="008433E4" w:rsidP="008433E4">
      <w:pPr>
        <w:numPr>
          <w:ilvl w:val="0"/>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Challenges in Controlling the Narrative:</w:t>
      </w:r>
    </w:p>
    <w:p w14:paraId="087683EE" w14:textId="77777777" w:rsidR="008433E4" w:rsidRPr="008433E4" w:rsidRDefault="008433E4" w:rsidP="008433E4">
      <w:pPr>
        <w:numPr>
          <w:ilvl w:val="1"/>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Impact of the 1967 War:</w:t>
      </w:r>
      <w:r w:rsidRPr="008433E4">
        <w:rPr>
          <w:rFonts w:ascii="Times New Roman" w:eastAsia="Times New Roman" w:hAnsi="Times New Roman" w:cs="Times New Roman"/>
          <w:kern w:val="0"/>
          <w:sz w:val="24"/>
          <w:szCs w:val="24"/>
          <w14:ligatures w14:val="none"/>
        </w:rPr>
        <w:t xml:space="preserve"> Israel’s victory in the 1967 Six-Day War initially enhanced its image as a small state facing existential threats. However, the occupation of Palestinian territories and the rise of a Palestinian national movement began to shift global perceptions. The Palestinian narrative, emphasizing displacement, occupation, and human rights, gained traction, particularly among left-leaning groups, decolonization advocates, and parts of the Global South.</w:t>
      </w:r>
    </w:p>
    <w:p w14:paraId="45B0075E" w14:textId="77777777" w:rsidR="008433E4" w:rsidRPr="008433E4" w:rsidRDefault="008433E4" w:rsidP="008433E4">
      <w:pPr>
        <w:numPr>
          <w:ilvl w:val="1"/>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Rise of the Palestinian Liberation Organization (PLO):</w:t>
      </w:r>
      <w:r w:rsidRPr="008433E4">
        <w:rPr>
          <w:rFonts w:ascii="Times New Roman" w:eastAsia="Times New Roman" w:hAnsi="Times New Roman" w:cs="Times New Roman"/>
          <w:kern w:val="0"/>
          <w:sz w:val="24"/>
          <w:szCs w:val="24"/>
          <w14:ligatures w14:val="none"/>
        </w:rPr>
        <w:t xml:space="preserve"> The PLO's emergence as the representative of the Palestinian people, recognized by the UN in 1974, shifted the narrative. Under Yasser Arafat, the PLO portrayed the Palestinian struggle as a national liberation movement, gaining sympathy, especially in Europe and among newly independent nations.</w:t>
      </w:r>
    </w:p>
    <w:p w14:paraId="0D178D0C"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Strategic Failures and Fragmentation of Jewish Organizations</w:t>
      </w:r>
    </w:p>
    <w:p w14:paraId="5B8ACE6A" w14:textId="77777777" w:rsidR="008433E4" w:rsidRPr="008433E4" w:rsidRDefault="008433E4" w:rsidP="008433E4">
      <w:pPr>
        <w:numPr>
          <w:ilvl w:val="0"/>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Lack of Unified Messaging:</w:t>
      </w:r>
    </w:p>
    <w:p w14:paraId="771D962A" w14:textId="77777777" w:rsidR="008433E4" w:rsidRPr="008433E4" w:rsidRDefault="008433E4" w:rsidP="008433E4">
      <w:pPr>
        <w:numPr>
          <w:ilvl w:val="1"/>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Diverse and Competing Narratives:</w:t>
      </w:r>
      <w:r w:rsidRPr="008433E4">
        <w:rPr>
          <w:rFonts w:ascii="Times New Roman" w:eastAsia="Times New Roman" w:hAnsi="Times New Roman" w:cs="Times New Roman"/>
          <w:kern w:val="0"/>
          <w:sz w:val="24"/>
          <w:szCs w:val="24"/>
          <w14:ligatures w14:val="none"/>
        </w:rPr>
        <w:t xml:space="preserve"> The Jewish and pro-Israel advocacy landscape is marked by diverse organizations with varying missions and strategies. Groups like AIPAC, ADL, J Street, and Jewish Voice for Peace represent a wide range of opinions, from strong support for Israeli policies to advocacy for a two-state solution. This diversity often leads to mixed messages and diluted advocacy efforts, making it difficult to project a clear and consistent narrative.</w:t>
      </w:r>
    </w:p>
    <w:p w14:paraId="4516CB69" w14:textId="77777777" w:rsidR="008433E4" w:rsidRPr="008433E4" w:rsidRDefault="008433E4" w:rsidP="008433E4">
      <w:pPr>
        <w:numPr>
          <w:ilvl w:val="1"/>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Conflicts Between Israeli and Diaspora Organizations:</w:t>
      </w:r>
      <w:r w:rsidRPr="008433E4">
        <w:rPr>
          <w:rFonts w:ascii="Times New Roman" w:eastAsia="Times New Roman" w:hAnsi="Times New Roman" w:cs="Times New Roman"/>
          <w:kern w:val="0"/>
          <w:sz w:val="24"/>
          <w:szCs w:val="24"/>
          <w14:ligatures w14:val="none"/>
        </w:rPr>
        <w:t xml:space="preserve"> Differences between Israeli organizations and Jewish communities in the diaspora add to the narrative challenge. For many diaspora Jews, particularly in the U.S. and Europe, support for Israel is often balanced with concerns about human rights and democratic values. These differences have led to tensions with Israeli government positions, especially under right-wing leadership, resulting in a lack of consensus on presenting Israel’s narrative.</w:t>
      </w:r>
    </w:p>
    <w:p w14:paraId="16864241" w14:textId="77777777" w:rsidR="008433E4" w:rsidRPr="008433E4" w:rsidRDefault="008433E4" w:rsidP="008433E4">
      <w:pPr>
        <w:numPr>
          <w:ilvl w:val="0"/>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Educational and Strategic Gaps:</w:t>
      </w:r>
    </w:p>
    <w:p w14:paraId="37A8798D" w14:textId="77777777" w:rsidR="008433E4" w:rsidRPr="008433E4" w:rsidRDefault="008433E4" w:rsidP="008433E4">
      <w:pPr>
        <w:numPr>
          <w:ilvl w:val="1"/>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Reactive Rather Than Proactive Approach:</w:t>
      </w:r>
      <w:r w:rsidRPr="008433E4">
        <w:rPr>
          <w:rFonts w:ascii="Times New Roman" w:eastAsia="Times New Roman" w:hAnsi="Times New Roman" w:cs="Times New Roman"/>
          <w:kern w:val="0"/>
          <w:sz w:val="24"/>
          <w:szCs w:val="24"/>
          <w14:ligatures w14:val="none"/>
        </w:rPr>
        <w:t xml:space="preserve"> Jewish organizations often react to crises and criticism rather than setting the agenda. This reactive stance leaves them vulnerable to shifting public opinion, especially in the fast-paced world of social media, where narratives can change quickly.</w:t>
      </w:r>
    </w:p>
    <w:p w14:paraId="554BEA11" w14:textId="77777777" w:rsidR="008433E4" w:rsidRPr="008433E4" w:rsidRDefault="008433E4" w:rsidP="008433E4">
      <w:pPr>
        <w:numPr>
          <w:ilvl w:val="1"/>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Failure to Adapt to Digital Media:</w:t>
      </w:r>
      <w:r w:rsidRPr="008433E4">
        <w:rPr>
          <w:rFonts w:ascii="Times New Roman" w:eastAsia="Times New Roman" w:hAnsi="Times New Roman" w:cs="Times New Roman"/>
          <w:kern w:val="0"/>
          <w:sz w:val="24"/>
          <w:szCs w:val="24"/>
          <w14:ligatures w14:val="none"/>
        </w:rPr>
        <w:t xml:space="preserve"> The rise of digital media and social networks has transformed how narratives are shaped and spread. While pro-Palestinian activists have effectively used these platforms, Jewish organizations have struggled to adapt, relying on traditional advocacy methods that don’t always work in a digital environment dominated by emotive storytelling and viral content.</w:t>
      </w:r>
    </w:p>
    <w:p w14:paraId="5C5F71D4"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Impact on Israel’s Diplomatic Standing and International Relations</w:t>
      </w:r>
    </w:p>
    <w:p w14:paraId="549EC22F" w14:textId="77777777" w:rsidR="008433E4" w:rsidRPr="008433E4" w:rsidRDefault="008433E4" w:rsidP="008433E4">
      <w:pPr>
        <w:numPr>
          <w:ilvl w:val="0"/>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Diplomatic and Political Consequences:</w:t>
      </w:r>
    </w:p>
    <w:p w14:paraId="698C5BB0" w14:textId="77777777" w:rsidR="008433E4" w:rsidRPr="008433E4" w:rsidRDefault="008433E4" w:rsidP="008433E4">
      <w:pPr>
        <w:numPr>
          <w:ilvl w:val="1"/>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Erosion of International Support:</w:t>
      </w:r>
      <w:r w:rsidRPr="008433E4">
        <w:rPr>
          <w:rFonts w:ascii="Times New Roman" w:eastAsia="Times New Roman" w:hAnsi="Times New Roman" w:cs="Times New Roman"/>
          <w:kern w:val="0"/>
          <w:sz w:val="24"/>
          <w:szCs w:val="24"/>
          <w14:ligatures w14:val="none"/>
        </w:rPr>
        <w:t xml:space="preserve"> The inability to control the narrative has led to eroding international support for Israel, particularly in Europe and among younger, progressive audiences in the U.S. The growing perception of Israel as an aggressor complicates its diplomatic efforts and has led to increased criticism and support for movements like BDS (Boycott, Divestment, Sanctions).</w:t>
      </w:r>
    </w:p>
    <w:p w14:paraId="48A66E3E" w14:textId="77777777" w:rsidR="008433E4" w:rsidRPr="008433E4" w:rsidRDefault="008433E4" w:rsidP="008433E4">
      <w:pPr>
        <w:numPr>
          <w:ilvl w:val="1"/>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Challenges in Building Regional Alliances:</w:t>
      </w:r>
      <w:r w:rsidRPr="008433E4">
        <w:rPr>
          <w:rFonts w:ascii="Times New Roman" w:eastAsia="Times New Roman" w:hAnsi="Times New Roman" w:cs="Times New Roman"/>
          <w:kern w:val="0"/>
          <w:sz w:val="24"/>
          <w:szCs w:val="24"/>
          <w14:ligatures w14:val="none"/>
        </w:rPr>
        <w:t xml:space="preserve"> Controlling the narrative has also affected Israel’s efforts to build regional alliances. While agreements like the Abraham Accords have improved relations with some Arab states, the unresolved Palestinian issue remains a stumbling block. Many Arab governments remain sensitive to public opinion that views Israel’s policies as unjust, limiting deeper regional integration.</w:t>
      </w:r>
    </w:p>
    <w:p w14:paraId="33E00B4E" w14:textId="77777777" w:rsidR="008433E4" w:rsidRPr="008433E4" w:rsidRDefault="008433E4" w:rsidP="008433E4">
      <w:pPr>
        <w:numPr>
          <w:ilvl w:val="0"/>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Repercussions for Peace Efforts:</w:t>
      </w:r>
    </w:p>
    <w:p w14:paraId="351E6D74" w14:textId="77777777" w:rsidR="008433E4" w:rsidRPr="008433E4" w:rsidRDefault="008433E4" w:rsidP="008433E4">
      <w:pPr>
        <w:numPr>
          <w:ilvl w:val="1"/>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Impact on Peace Negotiations:</w:t>
      </w:r>
      <w:r w:rsidRPr="008433E4">
        <w:rPr>
          <w:rFonts w:ascii="Times New Roman" w:eastAsia="Times New Roman" w:hAnsi="Times New Roman" w:cs="Times New Roman"/>
          <w:kern w:val="0"/>
          <w:sz w:val="24"/>
          <w:szCs w:val="24"/>
          <w14:ligatures w14:val="none"/>
        </w:rPr>
        <w:t xml:space="preserve"> The narrative battle affects both the willingness to negotiate and the terms of potential agreements. For Israel, emphasizing security and existential threats has justified certain policies but has also hardened Palestinian positions, reducing the space for compromise.</w:t>
      </w:r>
    </w:p>
    <w:p w14:paraId="6B59C4DE"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Public Perception and the Rise of Counter-Narratives</w:t>
      </w:r>
    </w:p>
    <w:p w14:paraId="6DE26EA8" w14:textId="77777777" w:rsidR="008433E4" w:rsidRPr="008433E4" w:rsidRDefault="008433E4" w:rsidP="008433E4">
      <w:pPr>
        <w:numPr>
          <w:ilvl w:val="0"/>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Changing Global Attitudes:</w:t>
      </w:r>
    </w:p>
    <w:p w14:paraId="22BC2688" w14:textId="77777777" w:rsidR="008433E4" w:rsidRPr="008433E4" w:rsidRDefault="008433E4" w:rsidP="008433E4">
      <w:pPr>
        <w:numPr>
          <w:ilvl w:val="1"/>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Rise of Intersectional Movements:</w:t>
      </w:r>
      <w:r w:rsidRPr="008433E4">
        <w:rPr>
          <w:rFonts w:ascii="Times New Roman" w:eastAsia="Times New Roman" w:hAnsi="Times New Roman" w:cs="Times New Roman"/>
          <w:kern w:val="0"/>
          <w:sz w:val="24"/>
          <w:szCs w:val="24"/>
          <w14:ligatures w14:val="none"/>
        </w:rPr>
        <w:t xml:space="preserve"> The Palestinian cause has gained traction among global movements linking it with other struggles for social justice, decolonization, and human rights. Movements like Black Lives Matter and indigenous rights campaigns have expressed solidarity with Palestinians, viewing their struggle as part of a broader fight against systemic oppression. This growing solidarity makes it more challenging for Jewish organizations to control the narrative, especially among younger, progressive demographics.</w:t>
      </w:r>
    </w:p>
    <w:p w14:paraId="271F00DB" w14:textId="77777777" w:rsidR="008433E4" w:rsidRPr="008433E4" w:rsidRDefault="008433E4" w:rsidP="008433E4">
      <w:pPr>
        <w:numPr>
          <w:ilvl w:val="1"/>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 xml:space="preserve">Effect of </w:t>
      </w:r>
      <w:proofErr w:type="gramStart"/>
      <w:r w:rsidRPr="008433E4">
        <w:rPr>
          <w:rFonts w:ascii="Times New Roman" w:eastAsia="Times New Roman" w:hAnsi="Times New Roman" w:cs="Times New Roman"/>
          <w:b/>
          <w:bCs/>
          <w:kern w:val="0"/>
          <w:sz w:val="24"/>
          <w:szCs w:val="24"/>
          <w14:ligatures w14:val="none"/>
        </w:rPr>
        <w:t>Social Media</w:t>
      </w:r>
      <w:proofErr w:type="gramEnd"/>
      <w:r w:rsidRPr="008433E4">
        <w:rPr>
          <w:rFonts w:ascii="Times New Roman" w:eastAsia="Times New Roman" w:hAnsi="Times New Roman" w:cs="Times New Roman"/>
          <w:b/>
          <w:bCs/>
          <w:kern w:val="0"/>
          <w:sz w:val="24"/>
          <w:szCs w:val="24"/>
          <w14:ligatures w14:val="none"/>
        </w:rPr>
        <w:t xml:space="preserve"> and Citizen Journalism:</w:t>
      </w:r>
      <w:r w:rsidRPr="008433E4">
        <w:rPr>
          <w:rFonts w:ascii="Times New Roman" w:eastAsia="Times New Roman" w:hAnsi="Times New Roman" w:cs="Times New Roman"/>
          <w:kern w:val="0"/>
          <w:sz w:val="24"/>
          <w:szCs w:val="24"/>
          <w14:ligatures w14:val="none"/>
        </w:rPr>
        <w:t xml:space="preserve"> Social media has empowered grassroots movements to shape narratives. Pro-Palestinian voices have effectively reached global audiences, often using emotive images and personal stories to challenge official narratives.</w:t>
      </w:r>
    </w:p>
    <w:p w14:paraId="6B70960A" w14:textId="77777777" w:rsidR="008433E4" w:rsidRPr="008433E4" w:rsidRDefault="008433E4" w:rsidP="008433E4">
      <w:pPr>
        <w:numPr>
          <w:ilvl w:val="0"/>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Emerging Jewish Voices for Peace and Justice:</w:t>
      </w:r>
    </w:p>
    <w:p w14:paraId="5938FE95" w14:textId="77777777" w:rsidR="008433E4" w:rsidRPr="008433E4" w:rsidRDefault="008433E4" w:rsidP="008433E4">
      <w:pPr>
        <w:numPr>
          <w:ilvl w:val="1"/>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lastRenderedPageBreak/>
        <w:t>Growth of Alternative Jewish Advocacy Groups:</w:t>
      </w:r>
      <w:r w:rsidRPr="008433E4">
        <w:rPr>
          <w:rFonts w:ascii="Times New Roman" w:eastAsia="Times New Roman" w:hAnsi="Times New Roman" w:cs="Times New Roman"/>
          <w:kern w:val="0"/>
          <w:sz w:val="24"/>
          <w:szCs w:val="24"/>
          <w14:ligatures w14:val="none"/>
        </w:rPr>
        <w:t xml:space="preserve"> Groups like J Street, </w:t>
      </w:r>
      <w:proofErr w:type="spellStart"/>
      <w:r w:rsidRPr="008433E4">
        <w:rPr>
          <w:rFonts w:ascii="Times New Roman" w:eastAsia="Times New Roman" w:hAnsi="Times New Roman" w:cs="Times New Roman"/>
          <w:kern w:val="0"/>
          <w:sz w:val="24"/>
          <w:szCs w:val="24"/>
          <w14:ligatures w14:val="none"/>
        </w:rPr>
        <w:t>IfNotNow</w:t>
      </w:r>
      <w:proofErr w:type="spellEnd"/>
      <w:r w:rsidRPr="008433E4">
        <w:rPr>
          <w:rFonts w:ascii="Times New Roman" w:eastAsia="Times New Roman" w:hAnsi="Times New Roman" w:cs="Times New Roman"/>
          <w:kern w:val="0"/>
          <w:sz w:val="24"/>
          <w:szCs w:val="24"/>
          <w14:ligatures w14:val="none"/>
        </w:rPr>
        <w:t>, and Jewish Voice for Peace have emerged, challenging traditional pro-Israel narratives and emphasizing human rights and critical engagement with Israeli policies. While these groups engage younger Jewish audiences, they also contribute to the fragmentation of advocacy efforts, complicating the presentation of a unified message.</w:t>
      </w:r>
    </w:p>
    <w:p w14:paraId="7A8B8B31"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Obstacles and Missed Opportunities in Controlling the Narrative</w:t>
      </w:r>
    </w:p>
    <w:p w14:paraId="5667DAAC" w14:textId="77777777" w:rsidR="008433E4" w:rsidRPr="008433E4" w:rsidRDefault="008433E4" w:rsidP="008433E4">
      <w:pPr>
        <w:numPr>
          <w:ilvl w:val="0"/>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Breakdowns in Strategic Messaging:</w:t>
      </w:r>
    </w:p>
    <w:p w14:paraId="693CECB2" w14:textId="77777777" w:rsidR="008433E4" w:rsidRPr="008433E4" w:rsidRDefault="008433E4" w:rsidP="008433E4">
      <w:pPr>
        <w:numPr>
          <w:ilvl w:val="1"/>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Inconsistent Messaging Across Audiences:</w:t>
      </w:r>
      <w:r w:rsidRPr="008433E4">
        <w:rPr>
          <w:rFonts w:ascii="Times New Roman" w:eastAsia="Times New Roman" w:hAnsi="Times New Roman" w:cs="Times New Roman"/>
          <w:kern w:val="0"/>
          <w:sz w:val="24"/>
          <w:szCs w:val="24"/>
          <w14:ligatures w14:val="none"/>
        </w:rPr>
        <w:t xml:space="preserve"> Jewish organizations often struggle to maintain consistent messaging across different audiences, leading to confusion and lack of coherence. This inconsistency weakens their ability to build broad support and counter opposing narratives.</w:t>
      </w:r>
    </w:p>
    <w:p w14:paraId="61515E4D" w14:textId="77777777" w:rsidR="008433E4" w:rsidRPr="008433E4" w:rsidRDefault="008433E4" w:rsidP="008433E4">
      <w:pPr>
        <w:numPr>
          <w:ilvl w:val="1"/>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Failure to Address Criticisms Transparently:</w:t>
      </w:r>
      <w:r w:rsidRPr="008433E4">
        <w:rPr>
          <w:rFonts w:ascii="Times New Roman" w:eastAsia="Times New Roman" w:hAnsi="Times New Roman" w:cs="Times New Roman"/>
          <w:kern w:val="0"/>
          <w:sz w:val="24"/>
          <w:szCs w:val="24"/>
          <w14:ligatures w14:val="none"/>
        </w:rPr>
        <w:t xml:space="preserve"> Instead of addressing criticisms openly, some Jewish organizations adopt defensive stances or attempt to delegitimize critics. This approach often backfires, reinforcing perceptions of inflexibility and resistance to constructive debate.</w:t>
      </w:r>
    </w:p>
    <w:p w14:paraId="099B908F" w14:textId="77777777" w:rsidR="008433E4" w:rsidRPr="008433E4" w:rsidRDefault="008433E4" w:rsidP="008433E4">
      <w:pPr>
        <w:numPr>
          <w:ilvl w:val="0"/>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Missed Opportunities for Building Broad Coalitions:</w:t>
      </w:r>
    </w:p>
    <w:p w14:paraId="30057699" w14:textId="77777777" w:rsidR="008433E4" w:rsidRPr="008433E4" w:rsidRDefault="008433E4" w:rsidP="008433E4">
      <w:pPr>
        <w:numPr>
          <w:ilvl w:val="1"/>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Limited Engagement with Civil Society and Progressive Movements:</w:t>
      </w:r>
      <w:r w:rsidRPr="008433E4">
        <w:rPr>
          <w:rFonts w:ascii="Times New Roman" w:eastAsia="Times New Roman" w:hAnsi="Times New Roman" w:cs="Times New Roman"/>
          <w:kern w:val="0"/>
          <w:sz w:val="24"/>
          <w:szCs w:val="24"/>
          <w14:ligatures w14:val="none"/>
        </w:rPr>
        <w:t xml:space="preserve"> Jewish organizations have missed chances to engage meaningfully with civil society, grassroots movements, and progressive activists. Building bridges with these groups could strengthen advocacy efforts and help counter negative perceptions.</w:t>
      </w:r>
    </w:p>
    <w:p w14:paraId="5CA38B58" w14:textId="77777777" w:rsidR="008433E4" w:rsidRPr="008433E4" w:rsidRDefault="008433E4" w:rsidP="008433E4">
      <w:pPr>
        <w:numPr>
          <w:ilvl w:val="1"/>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Overreliance on Traditional Alliances:</w:t>
      </w:r>
      <w:r w:rsidRPr="008433E4">
        <w:rPr>
          <w:rFonts w:ascii="Times New Roman" w:eastAsia="Times New Roman" w:hAnsi="Times New Roman" w:cs="Times New Roman"/>
          <w:kern w:val="0"/>
          <w:sz w:val="24"/>
          <w:szCs w:val="24"/>
          <w14:ligatures w14:val="none"/>
        </w:rPr>
        <w:t xml:space="preserve"> Jewish organizations have relied heavily on established alliances with political leaders, especially in the U.S., but these alliances haven't kept pace with changing demographics and political landscapes. Broader engagement is needed to build coalitions that reflect diverse global public opinion.</w:t>
      </w:r>
    </w:p>
    <w:p w14:paraId="09259EEA"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Path Forward: Strategic Shifts and Renewed Advocacy Efforts</w:t>
      </w:r>
    </w:p>
    <w:p w14:paraId="034E38B9" w14:textId="77777777" w:rsidR="008433E4" w:rsidRPr="008433E4" w:rsidRDefault="008433E4" w:rsidP="008433E4">
      <w:pPr>
        <w:numPr>
          <w:ilvl w:val="0"/>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Developing a Unified and Inclusive Narrative:</w:t>
      </w:r>
    </w:p>
    <w:p w14:paraId="6AE2D025" w14:textId="77777777" w:rsidR="008433E4" w:rsidRPr="008433E4" w:rsidRDefault="008433E4" w:rsidP="008433E4">
      <w:pPr>
        <w:numPr>
          <w:ilvl w:val="1"/>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Crafting a Cohesive Message:</w:t>
      </w:r>
      <w:r w:rsidRPr="008433E4">
        <w:rPr>
          <w:rFonts w:ascii="Times New Roman" w:eastAsia="Times New Roman" w:hAnsi="Times New Roman" w:cs="Times New Roman"/>
          <w:kern w:val="0"/>
          <w:sz w:val="24"/>
          <w:szCs w:val="24"/>
          <w14:ligatures w14:val="none"/>
        </w:rPr>
        <w:t xml:space="preserve"> Jewish organizations should work towards a cohesive message that reflects diverse Jewish perspectives while emphasizing shared values like peace, security, justice, and coexistence. A balanced narrative that recognizes the conflict's complexities and offers a vision for peace can help bridge divides and rebuild trust.</w:t>
      </w:r>
    </w:p>
    <w:p w14:paraId="1A580B77" w14:textId="77777777" w:rsidR="008433E4" w:rsidRPr="008433E4" w:rsidRDefault="008433E4" w:rsidP="008433E4">
      <w:pPr>
        <w:numPr>
          <w:ilvl w:val="1"/>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Promoting Human Rights and Peace Initiatives:</w:t>
      </w:r>
      <w:r w:rsidRPr="008433E4">
        <w:rPr>
          <w:rFonts w:ascii="Times New Roman" w:eastAsia="Times New Roman" w:hAnsi="Times New Roman" w:cs="Times New Roman"/>
          <w:kern w:val="0"/>
          <w:sz w:val="24"/>
          <w:szCs w:val="24"/>
          <w14:ligatures w14:val="none"/>
        </w:rPr>
        <w:t xml:space="preserve"> Highlighting Israel’s democratic values, commitment to human rights, and peace efforts can counter negative perceptions. Supporting grassroots peace initiatives and promoting cooperation with Palestinian communities can provide a more balanced view of Israel’s actions and intentions.</w:t>
      </w:r>
    </w:p>
    <w:p w14:paraId="3EBC8D8D" w14:textId="77777777" w:rsidR="008433E4" w:rsidRPr="008433E4" w:rsidRDefault="008433E4" w:rsidP="008433E4">
      <w:pPr>
        <w:numPr>
          <w:ilvl w:val="0"/>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Engaging with New Audiences and Building Bridges:</w:t>
      </w:r>
    </w:p>
    <w:p w14:paraId="628F3256" w14:textId="77777777" w:rsidR="008433E4" w:rsidRPr="008433E4" w:rsidRDefault="008433E4" w:rsidP="008433E4">
      <w:pPr>
        <w:numPr>
          <w:ilvl w:val="1"/>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Reaching Out to Progressive Movements and Civil Society:</w:t>
      </w:r>
      <w:r w:rsidRPr="008433E4">
        <w:rPr>
          <w:rFonts w:ascii="Times New Roman" w:eastAsia="Times New Roman" w:hAnsi="Times New Roman" w:cs="Times New Roman"/>
          <w:kern w:val="0"/>
          <w:sz w:val="24"/>
          <w:szCs w:val="24"/>
          <w14:ligatures w14:val="none"/>
        </w:rPr>
        <w:t xml:space="preserve"> Engaging with progressive movements, civil society groups, and human rights organizations can build bridges and find common ground. Open dialogue and collaboration can </w:t>
      </w:r>
      <w:r w:rsidRPr="008433E4">
        <w:rPr>
          <w:rFonts w:ascii="Times New Roman" w:eastAsia="Times New Roman" w:hAnsi="Times New Roman" w:cs="Times New Roman"/>
          <w:kern w:val="0"/>
          <w:sz w:val="24"/>
          <w:szCs w:val="24"/>
          <w14:ligatures w14:val="none"/>
        </w:rPr>
        <w:lastRenderedPageBreak/>
        <w:t>create a more inclusive and credible advocacy strategy that resonates with wider audiences.</w:t>
      </w:r>
    </w:p>
    <w:p w14:paraId="2A8AFE76" w14:textId="77777777" w:rsidR="008433E4" w:rsidRPr="008433E4" w:rsidRDefault="008433E4" w:rsidP="008433E4">
      <w:pPr>
        <w:numPr>
          <w:ilvl w:val="1"/>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Leveraging Digital Media and Grassroots Advocacy:</w:t>
      </w:r>
      <w:r w:rsidRPr="008433E4">
        <w:rPr>
          <w:rFonts w:ascii="Times New Roman" w:eastAsia="Times New Roman" w:hAnsi="Times New Roman" w:cs="Times New Roman"/>
          <w:kern w:val="0"/>
          <w:sz w:val="24"/>
          <w:szCs w:val="24"/>
          <w14:ligatures w14:val="none"/>
        </w:rPr>
        <w:t xml:space="preserve"> Investing in digital media strategies, using social networks, and engaging in grassroots advocacy can help Jewish organizations reach and connect with younger, diverse audiences. Using digital tools to tell compelling stories, promote empathy, and encourage dialogue can shift the narrative positively.</w:t>
      </w:r>
    </w:p>
    <w:p w14:paraId="3150B9F4" w14:textId="77777777" w:rsidR="008433E4" w:rsidRPr="008433E4" w:rsidRDefault="008433E4" w:rsidP="008433E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433E4">
        <w:rPr>
          <w:rFonts w:ascii="Times New Roman" w:eastAsia="Times New Roman" w:hAnsi="Times New Roman" w:cs="Times New Roman"/>
          <w:b/>
          <w:bCs/>
          <w:kern w:val="0"/>
          <w:sz w:val="24"/>
          <w:szCs w:val="24"/>
          <w14:ligatures w14:val="none"/>
        </w:rPr>
        <w:t>Conclusion: Navigating the Narrative Battle for a Path to Peace</w:t>
      </w:r>
    </w:p>
    <w:p w14:paraId="00FA8B41" w14:textId="77777777" w:rsidR="008433E4" w:rsidRPr="008433E4" w:rsidRDefault="008433E4" w:rsidP="008433E4">
      <w:pPr>
        <w:numPr>
          <w:ilvl w:val="0"/>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Reevaluating Advocacy Strategies:</w:t>
      </w:r>
    </w:p>
    <w:p w14:paraId="26BCE646" w14:textId="77777777" w:rsidR="008433E4" w:rsidRPr="008433E4" w:rsidRDefault="008433E4" w:rsidP="008433E4">
      <w:pPr>
        <w:numPr>
          <w:ilvl w:val="1"/>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Balancing Security and Empathy:</w:t>
      </w:r>
      <w:r w:rsidRPr="008433E4">
        <w:rPr>
          <w:rFonts w:ascii="Times New Roman" w:eastAsia="Times New Roman" w:hAnsi="Times New Roman" w:cs="Times New Roman"/>
          <w:kern w:val="0"/>
          <w:sz w:val="24"/>
          <w:szCs w:val="24"/>
          <w14:ligatures w14:val="none"/>
        </w:rPr>
        <w:t xml:space="preserve"> Jewish organizations must balance advocating for Israel’s security with expressing empathy for Palestinian suffering. A more balanced narrative that acknowledges legitimate grievances and promotes a vision of peace can help rebuild trust and encourage dialogue.</w:t>
      </w:r>
    </w:p>
    <w:p w14:paraId="37DAE4F9" w14:textId="77777777" w:rsidR="008433E4" w:rsidRPr="008433E4" w:rsidRDefault="008433E4" w:rsidP="008433E4">
      <w:pPr>
        <w:numPr>
          <w:ilvl w:val="0"/>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Recommendations for Renewed Engagement:</w:t>
      </w:r>
    </w:p>
    <w:p w14:paraId="638EE5C1" w14:textId="77777777" w:rsidR="008433E4" w:rsidRPr="008433E4" w:rsidRDefault="008433E4" w:rsidP="008433E4">
      <w:pPr>
        <w:numPr>
          <w:ilvl w:val="1"/>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Strategic Partnerships and Open Dialogue:</w:t>
      </w:r>
      <w:r w:rsidRPr="008433E4">
        <w:rPr>
          <w:rFonts w:ascii="Times New Roman" w:eastAsia="Times New Roman" w:hAnsi="Times New Roman" w:cs="Times New Roman"/>
          <w:kern w:val="0"/>
          <w:sz w:val="24"/>
          <w:szCs w:val="24"/>
          <w14:ligatures w14:val="none"/>
        </w:rPr>
        <w:t xml:space="preserve"> Jewish organizations should seek partnerships with diverse stakeholders, including non-traditional allies. Open dialogue and a commitment to understanding can help bridge divides and foster constructive conversations about the future of Israel and Palestine.</w:t>
      </w:r>
    </w:p>
    <w:p w14:paraId="7C111598" w14:textId="77777777" w:rsidR="008433E4" w:rsidRPr="008433E4" w:rsidRDefault="008433E4" w:rsidP="008433E4">
      <w:pPr>
        <w:numPr>
          <w:ilvl w:val="0"/>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Hope for the Future:</w:t>
      </w:r>
    </w:p>
    <w:p w14:paraId="36766B6B" w14:textId="77777777" w:rsidR="008433E4" w:rsidRPr="008433E4" w:rsidRDefault="008433E4" w:rsidP="008433E4">
      <w:pPr>
        <w:numPr>
          <w:ilvl w:val="1"/>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433E4">
        <w:rPr>
          <w:rFonts w:ascii="Times New Roman" w:eastAsia="Times New Roman" w:hAnsi="Times New Roman" w:cs="Times New Roman"/>
          <w:b/>
          <w:bCs/>
          <w:kern w:val="0"/>
          <w:sz w:val="24"/>
          <w:szCs w:val="24"/>
          <w14:ligatures w14:val="none"/>
        </w:rPr>
        <w:t>Potential for Peace Through a Shared Narrative:</w:t>
      </w:r>
      <w:r w:rsidRPr="008433E4">
        <w:rPr>
          <w:rFonts w:ascii="Times New Roman" w:eastAsia="Times New Roman" w:hAnsi="Times New Roman" w:cs="Times New Roman"/>
          <w:kern w:val="0"/>
          <w:sz w:val="24"/>
          <w:szCs w:val="24"/>
          <w14:ligatures w14:val="none"/>
        </w:rPr>
        <w:t xml:space="preserve"> The battle over the narrative presents an opportunity to foster understanding, build bridges, and lay the groundwork for peace. Developing a more inclusive narrative that reflects the conflict's complexities can promote a more peaceful future for Israelis and Palestinians. Through renewed engagement, strategic messaging, and collaboration with diverse partners, there is hope for a path forward that prioritizes dialogue, mutual respect, and shared values.</w:t>
      </w:r>
    </w:p>
    <w:p w14:paraId="418BEB14" w14:textId="77777777" w:rsidR="00962A41" w:rsidRPr="00962A41" w:rsidRDefault="00962A41" w:rsidP="00962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62A41">
        <w:rPr>
          <w:rFonts w:ascii="Times New Roman" w:eastAsia="Times New Roman" w:hAnsi="Times New Roman" w:cs="Times New Roman"/>
          <w:b/>
          <w:bCs/>
          <w:kern w:val="0"/>
          <w:sz w:val="27"/>
          <w:szCs w:val="27"/>
          <w14:ligatures w14:val="none"/>
        </w:rPr>
        <w:t>Chapter 26: The Legacy of British Colonialism: How Britain Created Conflict Across the Middle East, Africa, and Beyond</w:t>
      </w:r>
    </w:p>
    <w:p w14:paraId="2FC631BD" w14:textId="77777777" w:rsidR="00962A41" w:rsidRPr="00962A41" w:rsidRDefault="00962A41" w:rsidP="00962A4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Introduction</w:t>
      </w:r>
    </w:p>
    <w:p w14:paraId="616EE079" w14:textId="77777777" w:rsidR="00962A41" w:rsidRPr="00962A41" w:rsidRDefault="00962A41" w:rsidP="00962A4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t>British colonial policies created a pattern of conflicts and instability across the world. By drawing arbitrary borders, making contradictory promises, and using divide-and-rule tactics, British colonialism left a legacy of division, mistrust, and violence. This chapter examines how British actions created or worsened conflicts in multiple regions, illustrating that the Israeli-Palestinian conflict is just one example of imperial manipulation and control.</w:t>
      </w:r>
    </w:p>
    <w:p w14:paraId="75A6605D" w14:textId="77777777" w:rsidR="00962A41" w:rsidRPr="00962A41" w:rsidRDefault="00962A41" w:rsidP="00962A41">
      <w:pPr>
        <w:spacing w:after="0"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pict w14:anchorId="09F527CA">
          <v:rect id="_x0000_i1029" style="width:0;height:1.5pt" o:hralign="center" o:hrstd="t" o:hr="t" fillcolor="#a0a0a0" stroked="f"/>
        </w:pict>
      </w:r>
    </w:p>
    <w:p w14:paraId="0ACBCAE5" w14:textId="77777777" w:rsidR="00962A41" w:rsidRPr="00962A41" w:rsidRDefault="00962A41" w:rsidP="00962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62A41">
        <w:rPr>
          <w:rFonts w:ascii="Times New Roman" w:eastAsia="Times New Roman" w:hAnsi="Times New Roman" w:cs="Times New Roman"/>
          <w:b/>
          <w:bCs/>
          <w:kern w:val="0"/>
          <w:sz w:val="27"/>
          <w:szCs w:val="27"/>
          <w14:ligatures w14:val="none"/>
        </w:rPr>
        <w:t>The Blueprint for Conflict: British Colonial Strategies</w:t>
      </w:r>
    </w:p>
    <w:p w14:paraId="47337773" w14:textId="77777777" w:rsidR="00962A41" w:rsidRPr="00962A41" w:rsidRDefault="00962A41" w:rsidP="00962A4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Arbitrary Borders and Divide-and-Rule Tactics</w:t>
      </w:r>
    </w:p>
    <w:p w14:paraId="1C7A62D4" w14:textId="77777777" w:rsidR="00962A41" w:rsidRPr="00962A41" w:rsidRDefault="00962A41" w:rsidP="00962A4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lastRenderedPageBreak/>
        <w:t>British colonialism often involved creating artificial states and maintaining control through divide-and-rule tactics. These strategies ignored historical, ethnic, and religious realities, causing conflicts that continue today.</w:t>
      </w:r>
    </w:p>
    <w:p w14:paraId="1E2E0FA5" w14:textId="77777777" w:rsidR="00962A41" w:rsidRPr="00962A41" w:rsidRDefault="00962A41" w:rsidP="00962A41">
      <w:pPr>
        <w:numPr>
          <w:ilvl w:val="0"/>
          <w:numId w:val="3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Drawing Arbitrary Borders:</w:t>
      </w:r>
      <w:r w:rsidRPr="00962A41">
        <w:rPr>
          <w:rFonts w:ascii="Times New Roman" w:eastAsia="Times New Roman" w:hAnsi="Times New Roman" w:cs="Times New Roman"/>
          <w:kern w:val="0"/>
          <w:sz w:val="24"/>
          <w:szCs w:val="24"/>
          <w14:ligatures w14:val="none"/>
        </w:rPr>
        <w:t xml:space="preserve"> British officials often drew borders that disregarded demographic, cultural, and historical contexts, leaving a legacy of disputed territories and divided communities.</w:t>
      </w:r>
    </w:p>
    <w:p w14:paraId="681B025C" w14:textId="77777777" w:rsidR="00962A41" w:rsidRPr="00962A41" w:rsidRDefault="00962A41" w:rsidP="00962A41">
      <w:pPr>
        <w:numPr>
          <w:ilvl w:val="0"/>
          <w:numId w:val="3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Divide-and-Rule Tactics:</w:t>
      </w:r>
      <w:r w:rsidRPr="00962A41">
        <w:rPr>
          <w:rFonts w:ascii="Times New Roman" w:eastAsia="Times New Roman" w:hAnsi="Times New Roman" w:cs="Times New Roman"/>
          <w:kern w:val="0"/>
          <w:sz w:val="24"/>
          <w:szCs w:val="24"/>
          <w14:ligatures w14:val="none"/>
        </w:rPr>
        <w:t xml:space="preserve"> To maintain control, the British frequently favored certain groups over others, fostering divisions that have persisted long after colonial rule ended.</w:t>
      </w:r>
    </w:p>
    <w:p w14:paraId="6F365FF5" w14:textId="77777777" w:rsidR="00962A41" w:rsidRPr="00962A41" w:rsidRDefault="00962A41" w:rsidP="00962A41">
      <w:pPr>
        <w:spacing w:after="0"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pict w14:anchorId="1D0424E9">
          <v:rect id="_x0000_i1030" style="width:0;height:1.5pt" o:hralign="center" o:hrstd="t" o:hr="t" fillcolor="#a0a0a0" stroked="f"/>
        </w:pict>
      </w:r>
    </w:p>
    <w:p w14:paraId="140C205C" w14:textId="77777777" w:rsidR="00962A41" w:rsidRPr="00962A41" w:rsidRDefault="00962A41" w:rsidP="00962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62A41">
        <w:rPr>
          <w:rFonts w:ascii="Times New Roman" w:eastAsia="Times New Roman" w:hAnsi="Times New Roman" w:cs="Times New Roman"/>
          <w:b/>
          <w:bCs/>
          <w:kern w:val="0"/>
          <w:sz w:val="27"/>
          <w:szCs w:val="27"/>
          <w14:ligatures w14:val="none"/>
        </w:rPr>
        <w:t>Case Studies of British-Created Conflicts</w:t>
      </w:r>
    </w:p>
    <w:p w14:paraId="304221B2" w14:textId="77777777" w:rsidR="00962A41" w:rsidRPr="00962A41" w:rsidRDefault="00962A41" w:rsidP="00962A41">
      <w:pPr>
        <w:numPr>
          <w:ilvl w:val="0"/>
          <w:numId w:val="3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Iraq: A Country Built on Fragmentation</w:t>
      </w:r>
    </w:p>
    <w:p w14:paraId="74136CF2" w14:textId="77777777" w:rsidR="00962A41" w:rsidRPr="00962A41" w:rsidRDefault="00962A41" w:rsidP="00962A41">
      <w:pPr>
        <w:numPr>
          <w:ilvl w:val="0"/>
          <w:numId w:val="3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Creation of Iraq (1920):</w:t>
      </w:r>
      <w:r w:rsidRPr="00962A41">
        <w:rPr>
          <w:rFonts w:ascii="Times New Roman" w:eastAsia="Times New Roman" w:hAnsi="Times New Roman" w:cs="Times New Roman"/>
          <w:kern w:val="0"/>
          <w:sz w:val="24"/>
          <w:szCs w:val="24"/>
          <w14:ligatures w14:val="none"/>
        </w:rPr>
        <w:t xml:space="preserve"> After World War I, the British merged three former Ottoman provinces into Iraq, creating a state with deep internal divisions among Kurds, Sunni Arabs, and Shia Arabs.</w:t>
      </w:r>
    </w:p>
    <w:p w14:paraId="28478477" w14:textId="77777777" w:rsidR="00962A41" w:rsidRPr="00962A41" w:rsidRDefault="00962A41" w:rsidP="00962A41">
      <w:pPr>
        <w:numPr>
          <w:ilvl w:val="0"/>
          <w:numId w:val="3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Imposition of Hashemite Rule:</w:t>
      </w:r>
      <w:r w:rsidRPr="00962A41">
        <w:rPr>
          <w:rFonts w:ascii="Times New Roman" w:eastAsia="Times New Roman" w:hAnsi="Times New Roman" w:cs="Times New Roman"/>
          <w:kern w:val="0"/>
          <w:sz w:val="24"/>
          <w:szCs w:val="24"/>
          <w14:ligatures w14:val="none"/>
        </w:rPr>
        <w:t xml:space="preserve"> The British installed Faisal I as King of Iraq, which led to resentment and political instability that continues today.</w:t>
      </w:r>
    </w:p>
    <w:p w14:paraId="5AB18925" w14:textId="77777777" w:rsidR="00962A41" w:rsidRPr="00962A41" w:rsidRDefault="00962A41" w:rsidP="00962A41">
      <w:pPr>
        <w:numPr>
          <w:ilvl w:val="0"/>
          <w:numId w:val="3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Jordan: Carving Out Transjordan</w:t>
      </w:r>
    </w:p>
    <w:p w14:paraId="67E727F5" w14:textId="77777777" w:rsidR="00962A41" w:rsidRPr="00962A41" w:rsidRDefault="00962A41" w:rsidP="00962A41">
      <w:pPr>
        <w:numPr>
          <w:ilvl w:val="0"/>
          <w:numId w:val="3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Creation of Transjordan (1921):</w:t>
      </w:r>
      <w:r w:rsidRPr="00962A41">
        <w:rPr>
          <w:rFonts w:ascii="Times New Roman" w:eastAsia="Times New Roman" w:hAnsi="Times New Roman" w:cs="Times New Roman"/>
          <w:kern w:val="0"/>
          <w:sz w:val="24"/>
          <w:szCs w:val="24"/>
          <w14:ligatures w14:val="none"/>
        </w:rPr>
        <w:t xml:space="preserve"> The British carved out Transjordan from Palestine to placate the Hashemite family, reducing the territory available for a Jewish homeland and creating a state struggling with its identity.</w:t>
      </w:r>
    </w:p>
    <w:p w14:paraId="29F4C1D7" w14:textId="77777777" w:rsidR="00962A41" w:rsidRPr="00962A41" w:rsidRDefault="00962A41" w:rsidP="00962A41">
      <w:pPr>
        <w:numPr>
          <w:ilvl w:val="0"/>
          <w:numId w:val="3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Palestine: Conflicting Promises</w:t>
      </w:r>
    </w:p>
    <w:p w14:paraId="2DBD14CC" w14:textId="77777777" w:rsidR="00962A41" w:rsidRPr="00962A41" w:rsidRDefault="00962A41" w:rsidP="00962A41">
      <w:pPr>
        <w:numPr>
          <w:ilvl w:val="0"/>
          <w:numId w:val="3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Balfour Declaration (1917):</w:t>
      </w:r>
      <w:r w:rsidRPr="00962A41">
        <w:rPr>
          <w:rFonts w:ascii="Times New Roman" w:eastAsia="Times New Roman" w:hAnsi="Times New Roman" w:cs="Times New Roman"/>
          <w:kern w:val="0"/>
          <w:sz w:val="24"/>
          <w:szCs w:val="24"/>
          <w14:ligatures w14:val="none"/>
        </w:rPr>
        <w:t xml:space="preserve"> The British promise of a “national home for the Jewish people” contradicted pledges of independence to Arab leaders, laying the foundation for the Israeli-Palestinian conflict.</w:t>
      </w:r>
    </w:p>
    <w:p w14:paraId="49D398B8" w14:textId="77777777" w:rsidR="00962A41" w:rsidRPr="00962A41" w:rsidRDefault="00962A41" w:rsidP="00962A41">
      <w:pPr>
        <w:numPr>
          <w:ilvl w:val="0"/>
          <w:numId w:val="3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Lebanon: A Sectarian State Created by Colonial Borders</w:t>
      </w:r>
    </w:p>
    <w:p w14:paraId="5596B70A" w14:textId="77777777" w:rsidR="00962A41" w:rsidRPr="00962A41" w:rsidRDefault="00962A41" w:rsidP="00962A41">
      <w:pPr>
        <w:numPr>
          <w:ilvl w:val="0"/>
          <w:numId w:val="3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Creation of Modern Lebanon (1920):</w:t>
      </w:r>
      <w:r w:rsidRPr="00962A41">
        <w:rPr>
          <w:rFonts w:ascii="Times New Roman" w:eastAsia="Times New Roman" w:hAnsi="Times New Roman" w:cs="Times New Roman"/>
          <w:kern w:val="0"/>
          <w:sz w:val="24"/>
          <w:szCs w:val="24"/>
          <w14:ligatures w14:val="none"/>
        </w:rPr>
        <w:t xml:space="preserve"> Lebanon was created to have a Christian majority, but it also included large Muslim populations, leading to ongoing sectarian tensions.</w:t>
      </w:r>
    </w:p>
    <w:p w14:paraId="11F8DF90" w14:textId="77777777" w:rsidR="00962A41" w:rsidRPr="00962A41" w:rsidRDefault="00962A41" w:rsidP="00962A41">
      <w:pPr>
        <w:numPr>
          <w:ilvl w:val="0"/>
          <w:numId w:val="3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Syria: Fragmentation and Colonial Manipulation</w:t>
      </w:r>
    </w:p>
    <w:p w14:paraId="13A5647E" w14:textId="77777777" w:rsidR="00962A41" w:rsidRPr="00962A41" w:rsidRDefault="00962A41" w:rsidP="00962A41">
      <w:pPr>
        <w:numPr>
          <w:ilvl w:val="0"/>
          <w:numId w:val="3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Fragmentation of Greater Syria (1920):</w:t>
      </w:r>
      <w:r w:rsidRPr="00962A41">
        <w:rPr>
          <w:rFonts w:ascii="Times New Roman" w:eastAsia="Times New Roman" w:hAnsi="Times New Roman" w:cs="Times New Roman"/>
          <w:kern w:val="0"/>
          <w:sz w:val="24"/>
          <w:szCs w:val="24"/>
          <w14:ligatures w14:val="none"/>
        </w:rPr>
        <w:t xml:space="preserve"> The division of Ottoman territories under the Sykes-Picot Agreement created internal conflict and instability.</w:t>
      </w:r>
    </w:p>
    <w:p w14:paraId="4B0CECB2" w14:textId="77777777" w:rsidR="00962A41" w:rsidRPr="00962A41" w:rsidRDefault="00962A41" w:rsidP="00962A41">
      <w:pPr>
        <w:numPr>
          <w:ilvl w:val="0"/>
          <w:numId w:val="3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Egypt: Controlling the Suez Canal</w:t>
      </w:r>
    </w:p>
    <w:p w14:paraId="49E147F9" w14:textId="77777777" w:rsidR="00962A41" w:rsidRPr="00962A41" w:rsidRDefault="00962A41" w:rsidP="00962A41">
      <w:pPr>
        <w:numPr>
          <w:ilvl w:val="0"/>
          <w:numId w:val="3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lastRenderedPageBreak/>
        <w:t>British Occupation (1882-1956):</w:t>
      </w:r>
      <w:r w:rsidRPr="00962A41">
        <w:rPr>
          <w:rFonts w:ascii="Times New Roman" w:eastAsia="Times New Roman" w:hAnsi="Times New Roman" w:cs="Times New Roman"/>
          <w:kern w:val="0"/>
          <w:sz w:val="24"/>
          <w:szCs w:val="24"/>
          <w14:ligatures w14:val="none"/>
        </w:rPr>
        <w:t xml:space="preserve"> British control over Egypt and the Suez Canal led to the Suez Crisis in 1956, highlighting the decline of British imperial influence and the rise of Arab nationalism.</w:t>
      </w:r>
    </w:p>
    <w:p w14:paraId="6292F718" w14:textId="77777777" w:rsidR="00962A41" w:rsidRPr="00962A41" w:rsidRDefault="00962A41" w:rsidP="00962A41">
      <w:pPr>
        <w:numPr>
          <w:ilvl w:val="0"/>
          <w:numId w:val="3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India, Pakistan, and Bangladesh: Partition and Conflict</w:t>
      </w:r>
    </w:p>
    <w:p w14:paraId="3B1E332E" w14:textId="77777777" w:rsidR="00962A41" w:rsidRPr="00962A41" w:rsidRDefault="00962A41" w:rsidP="00962A41">
      <w:pPr>
        <w:numPr>
          <w:ilvl w:val="0"/>
          <w:numId w:val="3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Partition of India (1947):</w:t>
      </w:r>
      <w:r w:rsidRPr="00962A41">
        <w:rPr>
          <w:rFonts w:ascii="Times New Roman" w:eastAsia="Times New Roman" w:hAnsi="Times New Roman" w:cs="Times New Roman"/>
          <w:kern w:val="0"/>
          <w:sz w:val="24"/>
          <w:szCs w:val="24"/>
          <w14:ligatures w14:val="none"/>
        </w:rPr>
        <w:t xml:space="preserve"> The British decision to partition India along religious lines led to mass migration, violence, and unresolved disputes, especially in Kashmir.</w:t>
      </w:r>
    </w:p>
    <w:p w14:paraId="109E2EED" w14:textId="77777777" w:rsidR="00962A41" w:rsidRPr="00962A41" w:rsidRDefault="00962A41" w:rsidP="00962A41">
      <w:pPr>
        <w:numPr>
          <w:ilvl w:val="0"/>
          <w:numId w:val="3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South Africa: Apartheid and Racial Divisions</w:t>
      </w:r>
    </w:p>
    <w:p w14:paraId="1F7AEAF4" w14:textId="77777777" w:rsidR="00962A41" w:rsidRPr="00962A41" w:rsidRDefault="00962A41" w:rsidP="00962A41">
      <w:pPr>
        <w:numPr>
          <w:ilvl w:val="0"/>
          <w:numId w:val="3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Establishment of Apartheid:</w:t>
      </w:r>
      <w:r w:rsidRPr="00962A41">
        <w:rPr>
          <w:rFonts w:ascii="Times New Roman" w:eastAsia="Times New Roman" w:hAnsi="Times New Roman" w:cs="Times New Roman"/>
          <w:kern w:val="0"/>
          <w:sz w:val="24"/>
          <w:szCs w:val="24"/>
          <w14:ligatures w14:val="none"/>
        </w:rPr>
        <w:t xml:space="preserve"> British colonial policies laid the groundwork for apartheid, leading to decades of racial conflict.</w:t>
      </w:r>
    </w:p>
    <w:p w14:paraId="4994569A" w14:textId="77777777" w:rsidR="00962A41" w:rsidRPr="00962A41" w:rsidRDefault="00962A41" w:rsidP="00962A41">
      <w:pPr>
        <w:numPr>
          <w:ilvl w:val="0"/>
          <w:numId w:val="3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Sudan: Dividing North and South</w:t>
      </w:r>
    </w:p>
    <w:p w14:paraId="5ACB221E" w14:textId="77777777" w:rsidR="00962A41" w:rsidRPr="00962A41" w:rsidRDefault="00962A41" w:rsidP="00962A41">
      <w:pPr>
        <w:numPr>
          <w:ilvl w:val="0"/>
          <w:numId w:val="3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British-Egyptian Condominium (1899-1956):</w:t>
      </w:r>
      <w:r w:rsidRPr="00962A41">
        <w:rPr>
          <w:rFonts w:ascii="Times New Roman" w:eastAsia="Times New Roman" w:hAnsi="Times New Roman" w:cs="Times New Roman"/>
          <w:kern w:val="0"/>
          <w:sz w:val="24"/>
          <w:szCs w:val="24"/>
          <w14:ligatures w14:val="none"/>
        </w:rPr>
        <w:t xml:space="preserve"> The British divided Sudan, creating deep divisions that led to civil wars and the eventual secession of South Sudan.</w:t>
      </w:r>
    </w:p>
    <w:p w14:paraId="3DE8C060" w14:textId="77777777" w:rsidR="00962A41" w:rsidRPr="00962A41" w:rsidRDefault="00962A41" w:rsidP="00962A41">
      <w:pPr>
        <w:numPr>
          <w:ilvl w:val="0"/>
          <w:numId w:val="3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Yemen: Manipulating Tribal Divisions</w:t>
      </w:r>
    </w:p>
    <w:p w14:paraId="2528F6CC" w14:textId="77777777" w:rsidR="00962A41" w:rsidRPr="00962A41" w:rsidRDefault="00962A41" w:rsidP="00962A41">
      <w:pPr>
        <w:numPr>
          <w:ilvl w:val="0"/>
          <w:numId w:val="3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British Control of Aden (1839-1967):</w:t>
      </w:r>
      <w:r w:rsidRPr="00962A41">
        <w:rPr>
          <w:rFonts w:ascii="Times New Roman" w:eastAsia="Times New Roman" w:hAnsi="Times New Roman" w:cs="Times New Roman"/>
          <w:kern w:val="0"/>
          <w:sz w:val="24"/>
          <w:szCs w:val="24"/>
          <w14:ligatures w14:val="none"/>
        </w:rPr>
        <w:t xml:space="preserve"> The British manipulated tribal rivalries, creating divisions that contributed to ongoing conflict.</w:t>
      </w:r>
    </w:p>
    <w:p w14:paraId="2F90B45F" w14:textId="77777777" w:rsidR="00962A41" w:rsidRPr="00962A41" w:rsidRDefault="00962A41" w:rsidP="00962A41">
      <w:pPr>
        <w:numPr>
          <w:ilvl w:val="0"/>
          <w:numId w:val="3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Iran: Interventions and Anti-Western Sentiment</w:t>
      </w:r>
    </w:p>
    <w:p w14:paraId="5D646632" w14:textId="77777777" w:rsidR="00962A41" w:rsidRPr="00962A41" w:rsidRDefault="00962A41" w:rsidP="00962A41">
      <w:pPr>
        <w:numPr>
          <w:ilvl w:val="0"/>
          <w:numId w:val="3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Anglo-Persian Oil Company:</w:t>
      </w:r>
      <w:r w:rsidRPr="00962A41">
        <w:rPr>
          <w:rFonts w:ascii="Times New Roman" w:eastAsia="Times New Roman" w:hAnsi="Times New Roman" w:cs="Times New Roman"/>
          <w:kern w:val="0"/>
          <w:sz w:val="24"/>
          <w:szCs w:val="24"/>
          <w14:ligatures w14:val="none"/>
        </w:rPr>
        <w:t xml:space="preserve"> British interference in Iranian politics fueled anti-Western sentiment and set the stage for the Iranian Revolution.</w:t>
      </w:r>
    </w:p>
    <w:p w14:paraId="6FB16327" w14:textId="77777777" w:rsidR="00962A41" w:rsidRPr="00962A41" w:rsidRDefault="00962A41" w:rsidP="00962A41">
      <w:pPr>
        <w:numPr>
          <w:ilvl w:val="0"/>
          <w:numId w:val="3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China and the Opium Wars: Manipulating Trade and Sovereignty</w:t>
      </w:r>
    </w:p>
    <w:p w14:paraId="0335CAF4" w14:textId="77777777" w:rsidR="00962A41" w:rsidRPr="00962A41" w:rsidRDefault="00962A41" w:rsidP="00962A41">
      <w:pPr>
        <w:numPr>
          <w:ilvl w:val="0"/>
          <w:numId w:val="3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Opium Wars (1839-1842, 1856-1860):</w:t>
      </w:r>
      <w:r w:rsidRPr="00962A41">
        <w:rPr>
          <w:rFonts w:ascii="Times New Roman" w:eastAsia="Times New Roman" w:hAnsi="Times New Roman" w:cs="Times New Roman"/>
          <w:kern w:val="0"/>
          <w:sz w:val="24"/>
          <w:szCs w:val="24"/>
          <w14:ligatures w14:val="none"/>
        </w:rPr>
        <w:t xml:space="preserve"> British trade policies undermined Chinese sovereignty and fueled nationalism.</w:t>
      </w:r>
    </w:p>
    <w:p w14:paraId="41B7A8D0" w14:textId="77777777" w:rsidR="00962A41" w:rsidRPr="00962A41" w:rsidRDefault="00962A41" w:rsidP="00962A41">
      <w:pPr>
        <w:numPr>
          <w:ilvl w:val="0"/>
          <w:numId w:val="3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Kenya and Other African Conflicts: Divide-and-Rule and Violent Suppression</w:t>
      </w:r>
    </w:p>
    <w:p w14:paraId="3DD419EB" w14:textId="77777777" w:rsidR="00962A41" w:rsidRPr="00962A41" w:rsidRDefault="00962A41" w:rsidP="00962A41">
      <w:pPr>
        <w:numPr>
          <w:ilvl w:val="0"/>
          <w:numId w:val="3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 xml:space="preserve">Mau </w:t>
      </w:r>
      <w:proofErr w:type="spellStart"/>
      <w:r w:rsidRPr="00962A41">
        <w:rPr>
          <w:rFonts w:ascii="Times New Roman" w:eastAsia="Times New Roman" w:hAnsi="Times New Roman" w:cs="Times New Roman"/>
          <w:b/>
          <w:bCs/>
          <w:kern w:val="0"/>
          <w:sz w:val="24"/>
          <w:szCs w:val="24"/>
          <w14:ligatures w14:val="none"/>
        </w:rPr>
        <w:t>Mau</w:t>
      </w:r>
      <w:proofErr w:type="spellEnd"/>
      <w:r w:rsidRPr="00962A41">
        <w:rPr>
          <w:rFonts w:ascii="Times New Roman" w:eastAsia="Times New Roman" w:hAnsi="Times New Roman" w:cs="Times New Roman"/>
          <w:b/>
          <w:bCs/>
          <w:kern w:val="0"/>
          <w:sz w:val="24"/>
          <w:szCs w:val="24"/>
          <w14:ligatures w14:val="none"/>
        </w:rPr>
        <w:t xml:space="preserve"> Uprising (1952-1960):</w:t>
      </w:r>
      <w:r w:rsidRPr="00962A41">
        <w:rPr>
          <w:rFonts w:ascii="Times New Roman" w:eastAsia="Times New Roman" w:hAnsi="Times New Roman" w:cs="Times New Roman"/>
          <w:kern w:val="0"/>
          <w:sz w:val="24"/>
          <w:szCs w:val="24"/>
          <w14:ligatures w14:val="none"/>
        </w:rPr>
        <w:t xml:space="preserve"> British colonial policies in Kenya led to violent uprisings and long-term conflict.</w:t>
      </w:r>
    </w:p>
    <w:p w14:paraId="0CF31B80" w14:textId="77777777" w:rsidR="00962A41" w:rsidRPr="00962A41" w:rsidRDefault="00962A41" w:rsidP="00962A41">
      <w:pPr>
        <w:spacing w:after="0"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pict w14:anchorId="4308BEC9">
          <v:rect id="_x0000_i1031" style="width:0;height:1.5pt" o:hralign="center" o:hrstd="t" o:hr="t" fillcolor="#a0a0a0" stroked="f"/>
        </w:pict>
      </w:r>
    </w:p>
    <w:p w14:paraId="6572A9C8" w14:textId="77777777" w:rsidR="00962A41" w:rsidRPr="00962A41" w:rsidRDefault="00962A41" w:rsidP="00962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62A41">
        <w:rPr>
          <w:rFonts w:ascii="Times New Roman" w:eastAsia="Times New Roman" w:hAnsi="Times New Roman" w:cs="Times New Roman"/>
          <w:b/>
          <w:bCs/>
          <w:kern w:val="0"/>
          <w:sz w:val="27"/>
          <w:szCs w:val="27"/>
          <w14:ligatures w14:val="none"/>
        </w:rPr>
        <w:t>Conclusion: The Israeli-Palestinian Conflict in a Global Context</w:t>
      </w:r>
    </w:p>
    <w:p w14:paraId="7AE844E7" w14:textId="77777777" w:rsidR="00962A41" w:rsidRPr="00962A41" w:rsidRDefault="00962A41" w:rsidP="00962A4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t xml:space="preserve">The Israeli-Palestinian conflict is part of a broader pattern of conflicts created by British colonial policies. Understanding this broader context helps recognize that this conflict is not an isolated case but one of many where colonial powers shaped national destinies with lasting consequences. </w:t>
      </w:r>
      <w:r w:rsidRPr="00962A41">
        <w:rPr>
          <w:rFonts w:ascii="Times New Roman" w:eastAsia="Times New Roman" w:hAnsi="Times New Roman" w:cs="Times New Roman"/>
          <w:kern w:val="0"/>
          <w:sz w:val="24"/>
          <w:szCs w:val="24"/>
          <w14:ligatures w14:val="none"/>
        </w:rPr>
        <w:lastRenderedPageBreak/>
        <w:t>Addressing these lingering effects of colonialism is essential for moving towards a just and peaceful future.</w:t>
      </w:r>
    </w:p>
    <w:p w14:paraId="3ECCFADA" w14:textId="77777777" w:rsidR="00962A41" w:rsidRPr="00962A41" w:rsidRDefault="00962A41" w:rsidP="00962A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62A41">
        <w:rPr>
          <w:rFonts w:ascii="Times New Roman" w:eastAsia="Times New Roman" w:hAnsi="Times New Roman" w:cs="Times New Roman"/>
          <w:b/>
          <w:bCs/>
          <w:kern w:val="0"/>
          <w:sz w:val="27"/>
          <w:szCs w:val="27"/>
          <w14:ligatures w14:val="none"/>
        </w:rPr>
        <w:t>Chapter 27: The World’s Double Standard: The Legitimacy of Israel vs. Other Colonial Creations</w:t>
      </w:r>
    </w:p>
    <w:p w14:paraId="58C055AF" w14:textId="77777777" w:rsidR="00962A41" w:rsidRPr="00962A41" w:rsidRDefault="00962A41" w:rsidP="00962A4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62A41">
        <w:rPr>
          <w:rFonts w:ascii="Times New Roman" w:eastAsia="Times New Roman" w:hAnsi="Times New Roman" w:cs="Times New Roman"/>
          <w:b/>
          <w:bCs/>
          <w:kern w:val="0"/>
          <w:sz w:val="24"/>
          <w:szCs w:val="24"/>
          <w14:ligatures w14:val="none"/>
        </w:rPr>
        <w:t>Overall Approach and Tone</w:t>
      </w:r>
    </w:p>
    <w:p w14:paraId="65A40844" w14:textId="77777777" w:rsidR="00962A41" w:rsidRPr="00962A41" w:rsidRDefault="00962A41" w:rsidP="00962A41">
      <w:pPr>
        <w:numPr>
          <w:ilvl w:val="0"/>
          <w:numId w:val="3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Simplify Language for Accessibility</w:t>
      </w:r>
      <w:r w:rsidRPr="00962A41">
        <w:rPr>
          <w:rFonts w:ascii="Times New Roman" w:eastAsia="Times New Roman" w:hAnsi="Times New Roman" w:cs="Times New Roman"/>
          <w:kern w:val="0"/>
          <w:sz w:val="24"/>
          <w:szCs w:val="24"/>
          <w14:ligatures w14:val="none"/>
        </w:rPr>
        <w:t>: While the chapter is comprehensive, simplifying the language can make it more accessible to a wider audience. Use shorter sentences and less complex terms where possible without losing the depth of the analysis.</w:t>
      </w:r>
    </w:p>
    <w:p w14:paraId="60DE15E8" w14:textId="77777777" w:rsidR="00962A41" w:rsidRPr="00962A41" w:rsidRDefault="00962A41" w:rsidP="00962A41">
      <w:pPr>
        <w:numPr>
          <w:ilvl w:val="0"/>
          <w:numId w:val="3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Balance the Tone</w:t>
      </w:r>
      <w:r w:rsidRPr="00962A41">
        <w:rPr>
          <w:rFonts w:ascii="Times New Roman" w:eastAsia="Times New Roman" w:hAnsi="Times New Roman" w:cs="Times New Roman"/>
          <w:kern w:val="0"/>
          <w:sz w:val="24"/>
          <w:szCs w:val="24"/>
          <w14:ligatures w14:val="none"/>
        </w:rPr>
        <w:t>: While it is important to highlight the double standard regarding Israel's legitimacy, the tone should strive for a balanced presentation. Acknowledge multiple perspectives while still emphasizing the main argument about the double standard. This can help maintain credibility and appeal to a broader audience.</w:t>
      </w:r>
    </w:p>
    <w:p w14:paraId="42FB5320" w14:textId="77777777" w:rsidR="00962A41" w:rsidRPr="00962A41" w:rsidRDefault="00962A41" w:rsidP="00962A4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62A41">
        <w:rPr>
          <w:rFonts w:ascii="Times New Roman" w:eastAsia="Times New Roman" w:hAnsi="Times New Roman" w:cs="Times New Roman"/>
          <w:b/>
          <w:bCs/>
          <w:kern w:val="0"/>
          <w:sz w:val="24"/>
          <w:szCs w:val="24"/>
          <w14:ligatures w14:val="none"/>
        </w:rPr>
        <w:t>Content Changes</w:t>
      </w:r>
    </w:p>
    <w:p w14:paraId="3EB0D767" w14:textId="77777777" w:rsidR="00962A41" w:rsidRPr="00962A41" w:rsidRDefault="00962A41" w:rsidP="00962A41">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Clarify the Concept of Arbitrary Borders</w:t>
      </w:r>
    </w:p>
    <w:p w14:paraId="21447006" w14:textId="77777777" w:rsidR="00962A41" w:rsidRPr="00962A41" w:rsidRDefault="00962A41" w:rsidP="00962A41">
      <w:pPr>
        <w:numPr>
          <w:ilvl w:val="1"/>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Add a Brief Definition or Explanation</w:t>
      </w:r>
      <w:r w:rsidRPr="00962A41">
        <w:rPr>
          <w:rFonts w:ascii="Times New Roman" w:eastAsia="Times New Roman" w:hAnsi="Times New Roman" w:cs="Times New Roman"/>
          <w:kern w:val="0"/>
          <w:sz w:val="24"/>
          <w:szCs w:val="24"/>
          <w14:ligatures w14:val="none"/>
        </w:rPr>
        <w:t>: At the beginning of the section on "The Arbitrary Borders Drawn by Colonial Powers," include a brief explanation of what is meant by "arbitrary borders" and why they are problematic. Explain how colonial powers like Britain and France drew boundaries that often ignored ethnic, religious, and cultural realities, resulting in conflicts and instability.</w:t>
      </w:r>
    </w:p>
    <w:p w14:paraId="598A5558" w14:textId="77777777" w:rsidR="00962A41" w:rsidRPr="00962A41" w:rsidRDefault="00962A41" w:rsidP="00962A41">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Expand on the Role of International Organizations</w:t>
      </w:r>
    </w:p>
    <w:p w14:paraId="2AF8EF88" w14:textId="77777777" w:rsidR="00962A41" w:rsidRPr="00962A41" w:rsidRDefault="00962A41" w:rsidP="00962A41">
      <w:pPr>
        <w:numPr>
          <w:ilvl w:val="1"/>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Include the Role of the United Nations and Other Entities</w:t>
      </w:r>
      <w:r w:rsidRPr="00962A41">
        <w:rPr>
          <w:rFonts w:ascii="Times New Roman" w:eastAsia="Times New Roman" w:hAnsi="Times New Roman" w:cs="Times New Roman"/>
          <w:kern w:val="0"/>
          <w:sz w:val="24"/>
          <w:szCs w:val="24"/>
          <w14:ligatures w14:val="none"/>
        </w:rPr>
        <w:t>: Expand on the discussion about international bodies such as the UN and their role in both the creation of Israel and their responses to other post-colonial states. Discuss how international resolutions and debates have shaped global perceptions and policies regarding Israel and other states formed under colonial rule.</w:t>
      </w:r>
    </w:p>
    <w:p w14:paraId="2B09F0BA" w14:textId="77777777" w:rsidR="00962A41" w:rsidRPr="00962A41" w:rsidRDefault="00962A41" w:rsidP="00962A41">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Enhance the Section on Geopolitical Factors</w:t>
      </w:r>
    </w:p>
    <w:p w14:paraId="3764CB84" w14:textId="77777777" w:rsidR="00962A41" w:rsidRPr="00962A41" w:rsidRDefault="00962A41" w:rsidP="00962A41">
      <w:pPr>
        <w:numPr>
          <w:ilvl w:val="1"/>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Further Detail the Impact of the Cold War and Post-Cold War Era</w:t>
      </w:r>
      <w:r w:rsidRPr="00962A41">
        <w:rPr>
          <w:rFonts w:ascii="Times New Roman" w:eastAsia="Times New Roman" w:hAnsi="Times New Roman" w:cs="Times New Roman"/>
          <w:kern w:val="0"/>
          <w:sz w:val="24"/>
          <w:szCs w:val="24"/>
          <w14:ligatures w14:val="none"/>
        </w:rPr>
        <w:t>: Provide more detail on how the Cold War influenced the global discourse on Israel's legitimacy, especially the roles of the United States and the Soviet Union in shaping narratives. Additionally, discuss how the post-Cold War era has continued to affect global perspectives and the ways in which geopolitical interests continue to influence international attitudes toward Israel and other post-colonial states.</w:t>
      </w:r>
    </w:p>
    <w:p w14:paraId="30E0466B" w14:textId="77777777" w:rsidR="00962A41" w:rsidRPr="00962A41" w:rsidRDefault="00962A41" w:rsidP="00962A41">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Provide More Examples of Post-Colonial States</w:t>
      </w:r>
    </w:p>
    <w:p w14:paraId="26FA4AF1" w14:textId="77777777" w:rsidR="00962A41" w:rsidRPr="00962A41" w:rsidRDefault="00962A41" w:rsidP="00962A41">
      <w:pPr>
        <w:numPr>
          <w:ilvl w:val="1"/>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Highlight More Specific Cases</w:t>
      </w:r>
      <w:r w:rsidRPr="00962A41">
        <w:rPr>
          <w:rFonts w:ascii="Times New Roman" w:eastAsia="Times New Roman" w:hAnsi="Times New Roman" w:cs="Times New Roman"/>
          <w:kern w:val="0"/>
          <w:sz w:val="24"/>
          <w:szCs w:val="24"/>
          <w14:ligatures w14:val="none"/>
        </w:rPr>
        <w:t>: While the chapter touches on several examples of post-colonial states, it could benefit from a deeper dive into specific cases, such as the formation of Sudan, India/Pakistan, and Nigeria. Detail how these countries were formed, the conflicts that arose due to their arbitrary borders, and why their legitimacy is less frequently challenged than Israel's.</w:t>
      </w:r>
    </w:p>
    <w:p w14:paraId="6B19D1BF" w14:textId="77777777" w:rsidR="00962A41" w:rsidRPr="00962A41" w:rsidRDefault="00962A41" w:rsidP="00962A41">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Address the Role of Media More Fully</w:t>
      </w:r>
    </w:p>
    <w:p w14:paraId="58907031" w14:textId="77777777" w:rsidR="00962A41" w:rsidRPr="00962A41" w:rsidRDefault="00962A41" w:rsidP="00962A41">
      <w:pPr>
        <w:numPr>
          <w:ilvl w:val="1"/>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Discuss the Influence of Modern Media and Social Networks</w:t>
      </w:r>
      <w:r w:rsidRPr="00962A41">
        <w:rPr>
          <w:rFonts w:ascii="Times New Roman" w:eastAsia="Times New Roman" w:hAnsi="Times New Roman" w:cs="Times New Roman"/>
          <w:kern w:val="0"/>
          <w:sz w:val="24"/>
          <w:szCs w:val="24"/>
          <w14:ligatures w14:val="none"/>
        </w:rPr>
        <w:t xml:space="preserve">: The section on media and activist movements could be expanded to analyze how social networks </w:t>
      </w:r>
      <w:r w:rsidRPr="00962A41">
        <w:rPr>
          <w:rFonts w:ascii="Times New Roman" w:eastAsia="Times New Roman" w:hAnsi="Times New Roman" w:cs="Times New Roman"/>
          <w:kern w:val="0"/>
          <w:sz w:val="24"/>
          <w:szCs w:val="24"/>
          <w14:ligatures w14:val="none"/>
        </w:rPr>
        <w:lastRenderedPageBreak/>
        <w:t xml:space="preserve">and digital media have amplified certain narratives. Include specific examples of how these platforms are used to influence public opinion and </w:t>
      </w:r>
      <w:proofErr w:type="gramStart"/>
      <w:r w:rsidRPr="00962A41">
        <w:rPr>
          <w:rFonts w:ascii="Times New Roman" w:eastAsia="Times New Roman" w:hAnsi="Times New Roman" w:cs="Times New Roman"/>
          <w:kern w:val="0"/>
          <w:sz w:val="24"/>
          <w:szCs w:val="24"/>
          <w14:ligatures w14:val="none"/>
        </w:rPr>
        <w:t>policy, and</w:t>
      </w:r>
      <w:proofErr w:type="gramEnd"/>
      <w:r w:rsidRPr="00962A41">
        <w:rPr>
          <w:rFonts w:ascii="Times New Roman" w:eastAsia="Times New Roman" w:hAnsi="Times New Roman" w:cs="Times New Roman"/>
          <w:kern w:val="0"/>
          <w:sz w:val="24"/>
          <w:szCs w:val="24"/>
          <w14:ligatures w14:val="none"/>
        </w:rPr>
        <w:t xml:space="preserve"> discuss why Israel seems to be more frequently targeted in these spaces compared to other post-colonial states.</w:t>
      </w:r>
    </w:p>
    <w:p w14:paraId="382CDF8B" w14:textId="77777777" w:rsidR="00962A41" w:rsidRPr="00962A41" w:rsidRDefault="00962A41" w:rsidP="00962A4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62A41">
        <w:rPr>
          <w:rFonts w:ascii="Times New Roman" w:eastAsia="Times New Roman" w:hAnsi="Times New Roman" w:cs="Times New Roman"/>
          <w:b/>
          <w:bCs/>
          <w:kern w:val="0"/>
          <w:sz w:val="24"/>
          <w:szCs w:val="24"/>
          <w14:ligatures w14:val="none"/>
        </w:rPr>
        <w:t>Structural Changes</w:t>
      </w:r>
    </w:p>
    <w:p w14:paraId="2C88A5DF" w14:textId="77777777" w:rsidR="00962A41" w:rsidRPr="00962A41" w:rsidRDefault="00962A41" w:rsidP="00962A41">
      <w:pPr>
        <w:numPr>
          <w:ilvl w:val="0"/>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Reorganize for Clarity</w:t>
      </w:r>
    </w:p>
    <w:p w14:paraId="115035B4" w14:textId="77777777" w:rsidR="00962A41" w:rsidRPr="00962A41" w:rsidRDefault="00962A41" w:rsidP="00962A41">
      <w:pPr>
        <w:numPr>
          <w:ilvl w:val="1"/>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Move "The Unique Scrutiny of Israel's Legitimacy" Earlier</w:t>
      </w:r>
      <w:r w:rsidRPr="00962A41">
        <w:rPr>
          <w:rFonts w:ascii="Times New Roman" w:eastAsia="Times New Roman" w:hAnsi="Times New Roman" w:cs="Times New Roman"/>
          <w:kern w:val="0"/>
          <w:sz w:val="24"/>
          <w:szCs w:val="24"/>
          <w14:ligatures w14:val="none"/>
        </w:rPr>
        <w:t>: Consider moving the section that discusses why Israel faces unique scrutiny earlier in the chapter. This would help set the stage for the rest of the content by establishing the core argument more clearly at the beginning.</w:t>
      </w:r>
    </w:p>
    <w:p w14:paraId="4D28FE20" w14:textId="77777777" w:rsidR="00962A41" w:rsidRPr="00962A41" w:rsidRDefault="00962A41" w:rsidP="00962A41">
      <w:pPr>
        <w:numPr>
          <w:ilvl w:val="1"/>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Create Subsections Under "Why Are Other Borders Not Challenged?"</w:t>
      </w:r>
      <w:r w:rsidRPr="00962A41">
        <w:rPr>
          <w:rFonts w:ascii="Times New Roman" w:eastAsia="Times New Roman" w:hAnsi="Times New Roman" w:cs="Times New Roman"/>
          <w:kern w:val="0"/>
          <w:sz w:val="24"/>
          <w:szCs w:val="24"/>
          <w14:ligatures w14:val="none"/>
        </w:rPr>
        <w:t>: Break down this section into clearer subsections to improve readability and comprehension. Use headers like "Acceptance of the Status Quo," "Colonial Amnesia," and "Geopolitical Interests."</w:t>
      </w:r>
    </w:p>
    <w:p w14:paraId="38A9F342" w14:textId="77777777" w:rsidR="00962A41" w:rsidRPr="00962A41" w:rsidRDefault="00962A41" w:rsidP="00962A41">
      <w:pPr>
        <w:numPr>
          <w:ilvl w:val="0"/>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Strengthen the Conclusion</w:t>
      </w:r>
    </w:p>
    <w:p w14:paraId="6AE5F873" w14:textId="77777777" w:rsidR="00962A41" w:rsidRPr="00962A41" w:rsidRDefault="00962A41" w:rsidP="00962A41">
      <w:pPr>
        <w:numPr>
          <w:ilvl w:val="1"/>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Provide a More Nuanced Conclusion</w:t>
      </w:r>
      <w:r w:rsidRPr="00962A41">
        <w:rPr>
          <w:rFonts w:ascii="Times New Roman" w:eastAsia="Times New Roman" w:hAnsi="Times New Roman" w:cs="Times New Roman"/>
          <w:kern w:val="0"/>
          <w:sz w:val="24"/>
          <w:szCs w:val="24"/>
          <w14:ligatures w14:val="none"/>
        </w:rPr>
        <w:t>: While the conclusion effectively highlights the double standard, it could benefit from a more nuanced discussion. Acknowledge that while the scrutiny of Israel’s legitimacy is disproportionate, there are valid criticisms that need to be addressed. Suggest concrete ways forward, such as promoting balanced dialogue, understanding historical complexities, and encouraging fair treatment of all post-colonial states in international discourse.</w:t>
      </w:r>
    </w:p>
    <w:p w14:paraId="13794CF0" w14:textId="77777777" w:rsidR="00962A41" w:rsidRPr="00962A41" w:rsidRDefault="00962A41" w:rsidP="00962A4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62A41">
        <w:rPr>
          <w:rFonts w:ascii="Times New Roman" w:eastAsia="Times New Roman" w:hAnsi="Times New Roman" w:cs="Times New Roman"/>
          <w:b/>
          <w:bCs/>
          <w:kern w:val="0"/>
          <w:sz w:val="24"/>
          <w:szCs w:val="24"/>
          <w14:ligatures w14:val="none"/>
        </w:rPr>
        <w:t>Additions for Depth</w:t>
      </w:r>
    </w:p>
    <w:p w14:paraId="2F896217" w14:textId="77777777" w:rsidR="00962A41" w:rsidRPr="00962A41" w:rsidRDefault="00962A41" w:rsidP="00962A41">
      <w:pPr>
        <w:numPr>
          <w:ilvl w:val="0"/>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Incorporate Perspectives from Multiple Stakeholders</w:t>
      </w:r>
    </w:p>
    <w:p w14:paraId="4484CA19" w14:textId="77777777" w:rsidR="00962A41" w:rsidRPr="00962A41" w:rsidRDefault="00962A41" w:rsidP="00962A41">
      <w:pPr>
        <w:numPr>
          <w:ilvl w:val="1"/>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Include Voices from Different Communities</w:t>
      </w:r>
      <w:r w:rsidRPr="00962A41">
        <w:rPr>
          <w:rFonts w:ascii="Times New Roman" w:eastAsia="Times New Roman" w:hAnsi="Times New Roman" w:cs="Times New Roman"/>
          <w:kern w:val="0"/>
          <w:sz w:val="24"/>
          <w:szCs w:val="24"/>
          <w14:ligatures w14:val="none"/>
        </w:rPr>
        <w:t>: Provide perspectives from diverse stakeholders, including Jewish, Palestinian, and international voices. This would provide a broader range of viewpoints and demonstrate an understanding of the complexities involved in these narratives.</w:t>
      </w:r>
    </w:p>
    <w:p w14:paraId="3549EE56" w14:textId="77777777" w:rsidR="00962A41" w:rsidRPr="00962A41" w:rsidRDefault="00962A41" w:rsidP="00962A41">
      <w:pPr>
        <w:numPr>
          <w:ilvl w:val="0"/>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Include References to Scholarly Works and Data</w:t>
      </w:r>
    </w:p>
    <w:p w14:paraId="70491721" w14:textId="77777777" w:rsidR="00962A41" w:rsidRPr="00962A41" w:rsidRDefault="00962A41" w:rsidP="00962A41">
      <w:pPr>
        <w:numPr>
          <w:ilvl w:val="1"/>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Cite Relevant Studies or Data</w:t>
      </w:r>
      <w:r w:rsidRPr="00962A41">
        <w:rPr>
          <w:rFonts w:ascii="Times New Roman" w:eastAsia="Times New Roman" w:hAnsi="Times New Roman" w:cs="Times New Roman"/>
          <w:kern w:val="0"/>
          <w:sz w:val="24"/>
          <w:szCs w:val="24"/>
          <w14:ligatures w14:val="none"/>
        </w:rPr>
        <w:t>: Strengthen the arguments by citing scholarly works, historical documents, and data that support the claims about double standards and international scrutiny. This will enhance the chapter's credibility and provide readers with sources for further reading.</w:t>
      </w:r>
    </w:p>
    <w:p w14:paraId="3F094E8A" w14:textId="77777777" w:rsidR="00962A41" w:rsidRPr="00962A41" w:rsidRDefault="00962A41" w:rsidP="00962A41">
      <w:pPr>
        <w:numPr>
          <w:ilvl w:val="0"/>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Discuss Historical Context in Greater Detail</w:t>
      </w:r>
    </w:p>
    <w:p w14:paraId="6316E038" w14:textId="77777777" w:rsidR="00962A41" w:rsidRPr="00962A41" w:rsidRDefault="00962A41" w:rsidP="00962A41">
      <w:pPr>
        <w:numPr>
          <w:ilvl w:val="1"/>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b/>
          <w:bCs/>
          <w:kern w:val="0"/>
          <w:sz w:val="24"/>
          <w:szCs w:val="24"/>
          <w14:ligatures w14:val="none"/>
        </w:rPr>
        <w:t>Provide More Background on Colonial History</w:t>
      </w:r>
      <w:r w:rsidRPr="00962A41">
        <w:rPr>
          <w:rFonts w:ascii="Times New Roman" w:eastAsia="Times New Roman" w:hAnsi="Times New Roman" w:cs="Times New Roman"/>
          <w:kern w:val="0"/>
          <w:sz w:val="24"/>
          <w:szCs w:val="24"/>
          <w14:ligatures w14:val="none"/>
        </w:rPr>
        <w:t>: Expand the historical context to provide a more detailed examination of the colonial powers' motivations and actions. Explain why the British and French drew borders as they did, and how these decisions were influenced by their geopolitical strategies and the balance of power in the early 20th century.</w:t>
      </w:r>
    </w:p>
    <w:p w14:paraId="7FA4A73F" w14:textId="77777777" w:rsidR="00962A41" w:rsidRPr="00962A41" w:rsidRDefault="00962A41" w:rsidP="00962A41">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62A41">
        <w:rPr>
          <w:rFonts w:ascii="Times New Roman" w:eastAsia="Times New Roman" w:hAnsi="Times New Roman" w:cs="Times New Roman"/>
          <w:b/>
          <w:bCs/>
          <w:kern w:val="0"/>
          <w:sz w:val="24"/>
          <w:szCs w:val="24"/>
          <w14:ligatures w14:val="none"/>
        </w:rPr>
        <w:t>Conclusion</w:t>
      </w:r>
    </w:p>
    <w:p w14:paraId="6AB11318" w14:textId="77777777" w:rsidR="00962A41" w:rsidRPr="00962A41" w:rsidRDefault="00962A41" w:rsidP="00962A41">
      <w:pPr>
        <w:numPr>
          <w:ilvl w:val="0"/>
          <w:numId w:val="3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A41">
        <w:rPr>
          <w:rFonts w:ascii="Times New Roman" w:eastAsia="Times New Roman" w:hAnsi="Times New Roman" w:cs="Times New Roman"/>
          <w:kern w:val="0"/>
          <w:sz w:val="24"/>
          <w:szCs w:val="24"/>
          <w14:ligatures w14:val="none"/>
        </w:rPr>
        <w:lastRenderedPageBreak/>
        <w:t>The chapter presents a strong argument about the double standard in global perspectives on Israel versus other post-colonial states. By making these suggested changes—clarifying language, expanding content, restructuring for clarity, and incorporating diverse perspectives—the chapter will become more accessible, balanced, and compelling for a wider audience. This will help foster a more informed and nuanced discussion around Israel's legitimacy and the broader context of post-colonial statehood.</w:t>
      </w:r>
    </w:p>
    <w:p w14:paraId="773865DB" w14:textId="77777777" w:rsidR="00111DFA" w:rsidRDefault="00111DFA" w:rsidP="00154A4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p>
    <w:p w14:paraId="229B5A2F"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Chapter 28: The Evolving Critique: The Progressive Left and the Israeli-Palestinian Conflict</w:t>
      </w:r>
    </w:p>
    <w:p w14:paraId="3CDF84A2"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Jew-hate has evolved throughout history, adapting to different social, political, and cultural contexts. Originally rooted in religious prejudice in antiquity, it mutated into racial hatred in the 19th and 20th centuries, culminating in the horrors of the Holocaust. Today, a new form of Jew-hate is emerging, often disguised as criticism of Israel under the guise of human rights advocacy. This chapter explores how segments of the "progressive left" have shaped this new form of criticism, sometimes crossing the line into antisemitism by framing Jews—and by extension, the State of Israel—as oppressors, human rights abusers, and perpetrators of apartheid and genocide. It also examines how this narrative may play into the historical cover-up of British colonial misdeeds and perpetuate a distorted understanding of the Israeli-Palestinian conflict.</w:t>
      </w:r>
    </w:p>
    <w:p w14:paraId="65F0003C"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Evolution of Jew-Hate: From Religious Hatred to Political Weapon</w:t>
      </w:r>
    </w:p>
    <w:p w14:paraId="4345DF47"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Jew-hate has a long and complex history. In Christian Europe, Jews were often portrayed as Christ-killers, associated with devilry, and accused of blood libels and ritual murder. With the Enlightenment and the rise of secular nationalism in the 19th century, Jew-hate shifted its focus from religion to race, portraying Jews as an inferior, alien race that posed a threat to the nation-state. This racial Jew-hate reached its peak during the Holocaust, with the Nazis seeking to exterminate Jews entirely.</w:t>
      </w:r>
    </w:p>
    <w:p w14:paraId="6A938CB1"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After World War II, overt expressions of Jew-hate became less socially acceptable, but the underlying prejudices never disappeared. Instead, they found new </w:t>
      </w:r>
      <w:proofErr w:type="gramStart"/>
      <w:r w:rsidRPr="00724ACD">
        <w:rPr>
          <w:rFonts w:ascii="Times New Roman" w:eastAsia="Times New Roman" w:hAnsi="Times New Roman" w:cs="Times New Roman"/>
          <w:kern w:val="0"/>
          <w:sz w:val="24"/>
          <w:szCs w:val="24"/>
          <w14:ligatures w14:val="none"/>
        </w:rPr>
        <w:t>expression</w:t>
      </w:r>
      <w:proofErr w:type="gramEnd"/>
      <w:r w:rsidRPr="00724ACD">
        <w:rPr>
          <w:rFonts w:ascii="Times New Roman" w:eastAsia="Times New Roman" w:hAnsi="Times New Roman" w:cs="Times New Roman"/>
          <w:kern w:val="0"/>
          <w:sz w:val="24"/>
          <w:szCs w:val="24"/>
          <w14:ligatures w14:val="none"/>
        </w:rPr>
        <w:t xml:space="preserve"> in the political and ideological discourses of the 21st century. Today, a new mutation is emerging, particularly within certain segments of the "progressive left," where the State of Israel is cast as the ultimate oppressor—an apartheid state that systematically abuses human rights and commits genocide against the Palestinian people.</w:t>
      </w:r>
    </w:p>
    <w:p w14:paraId="398963B4"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Narrative of Oppression: A New Form of Critique</w:t>
      </w:r>
    </w:p>
    <w:p w14:paraId="66C2BE77"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Accusations of Apartheid and Genocide:</w:t>
      </w:r>
      <w:r w:rsidRPr="00724ACD">
        <w:rPr>
          <w:rFonts w:ascii="Times New Roman" w:eastAsia="Times New Roman" w:hAnsi="Times New Roman" w:cs="Times New Roman"/>
          <w:kern w:val="0"/>
          <w:sz w:val="24"/>
          <w:szCs w:val="24"/>
          <w14:ligatures w14:val="none"/>
        </w:rPr>
        <w:t xml:space="preserve"> One of the most common accusations leveled against Israel by some critics on the progressive left is that it is an apartheid state. Drawing on the historical analogy of South Africa, these critics argue that Israel enforces a system of racial segregation against Palestinians, with discriminatory laws and practices designed to oppress and disenfranchise them. The term "genocide" is also sometimes invoked, suggesting that Israel is engaged in the systematic extermination of the Palestinian people. These accusations are often </w:t>
      </w:r>
      <w:r w:rsidRPr="00724ACD">
        <w:rPr>
          <w:rFonts w:ascii="Times New Roman" w:eastAsia="Times New Roman" w:hAnsi="Times New Roman" w:cs="Times New Roman"/>
          <w:kern w:val="0"/>
          <w:sz w:val="24"/>
          <w:szCs w:val="24"/>
          <w14:ligatures w14:val="none"/>
        </w:rPr>
        <w:lastRenderedPageBreak/>
        <w:t>accompanied by calls for boycotts, divestment, and sanctions (BDS) against Israel, drawing comparisons to the international campaign against apartheid South Africa.</w:t>
      </w:r>
    </w:p>
    <w:p w14:paraId="5811BF69"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Human Rights Abuses and the Oppressor Narrative:</w:t>
      </w:r>
      <w:r w:rsidRPr="00724ACD">
        <w:rPr>
          <w:rFonts w:ascii="Times New Roman" w:eastAsia="Times New Roman" w:hAnsi="Times New Roman" w:cs="Times New Roman"/>
          <w:kern w:val="0"/>
          <w:sz w:val="24"/>
          <w:szCs w:val="24"/>
          <w14:ligatures w14:val="none"/>
        </w:rPr>
        <w:t xml:space="preserve"> Some on the progressive left frame Israel as a quintessential human rights </w:t>
      </w:r>
      <w:proofErr w:type="spellStart"/>
      <w:r w:rsidRPr="00724ACD">
        <w:rPr>
          <w:rFonts w:ascii="Times New Roman" w:eastAsia="Times New Roman" w:hAnsi="Times New Roman" w:cs="Times New Roman"/>
          <w:kern w:val="0"/>
          <w:sz w:val="24"/>
          <w:szCs w:val="24"/>
          <w14:ligatures w14:val="none"/>
        </w:rPr>
        <w:t>abuser</w:t>
      </w:r>
      <w:proofErr w:type="spellEnd"/>
      <w:r w:rsidRPr="00724ACD">
        <w:rPr>
          <w:rFonts w:ascii="Times New Roman" w:eastAsia="Times New Roman" w:hAnsi="Times New Roman" w:cs="Times New Roman"/>
          <w:kern w:val="0"/>
          <w:sz w:val="24"/>
          <w:szCs w:val="24"/>
          <w14:ligatures w14:val="none"/>
        </w:rPr>
        <w:t>, using the language of international law to accuse it of war crimes, ethnic cleansing, and crimes against humanity. This narrative often presents the Israeli-Palestinian conflict as a simple binary of oppressor versus oppressed, where Israel is portrayed as a colonial aggressor and Palestinians as indigenous victims. It sometimes ignores the complex historical, political, and social realities of the conflict, offering a reductive and one-sided view that may delegitimize Israel’s right to exist as a sovereign state.</w:t>
      </w:r>
    </w:p>
    <w:p w14:paraId="3BE8F35D"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Demonization and Dehumanization:</w:t>
      </w:r>
      <w:r w:rsidRPr="00724ACD">
        <w:rPr>
          <w:rFonts w:ascii="Times New Roman" w:eastAsia="Times New Roman" w:hAnsi="Times New Roman" w:cs="Times New Roman"/>
          <w:kern w:val="0"/>
          <w:sz w:val="24"/>
          <w:szCs w:val="24"/>
          <w14:ligatures w14:val="none"/>
        </w:rPr>
        <w:t xml:space="preserve"> In this form of critique, Israel is not merely criticized for its policies or actions but is sometimes demonized as a uniquely evil state. The use of terms like “apartheid,” “genocide,” and “ethnic cleansing” can dehumanize Israelis, casting them as inhuman aggressors deserving of ostracization from the international community. This language may go beyond legitimate criticism of specific policies or actions and become a form of delegitimization, where the very existence of Israel is framed as a crime.</w:t>
      </w:r>
    </w:p>
    <w:p w14:paraId="72CD16EA"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Role of the Progressive Left in Shaping this Narrative</w:t>
      </w:r>
    </w:p>
    <w:p w14:paraId="40F510EF"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Diverse Perspectives within the Left:</w:t>
      </w:r>
      <w:r w:rsidRPr="00724ACD">
        <w:rPr>
          <w:rFonts w:ascii="Times New Roman" w:eastAsia="Times New Roman" w:hAnsi="Times New Roman" w:cs="Times New Roman"/>
          <w:kern w:val="0"/>
          <w:sz w:val="24"/>
          <w:szCs w:val="24"/>
          <w14:ligatures w14:val="none"/>
        </w:rPr>
        <w:t xml:space="preserve"> The "progressive left" is not a monolithic group; it includes a wide range of voices, from left-wing activists and academics to social justice organizations and others who may differ significantly in their views on Israel. While some of these groups converge on a narrative that frames Israel as an illegitimate state founded on colonialism, racism, and oppression, others advocate for a balanced approach that acknowledges the complexities of the conflict and opposes all forms of antisemitism.</w:t>
      </w:r>
    </w:p>
    <w:p w14:paraId="14977978"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Weaponizing Human Rights Language:</w:t>
      </w:r>
      <w:r w:rsidRPr="00724ACD">
        <w:rPr>
          <w:rFonts w:ascii="Times New Roman" w:eastAsia="Times New Roman" w:hAnsi="Times New Roman" w:cs="Times New Roman"/>
          <w:kern w:val="0"/>
          <w:sz w:val="24"/>
          <w:szCs w:val="24"/>
          <w14:ligatures w14:val="none"/>
        </w:rPr>
        <w:t xml:space="preserve"> Some groups have effectively used the language of human rights to advance an anti-Israel agenda. By using terms like “apartheid,” “ethnic cleansing,” and “genocide,” they tap into powerful emotional triggers that resonate with global audiences, particularly younger generations who are more attuned to social justice issues. However, this selective use of human rights rhetoric can sometimes ignore or downplay abuses committed by other states or actors in the region, suggesting a disproportionate and biased focus on Israel.</w:t>
      </w:r>
    </w:p>
    <w:p w14:paraId="121B9F81"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The Intersection of Anti-Zionism and Antisemitism:</w:t>
      </w:r>
      <w:r w:rsidRPr="00724ACD">
        <w:rPr>
          <w:rFonts w:ascii="Times New Roman" w:eastAsia="Times New Roman" w:hAnsi="Times New Roman" w:cs="Times New Roman"/>
          <w:kern w:val="0"/>
          <w:sz w:val="24"/>
          <w:szCs w:val="24"/>
          <w14:ligatures w14:val="none"/>
        </w:rPr>
        <w:t xml:space="preserve"> While criticism of Israeli government policies is legitimate and often warranted, there are instances where the narrative crosses the line into antisemitism. When all Jews are held collectively responsible for the actions of the Israeli state, or when Israel’s right to exist is questioned, the discourse may shift from legitimate political critique to antisemitic rhetoric. This new form of antisemitism uses the guise of anti-Zionism to perpetuate old stereotypes of Jewish conspiracy, dual loyalty, and malevolence.</w:t>
      </w:r>
    </w:p>
    <w:p w14:paraId="48C2C019"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October 7th and the Brutality of Hamas: Ignoring Atrocities That Conflict with the Narrative</w:t>
      </w:r>
    </w:p>
    <w:p w14:paraId="72506DAC"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On October 7th, 2023, the world witnessed a horrifying escalation of violence when Hamas launched a coordinated assault on Israeli civilians, resulting in one of the deadliest days in the </w:t>
      </w:r>
      <w:r w:rsidRPr="00724ACD">
        <w:rPr>
          <w:rFonts w:ascii="Times New Roman" w:eastAsia="Times New Roman" w:hAnsi="Times New Roman" w:cs="Times New Roman"/>
          <w:kern w:val="0"/>
          <w:sz w:val="24"/>
          <w:szCs w:val="24"/>
          <w14:ligatures w14:val="none"/>
        </w:rPr>
        <w:lastRenderedPageBreak/>
        <w:t>Israeli-Palestinian conflict's recent history. The attack was characterized by extreme brutality: Hamas militants infiltrated Israeli communities, killing over 1,200 people, including women, children, and the elderly. Hostages were taken, including entire families, and the captives endured unspeakable atrocities—torture, rape, mutilation, and mass murder.</w:t>
      </w:r>
    </w:p>
    <w:p w14:paraId="128C6396"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In response, Israel launched a military operation against Hamas in Gaza, similar to the United States' military response in Afghanistan after the September 11, </w:t>
      </w:r>
      <w:proofErr w:type="gramStart"/>
      <w:r w:rsidRPr="00724ACD">
        <w:rPr>
          <w:rFonts w:ascii="Times New Roman" w:eastAsia="Times New Roman" w:hAnsi="Times New Roman" w:cs="Times New Roman"/>
          <w:kern w:val="0"/>
          <w:sz w:val="24"/>
          <w:szCs w:val="24"/>
          <w14:ligatures w14:val="none"/>
        </w:rPr>
        <w:t>2001</w:t>
      </w:r>
      <w:proofErr w:type="gramEnd"/>
      <w:r w:rsidRPr="00724ACD">
        <w:rPr>
          <w:rFonts w:ascii="Times New Roman" w:eastAsia="Times New Roman" w:hAnsi="Times New Roman" w:cs="Times New Roman"/>
          <w:kern w:val="0"/>
          <w:sz w:val="24"/>
          <w:szCs w:val="24"/>
          <w14:ligatures w14:val="none"/>
        </w:rPr>
        <w:t xml:space="preserve"> attacks. While the U.S. action was widely supported as a justified response to terrorism, Israel’s military response to the October 7th attack has been condemned by some on the progressive left, who frame Hamas's actions as a justified response to Israeli policies while condemning Israel for defending itself and attempting to secure the release of hostages.</w:t>
      </w:r>
    </w:p>
    <w:p w14:paraId="2ED52DF6"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Selective Outrage and Overlooking Atrocities:</w:t>
      </w:r>
      <w:r w:rsidRPr="00724ACD">
        <w:rPr>
          <w:rFonts w:ascii="Times New Roman" w:eastAsia="Times New Roman" w:hAnsi="Times New Roman" w:cs="Times New Roman"/>
          <w:kern w:val="0"/>
          <w:sz w:val="24"/>
          <w:szCs w:val="24"/>
          <w14:ligatures w14:val="none"/>
        </w:rPr>
        <w:t xml:space="preserve"> The plight of the hostages has been largely ignored in these condemnations. Despite clear evidence of abuse, torture, and murder of hostages under Hamas’s control, some progressive critics who support the narrative of Israel as the aggressor make little to no mention of these victims. This selective outrage reinforces a biased narrative, overlooking the human rights violations committed by Hamas and focusing criticism solely on Israel’s response to a terrorist attack.</w:t>
      </w:r>
    </w:p>
    <w:p w14:paraId="4351003F"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Seizure of Humanitarian Aid and Exploitation of Palestinian Suffering:</w:t>
      </w:r>
      <w:r w:rsidRPr="00724ACD">
        <w:rPr>
          <w:rFonts w:ascii="Times New Roman" w:eastAsia="Times New Roman" w:hAnsi="Times New Roman" w:cs="Times New Roman"/>
          <w:kern w:val="0"/>
          <w:sz w:val="24"/>
          <w:szCs w:val="24"/>
          <w14:ligatures w14:val="none"/>
        </w:rPr>
        <w:t xml:space="preserve"> Amidst the ongoing conflict, Hamas seized much of the humanitarian aid intended for the civilian population in Gaza, diverting food, medical supplies, and fuel for its own military purposes. While Gaza's civilian population suffered, Hamas prioritized its arsenal, demonstrating a disregard for the well-being of its people. This behavior was largely ignored by those who focus solely on condemning Israeli actions, even when Hamas's actions directly resulted in Palestinian suffering.</w:t>
      </w:r>
    </w:p>
    <w:p w14:paraId="15834E7A"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Broader Impact of Selective Outrage</w:t>
      </w:r>
    </w:p>
    <w:p w14:paraId="69664CC6"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Undermining Human Rights Advocacy:</w:t>
      </w:r>
      <w:r w:rsidRPr="00724ACD">
        <w:rPr>
          <w:rFonts w:ascii="Times New Roman" w:eastAsia="Times New Roman" w:hAnsi="Times New Roman" w:cs="Times New Roman"/>
          <w:kern w:val="0"/>
          <w:sz w:val="24"/>
          <w:szCs w:val="24"/>
          <w14:ligatures w14:val="none"/>
        </w:rPr>
        <w:t xml:space="preserve"> The demonization of Israel under the guise of human rights has unintended consequences for the broader human rights movement. By singling out Israel for disproportionate criticism while ignoring or minimizing abuses by other states, this new form of critique risks undermining the credibility of human rights organizations and diluting their impact. It also alienates potential allies who see through the double standards and biases inherent in this selective activism.</w:t>
      </w:r>
    </w:p>
    <w:p w14:paraId="149C3973"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Perpetuating Conflict and Insecurity:</w:t>
      </w:r>
      <w:r w:rsidRPr="00724ACD">
        <w:rPr>
          <w:rFonts w:ascii="Times New Roman" w:eastAsia="Times New Roman" w:hAnsi="Times New Roman" w:cs="Times New Roman"/>
          <w:kern w:val="0"/>
          <w:sz w:val="24"/>
          <w:szCs w:val="24"/>
          <w14:ligatures w14:val="none"/>
        </w:rPr>
        <w:t xml:space="preserve"> The framing of Israel as a pariah state contributes to rising antisemitism worldwide. Jewish communities around the globe increasingly face hostility, violence, and discrimination, often framed in terms of opposition to Israel. This conflation of Jews with Israeli state policy perpetuates the sense of insecurity that has plagued Jewish communities for centuries.</w:t>
      </w:r>
    </w:p>
    <w:p w14:paraId="4854AB5F"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Conclusion: Confronting a New Form of Critique</w:t>
      </w:r>
    </w:p>
    <w:p w14:paraId="733F36FF"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The evolving critique from segments of the progressive left presents a unique challenge. It cloaks itself in the language of human rights and social justice, appealing to well-meaning people who are genuinely concerned about the plight of Palestinians but may be unaware of the biases and falsehoods that underpin this narrative. To counter this trend, it is essential to challenge false </w:t>
      </w:r>
      <w:r w:rsidRPr="00724ACD">
        <w:rPr>
          <w:rFonts w:ascii="Times New Roman" w:eastAsia="Times New Roman" w:hAnsi="Times New Roman" w:cs="Times New Roman"/>
          <w:kern w:val="0"/>
          <w:sz w:val="24"/>
          <w:szCs w:val="24"/>
          <w14:ligatures w14:val="none"/>
        </w:rPr>
        <w:lastRenderedPageBreak/>
        <w:t>narratives and double standards and to promote a nuanced understanding of the Israeli-Palestinian conflict.</w:t>
      </w:r>
    </w:p>
    <w:p w14:paraId="5B2DCC85"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This requires recognizing the legitimate grievances and aspirations of both sides while rejecting the demonization and delegitimization of any group. It also calls for holding all actors accountable for their actions, including Palestinian leaders who have often perpetuated conflict for personal or ideological gain. Confronting this new form of critique is about defending the principles of justice, fairness, and truth, and fostering a more informed and balanced discourse to move closer to a future where peace and coexistence are possible for all.</w:t>
      </w:r>
    </w:p>
    <w:p w14:paraId="2B545AC2"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Chapter 29: Reframing the Path to Palestinian Statehood: Beyond the Two-State Solution</w:t>
      </w:r>
    </w:p>
    <w:p w14:paraId="5E2A9519"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Introduction</w:t>
      </w:r>
    </w:p>
    <w:p w14:paraId="22A6CB02"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The Palestinian Arabs have a legitimate right to self-determination and a state of their own, a right recognized but left unfulfilled for over a century. The prevailing discourse has centered on a two-state solution as the most viable path to peace between Israelis and Palestinians. However, this framework is deeply flawed, rooted in colonial-era decisions that disregarded the region's historical, cultural, and demographic complexities. This chapter argues that the traditional two-state solution is not a sustainable answer to the Palestinian question. Instead, it proposes reframing the narrative to address the British legacy that shaped the current geopolitical landscape and considers a broader regional approach that revisits the legitimacy of borders imposed by colonial powers.</w:t>
      </w:r>
    </w:p>
    <w:p w14:paraId="73C6C6EB"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Historical Injustice: British Manipulation and Conflicting Promises</w:t>
      </w:r>
    </w:p>
    <w:p w14:paraId="2BCA123E"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The Legacy of British Colonialism</w:t>
      </w:r>
      <w:r w:rsidRPr="00724ACD">
        <w:rPr>
          <w:rFonts w:ascii="Times New Roman" w:eastAsia="Times New Roman" w:hAnsi="Times New Roman" w:cs="Times New Roman"/>
          <w:kern w:val="0"/>
          <w:sz w:val="24"/>
          <w:szCs w:val="24"/>
          <w14:ligatures w14:val="none"/>
        </w:rPr>
        <w:br/>
        <w:t>The roots of the current conflict can be traced back to the British Mandate period and the contradictory promises made during and after World War I. The McMahon-Hussein Correspondence (1915-1916) suggested British support for an independent Arab state, including Palestine, in exchange for Arab support against the Ottomans. Simultaneously, the Balfour Declaration (1917) pledged British support for establishing a "national home for the Jewish people" in Palestine. These conflicting promises set the stage for enduring tensions between Jews and Arabs in the region.</w:t>
      </w:r>
    </w:p>
    <w:p w14:paraId="022AAB85"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However, a critical and often overlooked decision was the British removal of Transjordan—77% of the original Mandate for Palestine—from the territory designated for Jewish and Arab national aspirations. This decision left only 23% of the land for Jews and Palestinian Arabs to divide, creating a situation that has perpetuated conflict ever since.</w:t>
      </w:r>
    </w:p>
    <w:p w14:paraId="3A02BC5F"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The Creation of Transjordan: A Broken Promise to the Palestinians</w:t>
      </w:r>
      <w:r w:rsidRPr="00724ACD">
        <w:rPr>
          <w:rFonts w:ascii="Times New Roman" w:eastAsia="Times New Roman" w:hAnsi="Times New Roman" w:cs="Times New Roman"/>
          <w:kern w:val="0"/>
          <w:sz w:val="24"/>
          <w:szCs w:val="24"/>
          <w14:ligatures w14:val="none"/>
        </w:rPr>
        <w:br/>
        <w:t>By carving out Transjordan in 1921 and establishing it as a separate Emirate under the Hashemite ruler Abdullah, the British effectively denied the Palestinian Arabs the state they had been promised. The territory east of the Jordan River, which comprised the majority of the original Mandate for Palestine, was initially intended to be shared between Jews and Arabs. However, it was removed from consideration, leaving both communities to vie for control over the remaining 23%.</w:t>
      </w:r>
    </w:p>
    <w:p w14:paraId="1601650E"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lastRenderedPageBreak/>
        <w:t>This decision by the British created a lasting grievance among Palestinian Arabs, as it significantly reduced the land available for a potential Arab state. Any solution to the Palestinian question must begin by acknowledging this historical context and revisiting the original territorial commitments made during the Mandate period.</w:t>
      </w:r>
    </w:p>
    <w:p w14:paraId="4E8E7AB7"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Why the Two-State Solution is Not the Answer</w:t>
      </w:r>
    </w:p>
    <w:p w14:paraId="4B0693E6"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Flaws in the Two-State Framework</w:t>
      </w:r>
      <w:r w:rsidRPr="00724ACD">
        <w:rPr>
          <w:rFonts w:ascii="Times New Roman" w:eastAsia="Times New Roman" w:hAnsi="Times New Roman" w:cs="Times New Roman"/>
          <w:kern w:val="0"/>
          <w:sz w:val="24"/>
          <w:szCs w:val="24"/>
          <w14:ligatures w14:val="none"/>
        </w:rPr>
        <w:br/>
        <w:t>The two-state solution, which involves dividing the remaining 23% of the original Mandate territory between Israelis and Palestinians, has been promoted as the path to peace. However, there are several critical flaws in this framework:</w:t>
      </w:r>
    </w:p>
    <w:p w14:paraId="5664BB17" w14:textId="77777777" w:rsidR="00724ACD" w:rsidRPr="00724ACD" w:rsidRDefault="00724ACD" w:rsidP="00724ACD">
      <w:pPr>
        <w:numPr>
          <w:ilvl w:val="0"/>
          <w:numId w:val="3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Fragmented and Non-Contiguous Territories:</w:t>
      </w:r>
      <w:r w:rsidRPr="00724ACD">
        <w:rPr>
          <w:rFonts w:ascii="Times New Roman" w:eastAsia="Times New Roman" w:hAnsi="Times New Roman" w:cs="Times New Roman"/>
          <w:kern w:val="0"/>
          <w:sz w:val="24"/>
          <w:szCs w:val="24"/>
          <w14:ligatures w14:val="none"/>
        </w:rPr>
        <w:t xml:space="preserve"> The proposed Palestinian state, consisting of the West Bank and Gaza Strip, would comprise fragmented and non-contiguous territories separated by Israeli land. This geography makes it almost impossible to create a cohesive and viable state. The lack of contiguous land, limited access to natural resources, and infrastructure constraints would likely render the Palestinian state economically unsustainable and politically unstable.</w:t>
      </w:r>
    </w:p>
    <w:p w14:paraId="716A47B4" w14:textId="77777777" w:rsidR="00724ACD" w:rsidRPr="00724ACD" w:rsidRDefault="00724ACD" w:rsidP="00724ACD">
      <w:pPr>
        <w:numPr>
          <w:ilvl w:val="0"/>
          <w:numId w:val="3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Security and Demographic Concerns:</w:t>
      </w:r>
      <w:r w:rsidRPr="00724ACD">
        <w:rPr>
          <w:rFonts w:ascii="Times New Roman" w:eastAsia="Times New Roman" w:hAnsi="Times New Roman" w:cs="Times New Roman"/>
          <w:kern w:val="0"/>
          <w:sz w:val="24"/>
          <w:szCs w:val="24"/>
          <w14:ligatures w14:val="none"/>
        </w:rPr>
        <w:t xml:space="preserve"> The two-state solution also fails to adequately address Israel's legitimate security concerns. The small size and proximity of a Palestinian state to major Israeli population centers, coupled with ongoing threats of terrorism and regional instability, create a situation where both states would likely remain in perpetual conflict. Additionally, this solution does not fully address the broader regional dynamics and the Palestinian right to a state that encompasses the larger territory initially envisioned.</w:t>
      </w:r>
    </w:p>
    <w:p w14:paraId="154DC93E"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Revisiting Transjordan as a Solution</w:t>
      </w:r>
    </w:p>
    <w:p w14:paraId="642E04F2"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Jordan: A British Creation Without Indigenous Hashemite Roots</w:t>
      </w:r>
      <w:r w:rsidRPr="00724ACD">
        <w:rPr>
          <w:rFonts w:ascii="Times New Roman" w:eastAsia="Times New Roman" w:hAnsi="Times New Roman" w:cs="Times New Roman"/>
          <w:kern w:val="0"/>
          <w:sz w:val="24"/>
          <w:szCs w:val="24"/>
          <w14:ligatures w14:val="none"/>
        </w:rPr>
        <w:br/>
        <w:t>The Hashemite Kingdom of Jordan, established as Transjordan in 1921, was created to appease Abdullah, a Hashemite ruler with no historical ties to the land. The Hashemites were placed there by the British to fulfill their imperial ambitions. The majority population in Transjordan was Palestinian Arab, and today, a significant portion of Jordan’s population remains Palestinian.</w:t>
      </w:r>
    </w:p>
    <w:p w14:paraId="5480A54F"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A Viable Framework for Palestinian Statehood</w:t>
      </w:r>
      <w:r w:rsidRPr="00724ACD">
        <w:rPr>
          <w:rFonts w:ascii="Times New Roman" w:eastAsia="Times New Roman" w:hAnsi="Times New Roman" w:cs="Times New Roman"/>
          <w:kern w:val="0"/>
          <w:sz w:val="24"/>
          <w:szCs w:val="24"/>
          <w14:ligatures w14:val="none"/>
        </w:rPr>
        <w:br/>
        <w:t>Recognizing Jordan as a potential Palestinian state, as originally intended under the Mandate, offers a more viable framework for Palestinian self-determination than the current two-state solution. Jordan has a larger, contiguous territory with established infrastructure and natural resources that could support a sovereign Palestinian state. This approach would honor the original intent of the Mandate and provide a more practical and stable outcome for both Palestinians and Israelis.</w:t>
      </w:r>
    </w:p>
    <w:p w14:paraId="6652A907"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Broadening the Solution: Revisiting Other Arbitrary States Created by Colonial Powers</w:t>
      </w:r>
    </w:p>
    <w:p w14:paraId="0C2B6FE0"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Challenging the Legitimacy of Arbitrary Borders</w:t>
      </w:r>
      <w:r w:rsidRPr="00724ACD">
        <w:rPr>
          <w:rFonts w:ascii="Times New Roman" w:eastAsia="Times New Roman" w:hAnsi="Times New Roman" w:cs="Times New Roman"/>
          <w:kern w:val="0"/>
          <w:sz w:val="24"/>
          <w:szCs w:val="24"/>
          <w14:ligatures w14:val="none"/>
        </w:rPr>
        <w:br/>
        <w:t xml:space="preserve">If Israel's legitimacy is frequently questioned based on colonial-era boundaries, then the </w:t>
      </w:r>
      <w:r w:rsidRPr="00724ACD">
        <w:rPr>
          <w:rFonts w:ascii="Times New Roman" w:eastAsia="Times New Roman" w:hAnsi="Times New Roman" w:cs="Times New Roman"/>
          <w:kern w:val="0"/>
          <w:sz w:val="24"/>
          <w:szCs w:val="24"/>
          <w14:ligatures w14:val="none"/>
        </w:rPr>
        <w:lastRenderedPageBreak/>
        <w:t>legitimacy of other states created by British and French colonialism should also be scrutinized. The borders of Iraq, Syria, Lebanon, and Kuwait were drawn with little regard for the ethnic, religious, and cultural dynamics of the region, resulting in a legacy of instability and conflict.</w:t>
      </w:r>
    </w:p>
    <w:p w14:paraId="796FA14A"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Exploring Regional Solutions Involving Neighboring States</w:t>
      </w:r>
    </w:p>
    <w:p w14:paraId="4A8B8792" w14:textId="77777777" w:rsidR="00724ACD" w:rsidRPr="00724ACD" w:rsidRDefault="00724ACD" w:rsidP="00724ACD">
      <w:pPr>
        <w:numPr>
          <w:ilvl w:val="0"/>
          <w:numId w:val="3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Including Other Regional Territories:</w:t>
      </w:r>
      <w:r w:rsidRPr="00724ACD">
        <w:rPr>
          <w:rFonts w:ascii="Times New Roman" w:eastAsia="Times New Roman" w:hAnsi="Times New Roman" w:cs="Times New Roman"/>
          <w:kern w:val="0"/>
          <w:sz w:val="24"/>
          <w:szCs w:val="24"/>
          <w14:ligatures w14:val="none"/>
        </w:rPr>
        <w:t xml:space="preserve"> The international community should consider a broader solution that involves territories from other states created by colonial powers. For example, the ongoing Syrian civil war presents an opportunity for a negotiated territorial settlement that could involve creating a viable Palestinian state in cooperation with Jordan. Additional territory from Syria, or even Lebanon, could be part of a comprehensive solution that addresses both Palestinian and Israeli needs.</w:t>
      </w:r>
    </w:p>
    <w:p w14:paraId="65DCD742" w14:textId="77777777" w:rsidR="00724ACD" w:rsidRPr="00724ACD" w:rsidRDefault="00724ACD" w:rsidP="00724ACD">
      <w:pPr>
        <w:numPr>
          <w:ilvl w:val="0"/>
          <w:numId w:val="3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Regional Alliances and Agreements:</w:t>
      </w:r>
      <w:r w:rsidRPr="00724ACD">
        <w:rPr>
          <w:rFonts w:ascii="Times New Roman" w:eastAsia="Times New Roman" w:hAnsi="Times New Roman" w:cs="Times New Roman"/>
          <w:kern w:val="0"/>
          <w:sz w:val="24"/>
          <w:szCs w:val="24"/>
          <w14:ligatures w14:val="none"/>
        </w:rPr>
        <w:t xml:space="preserve"> A regional approach could involve creating new alliances and agreements to promote economic cooperation, security, and shared governance. This could include regional economic zones, joint management of resources, and international guarantees of security and stability. Such an approach would require unprecedented cooperation between Israel, Jordan, the Palestinian leadership, and other Arab states.</w:t>
      </w:r>
    </w:p>
    <w:p w14:paraId="643AFC68"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Correcting the British Mistake: Reframing Palestinian Statehood</w:t>
      </w:r>
    </w:p>
    <w:p w14:paraId="45F1FE2B"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Recognizing the Original Mandate Boundaries</w:t>
      </w:r>
    </w:p>
    <w:p w14:paraId="6FB09009" w14:textId="77777777" w:rsidR="00724ACD" w:rsidRPr="00724ACD" w:rsidRDefault="00724ACD" w:rsidP="00724ACD">
      <w:pPr>
        <w:numPr>
          <w:ilvl w:val="0"/>
          <w:numId w:val="3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Acknowledging Historical Mandate Boundaries:</w:t>
      </w:r>
      <w:r w:rsidRPr="00724ACD">
        <w:rPr>
          <w:rFonts w:ascii="Times New Roman" w:eastAsia="Times New Roman" w:hAnsi="Times New Roman" w:cs="Times New Roman"/>
          <w:kern w:val="0"/>
          <w:sz w:val="24"/>
          <w:szCs w:val="24"/>
          <w14:ligatures w14:val="none"/>
        </w:rPr>
        <w:t xml:space="preserve"> The international community must recognize that the boundaries of the Mandate for Palestine, as established by the League of Nations, included both sides of the Jordan River. The Palestinian Arabs’ right to self-determination is rooted in these original boundaries, not in the narrow confines of the two-state solution that limits them to the West Bank and Gaza.</w:t>
      </w:r>
    </w:p>
    <w:p w14:paraId="63928FFF" w14:textId="77777777" w:rsidR="00724ACD" w:rsidRPr="00724ACD" w:rsidRDefault="00724ACD" w:rsidP="00724ACD">
      <w:pPr>
        <w:numPr>
          <w:ilvl w:val="0"/>
          <w:numId w:val="3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A New Diplomatic Framework:</w:t>
      </w:r>
      <w:r w:rsidRPr="00724ACD">
        <w:rPr>
          <w:rFonts w:ascii="Times New Roman" w:eastAsia="Times New Roman" w:hAnsi="Times New Roman" w:cs="Times New Roman"/>
          <w:kern w:val="0"/>
          <w:sz w:val="24"/>
          <w:szCs w:val="24"/>
          <w14:ligatures w14:val="none"/>
        </w:rPr>
        <w:t xml:space="preserve"> International actors must engage Jordan as a central player in any future negotiations regarding Palestinian statehood. As the original territory intended for Palestinian Arabs, Jordan has a critical role to play in addressing their right to a state. Additionally, other regional territories should be considered in this re-imagined framework to create a stable and just solution for all parties involved.</w:t>
      </w:r>
    </w:p>
    <w:p w14:paraId="08AB04AE"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Exploring Broader Regional Adjustments</w:t>
      </w:r>
    </w:p>
    <w:p w14:paraId="23DF2EED" w14:textId="77777777" w:rsidR="00724ACD" w:rsidRPr="00724ACD" w:rsidRDefault="00724ACD" w:rsidP="00724ACD">
      <w:pPr>
        <w:numPr>
          <w:ilvl w:val="0"/>
          <w:numId w:val="3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Involving Neighboring States in the Solution:</w:t>
      </w:r>
      <w:r w:rsidRPr="00724ACD">
        <w:rPr>
          <w:rFonts w:ascii="Times New Roman" w:eastAsia="Times New Roman" w:hAnsi="Times New Roman" w:cs="Times New Roman"/>
          <w:kern w:val="0"/>
          <w:sz w:val="24"/>
          <w:szCs w:val="24"/>
          <w14:ligatures w14:val="none"/>
        </w:rPr>
        <w:t xml:space="preserve"> A comprehensive solution may involve negotiating territorial adjustments that reflect contemporary realities and address local populations' needs. These adjustments could involve land swaps, shared sovereignty arrangements, or special economic zones allowing greater autonomy and cooperation across borders.</w:t>
      </w:r>
    </w:p>
    <w:p w14:paraId="4417F7EA" w14:textId="77777777" w:rsidR="00724ACD" w:rsidRPr="00724ACD" w:rsidRDefault="00724ACD" w:rsidP="00724ACD">
      <w:pPr>
        <w:numPr>
          <w:ilvl w:val="0"/>
          <w:numId w:val="3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b/>
          <w:bCs/>
          <w:kern w:val="0"/>
          <w:sz w:val="24"/>
          <w:szCs w:val="24"/>
          <w14:ligatures w14:val="none"/>
        </w:rPr>
        <w:t>Creative Approaches to Regional Peace:</w:t>
      </w:r>
      <w:r w:rsidRPr="00724ACD">
        <w:rPr>
          <w:rFonts w:ascii="Times New Roman" w:eastAsia="Times New Roman" w:hAnsi="Times New Roman" w:cs="Times New Roman"/>
          <w:kern w:val="0"/>
          <w:sz w:val="24"/>
          <w:szCs w:val="24"/>
          <w14:ligatures w14:val="none"/>
        </w:rPr>
        <w:t xml:space="preserve"> By reassessing the legitimacy of borders and considering innovative solutions, the international community can empower local communities, promote self-determination, and mitigate longstanding grievances. This approach requires a commitment to justice, dialogue, and mutual respect.</w:t>
      </w:r>
    </w:p>
    <w:p w14:paraId="668EA03A"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Conclusion: Toward a Just and Lasting Solution</w:t>
      </w:r>
    </w:p>
    <w:p w14:paraId="08A5B135"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lastRenderedPageBreak/>
        <w:t>The Palestinian Arabs have a legitimate right to statehood, but a two-state solution confined to the West Bank and Gaza is not sufficient. The British decision to carve out Transjordan from the original Mandate territory created an unjust and unsustainable situation that has perpetuated conflict for decades. To correct this historical mistake, the international community must consider Jordan and possibly other regional territories as part of a comprehensive solution to provide a viable homeland for the Palestinian Arabs.</w:t>
      </w:r>
    </w:p>
    <w:p w14:paraId="578BF374"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By recognizing the original Mandate boundaries and exploring broader regional adjustments, we can create a framework that respects the rights and aspirations of both Israelis and Palestinians while ensuring regional stability. Through a commitment to justice, dialogue, and innovative problem-solving, it is possible to achieve a fair and lasting peace for all the peoples of the Middle East.</w:t>
      </w:r>
    </w:p>
    <w:p w14:paraId="732DCD90"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Epilogue: A Vision for Peace and Reconciliation in the Middle East</w:t>
      </w:r>
    </w:p>
    <w:p w14:paraId="3F341323"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Introduction</w:t>
      </w:r>
    </w:p>
    <w:p w14:paraId="4BCEE913"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As we conclude this exploration of the Israeli-Palestinian conflict and the broader struggles that have shaped the Middle East, one thing is unmistakably clear: peace is neither a simple nor an immediate goal. The legacies of colonialism, the deep scars of wars, and the entrenched narratives of victimhood and blame create formidable barriers to reconciliation. Yet, within these challenges lies the potential for transformative change—a change that is urgently needed and desperately sought.</w:t>
      </w:r>
    </w:p>
    <w:p w14:paraId="5BD0630E"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Reflecting on the Past to Understand the Present</w:t>
      </w:r>
    </w:p>
    <w:p w14:paraId="6474F22A"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Throughout this book, we have navigated a complex web of events, decisions, and ideologies that have defined the Middle East over the past century. We have seen how colonial powers, particularly Britain, drew arbitrary boundaries, made conflicting promises to Jews and Arabs, and set in motion conflicts that have created a landscape of division, mistrust, and fear. The decision to carve out Transjordan from the original Mandate territory created an impossible situation, ensuring that both Jews and Palestinian Arabs would endure generations of suffering and conflict.</w:t>
      </w:r>
    </w:p>
    <w:p w14:paraId="757B2C8A"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Yet, in this history of struggle and resilience, a common thread connects all people of the region: the desire to live with dignity and security. Jews and Palestinian Arabs alike wake up each day seeking the same basic needs—food, safety, family, and a better future. These fundamental human aspirations have often been overshadowed by the politics of religion, colonization, and power. Both communities have paid a heavy price for decisions made by others over a century ago. The true tragedy is that neither side has been able to step back and recognize that peace is the only viable path forward for both.</w:t>
      </w:r>
    </w:p>
    <w:p w14:paraId="1168B0EF"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Imperative of Reframing the Narrative</w:t>
      </w:r>
    </w:p>
    <w:p w14:paraId="78586B9B"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Reframing the narrative is not merely an intellectual exercise; it is a moral and strategic necessity. The stories we tell ourselves and others about who we are and what we stand for shape our realities and influence our actions. For too long, the narrative surrounding the Israeli-</w:t>
      </w:r>
      <w:r w:rsidRPr="00724ACD">
        <w:rPr>
          <w:rFonts w:ascii="Times New Roman" w:eastAsia="Times New Roman" w:hAnsi="Times New Roman" w:cs="Times New Roman"/>
          <w:kern w:val="0"/>
          <w:sz w:val="24"/>
          <w:szCs w:val="24"/>
          <w14:ligatures w14:val="none"/>
        </w:rPr>
        <w:lastRenderedPageBreak/>
        <w:t>Palestinian conflict has been dominated by zero-sum thinking, where one side's gain is perceived as the other's loss. This mindset has only deepened divides and perpetuated cycles of violence.</w:t>
      </w:r>
    </w:p>
    <w:p w14:paraId="73250EA5"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A new narrative must emerge—one that transcends the binaries of victim and aggressor, occupier and occupied. This narrative should acknowledge the complexities, honor the humanity of all parties, and emphasize shared values and common aspirations. It should speak of justice, reconciliation, and the possibility of coexistence. Such a shift in perspective can help create the conditions necessary for dialogue, trust-building, and meaningful negotiations.</w:t>
      </w:r>
    </w:p>
    <w:p w14:paraId="6FAFBB29"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Reimagining Borders and Sovereignty</w:t>
      </w:r>
    </w:p>
    <w:p w14:paraId="43AC1166"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Revisiting the historical boundaries imposed by colonial powers is crucial to understanding the deep-rooted causes of the conflict. While redrawing maps may not always be feasible or desirable, recognizing how these borders were formed and the grievances they created can open new pathways for cooperation and regional integration.</w:t>
      </w:r>
    </w:p>
    <w:p w14:paraId="3B24597C"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Innovative approaches—such as shared sovereignty over disputed territories, joint economic zones that benefit all communities, or regional agreements that respect the rights and identities of diverse populations—could offer fresh solutions. By acknowledging the artificial nature of many of these borders and exploring creative alternatives, the people of the Middle East can begin to build a new political landscape where borders become bridges between communities rather than barriers.</w:t>
      </w:r>
    </w:p>
    <w:p w14:paraId="7C89C54E"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The Role of Leadership and Grassroots Movements</w:t>
      </w:r>
    </w:p>
    <w:p w14:paraId="4C634AAE"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Leadership remains crucial in achieving peace. Political leaders on all sides must find the courage to move beyond entrenched positions and take bold steps toward reconciliation. However, peace cannot rely solely on leaders; it must be rooted in the will of the people. Grassroots movements, civil society organizations, and ordinary citizens play a vital role in bridging divides and fostering a culture of peace.</w:t>
      </w:r>
    </w:p>
    <w:p w14:paraId="1834CD1B"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Across the region, countless stories of individuals and communities are challenging the status quo, engaging in dialogue, and building networks of solidarity. These efforts, however small they may seem, are the building blocks of a more peaceful future. They remind us that even in times of darkness, there are always those who will choose hope over fear, empathy over hatred, and life over death.</w:t>
      </w:r>
    </w:p>
    <w:p w14:paraId="3CAD3AC2"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Looking to the Future: A Call for Renewed Commitment</w:t>
      </w:r>
    </w:p>
    <w:p w14:paraId="5CB3F5EC"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The road to peace in the Middle East will be long and fraught with difficulties. There will be setbacks, and there will be moments when conflict seems inevitable. But history teaches us that peace is possible, even in the most unlikely circumstances. It requires courage, creativity, and a willingness to see beyond the present moment.</w:t>
      </w:r>
    </w:p>
    <w:p w14:paraId="7EEE4994"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As we look to the future, we must carry forward the lessons of the past, the wisdom of those who have struggled for justice, and the vision of a region where all peoples can live in dignity, </w:t>
      </w:r>
      <w:r w:rsidRPr="00724ACD">
        <w:rPr>
          <w:rFonts w:ascii="Times New Roman" w:eastAsia="Times New Roman" w:hAnsi="Times New Roman" w:cs="Times New Roman"/>
          <w:kern w:val="0"/>
          <w:sz w:val="24"/>
          <w:szCs w:val="24"/>
          <w14:ligatures w14:val="none"/>
        </w:rPr>
        <w:lastRenderedPageBreak/>
        <w:t>security, and freedom. We must challenge ourselves to think differently, to act with compassion, and to never lose sight of the shared humanity that binds us all.</w:t>
      </w:r>
    </w:p>
    <w:p w14:paraId="1689B3B8"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A Vision of Peace: From Conflict to Coexistence</w:t>
      </w:r>
    </w:p>
    <w:p w14:paraId="3BC0648C"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Peace is not merely the absence of war; it is the presence of justice, equity, and mutual respect. It is about building societies where differences are celebrated, rights are protected, and opportunities are available to all. The vision of peace for the Middle East is one in which Israelis and Palestinians, Arabs and Jews, Sunnis and Shiites, can coexist in harmony—where the pursuit of prosperity replaces the drive for power, and where the scars of history are healed through reconciliation and forgiveness.</w:t>
      </w:r>
    </w:p>
    <w:p w14:paraId="5EDE2C5E"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This vision may seem distant, but it is not unattainable. It begins with recognizing that there is no military solution to this conflict, no </w:t>
      </w:r>
      <w:proofErr w:type="gramStart"/>
      <w:r w:rsidRPr="00724ACD">
        <w:rPr>
          <w:rFonts w:ascii="Times New Roman" w:eastAsia="Times New Roman" w:hAnsi="Times New Roman" w:cs="Times New Roman"/>
          <w:kern w:val="0"/>
          <w:sz w:val="24"/>
          <w:szCs w:val="24"/>
          <w14:ligatures w14:val="none"/>
        </w:rPr>
        <w:t>victor</w:t>
      </w:r>
      <w:proofErr w:type="gramEnd"/>
      <w:r w:rsidRPr="00724ACD">
        <w:rPr>
          <w:rFonts w:ascii="Times New Roman" w:eastAsia="Times New Roman" w:hAnsi="Times New Roman" w:cs="Times New Roman"/>
          <w:kern w:val="0"/>
          <w:sz w:val="24"/>
          <w:szCs w:val="24"/>
          <w14:ligatures w14:val="none"/>
        </w:rPr>
        <w:t xml:space="preserve"> in this war, and no future in perpetuating hate. It starts with the simple but profound belief that peace is possible and that every action taken in its pursuit brings us one step closer to realizing it.</w:t>
      </w:r>
    </w:p>
    <w:p w14:paraId="0C59065E"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The Middle East is a region of ancient civilizations, rich cultures, and remarkable resilience. Its future should not be defined by walls, checkpoints, and conflict but by the promise of coexistence, creativity, and collaboration. This is the vision we must hold onto, the path we must strive to follow, and the hope that must guide us toward a new era of peace.</w:t>
      </w:r>
    </w:p>
    <w:p w14:paraId="4E55ED0F" w14:textId="77777777" w:rsidR="00724ACD" w:rsidRPr="00724ACD" w:rsidRDefault="00724ACD" w:rsidP="00724A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24ACD">
        <w:rPr>
          <w:rFonts w:ascii="Times New Roman" w:eastAsia="Times New Roman" w:hAnsi="Times New Roman" w:cs="Times New Roman"/>
          <w:b/>
          <w:bCs/>
          <w:kern w:val="0"/>
          <w:sz w:val="27"/>
          <w:szCs w:val="27"/>
          <w14:ligatures w14:val="none"/>
        </w:rPr>
        <w:t>Final Thoughts: The Path Ahead</w:t>
      </w:r>
    </w:p>
    <w:p w14:paraId="51743908" w14:textId="77777777" w:rsidR="00724ACD" w:rsidRPr="00724ACD" w:rsidRDefault="00724ACD" w:rsidP="00724AC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24ACD">
        <w:rPr>
          <w:rFonts w:ascii="Times New Roman" w:eastAsia="Times New Roman" w:hAnsi="Times New Roman" w:cs="Times New Roman"/>
          <w:kern w:val="0"/>
          <w:sz w:val="24"/>
          <w:szCs w:val="24"/>
          <w14:ligatures w14:val="none"/>
        </w:rPr>
        <w:t xml:space="preserve">In the end, it is the recognition of our shared humanity that will lead to healing a century-old wound and creating a future where all people can live in peace. We must continue to write our stories not in the language of division but in the spirit of unity. This journey will require courage, imagination, and an unyielding commitment to the values that define our common humanity. But it is a journey worth taking—for </w:t>
      </w:r>
      <w:proofErr w:type="gramStart"/>
      <w:r w:rsidRPr="00724ACD">
        <w:rPr>
          <w:rFonts w:ascii="Times New Roman" w:eastAsia="Times New Roman" w:hAnsi="Times New Roman" w:cs="Times New Roman"/>
          <w:kern w:val="0"/>
          <w:sz w:val="24"/>
          <w:szCs w:val="24"/>
          <w14:ligatures w14:val="none"/>
        </w:rPr>
        <w:t>ourselves</w:t>
      </w:r>
      <w:proofErr w:type="gramEnd"/>
      <w:r w:rsidRPr="00724ACD">
        <w:rPr>
          <w:rFonts w:ascii="Times New Roman" w:eastAsia="Times New Roman" w:hAnsi="Times New Roman" w:cs="Times New Roman"/>
          <w:kern w:val="0"/>
          <w:sz w:val="24"/>
          <w:szCs w:val="24"/>
          <w14:ligatures w14:val="none"/>
        </w:rPr>
        <w:t>, for future generations, and for the promise of a Middle East where peace, justice, and freedom are realities for all.</w:t>
      </w:r>
    </w:p>
    <w:p w14:paraId="4CF26955" w14:textId="77777777" w:rsidR="00C661F7" w:rsidRPr="00A02D37" w:rsidRDefault="00C661F7" w:rsidP="00C661F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t>Primary Sources</w:t>
      </w:r>
    </w:p>
    <w:p w14:paraId="0ABFC949" w14:textId="77777777" w:rsidR="00C661F7" w:rsidRPr="00A02D37" w:rsidRDefault="00C661F7">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Balfour Declaration (1917)</w:t>
      </w:r>
      <w:r w:rsidRPr="00A02D37">
        <w:rPr>
          <w:rFonts w:ascii="Times New Roman" w:eastAsia="Times New Roman" w:hAnsi="Times New Roman" w:cs="Times New Roman"/>
          <w:kern w:val="0"/>
          <w:sz w:val="24"/>
          <w:szCs w:val="24"/>
          <w14:ligatures w14:val="none"/>
        </w:rPr>
        <w:t xml:space="preserve"> - The official statement from the British government expressing support for a "national home for the Jewish people" in Palestine.</w:t>
      </w:r>
    </w:p>
    <w:p w14:paraId="7A999C1B" w14:textId="77777777" w:rsidR="00C661F7" w:rsidRPr="00A02D37" w:rsidRDefault="00C661F7">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McMahon-Hussein Correspondence (1915-1916)</w:t>
      </w:r>
      <w:r w:rsidRPr="00A02D37">
        <w:rPr>
          <w:rFonts w:ascii="Times New Roman" w:eastAsia="Times New Roman" w:hAnsi="Times New Roman" w:cs="Times New Roman"/>
          <w:kern w:val="0"/>
          <w:sz w:val="24"/>
          <w:szCs w:val="24"/>
          <w14:ligatures w14:val="none"/>
        </w:rPr>
        <w:t xml:space="preserve"> - A series of letters between Sir Henry McMahon, the British High Commissioner in Egypt, and Sharif Hussein of Mecca, discussing British support for an independent Arab state.</w:t>
      </w:r>
    </w:p>
    <w:p w14:paraId="7206A68D" w14:textId="77777777" w:rsidR="00C661F7" w:rsidRPr="00A02D37" w:rsidRDefault="00C661F7">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Sykes-Picot Agreement (1916)</w:t>
      </w:r>
      <w:r w:rsidRPr="00A02D37">
        <w:rPr>
          <w:rFonts w:ascii="Times New Roman" w:eastAsia="Times New Roman" w:hAnsi="Times New Roman" w:cs="Times New Roman"/>
          <w:kern w:val="0"/>
          <w:sz w:val="24"/>
          <w:szCs w:val="24"/>
          <w14:ligatures w14:val="none"/>
        </w:rPr>
        <w:t xml:space="preserve"> - A secret agreement between Britain and France dividing Ottoman territories in the Middle East.</w:t>
      </w:r>
    </w:p>
    <w:p w14:paraId="04305B0C" w14:textId="77777777" w:rsidR="00C661F7" w:rsidRPr="00A02D37" w:rsidRDefault="00C661F7">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Treaty of Versailles (1919)</w:t>
      </w:r>
      <w:r w:rsidRPr="00A02D37">
        <w:rPr>
          <w:rFonts w:ascii="Times New Roman" w:eastAsia="Times New Roman" w:hAnsi="Times New Roman" w:cs="Times New Roman"/>
          <w:kern w:val="0"/>
          <w:sz w:val="24"/>
          <w:szCs w:val="24"/>
          <w14:ligatures w14:val="none"/>
        </w:rPr>
        <w:t xml:space="preserve"> - The peace treaty that ended World War I and led to the creation of the League of Nations mandates, including those in the Middle East.</w:t>
      </w:r>
    </w:p>
    <w:p w14:paraId="4E219D85" w14:textId="77777777" w:rsidR="00C661F7" w:rsidRPr="00A02D37" w:rsidRDefault="00C661F7">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UN Partition Plan for Palestine (1947)</w:t>
      </w:r>
      <w:r w:rsidRPr="00A02D37">
        <w:rPr>
          <w:rFonts w:ascii="Times New Roman" w:eastAsia="Times New Roman" w:hAnsi="Times New Roman" w:cs="Times New Roman"/>
          <w:kern w:val="0"/>
          <w:sz w:val="24"/>
          <w:szCs w:val="24"/>
          <w14:ligatures w14:val="none"/>
        </w:rPr>
        <w:t xml:space="preserve"> - The United Nations resolution proposing the partition of Palestine into separate Jewish and Arab states.</w:t>
      </w:r>
    </w:p>
    <w:p w14:paraId="7AA4E010" w14:textId="77777777" w:rsidR="00C661F7" w:rsidRPr="00A02D37" w:rsidRDefault="00C661F7" w:rsidP="00C661F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t>Secondary Sources</w:t>
      </w:r>
    </w:p>
    <w:p w14:paraId="2234C378" w14:textId="77777777" w:rsidR="00C661F7" w:rsidRPr="00A02D37" w:rsidRDefault="00C661F7" w:rsidP="00C661F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lastRenderedPageBreak/>
        <w:t>Books</w:t>
      </w:r>
    </w:p>
    <w:p w14:paraId="5D3B9D98"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"A Peace to End All Peace: The Fall of the Ottoman Empire and the Creation of the Modern Middle East"</w:t>
      </w:r>
      <w:r w:rsidRPr="00A02D37">
        <w:rPr>
          <w:rFonts w:ascii="Times New Roman" w:eastAsia="Times New Roman" w:hAnsi="Times New Roman" w:cs="Times New Roman"/>
          <w:kern w:val="0"/>
          <w:sz w:val="24"/>
          <w:szCs w:val="24"/>
          <w14:ligatures w14:val="none"/>
        </w:rPr>
        <w:t xml:space="preserve"> by David Fromkin - A comprehensive account of the geopolitical reshaping of the Middle East after World War I.</w:t>
      </w:r>
    </w:p>
    <w:p w14:paraId="5319C99A"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 xml:space="preserve">"The Balfour Declaration: The Origins of the </w:t>
      </w:r>
      <w:proofErr w:type="gramStart"/>
      <w:r w:rsidRPr="00A02D37">
        <w:rPr>
          <w:rFonts w:ascii="Times New Roman" w:eastAsia="Times New Roman" w:hAnsi="Times New Roman" w:cs="Times New Roman"/>
          <w:b/>
          <w:bCs/>
          <w:kern w:val="0"/>
          <w:sz w:val="24"/>
          <w:szCs w:val="24"/>
          <w14:ligatures w14:val="none"/>
        </w:rPr>
        <w:t>Arab-Israeli</w:t>
      </w:r>
      <w:proofErr w:type="gramEnd"/>
      <w:r w:rsidRPr="00A02D37">
        <w:rPr>
          <w:rFonts w:ascii="Times New Roman" w:eastAsia="Times New Roman" w:hAnsi="Times New Roman" w:cs="Times New Roman"/>
          <w:b/>
          <w:bCs/>
          <w:kern w:val="0"/>
          <w:sz w:val="24"/>
          <w:szCs w:val="24"/>
          <w14:ligatures w14:val="none"/>
        </w:rPr>
        <w:t xml:space="preserve"> Conflict"</w:t>
      </w:r>
      <w:r w:rsidRPr="00A02D37">
        <w:rPr>
          <w:rFonts w:ascii="Times New Roman" w:eastAsia="Times New Roman" w:hAnsi="Times New Roman" w:cs="Times New Roman"/>
          <w:kern w:val="0"/>
          <w:sz w:val="24"/>
          <w:szCs w:val="24"/>
          <w14:ligatures w14:val="none"/>
        </w:rPr>
        <w:t xml:space="preserve"> by Jonathan Schneer - An exploration of the history and consequences of the Balfour Declaration.</w:t>
      </w:r>
    </w:p>
    <w:p w14:paraId="1F57FCAD"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Iron Cage: The Story of the Palestinian Struggle for Statehood"</w:t>
      </w:r>
      <w:r w:rsidRPr="00A02D37">
        <w:rPr>
          <w:rFonts w:ascii="Times New Roman" w:eastAsia="Times New Roman" w:hAnsi="Times New Roman" w:cs="Times New Roman"/>
          <w:kern w:val="0"/>
          <w:sz w:val="24"/>
          <w:szCs w:val="24"/>
          <w14:ligatures w14:val="none"/>
        </w:rPr>
        <w:t xml:space="preserve"> by Rashid Khalidi - A detailed history of the Palestinian national movement and its struggles in the context of British colonial policies.</w:t>
      </w:r>
    </w:p>
    <w:p w14:paraId="0D8549A0"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 xml:space="preserve">"Jerusalem 1913: The Origins of the </w:t>
      </w:r>
      <w:proofErr w:type="gramStart"/>
      <w:r w:rsidRPr="00A02D37">
        <w:rPr>
          <w:rFonts w:ascii="Times New Roman" w:eastAsia="Times New Roman" w:hAnsi="Times New Roman" w:cs="Times New Roman"/>
          <w:b/>
          <w:bCs/>
          <w:kern w:val="0"/>
          <w:sz w:val="24"/>
          <w:szCs w:val="24"/>
          <w14:ligatures w14:val="none"/>
        </w:rPr>
        <w:t>Arab-Israeli</w:t>
      </w:r>
      <w:proofErr w:type="gramEnd"/>
      <w:r w:rsidRPr="00A02D37">
        <w:rPr>
          <w:rFonts w:ascii="Times New Roman" w:eastAsia="Times New Roman" w:hAnsi="Times New Roman" w:cs="Times New Roman"/>
          <w:b/>
          <w:bCs/>
          <w:kern w:val="0"/>
          <w:sz w:val="24"/>
          <w:szCs w:val="24"/>
          <w14:ligatures w14:val="none"/>
        </w:rPr>
        <w:t xml:space="preserve"> Conflict"</w:t>
      </w:r>
      <w:r w:rsidRPr="00A02D37">
        <w:rPr>
          <w:rFonts w:ascii="Times New Roman" w:eastAsia="Times New Roman" w:hAnsi="Times New Roman" w:cs="Times New Roman"/>
          <w:kern w:val="0"/>
          <w:sz w:val="24"/>
          <w:szCs w:val="24"/>
          <w14:ligatures w14:val="none"/>
        </w:rPr>
        <w:t xml:space="preserve"> by Amy </w:t>
      </w:r>
      <w:proofErr w:type="spellStart"/>
      <w:r w:rsidRPr="00A02D37">
        <w:rPr>
          <w:rFonts w:ascii="Times New Roman" w:eastAsia="Times New Roman" w:hAnsi="Times New Roman" w:cs="Times New Roman"/>
          <w:kern w:val="0"/>
          <w:sz w:val="24"/>
          <w:szCs w:val="24"/>
          <w14:ligatures w14:val="none"/>
        </w:rPr>
        <w:t>Dockser</w:t>
      </w:r>
      <w:proofErr w:type="spellEnd"/>
      <w:r w:rsidRPr="00A02D37">
        <w:rPr>
          <w:rFonts w:ascii="Times New Roman" w:eastAsia="Times New Roman" w:hAnsi="Times New Roman" w:cs="Times New Roman"/>
          <w:kern w:val="0"/>
          <w:sz w:val="24"/>
          <w:szCs w:val="24"/>
          <w14:ligatures w14:val="none"/>
        </w:rPr>
        <w:t xml:space="preserve"> Marcus - A historical analysis of the early 20th century in Palestine, examining the roots of the conflict.</w:t>
      </w:r>
    </w:p>
    <w:p w14:paraId="4D662B42"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Great War for Civilization: The Conquest of the Middle East"</w:t>
      </w:r>
      <w:r w:rsidRPr="00A02D37">
        <w:rPr>
          <w:rFonts w:ascii="Times New Roman" w:eastAsia="Times New Roman" w:hAnsi="Times New Roman" w:cs="Times New Roman"/>
          <w:kern w:val="0"/>
          <w:sz w:val="24"/>
          <w:szCs w:val="24"/>
          <w14:ligatures w14:val="none"/>
        </w:rPr>
        <w:t xml:space="preserve"> by Robert Fisk - A comprehensive history of the Middle East in the 20th century, focusing on Western intervention and colonialism.</w:t>
      </w:r>
    </w:p>
    <w:p w14:paraId="63965C4A"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"Partition: The Story of Indian Independence and the Creation of Pakistan and Bangladesh"</w:t>
      </w:r>
      <w:r w:rsidRPr="00A02D37">
        <w:rPr>
          <w:rFonts w:ascii="Times New Roman" w:eastAsia="Times New Roman" w:hAnsi="Times New Roman" w:cs="Times New Roman"/>
          <w:kern w:val="0"/>
          <w:sz w:val="24"/>
          <w:szCs w:val="24"/>
          <w14:ligatures w14:val="none"/>
        </w:rPr>
        <w:t xml:space="preserve"> by Barney White-</w:t>
      </w:r>
      <w:proofErr w:type="spellStart"/>
      <w:r w:rsidRPr="00A02D37">
        <w:rPr>
          <w:rFonts w:ascii="Times New Roman" w:eastAsia="Times New Roman" w:hAnsi="Times New Roman" w:cs="Times New Roman"/>
          <w:kern w:val="0"/>
          <w:sz w:val="24"/>
          <w:szCs w:val="24"/>
          <w14:ligatures w14:val="none"/>
        </w:rPr>
        <w:t>Spunner</w:t>
      </w:r>
      <w:proofErr w:type="spellEnd"/>
      <w:r w:rsidRPr="00A02D37">
        <w:rPr>
          <w:rFonts w:ascii="Times New Roman" w:eastAsia="Times New Roman" w:hAnsi="Times New Roman" w:cs="Times New Roman"/>
          <w:kern w:val="0"/>
          <w:sz w:val="24"/>
          <w:szCs w:val="24"/>
          <w14:ligatures w14:val="none"/>
        </w:rPr>
        <w:t xml:space="preserve"> - A detailed account of the partition of British India in 1947 and its long-term consequences.</w:t>
      </w:r>
    </w:p>
    <w:p w14:paraId="1A5F7081"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Opium Wars: Drugs, Dreams, and the Making of Modern China"</w:t>
      </w:r>
      <w:r w:rsidRPr="00A02D37">
        <w:rPr>
          <w:rFonts w:ascii="Times New Roman" w:eastAsia="Times New Roman" w:hAnsi="Times New Roman" w:cs="Times New Roman"/>
          <w:kern w:val="0"/>
          <w:sz w:val="24"/>
          <w:szCs w:val="24"/>
          <w14:ligatures w14:val="none"/>
        </w:rPr>
        <w:t xml:space="preserve"> by Julia Lovell - An exploration of the British-Chinese conflicts over opium and their impact on China's history.</w:t>
      </w:r>
    </w:p>
    <w:p w14:paraId="5A6BD4BC"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"King Hussein of Jordan: A Political Life"</w:t>
      </w:r>
      <w:r w:rsidRPr="00A02D37">
        <w:rPr>
          <w:rFonts w:ascii="Times New Roman" w:eastAsia="Times New Roman" w:hAnsi="Times New Roman" w:cs="Times New Roman"/>
          <w:kern w:val="0"/>
          <w:sz w:val="24"/>
          <w:szCs w:val="24"/>
          <w14:ligatures w14:val="none"/>
        </w:rPr>
        <w:t xml:space="preserve"> by Nigel Ashton - A biography of King Hussein, examining the impact of British policies on Jordan and its neighbors.</w:t>
      </w:r>
    </w:p>
    <w:p w14:paraId="75CD2243"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"Imperial Reckoning: The Untold Story of Britain's Gulag in Kenya"</w:t>
      </w:r>
      <w:r w:rsidRPr="00A02D37">
        <w:rPr>
          <w:rFonts w:ascii="Times New Roman" w:eastAsia="Times New Roman" w:hAnsi="Times New Roman" w:cs="Times New Roman"/>
          <w:kern w:val="0"/>
          <w:sz w:val="24"/>
          <w:szCs w:val="24"/>
          <w14:ligatures w14:val="none"/>
        </w:rPr>
        <w:t xml:space="preserve"> by Caroline Elkins - An investigation into British colonial policies in Kenya and the violent suppression of the Mau </w:t>
      </w:r>
      <w:proofErr w:type="spellStart"/>
      <w:r w:rsidRPr="00A02D37">
        <w:rPr>
          <w:rFonts w:ascii="Times New Roman" w:eastAsia="Times New Roman" w:hAnsi="Times New Roman" w:cs="Times New Roman"/>
          <w:kern w:val="0"/>
          <w:sz w:val="24"/>
          <w:szCs w:val="24"/>
          <w14:ligatures w14:val="none"/>
        </w:rPr>
        <w:t>Mau</w:t>
      </w:r>
      <w:proofErr w:type="spellEnd"/>
      <w:r w:rsidRPr="00A02D37">
        <w:rPr>
          <w:rFonts w:ascii="Times New Roman" w:eastAsia="Times New Roman" w:hAnsi="Times New Roman" w:cs="Times New Roman"/>
          <w:kern w:val="0"/>
          <w:sz w:val="24"/>
          <w:szCs w:val="24"/>
          <w14:ligatures w14:val="none"/>
        </w:rPr>
        <w:t xml:space="preserve"> Uprising.</w:t>
      </w:r>
    </w:p>
    <w:p w14:paraId="59A848BE"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Scramble for Africa: White Man's Conquest of the Dark Continent from 1876 to 1912"</w:t>
      </w:r>
      <w:r w:rsidRPr="00A02D37">
        <w:rPr>
          <w:rFonts w:ascii="Times New Roman" w:eastAsia="Times New Roman" w:hAnsi="Times New Roman" w:cs="Times New Roman"/>
          <w:kern w:val="0"/>
          <w:sz w:val="24"/>
          <w:szCs w:val="24"/>
          <w14:ligatures w14:val="none"/>
        </w:rPr>
        <w:t xml:space="preserve"> by Thomas Pakenham - A comprehensive study of European colonization in Africa, including British strategies and their aftermath.</w:t>
      </w:r>
    </w:p>
    <w:p w14:paraId="27FB8A26"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"Iran: A Modern History"</w:t>
      </w:r>
      <w:r w:rsidRPr="00A02D37">
        <w:rPr>
          <w:rFonts w:ascii="Times New Roman" w:eastAsia="Times New Roman" w:hAnsi="Times New Roman" w:cs="Times New Roman"/>
          <w:kern w:val="0"/>
          <w:sz w:val="24"/>
          <w:szCs w:val="24"/>
          <w14:ligatures w14:val="none"/>
        </w:rPr>
        <w:t xml:space="preserve"> by Abbas Amanat - A detailed history of Iran, including British intervention and its effects on the rise of nationalism and the 1979 revolution.</w:t>
      </w:r>
    </w:p>
    <w:p w14:paraId="77EFA792"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"Mandate: The British in Palestine, 1917-1948"</w:t>
      </w:r>
      <w:r w:rsidRPr="00A02D37">
        <w:rPr>
          <w:rFonts w:ascii="Times New Roman" w:eastAsia="Times New Roman" w:hAnsi="Times New Roman" w:cs="Times New Roman"/>
          <w:kern w:val="0"/>
          <w:sz w:val="24"/>
          <w:szCs w:val="24"/>
          <w14:ligatures w14:val="none"/>
        </w:rPr>
        <w:t xml:space="preserve"> by Tom Segev - A critical examination of British rule in Palestine and its role in shaping the Israeli-Palestinian conflict.</w:t>
      </w:r>
    </w:p>
    <w:p w14:paraId="3FFC8F17"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Great Partition: The Making of India and Pakistan"</w:t>
      </w:r>
      <w:r w:rsidRPr="00A02D37">
        <w:rPr>
          <w:rFonts w:ascii="Times New Roman" w:eastAsia="Times New Roman" w:hAnsi="Times New Roman" w:cs="Times New Roman"/>
          <w:kern w:val="0"/>
          <w:sz w:val="24"/>
          <w:szCs w:val="24"/>
          <w14:ligatures w14:val="none"/>
        </w:rPr>
        <w:t xml:space="preserve"> by Yasmin Khan - An in-depth analysis of the partition of British India and its continuing impact.</w:t>
      </w:r>
    </w:p>
    <w:p w14:paraId="570A335B" w14:textId="77777777" w:rsidR="00C661F7" w:rsidRPr="00A02D37" w:rsidRDefault="00C661F7">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"Divide and Rule: The Partition of Africa, 1880-1914"</w:t>
      </w:r>
      <w:r w:rsidRPr="00A02D37">
        <w:rPr>
          <w:rFonts w:ascii="Times New Roman" w:eastAsia="Times New Roman" w:hAnsi="Times New Roman" w:cs="Times New Roman"/>
          <w:kern w:val="0"/>
          <w:sz w:val="24"/>
          <w:szCs w:val="24"/>
          <w14:ligatures w14:val="none"/>
        </w:rPr>
        <w:t xml:space="preserve"> by H.L. Wesseling - A study of how European colonial powers, including Britain, divided Africa into arbitrary states and the consequences of those actions.</w:t>
      </w:r>
    </w:p>
    <w:p w14:paraId="3D610745" w14:textId="77777777" w:rsidR="00C661F7" w:rsidRPr="00A02D37" w:rsidRDefault="00C661F7" w:rsidP="00C661F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t>Articles and Journals</w:t>
      </w:r>
    </w:p>
    <w:p w14:paraId="4E60BA68" w14:textId="77777777" w:rsidR="00C661F7" w:rsidRPr="00A02D37" w:rsidRDefault="00C661F7">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Middle East Journal"</w:t>
      </w:r>
      <w:r w:rsidRPr="00A02D37">
        <w:rPr>
          <w:rFonts w:ascii="Times New Roman" w:eastAsia="Times New Roman" w:hAnsi="Times New Roman" w:cs="Times New Roman"/>
          <w:kern w:val="0"/>
          <w:sz w:val="24"/>
          <w:szCs w:val="24"/>
          <w14:ligatures w14:val="none"/>
        </w:rPr>
        <w:t xml:space="preserve"> - Numerous articles on the legacy of British colonialism in the Middle East, including Palestine, Jordan, Iraq, and Egypt.</w:t>
      </w:r>
    </w:p>
    <w:p w14:paraId="6FDC0789" w14:textId="77777777" w:rsidR="00C661F7" w:rsidRPr="00A02D37" w:rsidRDefault="00C661F7">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lastRenderedPageBreak/>
        <w:t>"International Journal of Middle East Studies"</w:t>
      </w:r>
      <w:r w:rsidRPr="00A02D37">
        <w:rPr>
          <w:rFonts w:ascii="Times New Roman" w:eastAsia="Times New Roman" w:hAnsi="Times New Roman" w:cs="Times New Roman"/>
          <w:kern w:val="0"/>
          <w:sz w:val="24"/>
          <w:szCs w:val="24"/>
          <w14:ligatures w14:val="none"/>
        </w:rPr>
        <w:t xml:space="preserve"> - Peer-reviewed articles covering various aspects of Middle Eastern history, politics, and conflicts influenced by colonial legacies.</w:t>
      </w:r>
    </w:p>
    <w:p w14:paraId="671A1837" w14:textId="77777777" w:rsidR="00C661F7" w:rsidRPr="00A02D37" w:rsidRDefault="00C661F7">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"Journal of Imperial and Commonwealth History"</w:t>
      </w:r>
      <w:r w:rsidRPr="00A02D37">
        <w:rPr>
          <w:rFonts w:ascii="Times New Roman" w:eastAsia="Times New Roman" w:hAnsi="Times New Roman" w:cs="Times New Roman"/>
          <w:kern w:val="0"/>
          <w:sz w:val="24"/>
          <w:szCs w:val="24"/>
          <w14:ligatures w14:val="none"/>
        </w:rPr>
        <w:t xml:space="preserve"> - Articles examining British colonial policies and their long-term impacts in regions like the Middle East, Africa, and South Asia.</w:t>
      </w:r>
    </w:p>
    <w:p w14:paraId="6F1FE326" w14:textId="77777777" w:rsidR="00C661F7" w:rsidRPr="00A02D37" w:rsidRDefault="00C661F7">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"Journal of Palestine Studies"</w:t>
      </w:r>
      <w:r w:rsidRPr="00A02D37">
        <w:rPr>
          <w:rFonts w:ascii="Times New Roman" w:eastAsia="Times New Roman" w:hAnsi="Times New Roman" w:cs="Times New Roman"/>
          <w:kern w:val="0"/>
          <w:sz w:val="24"/>
          <w:szCs w:val="24"/>
          <w14:ligatures w14:val="none"/>
        </w:rPr>
        <w:t xml:space="preserve"> - A comprehensive source for historical and contemporary analyses of the Israeli-Palestinian conflict.</w:t>
      </w:r>
    </w:p>
    <w:p w14:paraId="355A1B99" w14:textId="77777777" w:rsidR="00C661F7" w:rsidRPr="00A02D37" w:rsidRDefault="00C661F7" w:rsidP="00C661F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t>Documentaries and Films</w:t>
      </w:r>
    </w:p>
    <w:p w14:paraId="5CE17A8C" w14:textId="77777777" w:rsidR="00C661F7" w:rsidRPr="00A02D37" w:rsidRDefault="00C661F7">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Balfour Declaration: Seeds of Discord"</w:t>
      </w:r>
      <w:r w:rsidRPr="00A02D37">
        <w:rPr>
          <w:rFonts w:ascii="Times New Roman" w:eastAsia="Times New Roman" w:hAnsi="Times New Roman" w:cs="Times New Roman"/>
          <w:kern w:val="0"/>
          <w:sz w:val="24"/>
          <w:szCs w:val="24"/>
          <w14:ligatures w14:val="none"/>
        </w:rPr>
        <w:t xml:space="preserve"> - A documentary exploring the impact of the Balfour Declaration on the Israeli-Palestinian conflict.</w:t>
      </w:r>
    </w:p>
    <w:p w14:paraId="51272F04" w14:textId="77777777" w:rsidR="00C661F7" w:rsidRPr="00A02D37" w:rsidRDefault="00C661F7">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War of Ideas in the Middle East"</w:t>
      </w:r>
      <w:r w:rsidRPr="00A02D37">
        <w:rPr>
          <w:rFonts w:ascii="Times New Roman" w:eastAsia="Times New Roman" w:hAnsi="Times New Roman" w:cs="Times New Roman"/>
          <w:kern w:val="0"/>
          <w:sz w:val="24"/>
          <w:szCs w:val="24"/>
          <w14:ligatures w14:val="none"/>
        </w:rPr>
        <w:t xml:space="preserve"> - A documentary examining the ideological battles and colonial legacies in the Middle East.</w:t>
      </w:r>
    </w:p>
    <w:p w14:paraId="67438458" w14:textId="77777777" w:rsidR="00C661F7" w:rsidRPr="00A02D37" w:rsidRDefault="00C661F7">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"Partition: 1947"</w:t>
      </w:r>
      <w:r w:rsidRPr="00A02D37">
        <w:rPr>
          <w:rFonts w:ascii="Times New Roman" w:eastAsia="Times New Roman" w:hAnsi="Times New Roman" w:cs="Times New Roman"/>
          <w:kern w:val="0"/>
          <w:sz w:val="24"/>
          <w:szCs w:val="24"/>
          <w14:ligatures w14:val="none"/>
        </w:rPr>
        <w:t xml:space="preserve"> - A film documenting the partition of British India and its consequences for India, Pakistan, and Bangladesh.</w:t>
      </w:r>
    </w:p>
    <w:p w14:paraId="24390048" w14:textId="77777777" w:rsidR="00C661F7" w:rsidRPr="00A02D37" w:rsidRDefault="00C661F7">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"Empire" Series by Jeremy Paxman</w:t>
      </w:r>
      <w:r w:rsidRPr="00A02D37">
        <w:rPr>
          <w:rFonts w:ascii="Times New Roman" w:eastAsia="Times New Roman" w:hAnsi="Times New Roman" w:cs="Times New Roman"/>
          <w:kern w:val="0"/>
          <w:sz w:val="24"/>
          <w:szCs w:val="24"/>
          <w14:ligatures w14:val="none"/>
        </w:rPr>
        <w:t xml:space="preserve"> - A BBC documentary series on the British Empire, including episodes on the Middle East, Africa, and India.</w:t>
      </w:r>
    </w:p>
    <w:p w14:paraId="39CC9B9B" w14:textId="77777777" w:rsidR="00C661F7" w:rsidRPr="00A02D37" w:rsidRDefault="00C661F7">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Opium War"</w:t>
      </w:r>
      <w:r w:rsidRPr="00A02D37">
        <w:rPr>
          <w:rFonts w:ascii="Times New Roman" w:eastAsia="Times New Roman" w:hAnsi="Times New Roman" w:cs="Times New Roman"/>
          <w:kern w:val="0"/>
          <w:sz w:val="24"/>
          <w:szCs w:val="24"/>
          <w14:ligatures w14:val="none"/>
        </w:rPr>
        <w:t xml:space="preserve"> - A Chinese historical film that provides a perspective on the British-Chinese conflicts over the opium trade.</w:t>
      </w:r>
    </w:p>
    <w:p w14:paraId="797A4DCA" w14:textId="77777777" w:rsidR="00C661F7" w:rsidRPr="00A02D37" w:rsidRDefault="00C661F7" w:rsidP="00C661F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t>Reports and Papers</w:t>
      </w:r>
    </w:p>
    <w:p w14:paraId="64073F55" w14:textId="77777777" w:rsidR="00C661F7" w:rsidRPr="00A02D37" w:rsidRDefault="00C661F7">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"Palestine Royal (Peel) Commission Report" (1937)</w:t>
      </w:r>
      <w:r w:rsidRPr="00A02D37">
        <w:rPr>
          <w:rFonts w:ascii="Times New Roman" w:eastAsia="Times New Roman" w:hAnsi="Times New Roman" w:cs="Times New Roman"/>
          <w:kern w:val="0"/>
          <w:sz w:val="24"/>
          <w:szCs w:val="24"/>
          <w14:ligatures w14:val="none"/>
        </w:rPr>
        <w:t xml:space="preserve"> - A British government report proposing the partition of Palestine.</w:t>
      </w:r>
    </w:p>
    <w:p w14:paraId="051590F3" w14:textId="77777777" w:rsidR="00C661F7" w:rsidRPr="00A02D37" w:rsidRDefault="00C661F7">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"United Nations Special Committee on Palestine (UNSCOP) Report" (1947)</w:t>
      </w:r>
      <w:r w:rsidRPr="00A02D37">
        <w:rPr>
          <w:rFonts w:ascii="Times New Roman" w:eastAsia="Times New Roman" w:hAnsi="Times New Roman" w:cs="Times New Roman"/>
          <w:kern w:val="0"/>
          <w:sz w:val="24"/>
          <w:szCs w:val="24"/>
          <w14:ligatures w14:val="none"/>
        </w:rPr>
        <w:t xml:space="preserve"> - The UN report that led to the UN Partition Plan for Palestine.</w:t>
      </w:r>
    </w:p>
    <w:p w14:paraId="2766716D" w14:textId="77777777" w:rsidR="00C661F7" w:rsidRPr="00A02D37" w:rsidRDefault="00C661F7">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Sykes-Picot Agreement: Its Impact and Legacy"</w:t>
      </w:r>
      <w:r w:rsidRPr="00A02D37">
        <w:rPr>
          <w:rFonts w:ascii="Times New Roman" w:eastAsia="Times New Roman" w:hAnsi="Times New Roman" w:cs="Times New Roman"/>
          <w:kern w:val="0"/>
          <w:sz w:val="24"/>
          <w:szCs w:val="24"/>
          <w14:ligatures w14:val="none"/>
        </w:rPr>
        <w:t xml:space="preserve"> - Research papers and analyses on the secret agreement that divided the Middle East.</w:t>
      </w:r>
    </w:p>
    <w:p w14:paraId="201A3073" w14:textId="77777777" w:rsidR="00C661F7" w:rsidRPr="00A02D37" w:rsidRDefault="00C661F7">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"British Parliamentary Debates on the Mandate for Palestine" (Hansard Archives)</w:t>
      </w:r>
      <w:r w:rsidRPr="00A02D37">
        <w:rPr>
          <w:rFonts w:ascii="Times New Roman" w:eastAsia="Times New Roman" w:hAnsi="Times New Roman" w:cs="Times New Roman"/>
          <w:kern w:val="0"/>
          <w:sz w:val="24"/>
          <w:szCs w:val="24"/>
          <w14:ligatures w14:val="none"/>
        </w:rPr>
        <w:t xml:space="preserve"> - Transcripts of debates and discussions in the British Parliament on policies related to Palestine and the wider Middle East.</w:t>
      </w:r>
    </w:p>
    <w:p w14:paraId="27C17B0E" w14:textId="77777777" w:rsidR="00C661F7" w:rsidRPr="00A02D37" w:rsidRDefault="00C661F7">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Cairo Conference Minutes" (1921)</w:t>
      </w:r>
      <w:r w:rsidRPr="00A02D37">
        <w:rPr>
          <w:rFonts w:ascii="Times New Roman" w:eastAsia="Times New Roman" w:hAnsi="Times New Roman" w:cs="Times New Roman"/>
          <w:kern w:val="0"/>
          <w:sz w:val="24"/>
          <w:szCs w:val="24"/>
          <w14:ligatures w14:val="none"/>
        </w:rPr>
        <w:t xml:space="preserve"> - Documents and records from the Cairo Conference, where British policymakers decided on the future of Iraq, Transjordan, and Palestine.</w:t>
      </w:r>
    </w:p>
    <w:p w14:paraId="449A824E" w14:textId="77777777" w:rsidR="00C661F7" w:rsidRPr="00A02D37" w:rsidRDefault="00C661F7" w:rsidP="00C661F7">
      <w:pPr>
        <w:spacing w:before="100" w:beforeAutospacing="1" w:after="100" w:afterAutospacing="1" w:line="240" w:lineRule="auto"/>
        <w:outlineLvl w:val="2"/>
        <w:rPr>
          <w:rFonts w:ascii="Times New Roman" w:eastAsia="Times New Roman" w:hAnsi="Times New Roman" w:cs="Times New Roman"/>
          <w:b/>
          <w:bCs/>
          <w:kern w:val="0"/>
          <w:sz w:val="24"/>
          <w:szCs w:val="24"/>
          <w14:ligatures w14:val="none"/>
        </w:rPr>
      </w:pPr>
      <w:r w:rsidRPr="00A02D37">
        <w:rPr>
          <w:rFonts w:ascii="Times New Roman" w:eastAsia="Times New Roman" w:hAnsi="Times New Roman" w:cs="Times New Roman"/>
          <w:b/>
          <w:bCs/>
          <w:kern w:val="0"/>
          <w:sz w:val="24"/>
          <w:szCs w:val="24"/>
          <w14:ligatures w14:val="none"/>
        </w:rPr>
        <w:t>Online Resources</w:t>
      </w:r>
    </w:p>
    <w:p w14:paraId="7685C958" w14:textId="77777777" w:rsidR="00C661F7" w:rsidRPr="00A02D37" w:rsidRDefault="00C661F7">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National Archives (UK)</w:t>
      </w:r>
      <w:r w:rsidRPr="00A02D37">
        <w:rPr>
          <w:rFonts w:ascii="Times New Roman" w:eastAsia="Times New Roman" w:hAnsi="Times New Roman" w:cs="Times New Roman"/>
          <w:kern w:val="0"/>
          <w:sz w:val="24"/>
          <w:szCs w:val="24"/>
          <w14:ligatures w14:val="none"/>
        </w:rPr>
        <w:t xml:space="preserve"> - Collections of documents related to British colonial policies, including treaties, mandates, and government reports.</w:t>
      </w:r>
    </w:p>
    <w:p w14:paraId="058A1B1A" w14:textId="77777777" w:rsidR="00C661F7" w:rsidRPr="00A02D37" w:rsidRDefault="00C661F7">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The Avalon Project (Yale Law School)</w:t>
      </w:r>
      <w:r w:rsidRPr="00A02D37">
        <w:rPr>
          <w:rFonts w:ascii="Times New Roman" w:eastAsia="Times New Roman" w:hAnsi="Times New Roman" w:cs="Times New Roman"/>
          <w:kern w:val="0"/>
          <w:sz w:val="24"/>
          <w:szCs w:val="24"/>
          <w14:ligatures w14:val="none"/>
        </w:rPr>
        <w:t xml:space="preserve"> - Digital documents related to international law, including British treaties and mandates in the Middle East.</w:t>
      </w:r>
    </w:p>
    <w:p w14:paraId="1E3E57BD" w14:textId="77777777" w:rsidR="00C661F7" w:rsidRPr="00A02D37" w:rsidRDefault="00C661F7">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UNISPAL (United Nations Information System on the Question of Palestine)</w:t>
      </w:r>
      <w:r w:rsidRPr="00A02D37">
        <w:rPr>
          <w:rFonts w:ascii="Times New Roman" w:eastAsia="Times New Roman" w:hAnsi="Times New Roman" w:cs="Times New Roman"/>
          <w:kern w:val="0"/>
          <w:sz w:val="24"/>
          <w:szCs w:val="24"/>
          <w14:ligatures w14:val="none"/>
        </w:rPr>
        <w:t xml:space="preserve"> - A comprehensive repository of UN documents related to the Israeli-Palestinian conflict.</w:t>
      </w:r>
    </w:p>
    <w:p w14:paraId="58B8B657" w14:textId="77777777" w:rsidR="00C661F7" w:rsidRPr="00A02D37" w:rsidRDefault="00C661F7">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2D37">
        <w:rPr>
          <w:rFonts w:ascii="Times New Roman" w:eastAsia="Times New Roman" w:hAnsi="Times New Roman" w:cs="Times New Roman"/>
          <w:b/>
          <w:bCs/>
          <w:kern w:val="0"/>
          <w:sz w:val="24"/>
          <w:szCs w:val="24"/>
          <w14:ligatures w14:val="none"/>
        </w:rPr>
        <w:t>BBC History</w:t>
      </w:r>
      <w:r w:rsidRPr="00A02D37">
        <w:rPr>
          <w:rFonts w:ascii="Times New Roman" w:eastAsia="Times New Roman" w:hAnsi="Times New Roman" w:cs="Times New Roman"/>
          <w:kern w:val="0"/>
          <w:sz w:val="24"/>
          <w:szCs w:val="24"/>
          <w14:ligatures w14:val="none"/>
        </w:rPr>
        <w:t xml:space="preserve"> - Articles and resources on British colonial history and its impact on global conflicts.</w:t>
      </w:r>
    </w:p>
    <w:p w14:paraId="1FAA3534" w14:textId="77777777" w:rsidR="00267C70" w:rsidRPr="00A02D37" w:rsidRDefault="00267C70" w:rsidP="00D76ACE">
      <w:pPr>
        <w:spacing w:before="100" w:beforeAutospacing="1" w:after="100" w:afterAutospacing="1" w:line="240" w:lineRule="auto"/>
        <w:outlineLvl w:val="2"/>
        <w:rPr>
          <w:rFonts w:ascii="Times New Roman" w:hAnsi="Times New Roman" w:cs="Times New Roman"/>
          <w:sz w:val="24"/>
          <w:szCs w:val="24"/>
        </w:rPr>
      </w:pPr>
    </w:p>
    <w:sectPr w:rsidR="00267C70" w:rsidRPr="00A02D37" w:rsidSect="0055514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DA5F8" w14:textId="77777777" w:rsidR="007775D1" w:rsidRDefault="007775D1" w:rsidP="00091947">
      <w:pPr>
        <w:spacing w:after="0" w:line="240" w:lineRule="auto"/>
      </w:pPr>
      <w:r>
        <w:separator/>
      </w:r>
    </w:p>
  </w:endnote>
  <w:endnote w:type="continuationSeparator" w:id="0">
    <w:p w14:paraId="4C5A9A69" w14:textId="77777777" w:rsidR="007775D1" w:rsidRDefault="007775D1" w:rsidP="00091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F9722" w14:textId="77777777" w:rsidR="00091947" w:rsidRDefault="000919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47C15" w14:textId="77777777" w:rsidR="00091947" w:rsidRDefault="000919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127E4" w14:textId="77777777" w:rsidR="00091947" w:rsidRDefault="00091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69A15" w14:textId="77777777" w:rsidR="007775D1" w:rsidRDefault="007775D1" w:rsidP="00091947">
      <w:pPr>
        <w:spacing w:after="0" w:line="240" w:lineRule="auto"/>
      </w:pPr>
      <w:r>
        <w:separator/>
      </w:r>
    </w:p>
  </w:footnote>
  <w:footnote w:type="continuationSeparator" w:id="0">
    <w:p w14:paraId="7A250B68" w14:textId="77777777" w:rsidR="007775D1" w:rsidRDefault="007775D1" w:rsidP="00091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024BC" w14:textId="2A17D06E" w:rsidR="00091947" w:rsidRDefault="00091947">
    <w:pPr>
      <w:pStyle w:val="Header"/>
    </w:pPr>
    <w:r>
      <w:rPr>
        <w:noProof/>
      </w:rPr>
      <w:pict w14:anchorId="45D8D2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419063" o:spid="_x0000_s1026" type="#_x0000_t136" style="position:absolute;margin-left:0;margin-top:0;width:439.9pt;height:219.95pt;rotation:315;z-index:-251655168;mso-position-horizontal:center;mso-position-horizontal-relative:margin;mso-position-vertical:center;mso-position-vertical-relative:margin" o:allowincell="f" fillcolor="silver" stroked="f">
          <v:fill opacity=".5"/>
          <v:textpath style="font-family:&quot;Calibri&quot;;font-size:1pt" string="DRAFT 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CE6CD" w14:textId="51B9B7B0" w:rsidR="00091947" w:rsidRDefault="00091947">
    <w:pPr>
      <w:pStyle w:val="Header"/>
    </w:pPr>
    <w:r>
      <w:rPr>
        <w:noProof/>
      </w:rPr>
      <w:pict w14:anchorId="70B458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419064" o:spid="_x0000_s1027" type="#_x0000_t136" style="position:absolute;margin-left:0;margin-top:0;width:439.9pt;height:219.95pt;rotation:315;z-index:-251653120;mso-position-horizontal:center;mso-position-horizontal-relative:margin;mso-position-vertical:center;mso-position-vertical-relative:margin" o:allowincell="f" fillcolor="silver" stroked="f">
          <v:fill opacity=".5"/>
          <v:textpath style="font-family:&quot;Calibri&quot;;font-size:1pt" string="DRAFT 1"/>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57D6A" w14:textId="1F8A6F81" w:rsidR="00091947" w:rsidRDefault="00091947">
    <w:pPr>
      <w:pStyle w:val="Header"/>
    </w:pPr>
    <w:r>
      <w:rPr>
        <w:noProof/>
      </w:rPr>
      <w:pict w14:anchorId="62101F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419062" o:spid="_x0000_s1025" type="#_x0000_t136" style="position:absolute;margin-left:0;margin-top:0;width:439.9pt;height:219.95pt;rotation:315;z-index:-251657216;mso-position-horizontal:center;mso-position-horizontal-relative:margin;mso-position-vertical:center;mso-position-vertical-relative:margin" o:allowincell="f" fillcolor="silver" stroked="f">
          <v:fill opacity=".5"/>
          <v:textpath style="font-family:&quot;Calibri&quot;;font-size:1pt" string="DRAFT 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2146"/>
    <w:multiLevelType w:val="multilevel"/>
    <w:tmpl w:val="61E4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45477"/>
    <w:multiLevelType w:val="multilevel"/>
    <w:tmpl w:val="3C0E2D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2D3B3E"/>
    <w:multiLevelType w:val="multilevel"/>
    <w:tmpl w:val="0704A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E3A7A"/>
    <w:multiLevelType w:val="multilevel"/>
    <w:tmpl w:val="32CE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617E7A"/>
    <w:multiLevelType w:val="multilevel"/>
    <w:tmpl w:val="E7D8D0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9072EC"/>
    <w:multiLevelType w:val="multilevel"/>
    <w:tmpl w:val="2F0A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C8720C"/>
    <w:multiLevelType w:val="multilevel"/>
    <w:tmpl w:val="FCB8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F76D48"/>
    <w:multiLevelType w:val="multilevel"/>
    <w:tmpl w:val="8A06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1D0F42"/>
    <w:multiLevelType w:val="multilevel"/>
    <w:tmpl w:val="06064E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344774E"/>
    <w:multiLevelType w:val="multilevel"/>
    <w:tmpl w:val="9862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672B3F"/>
    <w:multiLevelType w:val="multilevel"/>
    <w:tmpl w:val="9B082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947AB4"/>
    <w:multiLevelType w:val="multilevel"/>
    <w:tmpl w:val="23FA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F2AE6"/>
    <w:multiLevelType w:val="multilevel"/>
    <w:tmpl w:val="D160E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D0000E"/>
    <w:multiLevelType w:val="multilevel"/>
    <w:tmpl w:val="731A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1E1471"/>
    <w:multiLevelType w:val="multilevel"/>
    <w:tmpl w:val="CB60A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5A1C2B"/>
    <w:multiLevelType w:val="multilevel"/>
    <w:tmpl w:val="974E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A84E15"/>
    <w:multiLevelType w:val="multilevel"/>
    <w:tmpl w:val="7E1C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7D2FE0"/>
    <w:multiLevelType w:val="multilevel"/>
    <w:tmpl w:val="DC124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87416E"/>
    <w:multiLevelType w:val="multilevel"/>
    <w:tmpl w:val="975C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8A3468"/>
    <w:multiLevelType w:val="multilevel"/>
    <w:tmpl w:val="6E9CE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9A06ED"/>
    <w:multiLevelType w:val="multilevel"/>
    <w:tmpl w:val="D49A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A51D2E"/>
    <w:multiLevelType w:val="multilevel"/>
    <w:tmpl w:val="26C26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6AF1AAD"/>
    <w:multiLevelType w:val="multilevel"/>
    <w:tmpl w:val="3A3A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C848A9"/>
    <w:multiLevelType w:val="multilevel"/>
    <w:tmpl w:val="81E8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7090909"/>
    <w:multiLevelType w:val="multilevel"/>
    <w:tmpl w:val="9B1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266AAC"/>
    <w:multiLevelType w:val="multilevel"/>
    <w:tmpl w:val="1610D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5568A1"/>
    <w:multiLevelType w:val="multilevel"/>
    <w:tmpl w:val="506A4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76739B6"/>
    <w:multiLevelType w:val="multilevel"/>
    <w:tmpl w:val="6282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79053DE"/>
    <w:multiLevelType w:val="multilevel"/>
    <w:tmpl w:val="677EA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AB4978"/>
    <w:multiLevelType w:val="multilevel"/>
    <w:tmpl w:val="880A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D66041"/>
    <w:multiLevelType w:val="multilevel"/>
    <w:tmpl w:val="D3A4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995DA9"/>
    <w:multiLevelType w:val="multilevel"/>
    <w:tmpl w:val="B57E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9C503C1"/>
    <w:multiLevelType w:val="multilevel"/>
    <w:tmpl w:val="4F248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9CE590F"/>
    <w:multiLevelType w:val="multilevel"/>
    <w:tmpl w:val="ACFE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451D6E"/>
    <w:multiLevelType w:val="multilevel"/>
    <w:tmpl w:val="944E0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7858B4"/>
    <w:multiLevelType w:val="multilevel"/>
    <w:tmpl w:val="5C0E23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A9D4906"/>
    <w:multiLevelType w:val="multilevel"/>
    <w:tmpl w:val="5D46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172BC8"/>
    <w:multiLevelType w:val="multilevel"/>
    <w:tmpl w:val="ADB0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1E3F5D"/>
    <w:multiLevelType w:val="multilevel"/>
    <w:tmpl w:val="4C7CB4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C94074"/>
    <w:multiLevelType w:val="multilevel"/>
    <w:tmpl w:val="D28A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652708"/>
    <w:multiLevelType w:val="multilevel"/>
    <w:tmpl w:val="143A78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C960425"/>
    <w:multiLevelType w:val="multilevel"/>
    <w:tmpl w:val="48DA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D33A97"/>
    <w:multiLevelType w:val="multilevel"/>
    <w:tmpl w:val="C6C6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CD6204D"/>
    <w:multiLevelType w:val="multilevel"/>
    <w:tmpl w:val="E028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0A6E1C"/>
    <w:multiLevelType w:val="multilevel"/>
    <w:tmpl w:val="CB74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146D73"/>
    <w:multiLevelType w:val="multilevel"/>
    <w:tmpl w:val="23CC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7E4ED9"/>
    <w:multiLevelType w:val="multilevel"/>
    <w:tmpl w:val="4FB6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DA1107E"/>
    <w:multiLevelType w:val="multilevel"/>
    <w:tmpl w:val="DEB45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DF0512C"/>
    <w:multiLevelType w:val="multilevel"/>
    <w:tmpl w:val="9B02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E0872F3"/>
    <w:multiLevelType w:val="multilevel"/>
    <w:tmpl w:val="34AC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E550483"/>
    <w:multiLevelType w:val="multilevel"/>
    <w:tmpl w:val="7490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EAE5121"/>
    <w:multiLevelType w:val="multilevel"/>
    <w:tmpl w:val="61B6E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EB27250"/>
    <w:multiLevelType w:val="multilevel"/>
    <w:tmpl w:val="78D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F2B045C"/>
    <w:multiLevelType w:val="multilevel"/>
    <w:tmpl w:val="F386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F904A4A"/>
    <w:multiLevelType w:val="multilevel"/>
    <w:tmpl w:val="672A4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02A3B68"/>
    <w:multiLevelType w:val="multilevel"/>
    <w:tmpl w:val="946A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03459D2"/>
    <w:multiLevelType w:val="multilevel"/>
    <w:tmpl w:val="19A0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04130B5"/>
    <w:multiLevelType w:val="multilevel"/>
    <w:tmpl w:val="B5E2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0C50F51"/>
    <w:multiLevelType w:val="multilevel"/>
    <w:tmpl w:val="7DB4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12B4E6D"/>
    <w:multiLevelType w:val="multilevel"/>
    <w:tmpl w:val="EC0E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12D0DD6"/>
    <w:multiLevelType w:val="multilevel"/>
    <w:tmpl w:val="F08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1440DAB"/>
    <w:multiLevelType w:val="multilevel"/>
    <w:tmpl w:val="FF34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17310DC"/>
    <w:multiLevelType w:val="multilevel"/>
    <w:tmpl w:val="EF30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187174D"/>
    <w:multiLevelType w:val="multilevel"/>
    <w:tmpl w:val="2F18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1A50BCB"/>
    <w:multiLevelType w:val="multilevel"/>
    <w:tmpl w:val="1E6A4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1DE2D1B"/>
    <w:multiLevelType w:val="multilevel"/>
    <w:tmpl w:val="2D489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2F87AAE"/>
    <w:multiLevelType w:val="multilevel"/>
    <w:tmpl w:val="8380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3753129"/>
    <w:multiLevelType w:val="multilevel"/>
    <w:tmpl w:val="70A4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44A1BF7"/>
    <w:multiLevelType w:val="multilevel"/>
    <w:tmpl w:val="1FD8F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4BD3DC7"/>
    <w:multiLevelType w:val="multilevel"/>
    <w:tmpl w:val="5AD6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692135D"/>
    <w:multiLevelType w:val="multilevel"/>
    <w:tmpl w:val="F3FE2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6A7361B"/>
    <w:multiLevelType w:val="multilevel"/>
    <w:tmpl w:val="C46A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73911CF"/>
    <w:multiLevelType w:val="multilevel"/>
    <w:tmpl w:val="E2AC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73F1102"/>
    <w:multiLevelType w:val="multilevel"/>
    <w:tmpl w:val="577EF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76252B9"/>
    <w:multiLevelType w:val="multilevel"/>
    <w:tmpl w:val="B508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7D629BF"/>
    <w:multiLevelType w:val="multilevel"/>
    <w:tmpl w:val="7E74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8745AA2"/>
    <w:multiLevelType w:val="multilevel"/>
    <w:tmpl w:val="9536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8D37A0B"/>
    <w:multiLevelType w:val="multilevel"/>
    <w:tmpl w:val="B128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9CC4AB0"/>
    <w:multiLevelType w:val="multilevel"/>
    <w:tmpl w:val="1138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A376075"/>
    <w:multiLevelType w:val="multilevel"/>
    <w:tmpl w:val="7F44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A3D4900"/>
    <w:multiLevelType w:val="multilevel"/>
    <w:tmpl w:val="7F64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A9C0CA4"/>
    <w:multiLevelType w:val="multilevel"/>
    <w:tmpl w:val="2C228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ABF57D8"/>
    <w:multiLevelType w:val="multilevel"/>
    <w:tmpl w:val="A0E03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B5C4495"/>
    <w:multiLevelType w:val="multilevel"/>
    <w:tmpl w:val="971C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B7758C4"/>
    <w:multiLevelType w:val="multilevel"/>
    <w:tmpl w:val="1CB0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BFD6ED6"/>
    <w:multiLevelType w:val="multilevel"/>
    <w:tmpl w:val="91A01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C517731"/>
    <w:multiLevelType w:val="multilevel"/>
    <w:tmpl w:val="AF5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D9E7F19"/>
    <w:multiLevelType w:val="multilevel"/>
    <w:tmpl w:val="5370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E4D1439"/>
    <w:multiLevelType w:val="multilevel"/>
    <w:tmpl w:val="FEE8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E793328"/>
    <w:multiLevelType w:val="multilevel"/>
    <w:tmpl w:val="A77C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EB549BD"/>
    <w:multiLevelType w:val="multilevel"/>
    <w:tmpl w:val="47A29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F400975"/>
    <w:multiLevelType w:val="multilevel"/>
    <w:tmpl w:val="1754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FDE4A55"/>
    <w:multiLevelType w:val="multilevel"/>
    <w:tmpl w:val="EC92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1544E95"/>
    <w:multiLevelType w:val="multilevel"/>
    <w:tmpl w:val="BD1C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207137C"/>
    <w:multiLevelType w:val="multilevel"/>
    <w:tmpl w:val="60F8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236175E"/>
    <w:multiLevelType w:val="multilevel"/>
    <w:tmpl w:val="6686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23A533C"/>
    <w:multiLevelType w:val="multilevel"/>
    <w:tmpl w:val="C668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2704EAF"/>
    <w:multiLevelType w:val="multilevel"/>
    <w:tmpl w:val="862A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780025"/>
    <w:multiLevelType w:val="multilevel"/>
    <w:tmpl w:val="8ED4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3053E03"/>
    <w:multiLevelType w:val="multilevel"/>
    <w:tmpl w:val="62F0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3412F43"/>
    <w:multiLevelType w:val="multilevel"/>
    <w:tmpl w:val="99E2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390031E"/>
    <w:multiLevelType w:val="multilevel"/>
    <w:tmpl w:val="955A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3F8180E"/>
    <w:multiLevelType w:val="multilevel"/>
    <w:tmpl w:val="2C10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3FD5D99"/>
    <w:multiLevelType w:val="multilevel"/>
    <w:tmpl w:val="081E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4190C6B"/>
    <w:multiLevelType w:val="multilevel"/>
    <w:tmpl w:val="2964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42E3620"/>
    <w:multiLevelType w:val="multilevel"/>
    <w:tmpl w:val="3C60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431195F"/>
    <w:multiLevelType w:val="multilevel"/>
    <w:tmpl w:val="FEC21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4B56CBA"/>
    <w:multiLevelType w:val="multilevel"/>
    <w:tmpl w:val="C492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5A96C17"/>
    <w:multiLevelType w:val="multilevel"/>
    <w:tmpl w:val="0C045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6344D0E"/>
    <w:multiLevelType w:val="multilevel"/>
    <w:tmpl w:val="97B6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6676483"/>
    <w:multiLevelType w:val="multilevel"/>
    <w:tmpl w:val="63F2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70D59DE"/>
    <w:multiLevelType w:val="multilevel"/>
    <w:tmpl w:val="CED0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B0461A"/>
    <w:multiLevelType w:val="multilevel"/>
    <w:tmpl w:val="2726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8AA3BF3"/>
    <w:multiLevelType w:val="multilevel"/>
    <w:tmpl w:val="489AB0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9090238"/>
    <w:multiLevelType w:val="multilevel"/>
    <w:tmpl w:val="BE485C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9112873"/>
    <w:multiLevelType w:val="multilevel"/>
    <w:tmpl w:val="F438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94200D9"/>
    <w:multiLevelType w:val="multilevel"/>
    <w:tmpl w:val="6562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978136E"/>
    <w:multiLevelType w:val="multilevel"/>
    <w:tmpl w:val="48321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AA77F5E"/>
    <w:multiLevelType w:val="multilevel"/>
    <w:tmpl w:val="2C96C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AB35154"/>
    <w:multiLevelType w:val="multilevel"/>
    <w:tmpl w:val="8F8E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B0F21DD"/>
    <w:multiLevelType w:val="multilevel"/>
    <w:tmpl w:val="BE92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B2C6E13"/>
    <w:multiLevelType w:val="multilevel"/>
    <w:tmpl w:val="5D46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B7C6D30"/>
    <w:multiLevelType w:val="multilevel"/>
    <w:tmpl w:val="2A822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B976F0C"/>
    <w:multiLevelType w:val="multilevel"/>
    <w:tmpl w:val="00B4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BA21D55"/>
    <w:multiLevelType w:val="multilevel"/>
    <w:tmpl w:val="11E0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BCA2E53"/>
    <w:multiLevelType w:val="multilevel"/>
    <w:tmpl w:val="D18A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C284681"/>
    <w:multiLevelType w:val="multilevel"/>
    <w:tmpl w:val="271E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C3A7A40"/>
    <w:multiLevelType w:val="multilevel"/>
    <w:tmpl w:val="62DC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B67E2E"/>
    <w:multiLevelType w:val="multilevel"/>
    <w:tmpl w:val="1EDC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CF500FB"/>
    <w:multiLevelType w:val="multilevel"/>
    <w:tmpl w:val="8FF88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D1F4CE2"/>
    <w:multiLevelType w:val="multilevel"/>
    <w:tmpl w:val="7A04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D5975E4"/>
    <w:multiLevelType w:val="multilevel"/>
    <w:tmpl w:val="F6E4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D8E50F2"/>
    <w:multiLevelType w:val="multilevel"/>
    <w:tmpl w:val="5902FB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DAA1F59"/>
    <w:multiLevelType w:val="multilevel"/>
    <w:tmpl w:val="8084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DCC2764"/>
    <w:multiLevelType w:val="multilevel"/>
    <w:tmpl w:val="CD62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DCD4CA7"/>
    <w:multiLevelType w:val="multilevel"/>
    <w:tmpl w:val="F01C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E3304FE"/>
    <w:multiLevelType w:val="multilevel"/>
    <w:tmpl w:val="47888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E787DDE"/>
    <w:multiLevelType w:val="multilevel"/>
    <w:tmpl w:val="1F96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F0E73E7"/>
    <w:multiLevelType w:val="multilevel"/>
    <w:tmpl w:val="6ED6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F4E0270"/>
    <w:multiLevelType w:val="multilevel"/>
    <w:tmpl w:val="6F24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F9F1295"/>
    <w:multiLevelType w:val="multilevel"/>
    <w:tmpl w:val="43D0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F9F2236"/>
    <w:multiLevelType w:val="multilevel"/>
    <w:tmpl w:val="615C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FD40CF7"/>
    <w:multiLevelType w:val="multilevel"/>
    <w:tmpl w:val="2402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FFC1896"/>
    <w:multiLevelType w:val="multilevel"/>
    <w:tmpl w:val="E2A2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01D7659"/>
    <w:multiLevelType w:val="multilevel"/>
    <w:tmpl w:val="0C9A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0740030"/>
    <w:multiLevelType w:val="multilevel"/>
    <w:tmpl w:val="C4CE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0DF2304"/>
    <w:multiLevelType w:val="multilevel"/>
    <w:tmpl w:val="1604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1D45DD8"/>
    <w:multiLevelType w:val="multilevel"/>
    <w:tmpl w:val="04AA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2507371"/>
    <w:multiLevelType w:val="multilevel"/>
    <w:tmpl w:val="1D7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2D71D81"/>
    <w:multiLevelType w:val="multilevel"/>
    <w:tmpl w:val="2336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3E04911"/>
    <w:multiLevelType w:val="multilevel"/>
    <w:tmpl w:val="BE3C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42D4EB8"/>
    <w:multiLevelType w:val="multilevel"/>
    <w:tmpl w:val="4BB6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43802B7"/>
    <w:multiLevelType w:val="multilevel"/>
    <w:tmpl w:val="A9E2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459779C"/>
    <w:multiLevelType w:val="multilevel"/>
    <w:tmpl w:val="B9EE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54F4CA9"/>
    <w:multiLevelType w:val="multilevel"/>
    <w:tmpl w:val="46DE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567606A"/>
    <w:multiLevelType w:val="multilevel"/>
    <w:tmpl w:val="1AC6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57E5356"/>
    <w:multiLevelType w:val="multilevel"/>
    <w:tmpl w:val="9AD4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5DE5380"/>
    <w:multiLevelType w:val="multilevel"/>
    <w:tmpl w:val="343C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6BE4A5B"/>
    <w:multiLevelType w:val="multilevel"/>
    <w:tmpl w:val="B314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72D0649"/>
    <w:multiLevelType w:val="multilevel"/>
    <w:tmpl w:val="8C74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7690248"/>
    <w:multiLevelType w:val="multilevel"/>
    <w:tmpl w:val="7A38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7E763FC"/>
    <w:multiLevelType w:val="multilevel"/>
    <w:tmpl w:val="F02E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7E80A7E"/>
    <w:multiLevelType w:val="multilevel"/>
    <w:tmpl w:val="834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7F3360D"/>
    <w:multiLevelType w:val="multilevel"/>
    <w:tmpl w:val="7A88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80F4D5B"/>
    <w:multiLevelType w:val="multilevel"/>
    <w:tmpl w:val="C2ACF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83047E6"/>
    <w:multiLevelType w:val="multilevel"/>
    <w:tmpl w:val="2D30E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9407D65"/>
    <w:multiLevelType w:val="multilevel"/>
    <w:tmpl w:val="B3A2E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9622118"/>
    <w:multiLevelType w:val="multilevel"/>
    <w:tmpl w:val="79508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97047DA"/>
    <w:multiLevelType w:val="multilevel"/>
    <w:tmpl w:val="5484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9DA2687"/>
    <w:multiLevelType w:val="multilevel"/>
    <w:tmpl w:val="640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9E37A7F"/>
    <w:multiLevelType w:val="multilevel"/>
    <w:tmpl w:val="3552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9F81B0A"/>
    <w:multiLevelType w:val="multilevel"/>
    <w:tmpl w:val="03FC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9FC47E1"/>
    <w:multiLevelType w:val="multilevel"/>
    <w:tmpl w:val="9780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A54784C"/>
    <w:multiLevelType w:val="multilevel"/>
    <w:tmpl w:val="B992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AAA4F31"/>
    <w:multiLevelType w:val="multilevel"/>
    <w:tmpl w:val="C1BC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AD12607"/>
    <w:multiLevelType w:val="multilevel"/>
    <w:tmpl w:val="3550A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AE46D4D"/>
    <w:multiLevelType w:val="multilevel"/>
    <w:tmpl w:val="F1F2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B072FE7"/>
    <w:multiLevelType w:val="multilevel"/>
    <w:tmpl w:val="ECC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BA61C85"/>
    <w:multiLevelType w:val="multilevel"/>
    <w:tmpl w:val="7F12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BDA47B3"/>
    <w:multiLevelType w:val="multilevel"/>
    <w:tmpl w:val="E210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BF61F3D"/>
    <w:multiLevelType w:val="multilevel"/>
    <w:tmpl w:val="336A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C8F0BEF"/>
    <w:multiLevelType w:val="multilevel"/>
    <w:tmpl w:val="F1BEA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C9E4750"/>
    <w:multiLevelType w:val="multilevel"/>
    <w:tmpl w:val="2438C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CAA128E"/>
    <w:multiLevelType w:val="multilevel"/>
    <w:tmpl w:val="1278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CBD520E"/>
    <w:multiLevelType w:val="multilevel"/>
    <w:tmpl w:val="67DE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D657B0A"/>
    <w:multiLevelType w:val="multilevel"/>
    <w:tmpl w:val="25AC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D7B51CE"/>
    <w:multiLevelType w:val="multilevel"/>
    <w:tmpl w:val="15D2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E447388"/>
    <w:multiLevelType w:val="multilevel"/>
    <w:tmpl w:val="E45C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EB26494"/>
    <w:multiLevelType w:val="multilevel"/>
    <w:tmpl w:val="BFDE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EC67E8C"/>
    <w:multiLevelType w:val="multilevel"/>
    <w:tmpl w:val="0C40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EE52082"/>
    <w:multiLevelType w:val="multilevel"/>
    <w:tmpl w:val="C11A7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F34727A"/>
    <w:multiLevelType w:val="multilevel"/>
    <w:tmpl w:val="FB30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F8C259D"/>
    <w:multiLevelType w:val="multilevel"/>
    <w:tmpl w:val="812A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0257A4A"/>
    <w:multiLevelType w:val="multilevel"/>
    <w:tmpl w:val="9836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02E7497"/>
    <w:multiLevelType w:val="multilevel"/>
    <w:tmpl w:val="0CE0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0A96297"/>
    <w:multiLevelType w:val="multilevel"/>
    <w:tmpl w:val="2436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0F77AC6"/>
    <w:multiLevelType w:val="multilevel"/>
    <w:tmpl w:val="A7867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15D436C"/>
    <w:multiLevelType w:val="multilevel"/>
    <w:tmpl w:val="8452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169143F"/>
    <w:multiLevelType w:val="multilevel"/>
    <w:tmpl w:val="DCBE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743D22"/>
    <w:multiLevelType w:val="multilevel"/>
    <w:tmpl w:val="EB4A1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1824985"/>
    <w:multiLevelType w:val="multilevel"/>
    <w:tmpl w:val="7FC41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1A80B3C"/>
    <w:multiLevelType w:val="multilevel"/>
    <w:tmpl w:val="644E5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1D72174"/>
    <w:multiLevelType w:val="multilevel"/>
    <w:tmpl w:val="0A92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1EA68CA"/>
    <w:multiLevelType w:val="multilevel"/>
    <w:tmpl w:val="950A2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22E22CA"/>
    <w:multiLevelType w:val="multilevel"/>
    <w:tmpl w:val="D3CA7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28E733B"/>
    <w:multiLevelType w:val="multilevel"/>
    <w:tmpl w:val="F280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3386D46"/>
    <w:multiLevelType w:val="multilevel"/>
    <w:tmpl w:val="BC00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36701A1"/>
    <w:multiLevelType w:val="multilevel"/>
    <w:tmpl w:val="63E4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3EE3D91"/>
    <w:multiLevelType w:val="multilevel"/>
    <w:tmpl w:val="3CB8D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4163E67"/>
    <w:multiLevelType w:val="multilevel"/>
    <w:tmpl w:val="664E5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43860B7"/>
    <w:multiLevelType w:val="multilevel"/>
    <w:tmpl w:val="4EB61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43F7626"/>
    <w:multiLevelType w:val="multilevel"/>
    <w:tmpl w:val="CF26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4AC3C0B"/>
    <w:multiLevelType w:val="multilevel"/>
    <w:tmpl w:val="62023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4BD4D34"/>
    <w:multiLevelType w:val="multilevel"/>
    <w:tmpl w:val="FE5A8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4D852CA"/>
    <w:multiLevelType w:val="multilevel"/>
    <w:tmpl w:val="C790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52015D0"/>
    <w:multiLevelType w:val="multilevel"/>
    <w:tmpl w:val="E864D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55E648F"/>
    <w:multiLevelType w:val="multilevel"/>
    <w:tmpl w:val="05BE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5B14D23"/>
    <w:multiLevelType w:val="multilevel"/>
    <w:tmpl w:val="01BC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5BF04F2"/>
    <w:multiLevelType w:val="multilevel"/>
    <w:tmpl w:val="DF36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6E635B5"/>
    <w:multiLevelType w:val="multilevel"/>
    <w:tmpl w:val="2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793169F"/>
    <w:multiLevelType w:val="multilevel"/>
    <w:tmpl w:val="0E24C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7CA4CAA"/>
    <w:multiLevelType w:val="multilevel"/>
    <w:tmpl w:val="CF92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7CF20DC"/>
    <w:multiLevelType w:val="multilevel"/>
    <w:tmpl w:val="9B883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7F54555"/>
    <w:multiLevelType w:val="multilevel"/>
    <w:tmpl w:val="1370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8704498"/>
    <w:multiLevelType w:val="multilevel"/>
    <w:tmpl w:val="5F7A5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9015C72"/>
    <w:multiLevelType w:val="multilevel"/>
    <w:tmpl w:val="8F88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909207F"/>
    <w:multiLevelType w:val="multilevel"/>
    <w:tmpl w:val="A34E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93A08BA"/>
    <w:multiLevelType w:val="multilevel"/>
    <w:tmpl w:val="D2DC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9B61B58"/>
    <w:multiLevelType w:val="multilevel"/>
    <w:tmpl w:val="770C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9C43B57"/>
    <w:multiLevelType w:val="multilevel"/>
    <w:tmpl w:val="96B87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9C67ADA"/>
    <w:multiLevelType w:val="multilevel"/>
    <w:tmpl w:val="C01E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9CD058E"/>
    <w:multiLevelType w:val="multilevel"/>
    <w:tmpl w:val="710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9FF7898"/>
    <w:multiLevelType w:val="multilevel"/>
    <w:tmpl w:val="42A2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A2A65A2"/>
    <w:multiLevelType w:val="multilevel"/>
    <w:tmpl w:val="970C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ABC56ED"/>
    <w:multiLevelType w:val="multilevel"/>
    <w:tmpl w:val="2084A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B1B126F"/>
    <w:multiLevelType w:val="multilevel"/>
    <w:tmpl w:val="9DF2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B78056E"/>
    <w:multiLevelType w:val="multilevel"/>
    <w:tmpl w:val="13F84F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BE25BC3"/>
    <w:multiLevelType w:val="multilevel"/>
    <w:tmpl w:val="1A1A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BE97F30"/>
    <w:multiLevelType w:val="multilevel"/>
    <w:tmpl w:val="39E0D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C441CA8"/>
    <w:multiLevelType w:val="multilevel"/>
    <w:tmpl w:val="3DD0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CA34B85"/>
    <w:multiLevelType w:val="multilevel"/>
    <w:tmpl w:val="FCBC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CC45228"/>
    <w:multiLevelType w:val="multilevel"/>
    <w:tmpl w:val="1D665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DD94DB8"/>
    <w:multiLevelType w:val="multilevel"/>
    <w:tmpl w:val="8C10C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E5B4E4F"/>
    <w:multiLevelType w:val="multilevel"/>
    <w:tmpl w:val="ED62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EE60C00"/>
    <w:multiLevelType w:val="multilevel"/>
    <w:tmpl w:val="046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F610C11"/>
    <w:multiLevelType w:val="multilevel"/>
    <w:tmpl w:val="406A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FE970B4"/>
    <w:multiLevelType w:val="multilevel"/>
    <w:tmpl w:val="0F70A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4FFF4222"/>
    <w:multiLevelType w:val="multilevel"/>
    <w:tmpl w:val="A270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06A3816"/>
    <w:multiLevelType w:val="multilevel"/>
    <w:tmpl w:val="C10A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0D00E9E"/>
    <w:multiLevelType w:val="multilevel"/>
    <w:tmpl w:val="C758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1185358"/>
    <w:multiLevelType w:val="multilevel"/>
    <w:tmpl w:val="4E6E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1B9695F"/>
    <w:multiLevelType w:val="multilevel"/>
    <w:tmpl w:val="459A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2170E41"/>
    <w:multiLevelType w:val="multilevel"/>
    <w:tmpl w:val="052A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277659A"/>
    <w:multiLevelType w:val="multilevel"/>
    <w:tmpl w:val="2640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29F72BA"/>
    <w:multiLevelType w:val="multilevel"/>
    <w:tmpl w:val="263A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2F079AF"/>
    <w:multiLevelType w:val="multilevel"/>
    <w:tmpl w:val="F4CC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2F84940"/>
    <w:multiLevelType w:val="multilevel"/>
    <w:tmpl w:val="DCB6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2F9643C"/>
    <w:multiLevelType w:val="multilevel"/>
    <w:tmpl w:val="3F2E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33C6038"/>
    <w:multiLevelType w:val="multilevel"/>
    <w:tmpl w:val="072E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3A17D5E"/>
    <w:multiLevelType w:val="multilevel"/>
    <w:tmpl w:val="BC4A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3DC7658"/>
    <w:multiLevelType w:val="multilevel"/>
    <w:tmpl w:val="A7B67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44F2FD1"/>
    <w:multiLevelType w:val="multilevel"/>
    <w:tmpl w:val="6806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4ED42D2"/>
    <w:multiLevelType w:val="multilevel"/>
    <w:tmpl w:val="474C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55C7E5C"/>
    <w:multiLevelType w:val="multilevel"/>
    <w:tmpl w:val="DA08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58810D1"/>
    <w:multiLevelType w:val="multilevel"/>
    <w:tmpl w:val="8836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7243734"/>
    <w:multiLevelType w:val="multilevel"/>
    <w:tmpl w:val="29CA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72F0016"/>
    <w:multiLevelType w:val="multilevel"/>
    <w:tmpl w:val="F27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79963FE"/>
    <w:multiLevelType w:val="multilevel"/>
    <w:tmpl w:val="BCA812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7F5287E"/>
    <w:multiLevelType w:val="multilevel"/>
    <w:tmpl w:val="4BA4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83B0647"/>
    <w:multiLevelType w:val="multilevel"/>
    <w:tmpl w:val="1BD2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8806F07"/>
    <w:multiLevelType w:val="multilevel"/>
    <w:tmpl w:val="763438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8BE47BA"/>
    <w:multiLevelType w:val="multilevel"/>
    <w:tmpl w:val="D4C6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8BE4B05"/>
    <w:multiLevelType w:val="multilevel"/>
    <w:tmpl w:val="99DA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8C83231"/>
    <w:multiLevelType w:val="multilevel"/>
    <w:tmpl w:val="7450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9042814"/>
    <w:multiLevelType w:val="multilevel"/>
    <w:tmpl w:val="91EA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92B7DC3"/>
    <w:multiLevelType w:val="multilevel"/>
    <w:tmpl w:val="04824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9333770"/>
    <w:multiLevelType w:val="multilevel"/>
    <w:tmpl w:val="F9060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9A013B7"/>
    <w:multiLevelType w:val="multilevel"/>
    <w:tmpl w:val="EF1E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9BA7594"/>
    <w:multiLevelType w:val="multilevel"/>
    <w:tmpl w:val="257C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A640974"/>
    <w:multiLevelType w:val="multilevel"/>
    <w:tmpl w:val="BFDE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B4F2BF5"/>
    <w:multiLevelType w:val="multilevel"/>
    <w:tmpl w:val="2C10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B5A4C2D"/>
    <w:multiLevelType w:val="multilevel"/>
    <w:tmpl w:val="47AE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B952C4A"/>
    <w:multiLevelType w:val="multilevel"/>
    <w:tmpl w:val="BDAA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C6552BE"/>
    <w:multiLevelType w:val="multilevel"/>
    <w:tmpl w:val="107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CB56794"/>
    <w:multiLevelType w:val="multilevel"/>
    <w:tmpl w:val="C76AE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CD174D7"/>
    <w:multiLevelType w:val="multilevel"/>
    <w:tmpl w:val="39640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D1C366A"/>
    <w:multiLevelType w:val="multilevel"/>
    <w:tmpl w:val="713C7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D432ABC"/>
    <w:multiLevelType w:val="multilevel"/>
    <w:tmpl w:val="6B74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D740340"/>
    <w:multiLevelType w:val="multilevel"/>
    <w:tmpl w:val="9E1A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DF07C07"/>
    <w:multiLevelType w:val="multilevel"/>
    <w:tmpl w:val="F768D2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E746554"/>
    <w:multiLevelType w:val="multilevel"/>
    <w:tmpl w:val="4B9A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FF45868"/>
    <w:multiLevelType w:val="multilevel"/>
    <w:tmpl w:val="A2D4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00576D4"/>
    <w:multiLevelType w:val="multilevel"/>
    <w:tmpl w:val="FECE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031022B"/>
    <w:multiLevelType w:val="multilevel"/>
    <w:tmpl w:val="92F6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07C31F0"/>
    <w:multiLevelType w:val="multilevel"/>
    <w:tmpl w:val="1EBE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0CD5F49"/>
    <w:multiLevelType w:val="multilevel"/>
    <w:tmpl w:val="82E8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0FC734A"/>
    <w:multiLevelType w:val="multilevel"/>
    <w:tmpl w:val="55D4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1316116"/>
    <w:multiLevelType w:val="multilevel"/>
    <w:tmpl w:val="B1C2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13444CA"/>
    <w:multiLevelType w:val="multilevel"/>
    <w:tmpl w:val="8840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1472E9D"/>
    <w:multiLevelType w:val="multilevel"/>
    <w:tmpl w:val="D7CC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1DF6095"/>
    <w:multiLevelType w:val="multilevel"/>
    <w:tmpl w:val="ED1A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22D1B3D"/>
    <w:multiLevelType w:val="multilevel"/>
    <w:tmpl w:val="4C1C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2383E2A"/>
    <w:multiLevelType w:val="multilevel"/>
    <w:tmpl w:val="2B84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2826AD5"/>
    <w:multiLevelType w:val="multilevel"/>
    <w:tmpl w:val="65DC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351537B"/>
    <w:multiLevelType w:val="multilevel"/>
    <w:tmpl w:val="D50E0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63994383"/>
    <w:multiLevelType w:val="multilevel"/>
    <w:tmpl w:val="9B86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3B57367"/>
    <w:multiLevelType w:val="multilevel"/>
    <w:tmpl w:val="FB90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4085D04"/>
    <w:multiLevelType w:val="multilevel"/>
    <w:tmpl w:val="32F8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40E3449"/>
    <w:multiLevelType w:val="multilevel"/>
    <w:tmpl w:val="2A2E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46D0192"/>
    <w:multiLevelType w:val="multilevel"/>
    <w:tmpl w:val="E5C4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4BF39A8"/>
    <w:multiLevelType w:val="multilevel"/>
    <w:tmpl w:val="37F8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4CF1362"/>
    <w:multiLevelType w:val="multilevel"/>
    <w:tmpl w:val="A8B0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5831F13"/>
    <w:multiLevelType w:val="multilevel"/>
    <w:tmpl w:val="BE1E2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610469A"/>
    <w:multiLevelType w:val="multilevel"/>
    <w:tmpl w:val="9FF8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66D35FB"/>
    <w:multiLevelType w:val="multilevel"/>
    <w:tmpl w:val="5DB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79C1E14"/>
    <w:multiLevelType w:val="multilevel"/>
    <w:tmpl w:val="1BFCF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67A2061D"/>
    <w:multiLevelType w:val="multilevel"/>
    <w:tmpl w:val="4A42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7FF7B9D"/>
    <w:multiLevelType w:val="multilevel"/>
    <w:tmpl w:val="FEFEE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8A95A3A"/>
    <w:multiLevelType w:val="multilevel"/>
    <w:tmpl w:val="5D982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9146DBD"/>
    <w:multiLevelType w:val="multilevel"/>
    <w:tmpl w:val="87DA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9577F90"/>
    <w:multiLevelType w:val="multilevel"/>
    <w:tmpl w:val="35FE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A081083"/>
    <w:multiLevelType w:val="multilevel"/>
    <w:tmpl w:val="6D12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A4764A4"/>
    <w:multiLevelType w:val="multilevel"/>
    <w:tmpl w:val="62CA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A5635C0"/>
    <w:multiLevelType w:val="multilevel"/>
    <w:tmpl w:val="9BA0B9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A5E60BD"/>
    <w:multiLevelType w:val="multilevel"/>
    <w:tmpl w:val="EBC8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B3B1327"/>
    <w:multiLevelType w:val="multilevel"/>
    <w:tmpl w:val="FB5A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B4201D3"/>
    <w:multiLevelType w:val="multilevel"/>
    <w:tmpl w:val="6ACC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B5146D0"/>
    <w:multiLevelType w:val="multilevel"/>
    <w:tmpl w:val="D2B6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B52085E"/>
    <w:multiLevelType w:val="multilevel"/>
    <w:tmpl w:val="4294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B5C0051"/>
    <w:multiLevelType w:val="multilevel"/>
    <w:tmpl w:val="845A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B6F5154"/>
    <w:multiLevelType w:val="multilevel"/>
    <w:tmpl w:val="9536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C1C364F"/>
    <w:multiLevelType w:val="multilevel"/>
    <w:tmpl w:val="40E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CA831D1"/>
    <w:multiLevelType w:val="multilevel"/>
    <w:tmpl w:val="C7C6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CE7230E"/>
    <w:multiLevelType w:val="multilevel"/>
    <w:tmpl w:val="EF96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D290002"/>
    <w:multiLevelType w:val="multilevel"/>
    <w:tmpl w:val="12D01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D8A053C"/>
    <w:multiLevelType w:val="multilevel"/>
    <w:tmpl w:val="E90E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E2A0CE0"/>
    <w:multiLevelType w:val="multilevel"/>
    <w:tmpl w:val="40C2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E58057B"/>
    <w:multiLevelType w:val="multilevel"/>
    <w:tmpl w:val="C5D4FB7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EBE3842"/>
    <w:multiLevelType w:val="multilevel"/>
    <w:tmpl w:val="E0CA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F3B6FC2"/>
    <w:multiLevelType w:val="multilevel"/>
    <w:tmpl w:val="7D84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F3D52A8"/>
    <w:multiLevelType w:val="multilevel"/>
    <w:tmpl w:val="9C829B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6F4572AF"/>
    <w:multiLevelType w:val="multilevel"/>
    <w:tmpl w:val="001E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FB53FF7"/>
    <w:multiLevelType w:val="multilevel"/>
    <w:tmpl w:val="442E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01479BA"/>
    <w:multiLevelType w:val="multilevel"/>
    <w:tmpl w:val="47A0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04B2A81"/>
    <w:multiLevelType w:val="multilevel"/>
    <w:tmpl w:val="841A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0B92882"/>
    <w:multiLevelType w:val="multilevel"/>
    <w:tmpl w:val="615E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11C09FD"/>
    <w:multiLevelType w:val="multilevel"/>
    <w:tmpl w:val="BF84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19D63B1"/>
    <w:multiLevelType w:val="multilevel"/>
    <w:tmpl w:val="B8262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1D71715"/>
    <w:multiLevelType w:val="multilevel"/>
    <w:tmpl w:val="64EC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26608DB"/>
    <w:multiLevelType w:val="multilevel"/>
    <w:tmpl w:val="C362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276706D"/>
    <w:multiLevelType w:val="multilevel"/>
    <w:tmpl w:val="94B80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28B00F4"/>
    <w:multiLevelType w:val="multilevel"/>
    <w:tmpl w:val="6D86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28E051D"/>
    <w:multiLevelType w:val="multilevel"/>
    <w:tmpl w:val="A6103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2D058A5"/>
    <w:multiLevelType w:val="multilevel"/>
    <w:tmpl w:val="01AC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33173B2"/>
    <w:multiLevelType w:val="multilevel"/>
    <w:tmpl w:val="ACD8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3572216"/>
    <w:multiLevelType w:val="multilevel"/>
    <w:tmpl w:val="CC9E7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3BA778C"/>
    <w:multiLevelType w:val="multilevel"/>
    <w:tmpl w:val="25A2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43C6CC6"/>
    <w:multiLevelType w:val="multilevel"/>
    <w:tmpl w:val="6DE8E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49957CB"/>
    <w:multiLevelType w:val="multilevel"/>
    <w:tmpl w:val="C092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5017953"/>
    <w:multiLevelType w:val="multilevel"/>
    <w:tmpl w:val="76B8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52E3582"/>
    <w:multiLevelType w:val="multilevel"/>
    <w:tmpl w:val="F7B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59F184C"/>
    <w:multiLevelType w:val="multilevel"/>
    <w:tmpl w:val="84BA5F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5D3648D"/>
    <w:multiLevelType w:val="multilevel"/>
    <w:tmpl w:val="8A682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760B633B"/>
    <w:multiLevelType w:val="multilevel"/>
    <w:tmpl w:val="3AB4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65C0456"/>
    <w:multiLevelType w:val="multilevel"/>
    <w:tmpl w:val="F812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669788E"/>
    <w:multiLevelType w:val="multilevel"/>
    <w:tmpl w:val="7336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69041D6"/>
    <w:multiLevelType w:val="multilevel"/>
    <w:tmpl w:val="D092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6A57091"/>
    <w:multiLevelType w:val="multilevel"/>
    <w:tmpl w:val="7E70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75B3C3E"/>
    <w:multiLevelType w:val="multilevel"/>
    <w:tmpl w:val="99608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77A1385C"/>
    <w:multiLevelType w:val="multilevel"/>
    <w:tmpl w:val="C938D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77B649F3"/>
    <w:multiLevelType w:val="multilevel"/>
    <w:tmpl w:val="8160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8E65CF2"/>
    <w:multiLevelType w:val="multilevel"/>
    <w:tmpl w:val="D68C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936554D"/>
    <w:multiLevelType w:val="multilevel"/>
    <w:tmpl w:val="86E4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93F339A"/>
    <w:multiLevelType w:val="multilevel"/>
    <w:tmpl w:val="A974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962675C"/>
    <w:multiLevelType w:val="multilevel"/>
    <w:tmpl w:val="E756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9E34024"/>
    <w:multiLevelType w:val="multilevel"/>
    <w:tmpl w:val="DAEE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9F03AB9"/>
    <w:multiLevelType w:val="multilevel"/>
    <w:tmpl w:val="2696B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7A7B0FE3"/>
    <w:multiLevelType w:val="multilevel"/>
    <w:tmpl w:val="4C84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AEF0136"/>
    <w:multiLevelType w:val="multilevel"/>
    <w:tmpl w:val="26E0B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AF14488"/>
    <w:multiLevelType w:val="multilevel"/>
    <w:tmpl w:val="A50A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B292EE3"/>
    <w:multiLevelType w:val="multilevel"/>
    <w:tmpl w:val="E73EC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7B9F630D"/>
    <w:multiLevelType w:val="multilevel"/>
    <w:tmpl w:val="79C4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BF1316E"/>
    <w:multiLevelType w:val="multilevel"/>
    <w:tmpl w:val="15AE0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D086A19"/>
    <w:multiLevelType w:val="multilevel"/>
    <w:tmpl w:val="15A8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D9F21CB"/>
    <w:multiLevelType w:val="multilevel"/>
    <w:tmpl w:val="211218A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7E136E8C"/>
    <w:multiLevelType w:val="multilevel"/>
    <w:tmpl w:val="960E2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E7D5140"/>
    <w:multiLevelType w:val="multilevel"/>
    <w:tmpl w:val="9DD8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EBF3E88"/>
    <w:multiLevelType w:val="multilevel"/>
    <w:tmpl w:val="2F7AC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7EFD0F63"/>
    <w:multiLevelType w:val="multilevel"/>
    <w:tmpl w:val="E89E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F470CAB"/>
    <w:multiLevelType w:val="multilevel"/>
    <w:tmpl w:val="5564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FA65EF8"/>
    <w:multiLevelType w:val="multilevel"/>
    <w:tmpl w:val="474C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FB64B51"/>
    <w:multiLevelType w:val="multilevel"/>
    <w:tmpl w:val="44B8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FD97E1B"/>
    <w:multiLevelType w:val="multilevel"/>
    <w:tmpl w:val="4628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FF9353A"/>
    <w:multiLevelType w:val="multilevel"/>
    <w:tmpl w:val="6D08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5117323">
    <w:abstractNumId w:val="55"/>
  </w:num>
  <w:num w:numId="2" w16cid:durableId="928079693">
    <w:abstractNumId w:val="360"/>
  </w:num>
  <w:num w:numId="3" w16cid:durableId="1008677944">
    <w:abstractNumId w:val="283"/>
  </w:num>
  <w:num w:numId="4" w16cid:durableId="1188758205">
    <w:abstractNumId w:val="20"/>
  </w:num>
  <w:num w:numId="5" w16cid:durableId="1650403425">
    <w:abstractNumId w:val="130"/>
  </w:num>
  <w:num w:numId="6" w16cid:durableId="898831537">
    <w:abstractNumId w:val="232"/>
  </w:num>
  <w:num w:numId="7" w16cid:durableId="315107917">
    <w:abstractNumId w:val="371"/>
  </w:num>
  <w:num w:numId="8" w16cid:durableId="808399464">
    <w:abstractNumId w:val="28"/>
  </w:num>
  <w:num w:numId="9" w16cid:durableId="650402894">
    <w:abstractNumId w:val="187"/>
  </w:num>
  <w:num w:numId="10" w16cid:durableId="906063831">
    <w:abstractNumId w:val="359"/>
  </w:num>
  <w:num w:numId="11" w16cid:durableId="913126064">
    <w:abstractNumId w:val="287"/>
  </w:num>
  <w:num w:numId="12" w16cid:durableId="1393578676">
    <w:abstractNumId w:val="227"/>
  </w:num>
  <w:num w:numId="13" w16cid:durableId="1465462432">
    <w:abstractNumId w:val="375"/>
  </w:num>
  <w:num w:numId="14" w16cid:durableId="975454047">
    <w:abstractNumId w:val="313"/>
  </w:num>
  <w:num w:numId="15" w16cid:durableId="1937978519">
    <w:abstractNumId w:val="320"/>
  </w:num>
  <w:num w:numId="16" w16cid:durableId="755054713">
    <w:abstractNumId w:val="233"/>
  </w:num>
  <w:num w:numId="17" w16cid:durableId="791824494">
    <w:abstractNumId w:val="367"/>
  </w:num>
  <w:num w:numId="18" w16cid:durableId="1550220259">
    <w:abstractNumId w:val="365"/>
  </w:num>
  <w:num w:numId="19" w16cid:durableId="471293302">
    <w:abstractNumId w:val="29"/>
  </w:num>
  <w:num w:numId="20" w16cid:durableId="66540059">
    <w:abstractNumId w:val="200"/>
  </w:num>
  <w:num w:numId="21" w16cid:durableId="1057052155">
    <w:abstractNumId w:val="120"/>
  </w:num>
  <w:num w:numId="22" w16cid:durableId="611713121">
    <w:abstractNumId w:val="212"/>
  </w:num>
  <w:num w:numId="23" w16cid:durableId="1320964197">
    <w:abstractNumId w:val="194"/>
  </w:num>
  <w:num w:numId="24" w16cid:durableId="2118137887">
    <w:abstractNumId w:val="348"/>
  </w:num>
  <w:num w:numId="25" w16cid:durableId="1693678226">
    <w:abstractNumId w:val="327"/>
  </w:num>
  <w:num w:numId="26" w16cid:durableId="1567256352">
    <w:abstractNumId w:val="49"/>
  </w:num>
  <w:num w:numId="27" w16cid:durableId="1082411256">
    <w:abstractNumId w:val="374"/>
  </w:num>
  <w:num w:numId="28" w16cid:durableId="944923543">
    <w:abstractNumId w:val="57"/>
  </w:num>
  <w:num w:numId="29" w16cid:durableId="1876190232">
    <w:abstractNumId w:val="291"/>
  </w:num>
  <w:num w:numId="30" w16cid:durableId="585841838">
    <w:abstractNumId w:val="206"/>
  </w:num>
  <w:num w:numId="31" w16cid:durableId="1910843356">
    <w:abstractNumId w:val="126"/>
  </w:num>
  <w:num w:numId="32" w16cid:durableId="1166440910">
    <w:abstractNumId w:val="252"/>
  </w:num>
  <w:num w:numId="33" w16cid:durableId="987324941">
    <w:abstractNumId w:val="250"/>
  </w:num>
  <w:num w:numId="34" w16cid:durableId="543758383">
    <w:abstractNumId w:val="316"/>
  </w:num>
  <w:num w:numId="35" w16cid:durableId="1951009774">
    <w:abstractNumId w:val="386"/>
  </w:num>
  <w:num w:numId="36" w16cid:durableId="241304677">
    <w:abstractNumId w:val="254"/>
  </w:num>
  <w:num w:numId="37" w16cid:durableId="229077518">
    <w:abstractNumId w:val="205"/>
  </w:num>
  <w:num w:numId="38" w16cid:durableId="399643261">
    <w:abstractNumId w:val="273"/>
  </w:num>
  <w:num w:numId="39" w16cid:durableId="1917745000">
    <w:abstractNumId w:val="335"/>
  </w:num>
  <w:num w:numId="40" w16cid:durableId="472480425">
    <w:abstractNumId w:val="138"/>
  </w:num>
  <w:num w:numId="41" w16cid:durableId="461778053">
    <w:abstractNumId w:val="319"/>
  </w:num>
  <w:num w:numId="42" w16cid:durableId="463695671">
    <w:abstractNumId w:val="141"/>
  </w:num>
  <w:num w:numId="43" w16cid:durableId="1953004829">
    <w:abstractNumId w:val="345"/>
  </w:num>
  <w:num w:numId="44" w16cid:durableId="933516351">
    <w:abstractNumId w:val="59"/>
  </w:num>
  <w:num w:numId="45" w16cid:durableId="867182941">
    <w:abstractNumId w:val="133"/>
  </w:num>
  <w:num w:numId="46" w16cid:durableId="1688560931">
    <w:abstractNumId w:val="71"/>
  </w:num>
  <w:num w:numId="47" w16cid:durableId="1540127953">
    <w:abstractNumId w:val="245"/>
  </w:num>
  <w:num w:numId="48" w16cid:durableId="1379815900">
    <w:abstractNumId w:val="128"/>
  </w:num>
  <w:num w:numId="49" w16cid:durableId="1358654972">
    <w:abstractNumId w:val="80"/>
  </w:num>
  <w:num w:numId="50" w16cid:durableId="1186943294">
    <w:abstractNumId w:val="96"/>
  </w:num>
  <w:num w:numId="51" w16cid:durableId="1266962585">
    <w:abstractNumId w:val="61"/>
  </w:num>
  <w:num w:numId="52" w16cid:durableId="1942760147">
    <w:abstractNumId w:val="179"/>
  </w:num>
  <w:num w:numId="53" w16cid:durableId="1319312212">
    <w:abstractNumId w:val="60"/>
  </w:num>
  <w:num w:numId="54" w16cid:durableId="801576833">
    <w:abstractNumId w:val="64"/>
  </w:num>
  <w:num w:numId="55" w16cid:durableId="1108815792">
    <w:abstractNumId w:val="261"/>
  </w:num>
  <w:num w:numId="56" w16cid:durableId="73943955">
    <w:abstractNumId w:val="198"/>
  </w:num>
  <w:num w:numId="57" w16cid:durableId="1393233510">
    <w:abstractNumId w:val="37"/>
  </w:num>
  <w:num w:numId="58" w16cid:durableId="441607032">
    <w:abstractNumId w:val="44"/>
  </w:num>
  <w:num w:numId="59" w16cid:durableId="1678923234">
    <w:abstractNumId w:val="217"/>
  </w:num>
  <w:num w:numId="60" w16cid:durableId="1438719674">
    <w:abstractNumId w:val="50"/>
  </w:num>
  <w:num w:numId="61" w16cid:durableId="1662079104">
    <w:abstractNumId w:val="33"/>
  </w:num>
  <w:num w:numId="62" w16cid:durableId="1581207316">
    <w:abstractNumId w:val="52"/>
  </w:num>
  <w:num w:numId="63" w16cid:durableId="1685935759">
    <w:abstractNumId w:val="30"/>
  </w:num>
  <w:num w:numId="64" w16cid:durableId="928808091">
    <w:abstractNumId w:val="392"/>
  </w:num>
  <w:num w:numId="65" w16cid:durableId="1407722293">
    <w:abstractNumId w:val="78"/>
  </w:num>
  <w:num w:numId="66" w16cid:durableId="341863406">
    <w:abstractNumId w:val="342"/>
  </w:num>
  <w:num w:numId="67" w16cid:durableId="1360007424">
    <w:abstractNumId w:val="271"/>
  </w:num>
  <w:num w:numId="68" w16cid:durableId="102657031">
    <w:abstractNumId w:val="278"/>
  </w:num>
  <w:num w:numId="69" w16cid:durableId="277758471">
    <w:abstractNumId w:val="89"/>
  </w:num>
  <w:num w:numId="70" w16cid:durableId="1403793427">
    <w:abstractNumId w:val="228"/>
  </w:num>
  <w:num w:numId="71" w16cid:durableId="1950818064">
    <w:abstractNumId w:val="76"/>
  </w:num>
  <w:num w:numId="72" w16cid:durableId="1756710401">
    <w:abstractNumId w:val="336"/>
  </w:num>
  <w:num w:numId="73" w16cid:durableId="1889871569">
    <w:abstractNumId w:val="263"/>
  </w:num>
  <w:num w:numId="74" w16cid:durableId="1259873071">
    <w:abstractNumId w:val="256"/>
  </w:num>
  <w:num w:numId="75" w16cid:durableId="1286423372">
    <w:abstractNumId w:val="9"/>
  </w:num>
  <w:num w:numId="76" w16cid:durableId="774401612">
    <w:abstractNumId w:val="329"/>
  </w:num>
  <w:num w:numId="77" w16cid:durableId="121189927">
    <w:abstractNumId w:val="99"/>
  </w:num>
  <w:num w:numId="78" w16cid:durableId="1084372783">
    <w:abstractNumId w:val="119"/>
  </w:num>
  <w:num w:numId="79" w16cid:durableId="260337353">
    <w:abstractNumId w:val="149"/>
  </w:num>
  <w:num w:numId="80" w16cid:durableId="1469085018">
    <w:abstractNumId w:val="293"/>
  </w:num>
  <w:num w:numId="81" w16cid:durableId="2004121789">
    <w:abstractNumId w:val="221"/>
  </w:num>
  <w:num w:numId="82" w16cid:durableId="882592561">
    <w:abstractNumId w:val="150"/>
  </w:num>
  <w:num w:numId="83" w16cid:durableId="1823036239">
    <w:abstractNumId w:val="264"/>
  </w:num>
  <w:num w:numId="84" w16cid:durableId="484586334">
    <w:abstractNumId w:val="253"/>
  </w:num>
  <w:num w:numId="85" w16cid:durableId="1696688032">
    <w:abstractNumId w:val="231"/>
  </w:num>
  <w:num w:numId="86" w16cid:durableId="836454934">
    <w:abstractNumId w:val="131"/>
  </w:num>
  <w:num w:numId="87" w16cid:durableId="1331954420">
    <w:abstractNumId w:val="373"/>
  </w:num>
  <w:num w:numId="88" w16cid:durableId="1114665657">
    <w:abstractNumId w:val="324"/>
  </w:num>
  <w:num w:numId="89" w16cid:durableId="107892980">
    <w:abstractNumId w:val="381"/>
  </w:num>
  <w:num w:numId="90" w16cid:durableId="194777913">
    <w:abstractNumId w:val="351"/>
  </w:num>
  <w:num w:numId="91" w16cid:durableId="549347914">
    <w:abstractNumId w:val="87"/>
  </w:num>
  <w:num w:numId="92" w16cid:durableId="1720131843">
    <w:abstractNumId w:val="45"/>
  </w:num>
  <w:num w:numId="93" w16cid:durableId="127624370">
    <w:abstractNumId w:val="92"/>
  </w:num>
  <w:num w:numId="94" w16cid:durableId="491067286">
    <w:abstractNumId w:val="242"/>
  </w:num>
  <w:num w:numId="95" w16cid:durableId="320739278">
    <w:abstractNumId w:val="66"/>
  </w:num>
  <w:num w:numId="96" w16cid:durableId="1843079848">
    <w:abstractNumId w:val="292"/>
  </w:num>
  <w:num w:numId="97" w16cid:durableId="1730379246">
    <w:abstractNumId w:val="74"/>
  </w:num>
  <w:num w:numId="98" w16cid:durableId="394356964">
    <w:abstractNumId w:val="328"/>
  </w:num>
  <w:num w:numId="99" w16cid:durableId="1604265527">
    <w:abstractNumId w:val="219"/>
  </w:num>
  <w:num w:numId="100" w16cid:durableId="1059285466">
    <w:abstractNumId w:val="216"/>
  </w:num>
  <w:num w:numId="101" w16cid:durableId="1946381917">
    <w:abstractNumId w:val="97"/>
  </w:num>
  <w:num w:numId="102" w16cid:durableId="969436931">
    <w:abstractNumId w:val="214"/>
  </w:num>
  <w:num w:numId="103" w16cid:durableId="1995796867">
    <w:abstractNumId w:val="72"/>
  </w:num>
  <w:num w:numId="104" w16cid:durableId="806122094">
    <w:abstractNumId w:val="42"/>
  </w:num>
  <w:num w:numId="105" w16cid:durableId="1160386103">
    <w:abstractNumId w:val="155"/>
  </w:num>
  <w:num w:numId="106" w16cid:durableId="412170300">
    <w:abstractNumId w:val="321"/>
  </w:num>
  <w:num w:numId="107" w16cid:durableId="1463376777">
    <w:abstractNumId w:val="84"/>
  </w:num>
  <w:num w:numId="108" w16cid:durableId="1183281198">
    <w:abstractNumId w:val="297"/>
  </w:num>
  <w:num w:numId="109" w16cid:durableId="1053650497">
    <w:abstractNumId w:val="349"/>
  </w:num>
  <w:num w:numId="110" w16cid:durableId="846676559">
    <w:abstractNumId w:val="225"/>
  </w:num>
  <w:num w:numId="111" w16cid:durableId="1866282390">
    <w:abstractNumId w:val="22"/>
  </w:num>
  <w:num w:numId="112" w16cid:durableId="1339648794">
    <w:abstractNumId w:val="372"/>
  </w:num>
  <w:num w:numId="113" w16cid:durableId="1771242986">
    <w:abstractNumId w:val="14"/>
  </w:num>
  <w:num w:numId="114" w16cid:durableId="1316687849">
    <w:abstractNumId w:val="63"/>
  </w:num>
  <w:num w:numId="115" w16cid:durableId="1834905129">
    <w:abstractNumId w:val="389"/>
  </w:num>
  <w:num w:numId="116" w16cid:durableId="679239771">
    <w:abstractNumId w:val="308"/>
  </w:num>
  <w:num w:numId="117" w16cid:durableId="624697322">
    <w:abstractNumId w:val="284"/>
  </w:num>
  <w:num w:numId="118" w16cid:durableId="2100253459">
    <w:abstractNumId w:val="94"/>
  </w:num>
  <w:num w:numId="119" w16cid:durableId="860126545">
    <w:abstractNumId w:val="218"/>
  </w:num>
  <w:num w:numId="120" w16cid:durableId="2097288945">
    <w:abstractNumId w:val="344"/>
  </w:num>
  <w:num w:numId="121" w16cid:durableId="1549413961">
    <w:abstractNumId w:val="189"/>
  </w:num>
  <w:num w:numId="122" w16cid:durableId="1941258348">
    <w:abstractNumId w:val="290"/>
  </w:num>
  <w:num w:numId="123" w16cid:durableId="165217017">
    <w:abstractNumId w:val="207"/>
  </w:num>
  <w:num w:numId="124" w16cid:durableId="1972588867">
    <w:abstractNumId w:val="115"/>
  </w:num>
  <w:num w:numId="125" w16cid:durableId="1011641890">
    <w:abstractNumId w:val="139"/>
  </w:num>
  <w:num w:numId="126" w16cid:durableId="340282501">
    <w:abstractNumId w:val="259"/>
  </w:num>
  <w:num w:numId="127" w16cid:durableId="1420447397">
    <w:abstractNumId w:val="288"/>
  </w:num>
  <w:num w:numId="128" w16cid:durableId="113715965">
    <w:abstractNumId w:val="251"/>
  </w:num>
  <w:num w:numId="129" w16cid:durableId="1772775902">
    <w:abstractNumId w:val="269"/>
  </w:num>
  <w:num w:numId="130" w16cid:durableId="1966961395">
    <w:abstractNumId w:val="144"/>
  </w:num>
  <w:num w:numId="131" w16cid:durableId="85927285">
    <w:abstractNumId w:val="100"/>
  </w:num>
  <w:num w:numId="132" w16cid:durableId="176776226">
    <w:abstractNumId w:val="140"/>
  </w:num>
  <w:num w:numId="133" w16cid:durableId="1180238740">
    <w:abstractNumId w:val="184"/>
  </w:num>
  <w:num w:numId="134" w16cid:durableId="1732846803">
    <w:abstractNumId w:val="333"/>
  </w:num>
  <w:num w:numId="135" w16cid:durableId="10374290">
    <w:abstractNumId w:val="294"/>
  </w:num>
  <w:num w:numId="136" w16cid:durableId="476923273">
    <w:abstractNumId w:val="262"/>
  </w:num>
  <w:num w:numId="137" w16cid:durableId="2083217902">
    <w:abstractNumId w:val="257"/>
  </w:num>
  <w:num w:numId="138" w16cid:durableId="1352682390">
    <w:abstractNumId w:val="197"/>
  </w:num>
  <w:num w:numId="139" w16cid:durableId="2077970954">
    <w:abstractNumId w:val="370"/>
  </w:num>
  <w:num w:numId="140" w16cid:durableId="893740905">
    <w:abstractNumId w:val="314"/>
  </w:num>
  <w:num w:numId="141" w16cid:durableId="315031632">
    <w:abstractNumId w:val="19"/>
  </w:num>
  <w:num w:numId="142" w16cid:durableId="1543863645">
    <w:abstractNumId w:val="168"/>
  </w:num>
  <w:num w:numId="143" w16cid:durableId="941229720">
    <w:abstractNumId w:val="98"/>
  </w:num>
  <w:num w:numId="144" w16cid:durableId="1404064914">
    <w:abstractNumId w:val="137"/>
  </w:num>
  <w:num w:numId="145" w16cid:durableId="1405638151">
    <w:abstractNumId w:val="167"/>
  </w:num>
  <w:num w:numId="146" w16cid:durableId="1037269666">
    <w:abstractNumId w:val="122"/>
  </w:num>
  <w:num w:numId="147" w16cid:durableId="692924979">
    <w:abstractNumId w:val="304"/>
  </w:num>
  <w:num w:numId="148" w16cid:durableId="498467920">
    <w:abstractNumId w:val="382"/>
  </w:num>
  <w:num w:numId="149" w16cid:durableId="1739205533">
    <w:abstractNumId w:val="54"/>
  </w:num>
  <w:num w:numId="150" w16cid:durableId="1565799163">
    <w:abstractNumId w:val="315"/>
  </w:num>
  <w:num w:numId="151" w16cid:durableId="583804636">
    <w:abstractNumId w:val="380"/>
  </w:num>
  <w:num w:numId="152" w16cid:durableId="746925605">
    <w:abstractNumId w:val="340"/>
  </w:num>
  <w:num w:numId="153" w16cid:durableId="1188567693">
    <w:abstractNumId w:val="32"/>
  </w:num>
  <w:num w:numId="154" w16cid:durableId="1668708429">
    <w:abstractNumId w:val="188"/>
  </w:num>
  <w:num w:numId="155" w16cid:durableId="507602775">
    <w:abstractNumId w:val="62"/>
  </w:num>
  <w:num w:numId="156" w16cid:durableId="858356106">
    <w:abstractNumId w:val="180"/>
  </w:num>
  <w:num w:numId="157" w16cid:durableId="2057310909">
    <w:abstractNumId w:val="341"/>
  </w:num>
  <w:num w:numId="158" w16cid:durableId="1374843573">
    <w:abstractNumId w:val="43"/>
  </w:num>
  <w:num w:numId="159" w16cid:durableId="1742096240">
    <w:abstractNumId w:val="311"/>
  </w:num>
  <w:num w:numId="160" w16cid:durableId="201333412">
    <w:abstractNumId w:val="305"/>
  </w:num>
  <w:num w:numId="161" w16cid:durableId="628557059">
    <w:abstractNumId w:val="223"/>
  </w:num>
  <w:num w:numId="162" w16cid:durableId="1527595197">
    <w:abstractNumId w:val="330"/>
  </w:num>
  <w:num w:numId="163" w16cid:durableId="1260941960">
    <w:abstractNumId w:val="246"/>
  </w:num>
  <w:num w:numId="164" w16cid:durableId="403651390">
    <w:abstractNumId w:val="369"/>
  </w:num>
  <w:num w:numId="165" w16cid:durableId="2041928061">
    <w:abstractNumId w:val="27"/>
  </w:num>
  <w:num w:numId="166" w16cid:durableId="140074963">
    <w:abstractNumId w:val="244"/>
  </w:num>
  <w:num w:numId="167" w16cid:durableId="1106076480">
    <w:abstractNumId w:val="390"/>
  </w:num>
  <w:num w:numId="168" w16cid:durableId="598104161">
    <w:abstractNumId w:val="134"/>
  </w:num>
  <w:num w:numId="169" w16cid:durableId="1770849427">
    <w:abstractNumId w:val="204"/>
  </w:num>
  <w:num w:numId="170" w16cid:durableId="208417448">
    <w:abstractNumId w:val="182"/>
  </w:num>
  <w:num w:numId="171" w16cid:durableId="1639450953">
    <w:abstractNumId w:val="46"/>
  </w:num>
  <w:num w:numId="172" w16cid:durableId="671296844">
    <w:abstractNumId w:val="275"/>
  </w:num>
  <w:num w:numId="173" w16cid:durableId="1891574049">
    <w:abstractNumId w:val="164"/>
  </w:num>
  <w:num w:numId="174" w16cid:durableId="371341426">
    <w:abstractNumId w:val="68"/>
  </w:num>
  <w:num w:numId="175" w16cid:durableId="247348884">
    <w:abstractNumId w:val="108"/>
  </w:num>
  <w:num w:numId="176" w16cid:durableId="1561549453">
    <w:abstractNumId w:val="310"/>
  </w:num>
  <w:num w:numId="177" w16cid:durableId="1086850834">
    <w:abstractNumId w:val="90"/>
  </w:num>
  <w:num w:numId="178" w16cid:durableId="1045330374">
    <w:abstractNumId w:val="110"/>
  </w:num>
  <w:num w:numId="179" w16cid:durableId="1076514371">
    <w:abstractNumId w:val="11"/>
  </w:num>
  <w:num w:numId="180" w16cid:durableId="1269005229">
    <w:abstractNumId w:val="143"/>
  </w:num>
  <w:num w:numId="181" w16cid:durableId="565722637">
    <w:abstractNumId w:val="343"/>
  </w:num>
  <w:num w:numId="182" w16cid:durableId="1841894173">
    <w:abstractNumId w:val="240"/>
  </w:num>
  <w:num w:numId="183" w16cid:durableId="381637362">
    <w:abstractNumId w:val="377"/>
  </w:num>
  <w:num w:numId="184" w16cid:durableId="239489320">
    <w:abstractNumId w:val="248"/>
  </w:num>
  <w:num w:numId="185" w16cid:durableId="323242561">
    <w:abstractNumId w:val="109"/>
  </w:num>
  <w:num w:numId="186" w16cid:durableId="1599437411">
    <w:abstractNumId w:val="331"/>
  </w:num>
  <w:num w:numId="187" w16cid:durableId="1966497253">
    <w:abstractNumId w:val="16"/>
  </w:num>
  <w:num w:numId="188" w16cid:durableId="91056085">
    <w:abstractNumId w:val="255"/>
  </w:num>
  <w:num w:numId="189" w16cid:durableId="580217292">
    <w:abstractNumId w:val="88"/>
  </w:num>
  <w:num w:numId="190" w16cid:durableId="455948333">
    <w:abstractNumId w:val="5"/>
  </w:num>
  <w:num w:numId="191" w16cid:durableId="763455756">
    <w:abstractNumId w:val="307"/>
  </w:num>
  <w:num w:numId="192" w16cid:durableId="1677340785">
    <w:abstractNumId w:val="368"/>
  </w:num>
  <w:num w:numId="193" w16cid:durableId="1840383933">
    <w:abstractNumId w:val="118"/>
  </w:num>
  <w:num w:numId="194" w16cid:durableId="1772818424">
    <w:abstractNumId w:val="47"/>
  </w:num>
  <w:num w:numId="195" w16cid:durableId="1557083738">
    <w:abstractNumId w:val="209"/>
  </w:num>
  <w:num w:numId="196" w16cid:durableId="2108887213">
    <w:abstractNumId w:val="222"/>
  </w:num>
  <w:num w:numId="197" w16cid:durableId="481433985">
    <w:abstractNumId w:val="362"/>
  </w:num>
  <w:num w:numId="198" w16cid:durableId="1360932871">
    <w:abstractNumId w:val="21"/>
  </w:num>
  <w:num w:numId="199" w16cid:durableId="1815945684">
    <w:abstractNumId w:val="116"/>
  </w:num>
  <w:num w:numId="200" w16cid:durableId="534388448">
    <w:abstractNumId w:val="51"/>
  </w:num>
  <w:num w:numId="201" w16cid:durableId="1762992541">
    <w:abstractNumId w:val="199"/>
  </w:num>
  <w:num w:numId="202" w16cid:durableId="567350482">
    <w:abstractNumId w:val="238"/>
  </w:num>
  <w:num w:numId="203" w16cid:durableId="1477988834">
    <w:abstractNumId w:val="326"/>
  </w:num>
  <w:num w:numId="204" w16cid:durableId="1049652012">
    <w:abstractNumId w:val="104"/>
  </w:num>
  <w:num w:numId="205" w16cid:durableId="1900045190">
    <w:abstractNumId w:val="258"/>
  </w:num>
  <w:num w:numId="206" w16cid:durableId="1816753117">
    <w:abstractNumId w:val="247"/>
  </w:num>
  <w:num w:numId="207" w16cid:durableId="2004432761">
    <w:abstractNumId w:val="125"/>
  </w:num>
  <w:num w:numId="208" w16cid:durableId="1229221085">
    <w:abstractNumId w:val="86"/>
  </w:num>
  <w:num w:numId="209" w16cid:durableId="37435783">
    <w:abstractNumId w:val="146"/>
  </w:num>
  <w:num w:numId="210" w16cid:durableId="1379668611">
    <w:abstractNumId w:val="147"/>
  </w:num>
  <w:num w:numId="211" w16cid:durableId="1232422901">
    <w:abstractNumId w:val="306"/>
  </w:num>
  <w:num w:numId="212" w16cid:durableId="1793354642">
    <w:abstractNumId w:val="195"/>
  </w:num>
  <w:num w:numId="213" w16cid:durableId="1685595354">
    <w:abstractNumId w:val="10"/>
  </w:num>
  <w:num w:numId="214" w16cid:durableId="305936669">
    <w:abstractNumId w:val="142"/>
  </w:num>
  <w:num w:numId="215" w16cid:durableId="1334842495">
    <w:abstractNumId w:val="241"/>
  </w:num>
  <w:num w:numId="216" w16cid:durableId="683554737">
    <w:abstractNumId w:val="6"/>
  </w:num>
  <w:num w:numId="217" w16cid:durableId="567420849">
    <w:abstractNumId w:val="213"/>
  </w:num>
  <w:num w:numId="218" w16cid:durableId="1729914920">
    <w:abstractNumId w:val="300"/>
  </w:num>
  <w:num w:numId="219" w16cid:durableId="1422212935">
    <w:abstractNumId w:val="226"/>
  </w:num>
  <w:num w:numId="220" w16cid:durableId="1942226683">
    <w:abstractNumId w:val="237"/>
  </w:num>
  <w:num w:numId="221" w16cid:durableId="753937737">
    <w:abstractNumId w:val="25"/>
  </w:num>
  <w:num w:numId="222" w16cid:durableId="10814">
    <w:abstractNumId w:val="7"/>
  </w:num>
  <w:num w:numId="223" w16cid:durableId="865141571">
    <w:abstractNumId w:val="153"/>
  </w:num>
  <w:num w:numId="224" w16cid:durableId="782306451">
    <w:abstractNumId w:val="31"/>
  </w:num>
  <w:num w:numId="225" w16cid:durableId="285891427">
    <w:abstractNumId w:val="53"/>
  </w:num>
  <w:num w:numId="226" w16cid:durableId="1825930676">
    <w:abstractNumId w:val="95"/>
  </w:num>
  <w:num w:numId="227" w16cid:durableId="921525739">
    <w:abstractNumId w:val="111"/>
  </w:num>
  <w:num w:numId="228" w16cid:durableId="480118232">
    <w:abstractNumId w:val="172"/>
  </w:num>
  <w:num w:numId="229" w16cid:durableId="1554464611">
    <w:abstractNumId w:val="117"/>
  </w:num>
  <w:num w:numId="230" w16cid:durableId="1180848454">
    <w:abstractNumId w:val="26"/>
  </w:num>
  <w:num w:numId="231" w16cid:durableId="1524439149">
    <w:abstractNumId w:val="190"/>
  </w:num>
  <w:num w:numId="232" w16cid:durableId="1805662199">
    <w:abstractNumId w:val="196"/>
  </w:num>
  <w:num w:numId="233" w16cid:durableId="800419915">
    <w:abstractNumId w:val="129"/>
  </w:num>
  <w:num w:numId="234" w16cid:durableId="60179600">
    <w:abstractNumId w:val="121"/>
  </w:num>
  <w:num w:numId="235" w16cid:durableId="1190409422">
    <w:abstractNumId w:val="2"/>
  </w:num>
  <w:num w:numId="236" w16cid:durableId="73668059">
    <w:abstractNumId w:val="376"/>
  </w:num>
  <w:num w:numId="237" w16cid:durableId="1121803659">
    <w:abstractNumId w:val="186"/>
  </w:num>
  <w:num w:numId="238" w16cid:durableId="605769122">
    <w:abstractNumId w:val="265"/>
  </w:num>
  <w:num w:numId="239" w16cid:durableId="1903903323">
    <w:abstractNumId w:val="18"/>
  </w:num>
  <w:num w:numId="240" w16cid:durableId="84882928">
    <w:abstractNumId w:val="282"/>
  </w:num>
  <w:num w:numId="241" w16cid:durableId="469177488">
    <w:abstractNumId w:val="154"/>
  </w:num>
  <w:num w:numId="242" w16cid:durableId="1022170021">
    <w:abstractNumId w:val="379"/>
  </w:num>
  <w:num w:numId="243" w16cid:durableId="963930163">
    <w:abstractNumId w:val="220"/>
  </w:num>
  <w:num w:numId="244" w16cid:durableId="799883243">
    <w:abstractNumId w:val="156"/>
  </w:num>
  <w:num w:numId="245" w16cid:durableId="1407730983">
    <w:abstractNumId w:val="272"/>
  </w:num>
  <w:num w:numId="246" w16cid:durableId="1791821763">
    <w:abstractNumId w:val="102"/>
  </w:num>
  <w:num w:numId="247" w16cid:durableId="903679686">
    <w:abstractNumId w:val="339"/>
  </w:num>
  <w:num w:numId="248" w16cid:durableId="2559937">
    <w:abstractNumId w:val="12"/>
  </w:num>
  <w:num w:numId="249" w16cid:durableId="517620812">
    <w:abstractNumId w:val="366"/>
  </w:num>
  <w:num w:numId="250" w16cid:durableId="1546016862">
    <w:abstractNumId w:val="266"/>
  </w:num>
  <w:num w:numId="251" w16cid:durableId="1379159897">
    <w:abstractNumId w:val="296"/>
  </w:num>
  <w:num w:numId="252" w16cid:durableId="1469543370">
    <w:abstractNumId w:val="202"/>
  </w:num>
  <w:num w:numId="253" w16cid:durableId="1912495089">
    <w:abstractNumId w:val="302"/>
  </w:num>
  <w:num w:numId="254" w16cid:durableId="1780180082">
    <w:abstractNumId w:val="353"/>
  </w:num>
  <w:num w:numId="255" w16cid:durableId="2041129784">
    <w:abstractNumId w:val="169"/>
  </w:num>
  <w:num w:numId="256" w16cid:durableId="1949463150">
    <w:abstractNumId w:val="243"/>
  </w:num>
  <w:num w:numId="257" w16cid:durableId="2031225146">
    <w:abstractNumId w:val="148"/>
  </w:num>
  <w:num w:numId="258" w16cid:durableId="1484395655">
    <w:abstractNumId w:val="346"/>
  </w:num>
  <w:num w:numId="259" w16cid:durableId="394471294">
    <w:abstractNumId w:val="135"/>
  </w:num>
  <w:num w:numId="260" w16cid:durableId="1051270414">
    <w:abstractNumId w:val="177"/>
  </w:num>
  <w:num w:numId="261" w16cid:durableId="77867802">
    <w:abstractNumId w:val="235"/>
  </w:num>
  <w:num w:numId="262" w16cid:durableId="786509867">
    <w:abstractNumId w:val="158"/>
  </w:num>
  <w:num w:numId="263" w16cid:durableId="587008230">
    <w:abstractNumId w:val="124"/>
  </w:num>
  <w:num w:numId="264" w16cid:durableId="1197036610">
    <w:abstractNumId w:val="77"/>
  </w:num>
  <w:num w:numId="265" w16cid:durableId="270600033">
    <w:abstractNumId w:val="171"/>
  </w:num>
  <w:num w:numId="266" w16cid:durableId="80876161">
    <w:abstractNumId w:val="65"/>
  </w:num>
  <w:num w:numId="267" w16cid:durableId="884100601">
    <w:abstractNumId w:val="13"/>
  </w:num>
  <w:num w:numId="268" w16cid:durableId="363167099">
    <w:abstractNumId w:val="0"/>
  </w:num>
  <w:num w:numId="269" w16cid:durableId="259920135">
    <w:abstractNumId w:val="159"/>
  </w:num>
  <w:num w:numId="270" w16cid:durableId="103810265">
    <w:abstractNumId w:val="303"/>
  </w:num>
  <w:num w:numId="271" w16cid:durableId="1462846212">
    <w:abstractNumId w:val="163"/>
  </w:num>
  <w:num w:numId="272" w16cid:durableId="1804884375">
    <w:abstractNumId w:val="93"/>
  </w:num>
  <w:num w:numId="273" w16cid:durableId="983243935">
    <w:abstractNumId w:val="178"/>
  </w:num>
  <w:num w:numId="274" w16cid:durableId="1255213964">
    <w:abstractNumId w:val="157"/>
  </w:num>
  <w:num w:numId="275" w16cid:durableId="1184779762">
    <w:abstractNumId w:val="103"/>
  </w:num>
  <w:num w:numId="276" w16cid:durableId="263342125">
    <w:abstractNumId w:val="383"/>
  </w:num>
  <w:num w:numId="277" w16cid:durableId="1744571593">
    <w:abstractNumId w:val="162"/>
  </w:num>
  <w:num w:numId="278" w16cid:durableId="2142577135">
    <w:abstractNumId w:val="123"/>
  </w:num>
  <w:num w:numId="279" w16cid:durableId="2131236935">
    <w:abstractNumId w:val="388"/>
  </w:num>
  <w:num w:numId="280" w16cid:durableId="592009208">
    <w:abstractNumId w:val="75"/>
  </w:num>
  <w:num w:numId="281" w16cid:durableId="63262560">
    <w:abstractNumId w:val="3"/>
  </w:num>
  <w:num w:numId="282" w16cid:durableId="287244497">
    <w:abstractNumId w:val="239"/>
  </w:num>
  <w:num w:numId="283" w16cid:durableId="1173882600">
    <w:abstractNumId w:val="358"/>
  </w:num>
  <w:num w:numId="284" w16cid:durableId="1624651396">
    <w:abstractNumId w:val="79"/>
  </w:num>
  <w:num w:numId="285" w16cid:durableId="414010100">
    <w:abstractNumId w:val="83"/>
  </w:num>
  <w:num w:numId="286" w16cid:durableId="2109808421">
    <w:abstractNumId w:val="322"/>
  </w:num>
  <w:num w:numId="287" w16cid:durableId="1962883718">
    <w:abstractNumId w:val="58"/>
  </w:num>
  <w:num w:numId="288" w16cid:durableId="1460997684">
    <w:abstractNumId w:val="332"/>
  </w:num>
  <w:num w:numId="289" w16cid:durableId="582108037">
    <w:abstractNumId w:val="48"/>
  </w:num>
  <w:num w:numId="290" w16cid:durableId="1440179337">
    <w:abstractNumId w:val="41"/>
  </w:num>
  <w:num w:numId="291" w16cid:durableId="2020233858">
    <w:abstractNumId w:val="112"/>
  </w:num>
  <w:num w:numId="292" w16cid:durableId="1929072791">
    <w:abstractNumId w:val="36"/>
  </w:num>
  <w:num w:numId="293" w16cid:durableId="192771144">
    <w:abstractNumId w:val="393"/>
  </w:num>
  <w:num w:numId="294" w16cid:durableId="2099209214">
    <w:abstractNumId w:val="151"/>
  </w:num>
  <w:num w:numId="295" w16cid:durableId="639532926">
    <w:abstractNumId w:val="298"/>
  </w:num>
  <w:num w:numId="296" w16cid:durableId="1104572761">
    <w:abstractNumId w:val="249"/>
  </w:num>
  <w:num w:numId="297" w16cid:durableId="550306022">
    <w:abstractNumId w:val="334"/>
  </w:num>
  <w:num w:numId="298" w16cid:durableId="1846246068">
    <w:abstractNumId w:val="161"/>
  </w:num>
  <w:num w:numId="299" w16cid:durableId="1331642538">
    <w:abstractNumId w:val="101"/>
  </w:num>
  <w:num w:numId="300" w16cid:durableId="1939488002">
    <w:abstractNumId w:val="354"/>
  </w:num>
  <w:num w:numId="301" w16cid:durableId="1923954429">
    <w:abstractNumId w:val="173"/>
  </w:num>
  <w:num w:numId="302" w16cid:durableId="237642408">
    <w:abstractNumId w:val="268"/>
  </w:num>
  <w:num w:numId="303" w16cid:durableId="1630628029">
    <w:abstractNumId w:val="145"/>
  </w:num>
  <w:num w:numId="304" w16cid:durableId="56982485">
    <w:abstractNumId w:val="280"/>
  </w:num>
  <w:num w:numId="305" w16cid:durableId="505097177">
    <w:abstractNumId w:val="309"/>
  </w:num>
  <w:num w:numId="306" w16cid:durableId="122895721">
    <w:abstractNumId w:val="295"/>
  </w:num>
  <w:num w:numId="307" w16cid:durableId="933712577">
    <w:abstractNumId w:val="107"/>
  </w:num>
  <w:num w:numId="308" w16cid:durableId="1590386588">
    <w:abstractNumId w:val="387"/>
  </w:num>
  <w:num w:numId="309" w16cid:durableId="1152791764">
    <w:abstractNumId w:val="67"/>
  </w:num>
  <w:num w:numId="310" w16cid:durableId="407848698">
    <w:abstractNumId w:val="347"/>
  </w:num>
  <w:num w:numId="311" w16cid:durableId="195848987">
    <w:abstractNumId w:val="82"/>
  </w:num>
  <w:num w:numId="312" w16cid:durableId="1504661389">
    <w:abstractNumId w:val="176"/>
  </w:num>
  <w:num w:numId="313" w16cid:durableId="623929495">
    <w:abstractNumId w:val="127"/>
  </w:num>
  <w:num w:numId="314" w16cid:durableId="1785346089">
    <w:abstractNumId w:val="165"/>
  </w:num>
  <w:num w:numId="315" w16cid:durableId="5132747">
    <w:abstractNumId w:val="193"/>
  </w:num>
  <w:num w:numId="316" w16cid:durableId="80565915">
    <w:abstractNumId w:val="91"/>
  </w:num>
  <w:num w:numId="317" w16cid:durableId="1093163279">
    <w:abstractNumId w:val="152"/>
  </w:num>
  <w:num w:numId="318" w16cid:durableId="80564154">
    <w:abstractNumId w:val="277"/>
  </w:num>
  <w:num w:numId="319" w16cid:durableId="1664122326">
    <w:abstractNumId w:val="299"/>
  </w:num>
  <w:num w:numId="320" w16cid:durableId="88740854">
    <w:abstractNumId w:val="183"/>
  </w:num>
  <w:num w:numId="321" w16cid:durableId="473522815">
    <w:abstractNumId w:val="364"/>
  </w:num>
  <w:num w:numId="322" w16cid:durableId="1330671072">
    <w:abstractNumId w:val="391"/>
  </w:num>
  <w:num w:numId="323" w16cid:durableId="345402009">
    <w:abstractNumId w:val="357"/>
  </w:num>
  <w:num w:numId="324" w16cid:durableId="2122331548">
    <w:abstractNumId w:val="215"/>
  </w:num>
  <w:num w:numId="325" w16cid:durableId="747964628">
    <w:abstractNumId w:val="224"/>
  </w:num>
  <w:num w:numId="326" w16cid:durableId="916524179">
    <w:abstractNumId w:val="234"/>
  </w:num>
  <w:num w:numId="327" w16cid:durableId="1512914516">
    <w:abstractNumId w:val="56"/>
  </w:num>
  <w:num w:numId="328" w16cid:durableId="321127332">
    <w:abstractNumId w:val="281"/>
  </w:num>
  <w:num w:numId="329" w16cid:durableId="1902711479">
    <w:abstractNumId w:val="301"/>
  </w:num>
  <w:num w:numId="330" w16cid:durableId="760833926">
    <w:abstractNumId w:val="105"/>
  </w:num>
  <w:num w:numId="331" w16cid:durableId="217984238">
    <w:abstractNumId w:val="181"/>
  </w:num>
  <w:num w:numId="332" w16cid:durableId="745494260">
    <w:abstractNumId w:val="286"/>
  </w:num>
  <w:num w:numId="333" w16cid:durableId="1091855618">
    <w:abstractNumId w:val="69"/>
  </w:num>
  <w:num w:numId="334" w16cid:durableId="376440324">
    <w:abstractNumId w:val="229"/>
  </w:num>
  <w:num w:numId="335" w16cid:durableId="69474615">
    <w:abstractNumId w:val="317"/>
  </w:num>
  <w:num w:numId="336" w16cid:durableId="13698489">
    <w:abstractNumId w:val="34"/>
  </w:num>
  <w:num w:numId="337" w16cid:durableId="1957519368">
    <w:abstractNumId w:val="201"/>
  </w:num>
  <w:num w:numId="338" w16cid:durableId="2116559448">
    <w:abstractNumId w:val="276"/>
  </w:num>
  <w:num w:numId="339" w16cid:durableId="1129200315">
    <w:abstractNumId w:val="208"/>
  </w:num>
  <w:num w:numId="340" w16cid:durableId="892542435">
    <w:abstractNumId w:val="81"/>
  </w:num>
  <w:num w:numId="341" w16cid:durableId="636685792">
    <w:abstractNumId w:val="203"/>
  </w:num>
  <w:num w:numId="342" w16cid:durableId="1236360337">
    <w:abstractNumId w:val="352"/>
  </w:num>
  <w:num w:numId="343" w16cid:durableId="188766878">
    <w:abstractNumId w:val="312"/>
  </w:num>
  <w:num w:numId="344" w16cid:durableId="1888443915">
    <w:abstractNumId w:val="285"/>
  </w:num>
  <w:num w:numId="345" w16cid:durableId="1617448511">
    <w:abstractNumId w:val="285"/>
    <w:lvlOverride w:ilvl="1">
      <w:lvl w:ilvl="1">
        <w:numFmt w:val="decimal"/>
        <w:lvlText w:val="%2."/>
        <w:lvlJc w:val="left"/>
      </w:lvl>
    </w:lvlOverride>
  </w:num>
  <w:num w:numId="346" w16cid:durableId="2001762059">
    <w:abstractNumId w:val="132"/>
  </w:num>
  <w:num w:numId="347" w16cid:durableId="2078629237">
    <w:abstractNumId w:val="136"/>
  </w:num>
  <w:num w:numId="348" w16cid:durableId="1445612885">
    <w:abstractNumId w:val="136"/>
    <w:lvlOverride w:ilvl="1">
      <w:lvl w:ilvl="1">
        <w:numFmt w:val="decimal"/>
        <w:lvlText w:val="%2."/>
        <w:lvlJc w:val="left"/>
      </w:lvl>
    </w:lvlOverride>
  </w:num>
  <w:num w:numId="349" w16cid:durableId="1418744001">
    <w:abstractNumId w:val="267"/>
  </w:num>
  <w:num w:numId="350" w16cid:durableId="1071655034">
    <w:abstractNumId w:val="236"/>
  </w:num>
  <w:num w:numId="351" w16cid:durableId="366805967">
    <w:abstractNumId w:val="38"/>
  </w:num>
  <w:num w:numId="352" w16cid:durableId="446244025">
    <w:abstractNumId w:val="289"/>
  </w:num>
  <w:num w:numId="353" w16cid:durableId="145753567">
    <w:abstractNumId w:val="85"/>
  </w:num>
  <w:num w:numId="354" w16cid:durableId="983509125">
    <w:abstractNumId w:val="318"/>
  </w:num>
  <w:num w:numId="355" w16cid:durableId="1594704206">
    <w:abstractNumId w:val="166"/>
  </w:num>
  <w:num w:numId="356" w16cid:durableId="1760322806">
    <w:abstractNumId w:val="385"/>
  </w:num>
  <w:num w:numId="357" w16cid:durableId="920215468">
    <w:abstractNumId w:val="355"/>
  </w:num>
  <w:num w:numId="358" w16cid:durableId="294260701">
    <w:abstractNumId w:val="73"/>
  </w:num>
  <w:num w:numId="359" w16cid:durableId="342050913">
    <w:abstractNumId w:val="175"/>
  </w:num>
  <w:num w:numId="360" w16cid:durableId="1898929970">
    <w:abstractNumId w:val="378"/>
  </w:num>
  <w:num w:numId="361" w16cid:durableId="698160232">
    <w:abstractNumId w:val="174"/>
  </w:num>
  <w:num w:numId="362" w16cid:durableId="1757828089">
    <w:abstractNumId w:val="17"/>
  </w:num>
  <w:num w:numId="363" w16cid:durableId="1089471864">
    <w:abstractNumId w:val="230"/>
  </w:num>
  <w:num w:numId="364" w16cid:durableId="1936589017">
    <w:abstractNumId w:val="361"/>
  </w:num>
  <w:num w:numId="365" w16cid:durableId="1577663360">
    <w:abstractNumId w:val="160"/>
  </w:num>
  <w:num w:numId="366" w16cid:durableId="421682575">
    <w:abstractNumId w:val="323"/>
  </w:num>
  <w:num w:numId="367" w16cid:durableId="1470438005">
    <w:abstractNumId w:val="338"/>
  </w:num>
  <w:num w:numId="368" w16cid:durableId="1282568519">
    <w:abstractNumId w:val="114"/>
  </w:num>
  <w:num w:numId="369" w16cid:durableId="736129848">
    <w:abstractNumId w:val="23"/>
  </w:num>
  <w:num w:numId="370" w16cid:durableId="1498686484">
    <w:abstractNumId w:val="35"/>
  </w:num>
  <w:num w:numId="371" w16cid:durableId="1035427155">
    <w:abstractNumId w:val="274"/>
  </w:num>
  <w:num w:numId="372" w16cid:durableId="2093772098">
    <w:abstractNumId w:val="40"/>
  </w:num>
  <w:num w:numId="373" w16cid:durableId="1916628551">
    <w:abstractNumId w:val="170"/>
  </w:num>
  <w:num w:numId="374" w16cid:durableId="1088650706">
    <w:abstractNumId w:val="270"/>
  </w:num>
  <w:num w:numId="375" w16cid:durableId="1924485321">
    <w:abstractNumId w:val="191"/>
  </w:num>
  <w:num w:numId="376" w16cid:durableId="2009559267">
    <w:abstractNumId w:val="1"/>
  </w:num>
  <w:num w:numId="377" w16cid:durableId="1303657324">
    <w:abstractNumId w:val="39"/>
  </w:num>
  <w:num w:numId="378" w16cid:durableId="1268611673">
    <w:abstractNumId w:val="337"/>
  </w:num>
  <w:num w:numId="379" w16cid:durableId="63794396">
    <w:abstractNumId w:val="15"/>
  </w:num>
  <w:num w:numId="380" w16cid:durableId="1394160591">
    <w:abstractNumId w:val="8"/>
  </w:num>
  <w:num w:numId="381" w16cid:durableId="1166746112">
    <w:abstractNumId w:val="185"/>
  </w:num>
  <w:num w:numId="382" w16cid:durableId="243540358">
    <w:abstractNumId w:val="4"/>
  </w:num>
  <w:num w:numId="383" w16cid:durableId="1166437933">
    <w:abstractNumId w:val="210"/>
  </w:num>
  <w:num w:numId="384" w16cid:durableId="923612198">
    <w:abstractNumId w:val="384"/>
  </w:num>
  <w:num w:numId="385" w16cid:durableId="645548521">
    <w:abstractNumId w:val="211"/>
  </w:num>
  <w:num w:numId="386" w16cid:durableId="808548743">
    <w:abstractNumId w:val="113"/>
  </w:num>
  <w:num w:numId="387" w16cid:durableId="153420461">
    <w:abstractNumId w:val="363"/>
  </w:num>
  <w:num w:numId="388" w16cid:durableId="1338271184">
    <w:abstractNumId w:val="325"/>
  </w:num>
  <w:num w:numId="389" w16cid:durableId="1897547275">
    <w:abstractNumId w:val="70"/>
  </w:num>
  <w:num w:numId="390" w16cid:durableId="1909880480">
    <w:abstractNumId w:val="260"/>
  </w:num>
  <w:num w:numId="391" w16cid:durableId="1362124732">
    <w:abstractNumId w:val="106"/>
  </w:num>
  <w:num w:numId="392" w16cid:durableId="2109692290">
    <w:abstractNumId w:val="356"/>
  </w:num>
  <w:num w:numId="393" w16cid:durableId="1467972946">
    <w:abstractNumId w:val="279"/>
  </w:num>
  <w:num w:numId="394" w16cid:durableId="1290042619">
    <w:abstractNumId w:val="24"/>
  </w:num>
  <w:num w:numId="395" w16cid:durableId="503085252">
    <w:abstractNumId w:val="350"/>
  </w:num>
  <w:num w:numId="396" w16cid:durableId="352654388">
    <w:abstractNumId w:val="192"/>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1tjQ3MTUyMTQ1szBV0lEKTi0uzszPAykwqgUAZxSjEywAAAA="/>
  </w:docVars>
  <w:rsids>
    <w:rsidRoot w:val="008C4225"/>
    <w:rsid w:val="0001105E"/>
    <w:rsid w:val="00074083"/>
    <w:rsid w:val="00091947"/>
    <w:rsid w:val="000A4B82"/>
    <w:rsid w:val="00111DFA"/>
    <w:rsid w:val="001129EE"/>
    <w:rsid w:val="001260B0"/>
    <w:rsid w:val="00154A47"/>
    <w:rsid w:val="00172F30"/>
    <w:rsid w:val="00212D77"/>
    <w:rsid w:val="00227930"/>
    <w:rsid w:val="002433E6"/>
    <w:rsid w:val="0024592A"/>
    <w:rsid w:val="00267C70"/>
    <w:rsid w:val="002F3C43"/>
    <w:rsid w:val="003017F8"/>
    <w:rsid w:val="0036078E"/>
    <w:rsid w:val="0038365D"/>
    <w:rsid w:val="004508D0"/>
    <w:rsid w:val="004B3872"/>
    <w:rsid w:val="004C238D"/>
    <w:rsid w:val="00534759"/>
    <w:rsid w:val="00555146"/>
    <w:rsid w:val="005A38C1"/>
    <w:rsid w:val="005C101A"/>
    <w:rsid w:val="007216DF"/>
    <w:rsid w:val="00724ACD"/>
    <w:rsid w:val="007547F7"/>
    <w:rsid w:val="007646AF"/>
    <w:rsid w:val="007664A5"/>
    <w:rsid w:val="007775D1"/>
    <w:rsid w:val="0078387D"/>
    <w:rsid w:val="00787262"/>
    <w:rsid w:val="007F5F5F"/>
    <w:rsid w:val="00830703"/>
    <w:rsid w:val="00835A6F"/>
    <w:rsid w:val="008403A3"/>
    <w:rsid w:val="008433E4"/>
    <w:rsid w:val="008522C9"/>
    <w:rsid w:val="008C4225"/>
    <w:rsid w:val="008E5179"/>
    <w:rsid w:val="008E615A"/>
    <w:rsid w:val="008F23DF"/>
    <w:rsid w:val="00955C60"/>
    <w:rsid w:val="00962A41"/>
    <w:rsid w:val="009D23D1"/>
    <w:rsid w:val="009D6F29"/>
    <w:rsid w:val="00A02D37"/>
    <w:rsid w:val="00A44A83"/>
    <w:rsid w:val="00A523AA"/>
    <w:rsid w:val="00B014C9"/>
    <w:rsid w:val="00B05F39"/>
    <w:rsid w:val="00B96C2E"/>
    <w:rsid w:val="00BA3F39"/>
    <w:rsid w:val="00C64C49"/>
    <w:rsid w:val="00C661F7"/>
    <w:rsid w:val="00D76ACE"/>
    <w:rsid w:val="00D85415"/>
    <w:rsid w:val="00DA0912"/>
    <w:rsid w:val="00DB3098"/>
    <w:rsid w:val="00DC6F6E"/>
    <w:rsid w:val="00DE03C3"/>
    <w:rsid w:val="00E13190"/>
    <w:rsid w:val="00E268D9"/>
    <w:rsid w:val="00E91618"/>
    <w:rsid w:val="00EF1AEB"/>
    <w:rsid w:val="00F37A53"/>
    <w:rsid w:val="00F4189D"/>
    <w:rsid w:val="00F679AE"/>
    <w:rsid w:val="00F83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0A1277"/>
  <w15:chartTrackingRefBased/>
  <w15:docId w15:val="{370C948A-3F5D-4C8D-BB9C-910726426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A6F"/>
  </w:style>
  <w:style w:type="paragraph" w:styleId="Heading1">
    <w:name w:val="heading 1"/>
    <w:basedOn w:val="Normal"/>
    <w:next w:val="Normal"/>
    <w:link w:val="Heading1Char"/>
    <w:uiPriority w:val="9"/>
    <w:qFormat/>
    <w:rsid w:val="008C42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2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2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2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2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2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2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2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2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2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2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2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2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2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2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2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2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225"/>
    <w:rPr>
      <w:rFonts w:eastAsiaTheme="majorEastAsia" w:cstheme="majorBidi"/>
      <w:color w:val="272727" w:themeColor="text1" w:themeTint="D8"/>
    </w:rPr>
  </w:style>
  <w:style w:type="paragraph" w:styleId="Title">
    <w:name w:val="Title"/>
    <w:basedOn w:val="Normal"/>
    <w:next w:val="Normal"/>
    <w:link w:val="TitleChar"/>
    <w:uiPriority w:val="10"/>
    <w:qFormat/>
    <w:rsid w:val="008C4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2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2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2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225"/>
    <w:pPr>
      <w:spacing w:before="160"/>
      <w:jc w:val="center"/>
    </w:pPr>
    <w:rPr>
      <w:i/>
      <w:iCs/>
      <w:color w:val="404040" w:themeColor="text1" w:themeTint="BF"/>
    </w:rPr>
  </w:style>
  <w:style w:type="character" w:customStyle="1" w:styleId="QuoteChar">
    <w:name w:val="Quote Char"/>
    <w:basedOn w:val="DefaultParagraphFont"/>
    <w:link w:val="Quote"/>
    <w:uiPriority w:val="29"/>
    <w:rsid w:val="008C4225"/>
    <w:rPr>
      <w:i/>
      <w:iCs/>
      <w:color w:val="404040" w:themeColor="text1" w:themeTint="BF"/>
    </w:rPr>
  </w:style>
  <w:style w:type="paragraph" w:styleId="ListParagraph">
    <w:name w:val="List Paragraph"/>
    <w:basedOn w:val="Normal"/>
    <w:uiPriority w:val="34"/>
    <w:qFormat/>
    <w:rsid w:val="008C4225"/>
    <w:pPr>
      <w:ind w:left="720"/>
      <w:contextualSpacing/>
    </w:pPr>
  </w:style>
  <w:style w:type="character" w:styleId="IntenseEmphasis">
    <w:name w:val="Intense Emphasis"/>
    <w:basedOn w:val="DefaultParagraphFont"/>
    <w:uiPriority w:val="21"/>
    <w:qFormat/>
    <w:rsid w:val="008C4225"/>
    <w:rPr>
      <w:i/>
      <w:iCs/>
      <w:color w:val="0F4761" w:themeColor="accent1" w:themeShade="BF"/>
    </w:rPr>
  </w:style>
  <w:style w:type="paragraph" w:styleId="IntenseQuote">
    <w:name w:val="Intense Quote"/>
    <w:basedOn w:val="Normal"/>
    <w:next w:val="Normal"/>
    <w:link w:val="IntenseQuoteChar"/>
    <w:uiPriority w:val="30"/>
    <w:qFormat/>
    <w:rsid w:val="008C42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225"/>
    <w:rPr>
      <w:i/>
      <w:iCs/>
      <w:color w:val="0F4761" w:themeColor="accent1" w:themeShade="BF"/>
    </w:rPr>
  </w:style>
  <w:style w:type="character" w:styleId="IntenseReference">
    <w:name w:val="Intense Reference"/>
    <w:basedOn w:val="DefaultParagraphFont"/>
    <w:uiPriority w:val="32"/>
    <w:qFormat/>
    <w:rsid w:val="008C4225"/>
    <w:rPr>
      <w:b/>
      <w:bCs/>
      <w:smallCaps/>
      <w:color w:val="0F4761" w:themeColor="accent1" w:themeShade="BF"/>
      <w:spacing w:val="5"/>
    </w:rPr>
  </w:style>
  <w:style w:type="paragraph" w:styleId="Header">
    <w:name w:val="header"/>
    <w:basedOn w:val="Normal"/>
    <w:link w:val="HeaderChar"/>
    <w:uiPriority w:val="99"/>
    <w:unhideWhenUsed/>
    <w:rsid w:val="000919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947"/>
  </w:style>
  <w:style w:type="paragraph" w:styleId="Footer">
    <w:name w:val="footer"/>
    <w:basedOn w:val="Normal"/>
    <w:link w:val="FooterChar"/>
    <w:uiPriority w:val="99"/>
    <w:unhideWhenUsed/>
    <w:rsid w:val="00091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947"/>
  </w:style>
  <w:style w:type="paragraph" w:styleId="NormalWeb">
    <w:name w:val="Normal (Web)"/>
    <w:basedOn w:val="Normal"/>
    <w:uiPriority w:val="99"/>
    <w:semiHidden/>
    <w:unhideWhenUsed/>
    <w:rsid w:val="002459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459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2888">
      <w:bodyDiv w:val="1"/>
      <w:marLeft w:val="0"/>
      <w:marRight w:val="0"/>
      <w:marTop w:val="0"/>
      <w:marBottom w:val="0"/>
      <w:divBdr>
        <w:top w:val="none" w:sz="0" w:space="0" w:color="auto"/>
        <w:left w:val="none" w:sz="0" w:space="0" w:color="auto"/>
        <w:bottom w:val="none" w:sz="0" w:space="0" w:color="auto"/>
        <w:right w:val="none" w:sz="0" w:space="0" w:color="auto"/>
      </w:divBdr>
      <w:divsChild>
        <w:div w:id="1582987079">
          <w:marLeft w:val="0"/>
          <w:marRight w:val="0"/>
          <w:marTop w:val="0"/>
          <w:marBottom w:val="0"/>
          <w:divBdr>
            <w:top w:val="none" w:sz="0" w:space="0" w:color="auto"/>
            <w:left w:val="none" w:sz="0" w:space="0" w:color="auto"/>
            <w:bottom w:val="none" w:sz="0" w:space="0" w:color="auto"/>
            <w:right w:val="none" w:sz="0" w:space="0" w:color="auto"/>
          </w:divBdr>
          <w:divsChild>
            <w:div w:id="232276792">
              <w:marLeft w:val="0"/>
              <w:marRight w:val="0"/>
              <w:marTop w:val="0"/>
              <w:marBottom w:val="0"/>
              <w:divBdr>
                <w:top w:val="none" w:sz="0" w:space="0" w:color="auto"/>
                <w:left w:val="none" w:sz="0" w:space="0" w:color="auto"/>
                <w:bottom w:val="none" w:sz="0" w:space="0" w:color="auto"/>
                <w:right w:val="none" w:sz="0" w:space="0" w:color="auto"/>
              </w:divBdr>
              <w:divsChild>
                <w:div w:id="666978920">
                  <w:marLeft w:val="0"/>
                  <w:marRight w:val="0"/>
                  <w:marTop w:val="0"/>
                  <w:marBottom w:val="0"/>
                  <w:divBdr>
                    <w:top w:val="none" w:sz="0" w:space="0" w:color="auto"/>
                    <w:left w:val="none" w:sz="0" w:space="0" w:color="auto"/>
                    <w:bottom w:val="none" w:sz="0" w:space="0" w:color="auto"/>
                    <w:right w:val="none" w:sz="0" w:space="0" w:color="auto"/>
                  </w:divBdr>
                  <w:divsChild>
                    <w:div w:id="585651897">
                      <w:marLeft w:val="0"/>
                      <w:marRight w:val="0"/>
                      <w:marTop w:val="0"/>
                      <w:marBottom w:val="0"/>
                      <w:divBdr>
                        <w:top w:val="none" w:sz="0" w:space="0" w:color="auto"/>
                        <w:left w:val="none" w:sz="0" w:space="0" w:color="auto"/>
                        <w:bottom w:val="none" w:sz="0" w:space="0" w:color="auto"/>
                        <w:right w:val="none" w:sz="0" w:space="0" w:color="auto"/>
                      </w:divBdr>
                      <w:divsChild>
                        <w:div w:id="2007896496">
                          <w:marLeft w:val="0"/>
                          <w:marRight w:val="0"/>
                          <w:marTop w:val="0"/>
                          <w:marBottom w:val="0"/>
                          <w:divBdr>
                            <w:top w:val="none" w:sz="0" w:space="0" w:color="auto"/>
                            <w:left w:val="none" w:sz="0" w:space="0" w:color="auto"/>
                            <w:bottom w:val="none" w:sz="0" w:space="0" w:color="auto"/>
                            <w:right w:val="none" w:sz="0" w:space="0" w:color="auto"/>
                          </w:divBdr>
                          <w:divsChild>
                            <w:div w:id="38085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97349">
      <w:bodyDiv w:val="1"/>
      <w:marLeft w:val="0"/>
      <w:marRight w:val="0"/>
      <w:marTop w:val="0"/>
      <w:marBottom w:val="0"/>
      <w:divBdr>
        <w:top w:val="none" w:sz="0" w:space="0" w:color="auto"/>
        <w:left w:val="none" w:sz="0" w:space="0" w:color="auto"/>
        <w:bottom w:val="none" w:sz="0" w:space="0" w:color="auto"/>
        <w:right w:val="none" w:sz="0" w:space="0" w:color="auto"/>
      </w:divBdr>
    </w:div>
    <w:div w:id="49427660">
      <w:bodyDiv w:val="1"/>
      <w:marLeft w:val="0"/>
      <w:marRight w:val="0"/>
      <w:marTop w:val="0"/>
      <w:marBottom w:val="0"/>
      <w:divBdr>
        <w:top w:val="none" w:sz="0" w:space="0" w:color="auto"/>
        <w:left w:val="none" w:sz="0" w:space="0" w:color="auto"/>
        <w:bottom w:val="none" w:sz="0" w:space="0" w:color="auto"/>
        <w:right w:val="none" w:sz="0" w:space="0" w:color="auto"/>
      </w:divBdr>
    </w:div>
    <w:div w:id="79764110">
      <w:bodyDiv w:val="1"/>
      <w:marLeft w:val="0"/>
      <w:marRight w:val="0"/>
      <w:marTop w:val="0"/>
      <w:marBottom w:val="0"/>
      <w:divBdr>
        <w:top w:val="none" w:sz="0" w:space="0" w:color="auto"/>
        <w:left w:val="none" w:sz="0" w:space="0" w:color="auto"/>
        <w:bottom w:val="none" w:sz="0" w:space="0" w:color="auto"/>
        <w:right w:val="none" w:sz="0" w:space="0" w:color="auto"/>
      </w:divBdr>
      <w:divsChild>
        <w:div w:id="1164903441">
          <w:marLeft w:val="0"/>
          <w:marRight w:val="0"/>
          <w:marTop w:val="0"/>
          <w:marBottom w:val="0"/>
          <w:divBdr>
            <w:top w:val="none" w:sz="0" w:space="0" w:color="auto"/>
            <w:left w:val="none" w:sz="0" w:space="0" w:color="auto"/>
            <w:bottom w:val="none" w:sz="0" w:space="0" w:color="auto"/>
            <w:right w:val="none" w:sz="0" w:space="0" w:color="auto"/>
          </w:divBdr>
          <w:divsChild>
            <w:div w:id="681127784">
              <w:marLeft w:val="0"/>
              <w:marRight w:val="0"/>
              <w:marTop w:val="0"/>
              <w:marBottom w:val="0"/>
              <w:divBdr>
                <w:top w:val="none" w:sz="0" w:space="0" w:color="auto"/>
                <w:left w:val="none" w:sz="0" w:space="0" w:color="auto"/>
                <w:bottom w:val="none" w:sz="0" w:space="0" w:color="auto"/>
                <w:right w:val="none" w:sz="0" w:space="0" w:color="auto"/>
              </w:divBdr>
              <w:divsChild>
                <w:div w:id="1619796361">
                  <w:marLeft w:val="0"/>
                  <w:marRight w:val="0"/>
                  <w:marTop w:val="0"/>
                  <w:marBottom w:val="0"/>
                  <w:divBdr>
                    <w:top w:val="none" w:sz="0" w:space="0" w:color="auto"/>
                    <w:left w:val="none" w:sz="0" w:space="0" w:color="auto"/>
                    <w:bottom w:val="none" w:sz="0" w:space="0" w:color="auto"/>
                    <w:right w:val="none" w:sz="0" w:space="0" w:color="auto"/>
                  </w:divBdr>
                  <w:divsChild>
                    <w:div w:id="1106998189">
                      <w:marLeft w:val="0"/>
                      <w:marRight w:val="0"/>
                      <w:marTop w:val="0"/>
                      <w:marBottom w:val="0"/>
                      <w:divBdr>
                        <w:top w:val="none" w:sz="0" w:space="0" w:color="auto"/>
                        <w:left w:val="none" w:sz="0" w:space="0" w:color="auto"/>
                        <w:bottom w:val="none" w:sz="0" w:space="0" w:color="auto"/>
                        <w:right w:val="none" w:sz="0" w:space="0" w:color="auto"/>
                      </w:divBdr>
                      <w:divsChild>
                        <w:div w:id="760566695">
                          <w:marLeft w:val="0"/>
                          <w:marRight w:val="0"/>
                          <w:marTop w:val="0"/>
                          <w:marBottom w:val="0"/>
                          <w:divBdr>
                            <w:top w:val="none" w:sz="0" w:space="0" w:color="auto"/>
                            <w:left w:val="none" w:sz="0" w:space="0" w:color="auto"/>
                            <w:bottom w:val="none" w:sz="0" w:space="0" w:color="auto"/>
                            <w:right w:val="none" w:sz="0" w:space="0" w:color="auto"/>
                          </w:divBdr>
                          <w:divsChild>
                            <w:div w:id="123138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41337">
      <w:bodyDiv w:val="1"/>
      <w:marLeft w:val="0"/>
      <w:marRight w:val="0"/>
      <w:marTop w:val="0"/>
      <w:marBottom w:val="0"/>
      <w:divBdr>
        <w:top w:val="none" w:sz="0" w:space="0" w:color="auto"/>
        <w:left w:val="none" w:sz="0" w:space="0" w:color="auto"/>
        <w:bottom w:val="none" w:sz="0" w:space="0" w:color="auto"/>
        <w:right w:val="none" w:sz="0" w:space="0" w:color="auto"/>
      </w:divBdr>
      <w:divsChild>
        <w:div w:id="1238006893">
          <w:marLeft w:val="0"/>
          <w:marRight w:val="0"/>
          <w:marTop w:val="0"/>
          <w:marBottom w:val="0"/>
          <w:divBdr>
            <w:top w:val="none" w:sz="0" w:space="0" w:color="auto"/>
            <w:left w:val="none" w:sz="0" w:space="0" w:color="auto"/>
            <w:bottom w:val="none" w:sz="0" w:space="0" w:color="auto"/>
            <w:right w:val="none" w:sz="0" w:space="0" w:color="auto"/>
          </w:divBdr>
          <w:divsChild>
            <w:div w:id="1675692178">
              <w:marLeft w:val="0"/>
              <w:marRight w:val="0"/>
              <w:marTop w:val="0"/>
              <w:marBottom w:val="0"/>
              <w:divBdr>
                <w:top w:val="none" w:sz="0" w:space="0" w:color="auto"/>
                <w:left w:val="none" w:sz="0" w:space="0" w:color="auto"/>
                <w:bottom w:val="none" w:sz="0" w:space="0" w:color="auto"/>
                <w:right w:val="none" w:sz="0" w:space="0" w:color="auto"/>
              </w:divBdr>
              <w:divsChild>
                <w:div w:id="1372923936">
                  <w:marLeft w:val="0"/>
                  <w:marRight w:val="0"/>
                  <w:marTop w:val="0"/>
                  <w:marBottom w:val="0"/>
                  <w:divBdr>
                    <w:top w:val="none" w:sz="0" w:space="0" w:color="auto"/>
                    <w:left w:val="none" w:sz="0" w:space="0" w:color="auto"/>
                    <w:bottom w:val="none" w:sz="0" w:space="0" w:color="auto"/>
                    <w:right w:val="none" w:sz="0" w:space="0" w:color="auto"/>
                  </w:divBdr>
                  <w:divsChild>
                    <w:div w:id="1935278602">
                      <w:marLeft w:val="0"/>
                      <w:marRight w:val="0"/>
                      <w:marTop w:val="0"/>
                      <w:marBottom w:val="0"/>
                      <w:divBdr>
                        <w:top w:val="none" w:sz="0" w:space="0" w:color="auto"/>
                        <w:left w:val="none" w:sz="0" w:space="0" w:color="auto"/>
                        <w:bottom w:val="none" w:sz="0" w:space="0" w:color="auto"/>
                        <w:right w:val="none" w:sz="0" w:space="0" w:color="auto"/>
                      </w:divBdr>
                      <w:divsChild>
                        <w:div w:id="168181153">
                          <w:marLeft w:val="0"/>
                          <w:marRight w:val="0"/>
                          <w:marTop w:val="0"/>
                          <w:marBottom w:val="0"/>
                          <w:divBdr>
                            <w:top w:val="none" w:sz="0" w:space="0" w:color="auto"/>
                            <w:left w:val="none" w:sz="0" w:space="0" w:color="auto"/>
                            <w:bottom w:val="none" w:sz="0" w:space="0" w:color="auto"/>
                            <w:right w:val="none" w:sz="0" w:space="0" w:color="auto"/>
                          </w:divBdr>
                          <w:divsChild>
                            <w:div w:id="6655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04474">
      <w:bodyDiv w:val="1"/>
      <w:marLeft w:val="0"/>
      <w:marRight w:val="0"/>
      <w:marTop w:val="0"/>
      <w:marBottom w:val="0"/>
      <w:divBdr>
        <w:top w:val="none" w:sz="0" w:space="0" w:color="auto"/>
        <w:left w:val="none" w:sz="0" w:space="0" w:color="auto"/>
        <w:bottom w:val="none" w:sz="0" w:space="0" w:color="auto"/>
        <w:right w:val="none" w:sz="0" w:space="0" w:color="auto"/>
      </w:divBdr>
    </w:div>
    <w:div w:id="242958587">
      <w:bodyDiv w:val="1"/>
      <w:marLeft w:val="0"/>
      <w:marRight w:val="0"/>
      <w:marTop w:val="0"/>
      <w:marBottom w:val="0"/>
      <w:divBdr>
        <w:top w:val="none" w:sz="0" w:space="0" w:color="auto"/>
        <w:left w:val="none" w:sz="0" w:space="0" w:color="auto"/>
        <w:bottom w:val="none" w:sz="0" w:space="0" w:color="auto"/>
        <w:right w:val="none" w:sz="0" w:space="0" w:color="auto"/>
      </w:divBdr>
    </w:div>
    <w:div w:id="261497618">
      <w:bodyDiv w:val="1"/>
      <w:marLeft w:val="0"/>
      <w:marRight w:val="0"/>
      <w:marTop w:val="0"/>
      <w:marBottom w:val="0"/>
      <w:divBdr>
        <w:top w:val="none" w:sz="0" w:space="0" w:color="auto"/>
        <w:left w:val="none" w:sz="0" w:space="0" w:color="auto"/>
        <w:bottom w:val="none" w:sz="0" w:space="0" w:color="auto"/>
        <w:right w:val="none" w:sz="0" w:space="0" w:color="auto"/>
      </w:divBdr>
    </w:div>
    <w:div w:id="281348712">
      <w:bodyDiv w:val="1"/>
      <w:marLeft w:val="0"/>
      <w:marRight w:val="0"/>
      <w:marTop w:val="0"/>
      <w:marBottom w:val="0"/>
      <w:divBdr>
        <w:top w:val="none" w:sz="0" w:space="0" w:color="auto"/>
        <w:left w:val="none" w:sz="0" w:space="0" w:color="auto"/>
        <w:bottom w:val="none" w:sz="0" w:space="0" w:color="auto"/>
        <w:right w:val="none" w:sz="0" w:space="0" w:color="auto"/>
      </w:divBdr>
    </w:div>
    <w:div w:id="299384709">
      <w:bodyDiv w:val="1"/>
      <w:marLeft w:val="0"/>
      <w:marRight w:val="0"/>
      <w:marTop w:val="0"/>
      <w:marBottom w:val="0"/>
      <w:divBdr>
        <w:top w:val="none" w:sz="0" w:space="0" w:color="auto"/>
        <w:left w:val="none" w:sz="0" w:space="0" w:color="auto"/>
        <w:bottom w:val="none" w:sz="0" w:space="0" w:color="auto"/>
        <w:right w:val="none" w:sz="0" w:space="0" w:color="auto"/>
      </w:divBdr>
    </w:div>
    <w:div w:id="323048786">
      <w:bodyDiv w:val="1"/>
      <w:marLeft w:val="0"/>
      <w:marRight w:val="0"/>
      <w:marTop w:val="0"/>
      <w:marBottom w:val="0"/>
      <w:divBdr>
        <w:top w:val="none" w:sz="0" w:space="0" w:color="auto"/>
        <w:left w:val="none" w:sz="0" w:space="0" w:color="auto"/>
        <w:bottom w:val="none" w:sz="0" w:space="0" w:color="auto"/>
        <w:right w:val="none" w:sz="0" w:space="0" w:color="auto"/>
      </w:divBdr>
    </w:div>
    <w:div w:id="334382106">
      <w:bodyDiv w:val="1"/>
      <w:marLeft w:val="0"/>
      <w:marRight w:val="0"/>
      <w:marTop w:val="0"/>
      <w:marBottom w:val="0"/>
      <w:divBdr>
        <w:top w:val="none" w:sz="0" w:space="0" w:color="auto"/>
        <w:left w:val="none" w:sz="0" w:space="0" w:color="auto"/>
        <w:bottom w:val="none" w:sz="0" w:space="0" w:color="auto"/>
        <w:right w:val="none" w:sz="0" w:space="0" w:color="auto"/>
      </w:divBdr>
    </w:div>
    <w:div w:id="336614676">
      <w:bodyDiv w:val="1"/>
      <w:marLeft w:val="0"/>
      <w:marRight w:val="0"/>
      <w:marTop w:val="0"/>
      <w:marBottom w:val="0"/>
      <w:divBdr>
        <w:top w:val="none" w:sz="0" w:space="0" w:color="auto"/>
        <w:left w:val="none" w:sz="0" w:space="0" w:color="auto"/>
        <w:bottom w:val="none" w:sz="0" w:space="0" w:color="auto"/>
        <w:right w:val="none" w:sz="0" w:space="0" w:color="auto"/>
      </w:divBdr>
    </w:div>
    <w:div w:id="343091556">
      <w:bodyDiv w:val="1"/>
      <w:marLeft w:val="0"/>
      <w:marRight w:val="0"/>
      <w:marTop w:val="0"/>
      <w:marBottom w:val="0"/>
      <w:divBdr>
        <w:top w:val="none" w:sz="0" w:space="0" w:color="auto"/>
        <w:left w:val="none" w:sz="0" w:space="0" w:color="auto"/>
        <w:bottom w:val="none" w:sz="0" w:space="0" w:color="auto"/>
        <w:right w:val="none" w:sz="0" w:space="0" w:color="auto"/>
      </w:divBdr>
    </w:div>
    <w:div w:id="348065987">
      <w:bodyDiv w:val="1"/>
      <w:marLeft w:val="0"/>
      <w:marRight w:val="0"/>
      <w:marTop w:val="0"/>
      <w:marBottom w:val="0"/>
      <w:divBdr>
        <w:top w:val="none" w:sz="0" w:space="0" w:color="auto"/>
        <w:left w:val="none" w:sz="0" w:space="0" w:color="auto"/>
        <w:bottom w:val="none" w:sz="0" w:space="0" w:color="auto"/>
        <w:right w:val="none" w:sz="0" w:space="0" w:color="auto"/>
      </w:divBdr>
    </w:div>
    <w:div w:id="369114775">
      <w:bodyDiv w:val="1"/>
      <w:marLeft w:val="0"/>
      <w:marRight w:val="0"/>
      <w:marTop w:val="0"/>
      <w:marBottom w:val="0"/>
      <w:divBdr>
        <w:top w:val="none" w:sz="0" w:space="0" w:color="auto"/>
        <w:left w:val="none" w:sz="0" w:space="0" w:color="auto"/>
        <w:bottom w:val="none" w:sz="0" w:space="0" w:color="auto"/>
        <w:right w:val="none" w:sz="0" w:space="0" w:color="auto"/>
      </w:divBdr>
      <w:divsChild>
        <w:div w:id="1700429246">
          <w:marLeft w:val="0"/>
          <w:marRight w:val="0"/>
          <w:marTop w:val="0"/>
          <w:marBottom w:val="0"/>
          <w:divBdr>
            <w:top w:val="none" w:sz="0" w:space="0" w:color="auto"/>
            <w:left w:val="none" w:sz="0" w:space="0" w:color="auto"/>
            <w:bottom w:val="none" w:sz="0" w:space="0" w:color="auto"/>
            <w:right w:val="none" w:sz="0" w:space="0" w:color="auto"/>
          </w:divBdr>
          <w:divsChild>
            <w:div w:id="387997338">
              <w:marLeft w:val="0"/>
              <w:marRight w:val="0"/>
              <w:marTop w:val="0"/>
              <w:marBottom w:val="0"/>
              <w:divBdr>
                <w:top w:val="none" w:sz="0" w:space="0" w:color="auto"/>
                <w:left w:val="none" w:sz="0" w:space="0" w:color="auto"/>
                <w:bottom w:val="none" w:sz="0" w:space="0" w:color="auto"/>
                <w:right w:val="none" w:sz="0" w:space="0" w:color="auto"/>
              </w:divBdr>
              <w:divsChild>
                <w:div w:id="1795782615">
                  <w:marLeft w:val="0"/>
                  <w:marRight w:val="0"/>
                  <w:marTop w:val="0"/>
                  <w:marBottom w:val="0"/>
                  <w:divBdr>
                    <w:top w:val="none" w:sz="0" w:space="0" w:color="auto"/>
                    <w:left w:val="none" w:sz="0" w:space="0" w:color="auto"/>
                    <w:bottom w:val="none" w:sz="0" w:space="0" w:color="auto"/>
                    <w:right w:val="none" w:sz="0" w:space="0" w:color="auto"/>
                  </w:divBdr>
                  <w:divsChild>
                    <w:div w:id="1584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311276">
          <w:marLeft w:val="0"/>
          <w:marRight w:val="0"/>
          <w:marTop w:val="0"/>
          <w:marBottom w:val="0"/>
          <w:divBdr>
            <w:top w:val="none" w:sz="0" w:space="0" w:color="auto"/>
            <w:left w:val="none" w:sz="0" w:space="0" w:color="auto"/>
            <w:bottom w:val="none" w:sz="0" w:space="0" w:color="auto"/>
            <w:right w:val="none" w:sz="0" w:space="0" w:color="auto"/>
          </w:divBdr>
          <w:divsChild>
            <w:div w:id="152259383">
              <w:marLeft w:val="0"/>
              <w:marRight w:val="0"/>
              <w:marTop w:val="0"/>
              <w:marBottom w:val="0"/>
              <w:divBdr>
                <w:top w:val="none" w:sz="0" w:space="0" w:color="auto"/>
                <w:left w:val="none" w:sz="0" w:space="0" w:color="auto"/>
                <w:bottom w:val="none" w:sz="0" w:space="0" w:color="auto"/>
                <w:right w:val="none" w:sz="0" w:space="0" w:color="auto"/>
              </w:divBdr>
              <w:divsChild>
                <w:div w:id="252789755">
                  <w:marLeft w:val="0"/>
                  <w:marRight w:val="0"/>
                  <w:marTop w:val="0"/>
                  <w:marBottom w:val="0"/>
                  <w:divBdr>
                    <w:top w:val="none" w:sz="0" w:space="0" w:color="auto"/>
                    <w:left w:val="none" w:sz="0" w:space="0" w:color="auto"/>
                    <w:bottom w:val="none" w:sz="0" w:space="0" w:color="auto"/>
                    <w:right w:val="none" w:sz="0" w:space="0" w:color="auto"/>
                  </w:divBdr>
                  <w:divsChild>
                    <w:div w:id="34420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544531">
      <w:bodyDiv w:val="1"/>
      <w:marLeft w:val="0"/>
      <w:marRight w:val="0"/>
      <w:marTop w:val="0"/>
      <w:marBottom w:val="0"/>
      <w:divBdr>
        <w:top w:val="none" w:sz="0" w:space="0" w:color="auto"/>
        <w:left w:val="none" w:sz="0" w:space="0" w:color="auto"/>
        <w:bottom w:val="none" w:sz="0" w:space="0" w:color="auto"/>
        <w:right w:val="none" w:sz="0" w:space="0" w:color="auto"/>
      </w:divBdr>
    </w:div>
    <w:div w:id="384331300">
      <w:bodyDiv w:val="1"/>
      <w:marLeft w:val="0"/>
      <w:marRight w:val="0"/>
      <w:marTop w:val="0"/>
      <w:marBottom w:val="0"/>
      <w:divBdr>
        <w:top w:val="none" w:sz="0" w:space="0" w:color="auto"/>
        <w:left w:val="none" w:sz="0" w:space="0" w:color="auto"/>
        <w:bottom w:val="none" w:sz="0" w:space="0" w:color="auto"/>
        <w:right w:val="none" w:sz="0" w:space="0" w:color="auto"/>
      </w:divBdr>
      <w:divsChild>
        <w:div w:id="1157962421">
          <w:marLeft w:val="0"/>
          <w:marRight w:val="0"/>
          <w:marTop w:val="0"/>
          <w:marBottom w:val="0"/>
          <w:divBdr>
            <w:top w:val="none" w:sz="0" w:space="0" w:color="auto"/>
            <w:left w:val="none" w:sz="0" w:space="0" w:color="auto"/>
            <w:bottom w:val="none" w:sz="0" w:space="0" w:color="auto"/>
            <w:right w:val="none" w:sz="0" w:space="0" w:color="auto"/>
          </w:divBdr>
          <w:divsChild>
            <w:div w:id="583882723">
              <w:marLeft w:val="0"/>
              <w:marRight w:val="0"/>
              <w:marTop w:val="0"/>
              <w:marBottom w:val="0"/>
              <w:divBdr>
                <w:top w:val="none" w:sz="0" w:space="0" w:color="auto"/>
                <w:left w:val="none" w:sz="0" w:space="0" w:color="auto"/>
                <w:bottom w:val="none" w:sz="0" w:space="0" w:color="auto"/>
                <w:right w:val="none" w:sz="0" w:space="0" w:color="auto"/>
              </w:divBdr>
              <w:divsChild>
                <w:div w:id="220989698">
                  <w:marLeft w:val="0"/>
                  <w:marRight w:val="0"/>
                  <w:marTop w:val="0"/>
                  <w:marBottom w:val="0"/>
                  <w:divBdr>
                    <w:top w:val="none" w:sz="0" w:space="0" w:color="auto"/>
                    <w:left w:val="none" w:sz="0" w:space="0" w:color="auto"/>
                    <w:bottom w:val="none" w:sz="0" w:space="0" w:color="auto"/>
                    <w:right w:val="none" w:sz="0" w:space="0" w:color="auto"/>
                  </w:divBdr>
                  <w:divsChild>
                    <w:div w:id="1724016454">
                      <w:marLeft w:val="0"/>
                      <w:marRight w:val="0"/>
                      <w:marTop w:val="0"/>
                      <w:marBottom w:val="0"/>
                      <w:divBdr>
                        <w:top w:val="none" w:sz="0" w:space="0" w:color="auto"/>
                        <w:left w:val="none" w:sz="0" w:space="0" w:color="auto"/>
                        <w:bottom w:val="none" w:sz="0" w:space="0" w:color="auto"/>
                        <w:right w:val="none" w:sz="0" w:space="0" w:color="auto"/>
                      </w:divBdr>
                      <w:divsChild>
                        <w:div w:id="1303921481">
                          <w:marLeft w:val="0"/>
                          <w:marRight w:val="0"/>
                          <w:marTop w:val="0"/>
                          <w:marBottom w:val="0"/>
                          <w:divBdr>
                            <w:top w:val="none" w:sz="0" w:space="0" w:color="auto"/>
                            <w:left w:val="none" w:sz="0" w:space="0" w:color="auto"/>
                            <w:bottom w:val="none" w:sz="0" w:space="0" w:color="auto"/>
                            <w:right w:val="none" w:sz="0" w:space="0" w:color="auto"/>
                          </w:divBdr>
                          <w:divsChild>
                            <w:div w:id="20271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932107">
      <w:bodyDiv w:val="1"/>
      <w:marLeft w:val="0"/>
      <w:marRight w:val="0"/>
      <w:marTop w:val="0"/>
      <w:marBottom w:val="0"/>
      <w:divBdr>
        <w:top w:val="none" w:sz="0" w:space="0" w:color="auto"/>
        <w:left w:val="none" w:sz="0" w:space="0" w:color="auto"/>
        <w:bottom w:val="none" w:sz="0" w:space="0" w:color="auto"/>
        <w:right w:val="none" w:sz="0" w:space="0" w:color="auto"/>
      </w:divBdr>
    </w:div>
    <w:div w:id="429131941">
      <w:bodyDiv w:val="1"/>
      <w:marLeft w:val="0"/>
      <w:marRight w:val="0"/>
      <w:marTop w:val="0"/>
      <w:marBottom w:val="0"/>
      <w:divBdr>
        <w:top w:val="none" w:sz="0" w:space="0" w:color="auto"/>
        <w:left w:val="none" w:sz="0" w:space="0" w:color="auto"/>
        <w:bottom w:val="none" w:sz="0" w:space="0" w:color="auto"/>
        <w:right w:val="none" w:sz="0" w:space="0" w:color="auto"/>
      </w:divBdr>
      <w:divsChild>
        <w:div w:id="707680557">
          <w:marLeft w:val="0"/>
          <w:marRight w:val="0"/>
          <w:marTop w:val="0"/>
          <w:marBottom w:val="0"/>
          <w:divBdr>
            <w:top w:val="none" w:sz="0" w:space="0" w:color="auto"/>
            <w:left w:val="none" w:sz="0" w:space="0" w:color="auto"/>
            <w:bottom w:val="none" w:sz="0" w:space="0" w:color="auto"/>
            <w:right w:val="none" w:sz="0" w:space="0" w:color="auto"/>
          </w:divBdr>
          <w:divsChild>
            <w:div w:id="399599794">
              <w:marLeft w:val="0"/>
              <w:marRight w:val="0"/>
              <w:marTop w:val="0"/>
              <w:marBottom w:val="0"/>
              <w:divBdr>
                <w:top w:val="none" w:sz="0" w:space="0" w:color="auto"/>
                <w:left w:val="none" w:sz="0" w:space="0" w:color="auto"/>
                <w:bottom w:val="none" w:sz="0" w:space="0" w:color="auto"/>
                <w:right w:val="none" w:sz="0" w:space="0" w:color="auto"/>
              </w:divBdr>
              <w:divsChild>
                <w:div w:id="618486687">
                  <w:marLeft w:val="0"/>
                  <w:marRight w:val="0"/>
                  <w:marTop w:val="0"/>
                  <w:marBottom w:val="0"/>
                  <w:divBdr>
                    <w:top w:val="none" w:sz="0" w:space="0" w:color="auto"/>
                    <w:left w:val="none" w:sz="0" w:space="0" w:color="auto"/>
                    <w:bottom w:val="none" w:sz="0" w:space="0" w:color="auto"/>
                    <w:right w:val="none" w:sz="0" w:space="0" w:color="auto"/>
                  </w:divBdr>
                  <w:divsChild>
                    <w:div w:id="194580645">
                      <w:marLeft w:val="0"/>
                      <w:marRight w:val="0"/>
                      <w:marTop w:val="0"/>
                      <w:marBottom w:val="0"/>
                      <w:divBdr>
                        <w:top w:val="none" w:sz="0" w:space="0" w:color="auto"/>
                        <w:left w:val="none" w:sz="0" w:space="0" w:color="auto"/>
                        <w:bottom w:val="none" w:sz="0" w:space="0" w:color="auto"/>
                        <w:right w:val="none" w:sz="0" w:space="0" w:color="auto"/>
                      </w:divBdr>
                      <w:divsChild>
                        <w:div w:id="1834298375">
                          <w:marLeft w:val="0"/>
                          <w:marRight w:val="0"/>
                          <w:marTop w:val="0"/>
                          <w:marBottom w:val="0"/>
                          <w:divBdr>
                            <w:top w:val="none" w:sz="0" w:space="0" w:color="auto"/>
                            <w:left w:val="none" w:sz="0" w:space="0" w:color="auto"/>
                            <w:bottom w:val="none" w:sz="0" w:space="0" w:color="auto"/>
                            <w:right w:val="none" w:sz="0" w:space="0" w:color="auto"/>
                          </w:divBdr>
                          <w:divsChild>
                            <w:div w:id="1926644223">
                              <w:marLeft w:val="0"/>
                              <w:marRight w:val="0"/>
                              <w:marTop w:val="0"/>
                              <w:marBottom w:val="0"/>
                              <w:divBdr>
                                <w:top w:val="none" w:sz="0" w:space="0" w:color="auto"/>
                                <w:left w:val="none" w:sz="0" w:space="0" w:color="auto"/>
                                <w:bottom w:val="none" w:sz="0" w:space="0" w:color="auto"/>
                                <w:right w:val="none" w:sz="0" w:space="0" w:color="auto"/>
                              </w:divBdr>
                              <w:divsChild>
                                <w:div w:id="1140346615">
                                  <w:marLeft w:val="0"/>
                                  <w:marRight w:val="0"/>
                                  <w:marTop w:val="0"/>
                                  <w:marBottom w:val="0"/>
                                  <w:divBdr>
                                    <w:top w:val="none" w:sz="0" w:space="0" w:color="auto"/>
                                    <w:left w:val="none" w:sz="0" w:space="0" w:color="auto"/>
                                    <w:bottom w:val="none" w:sz="0" w:space="0" w:color="auto"/>
                                    <w:right w:val="none" w:sz="0" w:space="0" w:color="auto"/>
                                  </w:divBdr>
                                  <w:divsChild>
                                    <w:div w:id="758139240">
                                      <w:marLeft w:val="0"/>
                                      <w:marRight w:val="0"/>
                                      <w:marTop w:val="0"/>
                                      <w:marBottom w:val="0"/>
                                      <w:divBdr>
                                        <w:top w:val="none" w:sz="0" w:space="0" w:color="auto"/>
                                        <w:left w:val="none" w:sz="0" w:space="0" w:color="auto"/>
                                        <w:bottom w:val="none" w:sz="0" w:space="0" w:color="auto"/>
                                        <w:right w:val="none" w:sz="0" w:space="0" w:color="auto"/>
                                      </w:divBdr>
                                      <w:divsChild>
                                        <w:div w:id="849682532">
                                          <w:marLeft w:val="0"/>
                                          <w:marRight w:val="0"/>
                                          <w:marTop w:val="0"/>
                                          <w:marBottom w:val="0"/>
                                          <w:divBdr>
                                            <w:top w:val="none" w:sz="0" w:space="0" w:color="auto"/>
                                            <w:left w:val="none" w:sz="0" w:space="0" w:color="auto"/>
                                            <w:bottom w:val="none" w:sz="0" w:space="0" w:color="auto"/>
                                            <w:right w:val="none" w:sz="0" w:space="0" w:color="auto"/>
                                          </w:divBdr>
                                          <w:divsChild>
                                            <w:div w:id="196965444">
                                              <w:marLeft w:val="0"/>
                                              <w:marRight w:val="0"/>
                                              <w:marTop w:val="0"/>
                                              <w:marBottom w:val="0"/>
                                              <w:divBdr>
                                                <w:top w:val="none" w:sz="0" w:space="0" w:color="auto"/>
                                                <w:left w:val="none" w:sz="0" w:space="0" w:color="auto"/>
                                                <w:bottom w:val="none" w:sz="0" w:space="0" w:color="auto"/>
                                                <w:right w:val="none" w:sz="0" w:space="0" w:color="auto"/>
                                              </w:divBdr>
                                              <w:divsChild>
                                                <w:div w:id="1804886413">
                                                  <w:marLeft w:val="0"/>
                                                  <w:marRight w:val="0"/>
                                                  <w:marTop w:val="0"/>
                                                  <w:marBottom w:val="0"/>
                                                  <w:divBdr>
                                                    <w:top w:val="none" w:sz="0" w:space="0" w:color="auto"/>
                                                    <w:left w:val="none" w:sz="0" w:space="0" w:color="auto"/>
                                                    <w:bottom w:val="none" w:sz="0" w:space="0" w:color="auto"/>
                                                    <w:right w:val="none" w:sz="0" w:space="0" w:color="auto"/>
                                                  </w:divBdr>
                                                  <w:divsChild>
                                                    <w:div w:id="50664088">
                                                      <w:marLeft w:val="0"/>
                                                      <w:marRight w:val="0"/>
                                                      <w:marTop w:val="0"/>
                                                      <w:marBottom w:val="0"/>
                                                      <w:divBdr>
                                                        <w:top w:val="none" w:sz="0" w:space="0" w:color="auto"/>
                                                        <w:left w:val="none" w:sz="0" w:space="0" w:color="auto"/>
                                                        <w:bottom w:val="none" w:sz="0" w:space="0" w:color="auto"/>
                                                        <w:right w:val="none" w:sz="0" w:space="0" w:color="auto"/>
                                                      </w:divBdr>
                                                      <w:divsChild>
                                                        <w:div w:id="15658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662088">
                                              <w:marLeft w:val="0"/>
                                              <w:marRight w:val="0"/>
                                              <w:marTop w:val="0"/>
                                              <w:marBottom w:val="0"/>
                                              <w:divBdr>
                                                <w:top w:val="none" w:sz="0" w:space="0" w:color="auto"/>
                                                <w:left w:val="none" w:sz="0" w:space="0" w:color="auto"/>
                                                <w:bottom w:val="none" w:sz="0" w:space="0" w:color="auto"/>
                                                <w:right w:val="none" w:sz="0" w:space="0" w:color="auto"/>
                                              </w:divBdr>
                                              <w:divsChild>
                                                <w:div w:id="803156643">
                                                  <w:marLeft w:val="0"/>
                                                  <w:marRight w:val="0"/>
                                                  <w:marTop w:val="0"/>
                                                  <w:marBottom w:val="0"/>
                                                  <w:divBdr>
                                                    <w:top w:val="none" w:sz="0" w:space="0" w:color="auto"/>
                                                    <w:left w:val="none" w:sz="0" w:space="0" w:color="auto"/>
                                                    <w:bottom w:val="none" w:sz="0" w:space="0" w:color="auto"/>
                                                    <w:right w:val="none" w:sz="0" w:space="0" w:color="auto"/>
                                                  </w:divBdr>
                                                  <w:divsChild>
                                                    <w:div w:id="1256938951">
                                                      <w:marLeft w:val="0"/>
                                                      <w:marRight w:val="0"/>
                                                      <w:marTop w:val="0"/>
                                                      <w:marBottom w:val="0"/>
                                                      <w:divBdr>
                                                        <w:top w:val="none" w:sz="0" w:space="0" w:color="auto"/>
                                                        <w:left w:val="none" w:sz="0" w:space="0" w:color="auto"/>
                                                        <w:bottom w:val="none" w:sz="0" w:space="0" w:color="auto"/>
                                                        <w:right w:val="none" w:sz="0" w:space="0" w:color="auto"/>
                                                      </w:divBdr>
                                                      <w:divsChild>
                                                        <w:div w:id="18704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137407">
          <w:marLeft w:val="0"/>
          <w:marRight w:val="0"/>
          <w:marTop w:val="0"/>
          <w:marBottom w:val="0"/>
          <w:divBdr>
            <w:top w:val="none" w:sz="0" w:space="0" w:color="auto"/>
            <w:left w:val="none" w:sz="0" w:space="0" w:color="auto"/>
            <w:bottom w:val="none" w:sz="0" w:space="0" w:color="auto"/>
            <w:right w:val="none" w:sz="0" w:space="0" w:color="auto"/>
          </w:divBdr>
          <w:divsChild>
            <w:div w:id="469520530">
              <w:marLeft w:val="0"/>
              <w:marRight w:val="0"/>
              <w:marTop w:val="0"/>
              <w:marBottom w:val="0"/>
              <w:divBdr>
                <w:top w:val="none" w:sz="0" w:space="0" w:color="auto"/>
                <w:left w:val="none" w:sz="0" w:space="0" w:color="auto"/>
                <w:bottom w:val="none" w:sz="0" w:space="0" w:color="auto"/>
                <w:right w:val="none" w:sz="0" w:space="0" w:color="auto"/>
              </w:divBdr>
              <w:divsChild>
                <w:div w:id="1253853116">
                  <w:marLeft w:val="0"/>
                  <w:marRight w:val="0"/>
                  <w:marTop w:val="0"/>
                  <w:marBottom w:val="0"/>
                  <w:divBdr>
                    <w:top w:val="none" w:sz="0" w:space="0" w:color="auto"/>
                    <w:left w:val="none" w:sz="0" w:space="0" w:color="auto"/>
                    <w:bottom w:val="none" w:sz="0" w:space="0" w:color="auto"/>
                    <w:right w:val="none" w:sz="0" w:space="0" w:color="auto"/>
                  </w:divBdr>
                  <w:divsChild>
                    <w:div w:id="90147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570691">
      <w:bodyDiv w:val="1"/>
      <w:marLeft w:val="0"/>
      <w:marRight w:val="0"/>
      <w:marTop w:val="0"/>
      <w:marBottom w:val="0"/>
      <w:divBdr>
        <w:top w:val="none" w:sz="0" w:space="0" w:color="auto"/>
        <w:left w:val="none" w:sz="0" w:space="0" w:color="auto"/>
        <w:bottom w:val="none" w:sz="0" w:space="0" w:color="auto"/>
        <w:right w:val="none" w:sz="0" w:space="0" w:color="auto"/>
      </w:divBdr>
    </w:div>
    <w:div w:id="454713651">
      <w:bodyDiv w:val="1"/>
      <w:marLeft w:val="0"/>
      <w:marRight w:val="0"/>
      <w:marTop w:val="0"/>
      <w:marBottom w:val="0"/>
      <w:divBdr>
        <w:top w:val="none" w:sz="0" w:space="0" w:color="auto"/>
        <w:left w:val="none" w:sz="0" w:space="0" w:color="auto"/>
        <w:bottom w:val="none" w:sz="0" w:space="0" w:color="auto"/>
        <w:right w:val="none" w:sz="0" w:space="0" w:color="auto"/>
      </w:divBdr>
    </w:div>
    <w:div w:id="481701745">
      <w:bodyDiv w:val="1"/>
      <w:marLeft w:val="0"/>
      <w:marRight w:val="0"/>
      <w:marTop w:val="0"/>
      <w:marBottom w:val="0"/>
      <w:divBdr>
        <w:top w:val="none" w:sz="0" w:space="0" w:color="auto"/>
        <w:left w:val="none" w:sz="0" w:space="0" w:color="auto"/>
        <w:bottom w:val="none" w:sz="0" w:space="0" w:color="auto"/>
        <w:right w:val="none" w:sz="0" w:space="0" w:color="auto"/>
      </w:divBdr>
    </w:div>
    <w:div w:id="492333931">
      <w:bodyDiv w:val="1"/>
      <w:marLeft w:val="0"/>
      <w:marRight w:val="0"/>
      <w:marTop w:val="0"/>
      <w:marBottom w:val="0"/>
      <w:divBdr>
        <w:top w:val="none" w:sz="0" w:space="0" w:color="auto"/>
        <w:left w:val="none" w:sz="0" w:space="0" w:color="auto"/>
        <w:bottom w:val="none" w:sz="0" w:space="0" w:color="auto"/>
        <w:right w:val="none" w:sz="0" w:space="0" w:color="auto"/>
      </w:divBdr>
    </w:div>
    <w:div w:id="495535109">
      <w:bodyDiv w:val="1"/>
      <w:marLeft w:val="0"/>
      <w:marRight w:val="0"/>
      <w:marTop w:val="0"/>
      <w:marBottom w:val="0"/>
      <w:divBdr>
        <w:top w:val="none" w:sz="0" w:space="0" w:color="auto"/>
        <w:left w:val="none" w:sz="0" w:space="0" w:color="auto"/>
        <w:bottom w:val="none" w:sz="0" w:space="0" w:color="auto"/>
        <w:right w:val="none" w:sz="0" w:space="0" w:color="auto"/>
      </w:divBdr>
    </w:div>
    <w:div w:id="555433594">
      <w:bodyDiv w:val="1"/>
      <w:marLeft w:val="0"/>
      <w:marRight w:val="0"/>
      <w:marTop w:val="0"/>
      <w:marBottom w:val="0"/>
      <w:divBdr>
        <w:top w:val="none" w:sz="0" w:space="0" w:color="auto"/>
        <w:left w:val="none" w:sz="0" w:space="0" w:color="auto"/>
        <w:bottom w:val="none" w:sz="0" w:space="0" w:color="auto"/>
        <w:right w:val="none" w:sz="0" w:space="0" w:color="auto"/>
      </w:divBdr>
    </w:div>
    <w:div w:id="571812956">
      <w:bodyDiv w:val="1"/>
      <w:marLeft w:val="0"/>
      <w:marRight w:val="0"/>
      <w:marTop w:val="0"/>
      <w:marBottom w:val="0"/>
      <w:divBdr>
        <w:top w:val="none" w:sz="0" w:space="0" w:color="auto"/>
        <w:left w:val="none" w:sz="0" w:space="0" w:color="auto"/>
        <w:bottom w:val="none" w:sz="0" w:space="0" w:color="auto"/>
        <w:right w:val="none" w:sz="0" w:space="0" w:color="auto"/>
      </w:divBdr>
    </w:div>
    <w:div w:id="590433650">
      <w:bodyDiv w:val="1"/>
      <w:marLeft w:val="0"/>
      <w:marRight w:val="0"/>
      <w:marTop w:val="0"/>
      <w:marBottom w:val="0"/>
      <w:divBdr>
        <w:top w:val="none" w:sz="0" w:space="0" w:color="auto"/>
        <w:left w:val="none" w:sz="0" w:space="0" w:color="auto"/>
        <w:bottom w:val="none" w:sz="0" w:space="0" w:color="auto"/>
        <w:right w:val="none" w:sz="0" w:space="0" w:color="auto"/>
      </w:divBdr>
    </w:div>
    <w:div w:id="599990708">
      <w:bodyDiv w:val="1"/>
      <w:marLeft w:val="0"/>
      <w:marRight w:val="0"/>
      <w:marTop w:val="0"/>
      <w:marBottom w:val="0"/>
      <w:divBdr>
        <w:top w:val="none" w:sz="0" w:space="0" w:color="auto"/>
        <w:left w:val="none" w:sz="0" w:space="0" w:color="auto"/>
        <w:bottom w:val="none" w:sz="0" w:space="0" w:color="auto"/>
        <w:right w:val="none" w:sz="0" w:space="0" w:color="auto"/>
      </w:divBdr>
    </w:div>
    <w:div w:id="618030069">
      <w:bodyDiv w:val="1"/>
      <w:marLeft w:val="0"/>
      <w:marRight w:val="0"/>
      <w:marTop w:val="0"/>
      <w:marBottom w:val="0"/>
      <w:divBdr>
        <w:top w:val="none" w:sz="0" w:space="0" w:color="auto"/>
        <w:left w:val="none" w:sz="0" w:space="0" w:color="auto"/>
        <w:bottom w:val="none" w:sz="0" w:space="0" w:color="auto"/>
        <w:right w:val="none" w:sz="0" w:space="0" w:color="auto"/>
      </w:divBdr>
      <w:divsChild>
        <w:div w:id="1984894178">
          <w:marLeft w:val="0"/>
          <w:marRight w:val="0"/>
          <w:marTop w:val="0"/>
          <w:marBottom w:val="0"/>
          <w:divBdr>
            <w:top w:val="none" w:sz="0" w:space="0" w:color="auto"/>
            <w:left w:val="none" w:sz="0" w:space="0" w:color="auto"/>
            <w:bottom w:val="none" w:sz="0" w:space="0" w:color="auto"/>
            <w:right w:val="none" w:sz="0" w:space="0" w:color="auto"/>
          </w:divBdr>
          <w:divsChild>
            <w:div w:id="1706564539">
              <w:marLeft w:val="0"/>
              <w:marRight w:val="0"/>
              <w:marTop w:val="0"/>
              <w:marBottom w:val="0"/>
              <w:divBdr>
                <w:top w:val="none" w:sz="0" w:space="0" w:color="auto"/>
                <w:left w:val="none" w:sz="0" w:space="0" w:color="auto"/>
                <w:bottom w:val="none" w:sz="0" w:space="0" w:color="auto"/>
                <w:right w:val="none" w:sz="0" w:space="0" w:color="auto"/>
              </w:divBdr>
              <w:divsChild>
                <w:div w:id="2107726647">
                  <w:marLeft w:val="0"/>
                  <w:marRight w:val="0"/>
                  <w:marTop w:val="0"/>
                  <w:marBottom w:val="0"/>
                  <w:divBdr>
                    <w:top w:val="none" w:sz="0" w:space="0" w:color="auto"/>
                    <w:left w:val="none" w:sz="0" w:space="0" w:color="auto"/>
                    <w:bottom w:val="none" w:sz="0" w:space="0" w:color="auto"/>
                    <w:right w:val="none" w:sz="0" w:space="0" w:color="auto"/>
                  </w:divBdr>
                  <w:divsChild>
                    <w:div w:id="1935825302">
                      <w:marLeft w:val="0"/>
                      <w:marRight w:val="0"/>
                      <w:marTop w:val="0"/>
                      <w:marBottom w:val="0"/>
                      <w:divBdr>
                        <w:top w:val="none" w:sz="0" w:space="0" w:color="auto"/>
                        <w:left w:val="none" w:sz="0" w:space="0" w:color="auto"/>
                        <w:bottom w:val="none" w:sz="0" w:space="0" w:color="auto"/>
                        <w:right w:val="none" w:sz="0" w:space="0" w:color="auto"/>
                      </w:divBdr>
                      <w:divsChild>
                        <w:div w:id="2103913561">
                          <w:marLeft w:val="0"/>
                          <w:marRight w:val="0"/>
                          <w:marTop w:val="0"/>
                          <w:marBottom w:val="0"/>
                          <w:divBdr>
                            <w:top w:val="none" w:sz="0" w:space="0" w:color="auto"/>
                            <w:left w:val="none" w:sz="0" w:space="0" w:color="auto"/>
                            <w:bottom w:val="none" w:sz="0" w:space="0" w:color="auto"/>
                            <w:right w:val="none" w:sz="0" w:space="0" w:color="auto"/>
                          </w:divBdr>
                          <w:divsChild>
                            <w:div w:id="134023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187556">
      <w:bodyDiv w:val="1"/>
      <w:marLeft w:val="0"/>
      <w:marRight w:val="0"/>
      <w:marTop w:val="0"/>
      <w:marBottom w:val="0"/>
      <w:divBdr>
        <w:top w:val="none" w:sz="0" w:space="0" w:color="auto"/>
        <w:left w:val="none" w:sz="0" w:space="0" w:color="auto"/>
        <w:bottom w:val="none" w:sz="0" w:space="0" w:color="auto"/>
        <w:right w:val="none" w:sz="0" w:space="0" w:color="auto"/>
      </w:divBdr>
      <w:divsChild>
        <w:div w:id="1730495330">
          <w:marLeft w:val="0"/>
          <w:marRight w:val="0"/>
          <w:marTop w:val="0"/>
          <w:marBottom w:val="0"/>
          <w:divBdr>
            <w:top w:val="none" w:sz="0" w:space="0" w:color="auto"/>
            <w:left w:val="none" w:sz="0" w:space="0" w:color="auto"/>
            <w:bottom w:val="none" w:sz="0" w:space="0" w:color="auto"/>
            <w:right w:val="none" w:sz="0" w:space="0" w:color="auto"/>
          </w:divBdr>
          <w:divsChild>
            <w:div w:id="2134442927">
              <w:marLeft w:val="0"/>
              <w:marRight w:val="0"/>
              <w:marTop w:val="0"/>
              <w:marBottom w:val="0"/>
              <w:divBdr>
                <w:top w:val="none" w:sz="0" w:space="0" w:color="auto"/>
                <w:left w:val="none" w:sz="0" w:space="0" w:color="auto"/>
                <w:bottom w:val="none" w:sz="0" w:space="0" w:color="auto"/>
                <w:right w:val="none" w:sz="0" w:space="0" w:color="auto"/>
              </w:divBdr>
              <w:divsChild>
                <w:div w:id="1603030268">
                  <w:marLeft w:val="0"/>
                  <w:marRight w:val="0"/>
                  <w:marTop w:val="0"/>
                  <w:marBottom w:val="0"/>
                  <w:divBdr>
                    <w:top w:val="none" w:sz="0" w:space="0" w:color="auto"/>
                    <w:left w:val="none" w:sz="0" w:space="0" w:color="auto"/>
                    <w:bottom w:val="none" w:sz="0" w:space="0" w:color="auto"/>
                    <w:right w:val="none" w:sz="0" w:space="0" w:color="auto"/>
                  </w:divBdr>
                  <w:divsChild>
                    <w:div w:id="916592604">
                      <w:marLeft w:val="0"/>
                      <w:marRight w:val="0"/>
                      <w:marTop w:val="0"/>
                      <w:marBottom w:val="0"/>
                      <w:divBdr>
                        <w:top w:val="none" w:sz="0" w:space="0" w:color="auto"/>
                        <w:left w:val="none" w:sz="0" w:space="0" w:color="auto"/>
                        <w:bottom w:val="none" w:sz="0" w:space="0" w:color="auto"/>
                        <w:right w:val="none" w:sz="0" w:space="0" w:color="auto"/>
                      </w:divBdr>
                      <w:divsChild>
                        <w:div w:id="1374619039">
                          <w:marLeft w:val="0"/>
                          <w:marRight w:val="0"/>
                          <w:marTop w:val="0"/>
                          <w:marBottom w:val="0"/>
                          <w:divBdr>
                            <w:top w:val="none" w:sz="0" w:space="0" w:color="auto"/>
                            <w:left w:val="none" w:sz="0" w:space="0" w:color="auto"/>
                            <w:bottom w:val="none" w:sz="0" w:space="0" w:color="auto"/>
                            <w:right w:val="none" w:sz="0" w:space="0" w:color="auto"/>
                          </w:divBdr>
                          <w:divsChild>
                            <w:div w:id="160727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718224">
      <w:bodyDiv w:val="1"/>
      <w:marLeft w:val="0"/>
      <w:marRight w:val="0"/>
      <w:marTop w:val="0"/>
      <w:marBottom w:val="0"/>
      <w:divBdr>
        <w:top w:val="none" w:sz="0" w:space="0" w:color="auto"/>
        <w:left w:val="none" w:sz="0" w:space="0" w:color="auto"/>
        <w:bottom w:val="none" w:sz="0" w:space="0" w:color="auto"/>
        <w:right w:val="none" w:sz="0" w:space="0" w:color="auto"/>
      </w:divBdr>
    </w:div>
    <w:div w:id="648825580">
      <w:bodyDiv w:val="1"/>
      <w:marLeft w:val="0"/>
      <w:marRight w:val="0"/>
      <w:marTop w:val="0"/>
      <w:marBottom w:val="0"/>
      <w:divBdr>
        <w:top w:val="none" w:sz="0" w:space="0" w:color="auto"/>
        <w:left w:val="none" w:sz="0" w:space="0" w:color="auto"/>
        <w:bottom w:val="none" w:sz="0" w:space="0" w:color="auto"/>
        <w:right w:val="none" w:sz="0" w:space="0" w:color="auto"/>
      </w:divBdr>
    </w:div>
    <w:div w:id="719285274">
      <w:bodyDiv w:val="1"/>
      <w:marLeft w:val="0"/>
      <w:marRight w:val="0"/>
      <w:marTop w:val="0"/>
      <w:marBottom w:val="0"/>
      <w:divBdr>
        <w:top w:val="none" w:sz="0" w:space="0" w:color="auto"/>
        <w:left w:val="none" w:sz="0" w:space="0" w:color="auto"/>
        <w:bottom w:val="none" w:sz="0" w:space="0" w:color="auto"/>
        <w:right w:val="none" w:sz="0" w:space="0" w:color="auto"/>
      </w:divBdr>
      <w:divsChild>
        <w:div w:id="856846925">
          <w:marLeft w:val="0"/>
          <w:marRight w:val="0"/>
          <w:marTop w:val="0"/>
          <w:marBottom w:val="0"/>
          <w:divBdr>
            <w:top w:val="none" w:sz="0" w:space="0" w:color="auto"/>
            <w:left w:val="none" w:sz="0" w:space="0" w:color="auto"/>
            <w:bottom w:val="none" w:sz="0" w:space="0" w:color="auto"/>
            <w:right w:val="none" w:sz="0" w:space="0" w:color="auto"/>
          </w:divBdr>
          <w:divsChild>
            <w:div w:id="1990817268">
              <w:marLeft w:val="0"/>
              <w:marRight w:val="0"/>
              <w:marTop w:val="0"/>
              <w:marBottom w:val="0"/>
              <w:divBdr>
                <w:top w:val="none" w:sz="0" w:space="0" w:color="auto"/>
                <w:left w:val="none" w:sz="0" w:space="0" w:color="auto"/>
                <w:bottom w:val="none" w:sz="0" w:space="0" w:color="auto"/>
                <w:right w:val="none" w:sz="0" w:space="0" w:color="auto"/>
              </w:divBdr>
              <w:divsChild>
                <w:div w:id="1299451898">
                  <w:marLeft w:val="0"/>
                  <w:marRight w:val="0"/>
                  <w:marTop w:val="0"/>
                  <w:marBottom w:val="0"/>
                  <w:divBdr>
                    <w:top w:val="none" w:sz="0" w:space="0" w:color="auto"/>
                    <w:left w:val="none" w:sz="0" w:space="0" w:color="auto"/>
                    <w:bottom w:val="none" w:sz="0" w:space="0" w:color="auto"/>
                    <w:right w:val="none" w:sz="0" w:space="0" w:color="auto"/>
                  </w:divBdr>
                  <w:divsChild>
                    <w:div w:id="2130319607">
                      <w:marLeft w:val="0"/>
                      <w:marRight w:val="0"/>
                      <w:marTop w:val="0"/>
                      <w:marBottom w:val="0"/>
                      <w:divBdr>
                        <w:top w:val="none" w:sz="0" w:space="0" w:color="auto"/>
                        <w:left w:val="none" w:sz="0" w:space="0" w:color="auto"/>
                        <w:bottom w:val="none" w:sz="0" w:space="0" w:color="auto"/>
                        <w:right w:val="none" w:sz="0" w:space="0" w:color="auto"/>
                      </w:divBdr>
                      <w:divsChild>
                        <w:div w:id="631329027">
                          <w:marLeft w:val="0"/>
                          <w:marRight w:val="0"/>
                          <w:marTop w:val="0"/>
                          <w:marBottom w:val="0"/>
                          <w:divBdr>
                            <w:top w:val="none" w:sz="0" w:space="0" w:color="auto"/>
                            <w:left w:val="none" w:sz="0" w:space="0" w:color="auto"/>
                            <w:bottom w:val="none" w:sz="0" w:space="0" w:color="auto"/>
                            <w:right w:val="none" w:sz="0" w:space="0" w:color="auto"/>
                          </w:divBdr>
                          <w:divsChild>
                            <w:div w:id="164403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656527">
      <w:bodyDiv w:val="1"/>
      <w:marLeft w:val="0"/>
      <w:marRight w:val="0"/>
      <w:marTop w:val="0"/>
      <w:marBottom w:val="0"/>
      <w:divBdr>
        <w:top w:val="none" w:sz="0" w:space="0" w:color="auto"/>
        <w:left w:val="none" w:sz="0" w:space="0" w:color="auto"/>
        <w:bottom w:val="none" w:sz="0" w:space="0" w:color="auto"/>
        <w:right w:val="none" w:sz="0" w:space="0" w:color="auto"/>
      </w:divBdr>
    </w:div>
    <w:div w:id="788671459">
      <w:bodyDiv w:val="1"/>
      <w:marLeft w:val="0"/>
      <w:marRight w:val="0"/>
      <w:marTop w:val="0"/>
      <w:marBottom w:val="0"/>
      <w:divBdr>
        <w:top w:val="none" w:sz="0" w:space="0" w:color="auto"/>
        <w:left w:val="none" w:sz="0" w:space="0" w:color="auto"/>
        <w:bottom w:val="none" w:sz="0" w:space="0" w:color="auto"/>
        <w:right w:val="none" w:sz="0" w:space="0" w:color="auto"/>
      </w:divBdr>
    </w:div>
    <w:div w:id="806553074">
      <w:bodyDiv w:val="1"/>
      <w:marLeft w:val="0"/>
      <w:marRight w:val="0"/>
      <w:marTop w:val="0"/>
      <w:marBottom w:val="0"/>
      <w:divBdr>
        <w:top w:val="none" w:sz="0" w:space="0" w:color="auto"/>
        <w:left w:val="none" w:sz="0" w:space="0" w:color="auto"/>
        <w:bottom w:val="none" w:sz="0" w:space="0" w:color="auto"/>
        <w:right w:val="none" w:sz="0" w:space="0" w:color="auto"/>
      </w:divBdr>
    </w:div>
    <w:div w:id="838471882">
      <w:bodyDiv w:val="1"/>
      <w:marLeft w:val="0"/>
      <w:marRight w:val="0"/>
      <w:marTop w:val="0"/>
      <w:marBottom w:val="0"/>
      <w:divBdr>
        <w:top w:val="none" w:sz="0" w:space="0" w:color="auto"/>
        <w:left w:val="none" w:sz="0" w:space="0" w:color="auto"/>
        <w:bottom w:val="none" w:sz="0" w:space="0" w:color="auto"/>
        <w:right w:val="none" w:sz="0" w:space="0" w:color="auto"/>
      </w:divBdr>
      <w:divsChild>
        <w:div w:id="2028406979">
          <w:marLeft w:val="0"/>
          <w:marRight w:val="0"/>
          <w:marTop w:val="0"/>
          <w:marBottom w:val="0"/>
          <w:divBdr>
            <w:top w:val="none" w:sz="0" w:space="0" w:color="auto"/>
            <w:left w:val="none" w:sz="0" w:space="0" w:color="auto"/>
            <w:bottom w:val="none" w:sz="0" w:space="0" w:color="auto"/>
            <w:right w:val="none" w:sz="0" w:space="0" w:color="auto"/>
          </w:divBdr>
          <w:divsChild>
            <w:div w:id="443234895">
              <w:marLeft w:val="0"/>
              <w:marRight w:val="0"/>
              <w:marTop w:val="0"/>
              <w:marBottom w:val="0"/>
              <w:divBdr>
                <w:top w:val="none" w:sz="0" w:space="0" w:color="auto"/>
                <w:left w:val="none" w:sz="0" w:space="0" w:color="auto"/>
                <w:bottom w:val="none" w:sz="0" w:space="0" w:color="auto"/>
                <w:right w:val="none" w:sz="0" w:space="0" w:color="auto"/>
              </w:divBdr>
              <w:divsChild>
                <w:div w:id="1255895906">
                  <w:marLeft w:val="0"/>
                  <w:marRight w:val="0"/>
                  <w:marTop w:val="0"/>
                  <w:marBottom w:val="0"/>
                  <w:divBdr>
                    <w:top w:val="none" w:sz="0" w:space="0" w:color="auto"/>
                    <w:left w:val="none" w:sz="0" w:space="0" w:color="auto"/>
                    <w:bottom w:val="none" w:sz="0" w:space="0" w:color="auto"/>
                    <w:right w:val="none" w:sz="0" w:space="0" w:color="auto"/>
                  </w:divBdr>
                  <w:divsChild>
                    <w:div w:id="1573614298">
                      <w:marLeft w:val="0"/>
                      <w:marRight w:val="0"/>
                      <w:marTop w:val="0"/>
                      <w:marBottom w:val="0"/>
                      <w:divBdr>
                        <w:top w:val="none" w:sz="0" w:space="0" w:color="auto"/>
                        <w:left w:val="none" w:sz="0" w:space="0" w:color="auto"/>
                        <w:bottom w:val="none" w:sz="0" w:space="0" w:color="auto"/>
                        <w:right w:val="none" w:sz="0" w:space="0" w:color="auto"/>
                      </w:divBdr>
                      <w:divsChild>
                        <w:div w:id="489947787">
                          <w:marLeft w:val="0"/>
                          <w:marRight w:val="0"/>
                          <w:marTop w:val="0"/>
                          <w:marBottom w:val="0"/>
                          <w:divBdr>
                            <w:top w:val="none" w:sz="0" w:space="0" w:color="auto"/>
                            <w:left w:val="none" w:sz="0" w:space="0" w:color="auto"/>
                            <w:bottom w:val="none" w:sz="0" w:space="0" w:color="auto"/>
                            <w:right w:val="none" w:sz="0" w:space="0" w:color="auto"/>
                          </w:divBdr>
                          <w:divsChild>
                            <w:div w:id="1063871649">
                              <w:marLeft w:val="0"/>
                              <w:marRight w:val="0"/>
                              <w:marTop w:val="0"/>
                              <w:marBottom w:val="0"/>
                              <w:divBdr>
                                <w:top w:val="none" w:sz="0" w:space="0" w:color="auto"/>
                                <w:left w:val="none" w:sz="0" w:space="0" w:color="auto"/>
                                <w:bottom w:val="none" w:sz="0" w:space="0" w:color="auto"/>
                                <w:right w:val="none" w:sz="0" w:space="0" w:color="auto"/>
                              </w:divBdr>
                              <w:divsChild>
                                <w:div w:id="465509346">
                                  <w:marLeft w:val="0"/>
                                  <w:marRight w:val="0"/>
                                  <w:marTop w:val="0"/>
                                  <w:marBottom w:val="0"/>
                                  <w:divBdr>
                                    <w:top w:val="none" w:sz="0" w:space="0" w:color="auto"/>
                                    <w:left w:val="none" w:sz="0" w:space="0" w:color="auto"/>
                                    <w:bottom w:val="none" w:sz="0" w:space="0" w:color="auto"/>
                                    <w:right w:val="none" w:sz="0" w:space="0" w:color="auto"/>
                                  </w:divBdr>
                                  <w:divsChild>
                                    <w:div w:id="135634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21940">
                          <w:marLeft w:val="0"/>
                          <w:marRight w:val="0"/>
                          <w:marTop w:val="0"/>
                          <w:marBottom w:val="0"/>
                          <w:divBdr>
                            <w:top w:val="none" w:sz="0" w:space="0" w:color="auto"/>
                            <w:left w:val="none" w:sz="0" w:space="0" w:color="auto"/>
                            <w:bottom w:val="none" w:sz="0" w:space="0" w:color="auto"/>
                            <w:right w:val="none" w:sz="0" w:space="0" w:color="auto"/>
                          </w:divBdr>
                          <w:divsChild>
                            <w:div w:id="111825090">
                              <w:marLeft w:val="0"/>
                              <w:marRight w:val="0"/>
                              <w:marTop w:val="0"/>
                              <w:marBottom w:val="0"/>
                              <w:divBdr>
                                <w:top w:val="none" w:sz="0" w:space="0" w:color="auto"/>
                                <w:left w:val="none" w:sz="0" w:space="0" w:color="auto"/>
                                <w:bottom w:val="none" w:sz="0" w:space="0" w:color="auto"/>
                                <w:right w:val="none" w:sz="0" w:space="0" w:color="auto"/>
                              </w:divBdr>
                              <w:divsChild>
                                <w:div w:id="558175704">
                                  <w:marLeft w:val="0"/>
                                  <w:marRight w:val="0"/>
                                  <w:marTop w:val="0"/>
                                  <w:marBottom w:val="0"/>
                                  <w:divBdr>
                                    <w:top w:val="none" w:sz="0" w:space="0" w:color="auto"/>
                                    <w:left w:val="none" w:sz="0" w:space="0" w:color="auto"/>
                                    <w:bottom w:val="none" w:sz="0" w:space="0" w:color="auto"/>
                                    <w:right w:val="none" w:sz="0" w:space="0" w:color="auto"/>
                                  </w:divBdr>
                                  <w:divsChild>
                                    <w:div w:id="5839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176261">
          <w:marLeft w:val="0"/>
          <w:marRight w:val="0"/>
          <w:marTop w:val="0"/>
          <w:marBottom w:val="0"/>
          <w:divBdr>
            <w:top w:val="none" w:sz="0" w:space="0" w:color="auto"/>
            <w:left w:val="none" w:sz="0" w:space="0" w:color="auto"/>
            <w:bottom w:val="none" w:sz="0" w:space="0" w:color="auto"/>
            <w:right w:val="none" w:sz="0" w:space="0" w:color="auto"/>
          </w:divBdr>
          <w:divsChild>
            <w:div w:id="363136008">
              <w:marLeft w:val="0"/>
              <w:marRight w:val="0"/>
              <w:marTop w:val="0"/>
              <w:marBottom w:val="0"/>
              <w:divBdr>
                <w:top w:val="none" w:sz="0" w:space="0" w:color="auto"/>
                <w:left w:val="none" w:sz="0" w:space="0" w:color="auto"/>
                <w:bottom w:val="none" w:sz="0" w:space="0" w:color="auto"/>
                <w:right w:val="none" w:sz="0" w:space="0" w:color="auto"/>
              </w:divBdr>
              <w:divsChild>
                <w:div w:id="2096321586">
                  <w:marLeft w:val="0"/>
                  <w:marRight w:val="0"/>
                  <w:marTop w:val="0"/>
                  <w:marBottom w:val="0"/>
                  <w:divBdr>
                    <w:top w:val="none" w:sz="0" w:space="0" w:color="auto"/>
                    <w:left w:val="none" w:sz="0" w:space="0" w:color="auto"/>
                    <w:bottom w:val="none" w:sz="0" w:space="0" w:color="auto"/>
                    <w:right w:val="none" w:sz="0" w:space="0" w:color="auto"/>
                  </w:divBdr>
                  <w:divsChild>
                    <w:div w:id="1633318063">
                      <w:marLeft w:val="0"/>
                      <w:marRight w:val="0"/>
                      <w:marTop w:val="0"/>
                      <w:marBottom w:val="0"/>
                      <w:divBdr>
                        <w:top w:val="none" w:sz="0" w:space="0" w:color="auto"/>
                        <w:left w:val="none" w:sz="0" w:space="0" w:color="auto"/>
                        <w:bottom w:val="none" w:sz="0" w:space="0" w:color="auto"/>
                        <w:right w:val="none" w:sz="0" w:space="0" w:color="auto"/>
                      </w:divBdr>
                      <w:divsChild>
                        <w:div w:id="10495872">
                          <w:marLeft w:val="0"/>
                          <w:marRight w:val="0"/>
                          <w:marTop w:val="0"/>
                          <w:marBottom w:val="0"/>
                          <w:divBdr>
                            <w:top w:val="none" w:sz="0" w:space="0" w:color="auto"/>
                            <w:left w:val="none" w:sz="0" w:space="0" w:color="auto"/>
                            <w:bottom w:val="none" w:sz="0" w:space="0" w:color="auto"/>
                            <w:right w:val="none" w:sz="0" w:space="0" w:color="auto"/>
                          </w:divBdr>
                          <w:divsChild>
                            <w:div w:id="1295404227">
                              <w:marLeft w:val="0"/>
                              <w:marRight w:val="0"/>
                              <w:marTop w:val="0"/>
                              <w:marBottom w:val="0"/>
                              <w:divBdr>
                                <w:top w:val="none" w:sz="0" w:space="0" w:color="auto"/>
                                <w:left w:val="none" w:sz="0" w:space="0" w:color="auto"/>
                                <w:bottom w:val="none" w:sz="0" w:space="0" w:color="auto"/>
                                <w:right w:val="none" w:sz="0" w:space="0" w:color="auto"/>
                              </w:divBdr>
                              <w:divsChild>
                                <w:div w:id="299656538">
                                  <w:marLeft w:val="0"/>
                                  <w:marRight w:val="0"/>
                                  <w:marTop w:val="0"/>
                                  <w:marBottom w:val="0"/>
                                  <w:divBdr>
                                    <w:top w:val="none" w:sz="0" w:space="0" w:color="auto"/>
                                    <w:left w:val="none" w:sz="0" w:space="0" w:color="auto"/>
                                    <w:bottom w:val="none" w:sz="0" w:space="0" w:color="auto"/>
                                    <w:right w:val="none" w:sz="0" w:space="0" w:color="auto"/>
                                  </w:divBdr>
                                  <w:divsChild>
                                    <w:div w:id="877937549">
                                      <w:marLeft w:val="0"/>
                                      <w:marRight w:val="0"/>
                                      <w:marTop w:val="0"/>
                                      <w:marBottom w:val="0"/>
                                      <w:divBdr>
                                        <w:top w:val="none" w:sz="0" w:space="0" w:color="auto"/>
                                        <w:left w:val="none" w:sz="0" w:space="0" w:color="auto"/>
                                        <w:bottom w:val="none" w:sz="0" w:space="0" w:color="auto"/>
                                        <w:right w:val="none" w:sz="0" w:space="0" w:color="auto"/>
                                      </w:divBdr>
                                      <w:divsChild>
                                        <w:div w:id="88676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981264">
          <w:marLeft w:val="0"/>
          <w:marRight w:val="0"/>
          <w:marTop w:val="0"/>
          <w:marBottom w:val="0"/>
          <w:divBdr>
            <w:top w:val="none" w:sz="0" w:space="0" w:color="auto"/>
            <w:left w:val="none" w:sz="0" w:space="0" w:color="auto"/>
            <w:bottom w:val="none" w:sz="0" w:space="0" w:color="auto"/>
            <w:right w:val="none" w:sz="0" w:space="0" w:color="auto"/>
          </w:divBdr>
          <w:divsChild>
            <w:div w:id="1739161224">
              <w:marLeft w:val="0"/>
              <w:marRight w:val="0"/>
              <w:marTop w:val="0"/>
              <w:marBottom w:val="0"/>
              <w:divBdr>
                <w:top w:val="none" w:sz="0" w:space="0" w:color="auto"/>
                <w:left w:val="none" w:sz="0" w:space="0" w:color="auto"/>
                <w:bottom w:val="none" w:sz="0" w:space="0" w:color="auto"/>
                <w:right w:val="none" w:sz="0" w:space="0" w:color="auto"/>
              </w:divBdr>
              <w:divsChild>
                <w:div w:id="218637908">
                  <w:marLeft w:val="0"/>
                  <w:marRight w:val="0"/>
                  <w:marTop w:val="0"/>
                  <w:marBottom w:val="0"/>
                  <w:divBdr>
                    <w:top w:val="none" w:sz="0" w:space="0" w:color="auto"/>
                    <w:left w:val="none" w:sz="0" w:space="0" w:color="auto"/>
                    <w:bottom w:val="none" w:sz="0" w:space="0" w:color="auto"/>
                    <w:right w:val="none" w:sz="0" w:space="0" w:color="auto"/>
                  </w:divBdr>
                  <w:divsChild>
                    <w:div w:id="1886944622">
                      <w:marLeft w:val="0"/>
                      <w:marRight w:val="0"/>
                      <w:marTop w:val="0"/>
                      <w:marBottom w:val="0"/>
                      <w:divBdr>
                        <w:top w:val="none" w:sz="0" w:space="0" w:color="auto"/>
                        <w:left w:val="none" w:sz="0" w:space="0" w:color="auto"/>
                        <w:bottom w:val="none" w:sz="0" w:space="0" w:color="auto"/>
                        <w:right w:val="none" w:sz="0" w:space="0" w:color="auto"/>
                      </w:divBdr>
                      <w:divsChild>
                        <w:div w:id="1673873159">
                          <w:marLeft w:val="0"/>
                          <w:marRight w:val="0"/>
                          <w:marTop w:val="0"/>
                          <w:marBottom w:val="0"/>
                          <w:divBdr>
                            <w:top w:val="none" w:sz="0" w:space="0" w:color="auto"/>
                            <w:left w:val="none" w:sz="0" w:space="0" w:color="auto"/>
                            <w:bottom w:val="none" w:sz="0" w:space="0" w:color="auto"/>
                            <w:right w:val="none" w:sz="0" w:space="0" w:color="auto"/>
                          </w:divBdr>
                          <w:divsChild>
                            <w:div w:id="1840266440">
                              <w:marLeft w:val="0"/>
                              <w:marRight w:val="0"/>
                              <w:marTop w:val="0"/>
                              <w:marBottom w:val="0"/>
                              <w:divBdr>
                                <w:top w:val="none" w:sz="0" w:space="0" w:color="auto"/>
                                <w:left w:val="none" w:sz="0" w:space="0" w:color="auto"/>
                                <w:bottom w:val="none" w:sz="0" w:space="0" w:color="auto"/>
                                <w:right w:val="none" w:sz="0" w:space="0" w:color="auto"/>
                              </w:divBdr>
                              <w:divsChild>
                                <w:div w:id="24827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19402">
                  <w:marLeft w:val="0"/>
                  <w:marRight w:val="0"/>
                  <w:marTop w:val="0"/>
                  <w:marBottom w:val="0"/>
                  <w:divBdr>
                    <w:top w:val="none" w:sz="0" w:space="0" w:color="auto"/>
                    <w:left w:val="none" w:sz="0" w:space="0" w:color="auto"/>
                    <w:bottom w:val="none" w:sz="0" w:space="0" w:color="auto"/>
                    <w:right w:val="none" w:sz="0" w:space="0" w:color="auto"/>
                  </w:divBdr>
                  <w:divsChild>
                    <w:div w:id="842552073">
                      <w:marLeft w:val="0"/>
                      <w:marRight w:val="0"/>
                      <w:marTop w:val="0"/>
                      <w:marBottom w:val="0"/>
                      <w:divBdr>
                        <w:top w:val="none" w:sz="0" w:space="0" w:color="auto"/>
                        <w:left w:val="none" w:sz="0" w:space="0" w:color="auto"/>
                        <w:bottom w:val="none" w:sz="0" w:space="0" w:color="auto"/>
                        <w:right w:val="none" w:sz="0" w:space="0" w:color="auto"/>
                      </w:divBdr>
                      <w:divsChild>
                        <w:div w:id="1722362383">
                          <w:marLeft w:val="0"/>
                          <w:marRight w:val="0"/>
                          <w:marTop w:val="0"/>
                          <w:marBottom w:val="0"/>
                          <w:divBdr>
                            <w:top w:val="none" w:sz="0" w:space="0" w:color="auto"/>
                            <w:left w:val="none" w:sz="0" w:space="0" w:color="auto"/>
                            <w:bottom w:val="none" w:sz="0" w:space="0" w:color="auto"/>
                            <w:right w:val="none" w:sz="0" w:space="0" w:color="auto"/>
                          </w:divBdr>
                          <w:divsChild>
                            <w:div w:id="591352807">
                              <w:marLeft w:val="0"/>
                              <w:marRight w:val="0"/>
                              <w:marTop w:val="0"/>
                              <w:marBottom w:val="0"/>
                              <w:divBdr>
                                <w:top w:val="none" w:sz="0" w:space="0" w:color="auto"/>
                                <w:left w:val="none" w:sz="0" w:space="0" w:color="auto"/>
                                <w:bottom w:val="none" w:sz="0" w:space="0" w:color="auto"/>
                                <w:right w:val="none" w:sz="0" w:space="0" w:color="auto"/>
                              </w:divBdr>
                              <w:divsChild>
                                <w:div w:id="955717000">
                                  <w:marLeft w:val="0"/>
                                  <w:marRight w:val="0"/>
                                  <w:marTop w:val="0"/>
                                  <w:marBottom w:val="0"/>
                                  <w:divBdr>
                                    <w:top w:val="none" w:sz="0" w:space="0" w:color="auto"/>
                                    <w:left w:val="none" w:sz="0" w:space="0" w:color="auto"/>
                                    <w:bottom w:val="none" w:sz="0" w:space="0" w:color="auto"/>
                                    <w:right w:val="none" w:sz="0" w:space="0" w:color="auto"/>
                                  </w:divBdr>
                                  <w:divsChild>
                                    <w:div w:id="12422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70212">
                          <w:marLeft w:val="0"/>
                          <w:marRight w:val="0"/>
                          <w:marTop w:val="0"/>
                          <w:marBottom w:val="0"/>
                          <w:divBdr>
                            <w:top w:val="none" w:sz="0" w:space="0" w:color="auto"/>
                            <w:left w:val="none" w:sz="0" w:space="0" w:color="auto"/>
                            <w:bottom w:val="none" w:sz="0" w:space="0" w:color="auto"/>
                            <w:right w:val="none" w:sz="0" w:space="0" w:color="auto"/>
                          </w:divBdr>
                          <w:divsChild>
                            <w:div w:id="1689285270">
                              <w:marLeft w:val="0"/>
                              <w:marRight w:val="0"/>
                              <w:marTop w:val="0"/>
                              <w:marBottom w:val="0"/>
                              <w:divBdr>
                                <w:top w:val="none" w:sz="0" w:space="0" w:color="auto"/>
                                <w:left w:val="none" w:sz="0" w:space="0" w:color="auto"/>
                                <w:bottom w:val="none" w:sz="0" w:space="0" w:color="auto"/>
                                <w:right w:val="none" w:sz="0" w:space="0" w:color="auto"/>
                              </w:divBdr>
                              <w:divsChild>
                                <w:div w:id="1410342893">
                                  <w:marLeft w:val="0"/>
                                  <w:marRight w:val="0"/>
                                  <w:marTop w:val="0"/>
                                  <w:marBottom w:val="0"/>
                                  <w:divBdr>
                                    <w:top w:val="none" w:sz="0" w:space="0" w:color="auto"/>
                                    <w:left w:val="none" w:sz="0" w:space="0" w:color="auto"/>
                                    <w:bottom w:val="none" w:sz="0" w:space="0" w:color="auto"/>
                                    <w:right w:val="none" w:sz="0" w:space="0" w:color="auto"/>
                                  </w:divBdr>
                                  <w:divsChild>
                                    <w:div w:id="4335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659366">
      <w:bodyDiv w:val="1"/>
      <w:marLeft w:val="0"/>
      <w:marRight w:val="0"/>
      <w:marTop w:val="0"/>
      <w:marBottom w:val="0"/>
      <w:divBdr>
        <w:top w:val="none" w:sz="0" w:space="0" w:color="auto"/>
        <w:left w:val="none" w:sz="0" w:space="0" w:color="auto"/>
        <w:bottom w:val="none" w:sz="0" w:space="0" w:color="auto"/>
        <w:right w:val="none" w:sz="0" w:space="0" w:color="auto"/>
      </w:divBdr>
    </w:div>
    <w:div w:id="906494587">
      <w:bodyDiv w:val="1"/>
      <w:marLeft w:val="0"/>
      <w:marRight w:val="0"/>
      <w:marTop w:val="0"/>
      <w:marBottom w:val="0"/>
      <w:divBdr>
        <w:top w:val="none" w:sz="0" w:space="0" w:color="auto"/>
        <w:left w:val="none" w:sz="0" w:space="0" w:color="auto"/>
        <w:bottom w:val="none" w:sz="0" w:space="0" w:color="auto"/>
        <w:right w:val="none" w:sz="0" w:space="0" w:color="auto"/>
      </w:divBdr>
    </w:div>
    <w:div w:id="939293101">
      <w:bodyDiv w:val="1"/>
      <w:marLeft w:val="0"/>
      <w:marRight w:val="0"/>
      <w:marTop w:val="0"/>
      <w:marBottom w:val="0"/>
      <w:divBdr>
        <w:top w:val="none" w:sz="0" w:space="0" w:color="auto"/>
        <w:left w:val="none" w:sz="0" w:space="0" w:color="auto"/>
        <w:bottom w:val="none" w:sz="0" w:space="0" w:color="auto"/>
        <w:right w:val="none" w:sz="0" w:space="0" w:color="auto"/>
      </w:divBdr>
      <w:divsChild>
        <w:div w:id="2032411755">
          <w:marLeft w:val="0"/>
          <w:marRight w:val="0"/>
          <w:marTop w:val="0"/>
          <w:marBottom w:val="0"/>
          <w:divBdr>
            <w:top w:val="none" w:sz="0" w:space="0" w:color="auto"/>
            <w:left w:val="none" w:sz="0" w:space="0" w:color="auto"/>
            <w:bottom w:val="none" w:sz="0" w:space="0" w:color="auto"/>
            <w:right w:val="none" w:sz="0" w:space="0" w:color="auto"/>
          </w:divBdr>
          <w:divsChild>
            <w:div w:id="2099716945">
              <w:marLeft w:val="0"/>
              <w:marRight w:val="0"/>
              <w:marTop w:val="0"/>
              <w:marBottom w:val="0"/>
              <w:divBdr>
                <w:top w:val="none" w:sz="0" w:space="0" w:color="auto"/>
                <w:left w:val="none" w:sz="0" w:space="0" w:color="auto"/>
                <w:bottom w:val="none" w:sz="0" w:space="0" w:color="auto"/>
                <w:right w:val="none" w:sz="0" w:space="0" w:color="auto"/>
              </w:divBdr>
              <w:divsChild>
                <w:div w:id="1274364222">
                  <w:marLeft w:val="0"/>
                  <w:marRight w:val="0"/>
                  <w:marTop w:val="0"/>
                  <w:marBottom w:val="0"/>
                  <w:divBdr>
                    <w:top w:val="none" w:sz="0" w:space="0" w:color="auto"/>
                    <w:left w:val="none" w:sz="0" w:space="0" w:color="auto"/>
                    <w:bottom w:val="none" w:sz="0" w:space="0" w:color="auto"/>
                    <w:right w:val="none" w:sz="0" w:space="0" w:color="auto"/>
                  </w:divBdr>
                  <w:divsChild>
                    <w:div w:id="960839423">
                      <w:marLeft w:val="0"/>
                      <w:marRight w:val="0"/>
                      <w:marTop w:val="0"/>
                      <w:marBottom w:val="0"/>
                      <w:divBdr>
                        <w:top w:val="none" w:sz="0" w:space="0" w:color="auto"/>
                        <w:left w:val="none" w:sz="0" w:space="0" w:color="auto"/>
                        <w:bottom w:val="none" w:sz="0" w:space="0" w:color="auto"/>
                        <w:right w:val="none" w:sz="0" w:space="0" w:color="auto"/>
                      </w:divBdr>
                      <w:divsChild>
                        <w:div w:id="1166752493">
                          <w:marLeft w:val="0"/>
                          <w:marRight w:val="0"/>
                          <w:marTop w:val="0"/>
                          <w:marBottom w:val="0"/>
                          <w:divBdr>
                            <w:top w:val="none" w:sz="0" w:space="0" w:color="auto"/>
                            <w:left w:val="none" w:sz="0" w:space="0" w:color="auto"/>
                            <w:bottom w:val="none" w:sz="0" w:space="0" w:color="auto"/>
                            <w:right w:val="none" w:sz="0" w:space="0" w:color="auto"/>
                          </w:divBdr>
                          <w:divsChild>
                            <w:div w:id="208240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725487">
      <w:bodyDiv w:val="1"/>
      <w:marLeft w:val="0"/>
      <w:marRight w:val="0"/>
      <w:marTop w:val="0"/>
      <w:marBottom w:val="0"/>
      <w:divBdr>
        <w:top w:val="none" w:sz="0" w:space="0" w:color="auto"/>
        <w:left w:val="none" w:sz="0" w:space="0" w:color="auto"/>
        <w:bottom w:val="none" w:sz="0" w:space="0" w:color="auto"/>
        <w:right w:val="none" w:sz="0" w:space="0" w:color="auto"/>
      </w:divBdr>
    </w:div>
    <w:div w:id="942878920">
      <w:bodyDiv w:val="1"/>
      <w:marLeft w:val="0"/>
      <w:marRight w:val="0"/>
      <w:marTop w:val="0"/>
      <w:marBottom w:val="0"/>
      <w:divBdr>
        <w:top w:val="none" w:sz="0" w:space="0" w:color="auto"/>
        <w:left w:val="none" w:sz="0" w:space="0" w:color="auto"/>
        <w:bottom w:val="none" w:sz="0" w:space="0" w:color="auto"/>
        <w:right w:val="none" w:sz="0" w:space="0" w:color="auto"/>
      </w:divBdr>
    </w:div>
    <w:div w:id="975448319">
      <w:bodyDiv w:val="1"/>
      <w:marLeft w:val="0"/>
      <w:marRight w:val="0"/>
      <w:marTop w:val="0"/>
      <w:marBottom w:val="0"/>
      <w:divBdr>
        <w:top w:val="none" w:sz="0" w:space="0" w:color="auto"/>
        <w:left w:val="none" w:sz="0" w:space="0" w:color="auto"/>
        <w:bottom w:val="none" w:sz="0" w:space="0" w:color="auto"/>
        <w:right w:val="none" w:sz="0" w:space="0" w:color="auto"/>
      </w:divBdr>
      <w:divsChild>
        <w:div w:id="1469323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694698">
      <w:bodyDiv w:val="1"/>
      <w:marLeft w:val="0"/>
      <w:marRight w:val="0"/>
      <w:marTop w:val="0"/>
      <w:marBottom w:val="0"/>
      <w:divBdr>
        <w:top w:val="none" w:sz="0" w:space="0" w:color="auto"/>
        <w:left w:val="none" w:sz="0" w:space="0" w:color="auto"/>
        <w:bottom w:val="none" w:sz="0" w:space="0" w:color="auto"/>
        <w:right w:val="none" w:sz="0" w:space="0" w:color="auto"/>
      </w:divBdr>
      <w:divsChild>
        <w:div w:id="1129860539">
          <w:marLeft w:val="0"/>
          <w:marRight w:val="0"/>
          <w:marTop w:val="0"/>
          <w:marBottom w:val="0"/>
          <w:divBdr>
            <w:top w:val="none" w:sz="0" w:space="0" w:color="auto"/>
            <w:left w:val="none" w:sz="0" w:space="0" w:color="auto"/>
            <w:bottom w:val="none" w:sz="0" w:space="0" w:color="auto"/>
            <w:right w:val="none" w:sz="0" w:space="0" w:color="auto"/>
          </w:divBdr>
          <w:divsChild>
            <w:div w:id="14886122">
              <w:marLeft w:val="0"/>
              <w:marRight w:val="0"/>
              <w:marTop w:val="0"/>
              <w:marBottom w:val="0"/>
              <w:divBdr>
                <w:top w:val="none" w:sz="0" w:space="0" w:color="auto"/>
                <w:left w:val="none" w:sz="0" w:space="0" w:color="auto"/>
                <w:bottom w:val="none" w:sz="0" w:space="0" w:color="auto"/>
                <w:right w:val="none" w:sz="0" w:space="0" w:color="auto"/>
              </w:divBdr>
              <w:divsChild>
                <w:div w:id="1268006262">
                  <w:marLeft w:val="0"/>
                  <w:marRight w:val="0"/>
                  <w:marTop w:val="0"/>
                  <w:marBottom w:val="0"/>
                  <w:divBdr>
                    <w:top w:val="none" w:sz="0" w:space="0" w:color="auto"/>
                    <w:left w:val="none" w:sz="0" w:space="0" w:color="auto"/>
                    <w:bottom w:val="none" w:sz="0" w:space="0" w:color="auto"/>
                    <w:right w:val="none" w:sz="0" w:space="0" w:color="auto"/>
                  </w:divBdr>
                  <w:divsChild>
                    <w:div w:id="1651059323">
                      <w:marLeft w:val="0"/>
                      <w:marRight w:val="0"/>
                      <w:marTop w:val="0"/>
                      <w:marBottom w:val="0"/>
                      <w:divBdr>
                        <w:top w:val="none" w:sz="0" w:space="0" w:color="auto"/>
                        <w:left w:val="none" w:sz="0" w:space="0" w:color="auto"/>
                        <w:bottom w:val="none" w:sz="0" w:space="0" w:color="auto"/>
                        <w:right w:val="none" w:sz="0" w:space="0" w:color="auto"/>
                      </w:divBdr>
                      <w:divsChild>
                        <w:div w:id="713850274">
                          <w:marLeft w:val="0"/>
                          <w:marRight w:val="0"/>
                          <w:marTop w:val="0"/>
                          <w:marBottom w:val="0"/>
                          <w:divBdr>
                            <w:top w:val="none" w:sz="0" w:space="0" w:color="auto"/>
                            <w:left w:val="none" w:sz="0" w:space="0" w:color="auto"/>
                            <w:bottom w:val="none" w:sz="0" w:space="0" w:color="auto"/>
                            <w:right w:val="none" w:sz="0" w:space="0" w:color="auto"/>
                          </w:divBdr>
                          <w:divsChild>
                            <w:div w:id="1802187500">
                              <w:marLeft w:val="0"/>
                              <w:marRight w:val="0"/>
                              <w:marTop w:val="0"/>
                              <w:marBottom w:val="0"/>
                              <w:divBdr>
                                <w:top w:val="none" w:sz="0" w:space="0" w:color="auto"/>
                                <w:left w:val="none" w:sz="0" w:space="0" w:color="auto"/>
                                <w:bottom w:val="none" w:sz="0" w:space="0" w:color="auto"/>
                                <w:right w:val="none" w:sz="0" w:space="0" w:color="auto"/>
                              </w:divBdr>
                              <w:divsChild>
                                <w:div w:id="1232891147">
                                  <w:marLeft w:val="0"/>
                                  <w:marRight w:val="0"/>
                                  <w:marTop w:val="0"/>
                                  <w:marBottom w:val="0"/>
                                  <w:divBdr>
                                    <w:top w:val="none" w:sz="0" w:space="0" w:color="auto"/>
                                    <w:left w:val="none" w:sz="0" w:space="0" w:color="auto"/>
                                    <w:bottom w:val="none" w:sz="0" w:space="0" w:color="auto"/>
                                    <w:right w:val="none" w:sz="0" w:space="0" w:color="auto"/>
                                  </w:divBdr>
                                  <w:divsChild>
                                    <w:div w:id="206348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7883063">
          <w:marLeft w:val="0"/>
          <w:marRight w:val="0"/>
          <w:marTop w:val="0"/>
          <w:marBottom w:val="0"/>
          <w:divBdr>
            <w:top w:val="none" w:sz="0" w:space="0" w:color="auto"/>
            <w:left w:val="none" w:sz="0" w:space="0" w:color="auto"/>
            <w:bottom w:val="none" w:sz="0" w:space="0" w:color="auto"/>
            <w:right w:val="none" w:sz="0" w:space="0" w:color="auto"/>
          </w:divBdr>
          <w:divsChild>
            <w:div w:id="1663659402">
              <w:marLeft w:val="0"/>
              <w:marRight w:val="0"/>
              <w:marTop w:val="0"/>
              <w:marBottom w:val="0"/>
              <w:divBdr>
                <w:top w:val="none" w:sz="0" w:space="0" w:color="auto"/>
                <w:left w:val="none" w:sz="0" w:space="0" w:color="auto"/>
                <w:bottom w:val="none" w:sz="0" w:space="0" w:color="auto"/>
                <w:right w:val="none" w:sz="0" w:space="0" w:color="auto"/>
              </w:divBdr>
              <w:divsChild>
                <w:div w:id="1870296315">
                  <w:marLeft w:val="0"/>
                  <w:marRight w:val="0"/>
                  <w:marTop w:val="0"/>
                  <w:marBottom w:val="0"/>
                  <w:divBdr>
                    <w:top w:val="none" w:sz="0" w:space="0" w:color="auto"/>
                    <w:left w:val="none" w:sz="0" w:space="0" w:color="auto"/>
                    <w:bottom w:val="none" w:sz="0" w:space="0" w:color="auto"/>
                    <w:right w:val="none" w:sz="0" w:space="0" w:color="auto"/>
                  </w:divBdr>
                  <w:divsChild>
                    <w:div w:id="2081170784">
                      <w:marLeft w:val="0"/>
                      <w:marRight w:val="0"/>
                      <w:marTop w:val="0"/>
                      <w:marBottom w:val="0"/>
                      <w:divBdr>
                        <w:top w:val="none" w:sz="0" w:space="0" w:color="auto"/>
                        <w:left w:val="none" w:sz="0" w:space="0" w:color="auto"/>
                        <w:bottom w:val="none" w:sz="0" w:space="0" w:color="auto"/>
                        <w:right w:val="none" w:sz="0" w:space="0" w:color="auto"/>
                      </w:divBdr>
                      <w:divsChild>
                        <w:div w:id="150829431">
                          <w:marLeft w:val="0"/>
                          <w:marRight w:val="0"/>
                          <w:marTop w:val="0"/>
                          <w:marBottom w:val="0"/>
                          <w:divBdr>
                            <w:top w:val="none" w:sz="0" w:space="0" w:color="auto"/>
                            <w:left w:val="none" w:sz="0" w:space="0" w:color="auto"/>
                            <w:bottom w:val="none" w:sz="0" w:space="0" w:color="auto"/>
                            <w:right w:val="none" w:sz="0" w:space="0" w:color="auto"/>
                          </w:divBdr>
                          <w:divsChild>
                            <w:div w:id="2020159438">
                              <w:marLeft w:val="0"/>
                              <w:marRight w:val="0"/>
                              <w:marTop w:val="0"/>
                              <w:marBottom w:val="0"/>
                              <w:divBdr>
                                <w:top w:val="none" w:sz="0" w:space="0" w:color="auto"/>
                                <w:left w:val="none" w:sz="0" w:space="0" w:color="auto"/>
                                <w:bottom w:val="none" w:sz="0" w:space="0" w:color="auto"/>
                                <w:right w:val="none" w:sz="0" w:space="0" w:color="auto"/>
                              </w:divBdr>
                              <w:divsChild>
                                <w:div w:id="1267691831">
                                  <w:marLeft w:val="0"/>
                                  <w:marRight w:val="0"/>
                                  <w:marTop w:val="0"/>
                                  <w:marBottom w:val="0"/>
                                  <w:divBdr>
                                    <w:top w:val="none" w:sz="0" w:space="0" w:color="auto"/>
                                    <w:left w:val="none" w:sz="0" w:space="0" w:color="auto"/>
                                    <w:bottom w:val="none" w:sz="0" w:space="0" w:color="auto"/>
                                    <w:right w:val="none" w:sz="0" w:space="0" w:color="auto"/>
                                  </w:divBdr>
                                  <w:divsChild>
                                    <w:div w:id="1926838258">
                                      <w:marLeft w:val="0"/>
                                      <w:marRight w:val="0"/>
                                      <w:marTop w:val="0"/>
                                      <w:marBottom w:val="0"/>
                                      <w:divBdr>
                                        <w:top w:val="none" w:sz="0" w:space="0" w:color="auto"/>
                                        <w:left w:val="none" w:sz="0" w:space="0" w:color="auto"/>
                                        <w:bottom w:val="none" w:sz="0" w:space="0" w:color="auto"/>
                                        <w:right w:val="none" w:sz="0" w:space="0" w:color="auto"/>
                                      </w:divBdr>
                                      <w:divsChild>
                                        <w:div w:id="27775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180447">
          <w:marLeft w:val="0"/>
          <w:marRight w:val="0"/>
          <w:marTop w:val="0"/>
          <w:marBottom w:val="0"/>
          <w:divBdr>
            <w:top w:val="none" w:sz="0" w:space="0" w:color="auto"/>
            <w:left w:val="none" w:sz="0" w:space="0" w:color="auto"/>
            <w:bottom w:val="none" w:sz="0" w:space="0" w:color="auto"/>
            <w:right w:val="none" w:sz="0" w:space="0" w:color="auto"/>
          </w:divBdr>
          <w:divsChild>
            <w:div w:id="828523674">
              <w:marLeft w:val="0"/>
              <w:marRight w:val="0"/>
              <w:marTop w:val="0"/>
              <w:marBottom w:val="0"/>
              <w:divBdr>
                <w:top w:val="none" w:sz="0" w:space="0" w:color="auto"/>
                <w:left w:val="none" w:sz="0" w:space="0" w:color="auto"/>
                <w:bottom w:val="none" w:sz="0" w:space="0" w:color="auto"/>
                <w:right w:val="none" w:sz="0" w:space="0" w:color="auto"/>
              </w:divBdr>
              <w:divsChild>
                <w:div w:id="211117334">
                  <w:marLeft w:val="0"/>
                  <w:marRight w:val="0"/>
                  <w:marTop w:val="0"/>
                  <w:marBottom w:val="0"/>
                  <w:divBdr>
                    <w:top w:val="none" w:sz="0" w:space="0" w:color="auto"/>
                    <w:left w:val="none" w:sz="0" w:space="0" w:color="auto"/>
                    <w:bottom w:val="none" w:sz="0" w:space="0" w:color="auto"/>
                    <w:right w:val="none" w:sz="0" w:space="0" w:color="auto"/>
                  </w:divBdr>
                  <w:divsChild>
                    <w:div w:id="1695841723">
                      <w:marLeft w:val="0"/>
                      <w:marRight w:val="0"/>
                      <w:marTop w:val="0"/>
                      <w:marBottom w:val="0"/>
                      <w:divBdr>
                        <w:top w:val="none" w:sz="0" w:space="0" w:color="auto"/>
                        <w:left w:val="none" w:sz="0" w:space="0" w:color="auto"/>
                        <w:bottom w:val="none" w:sz="0" w:space="0" w:color="auto"/>
                        <w:right w:val="none" w:sz="0" w:space="0" w:color="auto"/>
                      </w:divBdr>
                      <w:divsChild>
                        <w:div w:id="240255849">
                          <w:marLeft w:val="0"/>
                          <w:marRight w:val="0"/>
                          <w:marTop w:val="0"/>
                          <w:marBottom w:val="0"/>
                          <w:divBdr>
                            <w:top w:val="none" w:sz="0" w:space="0" w:color="auto"/>
                            <w:left w:val="none" w:sz="0" w:space="0" w:color="auto"/>
                            <w:bottom w:val="none" w:sz="0" w:space="0" w:color="auto"/>
                            <w:right w:val="none" w:sz="0" w:space="0" w:color="auto"/>
                          </w:divBdr>
                          <w:divsChild>
                            <w:div w:id="969945388">
                              <w:marLeft w:val="0"/>
                              <w:marRight w:val="0"/>
                              <w:marTop w:val="0"/>
                              <w:marBottom w:val="0"/>
                              <w:divBdr>
                                <w:top w:val="none" w:sz="0" w:space="0" w:color="auto"/>
                                <w:left w:val="none" w:sz="0" w:space="0" w:color="auto"/>
                                <w:bottom w:val="none" w:sz="0" w:space="0" w:color="auto"/>
                                <w:right w:val="none" w:sz="0" w:space="0" w:color="auto"/>
                              </w:divBdr>
                              <w:divsChild>
                                <w:div w:id="29695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986060">
          <w:marLeft w:val="0"/>
          <w:marRight w:val="0"/>
          <w:marTop w:val="0"/>
          <w:marBottom w:val="0"/>
          <w:divBdr>
            <w:top w:val="none" w:sz="0" w:space="0" w:color="auto"/>
            <w:left w:val="none" w:sz="0" w:space="0" w:color="auto"/>
            <w:bottom w:val="none" w:sz="0" w:space="0" w:color="auto"/>
            <w:right w:val="none" w:sz="0" w:space="0" w:color="auto"/>
          </w:divBdr>
          <w:divsChild>
            <w:div w:id="970207135">
              <w:marLeft w:val="0"/>
              <w:marRight w:val="0"/>
              <w:marTop w:val="0"/>
              <w:marBottom w:val="0"/>
              <w:divBdr>
                <w:top w:val="none" w:sz="0" w:space="0" w:color="auto"/>
                <w:left w:val="none" w:sz="0" w:space="0" w:color="auto"/>
                <w:bottom w:val="none" w:sz="0" w:space="0" w:color="auto"/>
                <w:right w:val="none" w:sz="0" w:space="0" w:color="auto"/>
              </w:divBdr>
              <w:divsChild>
                <w:div w:id="1457413258">
                  <w:marLeft w:val="0"/>
                  <w:marRight w:val="0"/>
                  <w:marTop w:val="0"/>
                  <w:marBottom w:val="0"/>
                  <w:divBdr>
                    <w:top w:val="none" w:sz="0" w:space="0" w:color="auto"/>
                    <w:left w:val="none" w:sz="0" w:space="0" w:color="auto"/>
                    <w:bottom w:val="none" w:sz="0" w:space="0" w:color="auto"/>
                    <w:right w:val="none" w:sz="0" w:space="0" w:color="auto"/>
                  </w:divBdr>
                  <w:divsChild>
                    <w:div w:id="336079880">
                      <w:marLeft w:val="0"/>
                      <w:marRight w:val="0"/>
                      <w:marTop w:val="0"/>
                      <w:marBottom w:val="0"/>
                      <w:divBdr>
                        <w:top w:val="none" w:sz="0" w:space="0" w:color="auto"/>
                        <w:left w:val="none" w:sz="0" w:space="0" w:color="auto"/>
                        <w:bottom w:val="none" w:sz="0" w:space="0" w:color="auto"/>
                        <w:right w:val="none" w:sz="0" w:space="0" w:color="auto"/>
                      </w:divBdr>
                      <w:divsChild>
                        <w:div w:id="1809475044">
                          <w:marLeft w:val="0"/>
                          <w:marRight w:val="0"/>
                          <w:marTop w:val="0"/>
                          <w:marBottom w:val="0"/>
                          <w:divBdr>
                            <w:top w:val="none" w:sz="0" w:space="0" w:color="auto"/>
                            <w:left w:val="none" w:sz="0" w:space="0" w:color="auto"/>
                            <w:bottom w:val="none" w:sz="0" w:space="0" w:color="auto"/>
                            <w:right w:val="none" w:sz="0" w:space="0" w:color="auto"/>
                          </w:divBdr>
                          <w:divsChild>
                            <w:div w:id="1535189898">
                              <w:marLeft w:val="0"/>
                              <w:marRight w:val="0"/>
                              <w:marTop w:val="0"/>
                              <w:marBottom w:val="0"/>
                              <w:divBdr>
                                <w:top w:val="none" w:sz="0" w:space="0" w:color="auto"/>
                                <w:left w:val="none" w:sz="0" w:space="0" w:color="auto"/>
                                <w:bottom w:val="none" w:sz="0" w:space="0" w:color="auto"/>
                                <w:right w:val="none" w:sz="0" w:space="0" w:color="auto"/>
                              </w:divBdr>
                              <w:divsChild>
                                <w:div w:id="616301017">
                                  <w:marLeft w:val="0"/>
                                  <w:marRight w:val="0"/>
                                  <w:marTop w:val="0"/>
                                  <w:marBottom w:val="0"/>
                                  <w:divBdr>
                                    <w:top w:val="none" w:sz="0" w:space="0" w:color="auto"/>
                                    <w:left w:val="none" w:sz="0" w:space="0" w:color="auto"/>
                                    <w:bottom w:val="none" w:sz="0" w:space="0" w:color="auto"/>
                                    <w:right w:val="none" w:sz="0" w:space="0" w:color="auto"/>
                                  </w:divBdr>
                                  <w:divsChild>
                                    <w:div w:id="604852778">
                                      <w:marLeft w:val="0"/>
                                      <w:marRight w:val="0"/>
                                      <w:marTop w:val="0"/>
                                      <w:marBottom w:val="0"/>
                                      <w:divBdr>
                                        <w:top w:val="none" w:sz="0" w:space="0" w:color="auto"/>
                                        <w:left w:val="none" w:sz="0" w:space="0" w:color="auto"/>
                                        <w:bottom w:val="none" w:sz="0" w:space="0" w:color="auto"/>
                                        <w:right w:val="none" w:sz="0" w:space="0" w:color="auto"/>
                                      </w:divBdr>
                                      <w:divsChild>
                                        <w:div w:id="27872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48071">
          <w:marLeft w:val="0"/>
          <w:marRight w:val="0"/>
          <w:marTop w:val="0"/>
          <w:marBottom w:val="0"/>
          <w:divBdr>
            <w:top w:val="none" w:sz="0" w:space="0" w:color="auto"/>
            <w:left w:val="none" w:sz="0" w:space="0" w:color="auto"/>
            <w:bottom w:val="none" w:sz="0" w:space="0" w:color="auto"/>
            <w:right w:val="none" w:sz="0" w:space="0" w:color="auto"/>
          </w:divBdr>
          <w:divsChild>
            <w:div w:id="1771700658">
              <w:marLeft w:val="0"/>
              <w:marRight w:val="0"/>
              <w:marTop w:val="0"/>
              <w:marBottom w:val="0"/>
              <w:divBdr>
                <w:top w:val="none" w:sz="0" w:space="0" w:color="auto"/>
                <w:left w:val="none" w:sz="0" w:space="0" w:color="auto"/>
                <w:bottom w:val="none" w:sz="0" w:space="0" w:color="auto"/>
                <w:right w:val="none" w:sz="0" w:space="0" w:color="auto"/>
              </w:divBdr>
              <w:divsChild>
                <w:div w:id="1180435869">
                  <w:marLeft w:val="0"/>
                  <w:marRight w:val="0"/>
                  <w:marTop w:val="0"/>
                  <w:marBottom w:val="0"/>
                  <w:divBdr>
                    <w:top w:val="none" w:sz="0" w:space="0" w:color="auto"/>
                    <w:left w:val="none" w:sz="0" w:space="0" w:color="auto"/>
                    <w:bottom w:val="none" w:sz="0" w:space="0" w:color="auto"/>
                    <w:right w:val="none" w:sz="0" w:space="0" w:color="auto"/>
                  </w:divBdr>
                  <w:divsChild>
                    <w:div w:id="1842429678">
                      <w:marLeft w:val="0"/>
                      <w:marRight w:val="0"/>
                      <w:marTop w:val="0"/>
                      <w:marBottom w:val="0"/>
                      <w:divBdr>
                        <w:top w:val="none" w:sz="0" w:space="0" w:color="auto"/>
                        <w:left w:val="none" w:sz="0" w:space="0" w:color="auto"/>
                        <w:bottom w:val="none" w:sz="0" w:space="0" w:color="auto"/>
                        <w:right w:val="none" w:sz="0" w:space="0" w:color="auto"/>
                      </w:divBdr>
                      <w:divsChild>
                        <w:div w:id="1124495694">
                          <w:marLeft w:val="0"/>
                          <w:marRight w:val="0"/>
                          <w:marTop w:val="0"/>
                          <w:marBottom w:val="0"/>
                          <w:divBdr>
                            <w:top w:val="none" w:sz="0" w:space="0" w:color="auto"/>
                            <w:left w:val="none" w:sz="0" w:space="0" w:color="auto"/>
                            <w:bottom w:val="none" w:sz="0" w:space="0" w:color="auto"/>
                            <w:right w:val="none" w:sz="0" w:space="0" w:color="auto"/>
                          </w:divBdr>
                          <w:divsChild>
                            <w:div w:id="1831367930">
                              <w:marLeft w:val="0"/>
                              <w:marRight w:val="0"/>
                              <w:marTop w:val="0"/>
                              <w:marBottom w:val="0"/>
                              <w:divBdr>
                                <w:top w:val="none" w:sz="0" w:space="0" w:color="auto"/>
                                <w:left w:val="none" w:sz="0" w:space="0" w:color="auto"/>
                                <w:bottom w:val="none" w:sz="0" w:space="0" w:color="auto"/>
                                <w:right w:val="none" w:sz="0" w:space="0" w:color="auto"/>
                              </w:divBdr>
                              <w:divsChild>
                                <w:div w:id="54495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847342">
                  <w:marLeft w:val="0"/>
                  <w:marRight w:val="0"/>
                  <w:marTop w:val="0"/>
                  <w:marBottom w:val="0"/>
                  <w:divBdr>
                    <w:top w:val="none" w:sz="0" w:space="0" w:color="auto"/>
                    <w:left w:val="none" w:sz="0" w:space="0" w:color="auto"/>
                    <w:bottom w:val="none" w:sz="0" w:space="0" w:color="auto"/>
                    <w:right w:val="none" w:sz="0" w:space="0" w:color="auto"/>
                  </w:divBdr>
                  <w:divsChild>
                    <w:div w:id="1718165618">
                      <w:marLeft w:val="0"/>
                      <w:marRight w:val="0"/>
                      <w:marTop w:val="0"/>
                      <w:marBottom w:val="0"/>
                      <w:divBdr>
                        <w:top w:val="none" w:sz="0" w:space="0" w:color="auto"/>
                        <w:left w:val="none" w:sz="0" w:space="0" w:color="auto"/>
                        <w:bottom w:val="none" w:sz="0" w:space="0" w:color="auto"/>
                        <w:right w:val="none" w:sz="0" w:space="0" w:color="auto"/>
                      </w:divBdr>
                      <w:divsChild>
                        <w:div w:id="652488430">
                          <w:marLeft w:val="0"/>
                          <w:marRight w:val="0"/>
                          <w:marTop w:val="0"/>
                          <w:marBottom w:val="0"/>
                          <w:divBdr>
                            <w:top w:val="none" w:sz="0" w:space="0" w:color="auto"/>
                            <w:left w:val="none" w:sz="0" w:space="0" w:color="auto"/>
                            <w:bottom w:val="none" w:sz="0" w:space="0" w:color="auto"/>
                            <w:right w:val="none" w:sz="0" w:space="0" w:color="auto"/>
                          </w:divBdr>
                          <w:divsChild>
                            <w:div w:id="595018447">
                              <w:marLeft w:val="0"/>
                              <w:marRight w:val="0"/>
                              <w:marTop w:val="0"/>
                              <w:marBottom w:val="0"/>
                              <w:divBdr>
                                <w:top w:val="none" w:sz="0" w:space="0" w:color="auto"/>
                                <w:left w:val="none" w:sz="0" w:space="0" w:color="auto"/>
                                <w:bottom w:val="none" w:sz="0" w:space="0" w:color="auto"/>
                                <w:right w:val="none" w:sz="0" w:space="0" w:color="auto"/>
                              </w:divBdr>
                              <w:divsChild>
                                <w:div w:id="1464545878">
                                  <w:marLeft w:val="0"/>
                                  <w:marRight w:val="0"/>
                                  <w:marTop w:val="0"/>
                                  <w:marBottom w:val="0"/>
                                  <w:divBdr>
                                    <w:top w:val="none" w:sz="0" w:space="0" w:color="auto"/>
                                    <w:left w:val="none" w:sz="0" w:space="0" w:color="auto"/>
                                    <w:bottom w:val="none" w:sz="0" w:space="0" w:color="auto"/>
                                    <w:right w:val="none" w:sz="0" w:space="0" w:color="auto"/>
                                  </w:divBdr>
                                  <w:divsChild>
                                    <w:div w:id="202142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0646564">
      <w:bodyDiv w:val="1"/>
      <w:marLeft w:val="0"/>
      <w:marRight w:val="0"/>
      <w:marTop w:val="0"/>
      <w:marBottom w:val="0"/>
      <w:divBdr>
        <w:top w:val="none" w:sz="0" w:space="0" w:color="auto"/>
        <w:left w:val="none" w:sz="0" w:space="0" w:color="auto"/>
        <w:bottom w:val="none" w:sz="0" w:space="0" w:color="auto"/>
        <w:right w:val="none" w:sz="0" w:space="0" w:color="auto"/>
      </w:divBdr>
    </w:div>
    <w:div w:id="1046956345">
      <w:bodyDiv w:val="1"/>
      <w:marLeft w:val="0"/>
      <w:marRight w:val="0"/>
      <w:marTop w:val="0"/>
      <w:marBottom w:val="0"/>
      <w:divBdr>
        <w:top w:val="none" w:sz="0" w:space="0" w:color="auto"/>
        <w:left w:val="none" w:sz="0" w:space="0" w:color="auto"/>
        <w:bottom w:val="none" w:sz="0" w:space="0" w:color="auto"/>
        <w:right w:val="none" w:sz="0" w:space="0" w:color="auto"/>
      </w:divBdr>
    </w:div>
    <w:div w:id="1083187706">
      <w:bodyDiv w:val="1"/>
      <w:marLeft w:val="0"/>
      <w:marRight w:val="0"/>
      <w:marTop w:val="0"/>
      <w:marBottom w:val="0"/>
      <w:divBdr>
        <w:top w:val="none" w:sz="0" w:space="0" w:color="auto"/>
        <w:left w:val="none" w:sz="0" w:space="0" w:color="auto"/>
        <w:bottom w:val="none" w:sz="0" w:space="0" w:color="auto"/>
        <w:right w:val="none" w:sz="0" w:space="0" w:color="auto"/>
      </w:divBdr>
      <w:divsChild>
        <w:div w:id="173620200">
          <w:marLeft w:val="0"/>
          <w:marRight w:val="0"/>
          <w:marTop w:val="0"/>
          <w:marBottom w:val="0"/>
          <w:divBdr>
            <w:top w:val="none" w:sz="0" w:space="0" w:color="auto"/>
            <w:left w:val="none" w:sz="0" w:space="0" w:color="auto"/>
            <w:bottom w:val="none" w:sz="0" w:space="0" w:color="auto"/>
            <w:right w:val="none" w:sz="0" w:space="0" w:color="auto"/>
          </w:divBdr>
          <w:divsChild>
            <w:div w:id="103885420">
              <w:marLeft w:val="0"/>
              <w:marRight w:val="0"/>
              <w:marTop w:val="0"/>
              <w:marBottom w:val="0"/>
              <w:divBdr>
                <w:top w:val="none" w:sz="0" w:space="0" w:color="auto"/>
                <w:left w:val="none" w:sz="0" w:space="0" w:color="auto"/>
                <w:bottom w:val="none" w:sz="0" w:space="0" w:color="auto"/>
                <w:right w:val="none" w:sz="0" w:space="0" w:color="auto"/>
              </w:divBdr>
              <w:divsChild>
                <w:div w:id="1713963128">
                  <w:marLeft w:val="0"/>
                  <w:marRight w:val="0"/>
                  <w:marTop w:val="0"/>
                  <w:marBottom w:val="0"/>
                  <w:divBdr>
                    <w:top w:val="none" w:sz="0" w:space="0" w:color="auto"/>
                    <w:left w:val="none" w:sz="0" w:space="0" w:color="auto"/>
                    <w:bottom w:val="none" w:sz="0" w:space="0" w:color="auto"/>
                    <w:right w:val="none" w:sz="0" w:space="0" w:color="auto"/>
                  </w:divBdr>
                  <w:divsChild>
                    <w:div w:id="725876872">
                      <w:marLeft w:val="0"/>
                      <w:marRight w:val="0"/>
                      <w:marTop w:val="0"/>
                      <w:marBottom w:val="0"/>
                      <w:divBdr>
                        <w:top w:val="none" w:sz="0" w:space="0" w:color="auto"/>
                        <w:left w:val="none" w:sz="0" w:space="0" w:color="auto"/>
                        <w:bottom w:val="none" w:sz="0" w:space="0" w:color="auto"/>
                        <w:right w:val="none" w:sz="0" w:space="0" w:color="auto"/>
                      </w:divBdr>
                      <w:divsChild>
                        <w:div w:id="1922327300">
                          <w:marLeft w:val="0"/>
                          <w:marRight w:val="0"/>
                          <w:marTop w:val="0"/>
                          <w:marBottom w:val="0"/>
                          <w:divBdr>
                            <w:top w:val="none" w:sz="0" w:space="0" w:color="auto"/>
                            <w:left w:val="none" w:sz="0" w:space="0" w:color="auto"/>
                            <w:bottom w:val="none" w:sz="0" w:space="0" w:color="auto"/>
                            <w:right w:val="none" w:sz="0" w:space="0" w:color="auto"/>
                          </w:divBdr>
                          <w:divsChild>
                            <w:div w:id="125674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261308">
      <w:bodyDiv w:val="1"/>
      <w:marLeft w:val="0"/>
      <w:marRight w:val="0"/>
      <w:marTop w:val="0"/>
      <w:marBottom w:val="0"/>
      <w:divBdr>
        <w:top w:val="none" w:sz="0" w:space="0" w:color="auto"/>
        <w:left w:val="none" w:sz="0" w:space="0" w:color="auto"/>
        <w:bottom w:val="none" w:sz="0" w:space="0" w:color="auto"/>
        <w:right w:val="none" w:sz="0" w:space="0" w:color="auto"/>
      </w:divBdr>
    </w:div>
    <w:div w:id="1137645166">
      <w:bodyDiv w:val="1"/>
      <w:marLeft w:val="0"/>
      <w:marRight w:val="0"/>
      <w:marTop w:val="0"/>
      <w:marBottom w:val="0"/>
      <w:divBdr>
        <w:top w:val="none" w:sz="0" w:space="0" w:color="auto"/>
        <w:left w:val="none" w:sz="0" w:space="0" w:color="auto"/>
        <w:bottom w:val="none" w:sz="0" w:space="0" w:color="auto"/>
        <w:right w:val="none" w:sz="0" w:space="0" w:color="auto"/>
      </w:divBdr>
      <w:divsChild>
        <w:div w:id="118109019">
          <w:marLeft w:val="0"/>
          <w:marRight w:val="0"/>
          <w:marTop w:val="0"/>
          <w:marBottom w:val="0"/>
          <w:divBdr>
            <w:top w:val="none" w:sz="0" w:space="0" w:color="auto"/>
            <w:left w:val="none" w:sz="0" w:space="0" w:color="auto"/>
            <w:bottom w:val="none" w:sz="0" w:space="0" w:color="auto"/>
            <w:right w:val="none" w:sz="0" w:space="0" w:color="auto"/>
          </w:divBdr>
          <w:divsChild>
            <w:div w:id="1493255546">
              <w:marLeft w:val="0"/>
              <w:marRight w:val="0"/>
              <w:marTop w:val="0"/>
              <w:marBottom w:val="0"/>
              <w:divBdr>
                <w:top w:val="none" w:sz="0" w:space="0" w:color="auto"/>
                <w:left w:val="none" w:sz="0" w:space="0" w:color="auto"/>
                <w:bottom w:val="none" w:sz="0" w:space="0" w:color="auto"/>
                <w:right w:val="none" w:sz="0" w:space="0" w:color="auto"/>
              </w:divBdr>
              <w:divsChild>
                <w:div w:id="1580751547">
                  <w:marLeft w:val="0"/>
                  <w:marRight w:val="0"/>
                  <w:marTop w:val="0"/>
                  <w:marBottom w:val="0"/>
                  <w:divBdr>
                    <w:top w:val="none" w:sz="0" w:space="0" w:color="auto"/>
                    <w:left w:val="none" w:sz="0" w:space="0" w:color="auto"/>
                    <w:bottom w:val="none" w:sz="0" w:space="0" w:color="auto"/>
                    <w:right w:val="none" w:sz="0" w:space="0" w:color="auto"/>
                  </w:divBdr>
                  <w:divsChild>
                    <w:div w:id="1146631224">
                      <w:marLeft w:val="0"/>
                      <w:marRight w:val="0"/>
                      <w:marTop w:val="0"/>
                      <w:marBottom w:val="0"/>
                      <w:divBdr>
                        <w:top w:val="none" w:sz="0" w:space="0" w:color="auto"/>
                        <w:left w:val="none" w:sz="0" w:space="0" w:color="auto"/>
                        <w:bottom w:val="none" w:sz="0" w:space="0" w:color="auto"/>
                        <w:right w:val="none" w:sz="0" w:space="0" w:color="auto"/>
                      </w:divBdr>
                      <w:divsChild>
                        <w:div w:id="795680829">
                          <w:marLeft w:val="0"/>
                          <w:marRight w:val="0"/>
                          <w:marTop w:val="0"/>
                          <w:marBottom w:val="0"/>
                          <w:divBdr>
                            <w:top w:val="none" w:sz="0" w:space="0" w:color="auto"/>
                            <w:left w:val="none" w:sz="0" w:space="0" w:color="auto"/>
                            <w:bottom w:val="none" w:sz="0" w:space="0" w:color="auto"/>
                            <w:right w:val="none" w:sz="0" w:space="0" w:color="auto"/>
                          </w:divBdr>
                          <w:divsChild>
                            <w:div w:id="18929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226376">
      <w:bodyDiv w:val="1"/>
      <w:marLeft w:val="0"/>
      <w:marRight w:val="0"/>
      <w:marTop w:val="0"/>
      <w:marBottom w:val="0"/>
      <w:divBdr>
        <w:top w:val="none" w:sz="0" w:space="0" w:color="auto"/>
        <w:left w:val="none" w:sz="0" w:space="0" w:color="auto"/>
        <w:bottom w:val="none" w:sz="0" w:space="0" w:color="auto"/>
        <w:right w:val="none" w:sz="0" w:space="0" w:color="auto"/>
      </w:divBdr>
    </w:div>
    <w:div w:id="1170407767">
      <w:bodyDiv w:val="1"/>
      <w:marLeft w:val="0"/>
      <w:marRight w:val="0"/>
      <w:marTop w:val="0"/>
      <w:marBottom w:val="0"/>
      <w:divBdr>
        <w:top w:val="none" w:sz="0" w:space="0" w:color="auto"/>
        <w:left w:val="none" w:sz="0" w:space="0" w:color="auto"/>
        <w:bottom w:val="none" w:sz="0" w:space="0" w:color="auto"/>
        <w:right w:val="none" w:sz="0" w:space="0" w:color="auto"/>
      </w:divBdr>
    </w:div>
    <w:div w:id="1188256791">
      <w:bodyDiv w:val="1"/>
      <w:marLeft w:val="0"/>
      <w:marRight w:val="0"/>
      <w:marTop w:val="0"/>
      <w:marBottom w:val="0"/>
      <w:divBdr>
        <w:top w:val="none" w:sz="0" w:space="0" w:color="auto"/>
        <w:left w:val="none" w:sz="0" w:space="0" w:color="auto"/>
        <w:bottom w:val="none" w:sz="0" w:space="0" w:color="auto"/>
        <w:right w:val="none" w:sz="0" w:space="0" w:color="auto"/>
      </w:divBdr>
    </w:div>
    <w:div w:id="1234438549">
      <w:bodyDiv w:val="1"/>
      <w:marLeft w:val="0"/>
      <w:marRight w:val="0"/>
      <w:marTop w:val="0"/>
      <w:marBottom w:val="0"/>
      <w:divBdr>
        <w:top w:val="none" w:sz="0" w:space="0" w:color="auto"/>
        <w:left w:val="none" w:sz="0" w:space="0" w:color="auto"/>
        <w:bottom w:val="none" w:sz="0" w:space="0" w:color="auto"/>
        <w:right w:val="none" w:sz="0" w:space="0" w:color="auto"/>
      </w:divBdr>
    </w:div>
    <w:div w:id="1289318697">
      <w:bodyDiv w:val="1"/>
      <w:marLeft w:val="0"/>
      <w:marRight w:val="0"/>
      <w:marTop w:val="0"/>
      <w:marBottom w:val="0"/>
      <w:divBdr>
        <w:top w:val="none" w:sz="0" w:space="0" w:color="auto"/>
        <w:left w:val="none" w:sz="0" w:space="0" w:color="auto"/>
        <w:bottom w:val="none" w:sz="0" w:space="0" w:color="auto"/>
        <w:right w:val="none" w:sz="0" w:space="0" w:color="auto"/>
      </w:divBdr>
    </w:div>
    <w:div w:id="1290042911">
      <w:bodyDiv w:val="1"/>
      <w:marLeft w:val="0"/>
      <w:marRight w:val="0"/>
      <w:marTop w:val="0"/>
      <w:marBottom w:val="0"/>
      <w:divBdr>
        <w:top w:val="none" w:sz="0" w:space="0" w:color="auto"/>
        <w:left w:val="none" w:sz="0" w:space="0" w:color="auto"/>
        <w:bottom w:val="none" w:sz="0" w:space="0" w:color="auto"/>
        <w:right w:val="none" w:sz="0" w:space="0" w:color="auto"/>
      </w:divBdr>
      <w:divsChild>
        <w:div w:id="816455367">
          <w:marLeft w:val="0"/>
          <w:marRight w:val="0"/>
          <w:marTop w:val="0"/>
          <w:marBottom w:val="0"/>
          <w:divBdr>
            <w:top w:val="none" w:sz="0" w:space="0" w:color="auto"/>
            <w:left w:val="none" w:sz="0" w:space="0" w:color="auto"/>
            <w:bottom w:val="none" w:sz="0" w:space="0" w:color="auto"/>
            <w:right w:val="none" w:sz="0" w:space="0" w:color="auto"/>
          </w:divBdr>
          <w:divsChild>
            <w:div w:id="343286808">
              <w:marLeft w:val="0"/>
              <w:marRight w:val="0"/>
              <w:marTop w:val="0"/>
              <w:marBottom w:val="0"/>
              <w:divBdr>
                <w:top w:val="none" w:sz="0" w:space="0" w:color="auto"/>
                <w:left w:val="none" w:sz="0" w:space="0" w:color="auto"/>
                <w:bottom w:val="none" w:sz="0" w:space="0" w:color="auto"/>
                <w:right w:val="none" w:sz="0" w:space="0" w:color="auto"/>
              </w:divBdr>
              <w:divsChild>
                <w:div w:id="593781654">
                  <w:marLeft w:val="0"/>
                  <w:marRight w:val="0"/>
                  <w:marTop w:val="0"/>
                  <w:marBottom w:val="0"/>
                  <w:divBdr>
                    <w:top w:val="none" w:sz="0" w:space="0" w:color="auto"/>
                    <w:left w:val="none" w:sz="0" w:space="0" w:color="auto"/>
                    <w:bottom w:val="none" w:sz="0" w:space="0" w:color="auto"/>
                    <w:right w:val="none" w:sz="0" w:space="0" w:color="auto"/>
                  </w:divBdr>
                  <w:divsChild>
                    <w:div w:id="1040402401">
                      <w:marLeft w:val="0"/>
                      <w:marRight w:val="0"/>
                      <w:marTop w:val="0"/>
                      <w:marBottom w:val="0"/>
                      <w:divBdr>
                        <w:top w:val="none" w:sz="0" w:space="0" w:color="auto"/>
                        <w:left w:val="none" w:sz="0" w:space="0" w:color="auto"/>
                        <w:bottom w:val="none" w:sz="0" w:space="0" w:color="auto"/>
                        <w:right w:val="none" w:sz="0" w:space="0" w:color="auto"/>
                      </w:divBdr>
                      <w:divsChild>
                        <w:div w:id="598562660">
                          <w:marLeft w:val="0"/>
                          <w:marRight w:val="0"/>
                          <w:marTop w:val="0"/>
                          <w:marBottom w:val="0"/>
                          <w:divBdr>
                            <w:top w:val="none" w:sz="0" w:space="0" w:color="auto"/>
                            <w:left w:val="none" w:sz="0" w:space="0" w:color="auto"/>
                            <w:bottom w:val="none" w:sz="0" w:space="0" w:color="auto"/>
                            <w:right w:val="none" w:sz="0" w:space="0" w:color="auto"/>
                          </w:divBdr>
                          <w:divsChild>
                            <w:div w:id="3702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629103">
      <w:bodyDiv w:val="1"/>
      <w:marLeft w:val="0"/>
      <w:marRight w:val="0"/>
      <w:marTop w:val="0"/>
      <w:marBottom w:val="0"/>
      <w:divBdr>
        <w:top w:val="none" w:sz="0" w:space="0" w:color="auto"/>
        <w:left w:val="none" w:sz="0" w:space="0" w:color="auto"/>
        <w:bottom w:val="none" w:sz="0" w:space="0" w:color="auto"/>
        <w:right w:val="none" w:sz="0" w:space="0" w:color="auto"/>
      </w:divBdr>
      <w:divsChild>
        <w:div w:id="350647300">
          <w:marLeft w:val="0"/>
          <w:marRight w:val="0"/>
          <w:marTop w:val="0"/>
          <w:marBottom w:val="0"/>
          <w:divBdr>
            <w:top w:val="none" w:sz="0" w:space="0" w:color="auto"/>
            <w:left w:val="none" w:sz="0" w:space="0" w:color="auto"/>
            <w:bottom w:val="none" w:sz="0" w:space="0" w:color="auto"/>
            <w:right w:val="none" w:sz="0" w:space="0" w:color="auto"/>
          </w:divBdr>
          <w:divsChild>
            <w:div w:id="679507723">
              <w:marLeft w:val="0"/>
              <w:marRight w:val="0"/>
              <w:marTop w:val="0"/>
              <w:marBottom w:val="0"/>
              <w:divBdr>
                <w:top w:val="none" w:sz="0" w:space="0" w:color="auto"/>
                <w:left w:val="none" w:sz="0" w:space="0" w:color="auto"/>
                <w:bottom w:val="none" w:sz="0" w:space="0" w:color="auto"/>
                <w:right w:val="none" w:sz="0" w:space="0" w:color="auto"/>
              </w:divBdr>
              <w:divsChild>
                <w:div w:id="531765177">
                  <w:marLeft w:val="0"/>
                  <w:marRight w:val="0"/>
                  <w:marTop w:val="0"/>
                  <w:marBottom w:val="0"/>
                  <w:divBdr>
                    <w:top w:val="none" w:sz="0" w:space="0" w:color="auto"/>
                    <w:left w:val="none" w:sz="0" w:space="0" w:color="auto"/>
                    <w:bottom w:val="none" w:sz="0" w:space="0" w:color="auto"/>
                    <w:right w:val="none" w:sz="0" w:space="0" w:color="auto"/>
                  </w:divBdr>
                  <w:divsChild>
                    <w:div w:id="188921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104451">
          <w:marLeft w:val="0"/>
          <w:marRight w:val="0"/>
          <w:marTop w:val="0"/>
          <w:marBottom w:val="0"/>
          <w:divBdr>
            <w:top w:val="none" w:sz="0" w:space="0" w:color="auto"/>
            <w:left w:val="none" w:sz="0" w:space="0" w:color="auto"/>
            <w:bottom w:val="none" w:sz="0" w:space="0" w:color="auto"/>
            <w:right w:val="none" w:sz="0" w:space="0" w:color="auto"/>
          </w:divBdr>
          <w:divsChild>
            <w:div w:id="881215752">
              <w:marLeft w:val="0"/>
              <w:marRight w:val="0"/>
              <w:marTop w:val="0"/>
              <w:marBottom w:val="0"/>
              <w:divBdr>
                <w:top w:val="none" w:sz="0" w:space="0" w:color="auto"/>
                <w:left w:val="none" w:sz="0" w:space="0" w:color="auto"/>
                <w:bottom w:val="none" w:sz="0" w:space="0" w:color="auto"/>
                <w:right w:val="none" w:sz="0" w:space="0" w:color="auto"/>
              </w:divBdr>
              <w:divsChild>
                <w:div w:id="316153019">
                  <w:marLeft w:val="0"/>
                  <w:marRight w:val="0"/>
                  <w:marTop w:val="0"/>
                  <w:marBottom w:val="0"/>
                  <w:divBdr>
                    <w:top w:val="none" w:sz="0" w:space="0" w:color="auto"/>
                    <w:left w:val="none" w:sz="0" w:space="0" w:color="auto"/>
                    <w:bottom w:val="none" w:sz="0" w:space="0" w:color="auto"/>
                    <w:right w:val="none" w:sz="0" w:space="0" w:color="auto"/>
                  </w:divBdr>
                  <w:divsChild>
                    <w:div w:id="148978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699757">
      <w:bodyDiv w:val="1"/>
      <w:marLeft w:val="0"/>
      <w:marRight w:val="0"/>
      <w:marTop w:val="0"/>
      <w:marBottom w:val="0"/>
      <w:divBdr>
        <w:top w:val="none" w:sz="0" w:space="0" w:color="auto"/>
        <w:left w:val="none" w:sz="0" w:space="0" w:color="auto"/>
        <w:bottom w:val="none" w:sz="0" w:space="0" w:color="auto"/>
        <w:right w:val="none" w:sz="0" w:space="0" w:color="auto"/>
      </w:divBdr>
    </w:div>
    <w:div w:id="1319459391">
      <w:bodyDiv w:val="1"/>
      <w:marLeft w:val="0"/>
      <w:marRight w:val="0"/>
      <w:marTop w:val="0"/>
      <w:marBottom w:val="0"/>
      <w:divBdr>
        <w:top w:val="none" w:sz="0" w:space="0" w:color="auto"/>
        <w:left w:val="none" w:sz="0" w:space="0" w:color="auto"/>
        <w:bottom w:val="none" w:sz="0" w:space="0" w:color="auto"/>
        <w:right w:val="none" w:sz="0" w:space="0" w:color="auto"/>
      </w:divBdr>
    </w:div>
    <w:div w:id="1355692739">
      <w:bodyDiv w:val="1"/>
      <w:marLeft w:val="0"/>
      <w:marRight w:val="0"/>
      <w:marTop w:val="0"/>
      <w:marBottom w:val="0"/>
      <w:divBdr>
        <w:top w:val="none" w:sz="0" w:space="0" w:color="auto"/>
        <w:left w:val="none" w:sz="0" w:space="0" w:color="auto"/>
        <w:bottom w:val="none" w:sz="0" w:space="0" w:color="auto"/>
        <w:right w:val="none" w:sz="0" w:space="0" w:color="auto"/>
      </w:divBdr>
      <w:divsChild>
        <w:div w:id="2124808764">
          <w:marLeft w:val="0"/>
          <w:marRight w:val="0"/>
          <w:marTop w:val="0"/>
          <w:marBottom w:val="0"/>
          <w:divBdr>
            <w:top w:val="none" w:sz="0" w:space="0" w:color="auto"/>
            <w:left w:val="none" w:sz="0" w:space="0" w:color="auto"/>
            <w:bottom w:val="none" w:sz="0" w:space="0" w:color="auto"/>
            <w:right w:val="none" w:sz="0" w:space="0" w:color="auto"/>
          </w:divBdr>
          <w:divsChild>
            <w:div w:id="1946887340">
              <w:marLeft w:val="0"/>
              <w:marRight w:val="0"/>
              <w:marTop w:val="0"/>
              <w:marBottom w:val="0"/>
              <w:divBdr>
                <w:top w:val="none" w:sz="0" w:space="0" w:color="auto"/>
                <w:left w:val="none" w:sz="0" w:space="0" w:color="auto"/>
                <w:bottom w:val="none" w:sz="0" w:space="0" w:color="auto"/>
                <w:right w:val="none" w:sz="0" w:space="0" w:color="auto"/>
              </w:divBdr>
              <w:divsChild>
                <w:div w:id="226454839">
                  <w:marLeft w:val="0"/>
                  <w:marRight w:val="0"/>
                  <w:marTop w:val="0"/>
                  <w:marBottom w:val="0"/>
                  <w:divBdr>
                    <w:top w:val="none" w:sz="0" w:space="0" w:color="auto"/>
                    <w:left w:val="none" w:sz="0" w:space="0" w:color="auto"/>
                    <w:bottom w:val="none" w:sz="0" w:space="0" w:color="auto"/>
                    <w:right w:val="none" w:sz="0" w:space="0" w:color="auto"/>
                  </w:divBdr>
                  <w:divsChild>
                    <w:div w:id="419984479">
                      <w:marLeft w:val="0"/>
                      <w:marRight w:val="0"/>
                      <w:marTop w:val="0"/>
                      <w:marBottom w:val="0"/>
                      <w:divBdr>
                        <w:top w:val="none" w:sz="0" w:space="0" w:color="auto"/>
                        <w:left w:val="none" w:sz="0" w:space="0" w:color="auto"/>
                        <w:bottom w:val="none" w:sz="0" w:space="0" w:color="auto"/>
                        <w:right w:val="none" w:sz="0" w:space="0" w:color="auto"/>
                      </w:divBdr>
                      <w:divsChild>
                        <w:div w:id="530533682">
                          <w:marLeft w:val="0"/>
                          <w:marRight w:val="0"/>
                          <w:marTop w:val="0"/>
                          <w:marBottom w:val="0"/>
                          <w:divBdr>
                            <w:top w:val="none" w:sz="0" w:space="0" w:color="auto"/>
                            <w:left w:val="none" w:sz="0" w:space="0" w:color="auto"/>
                            <w:bottom w:val="none" w:sz="0" w:space="0" w:color="auto"/>
                            <w:right w:val="none" w:sz="0" w:space="0" w:color="auto"/>
                          </w:divBdr>
                          <w:divsChild>
                            <w:div w:id="204139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307199">
      <w:bodyDiv w:val="1"/>
      <w:marLeft w:val="0"/>
      <w:marRight w:val="0"/>
      <w:marTop w:val="0"/>
      <w:marBottom w:val="0"/>
      <w:divBdr>
        <w:top w:val="none" w:sz="0" w:space="0" w:color="auto"/>
        <w:left w:val="none" w:sz="0" w:space="0" w:color="auto"/>
        <w:bottom w:val="none" w:sz="0" w:space="0" w:color="auto"/>
        <w:right w:val="none" w:sz="0" w:space="0" w:color="auto"/>
      </w:divBdr>
      <w:divsChild>
        <w:div w:id="1812939232">
          <w:marLeft w:val="0"/>
          <w:marRight w:val="0"/>
          <w:marTop w:val="0"/>
          <w:marBottom w:val="0"/>
          <w:divBdr>
            <w:top w:val="none" w:sz="0" w:space="0" w:color="auto"/>
            <w:left w:val="none" w:sz="0" w:space="0" w:color="auto"/>
            <w:bottom w:val="none" w:sz="0" w:space="0" w:color="auto"/>
            <w:right w:val="none" w:sz="0" w:space="0" w:color="auto"/>
          </w:divBdr>
          <w:divsChild>
            <w:div w:id="1791315476">
              <w:marLeft w:val="0"/>
              <w:marRight w:val="0"/>
              <w:marTop w:val="0"/>
              <w:marBottom w:val="0"/>
              <w:divBdr>
                <w:top w:val="none" w:sz="0" w:space="0" w:color="auto"/>
                <w:left w:val="none" w:sz="0" w:space="0" w:color="auto"/>
                <w:bottom w:val="none" w:sz="0" w:space="0" w:color="auto"/>
                <w:right w:val="none" w:sz="0" w:space="0" w:color="auto"/>
              </w:divBdr>
              <w:divsChild>
                <w:div w:id="1702702556">
                  <w:marLeft w:val="0"/>
                  <w:marRight w:val="0"/>
                  <w:marTop w:val="0"/>
                  <w:marBottom w:val="0"/>
                  <w:divBdr>
                    <w:top w:val="none" w:sz="0" w:space="0" w:color="auto"/>
                    <w:left w:val="none" w:sz="0" w:space="0" w:color="auto"/>
                    <w:bottom w:val="none" w:sz="0" w:space="0" w:color="auto"/>
                    <w:right w:val="none" w:sz="0" w:space="0" w:color="auto"/>
                  </w:divBdr>
                  <w:divsChild>
                    <w:div w:id="340161410">
                      <w:marLeft w:val="0"/>
                      <w:marRight w:val="0"/>
                      <w:marTop w:val="0"/>
                      <w:marBottom w:val="0"/>
                      <w:divBdr>
                        <w:top w:val="none" w:sz="0" w:space="0" w:color="auto"/>
                        <w:left w:val="none" w:sz="0" w:space="0" w:color="auto"/>
                        <w:bottom w:val="none" w:sz="0" w:space="0" w:color="auto"/>
                        <w:right w:val="none" w:sz="0" w:space="0" w:color="auto"/>
                      </w:divBdr>
                      <w:divsChild>
                        <w:div w:id="880361527">
                          <w:marLeft w:val="0"/>
                          <w:marRight w:val="0"/>
                          <w:marTop w:val="0"/>
                          <w:marBottom w:val="0"/>
                          <w:divBdr>
                            <w:top w:val="none" w:sz="0" w:space="0" w:color="auto"/>
                            <w:left w:val="none" w:sz="0" w:space="0" w:color="auto"/>
                            <w:bottom w:val="none" w:sz="0" w:space="0" w:color="auto"/>
                            <w:right w:val="none" w:sz="0" w:space="0" w:color="auto"/>
                          </w:divBdr>
                          <w:divsChild>
                            <w:div w:id="4012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587684">
      <w:bodyDiv w:val="1"/>
      <w:marLeft w:val="0"/>
      <w:marRight w:val="0"/>
      <w:marTop w:val="0"/>
      <w:marBottom w:val="0"/>
      <w:divBdr>
        <w:top w:val="none" w:sz="0" w:space="0" w:color="auto"/>
        <w:left w:val="none" w:sz="0" w:space="0" w:color="auto"/>
        <w:bottom w:val="none" w:sz="0" w:space="0" w:color="auto"/>
        <w:right w:val="none" w:sz="0" w:space="0" w:color="auto"/>
      </w:divBdr>
    </w:div>
    <w:div w:id="1566909825">
      <w:bodyDiv w:val="1"/>
      <w:marLeft w:val="0"/>
      <w:marRight w:val="0"/>
      <w:marTop w:val="0"/>
      <w:marBottom w:val="0"/>
      <w:divBdr>
        <w:top w:val="none" w:sz="0" w:space="0" w:color="auto"/>
        <w:left w:val="none" w:sz="0" w:space="0" w:color="auto"/>
        <w:bottom w:val="none" w:sz="0" w:space="0" w:color="auto"/>
        <w:right w:val="none" w:sz="0" w:space="0" w:color="auto"/>
      </w:divBdr>
    </w:div>
    <w:div w:id="1574314049">
      <w:bodyDiv w:val="1"/>
      <w:marLeft w:val="0"/>
      <w:marRight w:val="0"/>
      <w:marTop w:val="0"/>
      <w:marBottom w:val="0"/>
      <w:divBdr>
        <w:top w:val="none" w:sz="0" w:space="0" w:color="auto"/>
        <w:left w:val="none" w:sz="0" w:space="0" w:color="auto"/>
        <w:bottom w:val="none" w:sz="0" w:space="0" w:color="auto"/>
        <w:right w:val="none" w:sz="0" w:space="0" w:color="auto"/>
      </w:divBdr>
    </w:div>
    <w:div w:id="1584531209">
      <w:bodyDiv w:val="1"/>
      <w:marLeft w:val="0"/>
      <w:marRight w:val="0"/>
      <w:marTop w:val="0"/>
      <w:marBottom w:val="0"/>
      <w:divBdr>
        <w:top w:val="none" w:sz="0" w:space="0" w:color="auto"/>
        <w:left w:val="none" w:sz="0" w:space="0" w:color="auto"/>
        <w:bottom w:val="none" w:sz="0" w:space="0" w:color="auto"/>
        <w:right w:val="none" w:sz="0" w:space="0" w:color="auto"/>
      </w:divBdr>
    </w:div>
    <w:div w:id="1586960091">
      <w:bodyDiv w:val="1"/>
      <w:marLeft w:val="0"/>
      <w:marRight w:val="0"/>
      <w:marTop w:val="0"/>
      <w:marBottom w:val="0"/>
      <w:divBdr>
        <w:top w:val="none" w:sz="0" w:space="0" w:color="auto"/>
        <w:left w:val="none" w:sz="0" w:space="0" w:color="auto"/>
        <w:bottom w:val="none" w:sz="0" w:space="0" w:color="auto"/>
        <w:right w:val="none" w:sz="0" w:space="0" w:color="auto"/>
      </w:divBdr>
    </w:div>
    <w:div w:id="1594511607">
      <w:bodyDiv w:val="1"/>
      <w:marLeft w:val="0"/>
      <w:marRight w:val="0"/>
      <w:marTop w:val="0"/>
      <w:marBottom w:val="0"/>
      <w:divBdr>
        <w:top w:val="none" w:sz="0" w:space="0" w:color="auto"/>
        <w:left w:val="none" w:sz="0" w:space="0" w:color="auto"/>
        <w:bottom w:val="none" w:sz="0" w:space="0" w:color="auto"/>
        <w:right w:val="none" w:sz="0" w:space="0" w:color="auto"/>
      </w:divBdr>
      <w:divsChild>
        <w:div w:id="217523424">
          <w:marLeft w:val="0"/>
          <w:marRight w:val="0"/>
          <w:marTop w:val="0"/>
          <w:marBottom w:val="0"/>
          <w:divBdr>
            <w:top w:val="none" w:sz="0" w:space="0" w:color="auto"/>
            <w:left w:val="none" w:sz="0" w:space="0" w:color="auto"/>
            <w:bottom w:val="none" w:sz="0" w:space="0" w:color="auto"/>
            <w:right w:val="none" w:sz="0" w:space="0" w:color="auto"/>
          </w:divBdr>
          <w:divsChild>
            <w:div w:id="1646661900">
              <w:marLeft w:val="0"/>
              <w:marRight w:val="0"/>
              <w:marTop w:val="0"/>
              <w:marBottom w:val="0"/>
              <w:divBdr>
                <w:top w:val="none" w:sz="0" w:space="0" w:color="auto"/>
                <w:left w:val="none" w:sz="0" w:space="0" w:color="auto"/>
                <w:bottom w:val="none" w:sz="0" w:space="0" w:color="auto"/>
                <w:right w:val="none" w:sz="0" w:space="0" w:color="auto"/>
              </w:divBdr>
              <w:divsChild>
                <w:div w:id="1753233474">
                  <w:marLeft w:val="0"/>
                  <w:marRight w:val="0"/>
                  <w:marTop w:val="0"/>
                  <w:marBottom w:val="0"/>
                  <w:divBdr>
                    <w:top w:val="none" w:sz="0" w:space="0" w:color="auto"/>
                    <w:left w:val="none" w:sz="0" w:space="0" w:color="auto"/>
                    <w:bottom w:val="none" w:sz="0" w:space="0" w:color="auto"/>
                    <w:right w:val="none" w:sz="0" w:space="0" w:color="auto"/>
                  </w:divBdr>
                  <w:divsChild>
                    <w:div w:id="985015761">
                      <w:marLeft w:val="0"/>
                      <w:marRight w:val="0"/>
                      <w:marTop w:val="0"/>
                      <w:marBottom w:val="0"/>
                      <w:divBdr>
                        <w:top w:val="none" w:sz="0" w:space="0" w:color="auto"/>
                        <w:left w:val="none" w:sz="0" w:space="0" w:color="auto"/>
                        <w:bottom w:val="none" w:sz="0" w:space="0" w:color="auto"/>
                        <w:right w:val="none" w:sz="0" w:space="0" w:color="auto"/>
                      </w:divBdr>
                      <w:divsChild>
                        <w:div w:id="1756973092">
                          <w:marLeft w:val="0"/>
                          <w:marRight w:val="0"/>
                          <w:marTop w:val="0"/>
                          <w:marBottom w:val="0"/>
                          <w:divBdr>
                            <w:top w:val="none" w:sz="0" w:space="0" w:color="auto"/>
                            <w:left w:val="none" w:sz="0" w:space="0" w:color="auto"/>
                            <w:bottom w:val="none" w:sz="0" w:space="0" w:color="auto"/>
                            <w:right w:val="none" w:sz="0" w:space="0" w:color="auto"/>
                          </w:divBdr>
                          <w:divsChild>
                            <w:div w:id="1103767474">
                              <w:marLeft w:val="0"/>
                              <w:marRight w:val="0"/>
                              <w:marTop w:val="0"/>
                              <w:marBottom w:val="0"/>
                              <w:divBdr>
                                <w:top w:val="none" w:sz="0" w:space="0" w:color="auto"/>
                                <w:left w:val="none" w:sz="0" w:space="0" w:color="auto"/>
                                <w:bottom w:val="none" w:sz="0" w:space="0" w:color="auto"/>
                                <w:right w:val="none" w:sz="0" w:space="0" w:color="auto"/>
                              </w:divBdr>
                              <w:divsChild>
                                <w:div w:id="541987473">
                                  <w:marLeft w:val="0"/>
                                  <w:marRight w:val="0"/>
                                  <w:marTop w:val="0"/>
                                  <w:marBottom w:val="0"/>
                                  <w:divBdr>
                                    <w:top w:val="none" w:sz="0" w:space="0" w:color="auto"/>
                                    <w:left w:val="none" w:sz="0" w:space="0" w:color="auto"/>
                                    <w:bottom w:val="none" w:sz="0" w:space="0" w:color="auto"/>
                                    <w:right w:val="none" w:sz="0" w:space="0" w:color="auto"/>
                                  </w:divBdr>
                                  <w:divsChild>
                                    <w:div w:id="844326580">
                                      <w:marLeft w:val="0"/>
                                      <w:marRight w:val="0"/>
                                      <w:marTop w:val="0"/>
                                      <w:marBottom w:val="0"/>
                                      <w:divBdr>
                                        <w:top w:val="none" w:sz="0" w:space="0" w:color="auto"/>
                                        <w:left w:val="none" w:sz="0" w:space="0" w:color="auto"/>
                                        <w:bottom w:val="none" w:sz="0" w:space="0" w:color="auto"/>
                                        <w:right w:val="none" w:sz="0" w:space="0" w:color="auto"/>
                                      </w:divBdr>
                                      <w:divsChild>
                                        <w:div w:id="1540506373">
                                          <w:marLeft w:val="0"/>
                                          <w:marRight w:val="0"/>
                                          <w:marTop w:val="0"/>
                                          <w:marBottom w:val="0"/>
                                          <w:divBdr>
                                            <w:top w:val="none" w:sz="0" w:space="0" w:color="auto"/>
                                            <w:left w:val="none" w:sz="0" w:space="0" w:color="auto"/>
                                            <w:bottom w:val="none" w:sz="0" w:space="0" w:color="auto"/>
                                            <w:right w:val="none" w:sz="0" w:space="0" w:color="auto"/>
                                          </w:divBdr>
                                          <w:divsChild>
                                            <w:div w:id="1701734197">
                                              <w:marLeft w:val="0"/>
                                              <w:marRight w:val="0"/>
                                              <w:marTop w:val="0"/>
                                              <w:marBottom w:val="0"/>
                                              <w:divBdr>
                                                <w:top w:val="none" w:sz="0" w:space="0" w:color="auto"/>
                                                <w:left w:val="none" w:sz="0" w:space="0" w:color="auto"/>
                                                <w:bottom w:val="none" w:sz="0" w:space="0" w:color="auto"/>
                                                <w:right w:val="none" w:sz="0" w:space="0" w:color="auto"/>
                                              </w:divBdr>
                                              <w:divsChild>
                                                <w:div w:id="356129089">
                                                  <w:marLeft w:val="0"/>
                                                  <w:marRight w:val="0"/>
                                                  <w:marTop w:val="0"/>
                                                  <w:marBottom w:val="0"/>
                                                  <w:divBdr>
                                                    <w:top w:val="none" w:sz="0" w:space="0" w:color="auto"/>
                                                    <w:left w:val="none" w:sz="0" w:space="0" w:color="auto"/>
                                                    <w:bottom w:val="none" w:sz="0" w:space="0" w:color="auto"/>
                                                    <w:right w:val="none" w:sz="0" w:space="0" w:color="auto"/>
                                                  </w:divBdr>
                                                  <w:divsChild>
                                                    <w:div w:id="1859074786">
                                                      <w:marLeft w:val="0"/>
                                                      <w:marRight w:val="0"/>
                                                      <w:marTop w:val="0"/>
                                                      <w:marBottom w:val="0"/>
                                                      <w:divBdr>
                                                        <w:top w:val="none" w:sz="0" w:space="0" w:color="auto"/>
                                                        <w:left w:val="none" w:sz="0" w:space="0" w:color="auto"/>
                                                        <w:bottom w:val="none" w:sz="0" w:space="0" w:color="auto"/>
                                                        <w:right w:val="none" w:sz="0" w:space="0" w:color="auto"/>
                                                      </w:divBdr>
                                                      <w:divsChild>
                                                        <w:div w:id="214272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62436">
                                              <w:marLeft w:val="0"/>
                                              <w:marRight w:val="0"/>
                                              <w:marTop w:val="0"/>
                                              <w:marBottom w:val="0"/>
                                              <w:divBdr>
                                                <w:top w:val="none" w:sz="0" w:space="0" w:color="auto"/>
                                                <w:left w:val="none" w:sz="0" w:space="0" w:color="auto"/>
                                                <w:bottom w:val="none" w:sz="0" w:space="0" w:color="auto"/>
                                                <w:right w:val="none" w:sz="0" w:space="0" w:color="auto"/>
                                              </w:divBdr>
                                              <w:divsChild>
                                                <w:div w:id="2140880968">
                                                  <w:marLeft w:val="0"/>
                                                  <w:marRight w:val="0"/>
                                                  <w:marTop w:val="0"/>
                                                  <w:marBottom w:val="0"/>
                                                  <w:divBdr>
                                                    <w:top w:val="none" w:sz="0" w:space="0" w:color="auto"/>
                                                    <w:left w:val="none" w:sz="0" w:space="0" w:color="auto"/>
                                                    <w:bottom w:val="none" w:sz="0" w:space="0" w:color="auto"/>
                                                    <w:right w:val="none" w:sz="0" w:space="0" w:color="auto"/>
                                                  </w:divBdr>
                                                  <w:divsChild>
                                                    <w:div w:id="322397998">
                                                      <w:marLeft w:val="0"/>
                                                      <w:marRight w:val="0"/>
                                                      <w:marTop w:val="0"/>
                                                      <w:marBottom w:val="0"/>
                                                      <w:divBdr>
                                                        <w:top w:val="none" w:sz="0" w:space="0" w:color="auto"/>
                                                        <w:left w:val="none" w:sz="0" w:space="0" w:color="auto"/>
                                                        <w:bottom w:val="none" w:sz="0" w:space="0" w:color="auto"/>
                                                        <w:right w:val="none" w:sz="0" w:space="0" w:color="auto"/>
                                                      </w:divBdr>
                                                      <w:divsChild>
                                                        <w:div w:id="190987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254322">
          <w:marLeft w:val="0"/>
          <w:marRight w:val="0"/>
          <w:marTop w:val="0"/>
          <w:marBottom w:val="0"/>
          <w:divBdr>
            <w:top w:val="none" w:sz="0" w:space="0" w:color="auto"/>
            <w:left w:val="none" w:sz="0" w:space="0" w:color="auto"/>
            <w:bottom w:val="none" w:sz="0" w:space="0" w:color="auto"/>
            <w:right w:val="none" w:sz="0" w:space="0" w:color="auto"/>
          </w:divBdr>
          <w:divsChild>
            <w:div w:id="1814979455">
              <w:marLeft w:val="0"/>
              <w:marRight w:val="0"/>
              <w:marTop w:val="0"/>
              <w:marBottom w:val="0"/>
              <w:divBdr>
                <w:top w:val="none" w:sz="0" w:space="0" w:color="auto"/>
                <w:left w:val="none" w:sz="0" w:space="0" w:color="auto"/>
                <w:bottom w:val="none" w:sz="0" w:space="0" w:color="auto"/>
                <w:right w:val="none" w:sz="0" w:space="0" w:color="auto"/>
              </w:divBdr>
              <w:divsChild>
                <w:div w:id="1977488712">
                  <w:marLeft w:val="0"/>
                  <w:marRight w:val="0"/>
                  <w:marTop w:val="0"/>
                  <w:marBottom w:val="0"/>
                  <w:divBdr>
                    <w:top w:val="none" w:sz="0" w:space="0" w:color="auto"/>
                    <w:left w:val="none" w:sz="0" w:space="0" w:color="auto"/>
                    <w:bottom w:val="none" w:sz="0" w:space="0" w:color="auto"/>
                    <w:right w:val="none" w:sz="0" w:space="0" w:color="auto"/>
                  </w:divBdr>
                  <w:divsChild>
                    <w:div w:id="121990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725692">
      <w:bodyDiv w:val="1"/>
      <w:marLeft w:val="0"/>
      <w:marRight w:val="0"/>
      <w:marTop w:val="0"/>
      <w:marBottom w:val="0"/>
      <w:divBdr>
        <w:top w:val="none" w:sz="0" w:space="0" w:color="auto"/>
        <w:left w:val="none" w:sz="0" w:space="0" w:color="auto"/>
        <w:bottom w:val="none" w:sz="0" w:space="0" w:color="auto"/>
        <w:right w:val="none" w:sz="0" w:space="0" w:color="auto"/>
      </w:divBdr>
    </w:div>
    <w:div w:id="1607083585">
      <w:bodyDiv w:val="1"/>
      <w:marLeft w:val="0"/>
      <w:marRight w:val="0"/>
      <w:marTop w:val="0"/>
      <w:marBottom w:val="0"/>
      <w:divBdr>
        <w:top w:val="none" w:sz="0" w:space="0" w:color="auto"/>
        <w:left w:val="none" w:sz="0" w:space="0" w:color="auto"/>
        <w:bottom w:val="none" w:sz="0" w:space="0" w:color="auto"/>
        <w:right w:val="none" w:sz="0" w:space="0" w:color="auto"/>
      </w:divBdr>
      <w:divsChild>
        <w:div w:id="962267279">
          <w:marLeft w:val="0"/>
          <w:marRight w:val="0"/>
          <w:marTop w:val="0"/>
          <w:marBottom w:val="0"/>
          <w:divBdr>
            <w:top w:val="none" w:sz="0" w:space="0" w:color="auto"/>
            <w:left w:val="none" w:sz="0" w:space="0" w:color="auto"/>
            <w:bottom w:val="none" w:sz="0" w:space="0" w:color="auto"/>
            <w:right w:val="none" w:sz="0" w:space="0" w:color="auto"/>
          </w:divBdr>
          <w:divsChild>
            <w:div w:id="238558401">
              <w:marLeft w:val="0"/>
              <w:marRight w:val="0"/>
              <w:marTop w:val="0"/>
              <w:marBottom w:val="0"/>
              <w:divBdr>
                <w:top w:val="none" w:sz="0" w:space="0" w:color="auto"/>
                <w:left w:val="none" w:sz="0" w:space="0" w:color="auto"/>
                <w:bottom w:val="none" w:sz="0" w:space="0" w:color="auto"/>
                <w:right w:val="none" w:sz="0" w:space="0" w:color="auto"/>
              </w:divBdr>
              <w:divsChild>
                <w:div w:id="968781298">
                  <w:marLeft w:val="0"/>
                  <w:marRight w:val="0"/>
                  <w:marTop w:val="0"/>
                  <w:marBottom w:val="0"/>
                  <w:divBdr>
                    <w:top w:val="none" w:sz="0" w:space="0" w:color="auto"/>
                    <w:left w:val="none" w:sz="0" w:space="0" w:color="auto"/>
                    <w:bottom w:val="none" w:sz="0" w:space="0" w:color="auto"/>
                    <w:right w:val="none" w:sz="0" w:space="0" w:color="auto"/>
                  </w:divBdr>
                  <w:divsChild>
                    <w:div w:id="1578401696">
                      <w:marLeft w:val="0"/>
                      <w:marRight w:val="0"/>
                      <w:marTop w:val="0"/>
                      <w:marBottom w:val="0"/>
                      <w:divBdr>
                        <w:top w:val="none" w:sz="0" w:space="0" w:color="auto"/>
                        <w:left w:val="none" w:sz="0" w:space="0" w:color="auto"/>
                        <w:bottom w:val="none" w:sz="0" w:space="0" w:color="auto"/>
                        <w:right w:val="none" w:sz="0" w:space="0" w:color="auto"/>
                      </w:divBdr>
                      <w:divsChild>
                        <w:div w:id="1883244513">
                          <w:marLeft w:val="0"/>
                          <w:marRight w:val="0"/>
                          <w:marTop w:val="0"/>
                          <w:marBottom w:val="0"/>
                          <w:divBdr>
                            <w:top w:val="none" w:sz="0" w:space="0" w:color="auto"/>
                            <w:left w:val="none" w:sz="0" w:space="0" w:color="auto"/>
                            <w:bottom w:val="none" w:sz="0" w:space="0" w:color="auto"/>
                            <w:right w:val="none" w:sz="0" w:space="0" w:color="auto"/>
                          </w:divBdr>
                          <w:divsChild>
                            <w:div w:id="1908681894">
                              <w:marLeft w:val="0"/>
                              <w:marRight w:val="0"/>
                              <w:marTop w:val="0"/>
                              <w:marBottom w:val="0"/>
                              <w:divBdr>
                                <w:top w:val="none" w:sz="0" w:space="0" w:color="auto"/>
                                <w:left w:val="none" w:sz="0" w:space="0" w:color="auto"/>
                                <w:bottom w:val="none" w:sz="0" w:space="0" w:color="auto"/>
                                <w:right w:val="none" w:sz="0" w:space="0" w:color="auto"/>
                              </w:divBdr>
                              <w:divsChild>
                                <w:div w:id="1713536709">
                                  <w:marLeft w:val="0"/>
                                  <w:marRight w:val="0"/>
                                  <w:marTop w:val="0"/>
                                  <w:marBottom w:val="0"/>
                                  <w:divBdr>
                                    <w:top w:val="none" w:sz="0" w:space="0" w:color="auto"/>
                                    <w:left w:val="none" w:sz="0" w:space="0" w:color="auto"/>
                                    <w:bottom w:val="none" w:sz="0" w:space="0" w:color="auto"/>
                                    <w:right w:val="none" w:sz="0" w:space="0" w:color="auto"/>
                                  </w:divBdr>
                                  <w:divsChild>
                                    <w:div w:id="332727315">
                                      <w:marLeft w:val="0"/>
                                      <w:marRight w:val="0"/>
                                      <w:marTop w:val="0"/>
                                      <w:marBottom w:val="0"/>
                                      <w:divBdr>
                                        <w:top w:val="none" w:sz="0" w:space="0" w:color="auto"/>
                                        <w:left w:val="none" w:sz="0" w:space="0" w:color="auto"/>
                                        <w:bottom w:val="none" w:sz="0" w:space="0" w:color="auto"/>
                                        <w:right w:val="none" w:sz="0" w:space="0" w:color="auto"/>
                                      </w:divBdr>
                                      <w:divsChild>
                                        <w:div w:id="422458672">
                                          <w:marLeft w:val="0"/>
                                          <w:marRight w:val="0"/>
                                          <w:marTop w:val="0"/>
                                          <w:marBottom w:val="0"/>
                                          <w:divBdr>
                                            <w:top w:val="none" w:sz="0" w:space="0" w:color="auto"/>
                                            <w:left w:val="none" w:sz="0" w:space="0" w:color="auto"/>
                                            <w:bottom w:val="none" w:sz="0" w:space="0" w:color="auto"/>
                                            <w:right w:val="none" w:sz="0" w:space="0" w:color="auto"/>
                                          </w:divBdr>
                                          <w:divsChild>
                                            <w:div w:id="138033621">
                                              <w:marLeft w:val="0"/>
                                              <w:marRight w:val="0"/>
                                              <w:marTop w:val="0"/>
                                              <w:marBottom w:val="0"/>
                                              <w:divBdr>
                                                <w:top w:val="none" w:sz="0" w:space="0" w:color="auto"/>
                                                <w:left w:val="none" w:sz="0" w:space="0" w:color="auto"/>
                                                <w:bottom w:val="none" w:sz="0" w:space="0" w:color="auto"/>
                                                <w:right w:val="none" w:sz="0" w:space="0" w:color="auto"/>
                                              </w:divBdr>
                                              <w:divsChild>
                                                <w:div w:id="26108188">
                                                  <w:marLeft w:val="0"/>
                                                  <w:marRight w:val="0"/>
                                                  <w:marTop w:val="0"/>
                                                  <w:marBottom w:val="0"/>
                                                  <w:divBdr>
                                                    <w:top w:val="none" w:sz="0" w:space="0" w:color="auto"/>
                                                    <w:left w:val="none" w:sz="0" w:space="0" w:color="auto"/>
                                                    <w:bottom w:val="none" w:sz="0" w:space="0" w:color="auto"/>
                                                    <w:right w:val="none" w:sz="0" w:space="0" w:color="auto"/>
                                                  </w:divBdr>
                                                  <w:divsChild>
                                                    <w:div w:id="614557199">
                                                      <w:marLeft w:val="0"/>
                                                      <w:marRight w:val="0"/>
                                                      <w:marTop w:val="0"/>
                                                      <w:marBottom w:val="0"/>
                                                      <w:divBdr>
                                                        <w:top w:val="none" w:sz="0" w:space="0" w:color="auto"/>
                                                        <w:left w:val="none" w:sz="0" w:space="0" w:color="auto"/>
                                                        <w:bottom w:val="none" w:sz="0" w:space="0" w:color="auto"/>
                                                        <w:right w:val="none" w:sz="0" w:space="0" w:color="auto"/>
                                                      </w:divBdr>
                                                      <w:divsChild>
                                                        <w:div w:id="93690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8320">
                                              <w:marLeft w:val="0"/>
                                              <w:marRight w:val="0"/>
                                              <w:marTop w:val="0"/>
                                              <w:marBottom w:val="0"/>
                                              <w:divBdr>
                                                <w:top w:val="none" w:sz="0" w:space="0" w:color="auto"/>
                                                <w:left w:val="none" w:sz="0" w:space="0" w:color="auto"/>
                                                <w:bottom w:val="none" w:sz="0" w:space="0" w:color="auto"/>
                                                <w:right w:val="none" w:sz="0" w:space="0" w:color="auto"/>
                                              </w:divBdr>
                                              <w:divsChild>
                                                <w:div w:id="227958924">
                                                  <w:marLeft w:val="0"/>
                                                  <w:marRight w:val="0"/>
                                                  <w:marTop w:val="0"/>
                                                  <w:marBottom w:val="0"/>
                                                  <w:divBdr>
                                                    <w:top w:val="none" w:sz="0" w:space="0" w:color="auto"/>
                                                    <w:left w:val="none" w:sz="0" w:space="0" w:color="auto"/>
                                                    <w:bottom w:val="none" w:sz="0" w:space="0" w:color="auto"/>
                                                    <w:right w:val="none" w:sz="0" w:space="0" w:color="auto"/>
                                                  </w:divBdr>
                                                  <w:divsChild>
                                                    <w:div w:id="111558714">
                                                      <w:marLeft w:val="0"/>
                                                      <w:marRight w:val="0"/>
                                                      <w:marTop w:val="0"/>
                                                      <w:marBottom w:val="0"/>
                                                      <w:divBdr>
                                                        <w:top w:val="none" w:sz="0" w:space="0" w:color="auto"/>
                                                        <w:left w:val="none" w:sz="0" w:space="0" w:color="auto"/>
                                                        <w:bottom w:val="none" w:sz="0" w:space="0" w:color="auto"/>
                                                        <w:right w:val="none" w:sz="0" w:space="0" w:color="auto"/>
                                                      </w:divBdr>
                                                      <w:divsChild>
                                                        <w:div w:id="681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9072519">
          <w:marLeft w:val="0"/>
          <w:marRight w:val="0"/>
          <w:marTop w:val="0"/>
          <w:marBottom w:val="0"/>
          <w:divBdr>
            <w:top w:val="none" w:sz="0" w:space="0" w:color="auto"/>
            <w:left w:val="none" w:sz="0" w:space="0" w:color="auto"/>
            <w:bottom w:val="none" w:sz="0" w:space="0" w:color="auto"/>
            <w:right w:val="none" w:sz="0" w:space="0" w:color="auto"/>
          </w:divBdr>
          <w:divsChild>
            <w:div w:id="115150459">
              <w:marLeft w:val="0"/>
              <w:marRight w:val="0"/>
              <w:marTop w:val="0"/>
              <w:marBottom w:val="0"/>
              <w:divBdr>
                <w:top w:val="none" w:sz="0" w:space="0" w:color="auto"/>
                <w:left w:val="none" w:sz="0" w:space="0" w:color="auto"/>
                <w:bottom w:val="none" w:sz="0" w:space="0" w:color="auto"/>
                <w:right w:val="none" w:sz="0" w:space="0" w:color="auto"/>
              </w:divBdr>
              <w:divsChild>
                <w:div w:id="176501870">
                  <w:marLeft w:val="0"/>
                  <w:marRight w:val="0"/>
                  <w:marTop w:val="0"/>
                  <w:marBottom w:val="0"/>
                  <w:divBdr>
                    <w:top w:val="none" w:sz="0" w:space="0" w:color="auto"/>
                    <w:left w:val="none" w:sz="0" w:space="0" w:color="auto"/>
                    <w:bottom w:val="none" w:sz="0" w:space="0" w:color="auto"/>
                    <w:right w:val="none" w:sz="0" w:space="0" w:color="auto"/>
                  </w:divBdr>
                  <w:divsChild>
                    <w:div w:id="161922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004957">
      <w:bodyDiv w:val="1"/>
      <w:marLeft w:val="0"/>
      <w:marRight w:val="0"/>
      <w:marTop w:val="0"/>
      <w:marBottom w:val="0"/>
      <w:divBdr>
        <w:top w:val="none" w:sz="0" w:space="0" w:color="auto"/>
        <w:left w:val="none" w:sz="0" w:space="0" w:color="auto"/>
        <w:bottom w:val="none" w:sz="0" w:space="0" w:color="auto"/>
        <w:right w:val="none" w:sz="0" w:space="0" w:color="auto"/>
      </w:divBdr>
      <w:divsChild>
        <w:div w:id="866216331">
          <w:marLeft w:val="0"/>
          <w:marRight w:val="0"/>
          <w:marTop w:val="0"/>
          <w:marBottom w:val="0"/>
          <w:divBdr>
            <w:top w:val="none" w:sz="0" w:space="0" w:color="auto"/>
            <w:left w:val="none" w:sz="0" w:space="0" w:color="auto"/>
            <w:bottom w:val="none" w:sz="0" w:space="0" w:color="auto"/>
            <w:right w:val="none" w:sz="0" w:space="0" w:color="auto"/>
          </w:divBdr>
          <w:divsChild>
            <w:div w:id="914780960">
              <w:marLeft w:val="0"/>
              <w:marRight w:val="0"/>
              <w:marTop w:val="0"/>
              <w:marBottom w:val="0"/>
              <w:divBdr>
                <w:top w:val="none" w:sz="0" w:space="0" w:color="auto"/>
                <w:left w:val="none" w:sz="0" w:space="0" w:color="auto"/>
                <w:bottom w:val="none" w:sz="0" w:space="0" w:color="auto"/>
                <w:right w:val="none" w:sz="0" w:space="0" w:color="auto"/>
              </w:divBdr>
              <w:divsChild>
                <w:div w:id="169412089">
                  <w:marLeft w:val="0"/>
                  <w:marRight w:val="0"/>
                  <w:marTop w:val="0"/>
                  <w:marBottom w:val="0"/>
                  <w:divBdr>
                    <w:top w:val="none" w:sz="0" w:space="0" w:color="auto"/>
                    <w:left w:val="none" w:sz="0" w:space="0" w:color="auto"/>
                    <w:bottom w:val="none" w:sz="0" w:space="0" w:color="auto"/>
                    <w:right w:val="none" w:sz="0" w:space="0" w:color="auto"/>
                  </w:divBdr>
                  <w:divsChild>
                    <w:div w:id="1806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445919">
          <w:marLeft w:val="0"/>
          <w:marRight w:val="0"/>
          <w:marTop w:val="0"/>
          <w:marBottom w:val="0"/>
          <w:divBdr>
            <w:top w:val="none" w:sz="0" w:space="0" w:color="auto"/>
            <w:left w:val="none" w:sz="0" w:space="0" w:color="auto"/>
            <w:bottom w:val="none" w:sz="0" w:space="0" w:color="auto"/>
            <w:right w:val="none" w:sz="0" w:space="0" w:color="auto"/>
          </w:divBdr>
          <w:divsChild>
            <w:div w:id="1014840949">
              <w:marLeft w:val="0"/>
              <w:marRight w:val="0"/>
              <w:marTop w:val="0"/>
              <w:marBottom w:val="0"/>
              <w:divBdr>
                <w:top w:val="none" w:sz="0" w:space="0" w:color="auto"/>
                <w:left w:val="none" w:sz="0" w:space="0" w:color="auto"/>
                <w:bottom w:val="none" w:sz="0" w:space="0" w:color="auto"/>
                <w:right w:val="none" w:sz="0" w:space="0" w:color="auto"/>
              </w:divBdr>
              <w:divsChild>
                <w:div w:id="425807555">
                  <w:marLeft w:val="0"/>
                  <w:marRight w:val="0"/>
                  <w:marTop w:val="0"/>
                  <w:marBottom w:val="0"/>
                  <w:divBdr>
                    <w:top w:val="none" w:sz="0" w:space="0" w:color="auto"/>
                    <w:left w:val="none" w:sz="0" w:space="0" w:color="auto"/>
                    <w:bottom w:val="none" w:sz="0" w:space="0" w:color="auto"/>
                    <w:right w:val="none" w:sz="0" w:space="0" w:color="auto"/>
                  </w:divBdr>
                  <w:divsChild>
                    <w:div w:id="4679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804773">
      <w:bodyDiv w:val="1"/>
      <w:marLeft w:val="0"/>
      <w:marRight w:val="0"/>
      <w:marTop w:val="0"/>
      <w:marBottom w:val="0"/>
      <w:divBdr>
        <w:top w:val="none" w:sz="0" w:space="0" w:color="auto"/>
        <w:left w:val="none" w:sz="0" w:space="0" w:color="auto"/>
        <w:bottom w:val="none" w:sz="0" w:space="0" w:color="auto"/>
        <w:right w:val="none" w:sz="0" w:space="0" w:color="auto"/>
      </w:divBdr>
      <w:divsChild>
        <w:div w:id="1789354513">
          <w:marLeft w:val="0"/>
          <w:marRight w:val="0"/>
          <w:marTop w:val="0"/>
          <w:marBottom w:val="0"/>
          <w:divBdr>
            <w:top w:val="none" w:sz="0" w:space="0" w:color="auto"/>
            <w:left w:val="none" w:sz="0" w:space="0" w:color="auto"/>
            <w:bottom w:val="none" w:sz="0" w:space="0" w:color="auto"/>
            <w:right w:val="none" w:sz="0" w:space="0" w:color="auto"/>
          </w:divBdr>
          <w:divsChild>
            <w:div w:id="702022258">
              <w:marLeft w:val="0"/>
              <w:marRight w:val="0"/>
              <w:marTop w:val="0"/>
              <w:marBottom w:val="0"/>
              <w:divBdr>
                <w:top w:val="none" w:sz="0" w:space="0" w:color="auto"/>
                <w:left w:val="none" w:sz="0" w:space="0" w:color="auto"/>
                <w:bottom w:val="none" w:sz="0" w:space="0" w:color="auto"/>
                <w:right w:val="none" w:sz="0" w:space="0" w:color="auto"/>
              </w:divBdr>
              <w:divsChild>
                <w:div w:id="608464424">
                  <w:marLeft w:val="0"/>
                  <w:marRight w:val="0"/>
                  <w:marTop w:val="0"/>
                  <w:marBottom w:val="0"/>
                  <w:divBdr>
                    <w:top w:val="none" w:sz="0" w:space="0" w:color="auto"/>
                    <w:left w:val="none" w:sz="0" w:space="0" w:color="auto"/>
                    <w:bottom w:val="none" w:sz="0" w:space="0" w:color="auto"/>
                    <w:right w:val="none" w:sz="0" w:space="0" w:color="auto"/>
                  </w:divBdr>
                  <w:divsChild>
                    <w:div w:id="855272790">
                      <w:marLeft w:val="0"/>
                      <w:marRight w:val="0"/>
                      <w:marTop w:val="0"/>
                      <w:marBottom w:val="0"/>
                      <w:divBdr>
                        <w:top w:val="none" w:sz="0" w:space="0" w:color="auto"/>
                        <w:left w:val="none" w:sz="0" w:space="0" w:color="auto"/>
                        <w:bottom w:val="none" w:sz="0" w:space="0" w:color="auto"/>
                        <w:right w:val="none" w:sz="0" w:space="0" w:color="auto"/>
                      </w:divBdr>
                      <w:divsChild>
                        <w:div w:id="1412704387">
                          <w:marLeft w:val="0"/>
                          <w:marRight w:val="0"/>
                          <w:marTop w:val="0"/>
                          <w:marBottom w:val="0"/>
                          <w:divBdr>
                            <w:top w:val="none" w:sz="0" w:space="0" w:color="auto"/>
                            <w:left w:val="none" w:sz="0" w:space="0" w:color="auto"/>
                            <w:bottom w:val="none" w:sz="0" w:space="0" w:color="auto"/>
                            <w:right w:val="none" w:sz="0" w:space="0" w:color="auto"/>
                          </w:divBdr>
                          <w:divsChild>
                            <w:div w:id="1978682646">
                              <w:marLeft w:val="0"/>
                              <w:marRight w:val="0"/>
                              <w:marTop w:val="0"/>
                              <w:marBottom w:val="0"/>
                              <w:divBdr>
                                <w:top w:val="none" w:sz="0" w:space="0" w:color="auto"/>
                                <w:left w:val="none" w:sz="0" w:space="0" w:color="auto"/>
                                <w:bottom w:val="none" w:sz="0" w:space="0" w:color="auto"/>
                                <w:right w:val="none" w:sz="0" w:space="0" w:color="auto"/>
                              </w:divBdr>
                              <w:divsChild>
                                <w:div w:id="1225531294">
                                  <w:marLeft w:val="0"/>
                                  <w:marRight w:val="0"/>
                                  <w:marTop w:val="0"/>
                                  <w:marBottom w:val="0"/>
                                  <w:divBdr>
                                    <w:top w:val="none" w:sz="0" w:space="0" w:color="auto"/>
                                    <w:left w:val="none" w:sz="0" w:space="0" w:color="auto"/>
                                    <w:bottom w:val="none" w:sz="0" w:space="0" w:color="auto"/>
                                    <w:right w:val="none" w:sz="0" w:space="0" w:color="auto"/>
                                  </w:divBdr>
                                  <w:divsChild>
                                    <w:div w:id="624771682">
                                      <w:marLeft w:val="0"/>
                                      <w:marRight w:val="0"/>
                                      <w:marTop w:val="0"/>
                                      <w:marBottom w:val="0"/>
                                      <w:divBdr>
                                        <w:top w:val="none" w:sz="0" w:space="0" w:color="auto"/>
                                        <w:left w:val="none" w:sz="0" w:space="0" w:color="auto"/>
                                        <w:bottom w:val="none" w:sz="0" w:space="0" w:color="auto"/>
                                        <w:right w:val="none" w:sz="0" w:space="0" w:color="auto"/>
                                      </w:divBdr>
                                      <w:divsChild>
                                        <w:div w:id="800609287">
                                          <w:marLeft w:val="0"/>
                                          <w:marRight w:val="0"/>
                                          <w:marTop w:val="0"/>
                                          <w:marBottom w:val="0"/>
                                          <w:divBdr>
                                            <w:top w:val="none" w:sz="0" w:space="0" w:color="auto"/>
                                            <w:left w:val="none" w:sz="0" w:space="0" w:color="auto"/>
                                            <w:bottom w:val="none" w:sz="0" w:space="0" w:color="auto"/>
                                            <w:right w:val="none" w:sz="0" w:space="0" w:color="auto"/>
                                          </w:divBdr>
                                          <w:divsChild>
                                            <w:div w:id="838227631">
                                              <w:marLeft w:val="0"/>
                                              <w:marRight w:val="0"/>
                                              <w:marTop w:val="0"/>
                                              <w:marBottom w:val="0"/>
                                              <w:divBdr>
                                                <w:top w:val="none" w:sz="0" w:space="0" w:color="auto"/>
                                                <w:left w:val="none" w:sz="0" w:space="0" w:color="auto"/>
                                                <w:bottom w:val="none" w:sz="0" w:space="0" w:color="auto"/>
                                                <w:right w:val="none" w:sz="0" w:space="0" w:color="auto"/>
                                              </w:divBdr>
                                              <w:divsChild>
                                                <w:div w:id="240020799">
                                                  <w:marLeft w:val="0"/>
                                                  <w:marRight w:val="0"/>
                                                  <w:marTop w:val="0"/>
                                                  <w:marBottom w:val="0"/>
                                                  <w:divBdr>
                                                    <w:top w:val="none" w:sz="0" w:space="0" w:color="auto"/>
                                                    <w:left w:val="none" w:sz="0" w:space="0" w:color="auto"/>
                                                    <w:bottom w:val="none" w:sz="0" w:space="0" w:color="auto"/>
                                                    <w:right w:val="none" w:sz="0" w:space="0" w:color="auto"/>
                                                  </w:divBdr>
                                                  <w:divsChild>
                                                    <w:div w:id="939917642">
                                                      <w:marLeft w:val="0"/>
                                                      <w:marRight w:val="0"/>
                                                      <w:marTop w:val="0"/>
                                                      <w:marBottom w:val="0"/>
                                                      <w:divBdr>
                                                        <w:top w:val="none" w:sz="0" w:space="0" w:color="auto"/>
                                                        <w:left w:val="none" w:sz="0" w:space="0" w:color="auto"/>
                                                        <w:bottom w:val="none" w:sz="0" w:space="0" w:color="auto"/>
                                                        <w:right w:val="none" w:sz="0" w:space="0" w:color="auto"/>
                                                      </w:divBdr>
                                                      <w:divsChild>
                                                        <w:div w:id="120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00857">
                                              <w:marLeft w:val="0"/>
                                              <w:marRight w:val="0"/>
                                              <w:marTop w:val="0"/>
                                              <w:marBottom w:val="0"/>
                                              <w:divBdr>
                                                <w:top w:val="none" w:sz="0" w:space="0" w:color="auto"/>
                                                <w:left w:val="none" w:sz="0" w:space="0" w:color="auto"/>
                                                <w:bottom w:val="none" w:sz="0" w:space="0" w:color="auto"/>
                                                <w:right w:val="none" w:sz="0" w:space="0" w:color="auto"/>
                                              </w:divBdr>
                                              <w:divsChild>
                                                <w:div w:id="82843405">
                                                  <w:marLeft w:val="0"/>
                                                  <w:marRight w:val="0"/>
                                                  <w:marTop w:val="0"/>
                                                  <w:marBottom w:val="0"/>
                                                  <w:divBdr>
                                                    <w:top w:val="none" w:sz="0" w:space="0" w:color="auto"/>
                                                    <w:left w:val="none" w:sz="0" w:space="0" w:color="auto"/>
                                                    <w:bottom w:val="none" w:sz="0" w:space="0" w:color="auto"/>
                                                    <w:right w:val="none" w:sz="0" w:space="0" w:color="auto"/>
                                                  </w:divBdr>
                                                  <w:divsChild>
                                                    <w:div w:id="1217623172">
                                                      <w:marLeft w:val="0"/>
                                                      <w:marRight w:val="0"/>
                                                      <w:marTop w:val="0"/>
                                                      <w:marBottom w:val="0"/>
                                                      <w:divBdr>
                                                        <w:top w:val="none" w:sz="0" w:space="0" w:color="auto"/>
                                                        <w:left w:val="none" w:sz="0" w:space="0" w:color="auto"/>
                                                        <w:bottom w:val="none" w:sz="0" w:space="0" w:color="auto"/>
                                                        <w:right w:val="none" w:sz="0" w:space="0" w:color="auto"/>
                                                      </w:divBdr>
                                                      <w:divsChild>
                                                        <w:div w:id="18718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453367">
          <w:marLeft w:val="0"/>
          <w:marRight w:val="0"/>
          <w:marTop w:val="0"/>
          <w:marBottom w:val="0"/>
          <w:divBdr>
            <w:top w:val="none" w:sz="0" w:space="0" w:color="auto"/>
            <w:left w:val="none" w:sz="0" w:space="0" w:color="auto"/>
            <w:bottom w:val="none" w:sz="0" w:space="0" w:color="auto"/>
            <w:right w:val="none" w:sz="0" w:space="0" w:color="auto"/>
          </w:divBdr>
          <w:divsChild>
            <w:div w:id="544831374">
              <w:marLeft w:val="0"/>
              <w:marRight w:val="0"/>
              <w:marTop w:val="0"/>
              <w:marBottom w:val="0"/>
              <w:divBdr>
                <w:top w:val="none" w:sz="0" w:space="0" w:color="auto"/>
                <w:left w:val="none" w:sz="0" w:space="0" w:color="auto"/>
                <w:bottom w:val="none" w:sz="0" w:space="0" w:color="auto"/>
                <w:right w:val="none" w:sz="0" w:space="0" w:color="auto"/>
              </w:divBdr>
              <w:divsChild>
                <w:div w:id="160318595">
                  <w:marLeft w:val="0"/>
                  <w:marRight w:val="0"/>
                  <w:marTop w:val="0"/>
                  <w:marBottom w:val="0"/>
                  <w:divBdr>
                    <w:top w:val="none" w:sz="0" w:space="0" w:color="auto"/>
                    <w:left w:val="none" w:sz="0" w:space="0" w:color="auto"/>
                    <w:bottom w:val="none" w:sz="0" w:space="0" w:color="auto"/>
                    <w:right w:val="none" w:sz="0" w:space="0" w:color="auto"/>
                  </w:divBdr>
                  <w:divsChild>
                    <w:div w:id="1470779321">
                      <w:marLeft w:val="0"/>
                      <w:marRight w:val="0"/>
                      <w:marTop w:val="0"/>
                      <w:marBottom w:val="0"/>
                      <w:divBdr>
                        <w:top w:val="none" w:sz="0" w:space="0" w:color="auto"/>
                        <w:left w:val="none" w:sz="0" w:space="0" w:color="auto"/>
                        <w:bottom w:val="none" w:sz="0" w:space="0" w:color="auto"/>
                        <w:right w:val="none" w:sz="0" w:space="0" w:color="auto"/>
                      </w:divBdr>
                    </w:div>
                  </w:divsChild>
                </w:div>
                <w:div w:id="200462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244787">
      <w:bodyDiv w:val="1"/>
      <w:marLeft w:val="0"/>
      <w:marRight w:val="0"/>
      <w:marTop w:val="0"/>
      <w:marBottom w:val="0"/>
      <w:divBdr>
        <w:top w:val="none" w:sz="0" w:space="0" w:color="auto"/>
        <w:left w:val="none" w:sz="0" w:space="0" w:color="auto"/>
        <w:bottom w:val="none" w:sz="0" w:space="0" w:color="auto"/>
        <w:right w:val="none" w:sz="0" w:space="0" w:color="auto"/>
      </w:divBdr>
    </w:div>
    <w:div w:id="1754014309">
      <w:bodyDiv w:val="1"/>
      <w:marLeft w:val="0"/>
      <w:marRight w:val="0"/>
      <w:marTop w:val="0"/>
      <w:marBottom w:val="0"/>
      <w:divBdr>
        <w:top w:val="none" w:sz="0" w:space="0" w:color="auto"/>
        <w:left w:val="none" w:sz="0" w:space="0" w:color="auto"/>
        <w:bottom w:val="none" w:sz="0" w:space="0" w:color="auto"/>
        <w:right w:val="none" w:sz="0" w:space="0" w:color="auto"/>
      </w:divBdr>
    </w:div>
    <w:div w:id="1755128046">
      <w:bodyDiv w:val="1"/>
      <w:marLeft w:val="0"/>
      <w:marRight w:val="0"/>
      <w:marTop w:val="0"/>
      <w:marBottom w:val="0"/>
      <w:divBdr>
        <w:top w:val="none" w:sz="0" w:space="0" w:color="auto"/>
        <w:left w:val="none" w:sz="0" w:space="0" w:color="auto"/>
        <w:bottom w:val="none" w:sz="0" w:space="0" w:color="auto"/>
        <w:right w:val="none" w:sz="0" w:space="0" w:color="auto"/>
      </w:divBdr>
      <w:divsChild>
        <w:div w:id="1110320283">
          <w:marLeft w:val="0"/>
          <w:marRight w:val="0"/>
          <w:marTop w:val="0"/>
          <w:marBottom w:val="0"/>
          <w:divBdr>
            <w:top w:val="none" w:sz="0" w:space="0" w:color="auto"/>
            <w:left w:val="none" w:sz="0" w:space="0" w:color="auto"/>
            <w:bottom w:val="none" w:sz="0" w:space="0" w:color="auto"/>
            <w:right w:val="none" w:sz="0" w:space="0" w:color="auto"/>
          </w:divBdr>
          <w:divsChild>
            <w:div w:id="1317760987">
              <w:marLeft w:val="0"/>
              <w:marRight w:val="0"/>
              <w:marTop w:val="0"/>
              <w:marBottom w:val="0"/>
              <w:divBdr>
                <w:top w:val="none" w:sz="0" w:space="0" w:color="auto"/>
                <w:left w:val="none" w:sz="0" w:space="0" w:color="auto"/>
                <w:bottom w:val="none" w:sz="0" w:space="0" w:color="auto"/>
                <w:right w:val="none" w:sz="0" w:space="0" w:color="auto"/>
              </w:divBdr>
              <w:divsChild>
                <w:div w:id="507718291">
                  <w:marLeft w:val="0"/>
                  <w:marRight w:val="0"/>
                  <w:marTop w:val="0"/>
                  <w:marBottom w:val="0"/>
                  <w:divBdr>
                    <w:top w:val="none" w:sz="0" w:space="0" w:color="auto"/>
                    <w:left w:val="none" w:sz="0" w:space="0" w:color="auto"/>
                    <w:bottom w:val="none" w:sz="0" w:space="0" w:color="auto"/>
                    <w:right w:val="none" w:sz="0" w:space="0" w:color="auto"/>
                  </w:divBdr>
                  <w:divsChild>
                    <w:div w:id="1385715959">
                      <w:marLeft w:val="0"/>
                      <w:marRight w:val="0"/>
                      <w:marTop w:val="0"/>
                      <w:marBottom w:val="0"/>
                      <w:divBdr>
                        <w:top w:val="none" w:sz="0" w:space="0" w:color="auto"/>
                        <w:left w:val="none" w:sz="0" w:space="0" w:color="auto"/>
                        <w:bottom w:val="none" w:sz="0" w:space="0" w:color="auto"/>
                        <w:right w:val="none" w:sz="0" w:space="0" w:color="auto"/>
                      </w:divBdr>
                      <w:divsChild>
                        <w:div w:id="1684473655">
                          <w:marLeft w:val="0"/>
                          <w:marRight w:val="0"/>
                          <w:marTop w:val="0"/>
                          <w:marBottom w:val="0"/>
                          <w:divBdr>
                            <w:top w:val="none" w:sz="0" w:space="0" w:color="auto"/>
                            <w:left w:val="none" w:sz="0" w:space="0" w:color="auto"/>
                            <w:bottom w:val="none" w:sz="0" w:space="0" w:color="auto"/>
                            <w:right w:val="none" w:sz="0" w:space="0" w:color="auto"/>
                          </w:divBdr>
                          <w:divsChild>
                            <w:div w:id="21308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530422">
      <w:bodyDiv w:val="1"/>
      <w:marLeft w:val="0"/>
      <w:marRight w:val="0"/>
      <w:marTop w:val="0"/>
      <w:marBottom w:val="0"/>
      <w:divBdr>
        <w:top w:val="none" w:sz="0" w:space="0" w:color="auto"/>
        <w:left w:val="none" w:sz="0" w:space="0" w:color="auto"/>
        <w:bottom w:val="none" w:sz="0" w:space="0" w:color="auto"/>
        <w:right w:val="none" w:sz="0" w:space="0" w:color="auto"/>
      </w:divBdr>
    </w:div>
    <w:div w:id="1906337065">
      <w:bodyDiv w:val="1"/>
      <w:marLeft w:val="0"/>
      <w:marRight w:val="0"/>
      <w:marTop w:val="0"/>
      <w:marBottom w:val="0"/>
      <w:divBdr>
        <w:top w:val="none" w:sz="0" w:space="0" w:color="auto"/>
        <w:left w:val="none" w:sz="0" w:space="0" w:color="auto"/>
        <w:bottom w:val="none" w:sz="0" w:space="0" w:color="auto"/>
        <w:right w:val="none" w:sz="0" w:space="0" w:color="auto"/>
      </w:divBdr>
    </w:div>
    <w:div w:id="1911118227">
      <w:bodyDiv w:val="1"/>
      <w:marLeft w:val="0"/>
      <w:marRight w:val="0"/>
      <w:marTop w:val="0"/>
      <w:marBottom w:val="0"/>
      <w:divBdr>
        <w:top w:val="none" w:sz="0" w:space="0" w:color="auto"/>
        <w:left w:val="none" w:sz="0" w:space="0" w:color="auto"/>
        <w:bottom w:val="none" w:sz="0" w:space="0" w:color="auto"/>
        <w:right w:val="none" w:sz="0" w:space="0" w:color="auto"/>
      </w:divBdr>
    </w:div>
    <w:div w:id="1913808117">
      <w:bodyDiv w:val="1"/>
      <w:marLeft w:val="0"/>
      <w:marRight w:val="0"/>
      <w:marTop w:val="0"/>
      <w:marBottom w:val="0"/>
      <w:divBdr>
        <w:top w:val="none" w:sz="0" w:space="0" w:color="auto"/>
        <w:left w:val="none" w:sz="0" w:space="0" w:color="auto"/>
        <w:bottom w:val="none" w:sz="0" w:space="0" w:color="auto"/>
        <w:right w:val="none" w:sz="0" w:space="0" w:color="auto"/>
      </w:divBdr>
    </w:div>
    <w:div w:id="1936480673">
      <w:bodyDiv w:val="1"/>
      <w:marLeft w:val="0"/>
      <w:marRight w:val="0"/>
      <w:marTop w:val="0"/>
      <w:marBottom w:val="0"/>
      <w:divBdr>
        <w:top w:val="none" w:sz="0" w:space="0" w:color="auto"/>
        <w:left w:val="none" w:sz="0" w:space="0" w:color="auto"/>
        <w:bottom w:val="none" w:sz="0" w:space="0" w:color="auto"/>
        <w:right w:val="none" w:sz="0" w:space="0" w:color="auto"/>
      </w:divBdr>
    </w:div>
    <w:div w:id="1961300113">
      <w:bodyDiv w:val="1"/>
      <w:marLeft w:val="0"/>
      <w:marRight w:val="0"/>
      <w:marTop w:val="0"/>
      <w:marBottom w:val="0"/>
      <w:divBdr>
        <w:top w:val="none" w:sz="0" w:space="0" w:color="auto"/>
        <w:left w:val="none" w:sz="0" w:space="0" w:color="auto"/>
        <w:bottom w:val="none" w:sz="0" w:space="0" w:color="auto"/>
        <w:right w:val="none" w:sz="0" w:space="0" w:color="auto"/>
      </w:divBdr>
    </w:div>
    <w:div w:id="1970165015">
      <w:bodyDiv w:val="1"/>
      <w:marLeft w:val="0"/>
      <w:marRight w:val="0"/>
      <w:marTop w:val="0"/>
      <w:marBottom w:val="0"/>
      <w:divBdr>
        <w:top w:val="none" w:sz="0" w:space="0" w:color="auto"/>
        <w:left w:val="none" w:sz="0" w:space="0" w:color="auto"/>
        <w:bottom w:val="none" w:sz="0" w:space="0" w:color="auto"/>
        <w:right w:val="none" w:sz="0" w:space="0" w:color="auto"/>
      </w:divBdr>
    </w:div>
    <w:div w:id="1982071358">
      <w:bodyDiv w:val="1"/>
      <w:marLeft w:val="0"/>
      <w:marRight w:val="0"/>
      <w:marTop w:val="0"/>
      <w:marBottom w:val="0"/>
      <w:divBdr>
        <w:top w:val="none" w:sz="0" w:space="0" w:color="auto"/>
        <w:left w:val="none" w:sz="0" w:space="0" w:color="auto"/>
        <w:bottom w:val="none" w:sz="0" w:space="0" w:color="auto"/>
        <w:right w:val="none" w:sz="0" w:space="0" w:color="auto"/>
      </w:divBdr>
      <w:divsChild>
        <w:div w:id="1817143777">
          <w:marLeft w:val="0"/>
          <w:marRight w:val="0"/>
          <w:marTop w:val="0"/>
          <w:marBottom w:val="0"/>
          <w:divBdr>
            <w:top w:val="none" w:sz="0" w:space="0" w:color="auto"/>
            <w:left w:val="none" w:sz="0" w:space="0" w:color="auto"/>
            <w:bottom w:val="none" w:sz="0" w:space="0" w:color="auto"/>
            <w:right w:val="none" w:sz="0" w:space="0" w:color="auto"/>
          </w:divBdr>
          <w:divsChild>
            <w:div w:id="361901185">
              <w:marLeft w:val="0"/>
              <w:marRight w:val="0"/>
              <w:marTop w:val="0"/>
              <w:marBottom w:val="0"/>
              <w:divBdr>
                <w:top w:val="none" w:sz="0" w:space="0" w:color="auto"/>
                <w:left w:val="none" w:sz="0" w:space="0" w:color="auto"/>
                <w:bottom w:val="none" w:sz="0" w:space="0" w:color="auto"/>
                <w:right w:val="none" w:sz="0" w:space="0" w:color="auto"/>
              </w:divBdr>
              <w:divsChild>
                <w:div w:id="1046639868">
                  <w:marLeft w:val="0"/>
                  <w:marRight w:val="0"/>
                  <w:marTop w:val="0"/>
                  <w:marBottom w:val="0"/>
                  <w:divBdr>
                    <w:top w:val="none" w:sz="0" w:space="0" w:color="auto"/>
                    <w:left w:val="none" w:sz="0" w:space="0" w:color="auto"/>
                    <w:bottom w:val="none" w:sz="0" w:space="0" w:color="auto"/>
                    <w:right w:val="none" w:sz="0" w:space="0" w:color="auto"/>
                  </w:divBdr>
                  <w:divsChild>
                    <w:div w:id="105588046">
                      <w:marLeft w:val="0"/>
                      <w:marRight w:val="0"/>
                      <w:marTop w:val="0"/>
                      <w:marBottom w:val="0"/>
                      <w:divBdr>
                        <w:top w:val="none" w:sz="0" w:space="0" w:color="auto"/>
                        <w:left w:val="none" w:sz="0" w:space="0" w:color="auto"/>
                        <w:bottom w:val="none" w:sz="0" w:space="0" w:color="auto"/>
                        <w:right w:val="none" w:sz="0" w:space="0" w:color="auto"/>
                      </w:divBdr>
                      <w:divsChild>
                        <w:div w:id="1569997478">
                          <w:marLeft w:val="0"/>
                          <w:marRight w:val="0"/>
                          <w:marTop w:val="0"/>
                          <w:marBottom w:val="0"/>
                          <w:divBdr>
                            <w:top w:val="none" w:sz="0" w:space="0" w:color="auto"/>
                            <w:left w:val="none" w:sz="0" w:space="0" w:color="auto"/>
                            <w:bottom w:val="none" w:sz="0" w:space="0" w:color="auto"/>
                            <w:right w:val="none" w:sz="0" w:space="0" w:color="auto"/>
                          </w:divBdr>
                          <w:divsChild>
                            <w:div w:id="82158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552825">
      <w:bodyDiv w:val="1"/>
      <w:marLeft w:val="0"/>
      <w:marRight w:val="0"/>
      <w:marTop w:val="0"/>
      <w:marBottom w:val="0"/>
      <w:divBdr>
        <w:top w:val="none" w:sz="0" w:space="0" w:color="auto"/>
        <w:left w:val="none" w:sz="0" w:space="0" w:color="auto"/>
        <w:bottom w:val="none" w:sz="0" w:space="0" w:color="auto"/>
        <w:right w:val="none" w:sz="0" w:space="0" w:color="auto"/>
      </w:divBdr>
    </w:div>
    <w:div w:id="2026863910">
      <w:bodyDiv w:val="1"/>
      <w:marLeft w:val="0"/>
      <w:marRight w:val="0"/>
      <w:marTop w:val="0"/>
      <w:marBottom w:val="0"/>
      <w:divBdr>
        <w:top w:val="none" w:sz="0" w:space="0" w:color="auto"/>
        <w:left w:val="none" w:sz="0" w:space="0" w:color="auto"/>
        <w:bottom w:val="none" w:sz="0" w:space="0" w:color="auto"/>
        <w:right w:val="none" w:sz="0" w:space="0" w:color="auto"/>
      </w:divBdr>
    </w:div>
    <w:div w:id="2056388707">
      <w:bodyDiv w:val="1"/>
      <w:marLeft w:val="0"/>
      <w:marRight w:val="0"/>
      <w:marTop w:val="0"/>
      <w:marBottom w:val="0"/>
      <w:divBdr>
        <w:top w:val="none" w:sz="0" w:space="0" w:color="auto"/>
        <w:left w:val="none" w:sz="0" w:space="0" w:color="auto"/>
        <w:bottom w:val="none" w:sz="0" w:space="0" w:color="auto"/>
        <w:right w:val="none" w:sz="0" w:space="0" w:color="auto"/>
      </w:divBdr>
    </w:div>
    <w:div w:id="2089880872">
      <w:bodyDiv w:val="1"/>
      <w:marLeft w:val="0"/>
      <w:marRight w:val="0"/>
      <w:marTop w:val="0"/>
      <w:marBottom w:val="0"/>
      <w:divBdr>
        <w:top w:val="none" w:sz="0" w:space="0" w:color="auto"/>
        <w:left w:val="none" w:sz="0" w:space="0" w:color="auto"/>
        <w:bottom w:val="none" w:sz="0" w:space="0" w:color="auto"/>
        <w:right w:val="none" w:sz="0" w:space="0" w:color="auto"/>
      </w:divBdr>
    </w:div>
    <w:div w:id="213590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117</Pages>
  <Words>53206</Words>
  <Characters>303280</Characters>
  <Application>Microsoft Office Word</Application>
  <DocSecurity>0</DocSecurity>
  <Lines>2527</Lines>
  <Paragraphs>711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Elman</dc:creator>
  <cp:keywords/>
  <dc:description/>
  <cp:lastModifiedBy>Jerry Elman</cp:lastModifiedBy>
  <cp:revision>4</cp:revision>
  <dcterms:created xsi:type="dcterms:W3CDTF">2024-09-12T22:15:00Z</dcterms:created>
  <dcterms:modified xsi:type="dcterms:W3CDTF">2024-09-13T02:16:00Z</dcterms:modified>
</cp:coreProperties>
</file>