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sz w:val="32"/>
          <w:szCs w:val="32"/>
        </w:rPr>
      </w:pPr>
      <w:r>
        <w:rPr>
          <w:rFonts w:hint="default" w:ascii="Times New Roman" w:hAnsi="Times New Roman" w:eastAsia="Segoe UI" w:cs="Times New Roman"/>
          <w:b/>
          <w:bCs/>
          <w:i w:val="0"/>
          <w:iCs w:val="0"/>
          <w:caps w:val="0"/>
          <w:color w:val="0F0F0F"/>
          <w:spacing w:val="0"/>
          <w:sz w:val="32"/>
          <w:szCs w:val="32"/>
        </w:rPr>
        <w:t xml:space="preserve">Delving into Financial Literacy </w:t>
      </w:r>
      <w:r>
        <w:rPr>
          <w:rFonts w:hint="default" w:ascii="Times New Roman" w:hAnsi="Times New Roman" w:eastAsia="Segoe UI" w:cs="Times New Roman"/>
          <w:b/>
          <w:bCs/>
          <w:i w:val="0"/>
          <w:iCs w:val="0"/>
          <w:caps w:val="0"/>
          <w:color w:val="0F0F0F"/>
          <w:spacing w:val="0"/>
          <w:sz w:val="32"/>
          <w:szCs w:val="32"/>
          <w:lang w:val="en-US"/>
        </w:rPr>
        <w:t xml:space="preserve">: A Case Study of </w:t>
      </w:r>
      <w:r>
        <w:rPr>
          <w:rFonts w:hint="default" w:ascii="Times New Roman" w:hAnsi="Times New Roman" w:eastAsia="Segoe UI" w:cs="Times New Roman"/>
          <w:b/>
          <w:bCs/>
          <w:i w:val="0"/>
          <w:iCs w:val="0"/>
          <w:caps w:val="0"/>
          <w:color w:val="0F0F0F"/>
          <w:spacing w:val="0"/>
          <w:sz w:val="32"/>
          <w:szCs w:val="32"/>
        </w:rPr>
        <w:t xml:space="preserve"> the </w:t>
      </w:r>
      <w:r>
        <w:rPr>
          <w:rFonts w:hint="default" w:ascii="Times New Roman" w:hAnsi="Times New Roman" w:eastAsia="Segoe UI" w:cs="Times New Roman"/>
          <w:b/>
          <w:bCs/>
          <w:i w:val="0"/>
          <w:iCs w:val="0"/>
          <w:caps w:val="0"/>
          <w:color w:val="0F0F0F"/>
          <w:spacing w:val="0"/>
          <w:sz w:val="32"/>
          <w:szCs w:val="32"/>
          <w:lang w:val="en-US"/>
        </w:rPr>
        <w:t>Scholars</w:t>
      </w:r>
      <w:r>
        <w:rPr>
          <w:rFonts w:hint="default" w:ascii="Times New Roman" w:hAnsi="Times New Roman" w:eastAsia="Segoe UI" w:cs="Times New Roman"/>
          <w:b/>
          <w:bCs/>
          <w:i w:val="0"/>
          <w:iCs w:val="0"/>
          <w:caps w:val="0"/>
          <w:color w:val="0F0F0F"/>
          <w:spacing w:val="0"/>
          <w:sz w:val="32"/>
          <w:szCs w:val="32"/>
        </w:rPr>
        <w:t xml:space="preserve"> of Prabhu Dayal Memorial University, Bahadurgarh</w:t>
      </w:r>
    </w:p>
    <w:p>
      <w:pPr>
        <w:jc w:val="center"/>
        <w:rPr>
          <w:rFonts w:ascii="Times New Roman" w:hAnsi="Times New Roman"/>
          <w:b/>
          <w:sz w:val="28"/>
          <w:szCs w:val="28"/>
        </w:rPr>
      </w:pPr>
      <w:r>
        <w:rPr>
          <w:rFonts w:ascii="Times New Roman" w:hAnsi="Times New Roman"/>
          <w:b/>
          <w:sz w:val="28"/>
          <w:szCs w:val="28"/>
        </w:rPr>
        <w:t>Dr. Anju</w:t>
      </w:r>
      <w:r>
        <w:rPr>
          <w:rFonts w:hint="default" w:ascii="Times New Roman" w:hAnsi="Times New Roman"/>
          <w:b/>
          <w:sz w:val="28"/>
          <w:szCs w:val="28"/>
          <w:lang w:val="en-US"/>
        </w:rPr>
        <w:t xml:space="preserve"> Rohilla</w:t>
      </w:r>
      <w:r>
        <w:rPr>
          <w:rFonts w:ascii="Times New Roman" w:hAnsi="Times New Roman"/>
          <w:b/>
          <w:sz w:val="28"/>
          <w:szCs w:val="28"/>
          <w:vertAlign w:val="superscript"/>
        </w:rPr>
        <w:t>1</w:t>
      </w:r>
      <w:r>
        <w:rPr>
          <w:rFonts w:ascii="Times New Roman" w:hAnsi="Times New Roman"/>
          <w:b/>
          <w:sz w:val="28"/>
          <w:szCs w:val="28"/>
        </w:rPr>
        <w:t>,</w:t>
      </w:r>
      <w:r>
        <w:rPr>
          <w:rFonts w:hint="default" w:ascii="Times New Roman" w:hAnsi="Times New Roman"/>
          <w:b/>
          <w:sz w:val="28"/>
          <w:szCs w:val="28"/>
          <w:lang w:val="en-US"/>
        </w:rPr>
        <w:t xml:space="preserve"> Dr. Rohit</w:t>
      </w:r>
      <w:r>
        <w:rPr>
          <w:rFonts w:hint="default" w:ascii="Times New Roman" w:hAnsi="Times New Roman"/>
          <w:b/>
          <w:sz w:val="28"/>
          <w:szCs w:val="28"/>
          <w:vertAlign w:val="superscript"/>
          <w:lang w:val="en-US"/>
        </w:rPr>
        <w:t>2</w:t>
      </w:r>
      <w:r>
        <w:rPr>
          <w:rFonts w:hint="default" w:ascii="Times New Roman" w:hAnsi="Times New Roman"/>
          <w:b/>
          <w:sz w:val="28"/>
          <w:szCs w:val="28"/>
          <w:lang w:val="en-US"/>
        </w:rPr>
        <w:t xml:space="preserve">, </w:t>
      </w:r>
      <w:r>
        <w:rPr>
          <w:rFonts w:ascii="Times New Roman" w:hAnsi="Times New Roman"/>
          <w:b/>
          <w:sz w:val="28"/>
          <w:szCs w:val="28"/>
        </w:rPr>
        <w:t xml:space="preserve"> Ms. Preeti</w:t>
      </w:r>
      <w:r>
        <w:rPr>
          <w:rFonts w:hint="default" w:ascii="Times New Roman" w:hAnsi="Times New Roman"/>
          <w:b/>
          <w:sz w:val="28"/>
          <w:szCs w:val="28"/>
          <w:vertAlign w:val="superscript"/>
          <w:lang w:val="en-US"/>
        </w:rPr>
        <w:t>3</w:t>
      </w:r>
      <w:r>
        <w:rPr>
          <w:rFonts w:ascii="Times New Roman" w:hAnsi="Times New Roman"/>
          <w:b/>
          <w:sz w:val="28"/>
          <w:szCs w:val="28"/>
        </w:rPr>
        <w:t xml:space="preserve"> </w:t>
      </w:r>
    </w:p>
    <w:p>
      <w:pPr>
        <w:spacing w:after="0"/>
        <w:jc w:val="center"/>
        <w:rPr>
          <w:rStyle w:val="5"/>
        </w:rPr>
      </w:pPr>
      <w:r>
        <w:fldChar w:fldCharType="begin"/>
      </w:r>
      <w:r>
        <w:instrText xml:space="preserve"> HYPERLINK "mailto:anju.rohilla.snp@gmail.com" </w:instrText>
      </w:r>
      <w:r>
        <w:fldChar w:fldCharType="separate"/>
      </w:r>
      <w:r>
        <w:rPr>
          <w:rStyle w:val="5"/>
          <w:rFonts w:ascii="Times New Roman" w:hAnsi="Times New Roman"/>
          <w:bCs/>
          <w:sz w:val="24"/>
          <w:szCs w:val="24"/>
        </w:rPr>
        <w:t>anju.rohilla.snp@gmail.com</w:t>
      </w:r>
      <w:r>
        <w:rPr>
          <w:rStyle w:val="5"/>
          <w:rFonts w:ascii="Times New Roman" w:hAnsi="Times New Roman"/>
          <w:bCs/>
          <w:sz w:val="24"/>
          <w:szCs w:val="24"/>
        </w:rPr>
        <w:fldChar w:fldCharType="end"/>
      </w:r>
      <w:r>
        <w:t xml:space="preserve">, </w:t>
      </w:r>
      <w:r>
        <w:rPr>
          <w:rFonts w:hint="default"/>
          <w:lang w:val="en-US"/>
        </w:rPr>
        <w:fldChar w:fldCharType="begin"/>
      </w:r>
      <w:r>
        <w:rPr>
          <w:rFonts w:hint="default"/>
          <w:lang w:val="en-US"/>
        </w:rPr>
        <w:instrText xml:space="preserve"> HYPERLINK "mailto:rohit.teacher@gmail.com," </w:instrText>
      </w:r>
      <w:r>
        <w:rPr>
          <w:rFonts w:hint="default"/>
          <w:lang w:val="en-US"/>
        </w:rPr>
        <w:fldChar w:fldCharType="separate"/>
      </w:r>
      <w:r>
        <w:rPr>
          <w:rStyle w:val="5"/>
          <w:rFonts w:hint="default"/>
          <w:lang w:val="en-US"/>
        </w:rPr>
        <w:t>rohit.teacher@gmail.com,</w:t>
      </w:r>
      <w:r>
        <w:rPr>
          <w:rFonts w:hint="default"/>
          <w:lang w:val="en-US"/>
        </w:rPr>
        <w:fldChar w:fldCharType="end"/>
      </w:r>
      <w:r>
        <w:rPr>
          <w:rFonts w:hint="default"/>
          <w:lang w:val="en-US"/>
        </w:rPr>
        <w:t xml:space="preserve"> </w:t>
      </w:r>
      <w:r>
        <w:fldChar w:fldCharType="begin"/>
      </w:r>
      <w:r>
        <w:instrText xml:space="preserve"> HYPERLINK "mailto:preeti.sangwan@gmail.com" </w:instrText>
      </w:r>
      <w:r>
        <w:fldChar w:fldCharType="separate"/>
      </w:r>
      <w:r>
        <w:rPr>
          <w:rStyle w:val="5"/>
          <w:rFonts w:ascii="Times New Roman" w:hAnsi="Times New Roman"/>
          <w:bCs/>
          <w:sz w:val="24"/>
          <w:szCs w:val="24"/>
        </w:rPr>
        <w:t>preeti.sangwan@gmail.com</w:t>
      </w:r>
      <w:r>
        <w:rPr>
          <w:rStyle w:val="5"/>
          <w:rFonts w:ascii="Times New Roman" w:hAnsi="Times New Roman"/>
          <w:bCs/>
          <w:sz w:val="24"/>
          <w:szCs w:val="24"/>
        </w:rPr>
        <w:fldChar w:fldCharType="end"/>
      </w:r>
    </w:p>
    <w:p>
      <w:pPr>
        <w:jc w:val="center"/>
        <w:rPr>
          <w:rFonts w:ascii="Times New Roman" w:hAnsi="Times New Roman"/>
          <w:b/>
        </w:rPr>
      </w:pPr>
      <w:r>
        <w:rPr>
          <w:rFonts w:ascii="Times New Roman" w:hAnsi="Times New Roman"/>
          <w:b/>
        </w:rPr>
        <w:t xml:space="preserve">1 Assistant Professor, Department of Business </w:t>
      </w:r>
      <w:r>
        <w:rPr>
          <w:rFonts w:hint="default" w:ascii="Times New Roman" w:hAnsi="Times New Roman"/>
          <w:b/>
          <w:lang w:val="en-US"/>
        </w:rPr>
        <w:t>S</w:t>
      </w:r>
      <w:r>
        <w:rPr>
          <w:rFonts w:ascii="Times New Roman" w:hAnsi="Times New Roman"/>
          <w:b/>
        </w:rPr>
        <w:t>tudies, P.I.E.T, Samalkha</w:t>
      </w:r>
    </w:p>
    <w:p>
      <w:pPr>
        <w:jc w:val="center"/>
        <w:rPr>
          <w:rFonts w:ascii="Times New Roman" w:hAnsi="Times New Roman"/>
          <w:b/>
        </w:rPr>
      </w:pPr>
      <w:r>
        <w:rPr>
          <w:rFonts w:hint="default" w:ascii="Times New Roman" w:hAnsi="Times New Roman"/>
          <w:b/>
          <w:lang w:val="en-US"/>
        </w:rPr>
        <w:t xml:space="preserve">2 </w:t>
      </w:r>
      <w:r>
        <w:rPr>
          <w:rFonts w:ascii="Times New Roman" w:hAnsi="Times New Roman"/>
          <w:b/>
        </w:rPr>
        <w:t xml:space="preserve">Professor, Department of </w:t>
      </w:r>
      <w:r>
        <w:rPr>
          <w:rFonts w:hint="default" w:ascii="Times New Roman" w:hAnsi="Times New Roman"/>
          <w:b/>
          <w:lang w:val="en-US"/>
        </w:rPr>
        <w:t>Business</w:t>
      </w:r>
      <w:r>
        <w:rPr>
          <w:rFonts w:ascii="Times New Roman" w:hAnsi="Times New Roman"/>
          <w:b/>
        </w:rPr>
        <w:t xml:space="preserve"> </w:t>
      </w:r>
      <w:r>
        <w:rPr>
          <w:rFonts w:hint="default" w:ascii="Times New Roman" w:hAnsi="Times New Roman"/>
          <w:b/>
          <w:lang w:val="en-US"/>
        </w:rPr>
        <w:t>S</w:t>
      </w:r>
      <w:r>
        <w:rPr>
          <w:rFonts w:ascii="Times New Roman" w:hAnsi="Times New Roman"/>
          <w:b/>
        </w:rPr>
        <w:t>tudies, P.I.E.T, Samalkha</w:t>
      </w:r>
    </w:p>
    <w:p>
      <w:pPr>
        <w:jc w:val="center"/>
        <w:rPr>
          <w:b/>
          <w:sz w:val="28"/>
          <w:szCs w:val="28"/>
        </w:rPr>
      </w:pPr>
      <w:r>
        <w:rPr>
          <w:rFonts w:hint="default" w:ascii="Times New Roman" w:hAnsi="Times New Roman"/>
          <w:b/>
          <w:lang w:val="en-US"/>
        </w:rPr>
        <w:t>3</w:t>
      </w:r>
      <w:r>
        <w:rPr>
          <w:rFonts w:ascii="Times New Roman" w:hAnsi="Times New Roman"/>
          <w:b/>
        </w:rPr>
        <w:t xml:space="preserve"> Assistant Professor, Department of Management </w:t>
      </w:r>
      <w:r>
        <w:rPr>
          <w:rFonts w:hint="default" w:ascii="Times New Roman" w:hAnsi="Times New Roman"/>
          <w:b/>
          <w:lang w:val="en-US"/>
        </w:rPr>
        <w:t>S</w:t>
      </w:r>
      <w:r>
        <w:rPr>
          <w:rFonts w:ascii="Times New Roman" w:hAnsi="Times New Roman"/>
          <w:b/>
        </w:rPr>
        <w:t>tudies, P.I.E.T, Samalkha</w:t>
      </w:r>
    </w:p>
    <w:p>
      <w:pPr>
        <w:jc w:val="center"/>
        <w:rPr>
          <w:b/>
          <w:sz w:val="28"/>
          <w:szCs w:val="28"/>
        </w:rPr>
      </w:pPr>
    </w:p>
    <w:p>
      <w:pPr>
        <w:rPr>
          <w:rFonts w:ascii="Times New Roman" w:hAnsi="Times New Roman"/>
          <w:b/>
          <w:sz w:val="24"/>
          <w:szCs w:val="24"/>
        </w:rPr>
      </w:pPr>
      <w:r>
        <w:rPr>
          <w:rFonts w:ascii="Times New Roman" w:hAnsi="Times New Roman"/>
          <w:b/>
          <w:sz w:val="24"/>
          <w:szCs w:val="24"/>
        </w:rPr>
        <w:t xml:space="preserve">ABSTRACT </w:t>
      </w:r>
    </w:p>
    <w:p>
      <w:pPr>
        <w:rPr>
          <w:rFonts w:ascii="Times New Roman" w:hAnsi="Times New Roman"/>
          <w:b/>
          <w:sz w:val="24"/>
          <w:szCs w:val="24"/>
        </w:rPr>
      </w:pPr>
      <w:r>
        <w:rPr>
          <w:rFonts w:ascii="Times New Roman" w:hAnsi="Times New Roman"/>
          <w:b/>
          <w:sz w:val="24"/>
          <w:szCs w:val="24"/>
        </w:rPr>
        <w:t>OBJECTIVE OF THE STUDY</w:t>
      </w:r>
    </w:p>
    <w:p>
      <w:pPr>
        <w:jc w:val="both"/>
        <w:rPr>
          <w:rFonts w:ascii="Times New Roman" w:hAnsi="Times New Roman"/>
          <w:sz w:val="24"/>
          <w:szCs w:val="24"/>
        </w:rPr>
      </w:pPr>
      <w:r>
        <w:rPr>
          <w:rFonts w:ascii="Times New Roman" w:hAnsi="Times New Roman"/>
          <w:sz w:val="24"/>
          <w:szCs w:val="24"/>
        </w:rPr>
        <w:t>Understanding the value of the savings, financial planning and the concept of insurance, risk, investment and credits are all the integral part of what is meant by “Financial Literacy”. Knowing how to invest and manage money wisely is crucial part of being financially literate and ensuring one’s financial stability. The aim of this study is to ascertain the extent to which the college students are financially literate and explore the association between financial literacy and student characteristics.</w:t>
      </w:r>
    </w:p>
    <w:p>
      <w:pPr>
        <w:rPr>
          <w:rFonts w:ascii="Times New Roman" w:hAnsi="Times New Roman"/>
          <w:b/>
          <w:sz w:val="24"/>
          <w:szCs w:val="24"/>
        </w:rPr>
      </w:pPr>
      <w:r>
        <w:rPr>
          <w:rFonts w:ascii="Times New Roman" w:hAnsi="Times New Roman"/>
          <w:b/>
          <w:sz w:val="24"/>
          <w:szCs w:val="24"/>
        </w:rPr>
        <w:t>RESEARCH METHODOLOGY</w:t>
      </w:r>
    </w:p>
    <w:p>
      <w:pPr>
        <w:jc w:val="both"/>
        <w:rPr>
          <w:rFonts w:ascii="Times New Roman" w:hAnsi="Times New Roman"/>
          <w:sz w:val="24"/>
          <w:szCs w:val="24"/>
        </w:rPr>
      </w:pPr>
      <w:r>
        <w:rPr>
          <w:rFonts w:ascii="Times New Roman" w:hAnsi="Times New Roman"/>
          <w:sz w:val="24"/>
          <w:szCs w:val="24"/>
        </w:rPr>
        <w:t xml:space="preserve">In this study the primary sources of the data collection was used. The questionnaire is the instrument which is designed to obtain the responses from the respondents. The questionnaire consists of 29 items measuring the various constructs like saving and spending habits of the students, knowledge about banking, insurance, investment and risk to check the basic financial awareness among the students of Prabhu Dayal Memorial University. The questionnaire was filled from 1500 students of various departments. Financial literacy level was evaluated on the basis of various factors such as gender of the respondents, their course stream, parental education level and educational institutions. The analysis of variance (ANOVA) was employed to study the relationship between students’ financial literacy score and their demographics. </w:t>
      </w:r>
    </w:p>
    <w:p>
      <w:pPr>
        <w:rPr>
          <w:rFonts w:ascii="Times New Roman" w:hAnsi="Times New Roman"/>
          <w:sz w:val="24"/>
          <w:szCs w:val="24"/>
        </w:rPr>
      </w:pPr>
      <w:r>
        <w:rPr>
          <w:rFonts w:ascii="Times New Roman" w:hAnsi="Times New Roman"/>
          <w:b/>
          <w:sz w:val="24"/>
          <w:szCs w:val="24"/>
        </w:rPr>
        <w:t>FINDINGS OF THE STUDY</w:t>
      </w:r>
    </w:p>
    <w:p>
      <w:pPr>
        <w:jc w:val="both"/>
        <w:rPr>
          <w:rFonts w:ascii="Times New Roman" w:hAnsi="Times New Roman"/>
          <w:sz w:val="24"/>
          <w:szCs w:val="24"/>
        </w:rPr>
      </w:pPr>
      <w:r>
        <w:rPr>
          <w:rFonts w:ascii="Times New Roman" w:hAnsi="Times New Roman"/>
          <w:sz w:val="24"/>
          <w:szCs w:val="24"/>
        </w:rPr>
        <w:t xml:space="preserve">The result shows that the students’ financial literacy scores and level are correlated with their demographic variables. According to the findings, female students are more knowledgeable than the male students. Those who are enrolled in the business, management, and commerce and economics school tend to be more financially literate than their counterparts at other types of courses. Compared to students whose area of study include educational studies, health sciences and natural sciences, students of the social sciences are more likely to accurately score. </w:t>
      </w:r>
    </w:p>
    <w:p>
      <w:pPr>
        <w:rPr>
          <w:rFonts w:ascii="Times New Roman" w:hAnsi="Times New Roman"/>
          <w:b/>
          <w:sz w:val="24"/>
          <w:szCs w:val="24"/>
        </w:rPr>
      </w:pPr>
    </w:p>
    <w:p>
      <w:pPr>
        <w:rPr>
          <w:rFonts w:ascii="Times New Roman" w:hAnsi="Times New Roman"/>
          <w:b/>
          <w:sz w:val="24"/>
          <w:szCs w:val="24"/>
        </w:rPr>
      </w:pPr>
      <w:r>
        <w:rPr>
          <w:rFonts w:ascii="Times New Roman" w:hAnsi="Times New Roman"/>
          <w:b/>
          <w:sz w:val="24"/>
          <w:szCs w:val="24"/>
        </w:rPr>
        <w:t>PRACTICAL IMPLICATIONS</w:t>
      </w:r>
    </w:p>
    <w:p>
      <w:pPr>
        <w:jc w:val="both"/>
        <w:rPr>
          <w:rFonts w:ascii="Times New Roman" w:hAnsi="Times New Roman"/>
          <w:sz w:val="24"/>
          <w:szCs w:val="24"/>
        </w:rPr>
      </w:pPr>
      <w:r>
        <w:rPr>
          <w:rFonts w:ascii="Times New Roman" w:hAnsi="Times New Roman"/>
          <w:sz w:val="24"/>
          <w:szCs w:val="24"/>
        </w:rPr>
        <w:t>Based on these finding, colleges and institutions should work to improve their students’ financial literacy while also taking students demographics into account. The importance of teaching students basic money management skills cannot be overstated.</w:t>
      </w:r>
    </w:p>
    <w:p>
      <w:pPr>
        <w:rPr>
          <w:rFonts w:ascii="Times New Roman" w:hAnsi="Times New Roman"/>
          <w:b/>
          <w:sz w:val="24"/>
          <w:szCs w:val="24"/>
        </w:rPr>
      </w:pPr>
      <w:r>
        <w:rPr>
          <w:rFonts w:ascii="Times New Roman" w:hAnsi="Times New Roman"/>
          <w:b/>
          <w:sz w:val="24"/>
          <w:szCs w:val="24"/>
        </w:rPr>
        <w:t>RESEARCH TYPE</w:t>
      </w:r>
    </w:p>
    <w:p>
      <w:pPr>
        <w:rPr>
          <w:rFonts w:ascii="Times New Roman" w:hAnsi="Times New Roman"/>
          <w:sz w:val="24"/>
          <w:szCs w:val="24"/>
        </w:rPr>
      </w:pPr>
      <w:r>
        <w:rPr>
          <w:rFonts w:ascii="Times New Roman" w:hAnsi="Times New Roman"/>
          <w:sz w:val="24"/>
          <w:szCs w:val="24"/>
        </w:rPr>
        <w:t xml:space="preserve">Exploratory Study </w:t>
      </w:r>
    </w:p>
    <w:p>
      <w:pPr>
        <w:rPr>
          <w:rFonts w:ascii="Times New Roman" w:hAnsi="Times New Roman"/>
          <w:b/>
          <w:sz w:val="24"/>
          <w:szCs w:val="24"/>
        </w:rPr>
      </w:pPr>
      <w:r>
        <w:rPr>
          <w:rFonts w:ascii="Times New Roman" w:hAnsi="Times New Roman"/>
          <w:b/>
          <w:sz w:val="24"/>
          <w:szCs w:val="24"/>
        </w:rPr>
        <w:t>INTRODUCTION</w:t>
      </w:r>
    </w:p>
    <w:p>
      <w:pPr>
        <w:jc w:val="both"/>
        <w:rPr>
          <w:rFonts w:ascii="Times New Roman" w:hAnsi="Times New Roman"/>
          <w:sz w:val="24"/>
          <w:szCs w:val="24"/>
        </w:rPr>
      </w:pPr>
      <w:r>
        <w:rPr>
          <w:rFonts w:ascii="Times New Roman" w:hAnsi="Times New Roman"/>
          <w:sz w:val="24"/>
          <w:szCs w:val="24"/>
        </w:rPr>
        <w:t>In today's world, being financially literate is crucial because it enables people to make responsible decisions about their money. The comprehension of many financial concepts, including budgeting, saving, investing, and debt management, among other relevant topics, is integral to the financial literacy. In the contemporary and intricate realm of finance, the acquisition of financial literacy has emerged as a crucial factor in attaining individual financial stability and enduring financial prosperity. A complete understanding of financial terms and ideas includes an understanding of basic financial concepts that are important in investment and wealth management in order to increase wealth and protect assets. People need to know and understand the many options they have for getting money and making investments. It involves understanding prospectuses and yearly statements, doing calculations with compound interest, and putting off spending money until later. People need to know that investments with high returns often come with high amounts of risk. This understanding should include the fact that market prices can both go up and down, as well as the importance of diversification principles.</w:t>
      </w:r>
    </w:p>
    <w:p>
      <w:pPr>
        <w:jc w:val="both"/>
        <w:rPr>
          <w:rFonts w:ascii="Times New Roman" w:hAnsi="Times New Roman"/>
          <w:sz w:val="24"/>
          <w:szCs w:val="24"/>
        </w:rPr>
      </w:pPr>
      <w:r>
        <w:rPr>
          <w:rFonts w:ascii="Times New Roman" w:hAnsi="Times New Roman"/>
          <w:sz w:val="24"/>
          <w:szCs w:val="24"/>
        </w:rPr>
        <w:t>Financial literacy has also a crucial role in shaping the behavior and decisions of individuals as well as financial institutions. The impact of financial literacy on individuals' investment choices, particularly in relation to risk and return tradeoffs, has implications for the allocation of resources within the economy. Consequently, it exerts an impact on the distribution of resources within the tangible economy, thereby affecting the economy's potential growth rate over an extended period (Widdowson and Hailwood, 2007: 37-38). Financial literacy is very important because it helps in enhancing individuals' comprehension of problems related to money</w:t>
      </w:r>
      <w:r>
        <w:t xml:space="preserve"> </w:t>
      </w:r>
      <w:r>
        <w:rPr>
          <w:rFonts w:ascii="Times New Roman" w:hAnsi="Times New Roman"/>
          <w:sz w:val="24"/>
          <w:szCs w:val="24"/>
        </w:rPr>
        <w:t>makes it possible for them to analyze financial information and make good choices about their own money. The financial literacy level has a direct correlation with the overall welfare of individuals (Bhushan and Medury, 2013, p. 155). Possessing financial literacy abilities is a fundamental prerequisite for effectively mitigating and resolving financial challenges, hence playing a crucial role in fostering a profitable, well-being-oriented existence. Furthermore, it has been suggested that experiencing financial difficulties can contribute to feelings of isolation, mental distress, despair, and diminished self-worth. These negative psychological effects, in turn, have the potential to cause or intensify marital conflicts, ultimately leading to divorce (Wolcott and Hughes: 1999, 10). One crucial factor to consider is the potential consequences of inadequate financial literacy among young adults, who represent the next cohort of individuals contributing to the labor market. A lack of expertise in this field might lead to increased financial challenges during one's educational journey, significantly affecting their present and future personal and occupational situations.</w:t>
      </w:r>
    </w:p>
    <w:p>
      <w:pPr>
        <w:jc w:val="both"/>
        <w:rPr>
          <w:rFonts w:ascii="Times New Roman" w:hAnsi="Times New Roman"/>
          <w:sz w:val="24"/>
          <w:szCs w:val="24"/>
        </w:rPr>
      </w:pPr>
      <w:r>
        <w:rPr>
          <w:rFonts w:ascii="Times New Roman" w:hAnsi="Times New Roman"/>
          <w:sz w:val="24"/>
          <w:szCs w:val="24"/>
        </w:rPr>
        <w:t>The primary aims of the current study are as follows: (1) to evaluate the degree of financial literacy among individuals enrolled in higher education institutions, specifically university students, and (2) to examine the association between financial literacy and various attributes of the student population. The paper is organized in the following manner. The following section is a brief summary of the current body of literature concerning the investigation of financial literacy. The subsequent section of the study expounds upon the empirical methodology and data employed in the study. The results are reported in the fourth section. This paper culminates with concluding remarks.</w:t>
      </w:r>
    </w:p>
    <w:p>
      <w:pPr>
        <w:jc w:val="both"/>
        <w:rPr>
          <w:rFonts w:ascii="Times New Roman" w:hAnsi="Times New Roman"/>
          <w:b/>
          <w:sz w:val="24"/>
          <w:szCs w:val="24"/>
        </w:rPr>
      </w:pPr>
      <w:r>
        <w:rPr>
          <w:rFonts w:ascii="Times New Roman" w:hAnsi="Times New Roman"/>
          <w:b/>
          <w:sz w:val="24"/>
          <w:szCs w:val="24"/>
        </w:rPr>
        <w:t>LITERATURE REVIEW</w:t>
      </w:r>
    </w:p>
    <w:p>
      <w:pPr>
        <w:jc w:val="both"/>
        <w:rPr>
          <w:rFonts w:ascii="Times New Roman" w:hAnsi="Times New Roman"/>
          <w:sz w:val="24"/>
          <w:szCs w:val="24"/>
        </w:rPr>
      </w:pPr>
      <w:r>
        <w:rPr>
          <w:rFonts w:ascii="Times New Roman" w:hAnsi="Times New Roman"/>
          <w:sz w:val="24"/>
          <w:szCs w:val="24"/>
        </w:rPr>
        <w:t>The Jump Start Coalition firstly introduced the idea of financial literacy for Personal Financial Literacy through its innovative study in 1997, commonly referred to as the JumpStart Survey of Financial Literacy among High School Students. The concept of financial literacy is expounded upon by JumpStart, whereby it is defined as the aptitude to employ acquired information and abilities in order to proficiently manage one's financial resources, hence ensuring long-term financial stability (Hastings, et al.: 2012). However, the concept of the financial literacy has been defined in various manners by different academics and organizations. According to the definition provided by Atkinson and Messy (2012), a comprehensive set of attributes including awareness, competency, knowledge, attitude, and behavior that are essential for making prudent financial choices and eventually attaining personal welfare are comprised under the concept of financial literacy. As stated by Vitt et al. (2000), the aptitude to comprehend, evaluate, handle, and articulate matters pertaining to one's own financial circumstances that impact overall material welfare are the main component of financial literacy. This covers the capacity to make sound decisions on financial matters, engagement in discussions pertaining to  about money and financial without experiencing unease, devise strategies for future financial planning, and adeptly navigate life events that have an impact on routine financial decisions, including those influenced by broader economic circumstances. Hogarth (2002) proposes that persons who exhibit financial literacy can be delineated by three fundamental traits. First and foremost, individuals demonstrate a considerable degree of expertise, formal learning, and consciousness pertaining to diverse facets of monetary and asset administration, including banking, investments, credit, insurance, and taxation. Furthermore, individuals demonstrate a comprehensive comprehension of the essential principles that serve as the foundation for proficient financial and asset administration. Ultimately, individuals effectively employ their acquired knowledge and understanding to strategically develop and execute financial judgments. A multitude of scholarly inquiries have been undertaken to examine the realms of financial knowledge and financial literacy.</w:t>
      </w:r>
      <w:r>
        <w:t xml:space="preserve"> </w:t>
      </w:r>
      <w:r>
        <w:rPr>
          <w:rFonts w:ascii="Times New Roman" w:hAnsi="Times New Roman"/>
          <w:sz w:val="24"/>
          <w:szCs w:val="24"/>
        </w:rPr>
        <w:t>Danes and Hira (1987) conducted a survey among college students.  The survey utilized a questionnaire comprising 51 items to evaluate the participants' comprehension of various financial concepts, such as the utilization of personal loans, familiarity with credit cards, maintenance of expenditure records, and understanding of insurance and general management of finanace. The findings from the correlations (specifically, the Pearson Product Moment correlation) and OLS (ordinary least squares regression) studies indicate that males tend to possess greater levels of knowledge in several fields when compared to females. Furthermore, the results suggest that married students exhibit a higher level of knowledge in comparison to unmarried students. Similarly, individuals belonging to higher socioeconomic groups have a greater extent of knowledge when compared to those from lower socioeconomic classes. The primary finding of their research indicates a notable insufficiency in financial literacy among college students. Volpe et al. (1996) performed a survey targeting undergraduate business students in their research endeavour. The study employed a 23-item questionnaire primarily designed to evaluate participants' level of knowledge in the field of investing. The study's findings indicate that the mean literacy score is significantly low, measuring at 44%. Furthermore, it was observed that persons who opted for a business major exhibited a greater degree of expertise in the field of investment, as opposed to those who did not choose to pursue a business major. Chen and Volpe (1998) conducted a research study on the topic of financial literacy, focusing on a sample of 924 students who were currently enrolled in higher education institutions within the United States. A detailed survey was undertaken to evaluate the level of literacy competency across four fundamental domains. Furthermore, the study investigated the relationship between literacy levels and other student characteristics, while also examining the impact of financial knowledge on student viewpoints and decision-making. The analysis of variance (ANOVA) was utilized to demonstrate the extent of variation in financial literacy skills across various categories of students. In addition, the utilization of logistic regression models was employed to examine the degrees of financial literacy among students across different demographic characteristics. The findings of the study indicate that those who chose a non-business major, identified as female, had a poorer academic standing, were younger than 30 years old, and had less professional experience demonstrated less levels of knowledge. The results of the study indicate that students with a lower level of knowledge are more susceptible to harboring misconceptions and making erroneous judgments. Hogarth (2002) conducted a study to investigate the extent of financial literacy among persons residing in the United States. The research utilized a survey of 28 true/false items to evaluate participants' comprehension in diverse domains of personal finance.</w:t>
      </w:r>
    </w:p>
    <w:p>
      <w:pPr>
        <w:jc w:val="both"/>
        <w:rPr>
          <w:rFonts w:ascii="Times New Roman" w:hAnsi="Times New Roman"/>
          <w:b/>
          <w:sz w:val="24"/>
          <w:szCs w:val="24"/>
        </w:rPr>
      </w:pPr>
      <w:r>
        <w:rPr>
          <w:rFonts w:ascii="Times New Roman" w:hAnsi="Times New Roman"/>
          <w:b/>
          <w:sz w:val="24"/>
          <w:szCs w:val="24"/>
        </w:rPr>
        <w:t>STATEMENT OF THE PROBLEM</w:t>
      </w:r>
    </w:p>
    <w:p>
      <w:pPr>
        <w:jc w:val="both"/>
        <w:rPr>
          <w:rFonts w:ascii="Times New Roman" w:hAnsi="Times New Roman"/>
          <w:sz w:val="24"/>
          <w:szCs w:val="24"/>
        </w:rPr>
      </w:pPr>
      <w:r>
        <w:rPr>
          <w:rFonts w:ascii="Times New Roman" w:hAnsi="Times New Roman"/>
          <w:sz w:val="24"/>
          <w:szCs w:val="24"/>
        </w:rPr>
        <w:t>The matter of insufficient financial literacy among individuals, particularly university students, has become a pressing concern in the dynamic and intricate financial environment. The acquisition of knowledge and skills necessary for making informed financial decisions becomes of utmost importance when students through the transition into adulthood and encounter a range of financial obligations.</w:t>
      </w:r>
    </w:p>
    <w:p>
      <w:pPr>
        <w:jc w:val="both"/>
        <w:rPr>
          <w:rFonts w:ascii="Times New Roman" w:hAnsi="Times New Roman"/>
          <w:sz w:val="24"/>
          <w:szCs w:val="24"/>
        </w:rPr>
      </w:pPr>
      <w:r>
        <w:rPr>
          <w:rFonts w:ascii="Times New Roman" w:hAnsi="Times New Roman"/>
          <w:sz w:val="24"/>
          <w:szCs w:val="24"/>
        </w:rPr>
        <w:t>The main aim of this study is to investigate the various research questions, such as:</w:t>
      </w:r>
    </w:p>
    <w:p>
      <w:pPr>
        <w:pStyle w:val="7"/>
        <w:numPr>
          <w:ilvl w:val="0"/>
          <w:numId w:val="1"/>
        </w:numPr>
        <w:jc w:val="both"/>
        <w:rPr>
          <w:rFonts w:ascii="Times New Roman" w:hAnsi="Times New Roman"/>
          <w:sz w:val="24"/>
          <w:szCs w:val="24"/>
        </w:rPr>
      </w:pPr>
      <w:r>
        <w:rPr>
          <w:rFonts w:ascii="Times New Roman" w:hAnsi="Times New Roman"/>
          <w:sz w:val="24"/>
          <w:szCs w:val="24"/>
        </w:rPr>
        <w:t>What is the general extent of financial knowledge (financial literacy) among students at PDM University?</w:t>
      </w:r>
    </w:p>
    <w:p>
      <w:pPr>
        <w:pStyle w:val="7"/>
        <w:numPr>
          <w:ilvl w:val="0"/>
          <w:numId w:val="1"/>
        </w:numPr>
        <w:jc w:val="both"/>
        <w:rPr>
          <w:rFonts w:ascii="Times New Roman" w:hAnsi="Times New Roman"/>
          <w:sz w:val="24"/>
          <w:szCs w:val="24"/>
        </w:rPr>
      </w:pPr>
      <w:r>
        <w:rPr>
          <w:rFonts w:ascii="Times New Roman" w:hAnsi="Times New Roman"/>
          <w:sz w:val="24"/>
          <w:szCs w:val="24"/>
        </w:rPr>
        <w:t>Are there significant differences in financial literacy levels across different demographic groups, including gender, age, academic discipline, socioeconomic background, and prior financial education?</w:t>
      </w:r>
    </w:p>
    <w:p>
      <w:pPr>
        <w:pStyle w:val="7"/>
        <w:numPr>
          <w:ilvl w:val="0"/>
          <w:numId w:val="1"/>
        </w:numPr>
        <w:jc w:val="both"/>
        <w:rPr>
          <w:rFonts w:ascii="Times New Roman" w:hAnsi="Times New Roman"/>
          <w:sz w:val="24"/>
          <w:szCs w:val="24"/>
        </w:rPr>
      </w:pPr>
      <w:r>
        <w:rPr>
          <w:rFonts w:ascii="Times New Roman" w:hAnsi="Times New Roman"/>
          <w:sz w:val="24"/>
          <w:szCs w:val="24"/>
        </w:rPr>
        <w:t>To what extent do PDM University students possess comprehension of principles pertaining to saving, insurance, investment, risk and financial awareness, and financial planning?</w:t>
      </w:r>
    </w:p>
    <w:p>
      <w:pPr>
        <w:pStyle w:val="7"/>
        <w:numPr>
          <w:ilvl w:val="0"/>
          <w:numId w:val="1"/>
        </w:numPr>
        <w:jc w:val="both"/>
        <w:rPr>
          <w:rFonts w:ascii="Times New Roman" w:hAnsi="Times New Roman"/>
          <w:sz w:val="24"/>
          <w:szCs w:val="24"/>
        </w:rPr>
      </w:pPr>
      <w:r>
        <w:rPr>
          <w:rFonts w:ascii="Times New Roman" w:hAnsi="Times New Roman"/>
          <w:sz w:val="24"/>
          <w:szCs w:val="24"/>
        </w:rPr>
        <w:t>What are the primary determinants that impact the degree of financial literacy among students enrolled at PDM University?</w:t>
      </w:r>
    </w:p>
    <w:p>
      <w:pPr>
        <w:jc w:val="both"/>
        <w:rPr>
          <w:rFonts w:ascii="Times New Roman" w:hAnsi="Times New Roman"/>
          <w:b/>
          <w:sz w:val="24"/>
          <w:szCs w:val="24"/>
        </w:rPr>
      </w:pPr>
      <w:r>
        <w:rPr>
          <w:rFonts w:ascii="Times New Roman" w:hAnsi="Times New Roman"/>
          <w:b/>
          <w:sz w:val="24"/>
          <w:szCs w:val="24"/>
        </w:rPr>
        <w:t>OBJECTIVE OF THE STUDY</w:t>
      </w:r>
    </w:p>
    <w:p>
      <w:pPr>
        <w:jc w:val="both"/>
        <w:rPr>
          <w:rFonts w:ascii="Times New Roman" w:hAnsi="Times New Roman"/>
          <w:sz w:val="24"/>
          <w:szCs w:val="24"/>
        </w:rPr>
      </w:pPr>
      <w:r>
        <w:rPr>
          <w:rFonts w:ascii="Times New Roman" w:hAnsi="Times New Roman"/>
          <w:sz w:val="24"/>
          <w:szCs w:val="24"/>
        </w:rPr>
        <w:t>The main objective of this research is to evaluate the level of financial literacy among the students enrolled in the higher education programs of PDM University and examine its relationship with the students' characteristics. The specific objectives are as follows:</w:t>
      </w:r>
    </w:p>
    <w:p>
      <w:pPr>
        <w:numPr>
          <w:ilvl w:val="0"/>
          <w:numId w:val="2"/>
        </w:numPr>
        <w:jc w:val="both"/>
        <w:rPr>
          <w:rFonts w:ascii="Times New Roman" w:hAnsi="Times New Roman"/>
          <w:sz w:val="24"/>
          <w:szCs w:val="24"/>
        </w:rPr>
      </w:pPr>
      <w:r>
        <w:rPr>
          <w:rFonts w:ascii="Times New Roman" w:hAnsi="Times New Roman"/>
          <w:sz w:val="24"/>
          <w:szCs w:val="24"/>
        </w:rPr>
        <w:t>To determine the overall level of financial literacy among PDM University students.</w:t>
      </w:r>
    </w:p>
    <w:p>
      <w:pPr>
        <w:numPr>
          <w:ilvl w:val="0"/>
          <w:numId w:val="2"/>
        </w:numPr>
        <w:jc w:val="both"/>
        <w:rPr>
          <w:rFonts w:ascii="Times New Roman" w:hAnsi="Times New Roman"/>
          <w:sz w:val="24"/>
          <w:szCs w:val="24"/>
        </w:rPr>
      </w:pPr>
      <w:r>
        <w:rPr>
          <w:rFonts w:ascii="Times New Roman" w:hAnsi="Times New Roman"/>
          <w:sz w:val="24"/>
          <w:szCs w:val="24"/>
        </w:rPr>
        <w:t>To analyze the variations in financial literacy levels based on demographic factors, including gender, qualifications, course stream, residence and parents education.</w:t>
      </w:r>
    </w:p>
    <w:p>
      <w:pPr>
        <w:jc w:val="both"/>
        <w:rPr>
          <w:rFonts w:ascii="Times New Roman" w:hAnsi="Times New Roman"/>
          <w:b/>
          <w:bCs/>
          <w:color w:val="000000"/>
          <w:sz w:val="24"/>
          <w:szCs w:val="24"/>
        </w:rPr>
      </w:pPr>
      <w:r>
        <w:rPr>
          <w:rFonts w:ascii="Times New Roman" w:hAnsi="Times New Roman"/>
          <w:b/>
          <w:bCs/>
          <w:color w:val="000000"/>
          <w:sz w:val="24"/>
          <w:szCs w:val="24"/>
        </w:rPr>
        <w:t>HYPOTHESES OF THE STUDY</w:t>
      </w:r>
    </w:p>
    <w:p>
      <w:pPr>
        <w:jc w:val="both"/>
        <w:rPr>
          <w:rFonts w:ascii="Times New Roman" w:hAnsi="Times New Roman"/>
          <w:bCs/>
          <w:color w:val="000000"/>
          <w:sz w:val="24"/>
          <w:szCs w:val="24"/>
        </w:rPr>
      </w:pPr>
      <w:r>
        <w:rPr>
          <w:rFonts w:ascii="Times New Roman" w:hAnsi="Times New Roman"/>
          <w:bCs/>
          <w:color w:val="000000"/>
          <w:sz w:val="24"/>
          <w:szCs w:val="24"/>
        </w:rPr>
        <w:t>H01-H06: There is no significant difference among the demographic variables of the respondents with respect to their financial literacy level.</w:t>
      </w:r>
    </w:p>
    <w:p>
      <w:pPr>
        <w:jc w:val="both"/>
        <w:rPr>
          <w:rFonts w:ascii="Times New Roman" w:hAnsi="Times New Roman"/>
          <w:b/>
          <w:sz w:val="24"/>
          <w:szCs w:val="24"/>
        </w:rPr>
      </w:pPr>
      <w:r>
        <w:rPr>
          <w:rFonts w:ascii="Times New Roman" w:hAnsi="Times New Roman"/>
          <w:b/>
          <w:sz w:val="24"/>
          <w:szCs w:val="24"/>
        </w:rPr>
        <w:t>RESEARCH METHODOLOGY</w:t>
      </w:r>
    </w:p>
    <w:p>
      <w:pPr>
        <w:jc w:val="both"/>
        <w:rPr>
          <w:rFonts w:ascii="Times New Roman" w:hAnsi="Times New Roman"/>
          <w:sz w:val="24"/>
          <w:szCs w:val="24"/>
        </w:rPr>
      </w:pPr>
      <w:r>
        <w:rPr>
          <w:rFonts w:ascii="Times New Roman" w:hAnsi="Times New Roman"/>
          <w:sz w:val="24"/>
          <w:szCs w:val="24"/>
        </w:rPr>
        <w:t xml:space="preserve">In this study the primary sources of the data collection was used. The questionnaire is the instrument which is designed to collect the data on financial literacy from the respondents. The questionnaire consists of 29 items measuring the various constructs like saving and spending habits of the students, knowledge about banking, insurance, investment and risk to check the basic financial awareness among the students of Prabhu Dayal Memorial University, Bahadurgarh. The questionnaire was filled from 1500 students of various departments. Level of financial literacy was assessed on the basis of various factors such as gender of the respondents, their </w:t>
      </w:r>
      <w:bookmarkStart w:id="0" w:name="_GoBack"/>
      <w:bookmarkEnd w:id="0"/>
      <w:r>
        <w:rPr>
          <w:rFonts w:ascii="Times New Roman" w:hAnsi="Times New Roman"/>
          <w:sz w:val="24"/>
          <w:szCs w:val="24"/>
        </w:rPr>
        <w:t xml:space="preserve">course stream, parental education level and educational institutions. The analysis of variance (ANOVA) and cross tabulation were employed to check the correlation between students’ financial literacy and their demographics. </w:t>
      </w:r>
    </w:p>
    <w:p>
      <w:pPr>
        <w:jc w:val="both"/>
        <w:rPr>
          <w:rFonts w:ascii="Times New Roman" w:hAnsi="Times New Roman"/>
          <w:b/>
          <w:sz w:val="24"/>
          <w:szCs w:val="24"/>
        </w:rPr>
      </w:pPr>
      <w:r>
        <w:rPr>
          <w:rFonts w:ascii="Times New Roman" w:hAnsi="Times New Roman"/>
          <w:b/>
          <w:sz w:val="24"/>
          <w:szCs w:val="24"/>
        </w:rPr>
        <w:t>TARGET POPULATION</w:t>
      </w:r>
    </w:p>
    <w:p>
      <w:pPr>
        <w:spacing w:after="0"/>
        <w:jc w:val="both"/>
        <w:rPr>
          <w:rFonts w:ascii="Times New Roman" w:hAnsi="Times New Roman" w:eastAsia="Times New Roman"/>
          <w:bCs/>
          <w:color w:val="000000"/>
          <w:sz w:val="24"/>
          <w:szCs w:val="24"/>
        </w:rPr>
      </w:pPr>
      <w:r>
        <w:rPr>
          <w:rFonts w:ascii="Times New Roman" w:hAnsi="Times New Roman" w:eastAsia="Times New Roman"/>
          <w:bCs/>
          <w:color w:val="000000"/>
          <w:sz w:val="24"/>
          <w:szCs w:val="24"/>
        </w:rPr>
        <w:t xml:space="preserve">All those students studying in PDM University, Bahadurgarh were the study's intended audience. The researcher has used the random sampling technique to select the respondent enrolled in the various courses. There are 2553 students were studying during 2021-22 among the UG and PG  courses of faculty of agriculture, faculty of engineering and technology, faculty of physical sciences, faculty of humanities and social sciences,  faculty of life sciences, faculty of commerce and management, faculty of dental sciences, faculty of pharmaceutical sciences, faculty of fine arts and design, faculty of architecture &amp; town planning, faculty of law, faculty of education, faculty of applied health, faculty of nursing. </w:t>
      </w:r>
    </w:p>
    <w:p>
      <w:pPr>
        <w:jc w:val="both"/>
        <w:rPr>
          <w:rFonts w:ascii="Times New Roman" w:hAnsi="Times New Roman"/>
          <w:b/>
          <w:sz w:val="24"/>
          <w:szCs w:val="24"/>
        </w:rPr>
      </w:pPr>
      <w:r>
        <w:rPr>
          <w:rFonts w:ascii="Times New Roman" w:hAnsi="Times New Roman"/>
          <w:b/>
          <w:sz w:val="24"/>
          <w:szCs w:val="24"/>
        </w:rPr>
        <w:t>SAMPLE SIZE</w:t>
      </w:r>
    </w:p>
    <w:p>
      <w:pPr>
        <w:spacing w:after="0"/>
        <w:jc w:val="both"/>
        <w:rPr>
          <w:rFonts w:ascii="Times New Roman" w:hAnsi="Times New Roman" w:eastAsia="Times New Roman"/>
          <w:bCs/>
          <w:color w:val="000000"/>
          <w:sz w:val="24"/>
          <w:szCs w:val="24"/>
        </w:rPr>
      </w:pPr>
      <w:r>
        <w:rPr>
          <w:rFonts w:ascii="Times New Roman" w:hAnsi="Times New Roman" w:eastAsia="Times New Roman"/>
          <w:bCs/>
          <w:color w:val="000000"/>
          <w:sz w:val="24"/>
          <w:szCs w:val="24"/>
        </w:rPr>
        <w:t>The number of respondents in a study is referred to as the sampling size. The researcher has used the primary method of data collection in this study. 1600 students received the questionnaire. 1583 respondents provided the required information. The incomplete replies were removed from the study's final data set, leaving a total sample size of 1500 students.</w:t>
      </w:r>
    </w:p>
    <w:p>
      <w:pPr>
        <w:jc w:val="both"/>
        <w:rPr>
          <w:rFonts w:ascii="Times New Roman" w:hAnsi="Times New Roman"/>
          <w:b/>
          <w:sz w:val="24"/>
          <w:szCs w:val="24"/>
        </w:rPr>
      </w:pPr>
      <w:r>
        <w:rPr>
          <w:rFonts w:ascii="Times New Roman" w:hAnsi="Times New Roman"/>
          <w:b/>
          <w:sz w:val="24"/>
          <w:szCs w:val="24"/>
        </w:rPr>
        <w:t>SAMPLING TECHNIQUE</w:t>
      </w:r>
    </w:p>
    <w:p>
      <w:pPr>
        <w:jc w:val="both"/>
        <w:rPr>
          <w:rFonts w:ascii="Times New Roman" w:hAnsi="Times New Roman"/>
          <w:b/>
          <w:sz w:val="24"/>
          <w:szCs w:val="24"/>
        </w:rPr>
      </w:pPr>
      <w:r>
        <w:rPr>
          <w:rFonts w:ascii="Times New Roman" w:hAnsi="Times New Roman" w:eastAsia="Times New Roman"/>
          <w:bCs/>
          <w:color w:val="000000"/>
          <w:sz w:val="24"/>
          <w:szCs w:val="24"/>
        </w:rPr>
        <w:t>In this study, the researcher has used the random sampling technique for the collection of data from the respondents. Among the non-probability sampling techniques that were available, a purposeful sampling strategy was used to collect information from the respondents</w:t>
      </w:r>
    </w:p>
    <w:p>
      <w:pPr>
        <w:jc w:val="both"/>
        <w:rPr>
          <w:rFonts w:ascii="Times New Roman" w:hAnsi="Times New Roman"/>
          <w:b/>
          <w:sz w:val="24"/>
          <w:szCs w:val="24"/>
        </w:rPr>
      </w:pPr>
      <w:r>
        <w:rPr>
          <w:rFonts w:ascii="Times New Roman" w:hAnsi="Times New Roman"/>
          <w:b/>
          <w:sz w:val="24"/>
          <w:szCs w:val="24"/>
        </w:rPr>
        <w:t>QUESTIONNAIRE DESIGN AND DEVELOPMENT</w:t>
      </w:r>
    </w:p>
    <w:p>
      <w:pPr>
        <w:spacing w:after="0"/>
        <w:jc w:val="both"/>
        <w:rPr>
          <w:rFonts w:ascii="Times New Roman" w:hAnsi="Times New Roman"/>
          <w:sz w:val="24"/>
          <w:szCs w:val="24"/>
        </w:rPr>
      </w:pPr>
      <w:r>
        <w:rPr>
          <w:rFonts w:ascii="Times New Roman" w:hAnsi="Times New Roman" w:eastAsia="Times New Roman"/>
          <w:bCs/>
          <w:color w:val="000000"/>
          <w:sz w:val="24"/>
          <w:szCs w:val="24"/>
        </w:rPr>
        <w:t xml:space="preserve">This research study is based on the primary data. There are various techniques to collect the primary data such as questionnaire, interviews &amp; observation etc. In this study, a questionnaire was designed for collecting the primary data. The reliability and validity of the data being collected through questionnaire is dependent upon the questionnaire design and structure and for ensuring a well- structured questionnaire was designed to accomplish the research aim. The questionnaire consists of 2 sections demographics and multiple choice questions to access the financial literacy. Demographics include the </w:t>
      </w:r>
      <w:r>
        <w:rPr>
          <w:rFonts w:ascii="Times New Roman" w:hAnsi="Times New Roman"/>
          <w:sz w:val="24"/>
          <w:szCs w:val="24"/>
        </w:rPr>
        <w:t>gender of the respondents, their course stream, parental education level and educational institutions. Section 2 includes the questions related saving and spending habits of the students, knowledge about banking, insurance, investment and risk.</w:t>
      </w:r>
    </w:p>
    <w:p>
      <w:pPr>
        <w:jc w:val="both"/>
        <w:rPr>
          <w:rFonts w:ascii="Times New Roman" w:hAnsi="Times New Roman"/>
          <w:b/>
          <w:sz w:val="24"/>
          <w:szCs w:val="24"/>
        </w:rPr>
      </w:pPr>
      <w:r>
        <w:rPr>
          <w:rFonts w:ascii="Times New Roman" w:hAnsi="Times New Roman"/>
          <w:b/>
          <w:sz w:val="24"/>
          <w:szCs w:val="24"/>
        </w:rPr>
        <w:pict>
          <v:roundrect id="_x0000_s1032" o:spid="_x0000_s1032" o:spt="2" style="position:absolute;left:0pt;margin-left:363.4pt;margin-top:22.35pt;height:25.05pt;width:98.35pt;z-index:251664384;mso-width-relative:page;mso-height-relative:page;" coordsize="21600,21600" arcsize="0.166666666666667">
            <v:path/>
            <v:fill focussize="0,0"/>
            <v:stroke/>
            <v:imagedata o:title=""/>
            <o:lock v:ext="edit"/>
            <v:textbox>
              <w:txbxContent>
                <w:p>
                  <w:r>
                    <w:t>Saving</w:t>
                  </w:r>
                </w:p>
              </w:txbxContent>
            </v:textbox>
          </v:roundrect>
        </w:pict>
      </w:r>
      <w:r>
        <w:rPr>
          <w:rFonts w:ascii="Times New Roman" w:hAnsi="Times New Roman"/>
          <w:b/>
          <w:sz w:val="24"/>
          <w:szCs w:val="24"/>
        </w:rPr>
        <w:pict>
          <v:roundrect id="_x0000_s1026" o:spid="_x0000_s1026" o:spt="2" style="position:absolute;left:0pt;margin-left:32.1pt;margin-top:23.65pt;height:25.05pt;width:86.85pt;z-index:251659264;mso-width-relative:page;mso-height-relative:page;" coordsize="21600,21600" arcsize="0.166666666666667">
            <v:path/>
            <v:fill focussize="0,0"/>
            <v:stroke/>
            <v:imagedata o:title=""/>
            <o:lock v:ext="edit"/>
            <v:textbox>
              <w:txbxContent>
                <w:p>
                  <w:r>
                    <w:t>Gender</w:t>
                  </w:r>
                </w:p>
              </w:txbxContent>
            </v:textbox>
          </v:roundrect>
        </w:pict>
      </w:r>
      <w:r>
        <w:rPr>
          <w:rFonts w:ascii="Times New Roman" w:hAnsi="Times New Roman"/>
          <w:b/>
          <w:sz w:val="24"/>
          <w:szCs w:val="24"/>
        </w:rPr>
        <w:t>CONCEPTUAL FRAMEWORK</w:t>
      </w:r>
    </w:p>
    <w:p>
      <w:pPr>
        <w:jc w:val="both"/>
        <w:rPr>
          <w:rFonts w:ascii="Times New Roman" w:hAnsi="Times New Roman"/>
          <w:b/>
          <w:sz w:val="24"/>
          <w:szCs w:val="24"/>
        </w:rPr>
      </w:pPr>
      <w:r>
        <w:rPr>
          <w:rFonts w:ascii="Times New Roman" w:hAnsi="Times New Roman"/>
          <w:b/>
          <w:sz w:val="24"/>
          <w:szCs w:val="24"/>
        </w:rPr>
        <w:pict>
          <v:shape id="_x0000_s1045" o:spid="_x0000_s1045" o:spt="32" type="#_x0000_t32" style="position:absolute;left:0pt;flip:x;margin-left:295.3pt;margin-top:3.65pt;height:48.8pt;width:68.9pt;z-index:251677696;mso-width-relative:page;mso-height-relative:page;" o:connectortype="straight" filled="f" coordsize="21600,21600">
            <v:path arrowok="t"/>
            <v:fill on="f" focussize="0,0"/>
            <v:stroke endarrow="block"/>
            <v:imagedata o:title=""/>
            <o:lock v:ext="edit"/>
          </v:shape>
        </w:pict>
      </w:r>
      <w:r>
        <w:rPr>
          <w:rFonts w:ascii="Times New Roman" w:hAnsi="Times New Roman"/>
          <w:b/>
          <w:sz w:val="24"/>
          <w:szCs w:val="24"/>
        </w:rPr>
        <w:pict>
          <v:shape id="_x0000_s1040" o:spid="_x0000_s1040" o:spt="32" type="#_x0000_t32" style="position:absolute;left:0pt;margin-left:120.55pt;margin-top:9.5pt;height:50.65pt;width:42.25pt;z-index:251672576;mso-width-relative:page;mso-height-relative:page;" o:connectortype="straight" filled="f" coordsize="21600,21600">
            <v:path arrowok="t"/>
            <v:fill on="f" focussize="0,0"/>
            <v:stroke endarrow="block"/>
            <v:imagedata o:title=""/>
            <o:lock v:ext="edit"/>
          </v:shape>
        </w:pict>
      </w:r>
      <w:r>
        <w:rPr>
          <w:rFonts w:ascii="Times New Roman" w:hAnsi="Times New Roman"/>
          <w:b/>
          <w:sz w:val="24"/>
          <w:szCs w:val="24"/>
        </w:rPr>
        <w:pict>
          <v:roundrect id="_x0000_s1038" o:spid="_x0000_s1038" o:spt="2" style="position:absolute;left:0pt;margin-left:162.8pt;margin-top:3.65pt;height:118.1pt;width:45.4pt;z-index:251670528;mso-width-relative:page;mso-height-relative:page;" coordsize="21600,21600" arcsize="0.166666666666667">
            <v:path/>
            <v:fill focussize="0,0"/>
            <v:stroke/>
            <v:imagedata o:title=""/>
            <o:lock v:ext="edit"/>
            <v:textbox style="layout-flow:vertical;mso-layout-flow-alt:bottom-to-top;">
              <w:txbxContent>
                <w:p>
                  <w:pPr>
                    <w:jc w:val="center"/>
                  </w:pPr>
                  <w:r>
                    <w:t>Demographic Profile of Respondent</w:t>
                  </w:r>
                </w:p>
              </w:txbxContent>
            </v:textbox>
          </v:roundrect>
        </w:pict>
      </w:r>
      <w:r>
        <w:rPr>
          <w:rFonts w:ascii="Times New Roman" w:hAnsi="Times New Roman"/>
          <w:b/>
          <w:sz w:val="24"/>
          <w:szCs w:val="24"/>
        </w:rPr>
        <w:pict>
          <v:roundrect id="_x0000_s1039" o:spid="_x0000_s1039" o:spt="2" style="position:absolute;left:0pt;margin-left:249.9pt;margin-top:2.35pt;height:118.1pt;width:45.4pt;z-index:251671552;mso-width-relative:page;mso-height-relative:page;" coordsize="21600,21600" arcsize="0.166666666666667">
            <v:path/>
            <v:fill focussize="0,0"/>
            <v:stroke/>
            <v:imagedata o:title=""/>
            <o:lock v:ext="edit"/>
            <v:textbox style="layout-flow:vertical;mso-layout-flow-alt:bottom-to-top;">
              <w:txbxContent>
                <w:p>
                  <w:pPr>
                    <w:jc w:val="center"/>
                  </w:pPr>
                  <w:r>
                    <w:t>Financial Literacy</w:t>
                  </w:r>
                </w:p>
              </w:txbxContent>
            </v:textbox>
          </v:roundrect>
        </w:pict>
      </w:r>
    </w:p>
    <w:p>
      <w:r>
        <w:rPr>
          <w:rFonts w:ascii="Times New Roman" w:hAnsi="Times New Roman"/>
          <w:b/>
          <w:sz w:val="24"/>
          <w:szCs w:val="24"/>
        </w:rPr>
        <w:pict>
          <v:shape id="_x0000_s1051" o:spid="_x0000_s1051" o:spt="32" type="#_x0000_t32" style="position:absolute;left:0pt;margin-left:208.2pt;margin-top:33pt;height:0pt;width:41.7pt;z-index:251683840;mso-width-relative:page;mso-height-relative:page;" o:connectortype="straight" filled="f" coordsize="21600,21600">
            <v:path arrowok="t"/>
            <v:fill on="f" focussize="0,0"/>
            <v:stroke/>
            <v:imagedata o:title=""/>
            <o:lock v:ext="edit"/>
          </v:shape>
        </w:pict>
      </w:r>
      <w:r>
        <w:rPr>
          <w:rFonts w:ascii="Times New Roman" w:hAnsi="Times New Roman"/>
          <w:b/>
          <w:sz w:val="24"/>
          <w:szCs w:val="24"/>
        </w:rPr>
        <w:pict>
          <v:roundrect id="_x0000_s1033" o:spid="_x0000_s1033" o:spt="2" style="position:absolute;left:0pt;margin-left:364.2pt;margin-top:1.55pt;height:25.05pt;width:97.55pt;z-index:251665408;mso-width-relative:page;mso-height-relative:page;" coordsize="21600,21600" arcsize="0.166666666666667">
            <v:path/>
            <v:fill focussize="0,0"/>
            <v:stroke/>
            <v:imagedata o:title=""/>
            <o:lock v:ext="edit"/>
            <v:textbox>
              <w:txbxContent>
                <w:p>
                  <w:r>
                    <w:t>Banking</w:t>
                  </w:r>
                </w:p>
              </w:txbxContent>
            </v:textbox>
          </v:roundrect>
        </w:pict>
      </w:r>
      <w:r>
        <w:rPr>
          <w:rFonts w:ascii="Times New Roman" w:hAnsi="Times New Roman"/>
          <w:b/>
          <w:sz w:val="24"/>
          <w:szCs w:val="24"/>
        </w:rPr>
        <w:pict>
          <v:roundrect id="_x0000_s1034" o:spid="_x0000_s1034" o:spt="2" style="position:absolute;left:0pt;margin-left:363.4pt;margin-top:33pt;height:25.05pt;width:98.35pt;z-index:251666432;mso-width-relative:page;mso-height-relative:page;" coordsize="21600,21600" arcsize="0.166666666666667">
            <v:path/>
            <v:fill focussize="0,0"/>
            <v:stroke/>
            <v:imagedata o:title=""/>
            <o:lock v:ext="edit"/>
            <v:textbox>
              <w:txbxContent>
                <w:p>
                  <w:r>
                    <w:t>Insurance</w:t>
                  </w:r>
                </w:p>
              </w:txbxContent>
            </v:textbox>
          </v:roundrect>
        </w:pict>
      </w:r>
      <w:r>
        <w:rPr>
          <w:rFonts w:ascii="Times New Roman" w:hAnsi="Times New Roman"/>
          <w:b/>
          <w:sz w:val="24"/>
          <w:szCs w:val="24"/>
        </w:rPr>
        <w:pict>
          <v:roundrect id="_x0000_s1035" o:spid="_x0000_s1035" o:spt="2" style="position:absolute;left:0pt;margin-left:365pt;margin-top:64.2pt;height:25.05pt;width:96.75pt;z-index:251667456;mso-width-relative:page;mso-height-relative:page;" coordsize="21600,21600" arcsize="0.166666666666667">
            <v:path/>
            <v:fill focussize="0,0"/>
            <v:stroke/>
            <v:imagedata o:title=""/>
            <o:lock v:ext="edit"/>
            <v:textbox>
              <w:txbxContent>
                <w:p>
                  <w:r>
                    <w:t>Investment</w:t>
                  </w:r>
                </w:p>
              </w:txbxContent>
            </v:textbox>
          </v:roundrect>
        </w:pict>
      </w:r>
      <w:r>
        <w:rPr>
          <w:rFonts w:ascii="Times New Roman" w:hAnsi="Times New Roman"/>
          <w:b/>
          <w:sz w:val="24"/>
          <w:szCs w:val="24"/>
        </w:rPr>
        <w:pict>
          <v:roundrect id="_x0000_s1036" o:spid="_x0000_s1036" o:spt="2" style="position:absolute;left:0pt;margin-left:364.2pt;margin-top:94.6pt;height:32.25pt;width:97.55pt;z-index:251668480;mso-width-relative:page;mso-height-relative:page;" coordsize="21600,21600" arcsize="0.166666666666667">
            <v:path/>
            <v:fill focussize="0,0"/>
            <v:stroke/>
            <v:imagedata o:title=""/>
            <o:lock v:ext="edit"/>
            <v:textbox>
              <w:txbxContent>
                <w:p>
                  <w:pPr>
                    <w:rPr>
                      <w:sz w:val="18"/>
                      <w:szCs w:val="20"/>
                    </w:rPr>
                  </w:pPr>
                  <w:r>
                    <w:rPr>
                      <w:sz w:val="18"/>
                      <w:szCs w:val="20"/>
                    </w:rPr>
                    <w:t>Risk and Financial Awareness</w:t>
                  </w:r>
                </w:p>
              </w:txbxContent>
            </v:textbox>
          </v:roundrect>
        </w:pict>
      </w:r>
      <w:r>
        <w:rPr>
          <w:rFonts w:ascii="Times New Roman" w:hAnsi="Times New Roman"/>
          <w:b/>
          <w:sz w:val="24"/>
          <w:szCs w:val="24"/>
        </w:rPr>
        <w:pict>
          <v:roundrect id="_x0000_s1037" o:spid="_x0000_s1037" o:spt="2" style="position:absolute;left:0pt;margin-left:365.8pt;margin-top:131.4pt;height:25.95pt;width:95.95pt;z-index:251669504;mso-width-relative:page;mso-height-relative:page;" coordsize="21600,21600" arcsize="0.166666666666667">
            <v:path/>
            <v:fill focussize="0,0"/>
            <v:stroke/>
            <v:imagedata o:title=""/>
            <o:lock v:ext="edit"/>
            <v:textbox>
              <w:txbxContent>
                <w:p>
                  <w:r>
                    <w:rPr>
                      <w:sz w:val="20"/>
                    </w:rPr>
                    <w:t>Financial P</w:t>
                  </w:r>
                  <w:r>
                    <w:rPr>
                      <w:sz w:val="20"/>
                      <w:szCs w:val="20"/>
                    </w:rPr>
                    <w:t>lanning</w:t>
                  </w:r>
                </w:p>
              </w:txbxContent>
            </v:textbox>
          </v:roundrect>
        </w:pict>
      </w:r>
      <w:r>
        <w:rPr>
          <w:rFonts w:ascii="Times New Roman" w:hAnsi="Times New Roman"/>
          <w:b/>
          <w:sz w:val="24"/>
          <w:szCs w:val="24"/>
        </w:rPr>
        <w:pict>
          <v:shape id="_x0000_s1050" o:spid="_x0000_s1050" o:spt="32" type="#_x0000_t32" style="position:absolute;left:0pt;flip:x y;margin-left:295.3pt;margin-top:27.9pt;height:108.35pt;width:70.5pt;z-index:251682816;mso-width-relative:page;mso-height-relative:page;" o:connectortype="straight" filled="f" coordsize="21600,21600">
            <v:path arrowok="t"/>
            <v:fill on="f" focussize="0,0"/>
            <v:stroke endarrow="block"/>
            <v:imagedata o:title=""/>
            <o:lock v:ext="edit"/>
          </v:shape>
        </w:pict>
      </w:r>
      <w:r>
        <w:rPr>
          <w:rFonts w:ascii="Times New Roman" w:hAnsi="Times New Roman"/>
          <w:b/>
          <w:sz w:val="24"/>
          <w:szCs w:val="24"/>
        </w:rPr>
        <w:pict>
          <v:shape id="_x0000_s1049" o:spid="_x0000_s1049" o:spt="32" type="#_x0000_t32" style="position:absolute;left:0pt;flip:x y;margin-left:295.3pt;margin-top:27.9pt;height:80.15pt;width:68.9pt;z-index:251681792;mso-width-relative:page;mso-height-relative:page;" o:connectortype="straight" filled="f" coordsize="21600,21600">
            <v:path arrowok="t"/>
            <v:fill on="f" focussize="0,0"/>
            <v:stroke endarrow="block"/>
            <v:imagedata o:title=""/>
            <o:lock v:ext="edit"/>
          </v:shape>
        </w:pict>
      </w:r>
      <w:r>
        <w:rPr>
          <w:rFonts w:ascii="Times New Roman" w:hAnsi="Times New Roman"/>
          <w:b/>
          <w:sz w:val="24"/>
          <w:szCs w:val="24"/>
        </w:rPr>
        <w:pict>
          <v:shape id="_x0000_s1048" o:spid="_x0000_s1048" o:spt="32" type="#_x0000_t32" style="position:absolute;left:0pt;flip:x y;margin-left:295.3pt;margin-top:26.6pt;height:51.75pt;width:70.5pt;z-index:251680768;mso-width-relative:page;mso-height-relative:page;" o:connectortype="straight" filled="f" coordsize="21600,21600">
            <v:path arrowok="t"/>
            <v:fill on="f" focussize="0,0"/>
            <v:stroke endarrow="block"/>
            <v:imagedata o:title=""/>
            <o:lock v:ext="edit"/>
          </v:shape>
        </w:pict>
      </w:r>
      <w:r>
        <w:rPr>
          <w:rFonts w:ascii="Times New Roman" w:hAnsi="Times New Roman"/>
          <w:b/>
          <w:sz w:val="24"/>
          <w:szCs w:val="24"/>
        </w:rPr>
        <w:pict>
          <v:shape id="_x0000_s1047" o:spid="_x0000_s1047" o:spt="32" type="#_x0000_t32" style="position:absolute;left:0pt;flip:x y;margin-left:295.3pt;margin-top:26.6pt;height:20.4pt;width:68.1pt;z-index:251679744;mso-width-relative:page;mso-height-relative:page;" o:connectortype="straight" filled="f" coordsize="21600,21600">
            <v:path arrowok="t"/>
            <v:fill on="f" focussize="0,0"/>
            <v:stroke endarrow="block"/>
            <v:imagedata o:title=""/>
            <o:lock v:ext="edit"/>
          </v:shape>
        </w:pict>
      </w:r>
      <w:r>
        <w:rPr>
          <w:rFonts w:ascii="Times New Roman" w:hAnsi="Times New Roman"/>
          <w:b/>
          <w:sz w:val="24"/>
          <w:szCs w:val="24"/>
        </w:rPr>
        <w:pict>
          <v:shape id="_x0000_s1046" o:spid="_x0000_s1046" o:spt="32" type="#_x0000_t32" style="position:absolute;left:0pt;flip:x;margin-left:295.3pt;margin-top:17.3pt;height:9.3pt;width:69.7pt;z-index:251678720;mso-width-relative:page;mso-height-relative:page;" o:connectortype="straight" filled="f" coordsize="21600,21600">
            <v:path arrowok="t"/>
            <v:fill on="f" focussize="0,0"/>
            <v:stroke endarrow="block"/>
            <v:imagedata o:title=""/>
            <o:lock v:ext="edit"/>
          </v:shape>
        </w:pict>
      </w:r>
      <w:r>
        <w:rPr>
          <w:rFonts w:ascii="Times New Roman" w:hAnsi="Times New Roman"/>
          <w:b/>
          <w:sz w:val="24"/>
          <w:szCs w:val="24"/>
        </w:rPr>
        <w:pict>
          <v:shape id="_x0000_s1042" o:spid="_x0000_s1042" o:spt="32" type="#_x0000_t32" style="position:absolute;left:0pt;flip:y;margin-left:118.95pt;margin-top:34.3pt;height:12.7pt;width:43.85pt;z-index:251674624;mso-width-relative:page;mso-height-relative:page;" o:connectortype="straight" filled="f" coordsize="21600,21600">
            <v:path arrowok="t"/>
            <v:fill on="f" focussize="0,0"/>
            <v:stroke endarrow="block"/>
            <v:imagedata o:title=""/>
            <o:lock v:ext="edit"/>
          </v:shape>
        </w:pict>
      </w:r>
      <w:r>
        <w:rPr>
          <w:rFonts w:ascii="Times New Roman" w:hAnsi="Times New Roman"/>
          <w:b/>
          <w:sz w:val="24"/>
          <w:szCs w:val="24"/>
        </w:rPr>
        <w:pict>
          <v:shape id="_x0000_s1044" o:spid="_x0000_s1044" o:spt="32" type="#_x0000_t32" style="position:absolute;left:0pt;flip:y;margin-left:119.75pt;margin-top:34.3pt;height:77.7pt;width:43.05pt;z-index:251676672;mso-width-relative:page;mso-height-relative:page;" o:connectortype="straight" filled="f" coordsize="21600,21600">
            <v:path arrowok="t"/>
            <v:fill on="f" focussize="0,0"/>
            <v:stroke endarrow="block"/>
            <v:imagedata o:title=""/>
            <o:lock v:ext="edit"/>
          </v:shape>
        </w:pict>
      </w:r>
      <w:r>
        <w:rPr>
          <w:rFonts w:ascii="Times New Roman" w:hAnsi="Times New Roman"/>
          <w:b/>
          <w:sz w:val="24"/>
          <w:szCs w:val="24"/>
        </w:rPr>
        <w:pict>
          <v:shape id="_x0000_s1043" o:spid="_x0000_s1043" o:spt="32" type="#_x0000_t32" style="position:absolute;left:0pt;flip:y;margin-left:120.55pt;margin-top:34.3pt;height:40.1pt;width:42.25pt;z-index:251675648;mso-width-relative:page;mso-height-relative:page;" o:connectortype="straight" filled="f" coordsize="21600,21600">
            <v:path arrowok="t"/>
            <v:fill on="f" focussize="0,0"/>
            <v:stroke endarrow="block"/>
            <v:imagedata o:title=""/>
            <o:lock v:ext="edit"/>
          </v:shape>
        </w:pict>
      </w:r>
      <w:r>
        <w:rPr>
          <w:rFonts w:ascii="Times New Roman" w:hAnsi="Times New Roman"/>
          <w:b/>
          <w:sz w:val="24"/>
          <w:szCs w:val="24"/>
        </w:rPr>
        <w:pict>
          <v:shape id="_x0000_s1041" o:spid="_x0000_s1041" o:spt="32" type="#_x0000_t32" style="position:absolute;left:0pt;margin-left:120.55pt;margin-top:17.3pt;height:17pt;width:42.25pt;z-index:251673600;mso-width-relative:page;mso-height-relative:page;" o:connectortype="straight" filled="f" coordsize="21600,21600">
            <v:path arrowok="t"/>
            <v:fill on="f" focussize="0,0"/>
            <v:stroke endarrow="block"/>
            <v:imagedata o:title=""/>
            <o:lock v:ext="edit"/>
          </v:shape>
        </w:pict>
      </w:r>
      <w:r>
        <w:rPr>
          <w:rFonts w:ascii="Times New Roman" w:hAnsi="Times New Roman"/>
          <w:b/>
          <w:sz w:val="24"/>
          <w:szCs w:val="24"/>
        </w:rPr>
        <w:pict>
          <v:roundrect id="_x0000_s1030" o:spid="_x0000_s1030" o:spt="2" style="position:absolute;left:0pt;margin-left:32.9pt;margin-top:95.9pt;height:25.05pt;width:86.85pt;z-index:251663360;mso-width-relative:page;mso-height-relative:page;" coordsize="21600,21600" arcsize="0.166666666666667">
            <v:path/>
            <v:fill focussize="0,0"/>
            <v:stroke/>
            <v:imagedata o:title=""/>
            <o:lock v:ext="edit"/>
            <v:textbox>
              <w:txbxContent>
                <w:p>
                  <w:r>
                    <w:t>Parents Education</w:t>
                  </w:r>
                </w:p>
              </w:txbxContent>
            </v:textbox>
          </v:roundrect>
        </w:pict>
      </w:r>
      <w:r>
        <w:rPr>
          <w:rFonts w:ascii="Times New Roman" w:hAnsi="Times New Roman"/>
          <w:b/>
          <w:sz w:val="24"/>
          <w:szCs w:val="24"/>
        </w:rPr>
        <w:pict>
          <v:roundrect id="_x0000_s1029" o:spid="_x0000_s1029" o:spt="2" style="position:absolute;left:0pt;margin-left:33.7pt;margin-top:65.5pt;height:25.05pt;width:86.85pt;z-index:251662336;mso-width-relative:page;mso-height-relative:page;" coordsize="21600,21600" arcsize="0.166666666666667">
            <v:path/>
            <v:fill focussize="0,0"/>
            <v:stroke/>
            <v:imagedata o:title=""/>
            <o:lock v:ext="edit"/>
            <v:textbox>
              <w:txbxContent>
                <w:p>
                  <w:r>
                    <w:t>Residence</w:t>
                  </w:r>
                </w:p>
              </w:txbxContent>
            </v:textbox>
          </v:roundrect>
        </w:pict>
      </w:r>
      <w:r>
        <w:rPr>
          <w:rFonts w:ascii="Times New Roman" w:hAnsi="Times New Roman"/>
          <w:b/>
          <w:sz w:val="24"/>
          <w:szCs w:val="24"/>
        </w:rPr>
        <w:pict>
          <v:roundrect id="_x0000_s1028" o:spid="_x0000_s1028" o:spt="2" style="position:absolute;left:0pt;margin-left:32.1pt;margin-top:34.3pt;height:25.05pt;width:86.85pt;z-index:251661312;mso-width-relative:page;mso-height-relative:page;" coordsize="21600,21600" arcsize="0.166666666666667">
            <v:path/>
            <v:fill focussize="0,0"/>
            <v:stroke/>
            <v:imagedata o:title=""/>
            <o:lock v:ext="edit"/>
            <v:textbox>
              <w:txbxContent>
                <w:p>
                  <w:r>
                    <w:t>Course Stream</w:t>
                  </w:r>
                </w:p>
              </w:txbxContent>
            </v:textbox>
          </v:roundrect>
        </w:pict>
      </w:r>
      <w:r>
        <w:rPr>
          <w:rFonts w:ascii="Times New Roman" w:hAnsi="Times New Roman"/>
          <w:b/>
          <w:sz w:val="24"/>
          <w:szCs w:val="24"/>
        </w:rPr>
        <w:pict>
          <v:roundrect id="_x0000_s1027" o:spid="_x0000_s1027" o:spt="2" style="position:absolute;left:0pt;margin-left:32.9pt;margin-top:2.85pt;height:25.05pt;width:86.85pt;z-index:251660288;mso-width-relative:page;mso-height-relative:page;" coordsize="21600,21600" arcsize="0.166666666666667">
            <v:path/>
            <v:fill focussize="0,0"/>
            <v:stroke/>
            <v:imagedata o:title=""/>
            <o:lock v:ext="edit"/>
            <v:textbox>
              <w:txbxContent>
                <w:p>
                  <w:r>
                    <w:t>Qualification</w:t>
                  </w:r>
                </w:p>
              </w:txbxContent>
            </v:textbox>
          </v:roundrect>
        </w:pict>
      </w:r>
    </w:p>
    <w:p/>
    <w:p/>
    <w:p>
      <w:pPr>
        <w:rPr>
          <w:rFonts w:ascii="Times New Roman" w:hAnsi="Times New Roman"/>
          <w:b/>
          <w:sz w:val="24"/>
          <w:szCs w:val="24"/>
        </w:rPr>
      </w:pPr>
    </w:p>
    <w:p>
      <w:pPr>
        <w:rPr>
          <w:rFonts w:ascii="Times New Roman" w:hAnsi="Times New Roman"/>
          <w:b/>
          <w:sz w:val="24"/>
          <w:szCs w:val="24"/>
        </w:rPr>
      </w:pPr>
    </w:p>
    <w:p>
      <w:pPr>
        <w:rPr>
          <w:rFonts w:ascii="Times New Roman" w:hAnsi="Times New Roman"/>
          <w:b/>
          <w:sz w:val="24"/>
          <w:szCs w:val="24"/>
        </w:rPr>
      </w:pPr>
    </w:p>
    <w:p>
      <w:pPr>
        <w:rPr>
          <w:rFonts w:ascii="Times New Roman" w:hAnsi="Times New Roman"/>
          <w:b/>
          <w:sz w:val="24"/>
          <w:szCs w:val="24"/>
        </w:rPr>
      </w:pPr>
      <w:r>
        <w:rPr>
          <w:rFonts w:ascii="Times New Roman" w:hAnsi="Times New Roman"/>
          <w:b/>
          <w:sz w:val="24"/>
          <w:szCs w:val="24"/>
        </w:rPr>
        <w:t>DISCUSSION OF RESULTS</w:t>
      </w:r>
    </w:p>
    <w:p>
      <w:pPr>
        <w:spacing w:after="0" w:line="240" w:lineRule="auto"/>
        <w:jc w:val="both"/>
        <w:rPr>
          <w:rFonts w:ascii="Times New Roman" w:hAnsi="Times New Roman" w:eastAsia="Times New Roman"/>
          <w:sz w:val="24"/>
          <w:szCs w:val="24"/>
        </w:rPr>
      </w:pPr>
      <w:r>
        <w:rPr>
          <w:rFonts w:ascii="Times New Roman" w:hAnsi="Times New Roman" w:eastAsia="Times New Roman"/>
          <w:sz w:val="24"/>
          <w:szCs w:val="24"/>
        </w:rPr>
        <w:t xml:space="preserve">The respondents were surveyed using a standardized questionnaire to gather primary data. A 29 items questionnaire was used in this study to assess the respondents' financial literacy levels. SPSS 23 (Statistical Package for the Social Sciences) was used to analyze the data. The table 1 represents the detailed frequency distribution of the demographic characteristics of the data, which was collected from 1500 respondents studied in PDM University, Bahadurgarh. Out of 1500 respondents, 879 </w:t>
      </w:r>
      <w:r>
        <w:rPr>
          <w:rStyle w:val="8"/>
        </w:rPr>
        <w:t>respondents were female i.e. 58.67% and 41.4% were males. The majority of the respondents i.e. 53.7% (806) were from Undergraduate courses and rest 46.3 % (694 respondents) were from enrolled in Post graduate course. Most of the respondents i.e. 62.5% (937 respondents) were related from urban areas and only 37.5 % related to rural areas.</w:t>
      </w:r>
    </w:p>
    <w:p>
      <w:pPr>
        <w:spacing w:after="0" w:line="240" w:lineRule="auto"/>
        <w:jc w:val="both"/>
        <w:rPr>
          <w:rFonts w:ascii="Times New Roman" w:hAnsi="Times New Roman" w:eastAsia="Times New Roman"/>
          <w:sz w:val="24"/>
          <w:szCs w:val="24"/>
        </w:rPr>
      </w:pPr>
    </w:p>
    <w:tbl>
      <w:tblPr>
        <w:tblStyle w:val="3"/>
        <w:tblW w:w="9160" w:type="dxa"/>
        <w:tblInd w:w="92" w:type="dxa"/>
        <w:tblLayout w:type="autofit"/>
        <w:tblCellMar>
          <w:top w:w="0" w:type="dxa"/>
          <w:left w:w="108" w:type="dxa"/>
          <w:bottom w:w="0" w:type="dxa"/>
          <w:right w:w="108" w:type="dxa"/>
        </w:tblCellMar>
      </w:tblPr>
      <w:tblGrid>
        <w:gridCol w:w="4516"/>
        <w:gridCol w:w="1675"/>
        <w:gridCol w:w="1382"/>
        <w:gridCol w:w="1587"/>
      </w:tblGrid>
      <w:tr>
        <w:tblPrEx>
          <w:tblCellMar>
            <w:top w:w="0" w:type="dxa"/>
            <w:left w:w="108" w:type="dxa"/>
            <w:bottom w:w="0" w:type="dxa"/>
            <w:right w:w="108" w:type="dxa"/>
          </w:tblCellMar>
        </w:tblPrEx>
        <w:trPr>
          <w:trHeight w:val="420" w:hRule="atLeast"/>
        </w:trPr>
        <w:tc>
          <w:tcPr>
            <w:tcW w:w="9160" w:type="dxa"/>
            <w:gridSpan w:val="4"/>
            <w:tcBorders>
              <w:top w:val="single" w:color="auto" w:sz="4" w:space="0"/>
              <w:left w:val="single" w:color="auto" w:sz="4" w:space="0"/>
              <w:bottom w:val="single" w:color="auto" w:sz="4" w:space="0"/>
              <w:right w:val="single" w:color="auto" w:sz="4" w:space="0"/>
            </w:tcBorders>
            <w:shd w:val="clear" w:color="auto" w:fill="auto"/>
            <w:noWrap/>
            <w:vAlign w:val="bottom"/>
          </w:tcPr>
          <w:p>
            <w:pPr>
              <w:spacing w:after="0" w:line="240" w:lineRule="auto"/>
              <w:jc w:val="center"/>
              <w:rPr>
                <w:rFonts w:ascii="Times New Roman" w:hAnsi="Times New Roman" w:eastAsia="Times New Roman"/>
                <w:b/>
                <w:bCs/>
                <w:color w:val="000000"/>
                <w:sz w:val="24"/>
                <w:szCs w:val="24"/>
              </w:rPr>
            </w:pPr>
            <w:r>
              <w:rPr>
                <w:rFonts w:ascii="Times New Roman" w:hAnsi="Times New Roman" w:eastAsia="Times New Roman"/>
                <w:b/>
                <w:bCs/>
                <w:color w:val="000000"/>
                <w:sz w:val="24"/>
                <w:szCs w:val="24"/>
              </w:rPr>
              <w:t>Table 1: Frequency Distribution on the basis of Demographic Characteristics of Respondent</w:t>
            </w:r>
          </w:p>
        </w:tc>
      </w:tr>
      <w:tr>
        <w:tblPrEx>
          <w:tblCellMar>
            <w:top w:w="0" w:type="dxa"/>
            <w:left w:w="108" w:type="dxa"/>
            <w:bottom w:w="0" w:type="dxa"/>
            <w:right w:w="108" w:type="dxa"/>
          </w:tblCellMar>
        </w:tblPrEx>
        <w:trPr>
          <w:trHeight w:val="615" w:hRule="atLeast"/>
        </w:trPr>
        <w:tc>
          <w:tcPr>
            <w:tcW w:w="4516" w:type="dxa"/>
            <w:tcBorders>
              <w:top w:val="single" w:color="auto" w:sz="4" w:space="0"/>
              <w:left w:val="single" w:color="auto" w:sz="4" w:space="0"/>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c>
          <w:tcPr>
            <w:tcW w:w="1675" w:type="dxa"/>
            <w:tcBorders>
              <w:top w:val="single" w:color="auto" w:sz="4" w:space="0"/>
              <w:left w:val="nil"/>
              <w:bottom w:val="single" w:color="auto" w:sz="4" w:space="0"/>
              <w:right w:val="single" w:color="auto" w:sz="4" w:space="0"/>
            </w:tcBorders>
            <w:shd w:val="clear" w:color="auto" w:fill="auto"/>
          </w:tcPr>
          <w:p>
            <w:pPr>
              <w:spacing w:after="0" w:line="240" w:lineRule="auto"/>
              <w:rPr>
                <w:rFonts w:eastAsia="Times New Roman"/>
                <w:b/>
                <w:color w:val="000000"/>
              </w:rPr>
            </w:pPr>
            <w:r>
              <w:rPr>
                <w:rFonts w:eastAsia="Times New Roman"/>
                <w:b/>
                <w:color w:val="000000"/>
              </w:rPr>
              <w:t>No. of Respondents</w:t>
            </w:r>
          </w:p>
        </w:tc>
        <w:tc>
          <w:tcPr>
            <w:tcW w:w="1382" w:type="dxa"/>
            <w:tcBorders>
              <w:top w:val="single" w:color="auto" w:sz="4" w:space="0"/>
              <w:left w:val="nil"/>
              <w:bottom w:val="single" w:color="auto" w:sz="4" w:space="0"/>
              <w:right w:val="single" w:color="auto" w:sz="4" w:space="0"/>
            </w:tcBorders>
            <w:shd w:val="clear" w:color="auto" w:fill="auto"/>
          </w:tcPr>
          <w:p>
            <w:pPr>
              <w:spacing w:after="0" w:line="240" w:lineRule="auto"/>
              <w:rPr>
                <w:rFonts w:eastAsia="Times New Roman"/>
                <w:b/>
                <w:color w:val="000000"/>
              </w:rPr>
            </w:pPr>
            <w:r>
              <w:rPr>
                <w:rFonts w:eastAsia="Times New Roman"/>
                <w:b/>
                <w:color w:val="000000"/>
              </w:rPr>
              <w:t>Percentage</w:t>
            </w:r>
          </w:p>
        </w:tc>
        <w:tc>
          <w:tcPr>
            <w:tcW w:w="1587" w:type="dxa"/>
            <w:tcBorders>
              <w:top w:val="single" w:color="auto" w:sz="4" w:space="0"/>
              <w:left w:val="nil"/>
              <w:bottom w:val="single" w:color="auto" w:sz="4" w:space="0"/>
              <w:right w:val="single" w:color="auto" w:sz="4" w:space="0"/>
            </w:tcBorders>
            <w:shd w:val="clear" w:color="auto" w:fill="auto"/>
          </w:tcPr>
          <w:p>
            <w:pPr>
              <w:spacing w:after="0" w:line="240" w:lineRule="auto"/>
              <w:rPr>
                <w:rFonts w:eastAsia="Times New Roman"/>
                <w:b/>
                <w:color w:val="000000"/>
              </w:rPr>
            </w:pPr>
            <w:r>
              <w:rPr>
                <w:rFonts w:eastAsia="Times New Roman"/>
                <w:b/>
                <w:color w:val="000000"/>
              </w:rPr>
              <w:t>Cumulative Percentage</w:t>
            </w:r>
          </w:p>
        </w:tc>
      </w:tr>
      <w:tr>
        <w:tblPrEx>
          <w:tblCellMar>
            <w:top w:w="0" w:type="dxa"/>
            <w:left w:w="108" w:type="dxa"/>
            <w:bottom w:w="0" w:type="dxa"/>
            <w:right w:w="108" w:type="dxa"/>
          </w:tblCellMar>
        </w:tblPrEx>
        <w:trPr>
          <w:trHeight w:val="52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eastAsia="Times New Roman"/>
                <w:b/>
                <w:color w:val="000000"/>
              </w:rPr>
            </w:pPr>
            <w:r>
              <w:rPr>
                <w:rFonts w:eastAsia="Times New Roman"/>
                <w:b/>
                <w:color w:val="000000"/>
              </w:rPr>
              <w:t>Gender</w:t>
            </w:r>
          </w:p>
        </w:tc>
        <w:tc>
          <w:tcPr>
            <w:tcW w:w="1675"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c>
          <w:tcPr>
            <w:tcW w:w="1382"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Female</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879</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58.6</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58.67</w:t>
            </w:r>
          </w:p>
        </w:tc>
      </w:tr>
      <w:tr>
        <w:tblPrEx>
          <w:tblCellMar>
            <w:top w:w="0" w:type="dxa"/>
            <w:left w:w="108" w:type="dxa"/>
            <w:bottom w:w="0" w:type="dxa"/>
            <w:right w:w="108" w:type="dxa"/>
          </w:tblCellMar>
        </w:tblPrEx>
        <w:trPr>
          <w:trHeight w:val="300"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Male</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621</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41.4</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100</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eastAsia="Times New Roman"/>
                <w:b/>
                <w:color w:val="000000"/>
              </w:rPr>
            </w:pPr>
            <w:r>
              <w:rPr>
                <w:rFonts w:eastAsia="Times New Roman"/>
                <w:b/>
                <w:color w:val="000000"/>
              </w:rPr>
              <w:t xml:space="preserve">Qualification </w:t>
            </w:r>
          </w:p>
        </w:tc>
        <w:tc>
          <w:tcPr>
            <w:tcW w:w="1675"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c>
          <w:tcPr>
            <w:tcW w:w="1382"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Under-Graduate</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806</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53.7</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53.73333333</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Post-graduate</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694</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46.3</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100</w:t>
            </w:r>
          </w:p>
        </w:tc>
      </w:tr>
      <w:tr>
        <w:tblPrEx>
          <w:tblCellMar>
            <w:top w:w="0" w:type="dxa"/>
            <w:left w:w="108" w:type="dxa"/>
            <w:bottom w:w="0" w:type="dxa"/>
            <w:right w:w="108" w:type="dxa"/>
          </w:tblCellMar>
        </w:tblPrEx>
        <w:trPr>
          <w:trHeight w:val="52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eastAsia="Times New Roman"/>
                <w:b/>
                <w:color w:val="000000"/>
              </w:rPr>
            </w:pPr>
            <w:r>
              <w:rPr>
                <w:rFonts w:eastAsia="Times New Roman"/>
                <w:b/>
                <w:color w:val="000000"/>
              </w:rPr>
              <w:t>Field of Study</w:t>
            </w:r>
          </w:p>
        </w:tc>
        <w:tc>
          <w:tcPr>
            <w:tcW w:w="1675"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c>
          <w:tcPr>
            <w:tcW w:w="1382"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r>
      <w:tr>
        <w:tblPrEx>
          <w:tblCellMar>
            <w:top w:w="0" w:type="dxa"/>
            <w:left w:w="108" w:type="dxa"/>
            <w:bottom w:w="0" w:type="dxa"/>
            <w:right w:w="108" w:type="dxa"/>
          </w:tblCellMar>
        </w:tblPrEx>
        <w:trPr>
          <w:trHeight w:val="330"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agriculture</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95</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6.3</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6.33</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engineering and technology</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138</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9.2</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15.53</w:t>
            </w:r>
          </w:p>
        </w:tc>
      </w:tr>
      <w:tr>
        <w:tblPrEx>
          <w:tblCellMar>
            <w:top w:w="0" w:type="dxa"/>
            <w:left w:w="108" w:type="dxa"/>
            <w:bottom w:w="0" w:type="dxa"/>
            <w:right w:w="108" w:type="dxa"/>
          </w:tblCellMar>
        </w:tblPrEx>
        <w:trPr>
          <w:trHeight w:val="330"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physical sciences</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47</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3.1</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18.67</w:t>
            </w:r>
          </w:p>
        </w:tc>
      </w:tr>
      <w:tr>
        <w:tblPrEx>
          <w:tblCellMar>
            <w:top w:w="0" w:type="dxa"/>
            <w:left w:w="108" w:type="dxa"/>
            <w:bottom w:w="0" w:type="dxa"/>
            <w:right w:w="108" w:type="dxa"/>
          </w:tblCellMar>
        </w:tblPrEx>
        <w:trPr>
          <w:trHeight w:val="330"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humanities and social sciences</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128</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8.5</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27.20</w:t>
            </w:r>
          </w:p>
        </w:tc>
      </w:tr>
      <w:tr>
        <w:tblPrEx>
          <w:tblCellMar>
            <w:top w:w="0" w:type="dxa"/>
            <w:left w:w="108" w:type="dxa"/>
            <w:bottom w:w="0" w:type="dxa"/>
            <w:right w:w="108" w:type="dxa"/>
          </w:tblCellMar>
        </w:tblPrEx>
        <w:trPr>
          <w:trHeight w:val="330"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life sciences</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115</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7.7</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34.87</w:t>
            </w:r>
          </w:p>
        </w:tc>
      </w:tr>
      <w:tr>
        <w:tblPrEx>
          <w:tblCellMar>
            <w:top w:w="0" w:type="dxa"/>
            <w:left w:w="108" w:type="dxa"/>
            <w:bottom w:w="0" w:type="dxa"/>
            <w:right w:w="108" w:type="dxa"/>
          </w:tblCellMar>
        </w:tblPrEx>
        <w:trPr>
          <w:trHeight w:val="52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commerce and management</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170</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11.3</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46.20</w:t>
            </w:r>
          </w:p>
        </w:tc>
      </w:tr>
      <w:tr>
        <w:tblPrEx>
          <w:tblCellMar>
            <w:top w:w="0" w:type="dxa"/>
            <w:left w:w="108" w:type="dxa"/>
            <w:bottom w:w="0" w:type="dxa"/>
            <w:right w:w="108" w:type="dxa"/>
          </w:tblCellMar>
        </w:tblPrEx>
        <w:trPr>
          <w:trHeight w:val="330"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dental sciences</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120</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8.0</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54.20</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pharmaceutical sciences</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31</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2.1</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56.27</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fine arts and design</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102</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6.8</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63.07</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architecture &amp; town planning</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135</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9.0</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72.07</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law</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145</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9.7</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81.73</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education</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140</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9.3</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91.07</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applied health</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82</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5.5</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96.53</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faculty of nursing</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52</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3.5</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100</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ascii="Times New Roman" w:hAnsi="Times New Roman" w:eastAsia="Times New Roman"/>
                <w:b/>
                <w:color w:val="000000"/>
                <w:sz w:val="24"/>
                <w:szCs w:val="24"/>
              </w:rPr>
            </w:pPr>
            <w:r>
              <w:rPr>
                <w:rFonts w:ascii="Times New Roman" w:hAnsi="Times New Roman" w:eastAsia="Times New Roman"/>
                <w:b/>
                <w:color w:val="000000"/>
                <w:sz w:val="24"/>
                <w:szCs w:val="24"/>
              </w:rPr>
              <w:t>Residence</w:t>
            </w:r>
          </w:p>
        </w:tc>
        <w:tc>
          <w:tcPr>
            <w:tcW w:w="1675"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c>
          <w:tcPr>
            <w:tcW w:w="1382"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 xml:space="preserve">Rural </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563</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37.5</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49.56</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ascii="Times New Roman" w:hAnsi="Times New Roman" w:eastAsia="Times New Roman"/>
                <w:color w:val="000000"/>
                <w:sz w:val="24"/>
                <w:szCs w:val="24"/>
              </w:rPr>
            </w:pPr>
            <w:r>
              <w:rPr>
                <w:rFonts w:ascii="Times New Roman" w:hAnsi="Times New Roman" w:eastAsia="Times New Roman"/>
                <w:color w:val="000000"/>
                <w:sz w:val="24"/>
                <w:szCs w:val="24"/>
              </w:rPr>
              <w:t>Urban</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937</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62.5</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100</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rPr>
                <w:rFonts w:ascii="Times New Roman" w:hAnsi="Times New Roman" w:eastAsia="Times New Roman"/>
                <w:b/>
                <w:color w:val="000000"/>
                <w:sz w:val="24"/>
                <w:szCs w:val="24"/>
              </w:rPr>
            </w:pPr>
            <w:r>
              <w:rPr>
                <w:rFonts w:ascii="Times New Roman" w:hAnsi="Times New Roman" w:eastAsia="Times New Roman"/>
                <w:b/>
                <w:color w:val="000000"/>
                <w:sz w:val="24"/>
                <w:szCs w:val="24"/>
              </w:rPr>
              <w:t>Parents Education</w:t>
            </w:r>
          </w:p>
        </w:tc>
        <w:tc>
          <w:tcPr>
            <w:tcW w:w="1675"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c>
          <w:tcPr>
            <w:tcW w:w="1382"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r>
              <w:rPr>
                <w:rFonts w:eastAsia="Times New Roman"/>
                <w:color w:val="000000"/>
              </w:rPr>
              <w:t> </w:t>
            </w:r>
          </w:p>
        </w:tc>
      </w:tr>
      <w:tr>
        <w:tblPrEx>
          <w:tblCellMar>
            <w:top w:w="0" w:type="dxa"/>
            <w:left w:w="108" w:type="dxa"/>
            <w:bottom w:w="0" w:type="dxa"/>
            <w:right w:w="108" w:type="dxa"/>
          </w:tblCellMar>
        </w:tblPrEx>
        <w:trPr>
          <w:trHeight w:val="300"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Doctorate</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14</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.9</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0.9</w:t>
            </w:r>
          </w:p>
        </w:tc>
      </w:tr>
      <w:tr>
        <w:tblPrEx>
          <w:tblCellMar>
            <w:top w:w="0" w:type="dxa"/>
            <w:left w:w="108" w:type="dxa"/>
            <w:bottom w:w="0" w:type="dxa"/>
            <w:right w:w="108" w:type="dxa"/>
          </w:tblCellMar>
        </w:tblPrEx>
        <w:trPr>
          <w:trHeight w:val="300"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Post graduate</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176</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11.7</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12.7</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under graduate</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678</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45.2</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57.9</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 xml:space="preserve">12th </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381</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25.4</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83.3</w:t>
            </w:r>
          </w:p>
        </w:tc>
      </w:tr>
      <w:tr>
        <w:tblPrEx>
          <w:tblCellMar>
            <w:top w:w="0" w:type="dxa"/>
            <w:left w:w="108" w:type="dxa"/>
            <w:bottom w:w="0" w:type="dxa"/>
            <w:right w:w="108" w:type="dxa"/>
          </w:tblCellMar>
        </w:tblPrEx>
        <w:trPr>
          <w:trHeight w:val="300"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 xml:space="preserve">10th </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141</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9.4</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92.7</w:t>
            </w:r>
          </w:p>
        </w:tc>
      </w:tr>
      <w:tr>
        <w:tblPrEx>
          <w:tblCellMar>
            <w:top w:w="0" w:type="dxa"/>
            <w:left w:w="108" w:type="dxa"/>
            <w:bottom w:w="0" w:type="dxa"/>
            <w:right w:w="108" w:type="dxa"/>
          </w:tblCellMar>
        </w:tblPrEx>
        <w:trPr>
          <w:trHeight w:val="315" w:hRule="atLeast"/>
        </w:trPr>
        <w:tc>
          <w:tcPr>
            <w:tcW w:w="4516"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Uneducated</w:t>
            </w:r>
          </w:p>
        </w:tc>
        <w:tc>
          <w:tcPr>
            <w:tcW w:w="1675"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110</w:t>
            </w:r>
          </w:p>
        </w:tc>
        <w:tc>
          <w:tcPr>
            <w:tcW w:w="1382" w:type="dxa"/>
            <w:tcBorders>
              <w:top w:val="nil"/>
              <w:left w:val="nil"/>
              <w:bottom w:val="single" w:color="auto" w:sz="4" w:space="0"/>
              <w:right w:val="single" w:color="auto" w:sz="4" w:space="0"/>
            </w:tcBorders>
            <w:shd w:val="clear" w:color="auto" w:fill="auto"/>
            <w:noWrap/>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7.3</w:t>
            </w:r>
          </w:p>
        </w:tc>
        <w:tc>
          <w:tcPr>
            <w:tcW w:w="1587"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100</w:t>
            </w:r>
          </w:p>
        </w:tc>
      </w:tr>
      <w:tr>
        <w:tblPrEx>
          <w:tblCellMar>
            <w:top w:w="0" w:type="dxa"/>
            <w:left w:w="108" w:type="dxa"/>
            <w:bottom w:w="0" w:type="dxa"/>
            <w:right w:w="108" w:type="dxa"/>
          </w:tblCellMar>
        </w:tblPrEx>
        <w:trPr>
          <w:trHeight w:val="413" w:hRule="atLeast"/>
        </w:trPr>
        <w:tc>
          <w:tcPr>
            <w:tcW w:w="4516" w:type="dxa"/>
            <w:tcBorders>
              <w:top w:val="single" w:color="auto" w:sz="4" w:space="0"/>
              <w:left w:val="single" w:color="auto" w:sz="4" w:space="0"/>
              <w:bottom w:val="single" w:color="auto" w:sz="4" w:space="0"/>
              <w:right w:val="single" w:color="auto" w:sz="4" w:space="0"/>
            </w:tcBorders>
            <w:shd w:val="clear" w:color="auto" w:fill="auto"/>
            <w:noWrap/>
            <w:vAlign w:val="bottom"/>
          </w:tcPr>
          <w:p>
            <w:pPr>
              <w:spacing w:after="0" w:line="240" w:lineRule="auto"/>
              <w:rPr>
                <w:rFonts w:eastAsia="Times New Roman"/>
                <w:b/>
                <w:color w:val="000000"/>
              </w:rPr>
            </w:pPr>
            <w:r>
              <w:rPr>
                <w:rFonts w:eastAsia="Times New Roman"/>
                <w:b/>
                <w:color w:val="000000"/>
              </w:rPr>
              <w:t>Total Respondents</w:t>
            </w:r>
          </w:p>
        </w:tc>
        <w:tc>
          <w:tcPr>
            <w:tcW w:w="1675" w:type="dxa"/>
            <w:tcBorders>
              <w:top w:val="single" w:color="auto" w:sz="4" w:space="0"/>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1500</w:t>
            </w:r>
          </w:p>
        </w:tc>
        <w:tc>
          <w:tcPr>
            <w:tcW w:w="1382" w:type="dxa"/>
            <w:tcBorders>
              <w:top w:val="single" w:color="auto" w:sz="4" w:space="0"/>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olor w:val="000000"/>
              </w:rPr>
            </w:pPr>
            <w:r>
              <w:rPr>
                <w:rFonts w:eastAsia="Times New Roman"/>
                <w:color w:val="000000"/>
              </w:rPr>
              <w:t>100</w:t>
            </w:r>
          </w:p>
        </w:tc>
        <w:tc>
          <w:tcPr>
            <w:tcW w:w="1587" w:type="dxa"/>
            <w:tcBorders>
              <w:top w:val="single" w:color="auto" w:sz="4" w:space="0"/>
              <w:left w:val="single" w:color="auto" w:sz="4" w:space="0"/>
              <w:bottom w:val="single" w:color="auto" w:sz="4" w:space="0"/>
              <w:right w:val="single" w:color="auto" w:sz="4" w:space="0"/>
            </w:tcBorders>
            <w:shd w:val="clear" w:color="auto" w:fill="auto"/>
            <w:noWrap/>
            <w:vAlign w:val="bottom"/>
          </w:tcPr>
          <w:p>
            <w:pPr>
              <w:spacing w:after="0" w:line="240" w:lineRule="auto"/>
              <w:rPr>
                <w:rFonts w:eastAsia="Times New Roman"/>
                <w:color w:val="000000"/>
              </w:rPr>
            </w:pPr>
          </w:p>
        </w:tc>
      </w:tr>
    </w:tbl>
    <w:p>
      <w:pPr>
        <w:tabs>
          <w:tab w:val="left" w:pos="1315"/>
        </w:tabs>
      </w:pPr>
    </w:p>
    <w:p>
      <w:pPr>
        <w:jc w:val="both"/>
        <w:rPr>
          <w:rFonts w:ascii="Times New Roman" w:hAnsi="Times New Roman" w:eastAsiaTheme="minorHAnsi"/>
          <w:sz w:val="24"/>
          <w:szCs w:val="24"/>
        </w:rPr>
      </w:pPr>
      <w:r>
        <w:rPr>
          <w:rFonts w:ascii="Times New Roman" w:hAnsi="Times New Roman"/>
          <w:color w:val="000000"/>
          <w:sz w:val="24"/>
          <w:szCs w:val="24"/>
        </w:rPr>
        <w:t>The reliability of internal consistency is assessed using Cronbach's Alpha, which assesses how closely linked a set of items are to one another.  Higher numbers suggest stronger internal consistency, and a Cronbach's Alpha value spans from 0 to 1.  It is observed from Table no 2 that the Cronbach's Alpha coefficient for this study is 0.709, which is high.   A coefficient of 0.709 suggests a strong level of internal consistency among the 7 items being measured.  Having a high Cronbach's Alpha coefficient of 0.709 suggests that the items in this set have good reliability, meaning that they are consistent and dependable measures of the intended construct.</w:t>
      </w:r>
    </w:p>
    <w:tbl>
      <w:tblPr>
        <w:tblStyle w:val="3"/>
        <w:tblW w:w="792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160"/>
        <w:gridCol w:w="4410"/>
        <w:gridCol w:w="135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7920" w:type="dxa"/>
            <w:gridSpan w:val="3"/>
            <w:tcBorders>
              <w:top w:val="nil"/>
              <w:left w:val="nil"/>
              <w:bottom w:val="nil"/>
              <w:right w:val="nil"/>
            </w:tcBorders>
            <w:shd w:val="clear" w:color="auto" w:fill="FFFFFF"/>
            <w:vAlign w:val="center"/>
          </w:tcPr>
          <w:p>
            <w:pPr>
              <w:autoSpaceDE w:val="0"/>
              <w:autoSpaceDN w:val="0"/>
              <w:adjustRightInd w:val="0"/>
              <w:spacing w:after="0" w:line="320" w:lineRule="atLeast"/>
              <w:ind w:left="60" w:right="60"/>
              <w:jc w:val="center"/>
              <w:rPr>
                <w:rFonts w:ascii="Arial" w:hAnsi="Arial" w:cs="Arial" w:eastAsiaTheme="minorHAnsi"/>
                <w:color w:val="000000"/>
                <w:sz w:val="18"/>
                <w:szCs w:val="18"/>
              </w:rPr>
            </w:pPr>
            <w:r>
              <w:rPr>
                <w:rFonts w:ascii="Arial" w:hAnsi="Arial" w:cs="Arial" w:eastAsiaTheme="minorHAnsi"/>
                <w:b/>
                <w:bCs/>
                <w:color w:val="000000"/>
                <w:sz w:val="18"/>
                <w:szCs w:val="18"/>
              </w:rPr>
              <w:t>Table 2: Reliability Statistics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160" w:type="dxa"/>
            <w:tcBorders>
              <w:top w:val="single" w:color="000000" w:sz="16" w:space="0"/>
              <w:left w:val="single" w:color="000000" w:sz="16" w:space="0"/>
              <w:bottom w:val="single" w:color="000000" w:sz="16" w:space="0"/>
            </w:tcBorders>
            <w:shd w:val="clear" w:color="auto" w:fill="FFFFFF"/>
            <w:vAlign w:val="bottom"/>
          </w:tcPr>
          <w:p>
            <w:pPr>
              <w:autoSpaceDE w:val="0"/>
              <w:autoSpaceDN w:val="0"/>
              <w:adjustRightInd w:val="0"/>
              <w:spacing w:after="0" w:line="320" w:lineRule="atLeast"/>
              <w:ind w:left="60" w:right="60"/>
              <w:jc w:val="center"/>
              <w:rPr>
                <w:rFonts w:ascii="Arial" w:hAnsi="Arial" w:cs="Arial" w:eastAsiaTheme="minorHAnsi"/>
                <w:color w:val="000000"/>
                <w:sz w:val="18"/>
                <w:szCs w:val="18"/>
              </w:rPr>
            </w:pPr>
            <w:r>
              <w:rPr>
                <w:rFonts w:ascii="Arial" w:hAnsi="Arial" w:cs="Arial" w:eastAsiaTheme="minorHAnsi"/>
                <w:color w:val="000000"/>
                <w:sz w:val="18"/>
                <w:szCs w:val="18"/>
              </w:rPr>
              <w:t>Cronbach's Alpha</w:t>
            </w:r>
          </w:p>
        </w:tc>
        <w:tc>
          <w:tcPr>
            <w:tcW w:w="4410" w:type="dxa"/>
            <w:tcBorders>
              <w:top w:val="single" w:color="000000" w:sz="16" w:space="0"/>
              <w:bottom w:val="single" w:color="000000" w:sz="16" w:space="0"/>
            </w:tcBorders>
            <w:shd w:val="clear" w:color="auto" w:fill="FFFFFF"/>
            <w:vAlign w:val="bottom"/>
          </w:tcPr>
          <w:p>
            <w:pPr>
              <w:autoSpaceDE w:val="0"/>
              <w:autoSpaceDN w:val="0"/>
              <w:adjustRightInd w:val="0"/>
              <w:spacing w:after="0" w:line="320" w:lineRule="atLeast"/>
              <w:ind w:left="60" w:right="60"/>
              <w:jc w:val="center"/>
              <w:rPr>
                <w:rFonts w:ascii="Arial" w:hAnsi="Arial" w:cs="Arial" w:eastAsiaTheme="minorHAnsi"/>
                <w:color w:val="000000"/>
                <w:sz w:val="18"/>
                <w:szCs w:val="18"/>
              </w:rPr>
            </w:pPr>
            <w:r>
              <w:rPr>
                <w:rFonts w:ascii="Arial" w:hAnsi="Arial" w:cs="Arial" w:eastAsiaTheme="minorHAnsi"/>
                <w:color w:val="000000"/>
                <w:sz w:val="18"/>
                <w:szCs w:val="18"/>
              </w:rPr>
              <w:t>Cronbach's Alpha Based on Standardized Items</w:t>
            </w:r>
          </w:p>
        </w:tc>
        <w:tc>
          <w:tcPr>
            <w:tcW w:w="1350" w:type="dxa"/>
            <w:tcBorders>
              <w:top w:val="single" w:color="000000" w:sz="16" w:space="0"/>
              <w:bottom w:val="single" w:color="000000" w:sz="16" w:space="0"/>
              <w:right w:val="single" w:color="000000" w:sz="16" w:space="0"/>
            </w:tcBorders>
            <w:shd w:val="clear" w:color="auto" w:fill="FFFFFF"/>
            <w:vAlign w:val="bottom"/>
          </w:tcPr>
          <w:p>
            <w:pPr>
              <w:autoSpaceDE w:val="0"/>
              <w:autoSpaceDN w:val="0"/>
              <w:adjustRightInd w:val="0"/>
              <w:spacing w:after="0" w:line="320" w:lineRule="atLeast"/>
              <w:ind w:left="60" w:right="60"/>
              <w:jc w:val="center"/>
              <w:rPr>
                <w:rFonts w:ascii="Arial" w:hAnsi="Arial" w:cs="Arial" w:eastAsiaTheme="minorHAnsi"/>
                <w:color w:val="000000"/>
                <w:sz w:val="18"/>
                <w:szCs w:val="18"/>
              </w:rPr>
            </w:pPr>
            <w:r>
              <w:rPr>
                <w:rFonts w:ascii="Arial" w:hAnsi="Arial" w:cs="Arial" w:eastAsiaTheme="minorHAnsi"/>
                <w:color w:val="000000"/>
                <w:sz w:val="18"/>
                <w:szCs w:val="18"/>
              </w:rPr>
              <w:t>N of Items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jc w:val="center"/>
        </w:trPr>
        <w:tc>
          <w:tcPr>
            <w:tcW w:w="2160" w:type="dxa"/>
            <w:tcBorders>
              <w:top w:val="single" w:color="000000" w:sz="16" w:space="0"/>
              <w:left w:val="single" w:color="000000" w:sz="16" w:space="0"/>
              <w:bottom w:val="single" w:color="000000" w:sz="16" w:space="0"/>
            </w:tcBorders>
            <w:shd w:val="clear" w:color="auto" w:fill="FFFFFF"/>
            <w:vAlign w:val="center"/>
          </w:tcPr>
          <w:p>
            <w:pPr>
              <w:autoSpaceDE w:val="0"/>
              <w:autoSpaceDN w:val="0"/>
              <w:adjustRightInd w:val="0"/>
              <w:spacing w:after="0" w:line="320" w:lineRule="atLeast"/>
              <w:ind w:left="60" w:right="60"/>
              <w:jc w:val="right"/>
              <w:rPr>
                <w:rFonts w:ascii="Arial" w:hAnsi="Arial" w:cs="Arial" w:eastAsiaTheme="minorHAnsi"/>
                <w:color w:val="000000"/>
                <w:sz w:val="18"/>
                <w:szCs w:val="18"/>
              </w:rPr>
            </w:pPr>
            <w:r>
              <w:rPr>
                <w:rFonts w:ascii="Arial" w:hAnsi="Arial" w:cs="Arial" w:eastAsiaTheme="minorHAnsi"/>
                <w:color w:val="000000"/>
                <w:sz w:val="18"/>
                <w:szCs w:val="18"/>
              </w:rPr>
              <w:t>.709</w:t>
            </w:r>
          </w:p>
        </w:tc>
        <w:tc>
          <w:tcPr>
            <w:tcW w:w="4410" w:type="dxa"/>
            <w:tcBorders>
              <w:top w:val="single" w:color="000000" w:sz="16" w:space="0"/>
              <w:bottom w:val="single" w:color="000000" w:sz="16" w:space="0"/>
            </w:tcBorders>
            <w:shd w:val="clear" w:color="auto" w:fill="FFFFFF"/>
            <w:vAlign w:val="center"/>
          </w:tcPr>
          <w:p>
            <w:pPr>
              <w:autoSpaceDE w:val="0"/>
              <w:autoSpaceDN w:val="0"/>
              <w:adjustRightInd w:val="0"/>
              <w:spacing w:after="0" w:line="320" w:lineRule="atLeast"/>
              <w:ind w:left="60" w:right="60"/>
              <w:jc w:val="right"/>
              <w:rPr>
                <w:rFonts w:ascii="Arial" w:hAnsi="Arial" w:cs="Arial" w:eastAsiaTheme="minorHAnsi"/>
                <w:color w:val="000000"/>
                <w:sz w:val="18"/>
                <w:szCs w:val="18"/>
              </w:rPr>
            </w:pPr>
            <w:r>
              <w:rPr>
                <w:rFonts w:ascii="Arial" w:hAnsi="Arial" w:cs="Arial" w:eastAsiaTheme="minorHAnsi"/>
                <w:color w:val="000000"/>
                <w:sz w:val="18"/>
                <w:szCs w:val="18"/>
              </w:rPr>
              <w:t>.714</w:t>
            </w:r>
          </w:p>
        </w:tc>
        <w:tc>
          <w:tcPr>
            <w:tcW w:w="1350" w:type="dxa"/>
            <w:tcBorders>
              <w:top w:val="single" w:color="000000" w:sz="16" w:space="0"/>
              <w:bottom w:val="single" w:color="000000" w:sz="16" w:space="0"/>
              <w:right w:val="single" w:color="000000" w:sz="16" w:space="0"/>
            </w:tcBorders>
            <w:shd w:val="clear" w:color="auto" w:fill="FFFFFF"/>
            <w:vAlign w:val="center"/>
          </w:tcPr>
          <w:p>
            <w:pPr>
              <w:autoSpaceDE w:val="0"/>
              <w:autoSpaceDN w:val="0"/>
              <w:adjustRightInd w:val="0"/>
              <w:spacing w:after="0" w:line="320" w:lineRule="atLeast"/>
              <w:ind w:left="60" w:right="60"/>
              <w:jc w:val="right"/>
              <w:rPr>
                <w:rFonts w:ascii="Arial" w:hAnsi="Arial" w:cs="Arial" w:eastAsiaTheme="minorHAnsi"/>
                <w:color w:val="000000"/>
                <w:sz w:val="18"/>
                <w:szCs w:val="18"/>
              </w:rPr>
            </w:pPr>
            <w:r>
              <w:rPr>
                <w:rFonts w:ascii="Arial" w:hAnsi="Arial" w:cs="Arial" w:eastAsiaTheme="minorHAnsi"/>
                <w:color w:val="000000"/>
                <w:sz w:val="18"/>
                <w:szCs w:val="18"/>
              </w:rPr>
              <w:t>7</w:t>
            </w:r>
          </w:p>
        </w:tc>
      </w:tr>
    </w:tbl>
    <w:p>
      <w:pPr>
        <w:autoSpaceDE w:val="0"/>
        <w:autoSpaceDN w:val="0"/>
        <w:adjustRightInd w:val="0"/>
        <w:spacing w:after="0" w:line="400" w:lineRule="atLeast"/>
        <w:jc w:val="both"/>
        <w:rPr>
          <w:rFonts w:ascii="Times New Roman" w:hAnsi="Times New Roman" w:eastAsiaTheme="minorHAnsi"/>
          <w:sz w:val="24"/>
          <w:szCs w:val="24"/>
        </w:rPr>
      </w:pPr>
    </w:p>
    <w:p>
      <w:pPr>
        <w:tabs>
          <w:tab w:val="left" w:pos="1315"/>
        </w:tabs>
        <w:jc w:val="both"/>
        <w:rPr>
          <w:rFonts w:ascii="Times New Roman" w:hAnsi="Times New Roman"/>
          <w:sz w:val="24"/>
          <w:szCs w:val="24"/>
        </w:rPr>
      </w:pPr>
      <w:r>
        <w:rPr>
          <w:rFonts w:ascii="Times New Roman" w:hAnsi="Times New Roman"/>
          <w:sz w:val="24"/>
          <w:szCs w:val="24"/>
        </w:rPr>
        <w:t xml:space="preserve">Table 3 represents the Financial Literacy level of the 1500 respondents enrolled under the various courses in PDM University.  Three levels of the financial literacy of the students were assessed in this study. The three levels were categorized on the bases of the respondent’s correct scores. If the score is below 59.9% then it is categorized that he/she posses the lower level of financial literacy, if the score lies between 60% to 79.9%  then it is categorized that he/she posses the moderate level and if the score is above 80% then it is categorized that he/she posses the Higher level of financial literacy. The Level of financial literacy was also complied for each section of overall financial literacy i.e. Saving, Banking, Insurance, Investment, Risk and Financial Awareness and Financial Planning. </w:t>
      </w:r>
    </w:p>
    <w:tbl>
      <w:tblPr>
        <w:tblStyle w:val="6"/>
        <w:tblW w:w="928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60"/>
        <w:gridCol w:w="2108"/>
        <w:gridCol w:w="2250"/>
        <w:gridCol w:w="207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5" w:hRule="atLeast"/>
        </w:trPr>
        <w:tc>
          <w:tcPr>
            <w:tcW w:w="9288" w:type="dxa"/>
            <w:gridSpan w:val="4"/>
            <w:noWrap/>
          </w:tcPr>
          <w:p>
            <w:pPr>
              <w:spacing w:after="0" w:line="240" w:lineRule="auto"/>
              <w:jc w:val="center"/>
              <w:rPr>
                <w:rFonts w:eastAsia="Times New Roman"/>
                <w:b/>
                <w:bCs/>
                <w:color w:val="000000"/>
              </w:rPr>
            </w:pPr>
            <w:r>
              <w:rPr>
                <w:rFonts w:eastAsia="Times New Roman"/>
                <w:b/>
                <w:bCs/>
                <w:color w:val="000000"/>
              </w:rPr>
              <w:t>Table 3:Level of Financial Knowledge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trPr>
        <w:tc>
          <w:tcPr>
            <w:tcW w:w="2860" w:type="dxa"/>
            <w:vMerge w:val="restart"/>
            <w:noWrap/>
          </w:tcPr>
          <w:p>
            <w:pPr>
              <w:spacing w:after="0" w:line="240" w:lineRule="auto"/>
              <w:rPr>
                <w:rFonts w:eastAsia="Times New Roman"/>
                <w:color w:val="000000"/>
              </w:rPr>
            </w:pPr>
          </w:p>
        </w:tc>
        <w:tc>
          <w:tcPr>
            <w:tcW w:w="2108" w:type="dxa"/>
          </w:tcPr>
          <w:p>
            <w:pPr>
              <w:spacing w:after="0" w:line="240" w:lineRule="auto"/>
              <w:jc w:val="center"/>
              <w:rPr>
                <w:rFonts w:ascii="Times-Roman" w:hAnsi="Times-Roman" w:eastAsia="Times New Roman"/>
                <w:b/>
                <w:bCs/>
                <w:color w:val="000000"/>
                <w:sz w:val="24"/>
                <w:szCs w:val="24"/>
              </w:rPr>
            </w:pPr>
            <w:r>
              <w:rPr>
                <w:rFonts w:ascii="Times-Roman" w:hAnsi="Times-Roman" w:eastAsia="Times New Roman"/>
                <w:b/>
                <w:bCs/>
                <w:color w:val="000000"/>
                <w:sz w:val="24"/>
                <w:szCs w:val="24"/>
              </w:rPr>
              <w:t>Lower Level "Below 59.9%"</w:t>
            </w:r>
          </w:p>
        </w:tc>
        <w:tc>
          <w:tcPr>
            <w:tcW w:w="2250" w:type="dxa"/>
          </w:tcPr>
          <w:p>
            <w:pPr>
              <w:spacing w:after="0" w:line="240" w:lineRule="auto"/>
              <w:jc w:val="center"/>
              <w:rPr>
                <w:rFonts w:ascii="Times-Roman" w:hAnsi="Times-Roman" w:eastAsia="Times New Roman"/>
                <w:b/>
                <w:bCs/>
                <w:color w:val="000000"/>
                <w:sz w:val="24"/>
                <w:szCs w:val="24"/>
              </w:rPr>
            </w:pPr>
            <w:r>
              <w:rPr>
                <w:rFonts w:ascii="Times-Roman" w:hAnsi="Times-Roman" w:eastAsia="Times New Roman"/>
                <w:b/>
                <w:bCs/>
                <w:color w:val="000000"/>
                <w:sz w:val="24"/>
                <w:szCs w:val="24"/>
              </w:rPr>
              <w:t>Moderate Level "60% - 79.9%"</w:t>
            </w:r>
          </w:p>
        </w:tc>
        <w:tc>
          <w:tcPr>
            <w:tcW w:w="2070" w:type="dxa"/>
          </w:tcPr>
          <w:p>
            <w:pPr>
              <w:spacing w:after="0" w:line="240" w:lineRule="auto"/>
              <w:jc w:val="center"/>
              <w:rPr>
                <w:rFonts w:ascii="Times-Roman" w:hAnsi="Times-Roman" w:eastAsia="Times New Roman"/>
                <w:b/>
                <w:bCs/>
                <w:color w:val="000000"/>
                <w:sz w:val="24"/>
                <w:szCs w:val="24"/>
              </w:rPr>
            </w:pPr>
            <w:r>
              <w:rPr>
                <w:rFonts w:ascii="Times-Roman" w:hAnsi="Times-Roman" w:eastAsia="Times New Roman"/>
                <w:b/>
                <w:bCs/>
                <w:color w:val="000000"/>
                <w:sz w:val="24"/>
                <w:szCs w:val="24"/>
              </w:rPr>
              <w:t>High Level "80% above"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5" w:hRule="atLeast"/>
        </w:trPr>
        <w:tc>
          <w:tcPr>
            <w:tcW w:w="2860" w:type="dxa"/>
            <w:vMerge w:val="continue"/>
            <w:noWrap/>
          </w:tcPr>
          <w:p>
            <w:pPr>
              <w:spacing w:after="0" w:line="240" w:lineRule="auto"/>
              <w:rPr>
                <w:rFonts w:eastAsia="Times New Roman"/>
                <w:color w:val="000000"/>
              </w:rPr>
            </w:pPr>
          </w:p>
        </w:tc>
        <w:tc>
          <w:tcPr>
            <w:tcW w:w="2108" w:type="dxa"/>
          </w:tcPr>
          <w:p>
            <w:pPr>
              <w:spacing w:after="0" w:line="240" w:lineRule="auto"/>
              <w:rPr>
                <w:rFonts w:ascii="Times-Roman" w:hAnsi="Times-Roman" w:eastAsia="Times New Roman"/>
                <w:b/>
                <w:bCs/>
                <w:color w:val="000000"/>
                <w:sz w:val="24"/>
                <w:szCs w:val="24"/>
              </w:rPr>
            </w:pPr>
            <w:r>
              <w:rPr>
                <w:rFonts w:ascii="Times-Roman" w:hAnsi="Times-Roman" w:eastAsia="Times New Roman"/>
                <w:b/>
                <w:bCs/>
                <w:color w:val="000000"/>
                <w:sz w:val="24"/>
                <w:szCs w:val="24"/>
              </w:rPr>
              <w:t>Respondents percentage</w:t>
            </w:r>
          </w:p>
        </w:tc>
        <w:tc>
          <w:tcPr>
            <w:tcW w:w="2250" w:type="dxa"/>
          </w:tcPr>
          <w:p>
            <w:pPr>
              <w:spacing w:after="0" w:line="240" w:lineRule="auto"/>
              <w:rPr>
                <w:rFonts w:ascii="Times-Roman" w:hAnsi="Times-Roman" w:eastAsia="Times New Roman"/>
                <w:bCs/>
                <w:color w:val="000000"/>
                <w:sz w:val="24"/>
                <w:szCs w:val="24"/>
              </w:rPr>
            </w:pPr>
            <w:r>
              <w:rPr>
                <w:rFonts w:ascii="Times-Roman" w:hAnsi="Times-Roman" w:eastAsia="Times New Roman"/>
                <w:b/>
                <w:bCs/>
                <w:color w:val="000000"/>
                <w:sz w:val="24"/>
                <w:szCs w:val="24"/>
              </w:rPr>
              <w:t>Respondents percentage</w:t>
            </w:r>
          </w:p>
        </w:tc>
        <w:tc>
          <w:tcPr>
            <w:tcW w:w="2070" w:type="dxa"/>
          </w:tcPr>
          <w:p>
            <w:pPr>
              <w:spacing w:after="0" w:line="240" w:lineRule="auto"/>
              <w:rPr>
                <w:rFonts w:ascii="Times-Roman" w:hAnsi="Times-Roman" w:eastAsia="Times New Roman"/>
                <w:b/>
                <w:bCs/>
                <w:color w:val="000000"/>
                <w:sz w:val="24"/>
                <w:szCs w:val="24"/>
              </w:rPr>
            </w:pPr>
            <w:r>
              <w:rPr>
                <w:rFonts w:ascii="Times-Roman" w:hAnsi="Times-Roman" w:eastAsia="Times New Roman"/>
                <w:b/>
                <w:bCs/>
                <w:color w:val="000000"/>
                <w:sz w:val="24"/>
                <w:szCs w:val="24"/>
              </w:rPr>
              <w:t>Respondents percentage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860" w:type="dxa"/>
            <w:noWrap/>
          </w:tcPr>
          <w:p>
            <w:pPr>
              <w:spacing w:after="0" w:line="240" w:lineRule="auto"/>
              <w:rPr>
                <w:rFonts w:eastAsia="Times New Roman"/>
                <w:b/>
                <w:bCs/>
                <w:color w:val="000000"/>
              </w:rPr>
            </w:pPr>
            <w:r>
              <w:rPr>
                <w:rFonts w:eastAsia="Times New Roman"/>
                <w:b/>
                <w:bCs/>
                <w:color w:val="000000"/>
              </w:rPr>
              <w:t xml:space="preserve">Saving </w:t>
            </w:r>
          </w:p>
        </w:tc>
        <w:tc>
          <w:tcPr>
            <w:tcW w:w="2108"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45.3</w:t>
            </w:r>
          </w:p>
        </w:tc>
        <w:tc>
          <w:tcPr>
            <w:tcW w:w="225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20.5</w:t>
            </w:r>
          </w:p>
        </w:tc>
        <w:tc>
          <w:tcPr>
            <w:tcW w:w="207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34.1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2860" w:type="dxa"/>
            <w:noWrap/>
          </w:tcPr>
          <w:p>
            <w:pPr>
              <w:spacing w:after="0" w:line="240" w:lineRule="auto"/>
              <w:rPr>
                <w:rFonts w:eastAsia="Times New Roman"/>
                <w:b/>
                <w:bCs/>
                <w:color w:val="000000"/>
              </w:rPr>
            </w:pPr>
            <w:r>
              <w:rPr>
                <w:rFonts w:eastAsia="Times New Roman"/>
                <w:b/>
                <w:bCs/>
                <w:color w:val="000000"/>
              </w:rPr>
              <w:t>Banking</w:t>
            </w:r>
          </w:p>
        </w:tc>
        <w:tc>
          <w:tcPr>
            <w:tcW w:w="2108"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13.3</w:t>
            </w:r>
          </w:p>
        </w:tc>
        <w:tc>
          <w:tcPr>
            <w:tcW w:w="225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25.9</w:t>
            </w:r>
          </w:p>
        </w:tc>
        <w:tc>
          <w:tcPr>
            <w:tcW w:w="207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60.9</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2860" w:type="dxa"/>
            <w:noWrap/>
          </w:tcPr>
          <w:p>
            <w:pPr>
              <w:spacing w:after="0" w:line="240" w:lineRule="auto"/>
              <w:rPr>
                <w:rFonts w:eastAsia="Times New Roman"/>
                <w:b/>
                <w:bCs/>
                <w:color w:val="000000"/>
              </w:rPr>
            </w:pPr>
            <w:r>
              <w:rPr>
                <w:rFonts w:eastAsia="Times New Roman"/>
                <w:b/>
                <w:bCs/>
                <w:color w:val="000000"/>
              </w:rPr>
              <w:t>Insurance</w:t>
            </w:r>
          </w:p>
        </w:tc>
        <w:tc>
          <w:tcPr>
            <w:tcW w:w="2108"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13.3</w:t>
            </w:r>
          </w:p>
        </w:tc>
        <w:tc>
          <w:tcPr>
            <w:tcW w:w="225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28.3</w:t>
            </w:r>
          </w:p>
        </w:tc>
        <w:tc>
          <w:tcPr>
            <w:tcW w:w="207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58.4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2860" w:type="dxa"/>
            <w:noWrap/>
          </w:tcPr>
          <w:p>
            <w:pPr>
              <w:spacing w:after="0" w:line="240" w:lineRule="auto"/>
              <w:rPr>
                <w:rFonts w:eastAsia="Times New Roman"/>
                <w:b/>
                <w:bCs/>
                <w:color w:val="000000"/>
              </w:rPr>
            </w:pPr>
            <w:r>
              <w:rPr>
                <w:rFonts w:eastAsia="Times New Roman"/>
                <w:b/>
                <w:bCs/>
                <w:color w:val="000000"/>
              </w:rPr>
              <w:t>Investment</w:t>
            </w:r>
          </w:p>
        </w:tc>
        <w:tc>
          <w:tcPr>
            <w:tcW w:w="2108"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14.1</w:t>
            </w:r>
          </w:p>
        </w:tc>
        <w:tc>
          <w:tcPr>
            <w:tcW w:w="225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27.0</w:t>
            </w:r>
          </w:p>
        </w:tc>
        <w:tc>
          <w:tcPr>
            <w:tcW w:w="207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58.9</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5" w:hRule="atLeast"/>
        </w:trPr>
        <w:tc>
          <w:tcPr>
            <w:tcW w:w="2860" w:type="dxa"/>
            <w:noWrap/>
          </w:tcPr>
          <w:p>
            <w:pPr>
              <w:spacing w:after="0" w:line="240" w:lineRule="auto"/>
              <w:rPr>
                <w:rFonts w:eastAsia="Times New Roman"/>
                <w:b/>
                <w:bCs/>
                <w:color w:val="000000"/>
              </w:rPr>
            </w:pPr>
            <w:r>
              <w:rPr>
                <w:rFonts w:eastAsia="Times New Roman"/>
                <w:b/>
                <w:bCs/>
                <w:color w:val="000000"/>
              </w:rPr>
              <w:t>Risk and Financial Awareness</w:t>
            </w:r>
          </w:p>
        </w:tc>
        <w:tc>
          <w:tcPr>
            <w:tcW w:w="2108"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13.4</w:t>
            </w:r>
          </w:p>
        </w:tc>
        <w:tc>
          <w:tcPr>
            <w:tcW w:w="225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28.7</w:t>
            </w:r>
          </w:p>
        </w:tc>
        <w:tc>
          <w:tcPr>
            <w:tcW w:w="207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57.9</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2860" w:type="dxa"/>
            <w:noWrap/>
          </w:tcPr>
          <w:p>
            <w:pPr>
              <w:spacing w:after="0" w:line="240" w:lineRule="auto"/>
              <w:rPr>
                <w:rFonts w:eastAsia="Times New Roman"/>
                <w:b/>
                <w:bCs/>
                <w:color w:val="000000"/>
              </w:rPr>
            </w:pPr>
            <w:r>
              <w:rPr>
                <w:rFonts w:eastAsia="Times New Roman"/>
                <w:b/>
                <w:bCs/>
                <w:color w:val="000000"/>
              </w:rPr>
              <w:t>Financial Planning</w:t>
            </w:r>
          </w:p>
        </w:tc>
        <w:tc>
          <w:tcPr>
            <w:tcW w:w="2108"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13.6</w:t>
            </w:r>
          </w:p>
        </w:tc>
        <w:tc>
          <w:tcPr>
            <w:tcW w:w="225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30.3</w:t>
            </w:r>
          </w:p>
        </w:tc>
        <w:tc>
          <w:tcPr>
            <w:tcW w:w="207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56.1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2860" w:type="dxa"/>
            <w:noWrap/>
          </w:tcPr>
          <w:p>
            <w:pPr>
              <w:spacing w:after="0" w:line="240" w:lineRule="auto"/>
              <w:rPr>
                <w:rFonts w:eastAsia="Times New Roman"/>
                <w:b/>
                <w:bCs/>
                <w:color w:val="000000"/>
              </w:rPr>
            </w:pPr>
            <w:r>
              <w:rPr>
                <w:rFonts w:eastAsia="Times New Roman"/>
                <w:b/>
                <w:bCs/>
                <w:color w:val="000000"/>
              </w:rPr>
              <w:t>Overall Financial Literacy</w:t>
            </w:r>
          </w:p>
        </w:tc>
        <w:tc>
          <w:tcPr>
            <w:tcW w:w="2108"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71.1</w:t>
            </w:r>
          </w:p>
        </w:tc>
        <w:tc>
          <w:tcPr>
            <w:tcW w:w="225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25.1</w:t>
            </w:r>
          </w:p>
        </w:tc>
        <w:tc>
          <w:tcPr>
            <w:tcW w:w="2070" w:type="dxa"/>
            <w:noWrap/>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3.7</w:t>
            </w:r>
          </w:p>
        </w:tc>
      </w:tr>
    </w:tbl>
    <w:p>
      <w:pPr>
        <w:tabs>
          <w:tab w:val="left" w:pos="1315"/>
        </w:tabs>
      </w:pPr>
    </w:p>
    <w:p>
      <w:pPr>
        <w:tabs>
          <w:tab w:val="left" w:pos="1315"/>
        </w:tabs>
        <w:jc w:val="both"/>
        <w:rPr>
          <w:rFonts w:ascii="Times New Roman" w:hAnsi="Times New Roman"/>
          <w:sz w:val="24"/>
          <w:szCs w:val="24"/>
        </w:rPr>
      </w:pPr>
      <w:r>
        <w:rPr>
          <w:rFonts w:ascii="Times New Roman" w:hAnsi="Times New Roman"/>
          <w:sz w:val="24"/>
          <w:szCs w:val="24"/>
        </w:rPr>
        <w:t xml:space="preserve">The result of the study shows that very few respondents i.e. 3.7% were posses the high level of financial literacy. Majority of the respondents i.e. 71.1% were posses the lower level of financial literacy. Whereas the graphical representation of the table 3 shows that for every section of financial literacy, majority of the respondents i.e. 34.1 % in Saving, 60.9% Banking, 58.4% Insurance, 58.9 % Investment, 57.9 % Risk and Financial Awareness and 56.1% Financial Planning possessed the higher level of financial literacy. </w:t>
      </w:r>
    </w:p>
    <w:p>
      <w:pPr>
        <w:tabs>
          <w:tab w:val="left" w:pos="1315"/>
        </w:tabs>
      </w:pPr>
      <w:r>
        <w:drawing>
          <wp:inline distT="0" distB="0" distL="0" distR="0">
            <wp:extent cx="5946775" cy="3696970"/>
            <wp:effectExtent l="19050" t="0" r="15488"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
      <w:pPr>
        <w:jc w:val="both"/>
        <w:rPr>
          <w:rFonts w:ascii="Times New Roman" w:hAnsi="Times New Roman"/>
          <w:sz w:val="24"/>
          <w:szCs w:val="24"/>
        </w:rPr>
      </w:pPr>
      <w:r>
        <w:rPr>
          <w:rFonts w:ascii="Times New Roman" w:hAnsi="Times New Roman"/>
          <w:sz w:val="24"/>
          <w:szCs w:val="24"/>
        </w:rPr>
        <w:t>Cross tabulation was also complied with the help of SPSS 23, to represent the relationship of the demographics characteristics and the financial literacy score. The results of the gender-wise cross tabulation shows that 73.9% females posses the higher level of financial literacy, 23.0% posses moderate level and only 3.1% posses lower level Of financial literacy. While 67.1% Males posses’ higher level of financial literacy, 28.2% posses moderate level and only 4.7% posses lower level of financial literacy.  The result of Perason Chi-square test shows that gender has the significant impact on the financial literacy level. P- value i.e. 0.012 shows the men are more than women.</w:t>
      </w:r>
    </w:p>
    <w:p>
      <w:pPr>
        <w:jc w:val="both"/>
        <w:rPr>
          <w:rFonts w:ascii="Times New Roman" w:hAnsi="Times New Roman"/>
          <w:sz w:val="24"/>
          <w:szCs w:val="24"/>
        </w:rPr>
      </w:pPr>
      <w:r>
        <w:rPr>
          <w:rFonts w:ascii="Times New Roman" w:hAnsi="Times New Roman"/>
          <w:sz w:val="24"/>
          <w:szCs w:val="24"/>
        </w:rPr>
        <w:t xml:space="preserve">The results of the Qualification-wise cross tabulation shows that 69.2% of respondents enrolled in UG courses posses the higher level of financial literacy, 26.8% posses moderate level and only 4.0% posses lower level Of financial literacy. On the other hand, 73.3% of respondents enrolled in PG courses posses the higher level of financial literacy, 23.2%posses moderate level and only 3.5%% posses lower level Of financial literacy. The result of Perason Chi-square test shows that Qualification (P- value i.e. 0.215), Residence (P- value i.e. 0.39) and Parent’s education (P- value i.e. 0.683) are insignificant. While Course enrolled is significant to study as p-value is .028. </w:t>
      </w:r>
    </w:p>
    <w:tbl>
      <w:tblPr>
        <w:tblStyle w:val="6"/>
        <w:tblW w:w="9556"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816"/>
        <w:gridCol w:w="990"/>
        <w:gridCol w:w="990"/>
        <w:gridCol w:w="1107"/>
        <w:gridCol w:w="1256"/>
        <w:gridCol w:w="1216"/>
        <w:gridCol w:w="1025"/>
        <w:gridCol w:w="115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4" w:hRule="atLeast"/>
        </w:trPr>
        <w:tc>
          <w:tcPr>
            <w:tcW w:w="9556" w:type="dxa"/>
            <w:gridSpan w:val="8"/>
            <w:noWrap/>
          </w:tcPr>
          <w:p>
            <w:pPr>
              <w:spacing w:after="0" w:line="240" w:lineRule="auto"/>
              <w:jc w:val="center"/>
              <w:rPr>
                <w:rFonts w:ascii="Times New Roman" w:hAnsi="Times New Roman" w:eastAsia="Times New Roman"/>
                <w:b/>
                <w:color w:val="000000"/>
                <w:sz w:val="20"/>
                <w:szCs w:val="20"/>
              </w:rPr>
            </w:pPr>
            <w:r>
              <w:rPr>
                <w:rFonts w:ascii="Times New Roman" w:hAnsi="Times New Roman" w:eastAsia="Times New Roman"/>
                <w:b/>
                <w:color w:val="000000"/>
                <w:sz w:val="20"/>
                <w:szCs w:val="20"/>
              </w:rPr>
              <w:t>Table 4: Complied table for Independent Sample T-Test and ANOVA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0" w:hRule="atLeast"/>
        </w:trPr>
        <w:tc>
          <w:tcPr>
            <w:tcW w:w="1816" w:type="dxa"/>
            <w:noWrap/>
          </w:tcPr>
          <w:p>
            <w:pPr>
              <w:spacing w:after="0" w:line="240" w:lineRule="auto"/>
              <w:rPr>
                <w:rFonts w:ascii="Times New Roman" w:hAnsi="Times New Roman" w:eastAsia="Times New Roman"/>
                <w:color w:val="000000"/>
                <w:sz w:val="20"/>
                <w:szCs w:val="20"/>
              </w:rPr>
            </w:pPr>
          </w:p>
        </w:tc>
        <w:tc>
          <w:tcPr>
            <w:tcW w:w="990" w:type="dxa"/>
            <w:noWrap/>
          </w:tcPr>
          <w:p>
            <w:pPr>
              <w:spacing w:after="0" w:line="240" w:lineRule="auto"/>
              <w:rPr>
                <w:rFonts w:ascii="Times New Roman" w:hAnsi="Times New Roman" w:eastAsia="Times New Roman"/>
                <w:b/>
                <w:color w:val="000000"/>
                <w:sz w:val="20"/>
                <w:szCs w:val="20"/>
              </w:rPr>
            </w:pPr>
            <w:r>
              <w:rPr>
                <w:rFonts w:ascii="Times New Roman" w:hAnsi="Times New Roman" w:eastAsia="Times New Roman"/>
                <w:b/>
                <w:color w:val="000000"/>
                <w:sz w:val="20"/>
                <w:szCs w:val="20"/>
              </w:rPr>
              <w:t>Saving</w:t>
            </w:r>
          </w:p>
        </w:tc>
        <w:tc>
          <w:tcPr>
            <w:tcW w:w="990" w:type="dxa"/>
            <w:noWrap/>
          </w:tcPr>
          <w:p>
            <w:pPr>
              <w:spacing w:after="0" w:line="240" w:lineRule="auto"/>
              <w:rPr>
                <w:rFonts w:ascii="Times New Roman" w:hAnsi="Times New Roman" w:eastAsia="Times New Roman"/>
                <w:b/>
                <w:color w:val="000000"/>
                <w:sz w:val="20"/>
                <w:szCs w:val="20"/>
              </w:rPr>
            </w:pPr>
            <w:r>
              <w:rPr>
                <w:rFonts w:ascii="Times New Roman" w:hAnsi="Times New Roman" w:eastAsia="Times New Roman"/>
                <w:b/>
                <w:color w:val="000000"/>
                <w:sz w:val="20"/>
                <w:szCs w:val="20"/>
              </w:rPr>
              <w:t>Banking</w:t>
            </w:r>
          </w:p>
        </w:tc>
        <w:tc>
          <w:tcPr>
            <w:tcW w:w="1107" w:type="dxa"/>
            <w:noWrap/>
          </w:tcPr>
          <w:p>
            <w:pPr>
              <w:spacing w:after="0" w:line="240" w:lineRule="auto"/>
              <w:rPr>
                <w:rFonts w:ascii="Times New Roman" w:hAnsi="Times New Roman" w:eastAsia="Times New Roman"/>
                <w:b/>
                <w:color w:val="000000"/>
                <w:sz w:val="20"/>
                <w:szCs w:val="20"/>
              </w:rPr>
            </w:pPr>
            <w:r>
              <w:rPr>
                <w:rFonts w:ascii="Times New Roman" w:hAnsi="Times New Roman" w:eastAsia="Times New Roman"/>
                <w:b/>
                <w:color w:val="000000"/>
                <w:sz w:val="20"/>
                <w:szCs w:val="20"/>
              </w:rPr>
              <w:t>Insurance</w:t>
            </w:r>
          </w:p>
        </w:tc>
        <w:tc>
          <w:tcPr>
            <w:tcW w:w="1256" w:type="dxa"/>
            <w:noWrap/>
          </w:tcPr>
          <w:p>
            <w:pPr>
              <w:spacing w:after="0" w:line="240" w:lineRule="auto"/>
              <w:rPr>
                <w:rFonts w:ascii="Times New Roman" w:hAnsi="Times New Roman" w:eastAsia="Times New Roman"/>
                <w:b/>
                <w:color w:val="000000"/>
                <w:sz w:val="20"/>
                <w:szCs w:val="20"/>
              </w:rPr>
            </w:pPr>
            <w:r>
              <w:rPr>
                <w:rFonts w:ascii="Times New Roman" w:hAnsi="Times New Roman" w:eastAsia="Times New Roman"/>
                <w:b/>
                <w:color w:val="000000"/>
                <w:sz w:val="20"/>
                <w:szCs w:val="20"/>
              </w:rPr>
              <w:t>Investment</w:t>
            </w:r>
          </w:p>
        </w:tc>
        <w:tc>
          <w:tcPr>
            <w:tcW w:w="1216" w:type="dxa"/>
          </w:tcPr>
          <w:p>
            <w:pPr>
              <w:spacing w:after="0" w:line="240" w:lineRule="auto"/>
              <w:rPr>
                <w:rFonts w:ascii="Times New Roman" w:hAnsi="Times New Roman" w:eastAsia="Times New Roman"/>
                <w:b/>
                <w:color w:val="000000"/>
                <w:sz w:val="20"/>
                <w:szCs w:val="20"/>
              </w:rPr>
            </w:pPr>
            <w:r>
              <w:rPr>
                <w:rFonts w:ascii="Times New Roman" w:hAnsi="Times New Roman" w:eastAsia="Times New Roman"/>
                <w:b/>
                <w:color w:val="000000"/>
                <w:sz w:val="20"/>
                <w:szCs w:val="20"/>
              </w:rPr>
              <w:t>Risk and Financial Awareness</w:t>
            </w:r>
          </w:p>
        </w:tc>
        <w:tc>
          <w:tcPr>
            <w:tcW w:w="1025" w:type="dxa"/>
            <w:noWrap/>
          </w:tcPr>
          <w:p>
            <w:pPr>
              <w:spacing w:after="0" w:line="240" w:lineRule="auto"/>
              <w:rPr>
                <w:rFonts w:ascii="Times New Roman" w:hAnsi="Times New Roman" w:eastAsia="Times New Roman"/>
                <w:b/>
                <w:color w:val="000000"/>
                <w:sz w:val="20"/>
                <w:szCs w:val="20"/>
              </w:rPr>
            </w:pPr>
            <w:r>
              <w:rPr>
                <w:rFonts w:ascii="Times New Roman" w:hAnsi="Times New Roman" w:eastAsia="Times New Roman"/>
                <w:b/>
                <w:color w:val="000000"/>
                <w:sz w:val="20"/>
                <w:szCs w:val="20"/>
              </w:rPr>
              <w:t>Financial Planning</w:t>
            </w:r>
          </w:p>
        </w:tc>
        <w:tc>
          <w:tcPr>
            <w:tcW w:w="1156" w:type="dxa"/>
            <w:noWrap/>
          </w:tcPr>
          <w:p>
            <w:pPr>
              <w:spacing w:after="0" w:line="240" w:lineRule="auto"/>
              <w:rPr>
                <w:rFonts w:ascii="Times New Roman" w:hAnsi="Times New Roman" w:eastAsia="Times New Roman"/>
                <w:b/>
                <w:color w:val="000000"/>
                <w:sz w:val="20"/>
                <w:szCs w:val="20"/>
              </w:rPr>
            </w:pPr>
            <w:r>
              <w:rPr>
                <w:rFonts w:ascii="Times New Roman" w:hAnsi="Times New Roman" w:eastAsia="Times New Roman"/>
                <w:b/>
                <w:color w:val="000000"/>
                <w:sz w:val="20"/>
                <w:szCs w:val="20"/>
              </w:rPr>
              <w:t>Overall Financial Literacy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rPr>
                <w:rFonts w:ascii="Times New Roman" w:hAnsi="Times New Roman" w:eastAsia="Times New Roman"/>
                <w:b/>
                <w:color w:val="000000"/>
                <w:sz w:val="20"/>
                <w:szCs w:val="20"/>
              </w:rPr>
            </w:pPr>
            <w:r>
              <w:rPr>
                <w:rFonts w:ascii="Times New Roman" w:hAnsi="Times New Roman" w:eastAsia="Times New Roman"/>
                <w:b/>
                <w:color w:val="000000"/>
                <w:sz w:val="20"/>
                <w:szCs w:val="20"/>
              </w:rPr>
              <w:t>Gender</w:t>
            </w:r>
          </w:p>
        </w:tc>
        <w:tc>
          <w:tcPr>
            <w:tcW w:w="7740" w:type="dxa"/>
            <w:gridSpan w:val="7"/>
            <w:noWrap/>
          </w:tcPr>
          <w:p>
            <w:pPr>
              <w:spacing w:after="0" w:line="240" w:lineRule="auto"/>
              <w:rPr>
                <w:rFonts w:ascii="Times New Roman" w:hAnsi="Times New Roman" w:eastAsia="Times New Roman"/>
                <w:b/>
                <w:color w:val="000000"/>
                <w:sz w:val="20"/>
                <w:szCs w:val="20"/>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Female</w:t>
            </w:r>
          </w:p>
        </w:tc>
        <w:tc>
          <w:tcPr>
            <w:tcW w:w="990"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86.6610</w:t>
            </w:r>
          </w:p>
        </w:tc>
        <w:tc>
          <w:tcPr>
            <w:tcW w:w="990"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86.6325</w:t>
            </w:r>
          </w:p>
        </w:tc>
        <w:tc>
          <w:tcPr>
            <w:tcW w:w="1107"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86.1490</w:t>
            </w:r>
          </w:p>
        </w:tc>
        <w:tc>
          <w:tcPr>
            <w:tcW w:w="125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85.6940</w:t>
            </w:r>
          </w:p>
        </w:tc>
        <w:tc>
          <w:tcPr>
            <w:tcW w:w="12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85.3527</w:t>
            </w:r>
          </w:p>
        </w:tc>
        <w:tc>
          <w:tcPr>
            <w:tcW w:w="1025"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85.6371</w:t>
            </w:r>
          </w:p>
        </w:tc>
        <w:tc>
          <w:tcPr>
            <w:tcW w:w="115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86.0210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Male</w:t>
            </w:r>
          </w:p>
        </w:tc>
        <w:tc>
          <w:tcPr>
            <w:tcW w:w="990"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84.6618</w:t>
            </w:r>
          </w:p>
        </w:tc>
        <w:tc>
          <w:tcPr>
            <w:tcW w:w="990"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83.4944</w:t>
            </w:r>
          </w:p>
        </w:tc>
        <w:tc>
          <w:tcPr>
            <w:tcW w:w="1107"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84.5411</w:t>
            </w:r>
          </w:p>
        </w:tc>
        <w:tc>
          <w:tcPr>
            <w:tcW w:w="125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83.9372</w:t>
            </w:r>
          </w:p>
        </w:tc>
        <w:tc>
          <w:tcPr>
            <w:tcW w:w="12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84.5813</w:t>
            </w:r>
          </w:p>
        </w:tc>
        <w:tc>
          <w:tcPr>
            <w:tcW w:w="1025"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82.9308</w:t>
            </w:r>
          </w:p>
        </w:tc>
        <w:tc>
          <w:tcPr>
            <w:tcW w:w="115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84.0244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trPr>
        <w:tc>
          <w:tcPr>
            <w:tcW w:w="1816"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T Statistics</w:t>
            </w:r>
          </w:p>
        </w:tc>
        <w:tc>
          <w:tcPr>
            <w:tcW w:w="990"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.069</w:t>
            </w:r>
          </w:p>
        </w:tc>
        <w:tc>
          <w:tcPr>
            <w:tcW w:w="990"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.008</w:t>
            </w:r>
          </w:p>
        </w:tc>
        <w:tc>
          <w:tcPr>
            <w:tcW w:w="1107"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.126</w:t>
            </w:r>
          </w:p>
        </w:tc>
        <w:tc>
          <w:tcPr>
            <w:tcW w:w="1256"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.117</w:t>
            </w:r>
          </w:p>
        </w:tc>
        <w:tc>
          <w:tcPr>
            <w:tcW w:w="1216"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.483</w:t>
            </w:r>
          </w:p>
        </w:tc>
        <w:tc>
          <w:tcPr>
            <w:tcW w:w="1025"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.014</w:t>
            </w:r>
          </w:p>
        </w:tc>
        <w:tc>
          <w:tcPr>
            <w:tcW w:w="1156"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.001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trPr>
        <w:tc>
          <w:tcPr>
            <w:tcW w:w="1816" w:type="dxa"/>
            <w:noWrap/>
          </w:tcPr>
          <w:p>
            <w:pPr>
              <w:spacing w:after="0" w:line="240" w:lineRule="auto"/>
              <w:rPr>
                <w:rFonts w:ascii="Times New Roman" w:hAnsi="Times New Roman" w:eastAsia="Times New Roman"/>
                <w:b/>
                <w:color w:val="000000"/>
                <w:sz w:val="20"/>
                <w:szCs w:val="20"/>
              </w:rPr>
            </w:pPr>
            <w:r>
              <w:rPr>
                <w:rFonts w:ascii="Times New Roman" w:hAnsi="Times New Roman" w:eastAsia="Times New Roman"/>
                <w:b/>
                <w:color w:val="000000"/>
                <w:sz w:val="20"/>
                <w:szCs w:val="20"/>
              </w:rPr>
              <w:t xml:space="preserve">Qualification </w:t>
            </w:r>
          </w:p>
        </w:tc>
        <w:tc>
          <w:tcPr>
            <w:tcW w:w="7740" w:type="dxa"/>
            <w:gridSpan w:val="7"/>
            <w:noWrap/>
          </w:tcPr>
          <w:p>
            <w:pPr>
              <w:spacing w:after="0" w:line="240" w:lineRule="auto"/>
              <w:rPr>
                <w:rFonts w:ascii="Times New Roman" w:hAnsi="Times New Roman" w:eastAsia="Times New Roman"/>
                <w:color w:val="000000"/>
                <w:sz w:val="20"/>
                <w:szCs w:val="20"/>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Under-Graduate</w:t>
            </w:r>
          </w:p>
        </w:tc>
        <w:tc>
          <w:tcPr>
            <w:tcW w:w="990"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85.6700</w:t>
            </w:r>
          </w:p>
        </w:tc>
        <w:tc>
          <w:tcPr>
            <w:tcW w:w="990"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85.5149</w:t>
            </w:r>
          </w:p>
        </w:tc>
        <w:tc>
          <w:tcPr>
            <w:tcW w:w="1107"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85.0186</w:t>
            </w:r>
          </w:p>
        </w:tc>
        <w:tc>
          <w:tcPr>
            <w:tcW w:w="125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83.3437</w:t>
            </w:r>
          </w:p>
        </w:tc>
        <w:tc>
          <w:tcPr>
            <w:tcW w:w="12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84.6774</w:t>
            </w:r>
          </w:p>
        </w:tc>
        <w:tc>
          <w:tcPr>
            <w:tcW w:w="1025"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83.8089</w:t>
            </w:r>
          </w:p>
        </w:tc>
        <w:tc>
          <w:tcPr>
            <w:tcW w:w="115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84.6722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Post-graduate</w:t>
            </w:r>
          </w:p>
        </w:tc>
        <w:tc>
          <w:tcPr>
            <w:tcW w:w="990"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86.0231</w:t>
            </w:r>
          </w:p>
        </w:tc>
        <w:tc>
          <w:tcPr>
            <w:tcW w:w="990"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85.1225</w:t>
            </w:r>
          </w:p>
        </w:tc>
        <w:tc>
          <w:tcPr>
            <w:tcW w:w="1107"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86.0231</w:t>
            </w:r>
          </w:p>
        </w:tc>
        <w:tc>
          <w:tcPr>
            <w:tcW w:w="125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86.8516</w:t>
            </w:r>
          </w:p>
        </w:tc>
        <w:tc>
          <w:tcPr>
            <w:tcW w:w="12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85.4467</w:t>
            </w:r>
          </w:p>
        </w:tc>
        <w:tc>
          <w:tcPr>
            <w:tcW w:w="1025"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85.3386</w:t>
            </w:r>
          </w:p>
        </w:tc>
        <w:tc>
          <w:tcPr>
            <w:tcW w:w="115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85.8009</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T Statistics</w:t>
            </w:r>
          </w:p>
        </w:tc>
        <w:tc>
          <w:tcPr>
            <w:tcW w:w="990"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.739</w:t>
            </w:r>
          </w:p>
        </w:tc>
        <w:tc>
          <w:tcPr>
            <w:tcW w:w="990"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.732</w:t>
            </w:r>
          </w:p>
        </w:tc>
        <w:tc>
          <w:tcPr>
            <w:tcW w:w="1107"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.334</w:t>
            </w:r>
          </w:p>
        </w:tc>
        <w:tc>
          <w:tcPr>
            <w:tcW w:w="1256"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.001</w:t>
            </w:r>
          </w:p>
        </w:tc>
        <w:tc>
          <w:tcPr>
            <w:tcW w:w="1216"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.001</w:t>
            </w:r>
          </w:p>
        </w:tc>
        <w:tc>
          <w:tcPr>
            <w:tcW w:w="1025"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.158</w:t>
            </w:r>
          </w:p>
        </w:tc>
        <w:tc>
          <w:tcPr>
            <w:tcW w:w="1156" w:type="dxa"/>
            <w:noWrap/>
          </w:tcPr>
          <w:p>
            <w:pPr>
              <w:spacing w:after="0" w:line="240" w:lineRule="auto"/>
              <w:jc w:val="right"/>
              <w:rPr>
                <w:rFonts w:ascii="Times New Roman" w:hAnsi="Times New Roman" w:eastAsia="Times New Roman"/>
                <w:b/>
                <w:sz w:val="20"/>
                <w:szCs w:val="20"/>
              </w:rPr>
            </w:pPr>
            <w:r>
              <w:rPr>
                <w:rFonts w:ascii="Times New Roman" w:hAnsi="Times New Roman" w:eastAsia="Times New Roman"/>
                <w:b/>
                <w:sz w:val="20"/>
                <w:szCs w:val="20"/>
              </w:rPr>
              <w:t>0.055314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816" w:type="dxa"/>
            <w:noWrap/>
          </w:tcPr>
          <w:p>
            <w:pPr>
              <w:spacing w:after="0" w:line="240" w:lineRule="auto"/>
              <w:rPr>
                <w:rFonts w:ascii="Times New Roman" w:hAnsi="Times New Roman" w:eastAsia="Times New Roman"/>
                <w:b/>
                <w:color w:val="000000"/>
                <w:sz w:val="20"/>
                <w:szCs w:val="20"/>
              </w:rPr>
            </w:pPr>
            <w:r>
              <w:rPr>
                <w:rFonts w:ascii="Times New Roman" w:hAnsi="Times New Roman" w:eastAsia="Times New Roman"/>
                <w:b/>
                <w:color w:val="000000"/>
                <w:sz w:val="20"/>
                <w:szCs w:val="20"/>
              </w:rPr>
              <w:t>Field of Study</w:t>
            </w:r>
          </w:p>
        </w:tc>
        <w:tc>
          <w:tcPr>
            <w:tcW w:w="7740" w:type="dxa"/>
            <w:gridSpan w:val="7"/>
            <w:noWrap/>
          </w:tcPr>
          <w:p>
            <w:pPr>
              <w:spacing w:after="0" w:line="240" w:lineRule="auto"/>
              <w:rPr>
                <w:rFonts w:ascii="Times New Roman" w:hAnsi="Times New Roman" w:eastAsia="Times New Roman"/>
                <w:color w:val="000000"/>
                <w:sz w:val="20"/>
                <w:szCs w:val="20"/>
              </w:rPr>
            </w:pPr>
            <w:r>
              <w:rPr>
                <w:rFonts w:ascii="Times New Roman" w:hAnsi="Times New Roman" w:eastAsia="Times New Roman"/>
                <w:color w:val="000000"/>
                <w:sz w:val="20"/>
                <w:szCs w:val="20"/>
              </w:rPr>
              <w:t>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agriculture</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81.0526</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83.6842</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84.4737</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84.7368</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81.0526</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83.6842</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83.7281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engineering and technology</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89.1304</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89.1304</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86.7754</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85.3261</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85.5072</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89.1304</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86.6244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physical sciences</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81.3830</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83.5106</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89.3617</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80.8511</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86.7021</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83.5106</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83.8652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humanities and social sciences</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85.3516</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88.6719</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86.9141</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84.3750</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83.7891</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88.6719</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85.9701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life sciences</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82.6087</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81.9565</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85.2174</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83.2609</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81.7391</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81.9565</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82.7174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commerce and management</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86.9118</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87.0588</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83.9706</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86.7647</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86.6176</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87.0588</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86.0784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dental sciences</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84.3750</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83.5417</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81.4583</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83.5417</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85.0000</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83.5417</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83.1944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pharmaceutical sciences</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84.6774</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85.4839</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81.4516</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79.8387</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81.4516</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85.4839</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82.9301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fine arts and design</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86.7647</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80.6373</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84.0686</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83.8235</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86.0294</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80.6373</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84.5997</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architecture &amp; town planning</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86.4815</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87.0370</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86.4815</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85.3704</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85.0000</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87.0370</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86.1111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law</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86.7241</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85.1724</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86.7241</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85.0000</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86.3793</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85.1724</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85.7184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education</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87.3214</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84.4643</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87.5000</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85.1786</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87.1429</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84.4643</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86.3393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applied health</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86.8902</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87.8049</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86.8902</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85.0610</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86.8902</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87.8049</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86.7886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faculty of nursing</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87.0192</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81.2500</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83.1731</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81.2500</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82.6923</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81.2500</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83.6538</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0" w:hRule="atLeast"/>
        </w:trPr>
        <w:tc>
          <w:tcPr>
            <w:tcW w:w="1816"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F-Statistics</w:t>
            </w:r>
          </w:p>
        </w:tc>
        <w:tc>
          <w:tcPr>
            <w:tcW w:w="990"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.206</w:t>
            </w:r>
          </w:p>
          <w:p>
            <w:pPr>
              <w:spacing w:after="0" w:line="240" w:lineRule="auto"/>
              <w:jc w:val="right"/>
              <w:rPr>
                <w:rFonts w:ascii="Times New Roman" w:hAnsi="Times New Roman"/>
                <w:b/>
                <w:color w:val="000000"/>
                <w:sz w:val="20"/>
                <w:szCs w:val="20"/>
              </w:rPr>
            </w:pPr>
          </w:p>
        </w:tc>
        <w:tc>
          <w:tcPr>
            <w:tcW w:w="990"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.077</w:t>
            </w:r>
          </w:p>
          <w:p>
            <w:pPr>
              <w:spacing w:after="0" w:line="240" w:lineRule="auto"/>
              <w:jc w:val="right"/>
              <w:rPr>
                <w:rFonts w:ascii="Times New Roman" w:hAnsi="Times New Roman"/>
                <w:b/>
                <w:color w:val="000000"/>
                <w:sz w:val="20"/>
                <w:szCs w:val="20"/>
              </w:rPr>
            </w:pPr>
          </w:p>
        </w:tc>
        <w:tc>
          <w:tcPr>
            <w:tcW w:w="1107"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.361</w:t>
            </w:r>
          </w:p>
          <w:p>
            <w:pPr>
              <w:spacing w:after="0" w:line="240" w:lineRule="auto"/>
              <w:jc w:val="right"/>
              <w:rPr>
                <w:rFonts w:ascii="Times New Roman" w:hAnsi="Times New Roman"/>
                <w:b/>
                <w:color w:val="000000"/>
                <w:sz w:val="20"/>
                <w:szCs w:val="20"/>
              </w:rPr>
            </w:pPr>
          </w:p>
        </w:tc>
        <w:tc>
          <w:tcPr>
            <w:tcW w:w="1256"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.863</w:t>
            </w:r>
          </w:p>
          <w:p>
            <w:pPr>
              <w:spacing w:after="0" w:line="240" w:lineRule="auto"/>
              <w:jc w:val="right"/>
              <w:rPr>
                <w:rFonts w:ascii="Times New Roman" w:hAnsi="Times New Roman"/>
                <w:b/>
                <w:color w:val="000000"/>
                <w:sz w:val="20"/>
                <w:szCs w:val="20"/>
              </w:rPr>
            </w:pPr>
          </w:p>
        </w:tc>
        <w:tc>
          <w:tcPr>
            <w:tcW w:w="1216"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.487</w:t>
            </w:r>
          </w:p>
          <w:p>
            <w:pPr>
              <w:spacing w:after="0" w:line="240" w:lineRule="auto"/>
              <w:jc w:val="right"/>
              <w:rPr>
                <w:rFonts w:ascii="Times New Roman" w:hAnsi="Times New Roman"/>
                <w:b/>
                <w:color w:val="000000"/>
                <w:sz w:val="20"/>
                <w:szCs w:val="20"/>
              </w:rPr>
            </w:pPr>
          </w:p>
        </w:tc>
        <w:tc>
          <w:tcPr>
            <w:tcW w:w="1025"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.077</w:t>
            </w:r>
          </w:p>
          <w:p>
            <w:pPr>
              <w:spacing w:after="0" w:line="240" w:lineRule="auto"/>
              <w:jc w:val="right"/>
              <w:rPr>
                <w:rFonts w:ascii="Times New Roman" w:hAnsi="Times New Roman"/>
                <w:b/>
                <w:color w:val="000000"/>
                <w:sz w:val="20"/>
                <w:szCs w:val="20"/>
              </w:rPr>
            </w:pPr>
          </w:p>
        </w:tc>
        <w:tc>
          <w:tcPr>
            <w:tcW w:w="1156" w:type="dxa"/>
            <w:noWrap/>
          </w:tcPr>
          <w:p>
            <w:pPr>
              <w:spacing w:after="0" w:line="240" w:lineRule="auto"/>
              <w:rPr>
                <w:rFonts w:ascii="Times New Roman" w:hAnsi="Times New Roman" w:eastAsia="Times New Roman"/>
                <w:b/>
                <w:color w:val="000000"/>
                <w:sz w:val="20"/>
                <w:szCs w:val="20"/>
              </w:rPr>
            </w:pPr>
            <w:r>
              <w:rPr>
                <w:rFonts w:ascii="Times New Roman" w:hAnsi="Times New Roman"/>
                <w:b/>
                <w:color w:val="000000"/>
                <w:sz w:val="20"/>
                <w:szCs w:val="20"/>
              </w:rPr>
              <w:t>.057</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rPr>
                <w:rFonts w:ascii="Times New Roman" w:hAnsi="Times New Roman" w:eastAsia="Times New Roman"/>
                <w:b/>
                <w:color w:val="000000"/>
                <w:sz w:val="20"/>
                <w:szCs w:val="20"/>
              </w:rPr>
            </w:pPr>
            <w:r>
              <w:rPr>
                <w:rFonts w:ascii="Times New Roman" w:hAnsi="Times New Roman" w:eastAsia="Times New Roman"/>
                <w:b/>
                <w:color w:val="000000"/>
                <w:sz w:val="20"/>
                <w:szCs w:val="20"/>
              </w:rPr>
              <w:t>Residence</w:t>
            </w:r>
          </w:p>
        </w:tc>
        <w:tc>
          <w:tcPr>
            <w:tcW w:w="7740" w:type="dxa"/>
            <w:gridSpan w:val="7"/>
            <w:noWrap/>
          </w:tcPr>
          <w:p>
            <w:pPr>
              <w:spacing w:after="0" w:line="240" w:lineRule="auto"/>
              <w:rPr>
                <w:rFonts w:ascii="Times New Roman" w:hAnsi="Times New Roman" w:eastAsia="Times New Roman"/>
                <w:color w:val="000000"/>
                <w:sz w:val="20"/>
                <w:szCs w:val="20"/>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 xml:space="preserve">Rural </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85.4352</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84.6803</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85.0355</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85.4796</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86.3233</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85.2131</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85.3612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Urban</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86.0726</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85.7257</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85.7524</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84.6585</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84.2583</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84.0982</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85.0943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T-Statistics</w:t>
            </w:r>
          </w:p>
        </w:tc>
        <w:tc>
          <w:tcPr>
            <w:tcW w:w="990"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.559</w:t>
            </w:r>
          </w:p>
        </w:tc>
        <w:tc>
          <w:tcPr>
            <w:tcW w:w="990"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.376</w:t>
            </w:r>
          </w:p>
        </w:tc>
        <w:tc>
          <w:tcPr>
            <w:tcW w:w="1107"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.503</w:t>
            </w:r>
          </w:p>
        </w:tc>
        <w:tc>
          <w:tcPr>
            <w:tcW w:w="1256"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.472</w:t>
            </w:r>
          </w:p>
        </w:tc>
        <w:tc>
          <w:tcPr>
            <w:tcW w:w="1216"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.064</w:t>
            </w:r>
          </w:p>
        </w:tc>
        <w:tc>
          <w:tcPr>
            <w:tcW w:w="1025"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.318</w:t>
            </w:r>
          </w:p>
        </w:tc>
        <w:tc>
          <w:tcPr>
            <w:tcW w:w="1156"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.660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1816" w:type="dxa"/>
            <w:noWrap/>
          </w:tcPr>
          <w:p>
            <w:pPr>
              <w:spacing w:after="0" w:line="240" w:lineRule="auto"/>
              <w:rPr>
                <w:rFonts w:ascii="Times New Roman" w:hAnsi="Times New Roman" w:eastAsia="Times New Roman"/>
                <w:b/>
                <w:color w:val="000000"/>
                <w:sz w:val="20"/>
                <w:szCs w:val="20"/>
              </w:rPr>
            </w:pPr>
            <w:r>
              <w:rPr>
                <w:rFonts w:ascii="Times New Roman" w:hAnsi="Times New Roman" w:eastAsia="Times New Roman"/>
                <w:b/>
                <w:color w:val="000000"/>
                <w:sz w:val="20"/>
                <w:szCs w:val="20"/>
              </w:rPr>
              <w:t>Parents Education</w:t>
            </w:r>
          </w:p>
        </w:tc>
        <w:tc>
          <w:tcPr>
            <w:tcW w:w="7740" w:type="dxa"/>
            <w:gridSpan w:val="7"/>
            <w:noWrap/>
          </w:tcPr>
          <w:p>
            <w:pPr>
              <w:spacing w:after="0" w:line="240" w:lineRule="auto"/>
              <w:rPr>
                <w:rFonts w:ascii="Times New Roman" w:hAnsi="Times New Roman" w:eastAsia="Times New Roman"/>
                <w:b/>
                <w:color w:val="000000"/>
                <w:sz w:val="20"/>
                <w:szCs w:val="20"/>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Doctorate</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80.3571</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83.9286</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82.1429</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83.286</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87.5000</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94.6429</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84.2262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Post graduate</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85.3693</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84.6591</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86.6477</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84.591</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85.7955</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83.3807</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85.1562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under graduate</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86.3938</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86.2832</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83.9602</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86.832</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84.8083</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84.0339</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84.8206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 xml:space="preserve">12th </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84.6457</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83.7270</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86.0892</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83.270</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85.2362</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84.9081</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85.2253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 xml:space="preserve">10th </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85.8156</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85.6383</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87.5887</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85.383</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85.6383</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82.9787</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85.5496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816" w:type="dxa"/>
            <w:noWrap/>
          </w:tcPr>
          <w:p>
            <w:pPr>
              <w:spacing w:after="0" w:line="240" w:lineRule="auto"/>
              <w:jc w:val="right"/>
              <w:rPr>
                <w:rFonts w:ascii="Times New Roman" w:hAnsi="Times New Roman" w:eastAsia="Times New Roman"/>
                <w:color w:val="000000"/>
                <w:sz w:val="20"/>
                <w:szCs w:val="20"/>
              </w:rPr>
            </w:pPr>
            <w:r>
              <w:rPr>
                <w:rFonts w:ascii="Times New Roman" w:hAnsi="Times New Roman" w:eastAsia="Times New Roman"/>
                <w:color w:val="000000"/>
                <w:sz w:val="20"/>
                <w:szCs w:val="20"/>
              </w:rPr>
              <w:t>Uneducated</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87.9545</w:t>
            </w:r>
          </w:p>
        </w:tc>
        <w:tc>
          <w:tcPr>
            <w:tcW w:w="990"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85.9091</w:t>
            </w:r>
          </w:p>
        </w:tc>
        <w:tc>
          <w:tcPr>
            <w:tcW w:w="1107"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88.6364</w:t>
            </w:r>
          </w:p>
        </w:tc>
        <w:tc>
          <w:tcPr>
            <w:tcW w:w="12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85.091</w:t>
            </w:r>
          </w:p>
        </w:tc>
        <w:tc>
          <w:tcPr>
            <w:tcW w:w="121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83.4091</w:t>
            </w:r>
          </w:p>
        </w:tc>
        <w:tc>
          <w:tcPr>
            <w:tcW w:w="1025"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88.6364</w:t>
            </w:r>
          </w:p>
        </w:tc>
        <w:tc>
          <w:tcPr>
            <w:tcW w:w="1156" w:type="dxa"/>
            <w:noWrap/>
            <w:vAlign w:val="center"/>
          </w:tcPr>
          <w:p>
            <w:pPr>
              <w:spacing w:after="0" w:line="240" w:lineRule="auto"/>
              <w:jc w:val="right"/>
              <w:rPr>
                <w:rFonts w:ascii="Times New Roman" w:hAnsi="Times New Roman"/>
                <w:color w:val="000000"/>
                <w:sz w:val="20"/>
                <w:szCs w:val="20"/>
              </w:rPr>
            </w:pPr>
            <w:r>
              <w:rPr>
                <w:rFonts w:ascii="Times New Roman" w:hAnsi="Times New Roman"/>
                <w:color w:val="000000"/>
                <w:sz w:val="20"/>
                <w:szCs w:val="20"/>
              </w:rPr>
              <w:t>87.1212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trPr>
        <w:tc>
          <w:tcPr>
            <w:tcW w:w="1816" w:type="dxa"/>
            <w:noWrap/>
          </w:tcPr>
          <w:p>
            <w:pPr>
              <w:spacing w:after="0" w:line="240" w:lineRule="auto"/>
              <w:jc w:val="right"/>
              <w:rPr>
                <w:rFonts w:ascii="Times New Roman" w:hAnsi="Times New Roman" w:eastAsia="Times New Roman"/>
                <w:b/>
                <w:color w:val="000000"/>
                <w:sz w:val="20"/>
                <w:szCs w:val="20"/>
              </w:rPr>
            </w:pPr>
            <w:r>
              <w:rPr>
                <w:rFonts w:ascii="Times New Roman" w:hAnsi="Times New Roman" w:eastAsia="Times New Roman"/>
                <w:b/>
                <w:color w:val="000000"/>
                <w:sz w:val="20"/>
                <w:szCs w:val="20"/>
              </w:rPr>
              <w:t>F-Statistics</w:t>
            </w:r>
          </w:p>
        </w:tc>
        <w:tc>
          <w:tcPr>
            <w:tcW w:w="990"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.540</w:t>
            </w:r>
          </w:p>
          <w:p>
            <w:pPr>
              <w:spacing w:after="0" w:line="240" w:lineRule="auto"/>
              <w:jc w:val="right"/>
              <w:rPr>
                <w:rFonts w:ascii="Times New Roman" w:hAnsi="Times New Roman"/>
                <w:b/>
                <w:color w:val="000000"/>
                <w:sz w:val="20"/>
                <w:szCs w:val="20"/>
              </w:rPr>
            </w:pPr>
          </w:p>
        </w:tc>
        <w:tc>
          <w:tcPr>
            <w:tcW w:w="990"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.612</w:t>
            </w:r>
          </w:p>
          <w:p>
            <w:pPr>
              <w:spacing w:after="0" w:line="240" w:lineRule="auto"/>
              <w:jc w:val="right"/>
              <w:rPr>
                <w:rFonts w:ascii="Times New Roman" w:hAnsi="Times New Roman"/>
                <w:b/>
                <w:color w:val="000000"/>
                <w:sz w:val="20"/>
                <w:szCs w:val="20"/>
              </w:rPr>
            </w:pPr>
          </w:p>
        </w:tc>
        <w:tc>
          <w:tcPr>
            <w:tcW w:w="1107"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.090</w:t>
            </w:r>
          </w:p>
          <w:p>
            <w:pPr>
              <w:spacing w:after="0" w:line="240" w:lineRule="auto"/>
              <w:jc w:val="right"/>
              <w:rPr>
                <w:rFonts w:ascii="Times New Roman" w:hAnsi="Times New Roman"/>
                <w:b/>
                <w:color w:val="000000"/>
                <w:sz w:val="20"/>
                <w:szCs w:val="20"/>
              </w:rPr>
            </w:pPr>
          </w:p>
        </w:tc>
        <w:tc>
          <w:tcPr>
            <w:tcW w:w="1256"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.610</w:t>
            </w:r>
          </w:p>
          <w:p>
            <w:pPr>
              <w:spacing w:after="0" w:line="240" w:lineRule="auto"/>
              <w:jc w:val="right"/>
              <w:rPr>
                <w:rFonts w:ascii="Times New Roman" w:hAnsi="Times New Roman"/>
                <w:b/>
                <w:color w:val="000000"/>
                <w:sz w:val="20"/>
                <w:szCs w:val="20"/>
              </w:rPr>
            </w:pPr>
          </w:p>
        </w:tc>
        <w:tc>
          <w:tcPr>
            <w:tcW w:w="1216"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.933</w:t>
            </w:r>
          </w:p>
          <w:p>
            <w:pPr>
              <w:spacing w:after="0" w:line="240" w:lineRule="auto"/>
              <w:jc w:val="right"/>
              <w:rPr>
                <w:rFonts w:ascii="Times New Roman" w:hAnsi="Times New Roman"/>
                <w:b/>
                <w:color w:val="000000"/>
                <w:sz w:val="20"/>
                <w:szCs w:val="20"/>
              </w:rPr>
            </w:pPr>
          </w:p>
        </w:tc>
        <w:tc>
          <w:tcPr>
            <w:tcW w:w="1025"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.097</w:t>
            </w:r>
          </w:p>
          <w:p>
            <w:pPr>
              <w:spacing w:after="0" w:line="240" w:lineRule="auto"/>
              <w:jc w:val="right"/>
              <w:rPr>
                <w:rFonts w:ascii="Times New Roman" w:hAnsi="Times New Roman"/>
                <w:b/>
                <w:color w:val="000000"/>
                <w:sz w:val="20"/>
                <w:szCs w:val="20"/>
              </w:rPr>
            </w:pPr>
          </w:p>
        </w:tc>
        <w:tc>
          <w:tcPr>
            <w:tcW w:w="1156" w:type="dxa"/>
            <w:noWrap/>
            <w:vAlign w:val="center"/>
          </w:tcPr>
          <w:p>
            <w:pPr>
              <w:spacing w:after="0" w:line="240" w:lineRule="auto"/>
              <w:jc w:val="right"/>
              <w:rPr>
                <w:rFonts w:ascii="Times New Roman" w:hAnsi="Times New Roman"/>
                <w:b/>
                <w:color w:val="000000"/>
                <w:sz w:val="20"/>
                <w:szCs w:val="20"/>
              </w:rPr>
            </w:pPr>
            <w:r>
              <w:rPr>
                <w:rFonts w:ascii="Times New Roman" w:hAnsi="Times New Roman"/>
                <w:b/>
                <w:color w:val="000000"/>
                <w:sz w:val="20"/>
                <w:szCs w:val="20"/>
              </w:rPr>
              <w:t>.531</w:t>
            </w:r>
          </w:p>
          <w:p>
            <w:pPr>
              <w:spacing w:after="0" w:line="240" w:lineRule="auto"/>
              <w:jc w:val="right"/>
              <w:rPr>
                <w:rFonts w:ascii="Times New Roman" w:hAnsi="Times New Roman"/>
                <w:b/>
                <w:color w:val="000000"/>
                <w:sz w:val="20"/>
                <w:szCs w:val="20"/>
              </w:rPr>
            </w:pPr>
          </w:p>
        </w:tc>
      </w:tr>
    </w:tbl>
    <w:p>
      <w:pPr>
        <w:jc w:val="both"/>
        <w:rPr>
          <w:rFonts w:ascii="Times New Roman" w:hAnsi="Times New Roman"/>
          <w:sz w:val="24"/>
          <w:szCs w:val="24"/>
        </w:rPr>
      </w:pPr>
    </w:p>
    <w:p>
      <w:pPr>
        <w:jc w:val="both"/>
        <w:rPr>
          <w:rFonts w:ascii="Times New Roman" w:hAnsi="Times New Roman"/>
          <w:sz w:val="24"/>
          <w:szCs w:val="24"/>
        </w:rPr>
      </w:pPr>
      <w:r>
        <w:rPr>
          <w:rFonts w:ascii="Times New Roman" w:hAnsi="Times New Roman"/>
          <w:sz w:val="24"/>
          <w:szCs w:val="24"/>
        </w:rPr>
        <w:t>The results of the table 4 show that gender has the only significant impact on the financial literacy level of the youth. The gender is insignificant for saving (p-value .069), Insurance (P- value .126) Investment (p-value .117) and Risk and Financial awareness (p-value .483) and significant for the Banking (p-value .008), Financial Planning (p-value .014) and overall Financial literacy (p-value .001). The Qualification also has significant impact on the Investment and Risk and Financial awareness (p – value 0.001). Other the variable such as Residence and parent’s education are insignificant.</w:t>
      </w:r>
    </w:p>
    <w:p>
      <w:pPr>
        <w:jc w:val="both"/>
        <w:rPr>
          <w:rFonts w:ascii="Times New Roman" w:hAnsi="Times New Roman"/>
          <w:b/>
          <w:sz w:val="24"/>
          <w:szCs w:val="24"/>
        </w:rPr>
      </w:pPr>
      <w:r>
        <w:rPr>
          <w:rFonts w:ascii="Times New Roman" w:hAnsi="Times New Roman"/>
          <w:b/>
          <w:sz w:val="24"/>
          <w:szCs w:val="24"/>
        </w:rPr>
        <w:t>CONCLUSION</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pPr>
        <w:jc w:val="both"/>
        <w:rPr>
          <w:rFonts w:ascii="Times New Roman" w:hAnsi="Times New Roman"/>
          <w:sz w:val="24"/>
          <w:szCs w:val="24"/>
        </w:rPr>
      </w:pPr>
      <w:r>
        <w:rPr>
          <w:rFonts w:ascii="Times New Roman" w:hAnsi="Times New Roman"/>
          <w:sz w:val="24"/>
          <w:szCs w:val="24"/>
        </w:rPr>
        <w:t>In conclusion, the purpose of this research was to examine the relationship between students' demographic characteristics and their financial literacy. The research uncovered a number of noteworthy results.</w:t>
      </w:r>
    </w:p>
    <w:p>
      <w:pPr>
        <w:jc w:val="both"/>
        <w:rPr>
          <w:rFonts w:ascii="Times New Roman" w:hAnsi="Times New Roman"/>
          <w:sz w:val="24"/>
          <w:szCs w:val="24"/>
        </w:rPr>
      </w:pPr>
      <w:r>
        <w:rPr>
          <w:rFonts w:ascii="Times New Roman" w:hAnsi="Times New Roman"/>
          <w:sz w:val="24"/>
          <w:szCs w:val="24"/>
        </w:rPr>
        <w:t>Firstly, just a small fraction of PDM University students demonstrated a high degree of financial literacy, while the vast majority had a low level. Given the financial issues they will confront as adults, this indicates a huge gap in financial education and awareness among university students.</w:t>
      </w:r>
    </w:p>
    <w:p>
      <w:pPr>
        <w:jc w:val="both"/>
        <w:rPr>
          <w:rFonts w:ascii="Times New Roman" w:hAnsi="Times New Roman"/>
          <w:sz w:val="24"/>
          <w:szCs w:val="24"/>
        </w:rPr>
      </w:pPr>
      <w:r>
        <w:rPr>
          <w:rFonts w:ascii="Times New Roman" w:hAnsi="Times New Roman"/>
          <w:sz w:val="24"/>
          <w:szCs w:val="24"/>
        </w:rPr>
        <w:t>Secondly, differences in financial knowledge between male and female students were found to be strongly correlated with gender. Women often scored higher than men on measures of financial literacy.</w:t>
      </w:r>
    </w:p>
    <w:p>
      <w:pPr>
        <w:jc w:val="both"/>
        <w:rPr>
          <w:rFonts w:ascii="Times New Roman" w:hAnsi="Times New Roman"/>
          <w:sz w:val="24"/>
          <w:szCs w:val="24"/>
        </w:rPr>
      </w:pPr>
      <w:r>
        <w:rPr>
          <w:rFonts w:ascii="Times New Roman" w:hAnsi="Times New Roman"/>
          <w:sz w:val="24"/>
          <w:szCs w:val="24"/>
        </w:rPr>
        <w:t>Thirdly, the type of qualification (undergraduate or postgraduate) also had a substantial influence on financial literacy, particularly in topics linked to investing and risk management. In these areas, graduate students generally outperformed their undergraduate counterparts.</w:t>
      </w:r>
    </w:p>
    <w:p>
      <w:pPr>
        <w:jc w:val="both"/>
        <w:rPr>
          <w:rFonts w:ascii="Times New Roman" w:hAnsi="Times New Roman"/>
          <w:sz w:val="24"/>
          <w:szCs w:val="24"/>
        </w:rPr>
      </w:pPr>
      <w:r>
        <w:rPr>
          <w:rFonts w:ascii="Times New Roman" w:hAnsi="Times New Roman"/>
          <w:sz w:val="24"/>
          <w:szCs w:val="24"/>
        </w:rPr>
        <w:t>Despite these high results, we found no evidence that demographic factors like major, location, or parental education level significantly influenced PDM University students' financial literacy.</w:t>
      </w:r>
    </w:p>
    <w:p>
      <w:pPr>
        <w:jc w:val="both"/>
        <w:rPr>
          <w:rFonts w:ascii="Times New Roman" w:hAnsi="Times New Roman"/>
          <w:sz w:val="24"/>
          <w:szCs w:val="24"/>
        </w:rPr>
      </w:pPr>
      <w:r>
        <w:rPr>
          <w:rFonts w:ascii="Times New Roman" w:hAnsi="Times New Roman"/>
          <w:sz w:val="24"/>
          <w:szCs w:val="24"/>
        </w:rPr>
        <w:t>Overall, the findings stress the importance of incorporating financial education courses into college curricula to better equip students for the financial responsibilities of adulthood. It may be helpful to improve university students' financial literacy by focusing on the gender gap and adapting financial education to the unique demands of diverse student demographics. In order to equip young people with the knowledge and skills they need to make educated financial decisions throughout their life, more research and interventions are needed in this area.</w:t>
      </w:r>
    </w:p>
    <w:p>
      <w:pPr>
        <w:jc w:val="both"/>
        <w:rPr>
          <w:rFonts w:ascii="Times New Roman" w:hAnsi="Times New Roman"/>
          <w:b/>
          <w:sz w:val="24"/>
          <w:szCs w:val="24"/>
        </w:rPr>
      </w:pPr>
      <w:r>
        <w:rPr>
          <w:rFonts w:ascii="Times New Roman" w:hAnsi="Times New Roman"/>
          <w:b/>
          <w:sz w:val="24"/>
          <w:szCs w:val="24"/>
        </w:rPr>
        <w:t>REFERENCES</w:t>
      </w:r>
    </w:p>
    <w:p>
      <w:pPr>
        <w:numPr>
          <w:ilvl w:val="0"/>
          <w:numId w:val="3"/>
        </w:numPr>
        <w:jc w:val="both"/>
        <w:rPr>
          <w:rFonts w:ascii="Times New Roman" w:hAnsi="Times New Roman"/>
          <w:sz w:val="24"/>
          <w:szCs w:val="24"/>
        </w:rPr>
      </w:pPr>
      <w:r>
        <w:rPr>
          <w:rFonts w:ascii="Times New Roman" w:hAnsi="Times New Roman"/>
          <w:sz w:val="24"/>
          <w:szCs w:val="24"/>
        </w:rPr>
        <w:t>Altıntaş, Kadir M. (2009). Belirlenmiş Katkı Esaslı Emeklilik Planlarında Finansal Eğitimin Önemi: Katılımcıların Finansal Okur Yazarlığı Çerçevesinde Alternatif Bir Yatırım Eğitimi Modeli. Uluslararası Yönetim İktisat ve İşletme Dergisi, 5(9), 151-176.</w:t>
      </w:r>
    </w:p>
    <w:p>
      <w:pPr>
        <w:numPr>
          <w:ilvl w:val="0"/>
          <w:numId w:val="3"/>
        </w:numPr>
        <w:jc w:val="both"/>
        <w:rPr>
          <w:rFonts w:ascii="Times New Roman" w:hAnsi="Times New Roman"/>
          <w:sz w:val="24"/>
          <w:szCs w:val="24"/>
        </w:rPr>
      </w:pPr>
      <w:r>
        <w:rPr>
          <w:rFonts w:ascii="Times New Roman" w:hAnsi="Times New Roman"/>
          <w:sz w:val="24"/>
          <w:szCs w:val="24"/>
        </w:rPr>
        <w:t>Atkinson, Adele, &amp; Messy, Flore A. (2012). Measuring Financial Literacy – Results of the OECD / International Network on Financial Education (INFE) Pilot Study. Retrieved from </w:t>
      </w:r>
      <w:r>
        <w:fldChar w:fldCharType="begin"/>
      </w:r>
      <w:r>
        <w:instrText xml:space="preserve"> HYPERLINK "http://www.oecd-ilibrary.org/finance-and-investment/measuring-financial-literacy_5k9csfs90fr4-en" \t "_blank" </w:instrText>
      </w:r>
      <w:r>
        <w:fldChar w:fldCharType="separate"/>
      </w:r>
      <w:r>
        <w:rPr>
          <w:rStyle w:val="5"/>
          <w:rFonts w:ascii="Times New Roman" w:hAnsi="Times New Roman"/>
          <w:sz w:val="24"/>
          <w:szCs w:val="24"/>
        </w:rPr>
        <w:t>http://www.oecd-ilibrary.org/finance-and-investment/measuring-financial-literacy_5k9csfs90fr4-en</w:t>
      </w:r>
      <w:r>
        <w:rPr>
          <w:rStyle w:val="5"/>
          <w:rFonts w:ascii="Times New Roman" w:hAnsi="Times New Roman"/>
          <w:sz w:val="24"/>
          <w:szCs w:val="24"/>
        </w:rPr>
        <w:fldChar w:fldCharType="end"/>
      </w:r>
      <w:r>
        <w:rPr>
          <w:rFonts w:ascii="Times New Roman" w:hAnsi="Times New Roman"/>
          <w:sz w:val="24"/>
          <w:szCs w:val="24"/>
        </w:rPr>
        <w:t> (Accessed on 17.04.2014).</w:t>
      </w:r>
    </w:p>
    <w:p>
      <w:pPr>
        <w:numPr>
          <w:ilvl w:val="0"/>
          <w:numId w:val="3"/>
        </w:numPr>
        <w:jc w:val="both"/>
        <w:rPr>
          <w:rFonts w:ascii="Times New Roman" w:hAnsi="Times New Roman"/>
          <w:sz w:val="24"/>
          <w:szCs w:val="24"/>
        </w:rPr>
      </w:pPr>
      <w:r>
        <w:rPr>
          <w:rFonts w:ascii="Times New Roman" w:hAnsi="Times New Roman"/>
          <w:sz w:val="24"/>
          <w:szCs w:val="24"/>
        </w:rPr>
        <w:t>Australia and New Zealand Banking Group Limited (ANZ). (2011). Adult Financial Literacy in Australia. Retrieved from </w:t>
      </w:r>
      <w:r>
        <w:fldChar w:fldCharType="begin"/>
      </w:r>
      <w:r>
        <w:instrText xml:space="preserve"> HYPERLINK "http://www.financialliteracy.gov.au/media/465153/2011-adultfinancial-literacy-full.pdf.pdf" \t "_blank" </w:instrText>
      </w:r>
      <w:r>
        <w:fldChar w:fldCharType="separate"/>
      </w:r>
      <w:r>
        <w:rPr>
          <w:rStyle w:val="5"/>
          <w:rFonts w:ascii="Times New Roman" w:hAnsi="Times New Roman"/>
          <w:sz w:val="24"/>
          <w:szCs w:val="24"/>
        </w:rPr>
        <w:t>http://www.financialliteracy.gov.au/media/465153/2011-adultfinancial-literacy-full.pdf.pdf</w:t>
      </w:r>
      <w:r>
        <w:rPr>
          <w:rStyle w:val="5"/>
          <w:rFonts w:ascii="Times New Roman" w:hAnsi="Times New Roman"/>
          <w:sz w:val="24"/>
          <w:szCs w:val="24"/>
        </w:rPr>
        <w:fldChar w:fldCharType="end"/>
      </w:r>
      <w:r>
        <w:rPr>
          <w:rFonts w:ascii="Times New Roman" w:hAnsi="Times New Roman"/>
          <w:sz w:val="24"/>
          <w:szCs w:val="24"/>
        </w:rPr>
        <w:t> (Accessed on 11.04.2014).</w:t>
      </w:r>
    </w:p>
    <w:p>
      <w:pPr>
        <w:numPr>
          <w:ilvl w:val="0"/>
          <w:numId w:val="3"/>
        </w:numPr>
        <w:jc w:val="both"/>
        <w:rPr>
          <w:rFonts w:ascii="Times New Roman" w:hAnsi="Times New Roman"/>
          <w:sz w:val="24"/>
          <w:szCs w:val="24"/>
        </w:rPr>
      </w:pPr>
      <w:r>
        <w:rPr>
          <w:rFonts w:ascii="Times New Roman" w:hAnsi="Times New Roman"/>
          <w:sz w:val="24"/>
          <w:szCs w:val="24"/>
        </w:rPr>
        <w:t>Beal, Diana J., &amp; Delpachitra, Sarath B. (2003). Financial Literacy among Australian University Students. Economic Papers: A Journal of Applied Economics and Policy, 22(1), 65-78.</w:t>
      </w:r>
    </w:p>
    <w:p>
      <w:pPr>
        <w:numPr>
          <w:ilvl w:val="0"/>
          <w:numId w:val="3"/>
        </w:numPr>
        <w:jc w:val="both"/>
        <w:rPr>
          <w:rFonts w:ascii="Times New Roman" w:hAnsi="Times New Roman"/>
          <w:sz w:val="24"/>
          <w:szCs w:val="24"/>
        </w:rPr>
      </w:pPr>
      <w:r>
        <w:rPr>
          <w:rFonts w:ascii="Times New Roman" w:hAnsi="Times New Roman"/>
          <w:sz w:val="24"/>
          <w:szCs w:val="24"/>
        </w:rPr>
        <w:t>Bhushan, Puneet, &amp; Medury, Yajulu. (2013). Financial Literacy and Its Determinants. International Journal of Engineering, Business and Enterprise Applications, 4(2), 155-160.</w:t>
      </w:r>
    </w:p>
    <w:p>
      <w:pPr>
        <w:numPr>
          <w:ilvl w:val="0"/>
          <w:numId w:val="3"/>
        </w:numPr>
        <w:jc w:val="both"/>
        <w:rPr>
          <w:rFonts w:ascii="Times New Roman" w:hAnsi="Times New Roman"/>
          <w:sz w:val="24"/>
          <w:szCs w:val="24"/>
        </w:rPr>
      </w:pPr>
      <w:r>
        <w:rPr>
          <w:rFonts w:ascii="Times New Roman" w:hAnsi="Times New Roman"/>
          <w:sz w:val="24"/>
          <w:szCs w:val="24"/>
        </w:rPr>
        <w:t>Bowen, Cathy F. (2002). Financial Knowledge of Teens and Their Parents. Financial Counseling and Planning, 13(2), 93-102.</w:t>
      </w:r>
    </w:p>
    <w:p>
      <w:pPr>
        <w:numPr>
          <w:ilvl w:val="0"/>
          <w:numId w:val="3"/>
        </w:numPr>
        <w:jc w:val="both"/>
        <w:rPr>
          <w:rFonts w:ascii="Times New Roman" w:hAnsi="Times New Roman"/>
          <w:sz w:val="24"/>
          <w:szCs w:val="24"/>
        </w:rPr>
      </w:pPr>
      <w:r>
        <w:rPr>
          <w:rFonts w:ascii="Times New Roman" w:hAnsi="Times New Roman"/>
          <w:sz w:val="24"/>
          <w:szCs w:val="24"/>
        </w:rPr>
        <w:t>Bucher-Koenen, Tabea, &amp; Lusardi, Annamaria. (2011). Financial Literacy and Retirement Planning in Germany. Journal of Pension Economics and Finance, 10(4), 565-584.</w:t>
      </w:r>
    </w:p>
    <w:p>
      <w:pPr>
        <w:numPr>
          <w:ilvl w:val="0"/>
          <w:numId w:val="3"/>
        </w:numPr>
        <w:jc w:val="both"/>
        <w:rPr>
          <w:rFonts w:ascii="Times New Roman" w:hAnsi="Times New Roman"/>
          <w:sz w:val="24"/>
          <w:szCs w:val="24"/>
        </w:rPr>
      </w:pPr>
      <w:r>
        <w:rPr>
          <w:rFonts w:ascii="Times New Roman" w:hAnsi="Times New Roman"/>
          <w:sz w:val="24"/>
          <w:szCs w:val="24"/>
        </w:rPr>
        <w:t>Chen, Haiyang, &amp; Volpe, Ronald P. (1998). An Analysis of Personal Financial Literacy among College Students. Financial Services Review, 7(2), 107-128.</w:t>
      </w:r>
    </w:p>
    <w:p>
      <w:pPr>
        <w:numPr>
          <w:ilvl w:val="0"/>
          <w:numId w:val="3"/>
        </w:numPr>
        <w:jc w:val="both"/>
        <w:rPr>
          <w:rFonts w:ascii="Times New Roman" w:hAnsi="Times New Roman"/>
          <w:sz w:val="24"/>
          <w:szCs w:val="24"/>
        </w:rPr>
      </w:pPr>
      <w:r>
        <w:rPr>
          <w:rFonts w:ascii="Times New Roman" w:hAnsi="Times New Roman"/>
          <w:sz w:val="24"/>
          <w:szCs w:val="24"/>
        </w:rPr>
        <w:t>Chen, Haiyang, &amp; Volpe, Ronald P. (2002). Gender Differences in Personal Financial Literacy among College Students. Financial Services Review, 11, 289-307.</w:t>
      </w:r>
    </w:p>
    <w:p>
      <w:pPr>
        <w:numPr>
          <w:ilvl w:val="0"/>
          <w:numId w:val="3"/>
        </w:numPr>
        <w:jc w:val="both"/>
        <w:rPr>
          <w:rFonts w:ascii="Times New Roman" w:hAnsi="Times New Roman"/>
          <w:sz w:val="24"/>
          <w:szCs w:val="24"/>
        </w:rPr>
      </w:pPr>
      <w:r>
        <w:rPr>
          <w:rFonts w:ascii="Times New Roman" w:hAnsi="Times New Roman"/>
          <w:sz w:val="24"/>
          <w:szCs w:val="24"/>
        </w:rPr>
        <w:t>Danes, Sharon M., &amp; Hira, Tahira K. (1987). Money Management Knowledge of College Students. The Journal of Student Financial Aid, 17(1), 4-16.</w:t>
      </w:r>
    </w:p>
    <w:p>
      <w:pPr>
        <w:numPr>
          <w:ilvl w:val="0"/>
          <w:numId w:val="3"/>
        </w:numPr>
        <w:jc w:val="both"/>
        <w:rPr>
          <w:rFonts w:ascii="Times New Roman" w:hAnsi="Times New Roman"/>
          <w:sz w:val="24"/>
          <w:szCs w:val="24"/>
        </w:rPr>
      </w:pPr>
      <w:r>
        <w:rPr>
          <w:rFonts w:ascii="Times New Roman" w:hAnsi="Times New Roman"/>
          <w:sz w:val="24"/>
          <w:szCs w:val="24"/>
        </w:rPr>
        <w:t>Dew, Jefferey, &amp; Xiao, Jing J. (2011). The Financial Management Behavior Scale: Development and Validation. Journal of Financial Counseling and Planning, 22(1), 43-59.</w:t>
      </w:r>
    </w:p>
    <w:p>
      <w:pPr>
        <w:numPr>
          <w:ilvl w:val="0"/>
          <w:numId w:val="3"/>
        </w:numPr>
        <w:jc w:val="both"/>
        <w:rPr>
          <w:rFonts w:ascii="Times New Roman" w:hAnsi="Times New Roman"/>
          <w:sz w:val="24"/>
          <w:szCs w:val="24"/>
        </w:rPr>
      </w:pPr>
      <w:r>
        <w:rPr>
          <w:rFonts w:ascii="Times New Roman" w:hAnsi="Times New Roman"/>
          <w:sz w:val="24"/>
          <w:szCs w:val="24"/>
        </w:rPr>
        <w:t>Fornero, Elsa, &amp; Monticone, Chiara. (2011). Financial Literacy and Pension Plan Participation in Italy. Journal of Pension Economics and Finance, 10(4), 547-564.</w:t>
      </w:r>
    </w:p>
    <w:p>
      <w:pPr>
        <w:numPr>
          <w:ilvl w:val="0"/>
          <w:numId w:val="3"/>
        </w:numPr>
        <w:jc w:val="both"/>
        <w:rPr>
          <w:rFonts w:ascii="Times New Roman" w:hAnsi="Times New Roman"/>
          <w:sz w:val="24"/>
          <w:szCs w:val="24"/>
        </w:rPr>
      </w:pPr>
      <w:r>
        <w:rPr>
          <w:rFonts w:ascii="Times New Roman" w:hAnsi="Times New Roman"/>
          <w:sz w:val="24"/>
          <w:szCs w:val="24"/>
        </w:rPr>
        <w:t>Hastings, Justine S., Madrian, Brigitte C., &amp; Skimmyhorn, William L. (2012). Financial Literacy, Financial Education and Economic Outcomes. National Bureau of Economic Research Working Paper 18412.</w:t>
      </w:r>
    </w:p>
    <w:p>
      <w:pPr>
        <w:numPr>
          <w:ilvl w:val="0"/>
          <w:numId w:val="3"/>
        </w:numPr>
        <w:jc w:val="both"/>
        <w:rPr>
          <w:rFonts w:ascii="Times New Roman" w:hAnsi="Times New Roman"/>
          <w:sz w:val="24"/>
          <w:szCs w:val="24"/>
        </w:rPr>
      </w:pPr>
      <w:r>
        <w:rPr>
          <w:rFonts w:ascii="Times New Roman" w:hAnsi="Times New Roman"/>
          <w:sz w:val="24"/>
          <w:szCs w:val="24"/>
        </w:rPr>
        <w:t>Hogarth, Jeanne M. (2002). Financial Literacy and Family and Consumer Sciences. Journal of Family and Consumer Sciences, 94(1), 15-28.</w:t>
      </w:r>
    </w:p>
    <w:p>
      <w:pPr>
        <w:numPr>
          <w:ilvl w:val="0"/>
          <w:numId w:val="3"/>
        </w:numPr>
        <w:jc w:val="both"/>
        <w:rPr>
          <w:rFonts w:ascii="Times New Roman" w:hAnsi="Times New Roman"/>
          <w:sz w:val="24"/>
          <w:szCs w:val="24"/>
        </w:rPr>
      </w:pPr>
      <w:r>
        <w:rPr>
          <w:rFonts w:ascii="Times New Roman" w:hAnsi="Times New Roman"/>
          <w:sz w:val="24"/>
          <w:szCs w:val="24"/>
        </w:rPr>
        <w:t>Jorgensen, Bryce L. (2007). Financial Literacy of College Students: Parental and Peer Influences. Master’s Thesis, Virginia Polytechnic Institute and State University.</w:t>
      </w:r>
    </w:p>
    <w:p>
      <w:pPr>
        <w:numPr>
          <w:ilvl w:val="0"/>
          <w:numId w:val="3"/>
        </w:numPr>
        <w:jc w:val="both"/>
        <w:rPr>
          <w:rFonts w:ascii="Times New Roman" w:hAnsi="Times New Roman"/>
          <w:sz w:val="24"/>
          <w:szCs w:val="24"/>
        </w:rPr>
      </w:pPr>
      <w:r>
        <w:rPr>
          <w:rFonts w:ascii="Times New Roman" w:hAnsi="Times New Roman"/>
          <w:sz w:val="24"/>
          <w:szCs w:val="24"/>
        </w:rPr>
        <w:t>Jump$tart Coalition for Personal Financial Literacy. (2008). The Financial Literacy of Young American Adults. Retrieved from </w:t>
      </w:r>
      <w:r>
        <w:fldChar w:fldCharType="begin"/>
      </w:r>
      <w:r>
        <w:instrText xml:space="preserve"> HYPERLINK "http://www.jumpstart.org/survey.html" \t "_blank" </w:instrText>
      </w:r>
      <w:r>
        <w:fldChar w:fldCharType="separate"/>
      </w:r>
      <w:r>
        <w:rPr>
          <w:rStyle w:val="5"/>
          <w:rFonts w:ascii="Times New Roman" w:hAnsi="Times New Roman"/>
          <w:sz w:val="24"/>
          <w:szCs w:val="24"/>
        </w:rPr>
        <w:t>www.jumpstart.org/survey.html</w:t>
      </w:r>
      <w:r>
        <w:rPr>
          <w:rStyle w:val="5"/>
          <w:rFonts w:ascii="Times New Roman" w:hAnsi="Times New Roman"/>
          <w:sz w:val="24"/>
          <w:szCs w:val="24"/>
        </w:rPr>
        <w:fldChar w:fldCharType="end"/>
      </w:r>
      <w:r>
        <w:rPr>
          <w:rFonts w:ascii="Times New Roman" w:hAnsi="Times New Roman"/>
          <w:sz w:val="24"/>
          <w:szCs w:val="24"/>
        </w:rPr>
        <w:t> (Accessed on 02.04.2014).</w:t>
      </w:r>
    </w:p>
    <w:p>
      <w:pPr>
        <w:numPr>
          <w:ilvl w:val="0"/>
          <w:numId w:val="3"/>
        </w:numPr>
        <w:jc w:val="both"/>
        <w:rPr>
          <w:rFonts w:ascii="Times New Roman" w:hAnsi="Times New Roman"/>
          <w:sz w:val="24"/>
          <w:szCs w:val="24"/>
        </w:rPr>
      </w:pPr>
      <w:r>
        <w:rPr>
          <w:rFonts w:ascii="Times New Roman" w:hAnsi="Times New Roman"/>
          <w:sz w:val="24"/>
          <w:szCs w:val="24"/>
        </w:rPr>
        <w:t>Lusardi, Annamaria, Mitchell, Olivia S., &amp; Curto, Vilsa. (2010). Financial Literacy among the Young. The Journal of Consumer Affairs, 44(2), 358–380.</w:t>
      </w:r>
    </w:p>
    <w:p>
      <w:pPr>
        <w:numPr>
          <w:ilvl w:val="0"/>
          <w:numId w:val="3"/>
        </w:numPr>
        <w:jc w:val="both"/>
        <w:rPr>
          <w:rFonts w:ascii="Times New Roman" w:hAnsi="Times New Roman"/>
          <w:sz w:val="24"/>
          <w:szCs w:val="24"/>
        </w:rPr>
      </w:pPr>
      <w:r>
        <w:rPr>
          <w:rFonts w:ascii="Times New Roman" w:hAnsi="Times New Roman"/>
          <w:sz w:val="24"/>
          <w:szCs w:val="24"/>
        </w:rPr>
        <w:t>Lusardi, Annamaria, &amp; Mitchell, Olivia S. (2011). Financial Literacy and Retirement Planning in the United States. Journal of Pension Economics and Finance, 10(4), 509-525.</w:t>
      </w:r>
    </w:p>
    <w:p>
      <w:pPr>
        <w:numPr>
          <w:ilvl w:val="0"/>
          <w:numId w:val="3"/>
        </w:numPr>
        <w:jc w:val="both"/>
        <w:rPr>
          <w:rFonts w:ascii="Times New Roman" w:hAnsi="Times New Roman"/>
          <w:sz w:val="24"/>
          <w:szCs w:val="24"/>
        </w:rPr>
      </w:pPr>
      <w:r>
        <w:rPr>
          <w:rFonts w:ascii="Times New Roman" w:hAnsi="Times New Roman"/>
          <w:sz w:val="24"/>
          <w:szCs w:val="24"/>
        </w:rPr>
        <w:t>OECD. (n.d.). Measuring Financial Literacy: Questionnaire and Guidance Notes for Conducting an Internationally Comparable Survey of Financial Literacy. Retrieved from </w:t>
      </w:r>
      <w:r>
        <w:fldChar w:fldCharType="begin"/>
      </w:r>
      <w:r>
        <w:instrText xml:space="preserve"> HYPERLINK "http://www.oecd.org/finance/financial-education/49319977.pdf" \t "_blank" </w:instrText>
      </w:r>
      <w:r>
        <w:fldChar w:fldCharType="separate"/>
      </w:r>
      <w:r>
        <w:rPr>
          <w:rStyle w:val="5"/>
          <w:rFonts w:ascii="Times New Roman" w:hAnsi="Times New Roman"/>
          <w:sz w:val="24"/>
          <w:szCs w:val="24"/>
        </w:rPr>
        <w:t>http://www.oecd.org/finance/financial-education/49319977.pdf</w:t>
      </w:r>
      <w:r>
        <w:rPr>
          <w:rStyle w:val="5"/>
          <w:rFonts w:ascii="Times New Roman" w:hAnsi="Times New Roman"/>
          <w:sz w:val="24"/>
          <w:szCs w:val="24"/>
        </w:rPr>
        <w:fldChar w:fldCharType="end"/>
      </w:r>
      <w:r>
        <w:rPr>
          <w:rFonts w:ascii="Times New Roman" w:hAnsi="Times New Roman"/>
          <w:sz w:val="24"/>
          <w:szCs w:val="24"/>
        </w:rPr>
        <w:t> (Accessed on 13.04.2014).</w:t>
      </w:r>
    </w:p>
    <w:p>
      <w:pPr>
        <w:numPr>
          <w:ilvl w:val="0"/>
          <w:numId w:val="3"/>
        </w:numPr>
        <w:jc w:val="both"/>
        <w:rPr>
          <w:rFonts w:ascii="Times New Roman" w:hAnsi="Times New Roman"/>
          <w:sz w:val="24"/>
          <w:szCs w:val="24"/>
        </w:rPr>
      </w:pPr>
      <w:r>
        <w:rPr>
          <w:rFonts w:ascii="Times New Roman" w:hAnsi="Times New Roman"/>
          <w:sz w:val="24"/>
          <w:szCs w:val="24"/>
        </w:rPr>
        <w:t>Prawitz, Aimee D., Garman, Thomas E., Sorhaindo, Benoit, O'Neill, Barbara, Kim, Jinhee, &amp; Drentea, Patricia. (2006). In charge Financial Distress/Financial Well-Being Scale: Development, Administration, and Score Interpretation. Journal of Financial Counseling and Planning, 17(1), 34-50.</w:t>
      </w:r>
    </w:p>
    <w:p>
      <w:pPr>
        <w:numPr>
          <w:ilvl w:val="0"/>
          <w:numId w:val="3"/>
        </w:numPr>
        <w:jc w:val="both"/>
        <w:rPr>
          <w:rFonts w:ascii="Times New Roman" w:hAnsi="Times New Roman"/>
          <w:sz w:val="24"/>
          <w:szCs w:val="24"/>
        </w:rPr>
      </w:pPr>
      <w:r>
        <w:rPr>
          <w:rFonts w:ascii="Times New Roman" w:hAnsi="Times New Roman"/>
          <w:sz w:val="24"/>
          <w:szCs w:val="24"/>
        </w:rPr>
        <w:t>Robb, Cliff A., &amp; Woodyard, Ann. (2011). Financial Knowledge and Best Practice Behavior. Journal of Counseling and Planning, 22(1), 60-70.</w:t>
      </w:r>
    </w:p>
    <w:p>
      <w:pPr>
        <w:numPr>
          <w:ilvl w:val="0"/>
          <w:numId w:val="3"/>
        </w:numPr>
        <w:jc w:val="both"/>
        <w:rPr>
          <w:rFonts w:ascii="Times New Roman" w:hAnsi="Times New Roman"/>
          <w:sz w:val="24"/>
          <w:szCs w:val="24"/>
        </w:rPr>
      </w:pPr>
      <w:r>
        <w:rPr>
          <w:rFonts w:ascii="Times New Roman" w:hAnsi="Times New Roman"/>
          <w:sz w:val="24"/>
          <w:szCs w:val="24"/>
        </w:rPr>
        <w:t>Suwanaphan, Suchanphin. (2013). Personal Financial Literacy of Academic Support - Employee in Chiang Mai-University. Proceedings from Management-Knowledge and Learning International Conference 2013, Zadar- Croatia, 1061-1065.</w:t>
      </w:r>
    </w:p>
    <w:p>
      <w:pPr>
        <w:numPr>
          <w:ilvl w:val="0"/>
          <w:numId w:val="3"/>
        </w:numPr>
        <w:jc w:val="both"/>
        <w:rPr>
          <w:rFonts w:ascii="Times New Roman" w:hAnsi="Times New Roman"/>
          <w:sz w:val="24"/>
          <w:szCs w:val="24"/>
        </w:rPr>
      </w:pPr>
      <w:r>
        <w:rPr>
          <w:rFonts w:ascii="Times New Roman" w:hAnsi="Times New Roman"/>
          <w:sz w:val="24"/>
          <w:szCs w:val="24"/>
        </w:rPr>
        <w:t>Temizel, Fatih, &amp; Bayram, Fatih. (2011). Finansal Okuryazarlık: Anadolu Üniversitesi İktisadi İdari Bilimler Fakültesi (İİBF) Öğrencilerine Yönelik Bir Araştırma. Cumhuriyet Üniversitesi İktisadi ve İdari Bilimler Dergisi, 12(1), 73-86.</w:t>
      </w:r>
    </w:p>
    <w:p>
      <w:pPr>
        <w:numPr>
          <w:ilvl w:val="0"/>
          <w:numId w:val="3"/>
        </w:numPr>
        <w:jc w:val="both"/>
        <w:rPr>
          <w:rFonts w:ascii="Times New Roman" w:hAnsi="Times New Roman"/>
          <w:sz w:val="24"/>
          <w:szCs w:val="24"/>
        </w:rPr>
      </w:pPr>
      <w:r>
        <w:rPr>
          <w:rFonts w:ascii="Times New Roman" w:hAnsi="Times New Roman"/>
          <w:sz w:val="24"/>
          <w:szCs w:val="24"/>
        </w:rPr>
        <w:t>Wagland, Suzanne P., &amp; Taylor, Sharon. (2009). When It Comes to Financial Literacy, Is Gender Really an Issue? Australasian Accounting Business and Finance Journal, 3(1), 13-25.</w:t>
      </w:r>
    </w:p>
    <w:p>
      <w:pPr>
        <w:numPr>
          <w:ilvl w:val="0"/>
          <w:numId w:val="3"/>
        </w:numPr>
        <w:jc w:val="both"/>
        <w:rPr>
          <w:rFonts w:ascii="Times New Roman" w:hAnsi="Times New Roman"/>
          <w:sz w:val="24"/>
          <w:szCs w:val="24"/>
        </w:rPr>
      </w:pPr>
      <w:r>
        <w:rPr>
          <w:rFonts w:ascii="Times New Roman" w:hAnsi="Times New Roman"/>
          <w:sz w:val="24"/>
          <w:szCs w:val="24"/>
        </w:rPr>
        <w:t>Widdowson, Doug, &amp; Hailwood, Kim. (2007). Financial Literacy and Its Role in Promoting a Sound Financial System. Reserve Bank of New Zealand Bulletin, 70(2), 37-49.</w:t>
      </w:r>
    </w:p>
    <w:p>
      <w:pPr>
        <w:numPr>
          <w:ilvl w:val="0"/>
          <w:numId w:val="3"/>
        </w:numPr>
        <w:jc w:val="both"/>
        <w:rPr>
          <w:rFonts w:ascii="Times New Roman" w:hAnsi="Times New Roman"/>
          <w:sz w:val="24"/>
          <w:szCs w:val="24"/>
        </w:rPr>
      </w:pPr>
      <w:r>
        <w:rPr>
          <w:rFonts w:ascii="Times New Roman" w:hAnsi="Times New Roman"/>
          <w:sz w:val="24"/>
          <w:szCs w:val="24"/>
        </w:rPr>
        <w:t>Wolcott, Ilene, &amp; Hughes, Jody. (1999). Towards Understanding the Reasons for Divorce. Australian Institute of Family Studies. Retrieved from </w:t>
      </w:r>
      <w:r>
        <w:fldChar w:fldCharType="begin"/>
      </w:r>
      <w:r>
        <w:instrText xml:space="preserve"> HYPERLINK "http://www.aifs.gov.au/institute/pubs/WP20.html" \t "_blank" </w:instrText>
      </w:r>
      <w:r>
        <w:fldChar w:fldCharType="separate"/>
      </w:r>
      <w:r>
        <w:rPr>
          <w:rStyle w:val="5"/>
          <w:rFonts w:ascii="Times New Roman" w:hAnsi="Times New Roman"/>
          <w:sz w:val="24"/>
          <w:szCs w:val="24"/>
        </w:rPr>
        <w:t>http://www.aifs.gov.au/institute/pubs/WP20.html</w:t>
      </w:r>
      <w:r>
        <w:rPr>
          <w:rStyle w:val="5"/>
          <w:rFonts w:ascii="Times New Roman" w:hAnsi="Times New Roman"/>
          <w:sz w:val="24"/>
          <w:szCs w:val="24"/>
        </w:rPr>
        <w:fldChar w:fldCharType="end"/>
      </w:r>
      <w:r>
        <w:rPr>
          <w:rFonts w:ascii="Times New Roman" w:hAnsi="Times New Roman"/>
          <w:sz w:val="24"/>
          <w:szCs w:val="24"/>
        </w:rPr>
        <w:t> (Accessed on 11.04.2014).</w:t>
      </w:r>
    </w:p>
    <w:p>
      <w:pPr>
        <w:numPr>
          <w:ilvl w:val="0"/>
          <w:numId w:val="3"/>
        </w:numPr>
        <w:jc w:val="both"/>
        <w:rPr>
          <w:rFonts w:ascii="Times New Roman" w:hAnsi="Times New Roman"/>
          <w:sz w:val="24"/>
          <w:szCs w:val="24"/>
        </w:rPr>
      </w:pPr>
      <w:r>
        <w:rPr>
          <w:rFonts w:ascii="Times New Roman" w:hAnsi="Times New Roman"/>
          <w:sz w:val="24"/>
          <w:szCs w:val="24"/>
        </w:rPr>
        <w:t>Worthington, Andrew C. (2006). Predicting Financial Literacy in Australia. Financial Services Review, 15(1), 59-79.</w:t>
      </w:r>
    </w:p>
    <w:p>
      <w:pPr>
        <w:numPr>
          <w:ilvl w:val="0"/>
          <w:numId w:val="3"/>
        </w:numPr>
        <w:jc w:val="both"/>
        <w:rPr>
          <w:rFonts w:ascii="Times New Roman" w:hAnsi="Times New Roman"/>
          <w:sz w:val="24"/>
          <w:szCs w:val="24"/>
        </w:rPr>
      </w:pPr>
      <w:r>
        <w:rPr>
          <w:rFonts w:ascii="Times New Roman" w:hAnsi="Times New Roman"/>
          <w:sz w:val="24"/>
          <w:szCs w:val="24"/>
        </w:rPr>
        <w:t xml:space="preserve">Valentine, Gregory P., &amp; Khayum, Mohammed. (2005). Financial Literacy Skills of Students in Urban and Rural High Schools. The Delta Pi Epsilon Journal, 47(1), 1-16. </w:t>
      </w:r>
    </w:p>
    <w:sectPr>
      <w:pgSz w:w="12240" w:h="15840"/>
      <w:pgMar w:top="1350" w:right="1440" w:bottom="107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Times-Roman">
    <w:altName w:val="Times New Roman"/>
    <w:panose1 w:val="00000000000000000000"/>
    <w:charset w:val="00"/>
    <w:family w:val="roman"/>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123D0F"/>
    <w:multiLevelType w:val="multilevel"/>
    <w:tmpl w:val="08123D0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3DB47232"/>
    <w:multiLevelType w:val="multilevel"/>
    <w:tmpl w:val="3DB4723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7D6A1D13"/>
    <w:multiLevelType w:val="multilevel"/>
    <w:tmpl w:val="7D6A1D1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
  <w:rsids>
    <w:rsidRoot w:val="000C1A35"/>
    <w:rsid w:val="000167A5"/>
    <w:rsid w:val="00070B18"/>
    <w:rsid w:val="000949AF"/>
    <w:rsid w:val="000A6FC1"/>
    <w:rsid w:val="000B5E2B"/>
    <w:rsid w:val="000C1A35"/>
    <w:rsid w:val="000D3FA3"/>
    <w:rsid w:val="000D6974"/>
    <w:rsid w:val="00123E09"/>
    <w:rsid w:val="00125515"/>
    <w:rsid w:val="00146388"/>
    <w:rsid w:val="001913BB"/>
    <w:rsid w:val="001A3CD0"/>
    <w:rsid w:val="001E090F"/>
    <w:rsid w:val="001F0CC9"/>
    <w:rsid w:val="00264495"/>
    <w:rsid w:val="002848E7"/>
    <w:rsid w:val="00290FAB"/>
    <w:rsid w:val="00291AAE"/>
    <w:rsid w:val="00296F03"/>
    <w:rsid w:val="002B36FE"/>
    <w:rsid w:val="002D0DDC"/>
    <w:rsid w:val="002F39C0"/>
    <w:rsid w:val="002F6BDB"/>
    <w:rsid w:val="003039FC"/>
    <w:rsid w:val="00303F56"/>
    <w:rsid w:val="00336C3E"/>
    <w:rsid w:val="003724F2"/>
    <w:rsid w:val="00374FDE"/>
    <w:rsid w:val="00397FDA"/>
    <w:rsid w:val="003A2160"/>
    <w:rsid w:val="003B0AA9"/>
    <w:rsid w:val="003B632E"/>
    <w:rsid w:val="003C075C"/>
    <w:rsid w:val="003D1799"/>
    <w:rsid w:val="003E5660"/>
    <w:rsid w:val="003F521B"/>
    <w:rsid w:val="00402D07"/>
    <w:rsid w:val="00405B5D"/>
    <w:rsid w:val="00417307"/>
    <w:rsid w:val="0042092E"/>
    <w:rsid w:val="00454194"/>
    <w:rsid w:val="00463C5C"/>
    <w:rsid w:val="004771D2"/>
    <w:rsid w:val="004C0CA3"/>
    <w:rsid w:val="004E1896"/>
    <w:rsid w:val="004E4D53"/>
    <w:rsid w:val="004E5B16"/>
    <w:rsid w:val="004F3024"/>
    <w:rsid w:val="00500556"/>
    <w:rsid w:val="0053302D"/>
    <w:rsid w:val="00540556"/>
    <w:rsid w:val="00572761"/>
    <w:rsid w:val="00590A06"/>
    <w:rsid w:val="005A5A08"/>
    <w:rsid w:val="005A5B53"/>
    <w:rsid w:val="005A69ED"/>
    <w:rsid w:val="005B2F5A"/>
    <w:rsid w:val="005C4FCF"/>
    <w:rsid w:val="006668F9"/>
    <w:rsid w:val="0068575A"/>
    <w:rsid w:val="006A44E2"/>
    <w:rsid w:val="006E5E38"/>
    <w:rsid w:val="006F6B69"/>
    <w:rsid w:val="00760AF5"/>
    <w:rsid w:val="00767463"/>
    <w:rsid w:val="007707E0"/>
    <w:rsid w:val="00773DBA"/>
    <w:rsid w:val="007B3237"/>
    <w:rsid w:val="007C1488"/>
    <w:rsid w:val="00875BE4"/>
    <w:rsid w:val="008A4FD4"/>
    <w:rsid w:val="008A56D4"/>
    <w:rsid w:val="00901F76"/>
    <w:rsid w:val="00921B5A"/>
    <w:rsid w:val="00950EF5"/>
    <w:rsid w:val="009B5F88"/>
    <w:rsid w:val="009C54E1"/>
    <w:rsid w:val="009D09D4"/>
    <w:rsid w:val="00A22A12"/>
    <w:rsid w:val="00A26F0E"/>
    <w:rsid w:val="00A31A09"/>
    <w:rsid w:val="00A31A42"/>
    <w:rsid w:val="00A32F8F"/>
    <w:rsid w:val="00A67241"/>
    <w:rsid w:val="00A705E9"/>
    <w:rsid w:val="00A82D38"/>
    <w:rsid w:val="00AD700B"/>
    <w:rsid w:val="00AF4A92"/>
    <w:rsid w:val="00B252B8"/>
    <w:rsid w:val="00BA0C8D"/>
    <w:rsid w:val="00BA1650"/>
    <w:rsid w:val="00BA1A8F"/>
    <w:rsid w:val="00C0265D"/>
    <w:rsid w:val="00CC5987"/>
    <w:rsid w:val="00CF21AC"/>
    <w:rsid w:val="00D11017"/>
    <w:rsid w:val="00D12190"/>
    <w:rsid w:val="00D1410E"/>
    <w:rsid w:val="00D23346"/>
    <w:rsid w:val="00D2450F"/>
    <w:rsid w:val="00D30A30"/>
    <w:rsid w:val="00D4300E"/>
    <w:rsid w:val="00D46B7A"/>
    <w:rsid w:val="00D82A52"/>
    <w:rsid w:val="00DF7962"/>
    <w:rsid w:val="00E452CE"/>
    <w:rsid w:val="00E664CE"/>
    <w:rsid w:val="00EA417C"/>
    <w:rsid w:val="00EA60B7"/>
    <w:rsid w:val="00EE5971"/>
    <w:rsid w:val="00EE66A1"/>
    <w:rsid w:val="00F75069"/>
    <w:rsid w:val="00F9243A"/>
    <w:rsid w:val="00FA2095"/>
    <w:rsid w:val="03240769"/>
    <w:rsid w:val="3797430F"/>
    <w:rsid w:val="443B5989"/>
    <w:rsid w:val="496839BB"/>
    <w:rsid w:val="68A32E7F"/>
    <w:rsid w:val="6E342690"/>
    <w:rsid w:val="6E393E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rules v:ext="edit">
        <o:r id="V:Rule1" type="connector" idref="#_x0000_s1040"/>
        <o:r id="V:Rule2" type="connector" idref="#_x0000_s1041"/>
        <o:r id="V:Rule3" type="connector" idref="#_x0000_s1042"/>
        <o:r id="V:Rule4" type="connector" idref="#_x0000_s1043"/>
        <o:r id="V:Rule5" type="connector" idref="#_x0000_s1044"/>
        <o:r id="V:Rule6" type="connector" idref="#_x0000_s1045"/>
        <o:r id="V:Rule7" type="connector" idref="#_x0000_s1046"/>
        <o:r id="V:Rule8" type="connector" idref="#_x0000_s1047"/>
        <o:r id="V:Rule9" type="connector" idref="#_x0000_s1048"/>
        <o:r id="V:Rule10" type="connector" idref="#_x0000_s1049"/>
        <o:r id="V:Rule11" type="connector" idref="#_x0000_s1050"/>
        <o:r id="V:Rule12" type="connector" idref="#_x0000_s1051"/>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9"/>
    <w:semiHidden/>
    <w:unhideWhenUsed/>
    <w:uiPriority w:val="99"/>
    <w:pPr>
      <w:spacing w:after="0" w:line="240" w:lineRule="auto"/>
    </w:pPr>
    <w:rPr>
      <w:rFonts w:ascii="Tahoma" w:hAnsi="Tahoma" w:cs="Tahoma"/>
      <w:sz w:val="16"/>
      <w:szCs w:val="16"/>
    </w:rPr>
  </w:style>
  <w:style w:type="character" w:styleId="5">
    <w:name w:val="Hyperlink"/>
    <w:basedOn w:val="2"/>
    <w:unhideWhenUsed/>
    <w:uiPriority w:val="99"/>
    <w:rPr>
      <w:color w:val="0000FF"/>
      <w:u w:val="single"/>
    </w:rPr>
  </w:style>
  <w:style w:type="table" w:styleId="6">
    <w:name w:val="Table Grid"/>
    <w:basedOn w:val="3"/>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7">
    <w:name w:val="List Paragraph"/>
    <w:basedOn w:val="1"/>
    <w:qFormat/>
    <w:uiPriority w:val="34"/>
    <w:pPr>
      <w:ind w:left="720"/>
      <w:contextualSpacing/>
    </w:pPr>
  </w:style>
  <w:style w:type="character" w:customStyle="1" w:styleId="8">
    <w:name w:val="fontstyle01"/>
    <w:basedOn w:val="2"/>
    <w:uiPriority w:val="0"/>
    <w:rPr>
      <w:rFonts w:hint="default" w:ascii="Times New Roman" w:hAnsi="Times New Roman" w:cs="Times New Roman"/>
      <w:color w:val="000000"/>
      <w:sz w:val="24"/>
      <w:szCs w:val="24"/>
    </w:rPr>
  </w:style>
  <w:style w:type="character" w:customStyle="1" w:styleId="9">
    <w:name w:val="Balloon Text Char"/>
    <w:basedOn w:val="2"/>
    <w:link w:val="4"/>
    <w:semiHidden/>
    <w:qFormat/>
    <w:uiPriority w:val="99"/>
    <w:rPr>
      <w:rFonts w:ascii="Tahoma" w:hAnsi="Tahoma" w:eastAsia="Calibri"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ownloads\IIM%20JAMMU%20updat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0" vertOverflow="ellipsis" vert="horz" wrap="square" anchor="ctr" anchorCtr="1"/>
          <a:lstStyle/>
          <a:p>
            <a:pPr>
              <a:defRPr lang="en-US" sz="1600" b="1" i="0" u="none" strike="noStrike" kern="1200" baseline="0">
                <a:solidFill>
                  <a:schemeClr val="tx1"/>
                </a:solidFill>
                <a:latin typeface="+mn-lt"/>
                <a:ea typeface="+mn-ea"/>
                <a:cs typeface="+mn-cs"/>
              </a:defRPr>
            </a:pPr>
            <a:r>
              <a:rPr lang="en-US" sz="1600"/>
              <a:t>Assessment</a:t>
            </a:r>
            <a:r>
              <a:rPr lang="en-US" sz="1600" baseline="0"/>
              <a:t> of </a:t>
            </a:r>
            <a:r>
              <a:rPr lang="en-US" sz="1600"/>
              <a:t>Financial Literacy level among</a:t>
            </a:r>
            <a:r>
              <a:rPr lang="en-US" sz="1600" baseline="0"/>
              <a:t> Youth</a:t>
            </a:r>
            <a:r>
              <a:rPr lang="en-US" sz="1600"/>
              <a:t> </a:t>
            </a:r>
            <a:endParaRPr lang="en-US" sz="1600"/>
          </a:p>
        </c:rich>
      </c:tx>
      <c:layout/>
      <c:overlay val="0"/>
    </c:title>
    <c:autoTitleDeleted val="0"/>
    <c:plotArea>
      <c:layout>
        <c:manualLayout>
          <c:layoutTarget val="inner"/>
          <c:xMode val="edge"/>
          <c:yMode val="edge"/>
          <c:x val="0.0204003186730075"/>
          <c:y val="0.128510176323249"/>
          <c:w val="0.706102117061021"/>
          <c:h val="0.58180673844341"/>
        </c:manualLayout>
      </c:layout>
      <c:barChart>
        <c:barDir val="col"/>
        <c:grouping val="percentStacked"/>
        <c:varyColors val="0"/>
        <c:ser>
          <c:idx val="0"/>
          <c:order val="0"/>
          <c:tx>
            <c:strRef>
              <c:f>Sheet7!$B$4:$B$5</c:f>
              <c:strCache>
                <c:ptCount val="1"/>
                <c:pt idx="0">
                  <c:v>Lower Level "Below 59.9%" No. of Respondend</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Sheet7!$A$6:$A$12</c:f>
              <c:strCache>
                <c:ptCount val="7"/>
                <c:pt idx="0">
                  <c:v>Saving </c:v>
                </c:pt>
                <c:pt idx="1">
                  <c:v>Banking</c:v>
                </c:pt>
                <c:pt idx="2">
                  <c:v>Insurance</c:v>
                </c:pt>
                <c:pt idx="3">
                  <c:v>Investment</c:v>
                </c:pt>
                <c:pt idx="4">
                  <c:v>Risk and Financial Awareness</c:v>
                </c:pt>
                <c:pt idx="5">
                  <c:v>Financial Planning</c:v>
                </c:pt>
                <c:pt idx="6">
                  <c:v>Overall Financial Literacy</c:v>
                </c:pt>
              </c:strCache>
            </c:strRef>
          </c:cat>
          <c:val>
            <c:numRef>
              <c:f>Sheet7!$B$6:$B$12</c:f>
            </c:numRef>
          </c:val>
        </c:ser>
        <c:ser>
          <c:idx val="1"/>
          <c:order val="1"/>
          <c:tx>
            <c:strRef>
              <c:f>Sheet7!$C$4:$C$5</c:f>
              <c:strCache>
                <c:ptCount val="1"/>
                <c:pt idx="0">
                  <c:v>Lower Level "Below 59.9%" %age</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Sheet7!$A$6:$A$12</c:f>
              <c:strCache>
                <c:ptCount val="7"/>
                <c:pt idx="0">
                  <c:v>Saving </c:v>
                </c:pt>
                <c:pt idx="1">
                  <c:v>Banking</c:v>
                </c:pt>
                <c:pt idx="2">
                  <c:v>Insurance</c:v>
                </c:pt>
                <c:pt idx="3">
                  <c:v>Investment</c:v>
                </c:pt>
                <c:pt idx="4">
                  <c:v>Risk and Financial Awareness</c:v>
                </c:pt>
                <c:pt idx="5">
                  <c:v>Financial Planning</c:v>
                </c:pt>
                <c:pt idx="6">
                  <c:v>Overall Financial Literacy</c:v>
                </c:pt>
              </c:strCache>
            </c:strRef>
          </c:cat>
          <c:val>
            <c:numRef>
              <c:f>Sheet7!$C$6:$C$12</c:f>
              <c:numCache>
                <c:formatCode>###0.0</c:formatCode>
                <c:ptCount val="7"/>
                <c:pt idx="0">
                  <c:v>45.3333333333333</c:v>
                </c:pt>
                <c:pt idx="1">
                  <c:v>13.2666666666667</c:v>
                </c:pt>
                <c:pt idx="2">
                  <c:v>13.3333333333333</c:v>
                </c:pt>
                <c:pt idx="3">
                  <c:v>14.1333333333333</c:v>
                </c:pt>
                <c:pt idx="4">
                  <c:v>13.4</c:v>
                </c:pt>
                <c:pt idx="5">
                  <c:v>13.6</c:v>
                </c:pt>
                <c:pt idx="6">
                  <c:v>71.1333333333332</c:v>
                </c:pt>
              </c:numCache>
            </c:numRef>
          </c:val>
        </c:ser>
        <c:ser>
          <c:idx val="2"/>
          <c:order val="2"/>
          <c:tx>
            <c:strRef>
              <c:f>Sheet7!$D$4:$D$5</c:f>
              <c:strCache>
                <c:ptCount val="1"/>
                <c:pt idx="0">
                  <c:v>Moderate Level "60% - 79.9%" No. of Respondend</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Sheet7!$A$6:$A$12</c:f>
              <c:strCache>
                <c:ptCount val="7"/>
                <c:pt idx="0">
                  <c:v>Saving </c:v>
                </c:pt>
                <c:pt idx="1">
                  <c:v>Banking</c:v>
                </c:pt>
                <c:pt idx="2">
                  <c:v>Insurance</c:v>
                </c:pt>
                <c:pt idx="3">
                  <c:v>Investment</c:v>
                </c:pt>
                <c:pt idx="4">
                  <c:v>Risk and Financial Awareness</c:v>
                </c:pt>
                <c:pt idx="5">
                  <c:v>Financial Planning</c:v>
                </c:pt>
                <c:pt idx="6">
                  <c:v>Overall Financial Literacy</c:v>
                </c:pt>
              </c:strCache>
            </c:strRef>
          </c:cat>
          <c:val>
            <c:numRef>
              <c:f>Sheet7!$D$6:$D$12</c:f>
            </c:numRef>
          </c:val>
        </c:ser>
        <c:ser>
          <c:idx val="3"/>
          <c:order val="3"/>
          <c:tx>
            <c:strRef>
              <c:f>Sheet7!$E$4:$E$5</c:f>
              <c:strCache>
                <c:ptCount val="1"/>
                <c:pt idx="0">
                  <c:v>Moderate Level "60% - 79.9%" %age</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Sheet7!$A$6:$A$12</c:f>
              <c:strCache>
                <c:ptCount val="7"/>
                <c:pt idx="0">
                  <c:v>Saving </c:v>
                </c:pt>
                <c:pt idx="1">
                  <c:v>Banking</c:v>
                </c:pt>
                <c:pt idx="2">
                  <c:v>Insurance</c:v>
                </c:pt>
                <c:pt idx="3">
                  <c:v>Investment</c:v>
                </c:pt>
                <c:pt idx="4">
                  <c:v>Risk and Financial Awareness</c:v>
                </c:pt>
                <c:pt idx="5">
                  <c:v>Financial Planning</c:v>
                </c:pt>
                <c:pt idx="6">
                  <c:v>Overall Financial Literacy</c:v>
                </c:pt>
              </c:strCache>
            </c:strRef>
          </c:cat>
          <c:val>
            <c:numRef>
              <c:f>Sheet7!$E$6:$E$12</c:f>
              <c:numCache>
                <c:formatCode>###0.0</c:formatCode>
                <c:ptCount val="7"/>
                <c:pt idx="0">
                  <c:v>20.5333333333333</c:v>
                </c:pt>
                <c:pt idx="1">
                  <c:v>25.8666666666667</c:v>
                </c:pt>
                <c:pt idx="2">
                  <c:v>28.2666666666667</c:v>
                </c:pt>
                <c:pt idx="3">
                  <c:v>27</c:v>
                </c:pt>
                <c:pt idx="4">
                  <c:v>28.6666666666667</c:v>
                </c:pt>
                <c:pt idx="5">
                  <c:v>30.3333333333333</c:v>
                </c:pt>
                <c:pt idx="6">
                  <c:v>25.1333333333333</c:v>
                </c:pt>
              </c:numCache>
            </c:numRef>
          </c:val>
        </c:ser>
        <c:ser>
          <c:idx val="4"/>
          <c:order val="4"/>
          <c:tx>
            <c:strRef>
              <c:f>Sheet7!$F$4:$F$5</c:f>
              <c:strCache>
                <c:ptCount val="1"/>
                <c:pt idx="0">
                  <c:v>High Level "80% above" No. of Respondend</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Sheet7!$A$6:$A$12</c:f>
              <c:strCache>
                <c:ptCount val="7"/>
                <c:pt idx="0">
                  <c:v>Saving </c:v>
                </c:pt>
                <c:pt idx="1">
                  <c:v>Banking</c:v>
                </c:pt>
                <c:pt idx="2">
                  <c:v>Insurance</c:v>
                </c:pt>
                <c:pt idx="3">
                  <c:v>Investment</c:v>
                </c:pt>
                <c:pt idx="4">
                  <c:v>Risk and Financial Awareness</c:v>
                </c:pt>
                <c:pt idx="5">
                  <c:v>Financial Planning</c:v>
                </c:pt>
                <c:pt idx="6">
                  <c:v>Overall Financial Literacy</c:v>
                </c:pt>
              </c:strCache>
            </c:strRef>
          </c:cat>
          <c:val>
            <c:numRef>
              <c:f>Sheet7!$F$6:$F$12</c:f>
            </c:numRef>
          </c:val>
        </c:ser>
        <c:ser>
          <c:idx val="5"/>
          <c:order val="5"/>
          <c:tx>
            <c:strRef>
              <c:f>Sheet7!$G$4:$G$5</c:f>
              <c:strCache>
                <c:ptCount val="1"/>
                <c:pt idx="0">
                  <c:v>High Level "80% above" %age</c:v>
                </c:pt>
              </c:strCache>
            </c:strRef>
          </c:tx>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Sheet7!$A$6:$A$12</c:f>
              <c:strCache>
                <c:ptCount val="7"/>
                <c:pt idx="0">
                  <c:v>Saving </c:v>
                </c:pt>
                <c:pt idx="1">
                  <c:v>Banking</c:v>
                </c:pt>
                <c:pt idx="2">
                  <c:v>Insurance</c:v>
                </c:pt>
                <c:pt idx="3">
                  <c:v>Investment</c:v>
                </c:pt>
                <c:pt idx="4">
                  <c:v>Risk and Financial Awareness</c:v>
                </c:pt>
                <c:pt idx="5">
                  <c:v>Financial Planning</c:v>
                </c:pt>
                <c:pt idx="6">
                  <c:v>Overall Financial Literacy</c:v>
                </c:pt>
              </c:strCache>
            </c:strRef>
          </c:cat>
          <c:val>
            <c:numRef>
              <c:f>Sheet7!$G$6:$G$12</c:f>
              <c:numCache>
                <c:formatCode>###0.0</c:formatCode>
                <c:ptCount val="7"/>
                <c:pt idx="0">
                  <c:v>34.1333333333333</c:v>
                </c:pt>
                <c:pt idx="1">
                  <c:v>60.8666666666665</c:v>
                </c:pt>
                <c:pt idx="2">
                  <c:v>58.4</c:v>
                </c:pt>
                <c:pt idx="3">
                  <c:v>58.8666666666665</c:v>
                </c:pt>
                <c:pt idx="4">
                  <c:v>57.9333333333333</c:v>
                </c:pt>
                <c:pt idx="5">
                  <c:v>56.0666666666665</c:v>
                </c:pt>
                <c:pt idx="6">
                  <c:v>3.73333333333333</c:v>
                </c:pt>
              </c:numCache>
            </c:numRef>
          </c:val>
        </c:ser>
        <c:dLbls>
          <c:showLegendKey val="0"/>
          <c:showVal val="1"/>
          <c:showCatName val="0"/>
          <c:showSerName val="0"/>
          <c:showPercent val="0"/>
          <c:showBubbleSize val="0"/>
        </c:dLbls>
        <c:gapWidth val="95"/>
        <c:overlap val="100"/>
        <c:axId val="106084608"/>
        <c:axId val="108158976"/>
      </c:barChart>
      <c:catAx>
        <c:axId val="106084608"/>
        <c:scaling>
          <c:orientation val="minMax"/>
        </c:scaling>
        <c:delete val="0"/>
        <c:axPos val="b"/>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8158976"/>
        <c:crosses val="autoZero"/>
        <c:auto val="1"/>
        <c:lblAlgn val="ctr"/>
        <c:lblOffset val="100"/>
        <c:noMultiLvlLbl val="0"/>
      </c:catAx>
      <c:valAx>
        <c:axId val="108158976"/>
        <c:scaling>
          <c:orientation val="minMax"/>
        </c:scaling>
        <c:delete val="1"/>
        <c:axPos val="l"/>
        <c:numFmt formatCode="0%"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6084608"/>
        <c:crosses val="autoZero"/>
        <c:crossBetween val="between"/>
      </c:valAx>
      <c:spPr>
        <a:solidFill>
          <a:schemeClr val="bg1"/>
        </a:solidFill>
        <a:ln>
          <a:noFill/>
        </a:ln>
        <a:effectLst/>
      </c:spPr>
    </c:plotArea>
    <c:legend>
      <c:legendPos val="t"/>
      <c:layout>
        <c:manualLayout>
          <c:xMode val="edge"/>
          <c:yMode val="edge"/>
          <c:x val="0.728234998022508"/>
          <c:y val="0.361541057367829"/>
          <c:w val="0.207141853221025"/>
          <c:h val="0.447842948202904"/>
        </c:manualLayout>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en-US"/>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32"/>
    <customShpInfo spid="_x0000_s1026"/>
    <customShpInfo spid="_x0000_s1045"/>
    <customShpInfo spid="_x0000_s1040"/>
    <customShpInfo spid="_x0000_s1038"/>
    <customShpInfo spid="_x0000_s1039"/>
    <customShpInfo spid="_x0000_s1051"/>
    <customShpInfo spid="_x0000_s1033"/>
    <customShpInfo spid="_x0000_s1034"/>
    <customShpInfo spid="_x0000_s1035"/>
    <customShpInfo spid="_x0000_s1036"/>
    <customShpInfo spid="_x0000_s1037"/>
    <customShpInfo spid="_x0000_s1050"/>
    <customShpInfo spid="_x0000_s1049"/>
    <customShpInfo spid="_x0000_s1048"/>
    <customShpInfo spid="_x0000_s1047"/>
    <customShpInfo spid="_x0000_s1046"/>
    <customShpInfo spid="_x0000_s1042"/>
    <customShpInfo spid="_x0000_s1044"/>
    <customShpInfo spid="_x0000_s1043"/>
    <customShpInfo spid="_x0000_s1041"/>
    <customShpInfo spid="_x0000_s1030"/>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D5FCA0-71E0-4B21-9054-E7711160D4CA}">
  <ds:schemaRefs/>
</ds:datastoreItem>
</file>

<file path=docProps/app.xml><?xml version="1.0" encoding="utf-8"?>
<Properties xmlns="http://schemas.openxmlformats.org/officeDocument/2006/extended-properties" xmlns:vt="http://schemas.openxmlformats.org/officeDocument/2006/docPropsVTypes">
  <Template>Normal</Template>
  <Company>by adguard</Company>
  <Pages>14</Pages>
  <Words>5003</Words>
  <Characters>28520</Characters>
  <Lines>237</Lines>
  <Paragraphs>66</Paragraphs>
  <TotalTime>24</TotalTime>
  <ScaleCrop>false</ScaleCrop>
  <LinksUpToDate>false</LinksUpToDate>
  <CharactersWithSpaces>33457</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2023-08-25T16:39:00Z</dcterms:created>
  <dc:creator>DELL</dc:creator>
  <cp:lastModifiedBy>Anju Rohilla</cp:lastModifiedBy>
  <cp:lastPrinted>2023-11-17T08:08:18Z</cp:lastPrinted>
  <dcterms:modified xsi:type="dcterms:W3CDTF">2023-11-17T08:26:08Z</dcterms:modified>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1033-12.2.0.13306</vt:lpwstr>
  </property>
  <property fmtid="{D5CDD505-2E9C-101B-9397-08002B2CF9AE}" pid="3" name="ICV">
    <vt:lpwstr>B519D7767D6A44A6A9A971584DF8FDC2_12</vt:lpwstr>
  </property>
</Properties>
</file>