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auto" w:line="360" w:before="0" w:after="0"/>
        <w:jc w:val="center"/>
        <w:rPr>
          <w:rFonts w:ascii="Times New Roman" w:hAnsi="Times New Roman" w:cs="Times New Roman"/>
        </w:rPr>
      </w:pPr>
      <w:r>
        <w:rPr>
          <w:rStyle w:val="Strong"/>
          <w:rFonts w:cs="Times New Roman" w:ascii="Times New Roman" w:hAnsi="Times New Roman"/>
          <w:sz w:val="28"/>
        </w:rPr>
        <w:t>"</w:t>
      </w:r>
      <w:r>
        <w:rPr>
          <w:rStyle w:val="Strong"/>
          <w:rFonts w:cs="Times New Roman" w:ascii="Times New Roman" w:hAnsi="Times New Roman"/>
          <w:i/>
          <w:iCs/>
          <w:sz w:val="28"/>
        </w:rPr>
        <w:t>Comparative Analysis of Mental Health of Professional Course Students: Insights from B.Tech. and B.Pharma. Program”</w:t>
      </w:r>
      <w:r>
        <w:rPr>
          <w:rStyle w:val="Strong"/>
          <w:rFonts w:cs="Times New Roman" w:ascii="Times New Roman" w:hAnsi="Times New Roman"/>
          <w:i/>
          <w:iCs/>
        </w:rPr>
        <w:t xml:space="preserve"> </w:t>
      </w:r>
    </w:p>
    <w:p>
      <w:pPr>
        <w:pStyle w:val="BodyText"/>
        <w:spacing w:lineRule="auto" w:line="240" w:before="0" w:after="0"/>
        <w:jc w:val="center"/>
        <w:rPr>
          <w:rFonts w:ascii="Times New Roman" w:hAnsi="Times New Roman" w:cs="Times New Roman"/>
          <w:b/>
          <w:bCs/>
          <w:lang w:val="sv-SE"/>
        </w:rPr>
      </w:pPr>
      <w:r>
        <w:rPr>
          <w:rStyle w:val="Strong"/>
          <w:rFonts w:cs="Times New Roman" w:ascii="Times New Roman" w:hAnsi="Times New Roman"/>
          <w:b w:val="false"/>
          <w:bCs w:val="false"/>
          <w:lang w:val="sv-SE"/>
        </w:rPr>
        <w:t>Dr. Suman Lata Tiruwa</w:t>
      </w:r>
      <w:r>
        <w:rPr>
          <w:rStyle w:val="Strong"/>
          <w:rFonts w:cs="Times New Roman" w:ascii="Times New Roman" w:hAnsi="Times New Roman"/>
          <w:b w:val="false"/>
          <w:bCs w:val="false"/>
          <w:vertAlign w:val="superscript"/>
          <w:lang w:val="sv-SE"/>
        </w:rPr>
        <w:t>1</w:t>
      </w:r>
      <w:r>
        <w:rPr>
          <w:rStyle w:val="Strong"/>
          <w:rFonts w:cs="Times New Roman" w:ascii="Times New Roman" w:hAnsi="Times New Roman"/>
          <w:b w:val="false"/>
          <w:bCs w:val="false"/>
          <w:lang w:val="sv-SE"/>
        </w:rPr>
        <w:t>, Dr. Anu Rahi</w:t>
      </w:r>
      <w:r>
        <w:rPr>
          <w:rStyle w:val="Strong"/>
          <w:rFonts w:cs="Times New Roman" w:ascii="Times New Roman" w:hAnsi="Times New Roman"/>
          <w:b w:val="false"/>
          <w:bCs w:val="false"/>
          <w:vertAlign w:val="superscript"/>
          <w:lang w:val="sv-SE"/>
        </w:rPr>
        <w:t>2</w:t>
      </w:r>
      <w:r>
        <w:rPr>
          <w:rStyle w:val="Strong"/>
          <w:rFonts w:cs="Times New Roman" w:ascii="Times New Roman" w:hAnsi="Times New Roman"/>
          <w:b w:val="false"/>
          <w:bCs w:val="false"/>
          <w:lang w:val="sv-SE"/>
        </w:rPr>
        <w:t>, Dr. Amar Jeet Singh</w:t>
      </w:r>
      <w:r>
        <w:rPr>
          <w:rStyle w:val="Strong"/>
          <w:rFonts w:cs="Times New Roman" w:ascii="Times New Roman" w:hAnsi="Times New Roman"/>
          <w:b w:val="false"/>
          <w:bCs w:val="false"/>
          <w:vertAlign w:val="superscript"/>
          <w:lang w:val="sv-SE"/>
        </w:rPr>
        <w:t>3</w:t>
      </w:r>
    </w:p>
    <w:p>
      <w:pPr>
        <w:pStyle w:val="BodyText"/>
        <w:spacing w:lineRule="auto" w:line="240" w:before="0" w:after="0"/>
        <w:jc w:val="center"/>
        <w:rPr>
          <w:rFonts w:ascii="Times New Roman" w:hAnsi="Times New Roman" w:cs="Times New Roman"/>
          <w:b/>
          <w:bCs/>
        </w:rPr>
      </w:pPr>
      <w:r>
        <w:rPr>
          <w:rStyle w:val="Strong"/>
          <w:rFonts w:cs="Times New Roman" w:ascii="Times New Roman" w:hAnsi="Times New Roman"/>
          <w:b w:val="false"/>
          <w:bCs w:val="false"/>
          <w:vertAlign w:val="superscript"/>
        </w:rPr>
        <w:t>1,2,3</w:t>
      </w:r>
      <w:r>
        <w:rPr>
          <w:rStyle w:val="Strong"/>
          <w:rFonts w:cs="Times New Roman" w:ascii="Times New Roman" w:hAnsi="Times New Roman"/>
          <w:b w:val="false"/>
          <w:bCs w:val="false"/>
        </w:rPr>
        <w:t>Assistant Professor,</w:t>
      </w:r>
    </w:p>
    <w:p>
      <w:pPr>
        <w:pStyle w:val="BodyText"/>
        <w:spacing w:lineRule="auto" w:line="240"/>
        <w:jc w:val="center"/>
        <w:rPr>
          <w:rFonts w:ascii="Times New Roman" w:hAnsi="Times New Roman" w:cs="Times New Roman"/>
          <w:b/>
          <w:bCs/>
        </w:rPr>
      </w:pPr>
      <w:r>
        <w:rPr>
          <w:rStyle w:val="Strong"/>
          <w:rFonts w:cs="Times New Roman" w:ascii="Times New Roman" w:hAnsi="Times New Roman"/>
          <w:b w:val="false"/>
          <w:bCs w:val="false"/>
          <w:vertAlign w:val="superscript"/>
        </w:rPr>
        <w:t>1,2,3</w:t>
      </w:r>
      <w:r>
        <w:rPr>
          <w:rStyle w:val="Strong"/>
          <w:rFonts w:cs="Times New Roman" w:ascii="Times New Roman" w:hAnsi="Times New Roman"/>
          <w:b w:val="false"/>
          <w:bCs w:val="false"/>
        </w:rPr>
        <w:t>Department of Education, HNB Garhwal University Srinagar(Uttarakhand)</w:t>
      </w:r>
    </w:p>
    <w:p>
      <w:pPr>
        <w:pStyle w:val="BodyText"/>
        <w:spacing w:lineRule="auto" w:line="360" w:before="0" w:after="0"/>
        <w:jc w:val="center"/>
        <w:rPr>
          <w:rFonts w:ascii="Times New Roman" w:hAnsi="Times New Roman" w:cs="Times New Roman"/>
          <w:sz w:val="28"/>
          <w:szCs w:val="28"/>
        </w:rPr>
      </w:pPr>
      <w:r>
        <w:rPr>
          <w:rStyle w:val="Strong"/>
          <w:rFonts w:cs="Times New Roman" w:ascii="Times New Roman" w:hAnsi="Times New Roman"/>
          <w:sz w:val="28"/>
          <w:szCs w:val="28"/>
        </w:rPr>
        <w:t>ABSTRACT</w:t>
      </w:r>
    </w:p>
    <w:p>
      <w:pPr>
        <w:pStyle w:val="BodyText"/>
        <w:spacing w:lineRule="auto" w:line="360"/>
        <w:jc w:val="both"/>
        <w:rPr>
          <w:rStyle w:val="Strong"/>
          <w:rFonts w:ascii="Times New Roman" w:hAnsi="Times New Roman" w:cs="Times New Roman"/>
          <w:b w:val="false"/>
          <w:bCs w:val="false"/>
        </w:rPr>
      </w:pPr>
      <w:r>
        <w:rPr>
          <w:rStyle w:val="Strong"/>
          <w:rFonts w:cs="Times New Roman" w:ascii="Times New Roman" w:hAnsi="Times New Roman"/>
        </w:rPr>
        <w:tab/>
      </w:r>
      <w:r>
        <w:rPr>
          <w:rStyle w:val="Strong"/>
          <w:rFonts w:cs="Times New Roman" w:ascii="Times New Roman" w:hAnsi="Times New Roman"/>
          <w:b w:val="false"/>
          <w:bCs w:val="false"/>
        </w:rPr>
        <w:t>This study investigates and compares the mental health of Bachelor of Technology (B.Tech) and Bachelor of Pharmacy (B.Pharma) students in Hemwati Nandan Bahuguna Garhwal University, Pauri District,Uttarakhand, India. Using a Mental Health Questionnaire, the research assessed six key aspects of mental health: Emotional Stability, Overall Adjustment, Autonomy, Security and Insecurity, Self-Concept, and Intelligence. A sample of 120 students (60 from each program) was selected using Simple Random Sampling. Statistical analysis using t-tests revealed significant differences between B.Tech and B.Pharma students in several areas. B.Tech students showed greater Emotional Stability and Autonomy, while B.Pharma students exhibited higher levels of Security and Insecurity, Intelligence, and Overall Mental Health. No significant differences were found in Overall Adjustment and Self-Concept. These findings provide insights into the unique mental health challenges faced by students in these professional courses and can inform targeted interventions to support student well-being in higher education</w:t>
      </w:r>
      <w:r>
        <w:rPr>
          <w:rStyle w:val="Strong"/>
          <w:rFonts w:cs="Times New Roman" w:ascii="Times New Roman" w:hAnsi="Times New Roman"/>
          <w:b w:val="false"/>
          <w:bCs w:val="false"/>
          <w:sz w:val="28"/>
          <w:szCs w:val="28"/>
        </w:rPr>
        <w:t xml:space="preserve"> </w:t>
      </w:r>
      <w:r>
        <w:rPr>
          <w:rStyle w:val="Strong"/>
          <w:rFonts w:cs="Times New Roman" w:ascii="Times New Roman" w:hAnsi="Times New Roman"/>
          <w:b w:val="false"/>
          <w:bCs w:val="false"/>
        </w:rPr>
        <w:t>institutions.</w:t>
      </w:r>
    </w:p>
    <w:p>
      <w:pPr>
        <w:pStyle w:val="BodyText"/>
        <w:spacing w:lineRule="auto" w:line="360"/>
        <w:jc w:val="both"/>
        <w:rPr>
          <w:rFonts w:ascii="Times New Roman" w:hAnsi="Times New Roman" w:cs="Times New Roman"/>
          <w:b/>
          <w:bCs/>
        </w:rPr>
      </w:pPr>
      <w:r>
        <w:rPr>
          <w:rStyle w:val="Strong"/>
          <w:rFonts w:cs="Times New Roman" w:ascii="Times New Roman" w:hAnsi="Times New Roman"/>
        </w:rPr>
        <w:t>Keywords:</w:t>
      </w:r>
      <w:r>
        <w:rPr>
          <w:rStyle w:val="Strong"/>
          <w:rFonts w:cs="Times New Roman" w:ascii="Times New Roman" w:hAnsi="Times New Roman"/>
          <w:b w:val="false"/>
          <w:bCs w:val="false"/>
        </w:rPr>
        <w:t xml:space="preserve"> Mental Health, Emotional Stability, Overall Adjustment, Autonomy, Security and Insecurity, Self-Concept, and Intelligence.</w:t>
      </w:r>
    </w:p>
    <w:p>
      <w:pPr>
        <w:pStyle w:val="BodyText"/>
        <w:spacing w:lineRule="auto" w:line="360"/>
        <w:rPr>
          <w:rFonts w:ascii="Times New Roman" w:hAnsi="Times New Roman" w:cs="Times New Roman"/>
        </w:rPr>
      </w:pPr>
      <w:r>
        <w:rPr>
          <w:rStyle w:val="Strong"/>
          <w:rFonts w:cs="Times New Roman" w:ascii="Times New Roman" w:hAnsi="Times New Roman"/>
          <w:sz w:val="28"/>
          <w:szCs w:val="28"/>
        </w:rPr>
        <w:t>INTRODUCTION</w:t>
      </w:r>
    </w:p>
    <w:p>
      <w:pPr>
        <w:pStyle w:val="BodyText"/>
        <w:spacing w:lineRule="auto" w:line="360"/>
        <w:ind w:firstLine="720"/>
        <w:jc w:val="both"/>
        <w:rPr>
          <w:rFonts w:ascii="Times New Roman" w:hAnsi="Times New Roman" w:cs="Times New Roman"/>
        </w:rPr>
      </w:pPr>
      <w:r>
        <w:rPr>
          <w:rFonts w:cs="Times New Roman" w:ascii="Times New Roman" w:hAnsi="Times New Roman"/>
        </w:rPr>
        <w:t>Mental health in professional course students is crucial due to the academic pressure, competition, and future career concerns they face. Key areas like emotional stability, overall adjustment, autonomy, security and insecurity, self-concept, and intelligence significantly affect their well-being. Emotional stability helps students manage stress, while good adjustment ensures they cope with academic and social challenges. Autonomy fosters decision-making confidence, while a sense of security prevents anxiety. A positive self-concept boosts self-esteem, and intelligence aids in solving complex problems. Addressing these aspects ensures a balanced mental health state, leading to better academic performance and personal growth for professional students.</w:t>
      </w:r>
    </w:p>
    <w:p>
      <w:pPr>
        <w:pStyle w:val="BodyText"/>
        <w:spacing w:lineRule="auto" w:line="360"/>
        <w:ind w:firstLine="720"/>
        <w:jc w:val="both"/>
        <w:rPr>
          <w:rFonts w:ascii="Times New Roman" w:hAnsi="Times New Roman" w:cs="Times New Roman"/>
        </w:rPr>
      </w:pPr>
      <w:r>
        <w:rPr>
          <w:rFonts w:cs="Times New Roman" w:ascii="Times New Roman" w:hAnsi="Times New Roman"/>
        </w:rPr>
        <w:t xml:space="preserve">Mental health issues among university students are becoming a global concern, and India is no exception. The mental well-being of students pursuing professional courses like </w:t>
      </w:r>
      <w:r>
        <w:rPr>
          <w:rStyle w:val="Strong"/>
          <w:rFonts w:cs="Times New Roman" w:ascii="Times New Roman" w:hAnsi="Times New Roman"/>
        </w:rPr>
        <w:t>Bachelor of Technology (B.Tech)</w:t>
      </w:r>
      <w:r>
        <w:rPr>
          <w:rFonts w:cs="Times New Roman" w:ascii="Times New Roman" w:hAnsi="Times New Roman"/>
        </w:rPr>
        <w:t xml:space="preserve"> and </w:t>
      </w:r>
      <w:r>
        <w:rPr>
          <w:rStyle w:val="Strong"/>
          <w:rFonts w:cs="Times New Roman" w:ascii="Times New Roman" w:hAnsi="Times New Roman"/>
        </w:rPr>
        <w:t>Bachelor of Pharmacy (B.Pharma)</w:t>
      </w:r>
      <w:r>
        <w:rPr>
          <w:rFonts w:cs="Times New Roman" w:ascii="Times New Roman" w:hAnsi="Times New Roman"/>
        </w:rPr>
        <w:t xml:space="preserve"> has garnered particular attention due to the rigorous academic demands and competitive nature of these programs. Both B.Tech and B.Pharma students often face a combination of academic, personal, and societal pressures that can adversely impact their mental health, leading to stress, anxiety, depression, and, in some cases, suicidal ideation (Goyal, Singh, &amp; Singh, 2012). B.Tech and B.Pharma students experience significant academic pressure, although the nature of these pressures differs between the two disciplines. Engineering students often face a curriculum dominated by complex technical subjects, frequent exams, and high expectations for innovation and problem-solving (Singh, 2017). In contrast, pharmacy students are required to master intricate medical knowledge, including pharmaceutical formulations, drug interactions, and clinical applications, often paired with rigorous laboratory work (Sahoo &amp; Khess, 2010). These academic demands can lead to high levels of stress and burnout in both groups, contributing to deteriorating mental health. B.Tech and B.Pharma students experience significant academic pressure, although the nature of these pressures differs between the two disciplines. Engineering students often face a curriculum dominated by complex technical subjects, frequent exams, and high expectations for innovation and problem-solving (Singh, 2017). In contrast, pharmacy students are required to master intricate medical knowledge, including pharmaceutical formulations, drug interactions, and clinical applications, often paired with rigorous laboratory work (Sahoo &amp; Khess, 2010). These academic demands can lead to high levels of stress and burnout in both groups, contributing to deteriorating mental health.</w:t>
      </w:r>
    </w:p>
    <w:p>
      <w:pPr>
        <w:pStyle w:val="BodyText"/>
        <w:spacing w:lineRule="auto" w:line="360"/>
        <w:ind w:firstLine="720"/>
        <w:jc w:val="both"/>
        <w:rPr>
          <w:rFonts w:ascii="Times New Roman" w:hAnsi="Times New Roman" w:cs="Times New Roman"/>
        </w:rPr>
      </w:pPr>
      <w:r>
        <w:rPr>
          <w:rFonts w:cs="Times New Roman" w:ascii="Times New Roman" w:hAnsi="Times New Roman"/>
        </w:rPr>
        <w:t>Studies have shown that up to 50% of Indian engineering students experience anxiety and depression due to overwhelming workloads and the pressure to excel in competitive exams such as the Graduate Aptitude Test in Engineering (GATE) (Singh, 2017). Similarly, B.Pharma students face stress related to maintaining high academic standards and securing internships or placements in an increasingly competitive pharmaceutical sector (Goyal et al., 2012). The difference in academic focus and structure between B.Tech and B.Pharma programs means that students in these fields may face unique challenges in managing stress and maintaining their mental health. In India, professional degrees like B.Tech and B.Pharma are often viewed as stepping stones to prestigious careers, further compounding the pressure on students. Parents and society generally expect engineering graduates to secure high-paying jobs in the technology sector, adding an additional layer of stress (Verma, Sharma, &amp; Larson, 2013). Pharmacy students, on the other hand, are expected to perform well in the healthcare sector, with the added pressure of pursuing higher studies or government jobs. Failure to meet these expectations can lead to feelings of inadequacy, anxiety, and depression.</w:t>
      </w:r>
    </w:p>
    <w:p>
      <w:pPr>
        <w:pStyle w:val="BodyText"/>
        <w:spacing w:lineRule="auto" w:line="360"/>
        <w:jc w:val="both"/>
        <w:rPr>
          <w:rFonts w:ascii="Times New Roman" w:hAnsi="Times New Roman" w:cs="Times New Roman"/>
        </w:rPr>
      </w:pPr>
      <w:r>
        <w:rPr>
          <w:rFonts w:cs="Times New Roman" w:ascii="Times New Roman" w:hAnsi="Times New Roman"/>
        </w:rPr>
        <w:tab/>
        <w:t xml:space="preserve">The mental health of B.Tech and B.Pharma students in Uttarakhand is a pressing issue that demands attention. Academic stress, social expectations, and limited access to mental health resources contribute to devolve mental well-being in both groups. There has been much research to suggest that depression, anxiety and stress found among students but only few had shown comparative Mental Health among B.Tech and B.Pharma students of Uttarakhand, With this background, this study was conducted to assess and compare the level of depression, anxiety, and stress among B.Tech and B.Pharma students of Uttarakhand. This study aims to explore the mental health of B.Tech and B.Pharma students in </w:t>
      </w:r>
      <w:bookmarkStart w:id="0" w:name="_GoBack"/>
      <w:bookmarkEnd w:id="0"/>
      <w:r>
        <w:rPr>
          <w:rStyle w:val="Strong"/>
          <w:rFonts w:cs="Times New Roman" w:ascii="Times New Roman" w:hAnsi="Times New Roman"/>
          <w:b w:val="false"/>
          <w:bCs w:val="false"/>
        </w:rPr>
        <w:t>Hemwati Nandan Bahuguna Garhwal University, Pauri District,Uttarakhand</w:t>
      </w:r>
      <w:r>
        <w:rPr>
          <w:rFonts w:cs="Times New Roman" w:ascii="Times New Roman" w:hAnsi="Times New Roman"/>
        </w:rPr>
        <w:t>.</w:t>
      </w:r>
    </w:p>
    <w:p>
      <w:pPr>
        <w:pStyle w:val="Normal"/>
        <w:spacing w:lineRule="auto" w:line="360"/>
        <w:jc w:val="both"/>
        <w:rPr>
          <w:rFonts w:ascii="Times New Roman" w:hAnsi="Times New Roman" w:eastAsia="NSimSun" w:cs="Times New Roman"/>
          <w:b/>
          <w:bCs/>
          <w:lang w:eastAsia="zh-CN" w:bidi="hi-IN"/>
        </w:rPr>
      </w:pPr>
      <w:r>
        <w:rPr>
          <w:rFonts w:eastAsia="NSimSun" w:cs="Times New Roman" w:ascii="Times New Roman" w:hAnsi="Times New Roman"/>
          <w:b/>
          <w:bCs/>
          <w:sz w:val="28"/>
          <w:szCs w:val="28"/>
          <w:lang w:eastAsia="zh-CN" w:bidi="hi-IN"/>
        </w:rPr>
        <w:t>OBJECTIVE</w:t>
      </w:r>
    </w:p>
    <w:p>
      <w:pPr>
        <w:pStyle w:val="Normal"/>
        <w:numPr>
          <w:ilvl w:val="0"/>
          <w:numId w:val="1"/>
        </w:numPr>
        <w:spacing w:lineRule="auto" w:line="360" w:before="0" w:after="0"/>
        <w:jc w:val="both"/>
        <w:rPr>
          <w:rFonts w:ascii="Times New Roman" w:hAnsi="Times New Roman" w:eastAsia="NSimSun" w:cs="Times New Roman"/>
          <w:lang w:eastAsia="zh-CN" w:bidi="hi-IN"/>
        </w:rPr>
      </w:pPr>
      <w:r>
        <w:rPr>
          <w:rFonts w:eastAsia="NSimSun" w:cs="Times New Roman" w:ascii="Times New Roman" w:hAnsi="Times New Roman"/>
          <w:lang w:eastAsia="zh-CN" w:bidi="hi-IN"/>
        </w:rPr>
        <w:t>To study the Emotional Stability of B.Tech and B.Pharma professional course students.</w:t>
      </w:r>
    </w:p>
    <w:p>
      <w:pPr>
        <w:pStyle w:val="Normal"/>
        <w:numPr>
          <w:ilvl w:val="0"/>
          <w:numId w:val="1"/>
        </w:numPr>
        <w:spacing w:lineRule="auto" w:line="360" w:before="0" w:after="0"/>
        <w:jc w:val="both"/>
        <w:rPr>
          <w:rFonts w:ascii="Times New Roman" w:hAnsi="Times New Roman" w:eastAsia="NSimSun" w:cs="Times New Roman"/>
          <w:lang w:eastAsia="zh-CN" w:bidi="hi-IN"/>
        </w:rPr>
      </w:pPr>
      <w:r>
        <w:rPr>
          <w:rFonts w:eastAsia="NSimSun" w:cs="Times New Roman" w:ascii="Times New Roman" w:hAnsi="Times New Roman"/>
          <w:lang w:eastAsia="zh-CN" w:bidi="hi-IN"/>
        </w:rPr>
        <w:t>To study Overall Adjustment levels in B.Tech and B.Pharma students.</w:t>
      </w:r>
    </w:p>
    <w:p>
      <w:pPr>
        <w:pStyle w:val="Normal"/>
        <w:numPr>
          <w:ilvl w:val="0"/>
          <w:numId w:val="1"/>
        </w:numPr>
        <w:spacing w:lineRule="auto" w:line="360" w:before="0" w:after="0"/>
        <w:jc w:val="both"/>
        <w:rPr>
          <w:rFonts w:ascii="Times New Roman" w:hAnsi="Times New Roman" w:eastAsia="NSimSun" w:cs="Times New Roman"/>
          <w:lang w:eastAsia="zh-CN" w:bidi="hi-IN"/>
        </w:rPr>
      </w:pPr>
      <w:r>
        <w:rPr>
          <w:rFonts w:eastAsia="NSimSun" w:cs="Times New Roman" w:ascii="Times New Roman" w:hAnsi="Times New Roman"/>
          <w:lang w:eastAsia="zh-CN" w:bidi="hi-IN"/>
        </w:rPr>
        <w:t>To study the Autonomy of B.Tech and B.Pharma students.</w:t>
      </w:r>
    </w:p>
    <w:p>
      <w:pPr>
        <w:pStyle w:val="Normal"/>
        <w:numPr>
          <w:ilvl w:val="0"/>
          <w:numId w:val="1"/>
        </w:numPr>
        <w:spacing w:lineRule="auto" w:line="360" w:before="0" w:after="0"/>
        <w:jc w:val="both"/>
        <w:rPr>
          <w:rFonts w:ascii="Times New Roman" w:hAnsi="Times New Roman" w:eastAsia="NSimSun" w:cs="Times New Roman"/>
          <w:lang w:eastAsia="zh-CN" w:bidi="hi-IN"/>
        </w:rPr>
      </w:pPr>
      <w:r>
        <w:rPr>
          <w:rFonts w:eastAsia="NSimSun" w:cs="Times New Roman" w:ascii="Times New Roman" w:hAnsi="Times New Roman"/>
          <w:lang w:eastAsia="zh-CN" w:bidi="hi-IN"/>
        </w:rPr>
        <w:t>To study the Security and Insecurity factors influencing B.Tech and B.Pharma students, comparing their feelings of safety and vulnerability.</w:t>
      </w:r>
    </w:p>
    <w:p>
      <w:pPr>
        <w:pStyle w:val="Normal"/>
        <w:numPr>
          <w:ilvl w:val="0"/>
          <w:numId w:val="1"/>
        </w:numPr>
        <w:spacing w:lineRule="auto" w:line="360" w:before="0" w:after="0"/>
        <w:jc w:val="both"/>
        <w:rPr>
          <w:rFonts w:ascii="Times New Roman" w:hAnsi="Times New Roman" w:eastAsia="NSimSun" w:cs="Times New Roman"/>
          <w:lang w:eastAsia="zh-CN" w:bidi="hi-IN"/>
        </w:rPr>
      </w:pPr>
      <w:r>
        <w:rPr>
          <w:rFonts w:eastAsia="NSimSun" w:cs="Times New Roman" w:ascii="Times New Roman" w:hAnsi="Times New Roman"/>
          <w:lang w:eastAsia="zh-CN" w:bidi="hi-IN"/>
        </w:rPr>
        <w:t>To study the Self-concept of B.Tech and B.Pharma students, examining whether both groups possess a similar understanding of their identity and self-worth.</w:t>
      </w:r>
    </w:p>
    <w:p>
      <w:pPr>
        <w:pStyle w:val="Normal"/>
        <w:numPr>
          <w:ilvl w:val="0"/>
          <w:numId w:val="1"/>
        </w:numPr>
        <w:spacing w:lineRule="auto" w:line="360" w:before="0" w:after="0"/>
        <w:jc w:val="both"/>
        <w:rPr>
          <w:rFonts w:ascii="Times New Roman" w:hAnsi="Times New Roman" w:eastAsia="NSimSun" w:cs="Times New Roman"/>
          <w:lang w:eastAsia="zh-CN" w:bidi="hi-IN"/>
        </w:rPr>
      </w:pPr>
      <w:r>
        <w:rPr>
          <w:rFonts w:eastAsia="NSimSun" w:cs="Times New Roman" w:ascii="Times New Roman" w:hAnsi="Times New Roman"/>
          <w:lang w:eastAsia="zh-CN" w:bidi="hi-IN"/>
        </w:rPr>
        <w:t>To study the Intelligence level of B.Tech and B.Pharma students.</w:t>
      </w:r>
    </w:p>
    <w:p>
      <w:pPr>
        <w:pStyle w:val="Normal"/>
        <w:numPr>
          <w:ilvl w:val="0"/>
          <w:numId w:val="1"/>
        </w:numPr>
        <w:spacing w:lineRule="auto" w:line="360" w:before="0" w:after="0"/>
        <w:jc w:val="both"/>
        <w:rPr>
          <w:rFonts w:ascii="Times New Roman" w:hAnsi="Times New Roman" w:eastAsia="NSimSun" w:cs="Times New Roman"/>
          <w:lang w:eastAsia="zh-CN" w:bidi="hi-IN"/>
        </w:rPr>
      </w:pPr>
      <w:r>
        <w:rPr>
          <w:rFonts w:eastAsia="NSimSun" w:cs="Times New Roman" w:ascii="Times New Roman" w:hAnsi="Times New Roman"/>
          <w:lang w:eastAsia="zh-CN" w:bidi="hi-IN"/>
        </w:rPr>
        <w:t>To study the Overall Mental Health of B.Tech and B.Pharma students.</w:t>
      </w:r>
    </w:p>
    <w:p>
      <w:pPr>
        <w:pStyle w:val="BodyText"/>
        <w:tabs>
          <w:tab w:val="clear" w:pos="720"/>
          <w:tab w:val="left" w:pos="1008" w:leader="none"/>
        </w:tabs>
        <w:spacing w:lineRule="auto" w:line="360" w:before="0" w:after="0"/>
        <w:jc w:val="both"/>
        <w:rPr>
          <w:rFonts w:ascii="Times New Roman" w:hAnsi="Times New Roman" w:cs="Times New Roman"/>
          <w:b/>
          <w:bCs/>
          <w:sz w:val="28"/>
          <w:szCs w:val="28"/>
        </w:rPr>
      </w:pPr>
      <w:r>
        <w:rPr>
          <w:rFonts w:cs="Times New Roman" w:ascii="Times New Roman" w:hAnsi="Times New Roman"/>
          <w:b/>
          <w:bCs/>
          <w:sz w:val="28"/>
          <w:szCs w:val="28"/>
        </w:rPr>
        <w:t>HYPOTHESIS</w:t>
      </w:r>
    </w:p>
    <w:p>
      <w:pPr>
        <w:pStyle w:val="BodyText"/>
        <w:numPr>
          <w:ilvl w:val="0"/>
          <w:numId w:val="14"/>
        </w:numPr>
        <w:tabs>
          <w:tab w:val="clear" w:pos="720"/>
          <w:tab w:val="left" w:pos="288" w:leader="none"/>
        </w:tabs>
        <w:spacing w:lineRule="auto" w:line="360" w:before="0" w:after="0"/>
        <w:ind w:hanging="283" w:left="709"/>
        <w:jc w:val="both"/>
        <w:rPr>
          <w:rFonts w:ascii="Times New Roman" w:hAnsi="Times New Roman" w:cs="Times New Roman"/>
        </w:rPr>
      </w:pPr>
      <w:r>
        <w:rPr>
          <w:rFonts w:cs="Times New Roman" w:ascii="Times New Roman" w:hAnsi="Times New Roman"/>
        </w:rPr>
        <w:t xml:space="preserve">No significant difference in emotional stability of B.Tech. and B.Pharma professional course students. </w:t>
      </w:r>
    </w:p>
    <w:p>
      <w:pPr>
        <w:pStyle w:val="BodyText"/>
        <w:numPr>
          <w:ilvl w:val="0"/>
          <w:numId w:val="15"/>
        </w:numPr>
        <w:tabs>
          <w:tab w:val="clear" w:pos="720"/>
          <w:tab w:val="left" w:pos="288" w:leader="none"/>
        </w:tabs>
        <w:spacing w:lineRule="auto" w:line="360" w:before="0" w:after="0"/>
        <w:ind w:hanging="283" w:left="709"/>
        <w:jc w:val="both"/>
        <w:rPr>
          <w:rFonts w:ascii="Times New Roman" w:hAnsi="Times New Roman" w:cs="Times New Roman"/>
        </w:rPr>
      </w:pPr>
      <w:r>
        <w:rPr>
          <w:rFonts w:cs="Times New Roman" w:ascii="Times New Roman" w:hAnsi="Times New Roman"/>
        </w:rPr>
        <w:t>No significant difference in Overall Adjustment of B.Tech. and B.Pharma professional course students.</w:t>
      </w:r>
    </w:p>
    <w:p>
      <w:pPr>
        <w:pStyle w:val="BodyText"/>
        <w:numPr>
          <w:ilvl w:val="0"/>
          <w:numId w:val="16"/>
        </w:numPr>
        <w:tabs>
          <w:tab w:val="clear" w:pos="720"/>
          <w:tab w:val="left" w:pos="288" w:leader="none"/>
        </w:tabs>
        <w:spacing w:lineRule="auto" w:line="360" w:before="0" w:after="0"/>
        <w:ind w:hanging="283" w:left="709"/>
        <w:jc w:val="both"/>
        <w:rPr>
          <w:rFonts w:ascii="Times New Roman" w:hAnsi="Times New Roman" w:cs="Times New Roman"/>
        </w:rPr>
      </w:pPr>
      <w:r>
        <w:rPr>
          <w:rFonts w:cs="Times New Roman" w:ascii="Times New Roman" w:hAnsi="Times New Roman"/>
        </w:rPr>
        <w:t>No significant difference in Autonomy of B.Tech. and B.Pharma professional course students.</w:t>
      </w:r>
    </w:p>
    <w:p>
      <w:pPr>
        <w:pStyle w:val="BodyText"/>
        <w:numPr>
          <w:ilvl w:val="0"/>
          <w:numId w:val="17"/>
        </w:numPr>
        <w:tabs>
          <w:tab w:val="clear" w:pos="720"/>
          <w:tab w:val="left" w:pos="288" w:leader="none"/>
        </w:tabs>
        <w:spacing w:lineRule="auto" w:line="360" w:before="0" w:after="0"/>
        <w:ind w:hanging="283" w:left="709"/>
        <w:jc w:val="both"/>
        <w:rPr>
          <w:rFonts w:ascii="Times New Roman" w:hAnsi="Times New Roman" w:cs="Times New Roman"/>
        </w:rPr>
      </w:pPr>
      <w:r>
        <w:rPr>
          <w:rFonts w:cs="Times New Roman" w:ascii="Times New Roman" w:hAnsi="Times New Roman"/>
        </w:rPr>
        <w:t>No significant difference in Security and Insecurity of B.Tech. and B.Pharma professional course students.</w:t>
      </w:r>
    </w:p>
    <w:p>
      <w:pPr>
        <w:pStyle w:val="BodyText"/>
        <w:numPr>
          <w:ilvl w:val="0"/>
          <w:numId w:val="18"/>
        </w:numPr>
        <w:tabs>
          <w:tab w:val="clear" w:pos="720"/>
          <w:tab w:val="left" w:pos="288" w:leader="none"/>
        </w:tabs>
        <w:spacing w:lineRule="auto" w:line="360" w:before="0" w:after="0"/>
        <w:ind w:hanging="283" w:left="709"/>
        <w:jc w:val="both"/>
        <w:rPr>
          <w:rFonts w:ascii="Times New Roman" w:hAnsi="Times New Roman" w:cs="Times New Roman"/>
        </w:rPr>
      </w:pPr>
      <w:r>
        <w:rPr>
          <w:rFonts w:cs="Times New Roman" w:ascii="Times New Roman" w:hAnsi="Times New Roman"/>
        </w:rPr>
        <w:t>No significant difference in Self-Concept of B.Tech. and B.Pharma professional course students.</w:t>
      </w:r>
    </w:p>
    <w:p>
      <w:pPr>
        <w:pStyle w:val="BodyText"/>
        <w:numPr>
          <w:ilvl w:val="0"/>
          <w:numId w:val="19"/>
        </w:numPr>
        <w:tabs>
          <w:tab w:val="clear" w:pos="720"/>
          <w:tab w:val="left" w:pos="288" w:leader="none"/>
        </w:tabs>
        <w:spacing w:lineRule="auto" w:line="360" w:before="0" w:after="0"/>
        <w:ind w:hanging="283" w:left="709"/>
        <w:jc w:val="both"/>
        <w:rPr>
          <w:rFonts w:ascii="Times New Roman" w:hAnsi="Times New Roman" w:cs="Times New Roman"/>
        </w:rPr>
      </w:pPr>
      <w:r>
        <w:rPr>
          <w:rFonts w:cs="Times New Roman" w:ascii="Times New Roman" w:hAnsi="Times New Roman"/>
        </w:rPr>
        <w:t>No significant difference in Intelligence of B.Tech. and B.Pharma professional course students.</w:t>
      </w:r>
    </w:p>
    <w:p>
      <w:pPr>
        <w:pStyle w:val="BodyText"/>
        <w:numPr>
          <w:ilvl w:val="0"/>
          <w:numId w:val="20"/>
        </w:numPr>
        <w:tabs>
          <w:tab w:val="clear" w:pos="720"/>
          <w:tab w:val="left" w:pos="288" w:leader="none"/>
        </w:tabs>
        <w:spacing w:lineRule="auto" w:line="360"/>
        <w:ind w:hanging="283" w:left="709"/>
        <w:jc w:val="both"/>
        <w:rPr>
          <w:rFonts w:ascii="Times New Roman" w:hAnsi="Times New Roman" w:cs="Times New Roman"/>
        </w:rPr>
      </w:pPr>
      <w:r>
        <w:rPr>
          <w:rFonts w:cs="Times New Roman" w:ascii="Times New Roman" w:hAnsi="Times New Roman"/>
        </w:rPr>
        <w:t>No significant difference in Overall Mental Health of B.Tech. and B.Pharma professional course students.</w:t>
      </w:r>
    </w:p>
    <w:p>
      <w:pPr>
        <w:pStyle w:val="Normal"/>
        <w:spacing w:lineRule="auto" w:line="240"/>
        <w:rPr>
          <w:rFonts w:ascii="Times New Roman" w:hAnsi="Times New Roman" w:eastAsia="NSimSun" w:cs="Times New Roman"/>
          <w:b/>
          <w:bCs/>
          <w:sz w:val="28"/>
          <w:szCs w:val="28"/>
          <w:lang w:eastAsia="zh-CN" w:bidi="hi-IN"/>
        </w:rPr>
      </w:pPr>
      <w:r>
        <w:rPr>
          <w:rFonts w:eastAsia="NSimSun" w:cs="Times New Roman" w:ascii="Times New Roman" w:hAnsi="Times New Roman"/>
          <w:b/>
          <w:bCs/>
          <w:sz w:val="28"/>
          <w:szCs w:val="28"/>
          <w:lang w:eastAsia="zh-CN" w:bidi="hi-IN"/>
        </w:rPr>
        <w:t>RESEARCH DESIGN</w:t>
      </w:r>
    </w:p>
    <w:p>
      <w:pPr>
        <w:pStyle w:val="Normal"/>
        <w:spacing w:lineRule="auto" w:line="360"/>
        <w:ind w:firstLine="720"/>
        <w:jc w:val="both"/>
        <w:rPr>
          <w:rFonts w:ascii="Times New Roman" w:hAnsi="Times New Roman" w:cs="Times New Roman"/>
          <w:lang w:val="en-US"/>
        </w:rPr>
      </w:pPr>
      <w:r>
        <w:rPr>
          <w:rFonts w:ascii="Times New Roman" w:hAnsi="Times New Roman"/>
        </w:rPr>
        <w:t>This research is based on Descriptive (Survey) Method which was held between the students in professional courses at two schools, School of Engineering and Technology and School of Sciences of HNB Garhwal Central University in Pauri Distrit. We focused on two courses: B.Tech. and B.Pharm. 120 s</w:t>
      </w:r>
      <w:r>
        <w:rPr>
          <w:rFonts w:cs="Times New Roman" w:ascii="Times New Roman" w:hAnsi="Times New Roman"/>
        </w:rPr>
        <w:t>tudents were selected through Simple Random Sampling (SRS) method from both Schools.</w:t>
      </w:r>
    </w:p>
    <w:p>
      <w:pPr>
        <w:pStyle w:val="BodyText"/>
        <w:spacing w:lineRule="auto" w:line="360"/>
        <w:jc w:val="both"/>
        <w:rPr>
          <w:rFonts w:ascii="Times New Roman" w:hAnsi="Times New Roman"/>
        </w:rPr>
      </w:pPr>
      <w:r>
        <w:rPr>
          <w:rFonts w:cs="Times New Roman" w:ascii="Times New Roman" w:hAnsi="Times New Roman"/>
          <w:lang w:val="en-US"/>
        </w:rPr>
        <w:tab/>
      </w:r>
      <w:r>
        <w:rPr>
          <w:rFonts w:ascii="Times New Roman" w:hAnsi="Times New Roman"/>
        </w:rPr>
        <w:t xml:space="preserve">The students were required to answer 130 questions based on the instructions in the "Mental Health Questionnaire as Mental Health Battery" by Arun Kumar Singh and Alpana Sen Gupta, which was used for this study. The questions in this tool are divided into six key areas that focus on important aspects of mental health. These areas are: </w:t>
      </w:r>
    </w:p>
    <w:tbl>
      <w:tblPr>
        <w:tblW w:w="691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1112"/>
        <w:gridCol w:w="3171"/>
        <w:gridCol w:w="2634"/>
      </w:tblGrid>
      <w:tr>
        <w:trPr/>
        <w:tc>
          <w:tcPr>
            <w:tcW w:w="1112"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285" w:leader="none"/>
              </w:tabs>
              <w:spacing w:lineRule="auto" w:line="240" w:before="0" w:after="0"/>
              <w:jc w:val="center"/>
              <w:rPr/>
            </w:pPr>
            <w:r>
              <w:rPr>
                <w:rFonts w:eastAsia="Calibri" w:cs="Times New Roman" w:ascii="Times New Roman" w:hAnsi="Times New Roman"/>
                <w:b/>
                <w:bCs/>
                <w:kern w:val="0"/>
              </w:rPr>
              <w:t>Part</w:t>
            </w:r>
          </w:p>
        </w:tc>
        <w:tc>
          <w:tcPr>
            <w:tcW w:w="3171"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285" w:leader="none"/>
              </w:tabs>
              <w:spacing w:lineRule="auto" w:line="240" w:before="0" w:after="0"/>
              <w:jc w:val="center"/>
              <w:rPr/>
            </w:pPr>
            <w:r>
              <w:rPr>
                <w:rFonts w:eastAsia="Calibri" w:cs="Times New Roman" w:ascii="Times New Roman" w:hAnsi="Times New Roman"/>
                <w:b/>
                <w:bCs/>
                <w:kern w:val="0"/>
              </w:rPr>
              <w:t>Area</w:t>
            </w:r>
          </w:p>
        </w:tc>
        <w:tc>
          <w:tcPr>
            <w:tcW w:w="263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285" w:leader="none"/>
              </w:tabs>
              <w:spacing w:lineRule="auto" w:line="240" w:before="0" w:after="0"/>
              <w:jc w:val="center"/>
              <w:rPr/>
            </w:pPr>
            <w:r>
              <w:rPr>
                <w:rFonts w:eastAsia="Calibri" w:cs="Times New Roman" w:ascii="Times New Roman" w:hAnsi="Times New Roman"/>
                <w:b/>
                <w:bCs/>
                <w:kern w:val="0"/>
              </w:rPr>
              <w:t>Total No. of Items</w:t>
            </w:r>
          </w:p>
        </w:tc>
      </w:tr>
      <w:tr>
        <w:trPr/>
        <w:tc>
          <w:tcPr>
            <w:tcW w:w="1112"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285" w:leader="none"/>
              </w:tabs>
              <w:spacing w:lineRule="auto" w:line="276" w:before="0" w:after="0"/>
              <w:jc w:val="center"/>
              <w:rPr/>
            </w:pPr>
            <w:r>
              <w:rPr>
                <w:rFonts w:eastAsia="Calibri" w:cs="Times New Roman" w:ascii="Times New Roman" w:hAnsi="Times New Roman"/>
                <w:kern w:val="0"/>
                <w:lang w:val="sv-SE"/>
              </w:rPr>
              <w:t>I</w:t>
            </w:r>
          </w:p>
          <w:p>
            <w:pPr>
              <w:pStyle w:val="Normal"/>
              <w:tabs>
                <w:tab w:val="clear" w:pos="720"/>
                <w:tab w:val="left" w:pos="285" w:leader="none"/>
              </w:tabs>
              <w:spacing w:lineRule="auto" w:line="276" w:before="0" w:after="0"/>
              <w:jc w:val="center"/>
              <w:rPr/>
            </w:pPr>
            <w:r>
              <w:rPr>
                <w:rFonts w:eastAsia="Calibri" w:cs="Times New Roman" w:ascii="Times New Roman" w:hAnsi="Times New Roman"/>
                <w:kern w:val="0"/>
                <w:lang w:val="sv-SE"/>
              </w:rPr>
              <w:t>II</w:t>
            </w:r>
          </w:p>
          <w:p>
            <w:pPr>
              <w:pStyle w:val="Normal"/>
              <w:tabs>
                <w:tab w:val="clear" w:pos="720"/>
                <w:tab w:val="left" w:pos="285" w:leader="none"/>
              </w:tabs>
              <w:spacing w:lineRule="auto" w:line="276" w:before="0" w:after="0"/>
              <w:jc w:val="center"/>
              <w:rPr/>
            </w:pPr>
            <w:r>
              <w:rPr>
                <w:rFonts w:eastAsia="Calibri" w:cs="Times New Roman" w:ascii="Times New Roman" w:hAnsi="Times New Roman"/>
                <w:kern w:val="0"/>
                <w:lang w:val="sv-SE"/>
              </w:rPr>
              <w:t>III</w:t>
            </w:r>
          </w:p>
          <w:p>
            <w:pPr>
              <w:pStyle w:val="Normal"/>
              <w:tabs>
                <w:tab w:val="clear" w:pos="720"/>
                <w:tab w:val="left" w:pos="285" w:leader="none"/>
              </w:tabs>
              <w:spacing w:lineRule="auto" w:line="276" w:before="0" w:after="0"/>
              <w:jc w:val="center"/>
              <w:rPr/>
            </w:pPr>
            <w:r>
              <w:rPr>
                <w:rFonts w:eastAsia="Calibri" w:cs="Times New Roman" w:ascii="Times New Roman" w:hAnsi="Times New Roman"/>
                <w:kern w:val="0"/>
                <w:lang w:val="sv-SE"/>
              </w:rPr>
              <w:t>IV</w:t>
            </w:r>
          </w:p>
          <w:p>
            <w:pPr>
              <w:pStyle w:val="Normal"/>
              <w:tabs>
                <w:tab w:val="clear" w:pos="720"/>
                <w:tab w:val="left" w:pos="285" w:leader="none"/>
              </w:tabs>
              <w:spacing w:lineRule="auto" w:line="276" w:before="0" w:after="0"/>
              <w:jc w:val="center"/>
              <w:rPr/>
            </w:pPr>
            <w:r>
              <w:rPr>
                <w:rFonts w:eastAsia="Calibri" w:cs="Times New Roman" w:ascii="Times New Roman" w:hAnsi="Times New Roman"/>
                <w:kern w:val="0"/>
                <w:lang w:val="sv-SE"/>
              </w:rPr>
              <w:t>V</w:t>
            </w:r>
          </w:p>
          <w:p>
            <w:pPr>
              <w:pStyle w:val="Normal"/>
              <w:tabs>
                <w:tab w:val="clear" w:pos="720"/>
                <w:tab w:val="left" w:pos="285" w:leader="none"/>
              </w:tabs>
              <w:spacing w:lineRule="auto" w:line="276" w:before="0" w:after="0"/>
              <w:jc w:val="center"/>
              <w:rPr/>
            </w:pPr>
            <w:r>
              <w:rPr>
                <w:rFonts w:eastAsia="Calibri" w:cs="Times New Roman" w:ascii="Times New Roman" w:hAnsi="Times New Roman"/>
                <w:kern w:val="0"/>
                <w:lang w:val="sv-SE"/>
              </w:rPr>
              <w:t>VI</w:t>
            </w:r>
          </w:p>
        </w:tc>
        <w:tc>
          <w:tcPr>
            <w:tcW w:w="3171"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285" w:leader="none"/>
              </w:tabs>
              <w:spacing w:lineRule="auto" w:line="276" w:before="0" w:after="0"/>
              <w:jc w:val="both"/>
              <w:rPr/>
            </w:pPr>
            <w:r>
              <w:rPr>
                <w:rFonts w:eastAsia="Calibri" w:cs="Times New Roman" w:ascii="Times New Roman" w:hAnsi="Times New Roman"/>
                <w:kern w:val="0"/>
              </w:rPr>
              <w:t>Emotional Stability</w:t>
            </w:r>
          </w:p>
          <w:p>
            <w:pPr>
              <w:pStyle w:val="Normal"/>
              <w:tabs>
                <w:tab w:val="clear" w:pos="720"/>
                <w:tab w:val="left" w:pos="285" w:leader="none"/>
              </w:tabs>
              <w:spacing w:lineRule="auto" w:line="276" w:before="0" w:after="0"/>
              <w:jc w:val="both"/>
              <w:rPr/>
            </w:pPr>
            <w:r>
              <w:rPr>
                <w:rFonts w:eastAsia="Calibri" w:cs="Times New Roman" w:ascii="Times New Roman" w:hAnsi="Times New Roman"/>
                <w:kern w:val="0"/>
              </w:rPr>
              <w:t>Overall Adjustment</w:t>
            </w:r>
          </w:p>
          <w:p>
            <w:pPr>
              <w:pStyle w:val="Normal"/>
              <w:tabs>
                <w:tab w:val="clear" w:pos="720"/>
                <w:tab w:val="left" w:pos="285" w:leader="none"/>
              </w:tabs>
              <w:spacing w:lineRule="auto" w:line="276" w:before="0" w:after="0"/>
              <w:jc w:val="both"/>
              <w:rPr/>
            </w:pPr>
            <w:r>
              <w:rPr>
                <w:rFonts w:eastAsia="Calibri" w:cs="Times New Roman" w:ascii="Times New Roman" w:hAnsi="Times New Roman"/>
                <w:kern w:val="0"/>
              </w:rPr>
              <w:t>Autonomy</w:t>
            </w:r>
          </w:p>
          <w:p>
            <w:pPr>
              <w:pStyle w:val="Normal"/>
              <w:tabs>
                <w:tab w:val="clear" w:pos="720"/>
                <w:tab w:val="left" w:pos="285" w:leader="none"/>
              </w:tabs>
              <w:spacing w:lineRule="auto" w:line="276" w:before="0" w:after="0"/>
              <w:jc w:val="both"/>
              <w:rPr/>
            </w:pPr>
            <w:r>
              <w:rPr>
                <w:rFonts w:eastAsia="Calibri" w:cs="Times New Roman" w:ascii="Times New Roman" w:hAnsi="Times New Roman"/>
                <w:kern w:val="0"/>
              </w:rPr>
              <w:t>Security and Insecurity</w:t>
            </w:r>
          </w:p>
          <w:p>
            <w:pPr>
              <w:pStyle w:val="Normal"/>
              <w:tabs>
                <w:tab w:val="clear" w:pos="720"/>
                <w:tab w:val="left" w:pos="285" w:leader="none"/>
              </w:tabs>
              <w:spacing w:lineRule="auto" w:line="276" w:before="0" w:after="0"/>
              <w:jc w:val="both"/>
              <w:rPr/>
            </w:pPr>
            <w:r>
              <w:rPr>
                <w:rFonts w:eastAsia="Calibri" w:cs="Times New Roman" w:ascii="Times New Roman" w:hAnsi="Times New Roman"/>
                <w:kern w:val="0"/>
              </w:rPr>
              <w:t>Self-Concept</w:t>
            </w:r>
          </w:p>
          <w:p>
            <w:pPr>
              <w:pStyle w:val="Normal"/>
              <w:tabs>
                <w:tab w:val="clear" w:pos="720"/>
                <w:tab w:val="left" w:pos="285" w:leader="none"/>
              </w:tabs>
              <w:spacing w:lineRule="auto" w:line="276" w:before="0" w:after="0"/>
              <w:jc w:val="both"/>
              <w:rPr/>
            </w:pPr>
            <w:r>
              <w:rPr>
                <w:rFonts w:eastAsia="Calibri" w:cs="Times New Roman" w:ascii="Times New Roman" w:hAnsi="Times New Roman"/>
                <w:kern w:val="0"/>
              </w:rPr>
              <w:t>Intelligence</w:t>
            </w:r>
          </w:p>
        </w:tc>
        <w:tc>
          <w:tcPr>
            <w:tcW w:w="263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285" w:leader="none"/>
              </w:tabs>
              <w:spacing w:lineRule="auto" w:line="276" w:before="0" w:after="0"/>
              <w:jc w:val="center"/>
              <w:rPr/>
            </w:pPr>
            <w:r>
              <w:rPr>
                <w:rFonts w:eastAsia="Calibri" w:cs="Times New Roman" w:ascii="Times New Roman" w:hAnsi="Times New Roman"/>
                <w:kern w:val="0"/>
              </w:rPr>
              <w:t>15</w:t>
            </w:r>
          </w:p>
          <w:p>
            <w:pPr>
              <w:pStyle w:val="Normal"/>
              <w:tabs>
                <w:tab w:val="clear" w:pos="720"/>
                <w:tab w:val="left" w:pos="285" w:leader="none"/>
              </w:tabs>
              <w:spacing w:lineRule="auto" w:line="276" w:before="0" w:after="0"/>
              <w:jc w:val="center"/>
              <w:rPr/>
            </w:pPr>
            <w:r>
              <w:rPr>
                <w:rFonts w:eastAsia="Calibri" w:cs="Times New Roman" w:ascii="Times New Roman" w:hAnsi="Times New Roman"/>
                <w:kern w:val="0"/>
              </w:rPr>
              <w:t>40</w:t>
            </w:r>
          </w:p>
          <w:p>
            <w:pPr>
              <w:pStyle w:val="Normal"/>
              <w:tabs>
                <w:tab w:val="clear" w:pos="720"/>
                <w:tab w:val="left" w:pos="285" w:leader="none"/>
              </w:tabs>
              <w:spacing w:lineRule="auto" w:line="276" w:before="0" w:after="0"/>
              <w:jc w:val="center"/>
              <w:rPr/>
            </w:pPr>
            <w:r>
              <w:rPr>
                <w:rFonts w:eastAsia="Calibri" w:cs="Times New Roman" w:ascii="Times New Roman" w:hAnsi="Times New Roman"/>
                <w:kern w:val="0"/>
              </w:rPr>
              <w:t>15</w:t>
            </w:r>
          </w:p>
          <w:p>
            <w:pPr>
              <w:pStyle w:val="Normal"/>
              <w:tabs>
                <w:tab w:val="clear" w:pos="720"/>
                <w:tab w:val="left" w:pos="285" w:leader="none"/>
              </w:tabs>
              <w:spacing w:lineRule="auto" w:line="276" w:before="0" w:after="0"/>
              <w:jc w:val="center"/>
              <w:rPr/>
            </w:pPr>
            <w:r>
              <w:rPr>
                <w:rFonts w:eastAsia="Calibri" w:cs="Times New Roman" w:ascii="Times New Roman" w:hAnsi="Times New Roman"/>
                <w:kern w:val="0"/>
              </w:rPr>
              <w:t>15</w:t>
            </w:r>
          </w:p>
          <w:p>
            <w:pPr>
              <w:pStyle w:val="Normal"/>
              <w:tabs>
                <w:tab w:val="clear" w:pos="720"/>
                <w:tab w:val="left" w:pos="285" w:leader="none"/>
              </w:tabs>
              <w:spacing w:lineRule="auto" w:line="276" w:before="0" w:after="0"/>
              <w:jc w:val="center"/>
              <w:rPr/>
            </w:pPr>
            <w:r>
              <w:rPr>
                <w:rFonts w:eastAsia="Calibri" w:cs="Times New Roman" w:ascii="Times New Roman" w:hAnsi="Times New Roman"/>
                <w:kern w:val="0"/>
              </w:rPr>
              <w:t>15</w:t>
            </w:r>
          </w:p>
          <w:p>
            <w:pPr>
              <w:pStyle w:val="Normal"/>
              <w:tabs>
                <w:tab w:val="clear" w:pos="720"/>
                <w:tab w:val="left" w:pos="285" w:leader="none"/>
              </w:tabs>
              <w:spacing w:lineRule="auto" w:line="276" w:before="0" w:after="0"/>
              <w:jc w:val="center"/>
              <w:rPr/>
            </w:pPr>
            <w:r>
              <w:rPr>
                <w:rFonts w:eastAsia="Calibri" w:cs="Times New Roman" w:ascii="Times New Roman" w:hAnsi="Times New Roman"/>
                <w:kern w:val="0"/>
              </w:rPr>
              <w:t>30</w:t>
            </w:r>
          </w:p>
        </w:tc>
      </w:tr>
      <w:tr>
        <w:trPr>
          <w:trHeight w:val="255" w:hRule="atLeast"/>
        </w:trPr>
        <w:tc>
          <w:tcPr>
            <w:tcW w:w="4283" w:type="dxa"/>
            <w:gridSpan w:val="2"/>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285" w:leader="none"/>
              </w:tabs>
              <w:spacing w:lineRule="auto" w:line="360" w:before="0" w:after="0"/>
              <w:jc w:val="center"/>
              <w:rPr>
                <w:rFonts w:ascii="Times New Roman" w:hAnsi="Times New Roman" w:cs="Times New Roman"/>
                <w:b/>
                <w:bCs/>
                <w:sz w:val="26"/>
                <w:szCs w:val="26"/>
              </w:rPr>
            </w:pPr>
            <w:r>
              <w:rPr>
                <w:rFonts w:eastAsia="Calibri" w:cs="Times New Roman" w:ascii="Times New Roman" w:hAnsi="Times New Roman"/>
                <w:b/>
                <w:bCs/>
                <w:kern w:val="0"/>
              </w:rPr>
              <w:t>Total</w:t>
            </w:r>
          </w:p>
        </w:tc>
        <w:tc>
          <w:tcPr>
            <w:tcW w:w="2634"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20"/>
                <w:tab w:val="left" w:pos="285" w:leader="none"/>
              </w:tabs>
              <w:spacing w:lineRule="auto" w:line="360" w:before="0" w:after="0"/>
              <w:jc w:val="center"/>
              <w:rPr>
                <w:rFonts w:ascii="Times New Roman" w:hAnsi="Times New Roman" w:cs="Times New Roman"/>
                <w:b/>
                <w:bCs/>
                <w:sz w:val="26"/>
                <w:szCs w:val="26"/>
              </w:rPr>
            </w:pPr>
            <w:r>
              <w:rPr>
                <w:rFonts w:eastAsia="Calibri" w:cs="Times New Roman" w:ascii="Times New Roman" w:hAnsi="Times New Roman"/>
                <w:b/>
                <w:bCs/>
                <w:kern w:val="0"/>
              </w:rPr>
              <w:t>130</w:t>
            </w:r>
          </w:p>
        </w:tc>
      </w:tr>
    </w:tbl>
    <w:p>
      <w:pPr>
        <w:pStyle w:val="BodyText"/>
        <w:spacing w:lineRule="auto" w:line="360"/>
        <w:jc w:val="center"/>
        <w:rPr>
          <w:rFonts w:ascii="Times New Roman" w:hAnsi="Times New Roman"/>
          <w:b/>
          <w:bCs/>
        </w:rPr>
      </w:pPr>
      <w:r>
        <w:rPr>
          <w:rFonts w:ascii="Times New Roman" w:hAnsi="Times New Roman"/>
          <w:b/>
          <w:bCs/>
        </w:rPr>
        <w:t>TABLE 1</w:t>
      </w:r>
    </w:p>
    <w:p>
      <w:pPr>
        <w:pStyle w:val="BodyText"/>
        <w:tabs>
          <w:tab w:val="clear" w:pos="720"/>
          <w:tab w:val="left" w:pos="684" w:leader="none"/>
          <w:tab w:val="left" w:pos="1416" w:leader="none"/>
          <w:tab w:val="left" w:pos="3324" w:leader="none"/>
          <w:tab w:val="left" w:pos="3504" w:leader="none"/>
          <w:tab w:val="left" w:pos="3540" w:leader="none"/>
          <w:tab w:val="left" w:pos="3684" w:leader="none"/>
        </w:tabs>
        <w:spacing w:lineRule="auto" w:line="360" w:before="0" w:after="26"/>
        <w:rPr>
          <w:rFonts w:ascii="Times New Roman" w:hAnsi="Times New Roman" w:cs="Times New Roman"/>
          <w:b/>
          <w:bCs/>
        </w:rPr>
      </w:pPr>
      <w:r>
        <w:rPr>
          <w:rFonts w:cs="Times New Roman" w:ascii="Times New Roman" w:hAnsi="Times New Roman"/>
          <w:b/>
          <w:bCs/>
          <w:sz w:val="28"/>
          <w:szCs w:val="28"/>
        </w:rPr>
        <w:t>STATISTICAL TECHNIQUE</w:t>
      </w:r>
    </w:p>
    <w:p>
      <w:pPr>
        <w:pStyle w:val="BodyText"/>
        <w:tabs>
          <w:tab w:val="clear" w:pos="720"/>
          <w:tab w:val="left" w:pos="684" w:leader="none"/>
          <w:tab w:val="left" w:pos="1416" w:leader="none"/>
          <w:tab w:val="left" w:pos="3324" w:leader="none"/>
          <w:tab w:val="left" w:pos="3504" w:leader="none"/>
          <w:tab w:val="left" w:pos="3540" w:leader="none"/>
          <w:tab w:val="left" w:pos="3684" w:leader="none"/>
        </w:tabs>
        <w:spacing w:lineRule="auto" w:line="360"/>
        <w:jc w:val="both"/>
        <w:rPr>
          <w:rFonts w:ascii="Times New Roman" w:hAnsi="Times New Roman" w:cs="Times New Roman"/>
        </w:rPr>
      </w:pPr>
      <w:r>
        <w:rPr>
          <w:rFonts w:cs="Times New Roman" w:ascii="Times New Roman" w:hAnsi="Times New Roman"/>
        </w:rPr>
        <w:tab/>
        <w:t>To analyse the data, a T-test was used to compare the means of two independent groups: B.Tech and B.Pharma students. This test helped determine whether there was a statistically significant difference between the two groups in terms of emotional stability, adjustment, autonomy, and other mental health factors. Since the groups were unpaired, the independent T-test was suitable for comparing their average scores. It provided insights into whether the observed differences in mental health aspects were due to random chance or were significant..</w:t>
      </w:r>
    </w:p>
    <w:p>
      <w:pPr>
        <w:pStyle w:val="BodyText"/>
        <w:tabs>
          <w:tab w:val="clear" w:pos="720"/>
          <w:tab w:val="left" w:pos="684" w:leader="none"/>
          <w:tab w:val="left" w:pos="1416" w:leader="none"/>
          <w:tab w:val="left" w:pos="3324" w:leader="none"/>
          <w:tab w:val="left" w:pos="3504" w:leader="none"/>
          <w:tab w:val="left" w:pos="3540" w:leader="none"/>
          <w:tab w:val="left" w:pos="3684" w:leader="none"/>
        </w:tabs>
        <w:spacing w:lineRule="auto" w:line="360"/>
        <w:rPr>
          <w:rFonts w:ascii="Times New Roman" w:hAnsi="Times New Roman" w:cs="Times New Roman"/>
          <w:b/>
          <w:bCs/>
          <w:sz w:val="28"/>
          <w:szCs w:val="28"/>
        </w:rPr>
      </w:pPr>
      <w:r>
        <w:rPr>
          <w:rFonts w:cs="Times New Roman" w:ascii="Times New Roman" w:hAnsi="Times New Roman"/>
          <w:b/>
          <w:bCs/>
          <w:sz w:val="28"/>
          <w:szCs w:val="28"/>
        </w:rPr>
        <w:t>DATA ANALYSIS AND INTERPRETATION</w:t>
      </w:r>
    </w:p>
    <w:p>
      <w:pPr>
        <w:pStyle w:val="BodyText"/>
        <w:tabs>
          <w:tab w:val="clear" w:pos="720"/>
          <w:tab w:val="left" w:pos="288" w:leader="none"/>
        </w:tabs>
        <w:spacing w:lineRule="auto" w:line="360"/>
        <w:jc w:val="both"/>
        <w:rPr/>
      </w:pPr>
      <w:r>
        <w:rPr>
          <w:rFonts w:ascii="Times New Roman" w:hAnsi="Times New Roman"/>
        </w:rPr>
        <w:t>The collected data was analysed by using the Statistical Package of Excel Microsoft 365 (2022) and analysed data for all six dimensions is presented in tables below:</w:t>
      </w:r>
    </w:p>
    <w:p>
      <w:pPr>
        <w:pStyle w:val="Normal"/>
        <w:spacing w:lineRule="auto" w:line="360"/>
        <w:rPr>
          <w:b/>
          <w:bCs/>
        </w:rPr>
      </w:pPr>
      <w:r>
        <w:rPr>
          <w:rFonts w:ascii="Times New Roman" w:hAnsi="Times New Roman"/>
          <w:b/>
          <w:bCs/>
        </w:rPr>
        <w:t>1.Emotional Stability:</w:t>
      </w:r>
    </w:p>
    <w:tbl>
      <w:tblPr>
        <w:tblW w:w="7308" w:type="dxa"/>
        <w:jc w:val="center"/>
        <w:tblInd w:w="0" w:type="dxa"/>
        <w:tblLayout w:type="fixed"/>
        <w:tblCellMar>
          <w:top w:w="0" w:type="dxa"/>
          <w:left w:w="28" w:type="dxa"/>
          <w:bottom w:w="0" w:type="dxa"/>
          <w:right w:w="28" w:type="dxa"/>
        </w:tblCellMar>
        <w:tblLook w:firstRow="1" w:noVBand="1" w:lastRow="0" w:firstColumn="1" w:lastColumn="0" w:noHBand="0" w:val="04a0"/>
      </w:tblPr>
      <w:tblGrid>
        <w:gridCol w:w="1645"/>
        <w:gridCol w:w="1018"/>
        <w:gridCol w:w="1248"/>
        <w:gridCol w:w="853"/>
        <w:gridCol w:w="899"/>
        <w:gridCol w:w="1644"/>
      </w:tblGrid>
      <w:tr>
        <w:trPr>
          <w:trHeight w:val="452" w:hRule="atLeast"/>
        </w:trPr>
        <w:tc>
          <w:tcPr>
            <w:tcW w:w="1645" w:type="dxa"/>
            <w:tcBorders>
              <w:top w:val="single" w:sz="6" w:space="0" w:color="000000"/>
              <w:bottom w:val="single" w:sz="6" w:space="0" w:color="000000"/>
            </w:tcBorders>
            <w:vAlign w:val="center"/>
          </w:tcPr>
          <w:p>
            <w:pPr>
              <w:pStyle w:val="Normal"/>
              <w:spacing w:lineRule="auto" w:line="240" w:before="0" w:after="160"/>
              <w:jc w:val="center"/>
              <w:rPr/>
            </w:pPr>
            <w:r>
              <w:rPr>
                <w:rFonts w:ascii="Times New Roman" w:hAnsi="Times New Roman"/>
                <w:b/>
                <w:i/>
                <w:iCs/>
                <w:color w:val="000000"/>
              </w:rPr>
              <w:t>Group</w:t>
            </w:r>
          </w:p>
        </w:tc>
        <w:tc>
          <w:tcPr>
            <w:tcW w:w="1018" w:type="dxa"/>
            <w:tcBorders>
              <w:top w:val="single" w:sz="6" w:space="0" w:color="000000"/>
              <w:bottom w:val="single" w:sz="6" w:space="0" w:color="000000"/>
            </w:tcBorders>
            <w:vAlign w:val="center"/>
          </w:tcPr>
          <w:p>
            <w:pPr>
              <w:pStyle w:val="Normal"/>
              <w:spacing w:lineRule="auto" w:line="240" w:before="0" w:after="160"/>
              <w:jc w:val="center"/>
              <w:rPr/>
            </w:pPr>
            <w:r>
              <w:rPr>
                <w:rFonts w:ascii="Times New Roman" w:hAnsi="Times New Roman"/>
                <w:b/>
                <w:i/>
                <w:iCs/>
                <w:color w:val="000000"/>
              </w:rPr>
              <w:t>Mean</w:t>
            </w:r>
          </w:p>
        </w:tc>
        <w:tc>
          <w:tcPr>
            <w:tcW w:w="1248" w:type="dxa"/>
            <w:tcBorders>
              <w:top w:val="single" w:sz="6" w:space="0" w:color="000000"/>
              <w:bottom w:val="single" w:sz="6" w:space="0" w:color="000000"/>
            </w:tcBorders>
            <w:vAlign w:val="center"/>
          </w:tcPr>
          <w:p>
            <w:pPr>
              <w:pStyle w:val="Normal"/>
              <w:spacing w:lineRule="auto" w:line="240" w:before="0" w:after="160"/>
              <w:jc w:val="center"/>
              <w:rPr/>
            </w:pPr>
            <w:r>
              <w:rPr>
                <w:rFonts w:ascii="Times New Roman" w:hAnsi="Times New Roman"/>
                <w:b/>
                <w:i/>
                <w:iCs/>
                <w:color w:val="000000"/>
              </w:rPr>
              <w:t>SD</w:t>
            </w:r>
          </w:p>
        </w:tc>
        <w:tc>
          <w:tcPr>
            <w:tcW w:w="853" w:type="dxa"/>
            <w:tcBorders>
              <w:top w:val="single" w:sz="6" w:space="0" w:color="000000"/>
              <w:bottom w:val="single" w:sz="6" w:space="0" w:color="000000"/>
            </w:tcBorders>
            <w:vAlign w:val="center"/>
          </w:tcPr>
          <w:p>
            <w:pPr>
              <w:pStyle w:val="Normal"/>
              <w:spacing w:lineRule="auto" w:line="240" w:before="0" w:after="160"/>
              <w:jc w:val="center"/>
              <w:rPr/>
            </w:pPr>
            <w:r>
              <w:rPr>
                <w:rFonts w:ascii="Times New Roman" w:hAnsi="Times New Roman"/>
                <w:b/>
                <w:i/>
                <w:iCs/>
                <w:color w:val="000000"/>
              </w:rPr>
              <w:t>t</w:t>
            </w:r>
          </w:p>
        </w:tc>
        <w:tc>
          <w:tcPr>
            <w:tcW w:w="899" w:type="dxa"/>
            <w:tcBorders>
              <w:top w:val="single" w:sz="6" w:space="0" w:color="000000"/>
              <w:bottom w:val="single" w:sz="6" w:space="0" w:color="000000"/>
            </w:tcBorders>
            <w:vAlign w:val="center"/>
          </w:tcPr>
          <w:p>
            <w:pPr>
              <w:pStyle w:val="Normal"/>
              <w:spacing w:lineRule="auto" w:line="240" w:before="0" w:after="160"/>
              <w:jc w:val="center"/>
              <w:rPr/>
            </w:pPr>
            <w:r>
              <w:rPr>
                <w:rFonts w:ascii="Times New Roman" w:hAnsi="Times New Roman"/>
                <w:b/>
                <w:i/>
                <w:iCs/>
                <w:color w:val="000000"/>
              </w:rPr>
              <w:t>df</w:t>
            </w:r>
          </w:p>
        </w:tc>
        <w:tc>
          <w:tcPr>
            <w:tcW w:w="1644" w:type="dxa"/>
            <w:tcBorders>
              <w:top w:val="single" w:sz="6" w:space="0" w:color="000000"/>
              <w:bottom w:val="single" w:sz="6" w:space="0" w:color="000000"/>
            </w:tcBorders>
            <w:vAlign w:val="center"/>
          </w:tcPr>
          <w:p>
            <w:pPr>
              <w:pStyle w:val="Normal"/>
              <w:spacing w:lineRule="auto" w:line="240" w:before="0" w:after="160"/>
              <w:jc w:val="center"/>
              <w:rPr/>
            </w:pPr>
            <w:r>
              <w:rPr>
                <w:rFonts w:ascii="Times New Roman" w:hAnsi="Times New Roman"/>
                <w:b/>
                <w:i/>
                <w:iCs/>
                <w:color w:val="000000"/>
              </w:rPr>
              <w:t>P</w:t>
            </w:r>
          </w:p>
        </w:tc>
      </w:tr>
      <w:tr>
        <w:trPr>
          <w:trHeight w:val="396" w:hRule="atLeast"/>
        </w:trPr>
        <w:tc>
          <w:tcPr>
            <w:tcW w:w="1645" w:type="dxa"/>
            <w:tcBorders/>
            <w:vAlign w:val="center"/>
          </w:tcPr>
          <w:p>
            <w:pPr>
              <w:pStyle w:val="Normal"/>
              <w:spacing w:lineRule="auto" w:line="240" w:before="0" w:after="160"/>
              <w:jc w:val="center"/>
              <w:rPr/>
            </w:pPr>
            <w:r>
              <w:rPr>
                <w:rFonts w:ascii="Times New Roman" w:hAnsi="Times New Roman"/>
                <w:b/>
                <w:color w:val="000000"/>
              </w:rPr>
              <w:t>B. Tech</w:t>
            </w:r>
          </w:p>
        </w:tc>
        <w:tc>
          <w:tcPr>
            <w:tcW w:w="1018" w:type="dxa"/>
            <w:tcBorders/>
            <w:vAlign w:val="center"/>
          </w:tcPr>
          <w:p>
            <w:pPr>
              <w:pStyle w:val="Normal"/>
              <w:spacing w:lineRule="auto" w:line="240" w:before="0" w:after="160"/>
              <w:jc w:val="center"/>
              <w:rPr/>
            </w:pPr>
            <w:r>
              <w:rPr>
                <w:rFonts w:ascii="Times New Roman" w:hAnsi="Times New Roman"/>
                <w:color w:val="000000"/>
              </w:rPr>
              <w:t>10.22</w:t>
            </w:r>
          </w:p>
        </w:tc>
        <w:tc>
          <w:tcPr>
            <w:tcW w:w="1248" w:type="dxa"/>
            <w:tcBorders/>
            <w:vAlign w:val="center"/>
          </w:tcPr>
          <w:p>
            <w:pPr>
              <w:pStyle w:val="Normal"/>
              <w:spacing w:lineRule="auto" w:line="240" w:before="0" w:after="160"/>
              <w:jc w:val="center"/>
              <w:rPr/>
            </w:pPr>
            <w:r>
              <w:rPr>
                <w:rFonts w:ascii="Times New Roman" w:hAnsi="Times New Roman"/>
                <w:color w:val="000000"/>
              </w:rPr>
              <w:t>1.89</w:t>
            </w:r>
          </w:p>
        </w:tc>
        <w:tc>
          <w:tcPr>
            <w:tcW w:w="853" w:type="dxa"/>
            <w:vMerge w:val="restart"/>
            <w:tcBorders>
              <w:bottom w:val="single" w:sz="6" w:space="0" w:color="000000"/>
            </w:tcBorders>
            <w:vAlign w:val="center"/>
          </w:tcPr>
          <w:p>
            <w:pPr>
              <w:pStyle w:val="Normal"/>
              <w:spacing w:lineRule="auto" w:line="240" w:before="0" w:after="160"/>
              <w:jc w:val="center"/>
              <w:rPr/>
            </w:pPr>
            <w:r>
              <w:rPr>
                <w:rFonts w:ascii="Times New Roman" w:hAnsi="Times New Roman"/>
                <w:color w:val="000000"/>
              </w:rPr>
              <w:t>3.22</w:t>
            </w:r>
          </w:p>
        </w:tc>
        <w:tc>
          <w:tcPr>
            <w:tcW w:w="899" w:type="dxa"/>
            <w:vMerge w:val="restart"/>
            <w:tcBorders>
              <w:bottom w:val="single" w:sz="6" w:space="0" w:color="000000"/>
            </w:tcBorders>
            <w:vAlign w:val="center"/>
          </w:tcPr>
          <w:p>
            <w:pPr>
              <w:pStyle w:val="Normal"/>
              <w:spacing w:lineRule="auto" w:line="240" w:before="0" w:after="160"/>
              <w:jc w:val="center"/>
              <w:rPr/>
            </w:pPr>
            <w:r>
              <w:rPr>
                <w:rFonts w:ascii="Times New Roman" w:hAnsi="Times New Roman"/>
                <w:color w:val="000000"/>
              </w:rPr>
              <w:t>118</w:t>
            </w:r>
          </w:p>
        </w:tc>
        <w:tc>
          <w:tcPr>
            <w:tcW w:w="1644" w:type="dxa"/>
            <w:vMerge w:val="restart"/>
            <w:tcBorders>
              <w:bottom w:val="single" w:sz="6" w:space="0" w:color="000000"/>
            </w:tcBorders>
            <w:vAlign w:val="center"/>
          </w:tcPr>
          <w:p>
            <w:pPr>
              <w:pStyle w:val="Normal"/>
              <w:spacing w:lineRule="auto" w:line="240" w:before="0" w:after="160"/>
              <w:jc w:val="center"/>
              <w:rPr/>
            </w:pPr>
            <w:r>
              <w:rPr>
                <w:rFonts w:ascii="Times New Roman" w:hAnsi="Times New Roman"/>
                <w:color w:val="000000"/>
              </w:rPr>
              <w:t>0.00083</w:t>
            </w:r>
          </w:p>
        </w:tc>
      </w:tr>
      <w:tr>
        <w:trPr>
          <w:trHeight w:val="396" w:hRule="atLeast"/>
        </w:trPr>
        <w:tc>
          <w:tcPr>
            <w:tcW w:w="1645" w:type="dxa"/>
            <w:tcBorders>
              <w:bottom w:val="single" w:sz="6" w:space="0" w:color="000000"/>
            </w:tcBorders>
            <w:vAlign w:val="center"/>
          </w:tcPr>
          <w:p>
            <w:pPr>
              <w:pStyle w:val="Normal"/>
              <w:spacing w:lineRule="auto" w:line="240" w:before="0" w:after="160"/>
              <w:jc w:val="center"/>
              <w:rPr/>
            </w:pPr>
            <w:r>
              <w:rPr>
                <w:rFonts w:ascii="Times New Roman" w:hAnsi="Times New Roman"/>
                <w:b/>
                <w:color w:val="000000"/>
              </w:rPr>
              <w:t>B. Pharma</w:t>
            </w:r>
          </w:p>
        </w:tc>
        <w:tc>
          <w:tcPr>
            <w:tcW w:w="1018" w:type="dxa"/>
            <w:tcBorders>
              <w:bottom w:val="single" w:sz="6" w:space="0" w:color="000000"/>
            </w:tcBorders>
            <w:vAlign w:val="center"/>
          </w:tcPr>
          <w:p>
            <w:pPr>
              <w:pStyle w:val="Normal"/>
              <w:spacing w:lineRule="auto" w:line="240" w:before="0" w:after="160"/>
              <w:jc w:val="center"/>
              <w:rPr/>
            </w:pPr>
            <w:r>
              <w:rPr>
                <w:rFonts w:ascii="Times New Roman" w:hAnsi="Times New Roman"/>
                <w:color w:val="000000"/>
              </w:rPr>
              <w:t>9.08</w:t>
            </w:r>
          </w:p>
        </w:tc>
        <w:tc>
          <w:tcPr>
            <w:tcW w:w="1248" w:type="dxa"/>
            <w:tcBorders>
              <w:bottom w:val="single" w:sz="6" w:space="0" w:color="000000"/>
            </w:tcBorders>
            <w:vAlign w:val="center"/>
          </w:tcPr>
          <w:p>
            <w:pPr>
              <w:pStyle w:val="Normal"/>
              <w:spacing w:lineRule="auto" w:line="240" w:before="0" w:after="160"/>
              <w:jc w:val="center"/>
              <w:rPr/>
            </w:pPr>
            <w:r>
              <w:rPr>
                <w:rFonts w:ascii="Times New Roman" w:hAnsi="Times New Roman"/>
                <w:color w:val="000000"/>
              </w:rPr>
              <w:t>1.96</w:t>
            </w:r>
          </w:p>
        </w:tc>
        <w:tc>
          <w:tcPr>
            <w:tcW w:w="853" w:type="dxa"/>
            <w:vMerge w:val="continue"/>
            <w:tcBorders>
              <w:bottom w:val="single" w:sz="6" w:space="0" w:color="000000"/>
            </w:tcBorders>
            <w:vAlign w:val="center"/>
          </w:tcPr>
          <w:p>
            <w:pPr>
              <w:pStyle w:val="Normal"/>
              <w:spacing w:lineRule="auto" w:line="240" w:before="0" w:after="160"/>
              <w:jc w:val="center"/>
              <w:rPr>
                <w:rFonts w:ascii="Aptos Narrow" w:hAnsi="Aptos Narrow"/>
                <w:color w:val="000000"/>
                <w:sz w:val="22"/>
              </w:rPr>
            </w:pPr>
            <w:r>
              <w:rPr>
                <w:rFonts w:ascii="Aptos Narrow" w:hAnsi="Aptos Narrow"/>
                <w:color w:val="000000"/>
                <w:sz w:val="22"/>
              </w:rPr>
            </w:r>
          </w:p>
        </w:tc>
        <w:tc>
          <w:tcPr>
            <w:tcW w:w="899" w:type="dxa"/>
            <w:vMerge w:val="continue"/>
            <w:tcBorders>
              <w:bottom w:val="single" w:sz="6" w:space="0" w:color="000000"/>
            </w:tcBorders>
            <w:vAlign w:val="center"/>
          </w:tcPr>
          <w:p>
            <w:pPr>
              <w:pStyle w:val="Normal"/>
              <w:spacing w:lineRule="auto" w:line="240" w:before="0" w:after="160"/>
              <w:jc w:val="center"/>
              <w:rPr>
                <w:rFonts w:ascii="Aptos Narrow" w:hAnsi="Aptos Narrow"/>
                <w:color w:val="000000"/>
                <w:sz w:val="22"/>
              </w:rPr>
            </w:pPr>
            <w:r>
              <w:rPr>
                <w:rFonts w:ascii="Aptos Narrow" w:hAnsi="Aptos Narrow"/>
                <w:color w:val="000000"/>
                <w:sz w:val="22"/>
              </w:rPr>
            </w:r>
          </w:p>
        </w:tc>
        <w:tc>
          <w:tcPr>
            <w:tcW w:w="1644" w:type="dxa"/>
            <w:vMerge w:val="continue"/>
            <w:tcBorders>
              <w:bottom w:val="single" w:sz="6" w:space="0" w:color="000000"/>
            </w:tcBorders>
            <w:vAlign w:val="center"/>
          </w:tcPr>
          <w:p>
            <w:pPr>
              <w:pStyle w:val="Normal"/>
              <w:spacing w:lineRule="auto" w:line="240" w:before="0" w:after="160"/>
              <w:jc w:val="center"/>
              <w:rPr>
                <w:rFonts w:ascii="Aptos Narrow" w:hAnsi="Aptos Narrow"/>
                <w:color w:val="000000"/>
                <w:sz w:val="22"/>
              </w:rPr>
            </w:pPr>
            <w:r>
              <w:rPr>
                <w:rFonts w:ascii="Aptos Narrow" w:hAnsi="Aptos Narrow"/>
                <w:color w:val="000000"/>
                <w:sz w:val="22"/>
              </w:rPr>
            </w:r>
          </w:p>
        </w:tc>
      </w:tr>
    </w:tbl>
    <w:p>
      <w:pPr>
        <w:pStyle w:val="Normal"/>
        <w:spacing w:lineRule="auto" w:line="360"/>
        <w:jc w:val="center"/>
        <w:rPr>
          <w:rFonts w:ascii="Aptos Narrow" w:hAnsi="Aptos Narrow"/>
          <w:color w:val="000000"/>
          <w:sz w:val="22"/>
        </w:rPr>
      </w:pPr>
      <w:r>
        <w:rPr>
          <w:rFonts w:ascii="Times New Roman" w:hAnsi="Times New Roman"/>
          <w:b/>
          <w:bCs/>
          <w:color w:val="000000"/>
        </w:rPr>
        <w:t>TABLE 2</w:t>
      </w:r>
    </w:p>
    <w:p>
      <w:pPr>
        <w:pStyle w:val="Normal"/>
        <w:spacing w:lineRule="auto" w:line="360"/>
        <w:jc w:val="both"/>
        <w:rPr>
          <w:rFonts w:ascii="Times New Roman" w:hAnsi="Times New Roman"/>
        </w:rPr>
      </w:pPr>
      <w:r>
        <w:rPr>
          <w:rFonts w:ascii="Times New Roman" w:hAnsi="Times New Roman"/>
        </w:rPr>
        <w:tab/>
        <w:t xml:space="preserve">To test the Null hypothesis for </w:t>
      </w:r>
      <w:r>
        <w:rPr>
          <w:rFonts w:ascii="Times New Roman" w:hAnsi="Times New Roman"/>
          <w:b/>
          <w:bCs/>
        </w:rPr>
        <w:t>Emotional Stability,</w:t>
      </w:r>
      <w:r>
        <w:rPr>
          <w:rFonts w:ascii="Times New Roman" w:hAnsi="Times New Roman"/>
        </w:rPr>
        <w:t xml:space="preserve"> a t-test was conducted between two independent groups. As shown in Table 2, the average emotional stability score of B.Tech students (</w:t>
      </w:r>
      <w:r>
        <w:rPr>
          <w:rFonts w:ascii="Times New Roman" w:hAnsi="Times New Roman"/>
          <w:b/>
          <w:bCs/>
        </w:rPr>
        <w:t>M</w:t>
      </w:r>
      <w:r>
        <w:rPr>
          <w:rFonts w:ascii="Times New Roman" w:hAnsi="Times New Roman"/>
        </w:rPr>
        <w:t xml:space="preserve"> = 10.22, </w:t>
      </w:r>
      <w:r>
        <w:rPr>
          <w:rFonts w:ascii="Times New Roman" w:hAnsi="Times New Roman"/>
          <w:b/>
          <w:bCs/>
        </w:rPr>
        <w:t>SD</w:t>
      </w:r>
      <w:r>
        <w:rPr>
          <w:rFonts w:ascii="Times New Roman" w:hAnsi="Times New Roman"/>
        </w:rPr>
        <w:t xml:space="preserve"> = 1.89) was significantly higher than that of B.Pharma students (</w:t>
      </w:r>
      <w:r>
        <w:rPr>
          <w:rFonts w:ascii="Times New Roman" w:hAnsi="Times New Roman"/>
          <w:b/>
          <w:bCs/>
        </w:rPr>
        <w:t>M</w:t>
      </w:r>
      <w:r>
        <w:rPr>
          <w:rFonts w:ascii="Times New Roman" w:hAnsi="Times New Roman"/>
        </w:rPr>
        <w:t xml:space="preserve"> = 9.08, </w:t>
      </w:r>
      <w:r>
        <w:rPr>
          <w:rFonts w:ascii="Times New Roman" w:hAnsi="Times New Roman"/>
          <w:b/>
          <w:bCs/>
        </w:rPr>
        <w:t>SD</w:t>
      </w:r>
      <w:r>
        <w:rPr>
          <w:rFonts w:ascii="Times New Roman" w:hAnsi="Times New Roman"/>
        </w:rPr>
        <w:t xml:space="preserve"> = 1.96), </w:t>
      </w:r>
      <w:r>
        <w:rPr>
          <w:rFonts w:ascii="Times New Roman" w:hAnsi="Times New Roman"/>
          <w:b/>
          <w:bCs/>
        </w:rPr>
        <w:t>t</w:t>
      </w:r>
      <w:r>
        <w:rPr>
          <w:rFonts w:ascii="Times New Roman" w:hAnsi="Times New Roman"/>
        </w:rPr>
        <w:t xml:space="preserve">(118) = 3.22, </w:t>
      </w:r>
      <w:r>
        <w:rPr>
          <w:rFonts w:ascii="Times New Roman" w:hAnsi="Times New Roman"/>
          <w:b/>
          <w:bCs/>
        </w:rPr>
        <w:t>p</w:t>
      </w:r>
      <w:r>
        <w:rPr>
          <w:rFonts w:ascii="Times New Roman" w:hAnsi="Times New Roman"/>
        </w:rPr>
        <w:t xml:space="preserve"> = 0.0083, with a mean difference of 1.14. Given that the p-value (0.0083) is less than the standard significance level of 0.05, therefore, the proposed null hypothesis is rejected. These findings imply that B.Tech students exhibit greater </w:t>
      </w:r>
      <w:r>
        <w:rPr>
          <w:rFonts w:ascii="Times New Roman" w:hAnsi="Times New Roman"/>
          <w:b/>
          <w:bCs/>
        </w:rPr>
        <w:t>Emotional Stability</w:t>
      </w:r>
      <w:r>
        <w:rPr>
          <w:rFonts w:ascii="Times New Roman" w:hAnsi="Times New Roman"/>
        </w:rPr>
        <w:t xml:space="preserve"> compared to B.Pharma students.</w:t>
      </w:r>
    </w:p>
    <w:p>
      <w:pPr>
        <w:pStyle w:val="Normal"/>
        <w:spacing w:lineRule="auto" w:line="360"/>
        <w:rPr>
          <w:b/>
          <w:bCs/>
        </w:rPr>
      </w:pPr>
      <w:r>
        <w:rPr>
          <w:rFonts w:ascii="Times New Roman" w:hAnsi="Times New Roman"/>
          <w:b/>
          <w:bCs/>
        </w:rPr>
        <w:t>2. Overall Adjustment</w:t>
      </w:r>
    </w:p>
    <w:tbl>
      <w:tblPr>
        <w:tblW w:w="7308" w:type="dxa"/>
        <w:jc w:val="center"/>
        <w:tblInd w:w="0" w:type="dxa"/>
        <w:tblLayout w:type="fixed"/>
        <w:tblCellMar>
          <w:top w:w="0" w:type="dxa"/>
          <w:left w:w="28" w:type="dxa"/>
          <w:bottom w:w="0" w:type="dxa"/>
          <w:right w:w="28" w:type="dxa"/>
        </w:tblCellMar>
        <w:tblLook w:firstRow="1" w:noVBand="1" w:lastRow="0" w:firstColumn="1" w:lastColumn="0" w:noHBand="0" w:val="04a0"/>
      </w:tblPr>
      <w:tblGrid>
        <w:gridCol w:w="1645"/>
        <w:gridCol w:w="1018"/>
        <w:gridCol w:w="1248"/>
        <w:gridCol w:w="853"/>
        <w:gridCol w:w="899"/>
        <w:gridCol w:w="1644"/>
      </w:tblGrid>
      <w:tr>
        <w:trPr>
          <w:trHeight w:val="396" w:hRule="atLeast"/>
        </w:trPr>
        <w:tc>
          <w:tcPr>
            <w:tcW w:w="1645"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Group</w:t>
            </w:r>
          </w:p>
        </w:tc>
        <w:tc>
          <w:tcPr>
            <w:tcW w:w="1018"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Mean</w:t>
            </w:r>
          </w:p>
        </w:tc>
        <w:tc>
          <w:tcPr>
            <w:tcW w:w="1248"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SD</w:t>
            </w:r>
          </w:p>
        </w:tc>
        <w:tc>
          <w:tcPr>
            <w:tcW w:w="853"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t</w:t>
            </w:r>
          </w:p>
        </w:tc>
        <w:tc>
          <w:tcPr>
            <w:tcW w:w="899"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df</w:t>
            </w:r>
          </w:p>
        </w:tc>
        <w:tc>
          <w:tcPr>
            <w:tcW w:w="1644"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P</w:t>
            </w:r>
          </w:p>
        </w:tc>
      </w:tr>
      <w:tr>
        <w:trPr>
          <w:trHeight w:val="379" w:hRule="atLeast"/>
        </w:trPr>
        <w:tc>
          <w:tcPr>
            <w:tcW w:w="1645" w:type="dxa"/>
            <w:tcBorders>
              <w:top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b/>
                <w:color w:val="000000"/>
              </w:rPr>
              <w:t>B. Tech</w:t>
            </w:r>
          </w:p>
        </w:tc>
        <w:tc>
          <w:tcPr>
            <w:tcW w:w="1018" w:type="dxa"/>
            <w:tcBorders>
              <w:top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28.27</w:t>
            </w:r>
          </w:p>
        </w:tc>
        <w:tc>
          <w:tcPr>
            <w:tcW w:w="1248" w:type="dxa"/>
            <w:tcBorders>
              <w:top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4.99</w:t>
            </w:r>
          </w:p>
        </w:tc>
        <w:tc>
          <w:tcPr>
            <w:tcW w:w="853" w:type="dxa"/>
            <w:vMerge w:val="restart"/>
            <w:tcBorders>
              <w:top w:val="single" w:sz="2" w:space="0" w:color="000000"/>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1.18</w:t>
            </w:r>
          </w:p>
        </w:tc>
        <w:tc>
          <w:tcPr>
            <w:tcW w:w="899" w:type="dxa"/>
            <w:vMerge w:val="restart"/>
            <w:tcBorders>
              <w:top w:val="single" w:sz="2" w:space="0" w:color="000000"/>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118</w:t>
            </w:r>
          </w:p>
        </w:tc>
        <w:tc>
          <w:tcPr>
            <w:tcW w:w="1644" w:type="dxa"/>
            <w:vMerge w:val="restart"/>
            <w:tcBorders>
              <w:top w:val="single" w:sz="2" w:space="0" w:color="000000"/>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0.12029</w:t>
            </w:r>
          </w:p>
        </w:tc>
      </w:tr>
      <w:tr>
        <w:trPr>
          <w:trHeight w:val="396" w:hRule="atLeast"/>
        </w:trPr>
        <w:tc>
          <w:tcPr>
            <w:tcW w:w="1645" w:type="dxa"/>
            <w:tcBorders>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b/>
                <w:color w:val="000000"/>
              </w:rPr>
              <w:t>B. Pharma</w:t>
            </w:r>
          </w:p>
        </w:tc>
        <w:tc>
          <w:tcPr>
            <w:tcW w:w="1018" w:type="dxa"/>
            <w:tcBorders>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27.14</w:t>
            </w:r>
          </w:p>
        </w:tc>
        <w:tc>
          <w:tcPr>
            <w:tcW w:w="1248" w:type="dxa"/>
            <w:tcBorders>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5.53</w:t>
            </w:r>
          </w:p>
        </w:tc>
        <w:tc>
          <w:tcPr>
            <w:tcW w:w="853" w:type="dxa"/>
            <w:vMerge w:val="continue"/>
            <w:tcBorders>
              <w:bottom w:val="single" w:sz="2" w:space="0" w:color="000000"/>
            </w:tcBorders>
            <w:vAlign w:val="center"/>
          </w:tcPr>
          <w:p>
            <w:pPr>
              <w:pStyle w:val="Normal"/>
              <w:spacing w:lineRule="auto" w:line="360" w:before="0" w:after="160"/>
              <w:jc w:val="center"/>
              <w:rPr>
                <w:rFonts w:ascii="Aptos Narrow" w:hAnsi="Aptos Narrow"/>
                <w:color w:val="000000"/>
                <w:sz w:val="22"/>
              </w:rPr>
            </w:pPr>
            <w:r>
              <w:rPr>
                <w:rFonts w:ascii="Aptos Narrow" w:hAnsi="Aptos Narrow"/>
                <w:color w:val="000000"/>
                <w:sz w:val="22"/>
              </w:rPr>
            </w:r>
          </w:p>
        </w:tc>
        <w:tc>
          <w:tcPr>
            <w:tcW w:w="899" w:type="dxa"/>
            <w:vMerge w:val="continue"/>
            <w:tcBorders>
              <w:bottom w:val="single" w:sz="2" w:space="0" w:color="000000"/>
            </w:tcBorders>
            <w:vAlign w:val="center"/>
          </w:tcPr>
          <w:p>
            <w:pPr>
              <w:pStyle w:val="Normal"/>
              <w:spacing w:lineRule="auto" w:line="360" w:before="0" w:after="160"/>
              <w:jc w:val="center"/>
              <w:rPr>
                <w:rFonts w:ascii="Aptos Narrow" w:hAnsi="Aptos Narrow"/>
                <w:color w:val="000000"/>
                <w:sz w:val="22"/>
              </w:rPr>
            </w:pPr>
            <w:r>
              <w:rPr>
                <w:rFonts w:ascii="Aptos Narrow" w:hAnsi="Aptos Narrow"/>
                <w:color w:val="000000"/>
                <w:sz w:val="22"/>
              </w:rPr>
            </w:r>
          </w:p>
        </w:tc>
        <w:tc>
          <w:tcPr>
            <w:tcW w:w="1644" w:type="dxa"/>
            <w:vMerge w:val="continue"/>
            <w:tcBorders>
              <w:bottom w:val="single" w:sz="2" w:space="0" w:color="000000"/>
            </w:tcBorders>
            <w:vAlign w:val="center"/>
          </w:tcPr>
          <w:p>
            <w:pPr>
              <w:pStyle w:val="Normal"/>
              <w:spacing w:lineRule="auto" w:line="360" w:before="0" w:after="160"/>
              <w:jc w:val="center"/>
              <w:rPr>
                <w:rFonts w:ascii="Aptos Narrow" w:hAnsi="Aptos Narrow"/>
                <w:color w:val="000000"/>
                <w:sz w:val="22"/>
              </w:rPr>
            </w:pPr>
            <w:r>
              <w:rPr>
                <w:rFonts w:ascii="Aptos Narrow" w:hAnsi="Aptos Narrow"/>
                <w:color w:val="000000"/>
                <w:sz w:val="22"/>
              </w:rPr>
            </w:r>
          </w:p>
        </w:tc>
      </w:tr>
    </w:tbl>
    <w:p>
      <w:pPr>
        <w:pStyle w:val="Normal"/>
        <w:spacing w:lineRule="auto" w:line="360"/>
        <w:jc w:val="center"/>
        <w:rPr>
          <w:rFonts w:ascii="Times New Roman" w:hAnsi="Times New Roman"/>
        </w:rPr>
      </w:pPr>
      <w:r>
        <w:rPr>
          <w:rFonts w:ascii="Times New Roman" w:hAnsi="Times New Roman"/>
        </w:rPr>
        <w:tab/>
      </w:r>
      <w:r>
        <w:rPr>
          <w:rFonts w:ascii="Times New Roman" w:hAnsi="Times New Roman"/>
          <w:b/>
          <w:bCs/>
          <w:color w:val="000000"/>
        </w:rPr>
        <w:t>TABLE 3</w:t>
      </w:r>
    </w:p>
    <w:p>
      <w:pPr>
        <w:pStyle w:val="Normal"/>
        <w:spacing w:lineRule="auto" w:line="360"/>
        <w:jc w:val="both"/>
        <w:rPr>
          <w:rFonts w:ascii="Times New Roman" w:hAnsi="Times New Roman"/>
        </w:rPr>
      </w:pPr>
      <w:r>
        <w:rPr>
          <w:rFonts w:ascii="Times New Roman" w:hAnsi="Times New Roman"/>
        </w:rPr>
        <w:tab/>
        <w:t xml:space="preserve">To test the Null hypothesis for </w:t>
      </w:r>
      <w:r>
        <w:rPr>
          <w:rFonts w:ascii="Times New Roman" w:hAnsi="Times New Roman"/>
          <w:b/>
          <w:bCs/>
        </w:rPr>
        <w:t>Overall Adjustment</w:t>
      </w:r>
      <w:r>
        <w:rPr>
          <w:rFonts w:ascii="Times New Roman" w:hAnsi="Times New Roman"/>
        </w:rPr>
        <w:t>, a t-test was conducted between two independent groups. As shown in Table 3, the average Overall Adjustment score of B.Tech students (</w:t>
      </w:r>
      <w:r>
        <w:rPr>
          <w:rFonts w:ascii="Times New Roman" w:hAnsi="Times New Roman"/>
          <w:b/>
          <w:bCs/>
        </w:rPr>
        <w:t>M</w:t>
      </w:r>
      <w:r>
        <w:rPr>
          <w:rFonts w:ascii="Times New Roman" w:hAnsi="Times New Roman"/>
        </w:rPr>
        <w:t xml:space="preserve"> = 28.27, </w:t>
      </w:r>
      <w:r>
        <w:rPr>
          <w:rFonts w:ascii="Times New Roman" w:hAnsi="Times New Roman"/>
          <w:b/>
          <w:bCs/>
        </w:rPr>
        <w:t>SD</w:t>
      </w:r>
      <w:r>
        <w:rPr>
          <w:rFonts w:ascii="Times New Roman" w:hAnsi="Times New Roman"/>
        </w:rPr>
        <w:t xml:space="preserve"> = 4.99) was significantly higher than that of B.Pharma students (</w:t>
      </w:r>
      <w:r>
        <w:rPr>
          <w:rFonts w:ascii="Times New Roman" w:hAnsi="Times New Roman"/>
          <w:b/>
          <w:bCs/>
        </w:rPr>
        <w:t>M</w:t>
      </w:r>
      <w:r>
        <w:rPr>
          <w:rFonts w:ascii="Times New Roman" w:hAnsi="Times New Roman"/>
        </w:rPr>
        <w:t xml:space="preserve"> = 27.14, </w:t>
      </w:r>
      <w:r>
        <w:rPr>
          <w:rFonts w:ascii="Times New Roman" w:hAnsi="Times New Roman"/>
          <w:b/>
          <w:bCs/>
        </w:rPr>
        <w:t>SD</w:t>
      </w:r>
      <w:r>
        <w:rPr>
          <w:rFonts w:ascii="Times New Roman" w:hAnsi="Times New Roman"/>
        </w:rPr>
        <w:t xml:space="preserve"> = 5.53), </w:t>
      </w:r>
      <w:r>
        <w:rPr>
          <w:rFonts w:ascii="Times New Roman" w:hAnsi="Times New Roman"/>
          <w:b/>
          <w:bCs/>
        </w:rPr>
        <w:t>t</w:t>
      </w:r>
      <w:r>
        <w:rPr>
          <w:rFonts w:ascii="Times New Roman" w:hAnsi="Times New Roman"/>
        </w:rPr>
        <w:t xml:space="preserve">(118) = 1.18, </w:t>
      </w:r>
      <w:r>
        <w:rPr>
          <w:rFonts w:ascii="Times New Roman" w:hAnsi="Times New Roman"/>
          <w:b/>
          <w:bCs/>
        </w:rPr>
        <w:t>p</w:t>
      </w:r>
      <w:r>
        <w:rPr>
          <w:rFonts w:ascii="Times New Roman" w:hAnsi="Times New Roman"/>
        </w:rPr>
        <w:t xml:space="preserve"> = 0.12029, with a mean difference of 1.13. Given that the p-value (0.12029) is greater than the standard significance level of 0.05, the proposed Null hypothesis is accepted. These findings conclude that there is no significant difference in the </w:t>
      </w:r>
      <w:r>
        <w:rPr>
          <w:rFonts w:ascii="Times New Roman" w:hAnsi="Times New Roman"/>
          <w:b/>
          <w:bCs/>
        </w:rPr>
        <w:t>Overall Adjustment</w:t>
      </w:r>
      <w:r>
        <w:rPr>
          <w:rFonts w:ascii="Times New Roman" w:hAnsi="Times New Roman"/>
        </w:rPr>
        <w:t xml:space="preserve"> between B.Tech and B.Pharma students.</w:t>
      </w:r>
    </w:p>
    <w:p>
      <w:pPr>
        <w:pStyle w:val="Normal"/>
        <w:spacing w:lineRule="auto" w:line="360"/>
        <w:rPr>
          <w:rFonts w:ascii="Times New Roman" w:hAnsi="Times New Roman"/>
        </w:rPr>
      </w:pPr>
      <w:r>
        <w:rPr>
          <w:rFonts w:ascii="Times New Roman" w:hAnsi="Times New Roman"/>
          <w:b/>
          <w:bCs/>
        </w:rPr>
        <w:t>3. Autonomy</w:t>
      </w:r>
    </w:p>
    <w:tbl>
      <w:tblPr>
        <w:tblW w:w="7370" w:type="dxa"/>
        <w:jc w:val="center"/>
        <w:tblInd w:w="0" w:type="dxa"/>
        <w:tblLayout w:type="fixed"/>
        <w:tblCellMar>
          <w:top w:w="0" w:type="dxa"/>
          <w:left w:w="28" w:type="dxa"/>
          <w:bottom w:w="0" w:type="dxa"/>
          <w:right w:w="28" w:type="dxa"/>
        </w:tblCellMar>
        <w:tblLook w:firstRow="1" w:noVBand="1" w:lastRow="0" w:firstColumn="1" w:lastColumn="0" w:noHBand="0" w:val="04a0"/>
      </w:tblPr>
      <w:tblGrid>
        <w:gridCol w:w="1703"/>
        <w:gridCol w:w="1020"/>
        <w:gridCol w:w="1250"/>
        <w:gridCol w:w="852"/>
        <w:gridCol w:w="902"/>
        <w:gridCol w:w="1642"/>
      </w:tblGrid>
      <w:tr>
        <w:trPr>
          <w:trHeight w:val="396" w:hRule="atLeast"/>
        </w:trPr>
        <w:tc>
          <w:tcPr>
            <w:tcW w:w="1703"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Group</w:t>
            </w:r>
          </w:p>
        </w:tc>
        <w:tc>
          <w:tcPr>
            <w:tcW w:w="1020"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Mean</w:t>
            </w:r>
          </w:p>
        </w:tc>
        <w:tc>
          <w:tcPr>
            <w:tcW w:w="1250"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SD</w:t>
            </w:r>
          </w:p>
        </w:tc>
        <w:tc>
          <w:tcPr>
            <w:tcW w:w="852"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t</w:t>
            </w:r>
          </w:p>
        </w:tc>
        <w:tc>
          <w:tcPr>
            <w:tcW w:w="902"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df</w:t>
            </w:r>
          </w:p>
        </w:tc>
        <w:tc>
          <w:tcPr>
            <w:tcW w:w="1642"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P</w:t>
            </w:r>
          </w:p>
        </w:tc>
      </w:tr>
      <w:tr>
        <w:trPr>
          <w:trHeight w:val="379" w:hRule="atLeast"/>
        </w:trPr>
        <w:tc>
          <w:tcPr>
            <w:tcW w:w="1703" w:type="dxa"/>
            <w:tcBorders>
              <w:top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b/>
                <w:color w:val="000000"/>
              </w:rPr>
              <w:t>B. Tech</w:t>
            </w:r>
          </w:p>
        </w:tc>
        <w:tc>
          <w:tcPr>
            <w:tcW w:w="1020" w:type="dxa"/>
            <w:tcBorders>
              <w:top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10.52</w:t>
            </w:r>
          </w:p>
        </w:tc>
        <w:tc>
          <w:tcPr>
            <w:tcW w:w="1250" w:type="dxa"/>
            <w:tcBorders>
              <w:top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3.03</w:t>
            </w:r>
          </w:p>
        </w:tc>
        <w:tc>
          <w:tcPr>
            <w:tcW w:w="852" w:type="dxa"/>
            <w:vMerge w:val="restart"/>
            <w:tcBorders>
              <w:top w:val="single" w:sz="2" w:space="0" w:color="000000"/>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2.57</w:t>
            </w:r>
          </w:p>
        </w:tc>
        <w:tc>
          <w:tcPr>
            <w:tcW w:w="902" w:type="dxa"/>
            <w:vMerge w:val="restart"/>
            <w:tcBorders>
              <w:top w:val="single" w:sz="2" w:space="0" w:color="000000"/>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118</w:t>
            </w:r>
          </w:p>
        </w:tc>
        <w:tc>
          <w:tcPr>
            <w:tcW w:w="1642" w:type="dxa"/>
            <w:vMerge w:val="restart"/>
            <w:tcBorders>
              <w:top w:val="single" w:sz="2" w:space="0" w:color="000000"/>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0.00564</w:t>
            </w:r>
          </w:p>
        </w:tc>
      </w:tr>
      <w:tr>
        <w:trPr>
          <w:trHeight w:val="396" w:hRule="atLeast"/>
        </w:trPr>
        <w:tc>
          <w:tcPr>
            <w:tcW w:w="1703" w:type="dxa"/>
            <w:tcBorders>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b/>
                <w:color w:val="000000"/>
              </w:rPr>
              <w:t>B. Pharma</w:t>
            </w:r>
          </w:p>
        </w:tc>
        <w:tc>
          <w:tcPr>
            <w:tcW w:w="1020" w:type="dxa"/>
            <w:tcBorders>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9.18</w:t>
            </w:r>
          </w:p>
        </w:tc>
        <w:tc>
          <w:tcPr>
            <w:tcW w:w="1250" w:type="dxa"/>
            <w:tcBorders>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3.07</w:t>
            </w:r>
          </w:p>
        </w:tc>
        <w:tc>
          <w:tcPr>
            <w:tcW w:w="852" w:type="dxa"/>
            <w:vMerge w:val="continue"/>
            <w:tcBorders>
              <w:bottom w:val="single" w:sz="2" w:space="0" w:color="000000"/>
            </w:tcBorders>
            <w:vAlign w:val="center"/>
          </w:tcPr>
          <w:p>
            <w:pPr>
              <w:pStyle w:val="Normal"/>
              <w:spacing w:lineRule="auto" w:line="360" w:before="0" w:after="160"/>
              <w:jc w:val="center"/>
              <w:rPr>
                <w:rFonts w:ascii="Aptos Narrow" w:hAnsi="Aptos Narrow"/>
                <w:color w:val="000000"/>
                <w:sz w:val="22"/>
              </w:rPr>
            </w:pPr>
            <w:r>
              <w:rPr>
                <w:rFonts w:ascii="Aptos Narrow" w:hAnsi="Aptos Narrow"/>
                <w:color w:val="000000"/>
                <w:sz w:val="22"/>
              </w:rPr>
            </w:r>
          </w:p>
        </w:tc>
        <w:tc>
          <w:tcPr>
            <w:tcW w:w="902" w:type="dxa"/>
            <w:vMerge w:val="continue"/>
            <w:tcBorders>
              <w:bottom w:val="single" w:sz="2" w:space="0" w:color="000000"/>
            </w:tcBorders>
            <w:vAlign w:val="center"/>
          </w:tcPr>
          <w:p>
            <w:pPr>
              <w:pStyle w:val="Normal"/>
              <w:spacing w:lineRule="auto" w:line="360" w:before="0" w:after="160"/>
              <w:jc w:val="center"/>
              <w:rPr>
                <w:rFonts w:ascii="Aptos Narrow" w:hAnsi="Aptos Narrow"/>
                <w:color w:val="000000"/>
                <w:sz w:val="22"/>
              </w:rPr>
            </w:pPr>
            <w:r>
              <w:rPr>
                <w:rFonts w:ascii="Aptos Narrow" w:hAnsi="Aptos Narrow"/>
                <w:color w:val="000000"/>
                <w:sz w:val="22"/>
              </w:rPr>
            </w:r>
          </w:p>
        </w:tc>
        <w:tc>
          <w:tcPr>
            <w:tcW w:w="1642" w:type="dxa"/>
            <w:vMerge w:val="continue"/>
            <w:tcBorders>
              <w:bottom w:val="single" w:sz="2" w:space="0" w:color="000000"/>
            </w:tcBorders>
            <w:vAlign w:val="center"/>
          </w:tcPr>
          <w:p>
            <w:pPr>
              <w:pStyle w:val="Normal"/>
              <w:spacing w:lineRule="auto" w:line="360" w:before="0" w:after="160"/>
              <w:jc w:val="center"/>
              <w:rPr>
                <w:rFonts w:ascii="Aptos Narrow" w:hAnsi="Aptos Narrow"/>
                <w:color w:val="000000"/>
                <w:sz w:val="22"/>
              </w:rPr>
            </w:pPr>
            <w:r>
              <w:rPr>
                <w:rFonts w:ascii="Aptos Narrow" w:hAnsi="Aptos Narrow"/>
                <w:color w:val="000000"/>
                <w:sz w:val="22"/>
              </w:rPr>
            </w:r>
          </w:p>
        </w:tc>
      </w:tr>
    </w:tbl>
    <w:p>
      <w:pPr>
        <w:pStyle w:val="Normal"/>
        <w:spacing w:lineRule="auto" w:line="360"/>
        <w:jc w:val="center"/>
        <w:rPr>
          <w:rFonts w:ascii="Aptos Narrow" w:hAnsi="Aptos Narrow"/>
          <w:color w:val="000000"/>
          <w:sz w:val="22"/>
        </w:rPr>
      </w:pPr>
      <w:r>
        <w:rPr>
          <w:rFonts w:ascii="Times New Roman" w:hAnsi="Times New Roman"/>
          <w:b/>
          <w:bCs/>
          <w:color w:val="000000"/>
          <w:sz w:val="22"/>
        </w:rPr>
        <w:t>TABLE 4</w:t>
      </w:r>
    </w:p>
    <w:p>
      <w:pPr>
        <w:pStyle w:val="Normal"/>
        <w:spacing w:lineRule="auto" w:line="360"/>
        <w:jc w:val="both"/>
        <w:rPr>
          <w:rFonts w:ascii="Times New Roman" w:hAnsi="Times New Roman"/>
        </w:rPr>
      </w:pPr>
      <w:r>
        <w:rPr>
          <w:rFonts w:ascii="Times New Roman" w:hAnsi="Times New Roman"/>
        </w:rPr>
        <w:tab/>
        <w:t xml:space="preserve">To test the Null hypothesis for </w:t>
      </w:r>
      <w:r>
        <w:rPr>
          <w:rFonts w:ascii="Times New Roman" w:hAnsi="Times New Roman"/>
          <w:b/>
          <w:bCs/>
        </w:rPr>
        <w:t>Autonomy</w:t>
      </w:r>
      <w:r>
        <w:rPr>
          <w:rFonts w:ascii="Times New Roman" w:hAnsi="Times New Roman"/>
        </w:rPr>
        <w:t xml:space="preserve">, a t-test was conducted between two independent groups. As shown in Table 4, the average Autonomy score of B.Tech students (M = 10.52, SD = 3.03) was significantly higher than that of B.Pharma students (M = 9.18, SD = 3.07), t(118) = 2,57, p = 0.00564, with a mean difference of 1.34. Given that the p-value (0.00564) is less than the standard significance level of 0.05, therefore, the proposed null hypothesis is rejected. These findings show that B.Tech students exhibit greater </w:t>
      </w:r>
      <w:r>
        <w:rPr>
          <w:rFonts w:ascii="Times New Roman" w:hAnsi="Times New Roman"/>
          <w:b/>
          <w:bCs/>
        </w:rPr>
        <w:t>Autonomy</w:t>
      </w:r>
      <w:r>
        <w:rPr>
          <w:rFonts w:ascii="Times New Roman" w:hAnsi="Times New Roman"/>
        </w:rPr>
        <w:t xml:space="preserve"> compared to B.Pharma students.</w:t>
      </w:r>
    </w:p>
    <w:p>
      <w:pPr>
        <w:pStyle w:val="Normal"/>
        <w:spacing w:lineRule="auto" w:line="360"/>
        <w:rPr>
          <w:rFonts w:ascii="Aptos Narrow" w:hAnsi="Aptos Narrow"/>
          <w:color w:val="000000"/>
          <w:sz w:val="22"/>
        </w:rPr>
      </w:pPr>
      <w:r>
        <w:rPr>
          <w:rFonts w:ascii="Times New Roman" w:hAnsi="Times New Roman"/>
          <w:b/>
          <w:bCs/>
          <w:color w:val="000000"/>
        </w:rPr>
        <w:t>4. Security and Insecurity</w:t>
      </w:r>
    </w:p>
    <w:tbl>
      <w:tblPr>
        <w:tblW w:w="7370" w:type="dxa"/>
        <w:jc w:val="center"/>
        <w:tblInd w:w="0" w:type="dxa"/>
        <w:tblLayout w:type="fixed"/>
        <w:tblCellMar>
          <w:top w:w="0" w:type="dxa"/>
          <w:left w:w="28" w:type="dxa"/>
          <w:bottom w:w="0" w:type="dxa"/>
          <w:right w:w="28" w:type="dxa"/>
        </w:tblCellMar>
        <w:tblLook w:firstRow="1" w:noVBand="1" w:lastRow="0" w:firstColumn="1" w:lastColumn="0" w:noHBand="0" w:val="04a0"/>
      </w:tblPr>
      <w:tblGrid>
        <w:gridCol w:w="1703"/>
        <w:gridCol w:w="1020"/>
        <w:gridCol w:w="1250"/>
        <w:gridCol w:w="830"/>
        <w:gridCol w:w="924"/>
        <w:gridCol w:w="1642"/>
      </w:tblGrid>
      <w:tr>
        <w:trPr>
          <w:trHeight w:val="456" w:hRule="atLeast"/>
        </w:trPr>
        <w:tc>
          <w:tcPr>
            <w:tcW w:w="1703"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roup</w:t>
            </w:r>
          </w:p>
        </w:tc>
        <w:tc>
          <w:tcPr>
            <w:tcW w:w="1020"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Mean</w:t>
            </w:r>
          </w:p>
        </w:tc>
        <w:tc>
          <w:tcPr>
            <w:tcW w:w="1250"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SD</w:t>
            </w:r>
          </w:p>
        </w:tc>
        <w:tc>
          <w:tcPr>
            <w:tcW w:w="830"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t</w:t>
            </w:r>
          </w:p>
        </w:tc>
        <w:tc>
          <w:tcPr>
            <w:tcW w:w="924"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df</w:t>
            </w:r>
          </w:p>
        </w:tc>
        <w:tc>
          <w:tcPr>
            <w:tcW w:w="1642"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P</w:t>
            </w:r>
          </w:p>
        </w:tc>
      </w:tr>
      <w:tr>
        <w:trPr>
          <w:trHeight w:val="396" w:hRule="atLeast"/>
        </w:trPr>
        <w:tc>
          <w:tcPr>
            <w:tcW w:w="1703" w:type="dxa"/>
            <w:tcBorders>
              <w:top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b/>
                <w:color w:val="000000"/>
              </w:rPr>
              <w:t>B. Tech</w:t>
            </w:r>
          </w:p>
        </w:tc>
        <w:tc>
          <w:tcPr>
            <w:tcW w:w="1020" w:type="dxa"/>
            <w:tcBorders>
              <w:top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9.08</w:t>
            </w:r>
          </w:p>
        </w:tc>
        <w:tc>
          <w:tcPr>
            <w:tcW w:w="1250" w:type="dxa"/>
            <w:tcBorders>
              <w:top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3.03</w:t>
            </w:r>
          </w:p>
        </w:tc>
        <w:tc>
          <w:tcPr>
            <w:tcW w:w="830" w:type="dxa"/>
            <w:vMerge w:val="restart"/>
            <w:tcBorders>
              <w:top w:val="single" w:sz="2" w:space="0" w:color="000000"/>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3.43</w:t>
            </w:r>
          </w:p>
        </w:tc>
        <w:tc>
          <w:tcPr>
            <w:tcW w:w="924" w:type="dxa"/>
            <w:vMerge w:val="restart"/>
            <w:tcBorders>
              <w:top w:val="single" w:sz="2" w:space="0" w:color="000000"/>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118</w:t>
            </w:r>
          </w:p>
        </w:tc>
        <w:tc>
          <w:tcPr>
            <w:tcW w:w="1642" w:type="dxa"/>
            <w:vMerge w:val="restart"/>
            <w:tcBorders>
              <w:top w:val="single" w:sz="2" w:space="0" w:color="000000"/>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0.000417</w:t>
            </w:r>
          </w:p>
        </w:tc>
      </w:tr>
      <w:tr>
        <w:trPr>
          <w:trHeight w:val="396" w:hRule="atLeast"/>
        </w:trPr>
        <w:tc>
          <w:tcPr>
            <w:tcW w:w="1703" w:type="dxa"/>
            <w:tcBorders>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b/>
                <w:color w:val="000000"/>
              </w:rPr>
              <w:t>B. Pharma</w:t>
            </w:r>
          </w:p>
        </w:tc>
        <w:tc>
          <w:tcPr>
            <w:tcW w:w="1020" w:type="dxa"/>
            <w:tcBorders>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10.93</w:t>
            </w:r>
          </w:p>
        </w:tc>
        <w:tc>
          <w:tcPr>
            <w:tcW w:w="1250" w:type="dxa"/>
            <w:tcBorders>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2.88</w:t>
            </w:r>
          </w:p>
        </w:tc>
        <w:tc>
          <w:tcPr>
            <w:tcW w:w="830" w:type="dxa"/>
            <w:vMerge w:val="continue"/>
            <w:tcBorders>
              <w:bottom w:val="single" w:sz="2" w:space="0" w:color="000000"/>
            </w:tcBorders>
            <w:vAlign w:val="center"/>
          </w:tcPr>
          <w:p>
            <w:pPr>
              <w:pStyle w:val="Normal"/>
              <w:spacing w:lineRule="auto" w:line="360" w:before="0" w:after="160"/>
              <w:jc w:val="center"/>
              <w:rPr>
                <w:rFonts w:ascii="Aptos Narrow" w:hAnsi="Aptos Narrow"/>
                <w:color w:val="000000"/>
                <w:sz w:val="22"/>
              </w:rPr>
            </w:pPr>
            <w:r>
              <w:rPr>
                <w:rFonts w:ascii="Aptos Narrow" w:hAnsi="Aptos Narrow"/>
                <w:color w:val="000000"/>
                <w:sz w:val="22"/>
              </w:rPr>
            </w:r>
          </w:p>
        </w:tc>
        <w:tc>
          <w:tcPr>
            <w:tcW w:w="924" w:type="dxa"/>
            <w:vMerge w:val="continue"/>
            <w:tcBorders>
              <w:bottom w:val="single" w:sz="2" w:space="0" w:color="000000"/>
            </w:tcBorders>
            <w:vAlign w:val="center"/>
          </w:tcPr>
          <w:p>
            <w:pPr>
              <w:pStyle w:val="Normal"/>
              <w:spacing w:lineRule="auto" w:line="360" w:before="0" w:after="160"/>
              <w:jc w:val="center"/>
              <w:rPr>
                <w:rFonts w:ascii="Aptos Narrow" w:hAnsi="Aptos Narrow"/>
                <w:color w:val="000000"/>
                <w:sz w:val="22"/>
              </w:rPr>
            </w:pPr>
            <w:r>
              <w:rPr>
                <w:rFonts w:ascii="Aptos Narrow" w:hAnsi="Aptos Narrow"/>
                <w:color w:val="000000"/>
                <w:sz w:val="22"/>
              </w:rPr>
            </w:r>
          </w:p>
        </w:tc>
        <w:tc>
          <w:tcPr>
            <w:tcW w:w="1642" w:type="dxa"/>
            <w:vMerge w:val="continue"/>
            <w:tcBorders>
              <w:bottom w:val="single" w:sz="2" w:space="0" w:color="000000"/>
            </w:tcBorders>
            <w:vAlign w:val="center"/>
          </w:tcPr>
          <w:p>
            <w:pPr>
              <w:pStyle w:val="Normal"/>
              <w:spacing w:lineRule="auto" w:line="360" w:before="0" w:after="160"/>
              <w:jc w:val="center"/>
              <w:rPr>
                <w:rFonts w:ascii="Aptos Narrow" w:hAnsi="Aptos Narrow"/>
                <w:color w:val="000000"/>
                <w:sz w:val="22"/>
              </w:rPr>
            </w:pPr>
            <w:r>
              <w:rPr>
                <w:rFonts w:ascii="Aptos Narrow" w:hAnsi="Aptos Narrow"/>
                <w:color w:val="000000"/>
                <w:sz w:val="22"/>
              </w:rPr>
            </w:r>
          </w:p>
        </w:tc>
      </w:tr>
    </w:tbl>
    <w:p>
      <w:pPr>
        <w:pStyle w:val="Normal"/>
        <w:spacing w:lineRule="auto" w:line="360"/>
        <w:jc w:val="center"/>
        <w:rPr>
          <w:rFonts w:ascii="Aptos Narrow" w:hAnsi="Aptos Narrow"/>
          <w:color w:val="000000"/>
          <w:sz w:val="22"/>
        </w:rPr>
      </w:pPr>
      <w:r>
        <w:rPr>
          <w:rFonts w:ascii="Times New Roman" w:hAnsi="Times New Roman"/>
          <w:b/>
          <w:bCs/>
          <w:color w:val="000000"/>
          <w:sz w:val="22"/>
        </w:rPr>
        <w:t>TABLE 5</w:t>
      </w:r>
    </w:p>
    <w:p>
      <w:pPr>
        <w:pStyle w:val="Normal"/>
        <w:spacing w:lineRule="auto" w:line="360"/>
        <w:jc w:val="both"/>
        <w:rPr>
          <w:rFonts w:ascii="Times New Roman" w:hAnsi="Times New Roman"/>
        </w:rPr>
      </w:pPr>
      <w:r>
        <w:rPr>
          <w:rFonts w:ascii="Times New Roman" w:hAnsi="Times New Roman"/>
        </w:rPr>
        <w:tab/>
        <w:t xml:space="preserve">To test the Null hypothesis for </w:t>
      </w:r>
      <w:r>
        <w:rPr>
          <w:rFonts w:ascii="Times New Roman" w:hAnsi="Times New Roman"/>
          <w:b/>
          <w:bCs/>
          <w:color w:val="000000"/>
        </w:rPr>
        <w:t>Security and Insecurity</w:t>
      </w:r>
      <w:r>
        <w:rPr>
          <w:rFonts w:ascii="Times New Roman" w:hAnsi="Times New Roman"/>
        </w:rPr>
        <w:t xml:space="preserve">, a t-test was conducted between two independent groups. As shown in Table 5, the average </w:t>
      </w:r>
      <w:r>
        <w:rPr>
          <w:rFonts w:ascii="Times New Roman" w:hAnsi="Times New Roman"/>
          <w:color w:val="000000"/>
        </w:rPr>
        <w:t>Security and Insecurity</w:t>
      </w:r>
      <w:r>
        <w:rPr>
          <w:rFonts w:ascii="Times New Roman" w:hAnsi="Times New Roman"/>
        </w:rPr>
        <w:t xml:space="preserve"> score of B.Tech students (M = 9.08, SD = 3.03) was significantly higher than that of B.Pharma students (M = 10.93, SD = 2.88), t(118) = 3.43, p = 0.000417, with a mean difference of 1.85. Given that the p-value (0.000417) is less than the standard significance level of 0.05, therefore, the proposed null hypothesis is rejected. These findings show that B.Pharma students exhibit greater </w:t>
      </w:r>
      <w:r>
        <w:rPr>
          <w:rFonts w:ascii="Times New Roman" w:hAnsi="Times New Roman"/>
          <w:b/>
          <w:bCs/>
          <w:color w:val="000000"/>
        </w:rPr>
        <w:t>Security and Insecurity</w:t>
      </w:r>
      <w:r>
        <w:rPr>
          <w:rFonts w:ascii="Times New Roman" w:hAnsi="Times New Roman"/>
        </w:rPr>
        <w:t xml:space="preserve"> compared to B.Tech students.</w:t>
      </w:r>
    </w:p>
    <w:p>
      <w:pPr>
        <w:pStyle w:val="Normal"/>
        <w:spacing w:lineRule="auto" w:line="360"/>
        <w:rPr>
          <w:rFonts w:ascii="Times New Roman" w:hAnsi="Times New Roman"/>
        </w:rPr>
      </w:pPr>
      <w:r>
        <w:rPr>
          <w:rFonts w:ascii="Times New Roman" w:hAnsi="Times New Roman"/>
          <w:b/>
          <w:bCs/>
        </w:rPr>
        <w:t>5. Self-Concept</w:t>
      </w:r>
    </w:p>
    <w:tbl>
      <w:tblPr>
        <w:tblW w:w="7370" w:type="dxa"/>
        <w:jc w:val="center"/>
        <w:tblInd w:w="0" w:type="dxa"/>
        <w:tblLayout w:type="fixed"/>
        <w:tblCellMar>
          <w:top w:w="0" w:type="dxa"/>
          <w:left w:w="28" w:type="dxa"/>
          <w:bottom w:w="0" w:type="dxa"/>
          <w:right w:w="28" w:type="dxa"/>
        </w:tblCellMar>
        <w:tblLook w:firstRow="1" w:noVBand="1" w:lastRow="0" w:firstColumn="1" w:lastColumn="0" w:noHBand="0" w:val="04a0"/>
      </w:tblPr>
      <w:tblGrid>
        <w:gridCol w:w="1703"/>
        <w:gridCol w:w="1020"/>
        <w:gridCol w:w="1250"/>
        <w:gridCol w:w="852"/>
        <w:gridCol w:w="902"/>
        <w:gridCol w:w="1642"/>
      </w:tblGrid>
      <w:tr>
        <w:trPr>
          <w:trHeight w:val="420" w:hRule="atLeast"/>
        </w:trPr>
        <w:tc>
          <w:tcPr>
            <w:tcW w:w="1703"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Group</w:t>
            </w:r>
          </w:p>
        </w:tc>
        <w:tc>
          <w:tcPr>
            <w:tcW w:w="1020"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Mean</w:t>
            </w:r>
          </w:p>
        </w:tc>
        <w:tc>
          <w:tcPr>
            <w:tcW w:w="1250"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SD</w:t>
            </w:r>
          </w:p>
        </w:tc>
        <w:tc>
          <w:tcPr>
            <w:tcW w:w="852"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t</w:t>
            </w:r>
          </w:p>
        </w:tc>
        <w:tc>
          <w:tcPr>
            <w:tcW w:w="902"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df</w:t>
            </w:r>
          </w:p>
        </w:tc>
        <w:tc>
          <w:tcPr>
            <w:tcW w:w="1642"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P</w:t>
            </w:r>
          </w:p>
        </w:tc>
      </w:tr>
      <w:tr>
        <w:trPr>
          <w:trHeight w:val="396" w:hRule="atLeast"/>
        </w:trPr>
        <w:tc>
          <w:tcPr>
            <w:tcW w:w="1703" w:type="dxa"/>
            <w:tcBorders>
              <w:top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b/>
                <w:color w:val="000000"/>
              </w:rPr>
              <w:t>B. Tech</w:t>
            </w:r>
          </w:p>
        </w:tc>
        <w:tc>
          <w:tcPr>
            <w:tcW w:w="1020" w:type="dxa"/>
            <w:tcBorders>
              <w:top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7.73</w:t>
            </w:r>
          </w:p>
        </w:tc>
        <w:tc>
          <w:tcPr>
            <w:tcW w:w="1250" w:type="dxa"/>
            <w:tcBorders>
              <w:top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2.61</w:t>
            </w:r>
          </w:p>
        </w:tc>
        <w:tc>
          <w:tcPr>
            <w:tcW w:w="852" w:type="dxa"/>
            <w:vMerge w:val="restart"/>
            <w:tcBorders>
              <w:top w:val="single" w:sz="2" w:space="0" w:color="000000"/>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-2.16</w:t>
            </w:r>
          </w:p>
        </w:tc>
        <w:tc>
          <w:tcPr>
            <w:tcW w:w="902" w:type="dxa"/>
            <w:vMerge w:val="restart"/>
            <w:tcBorders>
              <w:top w:val="single" w:sz="2" w:space="0" w:color="000000"/>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118</w:t>
            </w:r>
          </w:p>
        </w:tc>
        <w:tc>
          <w:tcPr>
            <w:tcW w:w="1642" w:type="dxa"/>
            <w:vMerge w:val="restart"/>
            <w:tcBorders>
              <w:top w:val="single" w:sz="2" w:space="0" w:color="000000"/>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0.016237</w:t>
            </w:r>
          </w:p>
        </w:tc>
      </w:tr>
      <w:tr>
        <w:trPr>
          <w:trHeight w:val="396" w:hRule="atLeast"/>
        </w:trPr>
        <w:tc>
          <w:tcPr>
            <w:tcW w:w="1703" w:type="dxa"/>
            <w:tcBorders>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b/>
                <w:color w:val="000000"/>
              </w:rPr>
              <w:t>B. Pharma</w:t>
            </w:r>
          </w:p>
        </w:tc>
        <w:tc>
          <w:tcPr>
            <w:tcW w:w="1020" w:type="dxa"/>
            <w:tcBorders>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8.70</w:t>
            </w:r>
          </w:p>
        </w:tc>
        <w:tc>
          <w:tcPr>
            <w:tcW w:w="1250" w:type="dxa"/>
            <w:tcBorders>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2.27</w:t>
            </w:r>
          </w:p>
        </w:tc>
        <w:tc>
          <w:tcPr>
            <w:tcW w:w="852" w:type="dxa"/>
            <w:vMerge w:val="continue"/>
            <w:tcBorders>
              <w:bottom w:val="single" w:sz="2" w:space="0" w:color="000000"/>
            </w:tcBorders>
            <w:vAlign w:val="center"/>
          </w:tcPr>
          <w:p>
            <w:pPr>
              <w:pStyle w:val="Normal"/>
              <w:spacing w:lineRule="auto" w:line="360" w:before="0" w:after="160"/>
              <w:jc w:val="center"/>
              <w:rPr>
                <w:rFonts w:ascii="Aptos Narrow" w:hAnsi="Aptos Narrow"/>
                <w:color w:val="000000"/>
                <w:sz w:val="22"/>
              </w:rPr>
            </w:pPr>
            <w:r>
              <w:rPr>
                <w:rFonts w:ascii="Aptos Narrow" w:hAnsi="Aptos Narrow"/>
                <w:color w:val="000000"/>
                <w:sz w:val="22"/>
              </w:rPr>
            </w:r>
          </w:p>
        </w:tc>
        <w:tc>
          <w:tcPr>
            <w:tcW w:w="902" w:type="dxa"/>
            <w:vMerge w:val="continue"/>
            <w:tcBorders>
              <w:bottom w:val="single" w:sz="2" w:space="0" w:color="000000"/>
            </w:tcBorders>
            <w:vAlign w:val="center"/>
          </w:tcPr>
          <w:p>
            <w:pPr>
              <w:pStyle w:val="Normal"/>
              <w:spacing w:lineRule="auto" w:line="360" w:before="0" w:after="160"/>
              <w:jc w:val="center"/>
              <w:rPr>
                <w:rFonts w:ascii="Aptos Narrow" w:hAnsi="Aptos Narrow"/>
                <w:color w:val="000000"/>
                <w:sz w:val="22"/>
              </w:rPr>
            </w:pPr>
            <w:r>
              <w:rPr>
                <w:rFonts w:ascii="Aptos Narrow" w:hAnsi="Aptos Narrow"/>
                <w:color w:val="000000"/>
                <w:sz w:val="22"/>
              </w:rPr>
            </w:r>
          </w:p>
        </w:tc>
        <w:tc>
          <w:tcPr>
            <w:tcW w:w="1642" w:type="dxa"/>
            <w:vMerge w:val="continue"/>
            <w:tcBorders>
              <w:bottom w:val="single" w:sz="2" w:space="0" w:color="000000"/>
            </w:tcBorders>
            <w:vAlign w:val="center"/>
          </w:tcPr>
          <w:p>
            <w:pPr>
              <w:pStyle w:val="Normal"/>
              <w:spacing w:lineRule="auto" w:line="360" w:before="0" w:after="160"/>
              <w:jc w:val="center"/>
              <w:rPr>
                <w:rFonts w:ascii="Aptos Narrow" w:hAnsi="Aptos Narrow"/>
                <w:color w:val="000000"/>
                <w:sz w:val="22"/>
              </w:rPr>
            </w:pPr>
            <w:r>
              <w:rPr>
                <w:rFonts w:ascii="Aptos Narrow" w:hAnsi="Aptos Narrow"/>
                <w:color w:val="000000"/>
                <w:sz w:val="22"/>
              </w:rPr>
            </w:r>
          </w:p>
        </w:tc>
      </w:tr>
    </w:tbl>
    <w:p>
      <w:pPr>
        <w:pStyle w:val="Normal"/>
        <w:spacing w:lineRule="auto" w:line="360"/>
        <w:jc w:val="center"/>
        <w:rPr>
          <w:rFonts w:ascii="Times New Roman" w:hAnsi="Times New Roman"/>
        </w:rPr>
      </w:pPr>
      <w:r>
        <w:rPr>
          <w:rFonts w:ascii="Times New Roman" w:hAnsi="Times New Roman"/>
          <w:b/>
          <w:bCs/>
          <w:color w:val="000000"/>
        </w:rPr>
        <w:t>TABLE 6</w:t>
      </w:r>
    </w:p>
    <w:p>
      <w:pPr>
        <w:pStyle w:val="Normal"/>
        <w:spacing w:lineRule="auto" w:line="360"/>
        <w:jc w:val="both"/>
        <w:rPr>
          <w:rFonts w:ascii="Times New Roman" w:hAnsi="Times New Roman"/>
        </w:rPr>
      </w:pPr>
      <w:r>
        <w:rPr>
          <w:rFonts w:ascii="Times New Roman" w:hAnsi="Times New Roman"/>
        </w:rPr>
        <w:tab/>
        <w:t xml:space="preserve">To test the Null hypothesis for </w:t>
      </w:r>
      <w:r>
        <w:rPr>
          <w:rFonts w:ascii="Times New Roman" w:hAnsi="Times New Roman"/>
          <w:b/>
          <w:bCs/>
        </w:rPr>
        <w:t>Self-Concept</w:t>
      </w:r>
      <w:r>
        <w:rPr>
          <w:rFonts w:ascii="Times New Roman" w:hAnsi="Times New Roman"/>
        </w:rPr>
        <w:t>, a t-test was conducted between two independent groups. As shown in Table 6, the average Self-Concept score of B.Tech students (</w:t>
      </w:r>
      <w:r>
        <w:rPr>
          <w:rFonts w:ascii="Times New Roman" w:hAnsi="Times New Roman"/>
          <w:b/>
          <w:bCs/>
        </w:rPr>
        <w:t>M</w:t>
      </w:r>
      <w:r>
        <w:rPr>
          <w:rFonts w:ascii="Times New Roman" w:hAnsi="Times New Roman"/>
        </w:rPr>
        <w:t xml:space="preserve"> = 7.73, </w:t>
      </w:r>
      <w:r>
        <w:rPr>
          <w:rFonts w:ascii="Times New Roman" w:hAnsi="Times New Roman"/>
          <w:b/>
          <w:bCs/>
        </w:rPr>
        <w:t>SD</w:t>
      </w:r>
      <w:r>
        <w:rPr>
          <w:rFonts w:ascii="Times New Roman" w:hAnsi="Times New Roman"/>
        </w:rPr>
        <w:t xml:space="preserve"> = 2.61) was significantly less than that of B.Pharma students (</w:t>
      </w:r>
      <w:r>
        <w:rPr>
          <w:rFonts w:ascii="Times New Roman" w:hAnsi="Times New Roman"/>
          <w:b/>
          <w:bCs/>
        </w:rPr>
        <w:t>M</w:t>
      </w:r>
      <w:r>
        <w:rPr>
          <w:rFonts w:ascii="Times New Roman" w:hAnsi="Times New Roman"/>
        </w:rPr>
        <w:t xml:space="preserve"> = 8.70, </w:t>
      </w:r>
      <w:r>
        <w:rPr>
          <w:rFonts w:ascii="Times New Roman" w:hAnsi="Times New Roman"/>
          <w:b/>
          <w:bCs/>
        </w:rPr>
        <w:t>SD</w:t>
      </w:r>
      <w:r>
        <w:rPr>
          <w:rFonts w:ascii="Times New Roman" w:hAnsi="Times New Roman"/>
        </w:rPr>
        <w:t xml:space="preserve"> = 5.53), </w:t>
      </w:r>
      <w:r>
        <w:rPr>
          <w:rFonts w:ascii="Times New Roman" w:hAnsi="Times New Roman"/>
          <w:b/>
          <w:bCs/>
        </w:rPr>
        <w:t>t</w:t>
      </w:r>
      <w:r>
        <w:rPr>
          <w:rFonts w:ascii="Times New Roman" w:hAnsi="Times New Roman"/>
        </w:rPr>
        <w:t xml:space="preserve">(118) = -2.16, </w:t>
      </w:r>
      <w:r>
        <w:rPr>
          <w:rFonts w:ascii="Times New Roman" w:hAnsi="Times New Roman"/>
          <w:b/>
          <w:bCs/>
        </w:rPr>
        <w:t>p</w:t>
      </w:r>
      <w:r>
        <w:rPr>
          <w:rFonts w:ascii="Times New Roman" w:hAnsi="Times New Roman"/>
        </w:rPr>
        <w:t xml:space="preserve"> = 0.016237, with a mean difference of 0.97. Given that the p-value (0.016237) is greater than the standard significance level of 0.05, the proposed Null hypothesis is accepted. These findings conclude that there is no significant difference in the </w:t>
      </w:r>
      <w:r>
        <w:rPr>
          <w:rFonts w:ascii="Times New Roman" w:hAnsi="Times New Roman"/>
          <w:b/>
          <w:bCs/>
        </w:rPr>
        <w:t>Self-Concept</w:t>
      </w:r>
      <w:r>
        <w:rPr>
          <w:rFonts w:ascii="Times New Roman" w:hAnsi="Times New Roman"/>
        </w:rPr>
        <w:t xml:space="preserve"> between B.Tech and B.Pharma students.</w:t>
      </w:r>
    </w:p>
    <w:p>
      <w:pPr>
        <w:pStyle w:val="Normal"/>
        <w:spacing w:lineRule="auto" w:line="360"/>
        <w:rPr>
          <w:rFonts w:ascii="Times New Roman" w:hAnsi="Times New Roman"/>
        </w:rPr>
      </w:pPr>
      <w:r>
        <w:rPr>
          <w:rFonts w:ascii="Times New Roman" w:hAnsi="Times New Roman"/>
          <w:b/>
          <w:bCs/>
        </w:rPr>
        <w:t>6. Intelligence</w:t>
      </w:r>
    </w:p>
    <w:tbl>
      <w:tblPr>
        <w:tblW w:w="7370" w:type="dxa"/>
        <w:jc w:val="center"/>
        <w:tblInd w:w="0" w:type="dxa"/>
        <w:tblLayout w:type="fixed"/>
        <w:tblCellMar>
          <w:top w:w="0" w:type="dxa"/>
          <w:left w:w="28" w:type="dxa"/>
          <w:bottom w:w="0" w:type="dxa"/>
          <w:right w:w="28" w:type="dxa"/>
        </w:tblCellMar>
        <w:tblLook w:firstRow="1" w:noVBand="1" w:lastRow="0" w:firstColumn="1" w:lastColumn="0" w:noHBand="0" w:val="04a0"/>
      </w:tblPr>
      <w:tblGrid>
        <w:gridCol w:w="1703"/>
        <w:gridCol w:w="1020"/>
        <w:gridCol w:w="1250"/>
        <w:gridCol w:w="852"/>
        <w:gridCol w:w="902"/>
        <w:gridCol w:w="1642"/>
      </w:tblGrid>
      <w:tr>
        <w:trPr>
          <w:trHeight w:val="396" w:hRule="atLeast"/>
        </w:trPr>
        <w:tc>
          <w:tcPr>
            <w:tcW w:w="1703"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Group</w:t>
            </w:r>
          </w:p>
        </w:tc>
        <w:tc>
          <w:tcPr>
            <w:tcW w:w="1020"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Mean</w:t>
            </w:r>
          </w:p>
        </w:tc>
        <w:tc>
          <w:tcPr>
            <w:tcW w:w="1250"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SD</w:t>
            </w:r>
          </w:p>
        </w:tc>
        <w:tc>
          <w:tcPr>
            <w:tcW w:w="852"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t</w:t>
            </w:r>
          </w:p>
        </w:tc>
        <w:tc>
          <w:tcPr>
            <w:tcW w:w="902"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df</w:t>
            </w:r>
          </w:p>
        </w:tc>
        <w:tc>
          <w:tcPr>
            <w:tcW w:w="1642"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P</w:t>
            </w:r>
          </w:p>
        </w:tc>
      </w:tr>
      <w:tr>
        <w:trPr>
          <w:trHeight w:val="396" w:hRule="atLeast"/>
        </w:trPr>
        <w:tc>
          <w:tcPr>
            <w:tcW w:w="1703" w:type="dxa"/>
            <w:tcBorders>
              <w:top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b/>
                <w:color w:val="000000"/>
              </w:rPr>
              <w:t>B. Tech</w:t>
            </w:r>
          </w:p>
        </w:tc>
        <w:tc>
          <w:tcPr>
            <w:tcW w:w="1020" w:type="dxa"/>
            <w:tcBorders>
              <w:top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22</w:t>
            </w:r>
          </w:p>
        </w:tc>
        <w:tc>
          <w:tcPr>
            <w:tcW w:w="1250" w:type="dxa"/>
            <w:tcBorders>
              <w:top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2.70</w:t>
            </w:r>
          </w:p>
        </w:tc>
        <w:tc>
          <w:tcPr>
            <w:tcW w:w="852" w:type="dxa"/>
            <w:vMerge w:val="restart"/>
            <w:tcBorders>
              <w:top w:val="single" w:sz="2" w:space="0" w:color="000000"/>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-3.30</w:t>
            </w:r>
          </w:p>
        </w:tc>
        <w:tc>
          <w:tcPr>
            <w:tcW w:w="902" w:type="dxa"/>
            <w:vMerge w:val="restart"/>
            <w:tcBorders>
              <w:top w:val="single" w:sz="2" w:space="0" w:color="000000"/>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118</w:t>
            </w:r>
          </w:p>
        </w:tc>
        <w:tc>
          <w:tcPr>
            <w:tcW w:w="1642" w:type="dxa"/>
            <w:vMerge w:val="restart"/>
            <w:tcBorders>
              <w:top w:val="single" w:sz="2" w:space="0" w:color="000000"/>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0.000632</w:t>
            </w:r>
          </w:p>
        </w:tc>
      </w:tr>
      <w:tr>
        <w:trPr>
          <w:trHeight w:val="396" w:hRule="atLeast"/>
        </w:trPr>
        <w:tc>
          <w:tcPr>
            <w:tcW w:w="1703" w:type="dxa"/>
            <w:tcBorders>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b/>
                <w:color w:val="000000"/>
              </w:rPr>
              <w:t>B. Pharma</w:t>
            </w:r>
          </w:p>
        </w:tc>
        <w:tc>
          <w:tcPr>
            <w:tcW w:w="1020" w:type="dxa"/>
            <w:tcBorders>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23.75</w:t>
            </w:r>
          </w:p>
        </w:tc>
        <w:tc>
          <w:tcPr>
            <w:tcW w:w="1250" w:type="dxa"/>
            <w:tcBorders>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2.72</w:t>
            </w:r>
          </w:p>
        </w:tc>
        <w:tc>
          <w:tcPr>
            <w:tcW w:w="852" w:type="dxa"/>
            <w:vMerge w:val="continue"/>
            <w:tcBorders>
              <w:bottom w:val="single" w:sz="2" w:space="0" w:color="000000"/>
            </w:tcBorders>
            <w:vAlign w:val="center"/>
          </w:tcPr>
          <w:p>
            <w:pPr>
              <w:pStyle w:val="Normal"/>
              <w:spacing w:lineRule="auto" w:line="360" w:before="0" w:after="160"/>
              <w:jc w:val="center"/>
              <w:rPr>
                <w:rFonts w:ascii="Aptos Narrow" w:hAnsi="Aptos Narrow"/>
                <w:color w:val="000000"/>
                <w:sz w:val="22"/>
              </w:rPr>
            </w:pPr>
            <w:r>
              <w:rPr>
                <w:rFonts w:ascii="Aptos Narrow" w:hAnsi="Aptos Narrow"/>
                <w:color w:val="000000"/>
                <w:sz w:val="22"/>
              </w:rPr>
            </w:r>
          </w:p>
        </w:tc>
        <w:tc>
          <w:tcPr>
            <w:tcW w:w="902" w:type="dxa"/>
            <w:vMerge w:val="continue"/>
            <w:tcBorders>
              <w:bottom w:val="single" w:sz="2" w:space="0" w:color="000000"/>
            </w:tcBorders>
            <w:vAlign w:val="center"/>
          </w:tcPr>
          <w:p>
            <w:pPr>
              <w:pStyle w:val="Normal"/>
              <w:spacing w:lineRule="auto" w:line="360" w:before="0" w:after="160"/>
              <w:jc w:val="center"/>
              <w:rPr>
                <w:rFonts w:ascii="Aptos Narrow" w:hAnsi="Aptos Narrow"/>
                <w:color w:val="000000"/>
                <w:sz w:val="22"/>
              </w:rPr>
            </w:pPr>
            <w:r>
              <w:rPr>
                <w:rFonts w:ascii="Aptos Narrow" w:hAnsi="Aptos Narrow"/>
                <w:color w:val="000000"/>
                <w:sz w:val="22"/>
              </w:rPr>
            </w:r>
          </w:p>
        </w:tc>
        <w:tc>
          <w:tcPr>
            <w:tcW w:w="1642" w:type="dxa"/>
            <w:vMerge w:val="continue"/>
            <w:tcBorders>
              <w:bottom w:val="single" w:sz="2" w:space="0" w:color="000000"/>
            </w:tcBorders>
            <w:vAlign w:val="center"/>
          </w:tcPr>
          <w:p>
            <w:pPr>
              <w:pStyle w:val="Normal"/>
              <w:spacing w:lineRule="auto" w:line="360" w:before="0" w:after="160"/>
              <w:jc w:val="center"/>
              <w:rPr>
                <w:rFonts w:ascii="Aptos Narrow" w:hAnsi="Aptos Narrow"/>
                <w:color w:val="000000"/>
                <w:sz w:val="22"/>
              </w:rPr>
            </w:pPr>
            <w:r>
              <w:rPr>
                <w:rFonts w:ascii="Aptos Narrow" w:hAnsi="Aptos Narrow"/>
                <w:color w:val="000000"/>
                <w:sz w:val="22"/>
              </w:rPr>
            </w:r>
          </w:p>
        </w:tc>
      </w:tr>
    </w:tbl>
    <w:p>
      <w:pPr>
        <w:pStyle w:val="Normal"/>
        <w:spacing w:lineRule="auto" w:line="360"/>
        <w:jc w:val="center"/>
        <w:rPr>
          <w:rFonts w:ascii="Aptos Narrow" w:hAnsi="Aptos Narrow"/>
          <w:color w:val="000000"/>
          <w:sz w:val="22"/>
        </w:rPr>
      </w:pPr>
      <w:r>
        <w:rPr>
          <w:rFonts w:ascii="Times New Roman" w:hAnsi="Times New Roman"/>
          <w:b/>
          <w:bCs/>
          <w:color w:val="000000"/>
          <w:sz w:val="22"/>
        </w:rPr>
        <w:t>TABLE 7</w:t>
      </w:r>
    </w:p>
    <w:p>
      <w:pPr>
        <w:pStyle w:val="Normal"/>
        <w:spacing w:lineRule="auto" w:line="360"/>
        <w:jc w:val="both"/>
        <w:rPr>
          <w:rFonts w:ascii="Times New Roman" w:hAnsi="Times New Roman"/>
        </w:rPr>
      </w:pPr>
      <w:r>
        <w:rPr>
          <w:rFonts w:ascii="Times New Roman" w:hAnsi="Times New Roman"/>
        </w:rPr>
        <w:tab/>
        <w:t xml:space="preserve">To test the Null hypothesis for </w:t>
      </w:r>
      <w:r>
        <w:rPr>
          <w:rFonts w:ascii="Times New Roman" w:hAnsi="Times New Roman"/>
          <w:b/>
          <w:bCs/>
        </w:rPr>
        <w:t>Intelligence</w:t>
      </w:r>
      <w:r>
        <w:rPr>
          <w:rFonts w:ascii="Times New Roman" w:hAnsi="Times New Roman"/>
        </w:rPr>
        <w:t xml:space="preserve">, a t-test was conducted between two independent groups. As shown in Table 7, the average Intelligence score of B.Tech students (M = 22, SD = 2.70) was significantly less than that of B.Pharma students (M = 23.75, SD = 2.72), t(118) = -3.30, p = 0.000632, with a mean difference of 1.75. Given that the p-value (0.000632) is less than the standard significance level of 0.05, therefore, the proposed null hypothesis is rejected. These findings show that B.Pharma students exhibit higher </w:t>
      </w:r>
      <w:r>
        <w:rPr>
          <w:rFonts w:ascii="Times New Roman" w:hAnsi="Times New Roman"/>
          <w:b/>
          <w:bCs/>
        </w:rPr>
        <w:t xml:space="preserve">Intelligence </w:t>
      </w:r>
      <w:r>
        <w:rPr>
          <w:rFonts w:ascii="Times New Roman" w:hAnsi="Times New Roman"/>
        </w:rPr>
        <w:t>level as compared to B.Tech students.</w:t>
      </w:r>
    </w:p>
    <w:p>
      <w:pPr>
        <w:pStyle w:val="Normal"/>
        <w:spacing w:lineRule="auto" w:line="360"/>
        <w:rPr>
          <w:rFonts w:ascii="Times New Roman" w:hAnsi="Times New Roman"/>
        </w:rPr>
      </w:pPr>
      <w:r>
        <w:rPr>
          <w:rFonts w:ascii="Times New Roman" w:hAnsi="Times New Roman"/>
          <w:b/>
          <w:bCs/>
        </w:rPr>
        <w:t>7. Overall Mental Health</w:t>
      </w:r>
    </w:p>
    <w:tbl>
      <w:tblPr>
        <w:tblW w:w="7393" w:type="dxa"/>
        <w:jc w:val="center"/>
        <w:tblInd w:w="0" w:type="dxa"/>
        <w:tblLayout w:type="fixed"/>
        <w:tblCellMar>
          <w:top w:w="0" w:type="dxa"/>
          <w:left w:w="28" w:type="dxa"/>
          <w:bottom w:w="0" w:type="dxa"/>
          <w:right w:w="28" w:type="dxa"/>
        </w:tblCellMar>
        <w:tblLook w:firstRow="1" w:noVBand="1" w:lastRow="0" w:firstColumn="1" w:lastColumn="0" w:noHBand="0" w:val="04a0"/>
      </w:tblPr>
      <w:tblGrid>
        <w:gridCol w:w="1729"/>
        <w:gridCol w:w="1019"/>
        <w:gridCol w:w="1250"/>
        <w:gridCol w:w="851"/>
        <w:gridCol w:w="902"/>
        <w:gridCol w:w="1641"/>
      </w:tblGrid>
      <w:tr>
        <w:trPr>
          <w:trHeight w:val="396" w:hRule="atLeast"/>
        </w:trPr>
        <w:tc>
          <w:tcPr>
            <w:tcW w:w="1729"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Group</w:t>
            </w:r>
          </w:p>
        </w:tc>
        <w:tc>
          <w:tcPr>
            <w:tcW w:w="1019"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Mean</w:t>
            </w:r>
          </w:p>
        </w:tc>
        <w:tc>
          <w:tcPr>
            <w:tcW w:w="1250"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SD</w:t>
            </w:r>
          </w:p>
        </w:tc>
        <w:tc>
          <w:tcPr>
            <w:tcW w:w="851"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t</w:t>
            </w:r>
          </w:p>
        </w:tc>
        <w:tc>
          <w:tcPr>
            <w:tcW w:w="902"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df</w:t>
            </w:r>
          </w:p>
        </w:tc>
        <w:tc>
          <w:tcPr>
            <w:tcW w:w="1641" w:type="dxa"/>
            <w:tcBorders>
              <w:top w:val="single" w:sz="6" w:space="0" w:color="000000"/>
              <w:bottom w:val="single" w:sz="6" w:space="0" w:color="000000"/>
            </w:tcBorders>
            <w:vAlign w:val="center"/>
          </w:tcPr>
          <w:p>
            <w:pPr>
              <w:pStyle w:val="Normal"/>
              <w:spacing w:lineRule="auto" w:line="360" w:before="0" w:after="160"/>
              <w:jc w:val="center"/>
              <w:rPr>
                <w:rFonts w:ascii="Times New Roman" w:hAnsi="Times New Roman"/>
                <w:i/>
                <w:i/>
                <w:iCs/>
              </w:rPr>
            </w:pPr>
            <w:r>
              <w:rPr>
                <w:rFonts w:ascii="Times New Roman" w:hAnsi="Times New Roman"/>
                <w:b/>
                <w:i/>
                <w:iCs/>
                <w:color w:val="000000"/>
              </w:rPr>
              <w:t>P</w:t>
            </w:r>
          </w:p>
        </w:tc>
      </w:tr>
      <w:tr>
        <w:trPr>
          <w:trHeight w:val="396" w:hRule="atLeast"/>
        </w:trPr>
        <w:tc>
          <w:tcPr>
            <w:tcW w:w="1729" w:type="dxa"/>
            <w:tcBorders>
              <w:top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b/>
                <w:color w:val="000000"/>
              </w:rPr>
              <w:t>B. Tech</w:t>
            </w:r>
          </w:p>
        </w:tc>
        <w:tc>
          <w:tcPr>
            <w:tcW w:w="1019" w:type="dxa"/>
            <w:tcBorders>
              <w:top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87.90</w:t>
            </w:r>
          </w:p>
        </w:tc>
        <w:tc>
          <w:tcPr>
            <w:tcW w:w="1250" w:type="dxa"/>
            <w:tcBorders>
              <w:top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9.14</w:t>
            </w:r>
          </w:p>
        </w:tc>
        <w:tc>
          <w:tcPr>
            <w:tcW w:w="851" w:type="dxa"/>
            <w:vMerge w:val="restart"/>
            <w:tcBorders>
              <w:top w:val="single" w:sz="2" w:space="0" w:color="000000"/>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-2.48</w:t>
            </w:r>
          </w:p>
        </w:tc>
        <w:tc>
          <w:tcPr>
            <w:tcW w:w="902" w:type="dxa"/>
            <w:vMerge w:val="restart"/>
            <w:tcBorders>
              <w:top w:val="single" w:sz="2" w:space="0" w:color="000000"/>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118</w:t>
            </w:r>
          </w:p>
        </w:tc>
        <w:tc>
          <w:tcPr>
            <w:tcW w:w="1641" w:type="dxa"/>
            <w:vMerge w:val="restart"/>
            <w:tcBorders>
              <w:top w:val="single" w:sz="2" w:space="0" w:color="000000"/>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0.007177</w:t>
            </w:r>
          </w:p>
        </w:tc>
      </w:tr>
      <w:tr>
        <w:trPr>
          <w:trHeight w:val="420" w:hRule="atLeast"/>
        </w:trPr>
        <w:tc>
          <w:tcPr>
            <w:tcW w:w="1729" w:type="dxa"/>
            <w:tcBorders>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b/>
                <w:color w:val="000000"/>
              </w:rPr>
              <w:t>B. Pharma</w:t>
            </w:r>
          </w:p>
        </w:tc>
        <w:tc>
          <w:tcPr>
            <w:tcW w:w="1019" w:type="dxa"/>
            <w:tcBorders>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92.05</w:t>
            </w:r>
          </w:p>
        </w:tc>
        <w:tc>
          <w:tcPr>
            <w:tcW w:w="1250" w:type="dxa"/>
            <w:tcBorders>
              <w:bottom w:val="single" w:sz="2" w:space="0" w:color="000000"/>
            </w:tcBorders>
            <w:vAlign w:val="center"/>
          </w:tcPr>
          <w:p>
            <w:pPr>
              <w:pStyle w:val="Normal"/>
              <w:spacing w:lineRule="auto" w:line="360" w:before="0" w:after="160"/>
              <w:jc w:val="center"/>
              <w:rPr>
                <w:rFonts w:ascii="Times New Roman" w:hAnsi="Times New Roman"/>
              </w:rPr>
            </w:pPr>
            <w:r>
              <w:rPr>
                <w:rFonts w:ascii="Times New Roman" w:hAnsi="Times New Roman"/>
                <w:color w:val="000000"/>
              </w:rPr>
              <w:t>9.15</w:t>
            </w:r>
          </w:p>
        </w:tc>
        <w:tc>
          <w:tcPr>
            <w:tcW w:w="851" w:type="dxa"/>
            <w:vMerge w:val="continue"/>
            <w:tcBorders>
              <w:bottom w:val="single" w:sz="2" w:space="0" w:color="000000"/>
            </w:tcBorders>
            <w:vAlign w:val="center"/>
          </w:tcPr>
          <w:p>
            <w:pPr>
              <w:pStyle w:val="Normal"/>
              <w:spacing w:lineRule="auto" w:line="360" w:before="0" w:after="160"/>
              <w:jc w:val="center"/>
              <w:rPr>
                <w:rFonts w:ascii="Aptos Narrow" w:hAnsi="Aptos Narrow"/>
                <w:color w:val="000000"/>
                <w:sz w:val="22"/>
              </w:rPr>
            </w:pPr>
            <w:r>
              <w:rPr>
                <w:rFonts w:ascii="Aptos Narrow" w:hAnsi="Aptos Narrow"/>
                <w:color w:val="000000"/>
                <w:sz w:val="22"/>
              </w:rPr>
            </w:r>
          </w:p>
        </w:tc>
        <w:tc>
          <w:tcPr>
            <w:tcW w:w="902" w:type="dxa"/>
            <w:vMerge w:val="continue"/>
            <w:tcBorders>
              <w:bottom w:val="single" w:sz="2" w:space="0" w:color="000000"/>
            </w:tcBorders>
            <w:vAlign w:val="center"/>
          </w:tcPr>
          <w:p>
            <w:pPr>
              <w:pStyle w:val="Normal"/>
              <w:spacing w:lineRule="auto" w:line="360" w:before="0" w:after="160"/>
              <w:jc w:val="center"/>
              <w:rPr>
                <w:rFonts w:ascii="Aptos Narrow" w:hAnsi="Aptos Narrow"/>
                <w:color w:val="000000"/>
                <w:sz w:val="22"/>
              </w:rPr>
            </w:pPr>
            <w:r>
              <w:rPr>
                <w:rFonts w:ascii="Aptos Narrow" w:hAnsi="Aptos Narrow"/>
                <w:color w:val="000000"/>
                <w:sz w:val="22"/>
              </w:rPr>
            </w:r>
          </w:p>
        </w:tc>
        <w:tc>
          <w:tcPr>
            <w:tcW w:w="1641" w:type="dxa"/>
            <w:vMerge w:val="continue"/>
            <w:tcBorders>
              <w:bottom w:val="single" w:sz="2" w:space="0" w:color="000000"/>
            </w:tcBorders>
            <w:vAlign w:val="center"/>
          </w:tcPr>
          <w:p>
            <w:pPr>
              <w:pStyle w:val="Normal"/>
              <w:spacing w:lineRule="auto" w:line="360" w:before="0" w:after="160"/>
              <w:jc w:val="center"/>
              <w:rPr>
                <w:rFonts w:ascii="Aptos Narrow" w:hAnsi="Aptos Narrow"/>
                <w:color w:val="000000"/>
                <w:sz w:val="22"/>
              </w:rPr>
            </w:pPr>
            <w:r>
              <w:rPr>
                <w:rFonts w:ascii="Aptos Narrow" w:hAnsi="Aptos Narrow"/>
                <w:color w:val="000000"/>
                <w:sz w:val="22"/>
              </w:rPr>
            </w:r>
          </w:p>
        </w:tc>
      </w:tr>
    </w:tbl>
    <w:p>
      <w:pPr>
        <w:pStyle w:val="Normal"/>
        <w:spacing w:lineRule="auto" w:line="360"/>
        <w:jc w:val="center"/>
        <w:rPr>
          <w:rFonts w:ascii="Aptos Narrow" w:hAnsi="Aptos Narrow"/>
          <w:color w:val="000000"/>
          <w:sz w:val="22"/>
        </w:rPr>
      </w:pPr>
      <w:r>
        <w:rPr>
          <w:rFonts w:ascii="Times New Roman" w:hAnsi="Times New Roman"/>
          <w:b/>
          <w:bCs/>
          <w:color w:val="000000"/>
          <w:sz w:val="22"/>
        </w:rPr>
        <w:t>TABLE 8</w:t>
      </w:r>
    </w:p>
    <w:p>
      <w:pPr>
        <w:pStyle w:val="Normal"/>
        <w:spacing w:lineRule="auto" w:line="360"/>
        <w:jc w:val="both"/>
        <w:rPr>
          <w:rFonts w:ascii="Times New Roman" w:hAnsi="Times New Roman"/>
        </w:rPr>
      </w:pPr>
      <w:r>
        <w:rPr>
          <w:rFonts w:ascii="Times New Roman" w:hAnsi="Times New Roman"/>
        </w:rPr>
        <w:tab/>
        <w:t xml:space="preserve">To test the Null hypothesis for </w:t>
      </w:r>
      <w:r>
        <w:rPr>
          <w:rFonts w:ascii="Times New Roman" w:hAnsi="Times New Roman"/>
          <w:b/>
          <w:bCs/>
        </w:rPr>
        <w:t>Overall Mental Health</w:t>
      </w:r>
      <w:r>
        <w:rPr>
          <w:rFonts w:ascii="Times New Roman" w:hAnsi="Times New Roman"/>
        </w:rPr>
        <w:t xml:space="preserve">, a t-test was conducted between two independent groups. As shown in Table 8, the average Overall Mental Health score of B.Tech students (M = 87.90, SD = 9.14) was significantly less than that of B.Pharma students (M = 92.05, SD = 9.15), t(118) = -2.48, p = 0.007177, with a mean difference of 4.15. Given that the p-value (0.000632) is less than the standard significance level of 0.05, therefore, the proposed null hypothesis is rejected. These findings show that B.Pharma students possess higher </w:t>
      </w:r>
      <w:r>
        <w:rPr>
          <w:rFonts w:ascii="Times New Roman" w:hAnsi="Times New Roman"/>
          <w:b/>
          <w:bCs/>
        </w:rPr>
        <w:t xml:space="preserve">Overall Mental Health </w:t>
      </w:r>
      <w:r>
        <w:rPr>
          <w:rFonts w:ascii="Times New Roman" w:hAnsi="Times New Roman"/>
        </w:rPr>
        <w:t>level as compared to B.Tech students.</w:t>
      </w:r>
    </w:p>
    <w:p>
      <w:pPr>
        <w:pStyle w:val="BodyText"/>
        <w:tabs>
          <w:tab w:val="clear" w:pos="720"/>
          <w:tab w:val="left" w:pos="684" w:leader="none"/>
          <w:tab w:val="left" w:pos="1416" w:leader="none"/>
          <w:tab w:val="left" w:pos="3324" w:leader="none"/>
          <w:tab w:val="left" w:pos="3504" w:leader="none"/>
          <w:tab w:val="left" w:pos="3540" w:leader="none"/>
          <w:tab w:val="left" w:pos="3684" w:leader="none"/>
        </w:tabs>
        <w:spacing w:lineRule="auto" w:line="360"/>
        <w:rPr>
          <w:rFonts w:ascii="Times New Roman" w:hAnsi="Times New Roman" w:cs="Times New Roman"/>
          <w:b/>
          <w:bCs/>
          <w:sz w:val="28"/>
          <w:szCs w:val="28"/>
        </w:rPr>
      </w:pPr>
      <w:r>
        <w:rPr>
          <w:rFonts w:cs="Times New Roman" w:ascii="Times New Roman" w:hAnsi="Times New Roman"/>
          <w:b/>
          <w:bCs/>
          <w:sz w:val="28"/>
          <w:szCs w:val="28"/>
        </w:rPr>
        <w:t>CONCLUSION</w:t>
      </w:r>
    </w:p>
    <w:p>
      <w:pPr>
        <w:pStyle w:val="Normal"/>
        <w:spacing w:lineRule="auto" w:line="360"/>
        <w:jc w:val="both"/>
        <w:rPr>
          <w:rFonts w:ascii="Times New Roman" w:hAnsi="Times New Roman"/>
        </w:rPr>
      </w:pPr>
      <w:r>
        <w:rPr>
          <w:rFonts w:ascii="Times New Roman" w:hAnsi="Times New Roman"/>
        </w:rPr>
        <w:t>The following findings are found:</w:t>
      </w:r>
    </w:p>
    <w:p>
      <w:pPr>
        <w:pStyle w:val="Normal"/>
        <w:numPr>
          <w:ilvl w:val="0"/>
          <w:numId w:val="2"/>
        </w:numPr>
        <w:suppressAutoHyphens w:val="true"/>
        <w:spacing w:lineRule="auto" w:line="360" w:before="0" w:after="0"/>
        <w:jc w:val="both"/>
        <w:rPr>
          <w:rFonts w:ascii="Times New Roman" w:hAnsi="Times New Roman"/>
        </w:rPr>
      </w:pPr>
      <w:r>
        <w:rPr>
          <w:rFonts w:ascii="Times New Roman" w:hAnsi="Times New Roman"/>
        </w:rPr>
        <w:t xml:space="preserve">B.Tech students exhibit greater </w:t>
      </w:r>
      <w:r>
        <w:rPr>
          <w:rFonts w:ascii="Times New Roman" w:hAnsi="Times New Roman"/>
          <w:b/>
          <w:bCs/>
        </w:rPr>
        <w:t>Emotional Stability (ES)</w:t>
      </w:r>
      <w:r>
        <w:rPr>
          <w:rFonts w:ascii="Times New Roman" w:hAnsi="Times New Roman"/>
        </w:rPr>
        <w:t xml:space="preserve"> compared to B.Pharma students.</w:t>
      </w:r>
    </w:p>
    <w:p>
      <w:pPr>
        <w:pStyle w:val="Normal"/>
        <w:numPr>
          <w:ilvl w:val="0"/>
          <w:numId w:val="2"/>
        </w:numPr>
        <w:suppressAutoHyphens w:val="true"/>
        <w:spacing w:lineRule="auto" w:line="360" w:before="0" w:after="0"/>
        <w:jc w:val="both"/>
        <w:rPr>
          <w:rFonts w:ascii="Times New Roman" w:hAnsi="Times New Roman"/>
        </w:rPr>
      </w:pPr>
      <w:r>
        <w:rPr>
          <w:rFonts w:ascii="Times New Roman" w:hAnsi="Times New Roman"/>
        </w:rPr>
        <w:t xml:space="preserve">There is no significant difference in the </w:t>
      </w:r>
      <w:r>
        <w:rPr>
          <w:rFonts w:ascii="Times New Roman" w:hAnsi="Times New Roman"/>
          <w:b/>
          <w:bCs/>
        </w:rPr>
        <w:t>Overall Adjustment (OA)</w:t>
      </w:r>
      <w:r>
        <w:rPr>
          <w:rFonts w:ascii="Times New Roman" w:hAnsi="Times New Roman"/>
        </w:rPr>
        <w:t xml:space="preserve"> between B.Tech and B.Pharma students.</w:t>
      </w:r>
    </w:p>
    <w:p>
      <w:pPr>
        <w:pStyle w:val="Normal"/>
        <w:numPr>
          <w:ilvl w:val="0"/>
          <w:numId w:val="2"/>
        </w:numPr>
        <w:suppressAutoHyphens w:val="true"/>
        <w:spacing w:lineRule="auto" w:line="360" w:before="0" w:after="0"/>
        <w:jc w:val="both"/>
        <w:rPr>
          <w:rFonts w:ascii="Times New Roman" w:hAnsi="Times New Roman"/>
        </w:rPr>
      </w:pPr>
      <w:r>
        <w:rPr>
          <w:rFonts w:ascii="Times New Roman" w:hAnsi="Times New Roman"/>
        </w:rPr>
        <w:t xml:space="preserve">B.Tech students exhibit greater </w:t>
      </w:r>
      <w:r>
        <w:rPr>
          <w:rFonts w:ascii="Times New Roman" w:hAnsi="Times New Roman"/>
          <w:b/>
          <w:bCs/>
        </w:rPr>
        <w:t>Autonomy</w:t>
      </w:r>
      <w:r>
        <w:rPr>
          <w:rFonts w:ascii="Times New Roman" w:hAnsi="Times New Roman"/>
        </w:rPr>
        <w:t xml:space="preserve"> </w:t>
      </w:r>
      <w:r>
        <w:rPr>
          <w:rFonts w:ascii="Times New Roman" w:hAnsi="Times New Roman"/>
          <w:b/>
          <w:bCs/>
        </w:rPr>
        <w:t>(AY)</w:t>
      </w:r>
      <w:r>
        <w:rPr>
          <w:rFonts w:ascii="Times New Roman" w:hAnsi="Times New Roman"/>
        </w:rPr>
        <w:t xml:space="preserve"> compared to B.Pharma students.</w:t>
      </w:r>
    </w:p>
    <w:p>
      <w:pPr>
        <w:pStyle w:val="Normal"/>
        <w:numPr>
          <w:ilvl w:val="0"/>
          <w:numId w:val="2"/>
        </w:numPr>
        <w:suppressAutoHyphens w:val="true"/>
        <w:spacing w:lineRule="auto" w:line="360" w:before="0" w:after="0"/>
        <w:jc w:val="both"/>
        <w:rPr>
          <w:rFonts w:ascii="Times New Roman" w:hAnsi="Times New Roman"/>
        </w:rPr>
      </w:pPr>
      <w:r>
        <w:rPr>
          <w:rFonts w:ascii="Times New Roman" w:hAnsi="Times New Roman"/>
        </w:rPr>
        <w:t xml:space="preserve">B.Pharma students exhibit greater </w:t>
      </w:r>
      <w:r>
        <w:rPr>
          <w:rFonts w:ascii="Times New Roman" w:hAnsi="Times New Roman"/>
          <w:b/>
          <w:bCs/>
          <w:color w:val="000000"/>
        </w:rPr>
        <w:t>Security and Insecurity (SI)</w:t>
      </w:r>
      <w:r>
        <w:rPr>
          <w:rFonts w:ascii="Times New Roman" w:hAnsi="Times New Roman"/>
        </w:rPr>
        <w:t xml:space="preserve"> compared to B.Tech students</w:t>
      </w:r>
    </w:p>
    <w:p>
      <w:pPr>
        <w:pStyle w:val="Normal"/>
        <w:numPr>
          <w:ilvl w:val="0"/>
          <w:numId w:val="2"/>
        </w:numPr>
        <w:suppressAutoHyphens w:val="true"/>
        <w:spacing w:lineRule="auto" w:line="360" w:before="0" w:after="0"/>
        <w:jc w:val="both"/>
        <w:rPr>
          <w:rFonts w:ascii="Times New Roman" w:hAnsi="Times New Roman"/>
        </w:rPr>
      </w:pPr>
      <w:r>
        <w:rPr>
          <w:rFonts w:ascii="Times New Roman" w:hAnsi="Times New Roman"/>
        </w:rPr>
        <w:t xml:space="preserve">There is no significant difference in the </w:t>
      </w:r>
      <w:r>
        <w:rPr>
          <w:rFonts w:ascii="Times New Roman" w:hAnsi="Times New Roman"/>
          <w:b/>
          <w:bCs/>
        </w:rPr>
        <w:t>Self-Concept (SC)</w:t>
      </w:r>
      <w:r>
        <w:rPr>
          <w:rFonts w:ascii="Times New Roman" w:hAnsi="Times New Roman"/>
        </w:rPr>
        <w:t xml:space="preserve"> between B.Tech and B.Pharma students.</w:t>
      </w:r>
    </w:p>
    <w:p>
      <w:pPr>
        <w:pStyle w:val="Normal"/>
        <w:numPr>
          <w:ilvl w:val="0"/>
          <w:numId w:val="2"/>
        </w:numPr>
        <w:suppressAutoHyphens w:val="true"/>
        <w:spacing w:lineRule="auto" w:line="360" w:before="0" w:after="0"/>
        <w:jc w:val="both"/>
        <w:rPr>
          <w:rFonts w:ascii="Times New Roman" w:hAnsi="Times New Roman"/>
        </w:rPr>
      </w:pPr>
      <w:r>
        <w:rPr>
          <w:rFonts w:ascii="Times New Roman" w:hAnsi="Times New Roman"/>
        </w:rPr>
        <w:t xml:space="preserve">B.Pharma students exhibit higher </w:t>
      </w:r>
      <w:r>
        <w:rPr>
          <w:rFonts w:ascii="Times New Roman" w:hAnsi="Times New Roman"/>
          <w:b/>
          <w:bCs/>
        </w:rPr>
        <w:t xml:space="preserve">Intelligence (IN) </w:t>
      </w:r>
      <w:r>
        <w:rPr>
          <w:rFonts w:ascii="Times New Roman" w:hAnsi="Times New Roman"/>
        </w:rPr>
        <w:t>level as compared to B.Tech students.</w:t>
      </w:r>
    </w:p>
    <w:p>
      <w:pPr>
        <w:pStyle w:val="Normal"/>
        <w:numPr>
          <w:ilvl w:val="0"/>
          <w:numId w:val="2"/>
        </w:numPr>
        <w:suppressAutoHyphens w:val="true"/>
        <w:spacing w:lineRule="auto" w:line="360"/>
        <w:jc w:val="both"/>
        <w:rPr>
          <w:rFonts w:ascii="Times New Roman" w:hAnsi="Times New Roman"/>
        </w:rPr>
      </w:pPr>
      <w:r>
        <w:rPr>
          <w:rFonts w:ascii="Times New Roman" w:hAnsi="Times New Roman"/>
        </w:rPr>
        <w:t xml:space="preserve">After analysing </w:t>
      </w:r>
      <w:r>
        <w:rPr>
          <w:rFonts w:ascii="Times New Roman" w:hAnsi="Times New Roman"/>
          <w:b/>
          <w:bCs/>
        </w:rPr>
        <w:t>Overall Mental Health</w:t>
      </w:r>
      <w:r>
        <w:rPr>
          <w:rFonts w:ascii="Times New Roman" w:hAnsi="Times New Roman"/>
        </w:rPr>
        <w:t xml:space="preserve"> of B.Pharma students possess higher </w:t>
      </w:r>
      <w:r>
        <w:rPr>
          <w:rFonts w:ascii="Times New Roman" w:hAnsi="Times New Roman"/>
          <w:b/>
          <w:bCs/>
        </w:rPr>
        <w:t xml:space="preserve">Overall Mental Health </w:t>
      </w:r>
      <w:r>
        <w:rPr>
          <w:rFonts w:ascii="Times New Roman" w:hAnsi="Times New Roman"/>
        </w:rPr>
        <w:t>level as compared to B.Tech students.</w:t>
      </w:r>
    </w:p>
    <w:p>
      <w:pPr>
        <w:pStyle w:val="BodyText"/>
        <w:widowControl/>
        <w:tabs>
          <w:tab w:val="clear" w:pos="720"/>
          <w:tab w:val="left" w:pos="684" w:leader="none"/>
          <w:tab w:val="left" w:pos="1416" w:leader="none"/>
          <w:tab w:val="left" w:pos="3324" w:leader="none"/>
          <w:tab w:val="left" w:pos="3504" w:leader="none"/>
          <w:tab w:val="left" w:pos="3540" w:leader="none"/>
          <w:tab w:val="left" w:pos="3684" w:leader="none"/>
        </w:tabs>
        <w:bidi w:val="0"/>
        <w:spacing w:lineRule="auto" w:line="360"/>
        <w:jc w:val="left"/>
        <w:rPr/>
      </w:pPr>
      <w:r>
        <w:rPr>
          <w:rFonts w:cs="Times New Roman" w:ascii="Times New Roman" w:hAnsi="Times New Roman"/>
          <w:b/>
          <w:bCs/>
          <w:color w:val="auto"/>
          <w:kern w:val="2"/>
          <w:sz w:val="28"/>
          <w:szCs w:val="28"/>
          <w:lang w:val="en-IN"/>
          <w14:ligatures w14:val="standardContextual"/>
        </w:rPr>
        <w:t>EDUCATIONAL IMPLICATIONS:</w:t>
      </w:r>
    </w:p>
    <w:p>
      <w:pPr>
        <w:pStyle w:val="Normal"/>
        <w:numPr>
          <w:ilvl w:val="0"/>
          <w:numId w:val="12"/>
        </w:numPr>
        <w:spacing w:lineRule="auto" w:line="360"/>
        <w:jc w:val="both"/>
        <w:rPr/>
      </w:pPr>
      <w:r>
        <w:rPr>
          <w:rFonts w:ascii="Times New Roman" w:hAnsi="Times New Roman"/>
          <w:b/>
          <w:bCs/>
        </w:rPr>
        <w:t>Curriculum Design:</w:t>
      </w:r>
      <w:r>
        <w:rPr>
          <w:rFonts w:ascii="Times New Roman" w:hAnsi="Times New Roman"/>
        </w:rPr>
        <w:t xml:space="preserve"> Institutions may need to incorporate mental health education into the curriculum of professional courses like B.Tech and B.Pharma to help students manage academic pressure and emotional challenges effectively.</w:t>
      </w:r>
    </w:p>
    <w:p>
      <w:pPr>
        <w:pStyle w:val="Normal"/>
        <w:numPr>
          <w:ilvl w:val="0"/>
          <w:numId w:val="12"/>
        </w:numPr>
        <w:spacing w:lineRule="auto" w:line="360"/>
        <w:jc w:val="both"/>
        <w:rPr/>
      </w:pPr>
      <w:r>
        <w:rPr>
          <w:rFonts w:ascii="Times New Roman" w:hAnsi="Times New Roman"/>
          <w:b/>
          <w:bCs/>
        </w:rPr>
        <w:t>Counselling Services:</w:t>
      </w:r>
      <w:r>
        <w:rPr>
          <w:rFonts w:ascii="Times New Roman" w:hAnsi="Times New Roman"/>
        </w:rPr>
        <w:t xml:space="preserve"> Universities should enhance access to mental health counseling and support services, providing students with tools to cope with stress, anxiety, and other mental health issues.</w:t>
      </w:r>
    </w:p>
    <w:p>
      <w:pPr>
        <w:pStyle w:val="Normal"/>
        <w:numPr>
          <w:ilvl w:val="0"/>
          <w:numId w:val="12"/>
        </w:numPr>
        <w:spacing w:lineRule="auto" w:line="360"/>
        <w:jc w:val="both"/>
        <w:rPr/>
      </w:pPr>
      <w:r>
        <w:rPr>
          <w:rFonts w:ascii="Times New Roman" w:hAnsi="Times New Roman"/>
          <w:b/>
          <w:bCs/>
        </w:rPr>
        <w:t>Personal Development Programs:</w:t>
      </w:r>
      <w:r>
        <w:rPr>
          <w:rFonts w:ascii="Times New Roman" w:hAnsi="Times New Roman"/>
        </w:rPr>
        <w:t xml:space="preserve"> Workshops on emotional stability, autonomy, and self-concept can be organized to improve students' mental resilience and decision-making skills.</w:t>
      </w:r>
    </w:p>
    <w:p>
      <w:pPr>
        <w:pStyle w:val="Normal"/>
        <w:numPr>
          <w:ilvl w:val="0"/>
          <w:numId w:val="12"/>
        </w:numPr>
        <w:spacing w:lineRule="auto" w:line="360"/>
        <w:jc w:val="both"/>
        <w:rPr/>
      </w:pPr>
      <w:r>
        <w:rPr>
          <w:rFonts w:ascii="Times New Roman" w:hAnsi="Times New Roman"/>
          <w:b/>
          <w:bCs/>
        </w:rPr>
        <w:t>Tailored Support Systems:</w:t>
      </w:r>
      <w:r>
        <w:rPr>
          <w:rFonts w:ascii="Times New Roman" w:hAnsi="Times New Roman"/>
        </w:rPr>
        <w:t xml:space="preserve"> Since B.Pharma students displayed higher insecurity and mental health challenges, targeted interventions such as mentorship programs could be developed to address their specific needs.</w:t>
      </w:r>
    </w:p>
    <w:p>
      <w:pPr>
        <w:pStyle w:val="Normal"/>
        <w:numPr>
          <w:ilvl w:val="0"/>
          <w:numId w:val="12"/>
        </w:numPr>
        <w:spacing w:lineRule="auto" w:line="360"/>
        <w:jc w:val="both"/>
        <w:rPr/>
      </w:pPr>
      <w:r>
        <w:rPr>
          <w:rFonts w:ascii="Times New Roman" w:hAnsi="Times New Roman"/>
          <w:b/>
          <w:bCs/>
        </w:rPr>
        <w:t>Holistic Evaluation:</w:t>
      </w:r>
      <w:r>
        <w:rPr>
          <w:rFonts w:ascii="Times New Roman" w:hAnsi="Times New Roman"/>
        </w:rPr>
        <w:t xml:space="preserve"> Academic institutions should consider mental health assessments as part of their regular evaluations to ensure a more balanced approach toward student development beyond academics.</w:t>
      </w:r>
    </w:p>
    <w:p>
      <w:pPr>
        <w:pStyle w:val="BodyText"/>
        <w:spacing w:lineRule="auto" w:line="360" w:before="0" w:after="26"/>
        <w:jc w:val="both"/>
        <w:rPr>
          <w:rFonts w:ascii="Times New Roman" w:hAnsi="Times New Roman"/>
          <w:b/>
          <w:bCs/>
        </w:rPr>
      </w:pPr>
      <w:r>
        <w:rPr>
          <w:rFonts w:ascii="Times New Roman" w:hAnsi="Times New Roman"/>
          <w:b/>
          <w:bCs/>
          <w:sz w:val="28"/>
          <w:szCs w:val="28"/>
        </w:rPr>
        <w:t>SUGGESTIONS FOR FUTURE</w:t>
      </w:r>
    </w:p>
    <w:p>
      <w:pPr>
        <w:pStyle w:val="BodyText"/>
        <w:spacing w:lineRule="auto" w:line="360"/>
        <w:jc w:val="both"/>
        <w:rPr/>
      </w:pPr>
      <w:r>
        <w:rPr>
          <w:rFonts w:ascii="Times New Roman" w:hAnsi="Times New Roman"/>
        </w:rPr>
        <w:tab/>
        <w:t>Although this study involved a small number of students in professional courses, more accurate results could be obtained by increasing the sample size, meaning including more students. In the future, more organized and systematic research can be done to improve the quality of both professional courses and the students taking them in our country. Based on my study, I have some suggestions for future work to help develop professional education, particularly regarding the mental health of students from different streams:</w:t>
      </w:r>
    </w:p>
    <w:p>
      <w:pPr>
        <w:pStyle w:val="BodyText"/>
        <w:numPr>
          <w:ilvl w:val="0"/>
          <w:numId w:val="3"/>
        </w:numPr>
        <w:tabs>
          <w:tab w:val="clear" w:pos="720"/>
          <w:tab w:val="left" w:pos="709" w:leader="none"/>
        </w:tabs>
        <w:spacing w:lineRule="auto" w:line="360" w:before="0" w:after="0"/>
        <w:jc w:val="both"/>
        <w:rPr/>
      </w:pPr>
      <w:r>
        <w:rPr/>
        <w:t>A similar study can be done with students from other professional courses, not just B.Tech and B. Pharm.</w:t>
      </w:r>
    </w:p>
    <w:p>
      <w:pPr>
        <w:pStyle w:val="BodyText"/>
        <w:numPr>
          <w:ilvl w:val="0"/>
          <w:numId w:val="3"/>
        </w:numPr>
        <w:tabs>
          <w:tab w:val="clear" w:pos="720"/>
          <w:tab w:val="left" w:pos="709" w:leader="none"/>
        </w:tabs>
        <w:spacing w:lineRule="auto" w:line="360" w:before="0" w:after="0"/>
        <w:jc w:val="both"/>
        <w:rPr/>
      </w:pPr>
      <w:r>
        <w:rPr/>
        <w:t>A comparative study can also be conducted in other professional institutes and universities across India.</w:t>
      </w:r>
    </w:p>
    <w:p>
      <w:pPr>
        <w:pStyle w:val="BodyText"/>
        <w:numPr>
          <w:ilvl w:val="0"/>
          <w:numId w:val="3"/>
        </w:numPr>
        <w:tabs>
          <w:tab w:val="clear" w:pos="720"/>
          <w:tab w:val="left" w:pos="709" w:leader="none"/>
        </w:tabs>
        <w:spacing w:lineRule="auto" w:line="360"/>
        <w:jc w:val="both"/>
        <w:rPr/>
      </w:pPr>
      <w:r>
        <w:rPr/>
        <w:t>A larger sample can be used, covering the entire state or even the whole country.</w:t>
      </w:r>
    </w:p>
    <w:p>
      <w:pPr>
        <w:pStyle w:val="BodyText"/>
        <w:numPr>
          <w:ilvl w:val="0"/>
          <w:numId w:val="3"/>
        </w:numPr>
        <w:tabs>
          <w:tab w:val="clear" w:pos="720"/>
          <w:tab w:val="left" w:pos="709" w:leader="none"/>
        </w:tabs>
        <w:spacing w:lineRule="auto" w:line="360"/>
        <w:jc w:val="both"/>
        <w:rPr/>
      </w:pPr>
      <w:r>
        <w:rPr>
          <w:rFonts w:ascii="Times New Roman" w:hAnsi="Times New Roman"/>
        </w:rPr>
        <w:t>Various studies may be conducted on the various other factors of mental health and its effect on academic achievements.</w:t>
      </w:r>
    </w:p>
    <w:p>
      <w:pPr>
        <w:pStyle w:val="BodyText"/>
        <w:spacing w:lineRule="auto" w:line="360"/>
        <w:jc w:val="center"/>
        <w:rPr/>
      </w:pPr>
      <w:r>
        <w:rPr>
          <w:rStyle w:val="Strong"/>
          <w:rFonts w:ascii="Times New Roman" w:hAnsi="Times New Roman"/>
          <w:sz w:val="28"/>
        </w:rPr>
        <w:t>References</w:t>
      </w:r>
    </w:p>
    <w:p>
      <w:pPr>
        <w:pStyle w:val="BodyText"/>
        <w:numPr>
          <w:ilvl w:val="0"/>
          <w:numId w:val="4"/>
        </w:numPr>
        <w:spacing w:lineRule="auto" w:line="360"/>
        <w:jc w:val="both"/>
        <w:rPr/>
      </w:pPr>
      <w:r>
        <w:rPr>
          <w:rFonts w:ascii="Times New Roman" w:hAnsi="Times New Roman"/>
        </w:rPr>
        <w:t xml:space="preserve">Goyal, K., Singh, R., &amp; Singh, S. (2012). Academic stress and its sources among university students. </w:t>
      </w:r>
      <w:r>
        <w:rPr>
          <w:rStyle w:val="Emphasis"/>
          <w:rFonts w:ascii="Times New Roman" w:hAnsi="Times New Roman"/>
        </w:rPr>
        <w:t>Indian Journal of Psychological Medicine, 34</w:t>
      </w:r>
      <w:r>
        <w:rPr>
          <w:rFonts w:ascii="Times New Roman" w:hAnsi="Times New Roman"/>
        </w:rPr>
        <w:t>(1), 45-48. https://doi.org/10.4103/0253-7176.96150</w:t>
      </w:r>
    </w:p>
    <w:p>
      <w:pPr>
        <w:pStyle w:val="BodyText"/>
        <w:numPr>
          <w:ilvl w:val="0"/>
          <w:numId w:val="4"/>
        </w:numPr>
        <w:spacing w:lineRule="auto" w:line="360"/>
        <w:jc w:val="both"/>
        <w:rPr/>
      </w:pPr>
      <w:r>
        <w:rPr>
          <w:rFonts w:ascii="Times New Roman" w:hAnsi="Times New Roman"/>
          <w:lang w:val="sv-SE"/>
        </w:rPr>
        <w:t xml:space="preserve">Kumar, P., &amp; Bhukar, J. P. (2013). </w:t>
      </w:r>
      <w:r>
        <w:rPr>
          <w:rFonts w:ascii="Times New Roman" w:hAnsi="Times New Roman"/>
        </w:rPr>
        <w:t xml:space="preserve">Stress level and coping strategies of college students. </w:t>
      </w:r>
      <w:r>
        <w:rPr>
          <w:rStyle w:val="Emphasis"/>
          <w:rFonts w:ascii="Times New Roman" w:hAnsi="Times New Roman"/>
        </w:rPr>
        <w:t>Journal of Physical Education and Sport Management, 4</w:t>
      </w:r>
      <w:r>
        <w:rPr>
          <w:rFonts w:ascii="Times New Roman" w:hAnsi="Times New Roman"/>
        </w:rPr>
        <w:t>(1), 5-11. https://doi.org/10.5897/JPESM2012.022</w:t>
      </w:r>
    </w:p>
    <w:p>
      <w:pPr>
        <w:pStyle w:val="BodyText"/>
        <w:numPr>
          <w:ilvl w:val="0"/>
          <w:numId w:val="4"/>
        </w:numPr>
        <w:spacing w:lineRule="auto" w:line="360"/>
        <w:jc w:val="both"/>
        <w:rPr/>
      </w:pPr>
      <w:r>
        <w:rPr>
          <w:rFonts w:ascii="Times New Roman" w:hAnsi="Times New Roman"/>
        </w:rPr>
        <w:t xml:space="preserve">Mitra, R., &amp; Singh, K. (2015). Loneliness, depression, and social isolation among students in Indian universities. </w:t>
      </w:r>
      <w:r>
        <w:rPr>
          <w:rStyle w:val="Emphasis"/>
          <w:rFonts w:ascii="Times New Roman" w:hAnsi="Times New Roman"/>
        </w:rPr>
        <w:t>Journal of Mental Health, 24</w:t>
      </w:r>
      <w:r>
        <w:rPr>
          <w:rFonts w:ascii="Times New Roman" w:hAnsi="Times New Roman"/>
        </w:rPr>
        <w:t>(3), 123-132. https://doi.org/10.1080/09638237.2015.1036977</w:t>
      </w:r>
    </w:p>
    <w:p>
      <w:pPr>
        <w:pStyle w:val="BodyText"/>
        <w:numPr>
          <w:ilvl w:val="0"/>
          <w:numId w:val="4"/>
        </w:numPr>
        <w:spacing w:lineRule="auto" w:line="360"/>
        <w:jc w:val="both"/>
        <w:rPr/>
      </w:pPr>
      <w:r>
        <w:rPr>
          <w:rFonts w:ascii="Times New Roman" w:hAnsi="Times New Roman"/>
        </w:rPr>
        <w:t xml:space="preserve">Singh, A. (2017). Prevalence of depression, anxiety, and stress among Indian students. </w:t>
      </w:r>
      <w:r>
        <w:rPr>
          <w:rStyle w:val="Emphasis"/>
          <w:rFonts w:ascii="Times New Roman" w:hAnsi="Times New Roman"/>
        </w:rPr>
        <w:t>Asian Journal of Psychiatry, 28</w:t>
      </w:r>
      <w:r>
        <w:rPr>
          <w:rFonts w:ascii="Times New Roman" w:hAnsi="Times New Roman"/>
        </w:rPr>
        <w:t>(2), 23-27. https://doi.org/10.1016/j.ajp.2017.10.020</w:t>
      </w:r>
    </w:p>
    <w:p>
      <w:pPr>
        <w:pStyle w:val="BodyText"/>
        <w:numPr>
          <w:ilvl w:val="0"/>
          <w:numId w:val="4"/>
        </w:numPr>
        <w:spacing w:lineRule="auto" w:line="360"/>
        <w:jc w:val="both"/>
        <w:rPr/>
      </w:pPr>
      <w:r>
        <w:rPr/>
        <w:t>Lata, S., &amp; Kumar, K. (2017). Mental Health of Male and Female Professional Course Students: A Comparative Study. International Journal of Research in Engineering, IT and Social Sciences, 7(9), 22–26. https://doi.org/10.5281/zenodo.13732955</w:t>
      </w:r>
    </w:p>
    <w:p>
      <w:pPr>
        <w:pStyle w:val="BodyText"/>
        <w:numPr>
          <w:ilvl w:val="0"/>
          <w:numId w:val="4"/>
        </w:numPr>
        <w:spacing w:lineRule="auto" w:line="360"/>
        <w:jc w:val="both"/>
        <w:rPr/>
      </w:pPr>
      <w:r>
        <w:rPr>
          <w:rFonts w:ascii="Times New Roman" w:hAnsi="Times New Roman"/>
          <w:lang w:val="sv-SE"/>
        </w:rPr>
        <w:t xml:space="preserve">Verma, S., Sharma, D., &amp; Larson, R. W. (2013). </w:t>
      </w:r>
      <w:r>
        <w:rPr>
          <w:rFonts w:ascii="Times New Roman" w:hAnsi="Times New Roman"/>
        </w:rPr>
        <w:t xml:space="preserve">School stress in India: Effects on time and daily emotions. </w:t>
      </w:r>
      <w:r>
        <w:rPr>
          <w:rStyle w:val="Emphasis"/>
          <w:rFonts w:ascii="Times New Roman" w:hAnsi="Times New Roman"/>
        </w:rPr>
        <w:t>International Journal of Behavioral Development, 24</w:t>
      </w:r>
      <w:r>
        <w:rPr>
          <w:rFonts w:ascii="Times New Roman" w:hAnsi="Times New Roman"/>
        </w:rPr>
        <w:t>(2), 133-140. https://doi.org/10.1080/01650250143000041</w:t>
      </w:r>
    </w:p>
    <w:p>
      <w:pPr>
        <w:pStyle w:val="BodyText"/>
        <w:numPr>
          <w:ilvl w:val="0"/>
          <w:numId w:val="4"/>
        </w:numPr>
        <w:spacing w:lineRule="auto" w:line="360"/>
        <w:jc w:val="both"/>
        <w:rPr/>
      </w:pPr>
      <w:r>
        <w:rPr/>
        <w:t>Paneerselvam, G. S. (2023). Empowering Minds: A Study of Mental Health Among Pharmacy Students. </w:t>
      </w:r>
      <w:r>
        <w:rPr>
          <w:i/>
          <w:iCs/>
        </w:rPr>
        <w:t>Progress in Drug Discovery &amp; Biomedical Science</w:t>
      </w:r>
      <w:r>
        <w:rPr/>
        <w:t>, </w:t>
      </w:r>
      <w:r>
        <w:rPr>
          <w:i/>
          <w:iCs/>
        </w:rPr>
        <w:t>6</w:t>
      </w:r>
      <w:r>
        <w:rPr/>
        <w:t>(1). https://doi.org/10.36877/pddbs.a0000363</w:t>
      </w:r>
    </w:p>
    <w:p>
      <w:pPr>
        <w:pStyle w:val="BodyText"/>
        <w:numPr>
          <w:ilvl w:val="0"/>
          <w:numId w:val="4"/>
        </w:numPr>
        <w:spacing w:lineRule="auto" w:line="360"/>
        <w:jc w:val="both"/>
        <w:rPr/>
      </w:pPr>
      <w:r>
        <w:rPr/>
        <w:t>Gable, K. N., Muhlstadt, K. L., &amp; Celio, M. A. (2011). A Mental Health Elective to Improve Pharmacy Students’ Perspectives on Mental Illness. </w:t>
      </w:r>
      <w:r>
        <w:rPr>
          <w:i/>
          <w:iCs/>
        </w:rPr>
        <w:t>American Journal of Pharmaceutical Education</w:t>
      </w:r>
      <w:r>
        <w:rPr/>
        <w:t>, </w:t>
      </w:r>
      <w:r>
        <w:rPr>
          <w:i/>
          <w:iCs/>
        </w:rPr>
        <w:t>75</w:t>
      </w:r>
      <w:r>
        <w:rPr/>
        <w:t>(2), 34. https://doi.org/10.5688/ajpe75234</w:t>
      </w:r>
    </w:p>
    <w:p>
      <w:pPr>
        <w:pStyle w:val="BodyText"/>
        <w:numPr>
          <w:ilvl w:val="0"/>
          <w:numId w:val="4"/>
        </w:numPr>
        <w:spacing w:lineRule="auto" w:line="360"/>
        <w:jc w:val="both"/>
        <w:rPr/>
      </w:pPr>
      <w:r>
        <w:rPr/>
        <w:t>Pant, N., &amp; Sharma, O. K. (2021). The Effect of Professional and Non-Professional Courses on Mental Health among College Students. Islamic Guidance and Counseling Journal, 4(1), 98–105. https://doi.org/10.25217/igcj.v4i1.1243</w:t>
      </w:r>
    </w:p>
    <w:p>
      <w:pPr>
        <w:pStyle w:val="BodyText"/>
        <w:numPr>
          <w:ilvl w:val="0"/>
          <w:numId w:val="4"/>
        </w:numPr>
        <w:spacing w:lineRule="auto" w:line="360"/>
        <w:jc w:val="both"/>
        <w:rPr/>
      </w:pPr>
      <w:r>
        <w:rPr>
          <w:lang w:val="sv-SE"/>
        </w:rPr>
        <w:t xml:space="preserve">Silva, M. F. D., Lopes, L. T. C., Silva, D. U. D., Silva, M. E. S. F. D., Santos, F. W. D., Xavier, C. R. D. S. G., Silva, E. E. D., Santana, K. D. D., Santos, M. N. C. D., Andrade, L. V. D. S. D., Paz, E. R. T. D., Silva, W. R. D. M., &amp; Felix, P. T. (2023). </w:t>
      </w:r>
      <w:r>
        <w:rPr/>
        <w:t>Mental health of university students: a social and psychological view. </w:t>
      </w:r>
      <w:r>
        <w:rPr>
          <w:i/>
          <w:iCs/>
        </w:rPr>
        <w:t>IJS - International Journal of Sciences</w:t>
      </w:r>
      <w:r>
        <w:rPr/>
        <w:t>, </w:t>
      </w:r>
      <w:r>
        <w:rPr>
          <w:i/>
          <w:iCs/>
        </w:rPr>
        <w:t>6</w:t>
      </w:r>
      <w:r>
        <w:rPr/>
        <w:t>(1), 1–7. https://doi.org/10.29327/229003.6.1-1</w:t>
      </w:r>
    </w:p>
    <w:p>
      <w:pPr>
        <w:pStyle w:val="BodyText"/>
        <w:tabs>
          <w:tab w:val="clear" w:pos="720"/>
          <w:tab w:val="left" w:pos="684" w:leader="none"/>
          <w:tab w:val="left" w:pos="1416" w:leader="none"/>
          <w:tab w:val="left" w:pos="3324" w:leader="none"/>
          <w:tab w:val="left" w:pos="3504" w:leader="none"/>
          <w:tab w:val="left" w:pos="3540" w:leader="none"/>
          <w:tab w:val="left" w:pos="3684" w:leader="none"/>
        </w:tabs>
        <w:spacing w:lineRule="auto" w:line="360"/>
        <w:rPr>
          <w:rFonts w:ascii="Times New Roman" w:hAnsi="Times New Roman" w:cs="Times New Roman"/>
          <w:b/>
          <w:bCs/>
          <w:sz w:val="28"/>
          <w:szCs w:val="28"/>
        </w:rPr>
      </w:pPr>
      <w:r>
        <w:rPr>
          <w:rFonts w:cs="Times New Roman" w:ascii="Times New Roman" w:hAnsi="Times New Roman"/>
          <w:b/>
          <w:bCs/>
          <w:sz w:val="28"/>
          <w:szCs w:val="28"/>
        </w:rPr>
      </w:r>
    </w:p>
    <w:p>
      <w:pPr>
        <w:pStyle w:val="Normal"/>
        <w:spacing w:lineRule="auto" w:line="360"/>
        <w:rPr>
          <w:rFonts w:ascii="Times New Roman" w:hAnsi="Times New Roman" w:cs="Times New Roman"/>
          <w:lang w:val="en-US"/>
        </w:rPr>
      </w:pPr>
      <w:r>
        <w:rPr>
          <w:rFonts w:cs="Times New Roman" w:ascii="Times New Roman" w:hAnsi="Times New Roman"/>
          <w:lang w:val="en-US"/>
        </w:rPr>
      </w:r>
    </w:p>
    <w:p>
      <w:pPr>
        <w:pStyle w:val="Normal"/>
        <w:spacing w:lineRule="auto" w:line="360" w:before="0" w:after="160"/>
        <w:rPr>
          <w:rFonts w:ascii="Times New Roman" w:hAnsi="Times New Roman" w:cs="Times New Roman"/>
          <w:lang w:val="en-US"/>
        </w:rPr>
      </w:pPr>
      <w:r>
        <w:rPr>
          <w:rFonts w:cs="Times New Roman" w:ascii="Times New Roman" w:hAnsi="Times New Roman"/>
          <w:lang w:val="en-US"/>
        </w:rPr>
      </w:r>
    </w:p>
    <w:sectPr>
      <w:type w:val="nextPage"/>
      <w:pgSz w:w="12240" w:h="15840"/>
      <w:pgMar w:left="1440" w:right="144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Times New Roman">
    <w:charset w:val="01"/>
    <w:family w:val="roman"/>
    <w:pitch w:val="variable"/>
  </w:font>
  <w:font w:name="Liberation Sans">
    <w:altName w:val="Arial"/>
    <w:charset w:val="00"/>
    <w:family w:val="roman"/>
    <w:pitch w:val="variable"/>
  </w:font>
  <w:font w:name="Aptos Narrow">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
    <w:lvl w:ilvl="0">
      <w:start w:val="1"/>
      <w:numFmt w:val="decimal"/>
      <w:lvlText w:val="%1)"/>
      <w:lvlJc w:val="left"/>
      <w:pPr>
        <w:tabs>
          <w:tab w:val="num" w:pos="397"/>
        </w:tabs>
        <w:ind w:left="754" w:hanging="397"/>
      </w:pPr>
      <w:rPr>
        <w:rFonts w:ascii="Times New Roman" w:hAnsi="Times New Roman"/>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3">
    <w:lvl w:ilvl="0">
      <w:start w:val="1"/>
      <w:numFmt w:val="decimal"/>
      <w:lvlText w:val="%1."/>
      <w:lvlJc w:val="left"/>
      <w:pPr>
        <w:tabs>
          <w:tab w:val="num" w:pos="709"/>
        </w:tabs>
        <w:ind w:left="709" w:hanging="283"/>
      </w:pPr>
      <w:rPr>
        <w:b/>
        <w:bCs/>
      </w:rPr>
    </w:lvl>
    <w:lvl w:ilvl="1">
      <w:start w:val="1"/>
      <w:numFmt w:val="decimal"/>
      <w:lvlText w:val="%2."/>
      <w:lvlJc w:val="left"/>
      <w:pPr>
        <w:tabs>
          <w:tab w:val="num" w:pos="1418"/>
        </w:tabs>
        <w:ind w:left="1418" w:hanging="283"/>
      </w:pPr>
      <w:rPr>
        <w:b/>
        <w:bCs/>
      </w:rPr>
    </w:lvl>
    <w:lvl w:ilvl="2">
      <w:start w:val="1"/>
      <w:numFmt w:val="decimal"/>
      <w:lvlText w:val="%3."/>
      <w:lvlJc w:val="left"/>
      <w:pPr>
        <w:tabs>
          <w:tab w:val="num" w:pos="2127"/>
        </w:tabs>
        <w:ind w:left="2127" w:hanging="283"/>
      </w:pPr>
      <w:rPr>
        <w:b/>
        <w:bCs/>
      </w:rPr>
    </w:lvl>
    <w:lvl w:ilvl="3">
      <w:start w:val="1"/>
      <w:numFmt w:val="decimal"/>
      <w:lvlText w:val="%4."/>
      <w:lvlJc w:val="left"/>
      <w:pPr>
        <w:tabs>
          <w:tab w:val="num" w:pos="2836"/>
        </w:tabs>
        <w:ind w:left="2836" w:hanging="283"/>
      </w:pPr>
      <w:rPr>
        <w:b/>
        <w:bCs/>
      </w:rPr>
    </w:lvl>
    <w:lvl w:ilvl="4">
      <w:start w:val="1"/>
      <w:numFmt w:val="decimal"/>
      <w:lvlText w:val="%5."/>
      <w:lvlJc w:val="left"/>
      <w:pPr>
        <w:tabs>
          <w:tab w:val="num" w:pos="3545"/>
        </w:tabs>
        <w:ind w:left="3545" w:hanging="283"/>
      </w:pPr>
      <w:rPr>
        <w:b/>
        <w:bCs/>
      </w:rPr>
    </w:lvl>
    <w:lvl w:ilvl="5">
      <w:start w:val="1"/>
      <w:numFmt w:val="decimal"/>
      <w:lvlText w:val="%6."/>
      <w:lvlJc w:val="left"/>
      <w:pPr>
        <w:tabs>
          <w:tab w:val="num" w:pos="4254"/>
        </w:tabs>
        <w:ind w:left="4254" w:hanging="283"/>
      </w:pPr>
      <w:rPr>
        <w:b/>
        <w:bCs/>
      </w:rPr>
    </w:lvl>
    <w:lvl w:ilvl="6">
      <w:start w:val="1"/>
      <w:numFmt w:val="decimal"/>
      <w:lvlText w:val="%7."/>
      <w:lvlJc w:val="left"/>
      <w:pPr>
        <w:tabs>
          <w:tab w:val="num" w:pos="4963"/>
        </w:tabs>
        <w:ind w:left="4963" w:hanging="283"/>
      </w:pPr>
      <w:rPr>
        <w:b/>
        <w:bCs/>
      </w:rPr>
    </w:lvl>
    <w:lvl w:ilvl="7">
      <w:start w:val="1"/>
      <w:numFmt w:val="decimal"/>
      <w:lvlText w:val="%8."/>
      <w:lvlJc w:val="left"/>
      <w:pPr>
        <w:tabs>
          <w:tab w:val="num" w:pos="5672"/>
        </w:tabs>
        <w:ind w:left="5672" w:hanging="283"/>
      </w:pPr>
      <w:rPr>
        <w:b/>
        <w:bCs/>
      </w:rPr>
    </w:lvl>
    <w:lvl w:ilvl="8">
      <w:start w:val="1"/>
      <w:numFmt w:val="decimal"/>
      <w:lvlText w:val="%9."/>
      <w:lvlJc w:val="left"/>
      <w:pPr>
        <w:tabs>
          <w:tab w:val="num" w:pos="6381"/>
        </w:tabs>
        <w:ind w:left="6381" w:hanging="283"/>
      </w:pPr>
      <w:rPr>
        <w:b/>
        <w:bCs/>
      </w:rPr>
    </w:lvl>
  </w:abstractNum>
  <w:abstractNum w:abstractNumId="4">
    <w:lvl w:ilvl="0">
      <w:start w:val="1"/>
      <w:numFmt w:val="decimal"/>
      <w:lvlText w:val="%1)"/>
      <w:lvlJc w:val="left"/>
      <w:pPr>
        <w:tabs>
          <w:tab w:val="num" w:pos="0"/>
        </w:tabs>
        <w:ind w:left="720" w:hanging="360"/>
      </w:pPr>
      <w:rPr>
        <w:b/>
        <w:bCs/>
        <w:rFonts w:ascii="Times New Roman" w:hAnsi="Times New Roman"/>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720"/>
        </w:tabs>
        <w:ind w:left="720" w:hanging="360"/>
      </w:pPr>
      <w:rPr>
        <w:b/>
        <w:bCs/>
      </w:rPr>
    </w:lvl>
    <w:lvl w:ilvl="1">
      <w:start w:val="1"/>
      <w:numFmt w:val="decimal"/>
      <w:lvlText w:val="%2."/>
      <w:lvlJc w:val="left"/>
      <w:pPr>
        <w:tabs>
          <w:tab w:val="num" w:pos="1080"/>
        </w:tabs>
        <w:ind w:left="1080" w:hanging="360"/>
      </w:pPr>
      <w:rPr>
        <w:b/>
        <w:bCs/>
      </w:rPr>
    </w:lvl>
    <w:lvl w:ilvl="2">
      <w:start w:val="3"/>
      <w:numFmt w:val="upperRoman"/>
      <w:lvlText w:val="%3."/>
      <w:lvlJc w:val="left"/>
      <w:pPr>
        <w:tabs>
          <w:tab w:val="num" w:pos="1440"/>
        </w:tabs>
        <w:ind w:left="1440" w:hanging="360"/>
      </w:pPr>
      <w:rPr>
        <w:b/>
        <w:bCs/>
      </w:rPr>
    </w:lvl>
    <w:lvl w:ilvl="3">
      <w:start w:val="1"/>
      <w:numFmt w:val="decimal"/>
      <w:lvlText w:val="%4."/>
      <w:lvlJc w:val="left"/>
      <w:pPr>
        <w:tabs>
          <w:tab w:val="num" w:pos="1800"/>
        </w:tabs>
        <w:ind w:left="1800" w:hanging="360"/>
      </w:pPr>
      <w:rPr>
        <w:b/>
        <w:bCs/>
      </w:rPr>
    </w:lvl>
    <w:lvl w:ilvl="4">
      <w:start w:val="1"/>
      <w:numFmt w:val="decimal"/>
      <w:lvlText w:val="%5."/>
      <w:lvlJc w:val="left"/>
      <w:pPr>
        <w:tabs>
          <w:tab w:val="num" w:pos="2160"/>
        </w:tabs>
        <w:ind w:left="2160" w:hanging="360"/>
      </w:pPr>
      <w:rPr>
        <w:b/>
        <w:bCs/>
      </w:rPr>
    </w:lvl>
    <w:lvl w:ilvl="5">
      <w:start w:val="1"/>
      <w:numFmt w:val="decimal"/>
      <w:lvlText w:val="%6."/>
      <w:lvlJc w:val="left"/>
      <w:pPr>
        <w:tabs>
          <w:tab w:val="num" w:pos="2520"/>
        </w:tabs>
        <w:ind w:left="2520" w:hanging="360"/>
      </w:pPr>
      <w:rPr>
        <w:b/>
        <w:bCs/>
      </w:rPr>
    </w:lvl>
    <w:lvl w:ilvl="6">
      <w:start w:val="1"/>
      <w:numFmt w:val="decimal"/>
      <w:lvlText w:val="%7."/>
      <w:lvlJc w:val="left"/>
      <w:pPr>
        <w:tabs>
          <w:tab w:val="num" w:pos="2880"/>
        </w:tabs>
        <w:ind w:left="2880" w:hanging="360"/>
      </w:pPr>
      <w:rPr>
        <w:b/>
        <w:bCs/>
      </w:rPr>
    </w:lvl>
    <w:lvl w:ilvl="7">
      <w:start w:val="1"/>
      <w:numFmt w:val="decimal"/>
      <w:lvlText w:val="%8."/>
      <w:lvlJc w:val="left"/>
      <w:pPr>
        <w:tabs>
          <w:tab w:val="num" w:pos="3240"/>
        </w:tabs>
        <w:ind w:left="3240" w:hanging="360"/>
      </w:pPr>
      <w:rPr>
        <w:b/>
        <w:bCs/>
      </w:rPr>
    </w:lvl>
    <w:lvl w:ilvl="8">
      <w:start w:val="1"/>
      <w:numFmt w:val="decimal"/>
      <w:lvlText w:val="%9."/>
      <w:lvlJc w:val="left"/>
      <w:pPr>
        <w:tabs>
          <w:tab w:val="num" w:pos="3600"/>
        </w:tabs>
        <w:ind w:left="3600" w:hanging="360"/>
      </w:pPr>
      <w:rPr>
        <w:b/>
        <w:bCs/>
      </w:rPr>
    </w:lvl>
  </w:abstractNum>
  <w:abstractNum w:abstractNumId="6">
    <w:lvl w:ilvl="0">
      <w:start w:val="1"/>
      <w:numFmt w:val="decimal"/>
      <w:lvlText w:val="%1."/>
      <w:lvlJc w:val="left"/>
      <w:pPr>
        <w:tabs>
          <w:tab w:val="num" w:pos="720"/>
        </w:tabs>
        <w:ind w:left="720" w:hanging="360"/>
      </w:pPr>
      <w:rPr>
        <w:b/>
        <w:bCs/>
      </w:rPr>
    </w:lvl>
    <w:lvl w:ilvl="1">
      <w:start w:val="1"/>
      <w:numFmt w:val="decimal"/>
      <w:lvlText w:val="%2."/>
      <w:lvlJc w:val="left"/>
      <w:pPr>
        <w:tabs>
          <w:tab w:val="num" w:pos="1080"/>
        </w:tabs>
        <w:ind w:left="1080" w:hanging="360"/>
      </w:pPr>
      <w:rPr>
        <w:b/>
        <w:bCs/>
      </w:rPr>
    </w:lvl>
    <w:lvl w:ilvl="2">
      <w:start w:val="3"/>
      <w:numFmt w:val="upperRoman"/>
      <w:lvlText w:val="%3."/>
      <w:lvlJc w:val="left"/>
      <w:pPr>
        <w:tabs>
          <w:tab w:val="num" w:pos="1440"/>
        </w:tabs>
        <w:ind w:left="1440" w:hanging="360"/>
      </w:pPr>
      <w:rPr>
        <w:b/>
        <w:bCs/>
      </w:rPr>
    </w:lvl>
    <w:lvl w:ilvl="3">
      <w:start w:val="1"/>
      <w:numFmt w:val="decimal"/>
      <w:lvlText w:val="%4."/>
      <w:lvlJc w:val="left"/>
      <w:pPr>
        <w:tabs>
          <w:tab w:val="num" w:pos="1800"/>
        </w:tabs>
        <w:ind w:left="1800" w:hanging="360"/>
      </w:pPr>
      <w:rPr>
        <w:b/>
        <w:bCs/>
      </w:rPr>
    </w:lvl>
    <w:lvl w:ilvl="4">
      <w:start w:val="1"/>
      <w:numFmt w:val="decimal"/>
      <w:lvlText w:val="%5."/>
      <w:lvlJc w:val="left"/>
      <w:pPr>
        <w:tabs>
          <w:tab w:val="num" w:pos="2160"/>
        </w:tabs>
        <w:ind w:left="2160" w:hanging="360"/>
      </w:pPr>
      <w:rPr>
        <w:b/>
        <w:bCs/>
      </w:rPr>
    </w:lvl>
    <w:lvl w:ilvl="5">
      <w:start w:val="1"/>
      <w:numFmt w:val="decimal"/>
      <w:lvlText w:val="%6."/>
      <w:lvlJc w:val="left"/>
      <w:pPr>
        <w:tabs>
          <w:tab w:val="num" w:pos="2520"/>
        </w:tabs>
        <w:ind w:left="2520" w:hanging="360"/>
      </w:pPr>
      <w:rPr>
        <w:b/>
        <w:bCs/>
      </w:rPr>
    </w:lvl>
    <w:lvl w:ilvl="6">
      <w:start w:val="1"/>
      <w:numFmt w:val="decimal"/>
      <w:lvlText w:val="%7."/>
      <w:lvlJc w:val="left"/>
      <w:pPr>
        <w:tabs>
          <w:tab w:val="num" w:pos="2880"/>
        </w:tabs>
        <w:ind w:left="2880" w:hanging="360"/>
      </w:pPr>
      <w:rPr>
        <w:b/>
        <w:bCs/>
      </w:rPr>
    </w:lvl>
    <w:lvl w:ilvl="7">
      <w:start w:val="1"/>
      <w:numFmt w:val="decimal"/>
      <w:lvlText w:val="%8."/>
      <w:lvlJc w:val="left"/>
      <w:pPr>
        <w:tabs>
          <w:tab w:val="num" w:pos="3240"/>
        </w:tabs>
        <w:ind w:left="3240" w:hanging="360"/>
      </w:pPr>
      <w:rPr>
        <w:b/>
        <w:bCs/>
      </w:rPr>
    </w:lvl>
    <w:lvl w:ilvl="8">
      <w:start w:val="1"/>
      <w:numFmt w:val="decimal"/>
      <w:lvlText w:val="%9."/>
      <w:lvlJc w:val="left"/>
      <w:pPr>
        <w:tabs>
          <w:tab w:val="num" w:pos="3600"/>
        </w:tabs>
        <w:ind w:left="3600" w:hanging="360"/>
      </w:pPr>
      <w:rPr>
        <w:b/>
        <w:bCs/>
      </w:rPr>
    </w:lvl>
  </w:abstractNum>
  <w:abstractNum w:abstractNumId="7">
    <w:lvl w:ilvl="0">
      <w:start w:val="1"/>
      <w:numFmt w:val="decimal"/>
      <w:lvlText w:val="%1."/>
      <w:lvlJc w:val="left"/>
      <w:pPr>
        <w:tabs>
          <w:tab w:val="num" w:pos="720"/>
        </w:tabs>
        <w:ind w:left="720" w:hanging="360"/>
      </w:pPr>
      <w:rPr>
        <w:b/>
        <w:bCs/>
      </w:rPr>
    </w:lvl>
    <w:lvl w:ilvl="1">
      <w:start w:val="1"/>
      <w:numFmt w:val="decimal"/>
      <w:lvlText w:val="%2."/>
      <w:lvlJc w:val="left"/>
      <w:pPr>
        <w:tabs>
          <w:tab w:val="num" w:pos="1080"/>
        </w:tabs>
        <w:ind w:left="1080" w:hanging="360"/>
      </w:pPr>
      <w:rPr>
        <w:b/>
        <w:bCs/>
      </w:rPr>
    </w:lvl>
    <w:lvl w:ilvl="2">
      <w:start w:val="3"/>
      <w:numFmt w:val="upperRoman"/>
      <w:lvlText w:val="%3."/>
      <w:lvlJc w:val="left"/>
      <w:pPr>
        <w:tabs>
          <w:tab w:val="num" w:pos="1440"/>
        </w:tabs>
        <w:ind w:left="1440" w:hanging="360"/>
      </w:pPr>
      <w:rPr>
        <w:b/>
        <w:bCs/>
      </w:rPr>
    </w:lvl>
    <w:lvl w:ilvl="3">
      <w:start w:val="1"/>
      <w:numFmt w:val="decimal"/>
      <w:lvlText w:val="%4."/>
      <w:lvlJc w:val="left"/>
      <w:pPr>
        <w:tabs>
          <w:tab w:val="num" w:pos="1800"/>
        </w:tabs>
        <w:ind w:left="1800" w:hanging="360"/>
      </w:pPr>
      <w:rPr>
        <w:b/>
        <w:bCs/>
      </w:rPr>
    </w:lvl>
    <w:lvl w:ilvl="4">
      <w:start w:val="1"/>
      <w:numFmt w:val="decimal"/>
      <w:lvlText w:val="%5."/>
      <w:lvlJc w:val="left"/>
      <w:pPr>
        <w:tabs>
          <w:tab w:val="num" w:pos="2160"/>
        </w:tabs>
        <w:ind w:left="2160" w:hanging="360"/>
      </w:pPr>
      <w:rPr>
        <w:b/>
        <w:bCs/>
      </w:rPr>
    </w:lvl>
    <w:lvl w:ilvl="5">
      <w:start w:val="1"/>
      <w:numFmt w:val="decimal"/>
      <w:lvlText w:val="%6."/>
      <w:lvlJc w:val="left"/>
      <w:pPr>
        <w:tabs>
          <w:tab w:val="num" w:pos="2520"/>
        </w:tabs>
        <w:ind w:left="2520" w:hanging="360"/>
      </w:pPr>
      <w:rPr>
        <w:b/>
        <w:bCs/>
      </w:rPr>
    </w:lvl>
    <w:lvl w:ilvl="6">
      <w:start w:val="1"/>
      <w:numFmt w:val="decimal"/>
      <w:lvlText w:val="%7."/>
      <w:lvlJc w:val="left"/>
      <w:pPr>
        <w:tabs>
          <w:tab w:val="num" w:pos="2880"/>
        </w:tabs>
        <w:ind w:left="2880" w:hanging="360"/>
      </w:pPr>
      <w:rPr>
        <w:b/>
        <w:bCs/>
      </w:rPr>
    </w:lvl>
    <w:lvl w:ilvl="7">
      <w:start w:val="1"/>
      <w:numFmt w:val="decimal"/>
      <w:lvlText w:val="%8."/>
      <w:lvlJc w:val="left"/>
      <w:pPr>
        <w:tabs>
          <w:tab w:val="num" w:pos="3240"/>
        </w:tabs>
        <w:ind w:left="3240" w:hanging="360"/>
      </w:pPr>
      <w:rPr>
        <w:b/>
        <w:bCs/>
      </w:rPr>
    </w:lvl>
    <w:lvl w:ilvl="8">
      <w:start w:val="1"/>
      <w:numFmt w:val="decimal"/>
      <w:lvlText w:val="%9."/>
      <w:lvlJc w:val="left"/>
      <w:pPr>
        <w:tabs>
          <w:tab w:val="num" w:pos="3600"/>
        </w:tabs>
        <w:ind w:left="3600" w:hanging="360"/>
      </w:pPr>
      <w:rPr>
        <w:b/>
        <w:bCs/>
      </w:rPr>
    </w:lvl>
  </w:abstractNum>
  <w:abstractNum w:abstractNumId="8">
    <w:lvl w:ilvl="0">
      <w:start w:val="1"/>
      <w:numFmt w:val="decimal"/>
      <w:lvlText w:val="%1."/>
      <w:lvlJc w:val="left"/>
      <w:pPr>
        <w:tabs>
          <w:tab w:val="num" w:pos="720"/>
        </w:tabs>
        <w:ind w:left="720" w:hanging="360"/>
      </w:pPr>
      <w:rPr>
        <w:b/>
        <w:bCs/>
      </w:rPr>
    </w:lvl>
    <w:lvl w:ilvl="1">
      <w:start w:val="1"/>
      <w:numFmt w:val="decimal"/>
      <w:lvlText w:val="%2."/>
      <w:lvlJc w:val="left"/>
      <w:pPr>
        <w:tabs>
          <w:tab w:val="num" w:pos="1080"/>
        </w:tabs>
        <w:ind w:left="1080" w:hanging="360"/>
      </w:pPr>
      <w:rPr>
        <w:b/>
        <w:bCs/>
      </w:rPr>
    </w:lvl>
    <w:lvl w:ilvl="2">
      <w:start w:val="3"/>
      <w:numFmt w:val="upperRoman"/>
      <w:lvlText w:val="%3."/>
      <w:lvlJc w:val="left"/>
      <w:pPr>
        <w:tabs>
          <w:tab w:val="num" w:pos="1440"/>
        </w:tabs>
        <w:ind w:left="1440" w:hanging="360"/>
      </w:pPr>
      <w:rPr>
        <w:b/>
        <w:bCs/>
      </w:rPr>
    </w:lvl>
    <w:lvl w:ilvl="3">
      <w:start w:val="1"/>
      <w:numFmt w:val="decimal"/>
      <w:lvlText w:val="%4."/>
      <w:lvlJc w:val="left"/>
      <w:pPr>
        <w:tabs>
          <w:tab w:val="num" w:pos="1800"/>
        </w:tabs>
        <w:ind w:left="1800" w:hanging="360"/>
      </w:pPr>
      <w:rPr>
        <w:b/>
        <w:bCs/>
      </w:rPr>
    </w:lvl>
    <w:lvl w:ilvl="4">
      <w:start w:val="1"/>
      <w:numFmt w:val="decimal"/>
      <w:lvlText w:val="%5."/>
      <w:lvlJc w:val="left"/>
      <w:pPr>
        <w:tabs>
          <w:tab w:val="num" w:pos="2160"/>
        </w:tabs>
        <w:ind w:left="2160" w:hanging="360"/>
      </w:pPr>
      <w:rPr>
        <w:b/>
        <w:bCs/>
      </w:rPr>
    </w:lvl>
    <w:lvl w:ilvl="5">
      <w:start w:val="1"/>
      <w:numFmt w:val="decimal"/>
      <w:lvlText w:val="%6."/>
      <w:lvlJc w:val="left"/>
      <w:pPr>
        <w:tabs>
          <w:tab w:val="num" w:pos="2520"/>
        </w:tabs>
        <w:ind w:left="2520" w:hanging="360"/>
      </w:pPr>
      <w:rPr>
        <w:b/>
        <w:bCs/>
      </w:rPr>
    </w:lvl>
    <w:lvl w:ilvl="6">
      <w:start w:val="1"/>
      <w:numFmt w:val="decimal"/>
      <w:lvlText w:val="%7."/>
      <w:lvlJc w:val="left"/>
      <w:pPr>
        <w:tabs>
          <w:tab w:val="num" w:pos="2880"/>
        </w:tabs>
        <w:ind w:left="2880" w:hanging="360"/>
      </w:pPr>
      <w:rPr>
        <w:b/>
        <w:bCs/>
      </w:rPr>
    </w:lvl>
    <w:lvl w:ilvl="7">
      <w:start w:val="1"/>
      <w:numFmt w:val="decimal"/>
      <w:lvlText w:val="%8."/>
      <w:lvlJc w:val="left"/>
      <w:pPr>
        <w:tabs>
          <w:tab w:val="num" w:pos="3240"/>
        </w:tabs>
        <w:ind w:left="3240" w:hanging="360"/>
      </w:pPr>
      <w:rPr>
        <w:b/>
        <w:bCs/>
      </w:rPr>
    </w:lvl>
    <w:lvl w:ilvl="8">
      <w:start w:val="1"/>
      <w:numFmt w:val="decimal"/>
      <w:lvlText w:val="%9."/>
      <w:lvlJc w:val="left"/>
      <w:pPr>
        <w:tabs>
          <w:tab w:val="num" w:pos="3600"/>
        </w:tabs>
        <w:ind w:left="3600" w:hanging="360"/>
      </w:pPr>
      <w:rPr>
        <w:b/>
        <w:bCs/>
      </w:rPr>
    </w:lvl>
  </w:abstractNum>
  <w:abstractNum w:abstractNumId="9">
    <w:lvl w:ilvl="0">
      <w:start w:val="1"/>
      <w:numFmt w:val="decimal"/>
      <w:lvlText w:val="%1."/>
      <w:lvlJc w:val="left"/>
      <w:pPr>
        <w:tabs>
          <w:tab w:val="num" w:pos="720"/>
        </w:tabs>
        <w:ind w:left="720" w:hanging="360"/>
      </w:pPr>
      <w:rPr>
        <w:b/>
        <w:bCs/>
      </w:rPr>
    </w:lvl>
    <w:lvl w:ilvl="1">
      <w:start w:val="1"/>
      <w:numFmt w:val="decimal"/>
      <w:lvlText w:val="%2."/>
      <w:lvlJc w:val="left"/>
      <w:pPr>
        <w:tabs>
          <w:tab w:val="num" w:pos="1080"/>
        </w:tabs>
        <w:ind w:left="1080" w:hanging="360"/>
      </w:pPr>
      <w:rPr>
        <w:b/>
        <w:bCs/>
      </w:rPr>
    </w:lvl>
    <w:lvl w:ilvl="2">
      <w:start w:val="3"/>
      <w:numFmt w:val="upperRoman"/>
      <w:lvlText w:val="%3."/>
      <w:lvlJc w:val="left"/>
      <w:pPr>
        <w:tabs>
          <w:tab w:val="num" w:pos="1440"/>
        </w:tabs>
        <w:ind w:left="1440" w:hanging="360"/>
      </w:pPr>
      <w:rPr>
        <w:b/>
        <w:bCs/>
      </w:rPr>
    </w:lvl>
    <w:lvl w:ilvl="3">
      <w:start w:val="1"/>
      <w:numFmt w:val="decimal"/>
      <w:lvlText w:val="%4."/>
      <w:lvlJc w:val="left"/>
      <w:pPr>
        <w:tabs>
          <w:tab w:val="num" w:pos="1800"/>
        </w:tabs>
        <w:ind w:left="1800" w:hanging="360"/>
      </w:pPr>
      <w:rPr>
        <w:b/>
        <w:bCs/>
      </w:rPr>
    </w:lvl>
    <w:lvl w:ilvl="4">
      <w:start w:val="1"/>
      <w:numFmt w:val="decimal"/>
      <w:lvlText w:val="%5."/>
      <w:lvlJc w:val="left"/>
      <w:pPr>
        <w:tabs>
          <w:tab w:val="num" w:pos="2160"/>
        </w:tabs>
        <w:ind w:left="2160" w:hanging="360"/>
      </w:pPr>
      <w:rPr>
        <w:b/>
        <w:bCs/>
      </w:rPr>
    </w:lvl>
    <w:lvl w:ilvl="5">
      <w:start w:val="1"/>
      <w:numFmt w:val="decimal"/>
      <w:lvlText w:val="%6."/>
      <w:lvlJc w:val="left"/>
      <w:pPr>
        <w:tabs>
          <w:tab w:val="num" w:pos="2520"/>
        </w:tabs>
        <w:ind w:left="2520" w:hanging="360"/>
      </w:pPr>
      <w:rPr>
        <w:b/>
        <w:bCs/>
      </w:rPr>
    </w:lvl>
    <w:lvl w:ilvl="6">
      <w:start w:val="1"/>
      <w:numFmt w:val="decimal"/>
      <w:lvlText w:val="%7."/>
      <w:lvlJc w:val="left"/>
      <w:pPr>
        <w:tabs>
          <w:tab w:val="num" w:pos="2880"/>
        </w:tabs>
        <w:ind w:left="2880" w:hanging="360"/>
      </w:pPr>
      <w:rPr>
        <w:b/>
        <w:bCs/>
      </w:rPr>
    </w:lvl>
    <w:lvl w:ilvl="7">
      <w:start w:val="1"/>
      <w:numFmt w:val="decimal"/>
      <w:lvlText w:val="%8."/>
      <w:lvlJc w:val="left"/>
      <w:pPr>
        <w:tabs>
          <w:tab w:val="num" w:pos="3240"/>
        </w:tabs>
        <w:ind w:left="3240" w:hanging="360"/>
      </w:pPr>
      <w:rPr>
        <w:b/>
        <w:bCs/>
      </w:rPr>
    </w:lvl>
    <w:lvl w:ilvl="8">
      <w:start w:val="1"/>
      <w:numFmt w:val="decimal"/>
      <w:lvlText w:val="%9."/>
      <w:lvlJc w:val="left"/>
      <w:pPr>
        <w:tabs>
          <w:tab w:val="num" w:pos="3600"/>
        </w:tabs>
        <w:ind w:left="3600" w:hanging="360"/>
      </w:pPr>
      <w:rPr>
        <w:b/>
        <w:bCs/>
      </w:rPr>
    </w:lvl>
  </w:abstractNum>
  <w:abstractNum w:abstractNumId="10">
    <w:lvl w:ilvl="0">
      <w:start w:val="1"/>
      <w:numFmt w:val="decimal"/>
      <w:lvlText w:val="%1."/>
      <w:lvlJc w:val="left"/>
      <w:pPr>
        <w:tabs>
          <w:tab w:val="num" w:pos="720"/>
        </w:tabs>
        <w:ind w:left="720" w:hanging="360"/>
      </w:pPr>
      <w:rPr>
        <w:b/>
        <w:bCs/>
      </w:rPr>
    </w:lvl>
    <w:lvl w:ilvl="1">
      <w:start w:val="1"/>
      <w:numFmt w:val="decimal"/>
      <w:lvlText w:val="%2."/>
      <w:lvlJc w:val="left"/>
      <w:pPr>
        <w:tabs>
          <w:tab w:val="num" w:pos="1080"/>
        </w:tabs>
        <w:ind w:left="1080" w:hanging="360"/>
      </w:pPr>
      <w:rPr>
        <w:b/>
        <w:bCs/>
      </w:rPr>
    </w:lvl>
    <w:lvl w:ilvl="2">
      <w:start w:val="3"/>
      <w:numFmt w:val="upperRoman"/>
      <w:lvlText w:val="%3."/>
      <w:lvlJc w:val="left"/>
      <w:pPr>
        <w:tabs>
          <w:tab w:val="num" w:pos="1440"/>
        </w:tabs>
        <w:ind w:left="1440" w:hanging="360"/>
      </w:pPr>
      <w:rPr>
        <w:b/>
        <w:bCs/>
      </w:rPr>
    </w:lvl>
    <w:lvl w:ilvl="3">
      <w:start w:val="1"/>
      <w:numFmt w:val="decimal"/>
      <w:lvlText w:val="%4."/>
      <w:lvlJc w:val="left"/>
      <w:pPr>
        <w:tabs>
          <w:tab w:val="num" w:pos="1800"/>
        </w:tabs>
        <w:ind w:left="1800" w:hanging="360"/>
      </w:pPr>
      <w:rPr>
        <w:b/>
        <w:bCs/>
      </w:rPr>
    </w:lvl>
    <w:lvl w:ilvl="4">
      <w:start w:val="1"/>
      <w:numFmt w:val="decimal"/>
      <w:lvlText w:val="%5."/>
      <w:lvlJc w:val="left"/>
      <w:pPr>
        <w:tabs>
          <w:tab w:val="num" w:pos="2160"/>
        </w:tabs>
        <w:ind w:left="2160" w:hanging="360"/>
      </w:pPr>
      <w:rPr>
        <w:b/>
        <w:bCs/>
      </w:rPr>
    </w:lvl>
    <w:lvl w:ilvl="5">
      <w:start w:val="1"/>
      <w:numFmt w:val="decimal"/>
      <w:lvlText w:val="%6."/>
      <w:lvlJc w:val="left"/>
      <w:pPr>
        <w:tabs>
          <w:tab w:val="num" w:pos="2520"/>
        </w:tabs>
        <w:ind w:left="2520" w:hanging="360"/>
      </w:pPr>
      <w:rPr>
        <w:b/>
        <w:bCs/>
      </w:rPr>
    </w:lvl>
    <w:lvl w:ilvl="6">
      <w:start w:val="1"/>
      <w:numFmt w:val="decimal"/>
      <w:lvlText w:val="%7."/>
      <w:lvlJc w:val="left"/>
      <w:pPr>
        <w:tabs>
          <w:tab w:val="num" w:pos="2880"/>
        </w:tabs>
        <w:ind w:left="2880" w:hanging="360"/>
      </w:pPr>
      <w:rPr>
        <w:b/>
        <w:bCs/>
      </w:rPr>
    </w:lvl>
    <w:lvl w:ilvl="7">
      <w:start w:val="1"/>
      <w:numFmt w:val="decimal"/>
      <w:lvlText w:val="%8."/>
      <w:lvlJc w:val="left"/>
      <w:pPr>
        <w:tabs>
          <w:tab w:val="num" w:pos="3240"/>
        </w:tabs>
        <w:ind w:left="3240" w:hanging="360"/>
      </w:pPr>
      <w:rPr>
        <w:b/>
        <w:bCs/>
      </w:rPr>
    </w:lvl>
    <w:lvl w:ilvl="8">
      <w:start w:val="1"/>
      <w:numFmt w:val="decimal"/>
      <w:lvlText w:val="%9."/>
      <w:lvlJc w:val="left"/>
      <w:pPr>
        <w:tabs>
          <w:tab w:val="num" w:pos="3600"/>
        </w:tabs>
        <w:ind w:left="3600" w:hanging="360"/>
      </w:pPr>
      <w:rPr>
        <w:b/>
        <w:bCs/>
      </w:rPr>
    </w:lvl>
  </w:abstractNum>
  <w:abstractNum w:abstractNumId="11">
    <w:lvl w:ilvl="0">
      <w:start w:val="1"/>
      <w:numFmt w:val="decimal"/>
      <w:lvlText w:val="%1."/>
      <w:lvlJc w:val="left"/>
      <w:pPr>
        <w:tabs>
          <w:tab w:val="num" w:pos="720"/>
        </w:tabs>
        <w:ind w:left="720" w:hanging="360"/>
      </w:pPr>
      <w:rPr>
        <w:b/>
        <w:bCs/>
      </w:rPr>
    </w:lvl>
    <w:lvl w:ilvl="1">
      <w:start w:val="1"/>
      <w:numFmt w:val="decimal"/>
      <w:lvlText w:val="%2."/>
      <w:lvlJc w:val="left"/>
      <w:pPr>
        <w:tabs>
          <w:tab w:val="num" w:pos="1080"/>
        </w:tabs>
        <w:ind w:left="1080" w:hanging="360"/>
      </w:pPr>
      <w:rPr>
        <w:b/>
        <w:bCs/>
      </w:rPr>
    </w:lvl>
    <w:lvl w:ilvl="2">
      <w:start w:val="3"/>
      <w:numFmt w:val="upperRoman"/>
      <w:lvlText w:val="%3."/>
      <w:lvlJc w:val="left"/>
      <w:pPr>
        <w:tabs>
          <w:tab w:val="num" w:pos="1440"/>
        </w:tabs>
        <w:ind w:left="1440" w:hanging="360"/>
      </w:pPr>
      <w:rPr>
        <w:b/>
        <w:bCs/>
      </w:rPr>
    </w:lvl>
    <w:lvl w:ilvl="3">
      <w:start w:val="1"/>
      <w:numFmt w:val="decimal"/>
      <w:lvlText w:val="%4."/>
      <w:lvlJc w:val="left"/>
      <w:pPr>
        <w:tabs>
          <w:tab w:val="num" w:pos="1800"/>
        </w:tabs>
        <w:ind w:left="1800" w:hanging="360"/>
      </w:pPr>
      <w:rPr>
        <w:b/>
        <w:bCs/>
      </w:rPr>
    </w:lvl>
    <w:lvl w:ilvl="4">
      <w:start w:val="1"/>
      <w:numFmt w:val="decimal"/>
      <w:lvlText w:val="%5."/>
      <w:lvlJc w:val="left"/>
      <w:pPr>
        <w:tabs>
          <w:tab w:val="num" w:pos="2160"/>
        </w:tabs>
        <w:ind w:left="2160" w:hanging="360"/>
      </w:pPr>
      <w:rPr>
        <w:b/>
        <w:bCs/>
      </w:rPr>
    </w:lvl>
    <w:lvl w:ilvl="5">
      <w:start w:val="1"/>
      <w:numFmt w:val="decimal"/>
      <w:lvlText w:val="%6."/>
      <w:lvlJc w:val="left"/>
      <w:pPr>
        <w:tabs>
          <w:tab w:val="num" w:pos="2520"/>
        </w:tabs>
        <w:ind w:left="2520" w:hanging="360"/>
      </w:pPr>
      <w:rPr>
        <w:b/>
        <w:bCs/>
      </w:rPr>
    </w:lvl>
    <w:lvl w:ilvl="6">
      <w:start w:val="1"/>
      <w:numFmt w:val="decimal"/>
      <w:lvlText w:val="%7."/>
      <w:lvlJc w:val="left"/>
      <w:pPr>
        <w:tabs>
          <w:tab w:val="num" w:pos="2880"/>
        </w:tabs>
        <w:ind w:left="2880" w:hanging="360"/>
      </w:pPr>
      <w:rPr>
        <w:b/>
        <w:bCs/>
      </w:rPr>
    </w:lvl>
    <w:lvl w:ilvl="7">
      <w:start w:val="1"/>
      <w:numFmt w:val="decimal"/>
      <w:lvlText w:val="%8."/>
      <w:lvlJc w:val="left"/>
      <w:pPr>
        <w:tabs>
          <w:tab w:val="num" w:pos="3240"/>
        </w:tabs>
        <w:ind w:left="3240" w:hanging="360"/>
      </w:pPr>
      <w:rPr>
        <w:b/>
        <w:bCs/>
      </w:rPr>
    </w:lvl>
    <w:lvl w:ilvl="8">
      <w:start w:val="1"/>
      <w:numFmt w:val="decimal"/>
      <w:lvlText w:val="%9."/>
      <w:lvlJc w:val="left"/>
      <w:pPr>
        <w:tabs>
          <w:tab w:val="num" w:pos="3600"/>
        </w:tabs>
        <w:ind w:left="3600" w:hanging="360"/>
      </w:pPr>
      <w:rPr>
        <w:b/>
        <w:bCs/>
      </w:rPr>
    </w:lvl>
  </w:abstractNum>
  <w:abstractNum w:abstractNumId="12">
    <w:lvl w:ilvl="0">
      <w:start w:val="1"/>
      <w:numFmt w:val="decimal"/>
      <w:lvlText w:val="%1)"/>
      <w:lvlJc w:val="left"/>
      <w:pPr>
        <w:tabs>
          <w:tab w:val="num" w:pos="720"/>
        </w:tabs>
        <w:ind w:left="720" w:hanging="360"/>
      </w:pPr>
      <w:rPr>
        <w:rFonts w:ascii="Times New Roman" w:hAnsi="Times New Roman"/>
      </w:rPr>
    </w:lvl>
    <w:lvl w:ilvl="1">
      <w:start w:val="1"/>
      <w:numFmt w:val="decimal"/>
      <w:lvlText w:val="%2)"/>
      <w:lvlJc w:val="left"/>
      <w:pPr>
        <w:tabs>
          <w:tab w:val="num" w:pos="1080"/>
        </w:tabs>
        <w:ind w:left="1080" w:hanging="360"/>
      </w:pPr>
      <w:rPr>
        <w:rFonts w:ascii="Times New Roman" w:hAnsi="Times New Roman"/>
      </w:rPr>
    </w:lvl>
    <w:lvl w:ilvl="2">
      <w:start w:val="1"/>
      <w:numFmt w:val="decimal"/>
      <w:lvlText w:val="%3)"/>
      <w:lvlJc w:val="left"/>
      <w:pPr>
        <w:tabs>
          <w:tab w:val="num" w:pos="1440"/>
        </w:tabs>
        <w:ind w:left="1440" w:hanging="360"/>
      </w:pPr>
      <w:rPr>
        <w:rFonts w:ascii="Times New Roman" w:hAnsi="Times New Roman"/>
      </w:rPr>
    </w:lvl>
    <w:lvl w:ilvl="3">
      <w:start w:val="1"/>
      <w:numFmt w:val="decimal"/>
      <w:lvlText w:val="%4)"/>
      <w:lvlJc w:val="left"/>
      <w:pPr>
        <w:tabs>
          <w:tab w:val="num" w:pos="1800"/>
        </w:tabs>
        <w:ind w:left="1800" w:hanging="360"/>
      </w:pPr>
      <w:rPr>
        <w:rFonts w:ascii="Times New Roman" w:hAnsi="Times New Roman"/>
      </w:rPr>
    </w:lvl>
    <w:lvl w:ilvl="4">
      <w:start w:val="1"/>
      <w:numFmt w:val="decimal"/>
      <w:lvlText w:val="%5)"/>
      <w:lvlJc w:val="left"/>
      <w:pPr>
        <w:tabs>
          <w:tab w:val="num" w:pos="2160"/>
        </w:tabs>
        <w:ind w:left="2160" w:hanging="360"/>
      </w:pPr>
      <w:rPr>
        <w:rFonts w:ascii="Times New Roman" w:hAnsi="Times New Roman"/>
      </w:rPr>
    </w:lvl>
    <w:lvl w:ilvl="5">
      <w:start w:val="1"/>
      <w:numFmt w:val="decimal"/>
      <w:lvlText w:val="%6)"/>
      <w:lvlJc w:val="left"/>
      <w:pPr>
        <w:tabs>
          <w:tab w:val="num" w:pos="2520"/>
        </w:tabs>
        <w:ind w:left="2520" w:hanging="360"/>
      </w:pPr>
      <w:rPr>
        <w:rFonts w:ascii="Times New Roman" w:hAnsi="Times New Roman"/>
      </w:rPr>
    </w:lvl>
    <w:lvl w:ilvl="6">
      <w:start w:val="1"/>
      <w:numFmt w:val="decimal"/>
      <w:lvlText w:val="%7)"/>
      <w:lvlJc w:val="left"/>
      <w:pPr>
        <w:tabs>
          <w:tab w:val="num" w:pos="2880"/>
        </w:tabs>
        <w:ind w:left="2880" w:hanging="360"/>
      </w:pPr>
      <w:rPr>
        <w:rFonts w:ascii="Times New Roman" w:hAnsi="Times New Roman"/>
      </w:rPr>
    </w:lvl>
    <w:lvl w:ilvl="7">
      <w:start w:val="1"/>
      <w:numFmt w:val="decimal"/>
      <w:lvlText w:val="%8)"/>
      <w:lvlJc w:val="left"/>
      <w:pPr>
        <w:tabs>
          <w:tab w:val="num" w:pos="3240"/>
        </w:tabs>
        <w:ind w:left="3240" w:hanging="360"/>
      </w:pPr>
      <w:rPr>
        <w:rFonts w:ascii="Times New Roman" w:hAnsi="Times New Roman"/>
      </w:rPr>
    </w:lvl>
    <w:lvl w:ilvl="8">
      <w:start w:val="1"/>
      <w:numFmt w:val="decimal"/>
      <w:lvlText w:val="%9)"/>
      <w:lvlJc w:val="left"/>
      <w:pPr>
        <w:tabs>
          <w:tab w:val="num" w:pos="3600"/>
        </w:tabs>
        <w:ind w:left="3600" w:hanging="360"/>
      </w:pPr>
      <w:rPr>
        <w:rFonts w:ascii="Times New Roman" w:hAnsi="Times New Roman"/>
      </w:r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5"/>
    <w:lvlOverride w:ilvl="0">
      <w:startOverride w:val="1"/>
    </w:lvlOverride>
  </w:num>
  <w:num w:numId="15">
    <w:abstractNumId w:val="5"/>
  </w:num>
  <w:num w:numId="16">
    <w:abstractNumId w:val="5"/>
  </w:num>
  <w:num w:numId="17">
    <w:abstractNumId w:val="5"/>
  </w:num>
  <w:num w:numId="18">
    <w:abstractNumId w:val="5"/>
  </w:num>
  <w:num w:numId="19">
    <w:abstractNumId w:val="5"/>
  </w:num>
  <w:num w:numId="20">
    <w:abstractNumId w:val="5"/>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4"/>
        <w:szCs w:val="24"/>
        <w:lang w:val="en-IN" w:eastAsia="en-US" w:bidi="ar-SA"/>
        <w14:ligatures w14:val="standardContextual"/>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Strong" w:uiPriority="0" w:semiHidden="0" w:unhideWhenUsed="0" w:qFormat="1"/>
    <w:lsdException w:name="Emphasis" w:uiPriority="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lineRule="auto" w:line="276" w:before="0" w:after="160"/>
      <w:jc w:val="left"/>
    </w:pPr>
    <w:rPr>
      <w:rFonts w:ascii="Calibri" w:hAnsi="Calibri" w:eastAsia="Calibri" w:cs="" w:asciiTheme="minorHAnsi" w:cstheme="minorBidi" w:eastAsiaTheme="minorHAnsi" w:hAnsiTheme="minorHAnsi"/>
      <w:color w:val="auto"/>
      <w:kern w:val="2"/>
      <w:sz w:val="24"/>
      <w:szCs w:val="24"/>
      <w:lang w:val="en-IN" w:eastAsia="en-US" w:bidi="ar-SA"/>
      <w14:ligatures w14:val="standardContextual"/>
    </w:rPr>
  </w:style>
  <w:style w:type="paragraph" w:styleId="Heading1">
    <w:name w:val="Heading 1"/>
    <w:basedOn w:val="Normal"/>
    <w:next w:val="Normal"/>
    <w:link w:val="Heading1Char"/>
    <w:uiPriority w:val="9"/>
    <w:qFormat/>
    <w:rsid w:val="00c22967"/>
    <w:pPr>
      <w:keepNext w:val="true"/>
      <w:keepLines/>
      <w:spacing w:before="360" w:after="80"/>
      <w:outlineLvl w:val="0"/>
    </w:pPr>
    <w:rPr>
      <w:rFonts w:ascii="Calibri Light" w:hAnsi="Calibri Light" w:eastAsia="" w:cs="" w:asciiTheme="majorHAnsi" w:cstheme="majorBidi" w:eastAsiaTheme="majorEastAsia" w:hAnsiTheme="majorHAnsi"/>
      <w:color w:themeColor="accent1" w:themeShade="bf" w:val="2F5496"/>
      <w:sz w:val="40"/>
      <w:szCs w:val="40"/>
    </w:rPr>
  </w:style>
  <w:style w:type="paragraph" w:styleId="Heading2">
    <w:name w:val="Heading 2"/>
    <w:basedOn w:val="Normal"/>
    <w:next w:val="Normal"/>
    <w:link w:val="Heading2Char"/>
    <w:uiPriority w:val="9"/>
    <w:semiHidden/>
    <w:unhideWhenUsed/>
    <w:qFormat/>
    <w:rsid w:val="00c22967"/>
    <w:pPr>
      <w:keepNext w:val="true"/>
      <w:keepLines/>
      <w:spacing w:before="160" w:after="80"/>
      <w:outlineLvl w:val="1"/>
    </w:pPr>
    <w:rPr>
      <w:rFonts w:ascii="Calibri Light" w:hAnsi="Calibri Light" w:eastAsia="" w:cs="" w:asciiTheme="majorHAnsi" w:cstheme="majorBidi" w:eastAsiaTheme="majorEastAsia" w:hAnsiTheme="majorHAnsi"/>
      <w:color w:themeColor="accent1" w:themeShade="bf" w:val="2F5496"/>
      <w:sz w:val="32"/>
      <w:szCs w:val="32"/>
    </w:rPr>
  </w:style>
  <w:style w:type="paragraph" w:styleId="Heading3">
    <w:name w:val="Heading 3"/>
    <w:basedOn w:val="Normal"/>
    <w:next w:val="Normal"/>
    <w:link w:val="Heading3Char"/>
    <w:uiPriority w:val="9"/>
    <w:semiHidden/>
    <w:unhideWhenUsed/>
    <w:qFormat/>
    <w:rsid w:val="00c22967"/>
    <w:pPr>
      <w:keepNext w:val="true"/>
      <w:keepLines/>
      <w:spacing w:before="160" w:after="80"/>
      <w:outlineLvl w:val="2"/>
    </w:pPr>
    <w:rPr>
      <w:rFonts w:eastAsia="" w:cs="" w:cstheme="majorBidi" w:eastAsiaTheme="majorEastAsia"/>
      <w:color w:themeColor="accent1" w:themeShade="bf" w:val="2F5496"/>
      <w:sz w:val="28"/>
      <w:szCs w:val="28"/>
    </w:rPr>
  </w:style>
  <w:style w:type="paragraph" w:styleId="Heading4">
    <w:name w:val="Heading 4"/>
    <w:basedOn w:val="Normal"/>
    <w:next w:val="Normal"/>
    <w:link w:val="Heading4Char"/>
    <w:uiPriority w:val="9"/>
    <w:semiHidden/>
    <w:unhideWhenUsed/>
    <w:qFormat/>
    <w:rsid w:val="00c22967"/>
    <w:pPr>
      <w:keepNext w:val="true"/>
      <w:keepLines/>
      <w:spacing w:before="80" w:after="40"/>
      <w:outlineLvl w:val="3"/>
    </w:pPr>
    <w:rPr>
      <w:rFonts w:eastAsia="" w:cs="" w:cstheme="majorBidi" w:eastAsiaTheme="majorEastAsia"/>
      <w:i/>
      <w:iCs/>
      <w:color w:themeColor="accent1" w:themeShade="bf" w:val="2F5496"/>
    </w:rPr>
  </w:style>
  <w:style w:type="paragraph" w:styleId="Heading5">
    <w:name w:val="Heading 5"/>
    <w:basedOn w:val="Normal"/>
    <w:next w:val="Normal"/>
    <w:link w:val="Heading5Char"/>
    <w:uiPriority w:val="9"/>
    <w:semiHidden/>
    <w:unhideWhenUsed/>
    <w:qFormat/>
    <w:rsid w:val="00c22967"/>
    <w:pPr>
      <w:keepNext w:val="true"/>
      <w:keepLines/>
      <w:spacing w:before="80" w:after="40"/>
      <w:outlineLvl w:val="4"/>
    </w:pPr>
    <w:rPr>
      <w:rFonts w:eastAsia="" w:cs="" w:cstheme="majorBidi" w:eastAsiaTheme="majorEastAsia"/>
      <w:color w:themeColor="accent1" w:themeShade="bf" w:val="2F5496"/>
    </w:rPr>
  </w:style>
  <w:style w:type="paragraph" w:styleId="Heading6">
    <w:name w:val="Heading 6"/>
    <w:basedOn w:val="Normal"/>
    <w:next w:val="Normal"/>
    <w:link w:val="Heading6Char"/>
    <w:uiPriority w:val="9"/>
    <w:semiHidden/>
    <w:unhideWhenUsed/>
    <w:qFormat/>
    <w:rsid w:val="00c22967"/>
    <w:pPr>
      <w:keepNext w:val="true"/>
      <w:keepLines/>
      <w:spacing w:before="40" w:after="0"/>
      <w:outlineLvl w:val="5"/>
    </w:pPr>
    <w:rPr>
      <w:rFonts w:eastAsia="" w:cs="" w:cstheme="majorBidi" w:eastAsiaTheme="majorEastAsia"/>
      <w:i/>
      <w:iCs/>
      <w:color w:themeColor="text1" w:themeTint="a6" w:val="595959"/>
    </w:rPr>
  </w:style>
  <w:style w:type="paragraph" w:styleId="Heading7">
    <w:name w:val="Heading 7"/>
    <w:basedOn w:val="Normal"/>
    <w:next w:val="Normal"/>
    <w:link w:val="Heading7Char"/>
    <w:uiPriority w:val="9"/>
    <w:semiHidden/>
    <w:unhideWhenUsed/>
    <w:qFormat/>
    <w:rsid w:val="00c22967"/>
    <w:pPr>
      <w:keepNext w:val="true"/>
      <w:keepLines/>
      <w:spacing w:before="40" w:after="0"/>
      <w:outlineLvl w:val="6"/>
    </w:pPr>
    <w:rPr>
      <w:rFonts w:eastAsia="" w:cs="" w:cstheme="majorBidi" w:eastAsiaTheme="majorEastAsia"/>
      <w:color w:themeColor="text1" w:themeTint="a6" w:val="595959"/>
    </w:rPr>
  </w:style>
  <w:style w:type="paragraph" w:styleId="Heading8">
    <w:name w:val="Heading 8"/>
    <w:basedOn w:val="Normal"/>
    <w:next w:val="Normal"/>
    <w:link w:val="Heading8Char"/>
    <w:uiPriority w:val="9"/>
    <w:semiHidden/>
    <w:unhideWhenUsed/>
    <w:qFormat/>
    <w:rsid w:val="00c22967"/>
    <w:pPr>
      <w:keepNext w:val="true"/>
      <w:keepLines/>
      <w:spacing w:before="0" w:after="0"/>
      <w:outlineLvl w:val="7"/>
    </w:pPr>
    <w:rPr>
      <w:rFonts w:eastAsia="" w:cs="" w:cstheme="majorBidi" w:eastAsiaTheme="majorEastAsia"/>
      <w:i/>
      <w:iCs/>
      <w:color w:themeColor="text1" w:themeTint="d8" w:val="272727"/>
    </w:rPr>
  </w:style>
  <w:style w:type="paragraph" w:styleId="Heading9">
    <w:name w:val="Heading 9"/>
    <w:basedOn w:val="Normal"/>
    <w:next w:val="Normal"/>
    <w:link w:val="Heading9Char"/>
    <w:uiPriority w:val="9"/>
    <w:semiHidden/>
    <w:unhideWhenUsed/>
    <w:qFormat/>
    <w:rsid w:val="00c22967"/>
    <w:pPr>
      <w:keepNext w:val="true"/>
      <w:keepLines/>
      <w:spacing w:before="0" w:after="0"/>
      <w:outlineLvl w:val="8"/>
    </w:pPr>
    <w:rPr>
      <w:rFonts w:eastAsia="" w:cs="" w:cstheme="majorBidi" w:eastAsiaTheme="majorEastAsia"/>
      <w:color w:themeColor="text1" w:themeTint="d8" w:val="272727"/>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c22967"/>
    <w:rPr>
      <w:rFonts w:ascii="Calibri Light" w:hAnsi="Calibri Light" w:eastAsia="" w:cs="" w:asciiTheme="majorHAnsi" w:cstheme="majorBidi" w:eastAsiaTheme="majorEastAsia" w:hAnsiTheme="majorHAnsi"/>
      <w:color w:themeColor="accent1" w:themeShade="bf" w:val="2F5496"/>
      <w:sz w:val="40"/>
      <w:szCs w:val="40"/>
    </w:rPr>
  </w:style>
  <w:style w:type="character" w:styleId="Heading2Char" w:customStyle="1">
    <w:name w:val="Heading 2 Char"/>
    <w:basedOn w:val="DefaultParagraphFont"/>
    <w:link w:val="Heading2"/>
    <w:uiPriority w:val="9"/>
    <w:semiHidden/>
    <w:qFormat/>
    <w:rsid w:val="00c22967"/>
    <w:rPr>
      <w:rFonts w:ascii="Calibri Light" w:hAnsi="Calibri Light" w:eastAsia="" w:cs="" w:asciiTheme="majorHAnsi" w:cstheme="majorBidi" w:eastAsiaTheme="majorEastAsia" w:hAnsiTheme="majorHAnsi"/>
      <w:color w:themeColor="accent1" w:themeShade="bf" w:val="2F5496"/>
      <w:sz w:val="32"/>
      <w:szCs w:val="32"/>
    </w:rPr>
  </w:style>
  <w:style w:type="character" w:styleId="Heading3Char" w:customStyle="1">
    <w:name w:val="Heading 3 Char"/>
    <w:basedOn w:val="DefaultParagraphFont"/>
    <w:link w:val="Heading3"/>
    <w:uiPriority w:val="9"/>
    <w:semiHidden/>
    <w:qFormat/>
    <w:rsid w:val="00c22967"/>
    <w:rPr>
      <w:rFonts w:eastAsia="" w:cs="" w:cstheme="majorBidi" w:eastAsiaTheme="majorEastAsia"/>
      <w:color w:themeColor="accent1" w:themeShade="bf" w:val="2F5496"/>
      <w:sz w:val="28"/>
      <w:szCs w:val="28"/>
    </w:rPr>
  </w:style>
  <w:style w:type="character" w:styleId="Heading4Char" w:customStyle="1">
    <w:name w:val="Heading 4 Char"/>
    <w:basedOn w:val="DefaultParagraphFont"/>
    <w:link w:val="Heading4"/>
    <w:uiPriority w:val="9"/>
    <w:semiHidden/>
    <w:qFormat/>
    <w:rsid w:val="00c22967"/>
    <w:rPr>
      <w:rFonts w:eastAsia="" w:cs="" w:cstheme="majorBidi" w:eastAsiaTheme="majorEastAsia"/>
      <w:i/>
      <w:iCs/>
      <w:color w:themeColor="accent1" w:themeShade="bf" w:val="2F5496"/>
    </w:rPr>
  </w:style>
  <w:style w:type="character" w:styleId="Heading5Char" w:customStyle="1">
    <w:name w:val="Heading 5 Char"/>
    <w:basedOn w:val="DefaultParagraphFont"/>
    <w:link w:val="Heading5"/>
    <w:uiPriority w:val="9"/>
    <w:semiHidden/>
    <w:qFormat/>
    <w:rsid w:val="00c22967"/>
    <w:rPr>
      <w:rFonts w:eastAsia="" w:cs="" w:cstheme="majorBidi" w:eastAsiaTheme="majorEastAsia"/>
      <w:color w:themeColor="accent1" w:themeShade="bf" w:val="2F5496"/>
    </w:rPr>
  </w:style>
  <w:style w:type="character" w:styleId="Heading6Char" w:customStyle="1">
    <w:name w:val="Heading 6 Char"/>
    <w:basedOn w:val="DefaultParagraphFont"/>
    <w:link w:val="Heading6"/>
    <w:uiPriority w:val="9"/>
    <w:semiHidden/>
    <w:qFormat/>
    <w:rsid w:val="00c22967"/>
    <w:rPr>
      <w:rFonts w:eastAsia="" w:cs="" w:cstheme="majorBidi" w:eastAsiaTheme="majorEastAsia"/>
      <w:i/>
      <w:iCs/>
      <w:color w:themeColor="text1" w:themeTint="a6" w:val="595959"/>
    </w:rPr>
  </w:style>
  <w:style w:type="character" w:styleId="Heading7Char" w:customStyle="1">
    <w:name w:val="Heading 7 Char"/>
    <w:basedOn w:val="DefaultParagraphFont"/>
    <w:link w:val="Heading7"/>
    <w:uiPriority w:val="9"/>
    <w:semiHidden/>
    <w:qFormat/>
    <w:rsid w:val="00c22967"/>
    <w:rPr>
      <w:rFonts w:eastAsia="" w:cs="" w:cstheme="majorBidi" w:eastAsiaTheme="majorEastAsia"/>
      <w:color w:themeColor="text1" w:themeTint="a6" w:val="595959"/>
    </w:rPr>
  </w:style>
  <w:style w:type="character" w:styleId="Heading8Char" w:customStyle="1">
    <w:name w:val="Heading 8 Char"/>
    <w:basedOn w:val="DefaultParagraphFont"/>
    <w:link w:val="Heading8"/>
    <w:uiPriority w:val="9"/>
    <w:semiHidden/>
    <w:qFormat/>
    <w:rsid w:val="00c22967"/>
    <w:rPr>
      <w:rFonts w:eastAsia="" w:cs="" w:cstheme="majorBidi" w:eastAsiaTheme="majorEastAsia"/>
      <w:i/>
      <w:iCs/>
      <w:color w:themeColor="text1" w:themeTint="d8" w:val="272727"/>
    </w:rPr>
  </w:style>
  <w:style w:type="character" w:styleId="Heading9Char" w:customStyle="1">
    <w:name w:val="Heading 9 Char"/>
    <w:basedOn w:val="DefaultParagraphFont"/>
    <w:link w:val="Heading9"/>
    <w:uiPriority w:val="9"/>
    <w:semiHidden/>
    <w:qFormat/>
    <w:rsid w:val="00c22967"/>
    <w:rPr>
      <w:rFonts w:eastAsia="" w:cs="" w:cstheme="majorBidi" w:eastAsiaTheme="majorEastAsia"/>
      <w:color w:themeColor="text1" w:themeTint="d8" w:val="272727"/>
    </w:rPr>
  </w:style>
  <w:style w:type="character" w:styleId="TitleChar" w:customStyle="1">
    <w:name w:val="Title Char"/>
    <w:basedOn w:val="DefaultParagraphFont"/>
    <w:link w:val="Title"/>
    <w:uiPriority w:val="10"/>
    <w:qFormat/>
    <w:rsid w:val="00c22967"/>
    <w:rPr>
      <w:rFonts w:ascii="Calibri Light" w:hAnsi="Calibri Light" w:eastAsia="" w:cs="" w:asciiTheme="majorHAnsi" w:cstheme="majorBidi" w:eastAsiaTheme="majorEastAsia" w:hAnsiTheme="majorHAnsi"/>
      <w:spacing w:val="-10"/>
      <w:kern w:val="2"/>
      <w:sz w:val="56"/>
      <w:szCs w:val="56"/>
    </w:rPr>
  </w:style>
  <w:style w:type="character" w:styleId="SubtitleChar" w:customStyle="1">
    <w:name w:val="Subtitle Char"/>
    <w:basedOn w:val="DefaultParagraphFont"/>
    <w:link w:val="Subtitle"/>
    <w:uiPriority w:val="11"/>
    <w:qFormat/>
    <w:rsid w:val="00c22967"/>
    <w:rPr>
      <w:rFonts w:eastAsia="" w:cs="" w:cstheme="majorBidi" w:eastAsiaTheme="majorEastAsia"/>
      <w:color w:themeColor="text1" w:themeTint="a6" w:val="595959"/>
      <w:spacing w:val="15"/>
      <w:sz w:val="28"/>
      <w:szCs w:val="28"/>
    </w:rPr>
  </w:style>
  <w:style w:type="character" w:styleId="QuoteChar" w:customStyle="1">
    <w:name w:val="Quote Char"/>
    <w:basedOn w:val="DefaultParagraphFont"/>
    <w:link w:val="Quote"/>
    <w:uiPriority w:val="29"/>
    <w:qFormat/>
    <w:rsid w:val="00c22967"/>
    <w:rPr>
      <w:i/>
      <w:iCs/>
      <w:color w:themeColor="text1" w:themeTint="bf" w:val="404040"/>
    </w:rPr>
  </w:style>
  <w:style w:type="character" w:styleId="IntenseEmphasis">
    <w:name w:val="Intense Emphasis"/>
    <w:basedOn w:val="DefaultParagraphFont"/>
    <w:uiPriority w:val="21"/>
    <w:qFormat/>
    <w:rsid w:val="00c22967"/>
    <w:rPr>
      <w:i/>
      <w:iCs/>
      <w:color w:themeColor="accent1" w:themeShade="bf" w:val="2F5496"/>
    </w:rPr>
  </w:style>
  <w:style w:type="character" w:styleId="IntenseQuoteChar" w:customStyle="1">
    <w:name w:val="Intense Quote Char"/>
    <w:basedOn w:val="DefaultParagraphFont"/>
    <w:link w:val="IntenseQuote"/>
    <w:uiPriority w:val="30"/>
    <w:qFormat/>
    <w:rsid w:val="00c22967"/>
    <w:rPr>
      <w:i/>
      <w:iCs/>
      <w:color w:themeColor="accent1" w:themeShade="bf" w:val="2F5496"/>
    </w:rPr>
  </w:style>
  <w:style w:type="character" w:styleId="IntenseReference">
    <w:name w:val="Intense Reference"/>
    <w:basedOn w:val="DefaultParagraphFont"/>
    <w:uiPriority w:val="32"/>
    <w:qFormat/>
    <w:rsid w:val="00c22967"/>
    <w:rPr>
      <w:b/>
      <w:bCs/>
      <w:smallCaps/>
      <w:color w:themeColor="accent1" w:themeShade="bf" w:val="2F5496"/>
      <w:spacing w:val="5"/>
    </w:rPr>
  </w:style>
  <w:style w:type="character" w:styleId="BodyTextChar" w:customStyle="1">
    <w:name w:val="Body Text Char"/>
    <w:basedOn w:val="DefaultParagraphFont"/>
    <w:qFormat/>
    <w:rsid w:val="00c22967"/>
    <w:rPr>
      <w:rFonts w:ascii="Liberation Serif" w:hAnsi="Liberation Serif" w:eastAsia="NSimSun" w:cs="Mangal"/>
      <w:lang w:eastAsia="zh-CN" w:bidi="hi-IN"/>
    </w:rPr>
  </w:style>
  <w:style w:type="character" w:styleId="Strong">
    <w:name w:val="Strong"/>
    <w:qFormat/>
    <w:rsid w:val="00c22967"/>
    <w:rPr>
      <w:b/>
      <w:bCs/>
    </w:rPr>
  </w:style>
  <w:style w:type="character" w:styleId="Emphasis">
    <w:name w:val="Emphasis"/>
    <w:qFormat/>
    <w:rsid w:val="00585e26"/>
    <w:rPr>
      <w:i/>
      <w:iCs/>
    </w:rPr>
  </w:style>
  <w:style w:type="character" w:styleId="Hyperlink">
    <w:name w:val="Hyperlink"/>
    <w:basedOn w:val="DefaultParagraphFont"/>
    <w:uiPriority w:val="99"/>
    <w:unhideWhenUsed/>
    <w:rsid w:val="002f1089"/>
    <w:rPr>
      <w:color w:themeColor="hyperlink" w:val="0563C1"/>
      <w:u w:val="single"/>
    </w:rPr>
  </w:style>
  <w:style w:type="character" w:styleId="FollowedHyperlink">
    <w:name w:val="FollowedHyperlink"/>
    <w:basedOn w:val="DefaultParagraphFont"/>
    <w:uiPriority w:val="99"/>
    <w:semiHidden/>
    <w:unhideWhenUsed/>
    <w:rsid w:val="00e957dd"/>
    <w:rPr>
      <w:color w:themeColor="followedHyperlink" w:val="954F72"/>
      <w:u w:val="single"/>
    </w:rPr>
  </w:style>
  <w:style w:type="character" w:styleId="HeaderChar" w:customStyle="1">
    <w:name w:val="Header Char"/>
    <w:basedOn w:val="DefaultParagraphFont"/>
    <w:link w:val="Header"/>
    <w:uiPriority w:val="99"/>
    <w:qFormat/>
    <w:rsid w:val="00e957dd"/>
    <w:rPr/>
  </w:style>
  <w:style w:type="character" w:styleId="FooterChar" w:customStyle="1">
    <w:name w:val="Footer Char"/>
    <w:basedOn w:val="DefaultParagraphFont"/>
    <w:link w:val="Footer"/>
    <w:uiPriority w:val="99"/>
    <w:qFormat/>
    <w:rsid w:val="00e957dd"/>
    <w:rPr/>
  </w:style>
  <w:style w:type="character" w:styleId="UnresolvedMention" w:customStyle="1">
    <w:name w:val="Unresolved Mention"/>
    <w:basedOn w:val="DefaultParagraphFont"/>
    <w:uiPriority w:val="99"/>
    <w:semiHidden/>
    <w:unhideWhenUsed/>
    <w:qFormat/>
    <w:rsid w:val="00c475cc"/>
    <w:rPr>
      <w:color w:val="605E5C"/>
      <w:shd w:fill="E1DFDD" w:val="clear"/>
    </w:rPr>
  </w:style>
  <w:style w:type="character" w:styleId="NumberingSymbols">
    <w:name w:val="Numbering Symbols"/>
    <w:qFormat/>
    <w:rPr>
      <w:rFonts w:ascii="Times New Roman" w:hAnsi="Times New Roman"/>
    </w:rPr>
  </w:style>
  <w:style w:type="paragraph" w:styleId="Heading">
    <w:name w:val="Heading"/>
    <w:basedOn w:val="Normal"/>
    <w:next w:val="BodyText"/>
    <w:qFormat/>
    <w:pPr>
      <w:keepNext w:val="true"/>
      <w:spacing w:before="240" w:after="120"/>
    </w:pPr>
    <w:rPr>
      <w:rFonts w:ascii="Liberation Sans" w:hAnsi="Liberation Sans" w:eastAsia="Microsoft YaHei" w:cs="Mangal"/>
      <w:sz w:val="28"/>
      <w:szCs w:val="28"/>
    </w:rPr>
  </w:style>
  <w:style w:type="paragraph" w:styleId="BodyText">
    <w:name w:val="Body Text"/>
    <w:basedOn w:val="Normal"/>
    <w:link w:val="BodyTextChar"/>
    <w:rsid w:val="00c22967"/>
    <w:pPr>
      <w:suppressAutoHyphens w:val="true"/>
      <w:spacing w:lineRule="auto" w:line="276" w:before="0" w:after="140"/>
    </w:pPr>
    <w:rPr>
      <w:rFonts w:ascii="Liberation Serif" w:hAnsi="Liberation Serif" w:eastAsia="NSimSun" w:cs="Mangal"/>
      <w:lang w:eastAsia="zh-CN" w:bidi="hi-IN"/>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Title">
    <w:name w:val="Title"/>
    <w:basedOn w:val="Normal"/>
    <w:next w:val="Normal"/>
    <w:link w:val="TitleChar"/>
    <w:uiPriority w:val="10"/>
    <w:qFormat/>
    <w:rsid w:val="00c22967"/>
    <w:pPr>
      <w:spacing w:lineRule="auto" w:line="240" w:before="0" w:after="80"/>
      <w:contextualSpacing/>
    </w:pPr>
    <w:rPr>
      <w:rFonts w:ascii="Calibri Light" w:hAnsi="Calibri Light" w:eastAsia="" w:cs="" w:asciiTheme="majorHAnsi" w:cstheme="majorBidi" w:eastAsiaTheme="majorEastAsia" w:hAnsiTheme="majorHAnsi"/>
      <w:spacing w:val="-10"/>
      <w:kern w:val="2"/>
      <w:sz w:val="56"/>
      <w:szCs w:val="56"/>
    </w:rPr>
  </w:style>
  <w:style w:type="paragraph" w:styleId="Subtitle">
    <w:name w:val="Subtitle"/>
    <w:basedOn w:val="Normal"/>
    <w:next w:val="Normal"/>
    <w:link w:val="SubtitleChar"/>
    <w:uiPriority w:val="11"/>
    <w:qFormat/>
    <w:rsid w:val="00c22967"/>
    <w:pPr/>
    <w:rPr>
      <w:rFonts w:eastAsia="" w:cs="" w:cstheme="majorBidi" w:eastAsiaTheme="majorEastAsia"/>
      <w:color w:themeColor="text1" w:themeTint="a6" w:val="595959"/>
      <w:spacing w:val="15"/>
      <w:sz w:val="28"/>
      <w:szCs w:val="28"/>
    </w:rPr>
  </w:style>
  <w:style w:type="paragraph" w:styleId="Quote">
    <w:name w:val="Quote"/>
    <w:basedOn w:val="Normal"/>
    <w:next w:val="Normal"/>
    <w:link w:val="QuoteChar"/>
    <w:uiPriority w:val="29"/>
    <w:qFormat/>
    <w:rsid w:val="00c22967"/>
    <w:pPr>
      <w:spacing w:before="160" w:after="160"/>
      <w:jc w:val="center"/>
    </w:pPr>
    <w:rPr>
      <w:i/>
      <w:iCs/>
      <w:color w:themeColor="text1" w:themeTint="bf" w:val="404040"/>
    </w:rPr>
  </w:style>
  <w:style w:type="paragraph" w:styleId="ListParagraph">
    <w:name w:val="List Paragraph"/>
    <w:basedOn w:val="Normal"/>
    <w:uiPriority w:val="34"/>
    <w:qFormat/>
    <w:rsid w:val="00c22967"/>
    <w:pPr>
      <w:spacing w:before="0" w:after="160"/>
      <w:ind w:left="720"/>
      <w:contextualSpacing/>
    </w:pPr>
    <w:rPr/>
  </w:style>
  <w:style w:type="paragraph" w:styleId="IntenseQuote">
    <w:name w:val="Intense Quote"/>
    <w:basedOn w:val="Normal"/>
    <w:next w:val="Normal"/>
    <w:link w:val="IntenseQuoteChar"/>
    <w:uiPriority w:val="30"/>
    <w:qFormat/>
    <w:rsid w:val="00c22967"/>
    <w:pPr>
      <w:pBdr>
        <w:top w:val="single" w:sz="4" w:space="10" w:color="2F5496" w:themeColor="accent1" w:themeShade="bf"/>
        <w:bottom w:val="single" w:sz="4" w:space="10" w:color="2F5496" w:themeColor="accent1" w:themeShade="bf"/>
      </w:pBdr>
      <w:spacing w:before="360" w:after="360"/>
      <w:ind w:left="864" w:right="864"/>
      <w:jc w:val="center"/>
    </w:pPr>
    <w:rPr>
      <w:i/>
      <w:iCs/>
      <w:color w:themeColor="accent1" w:themeShade="bf" w:val="2F5496"/>
    </w:rPr>
  </w:style>
  <w:style w:type="paragraph" w:styleId="HeaderandFooter">
    <w:name w:val="Header and Footer"/>
    <w:basedOn w:val="Normal"/>
    <w:qFormat/>
    <w:pPr/>
    <w:rPr/>
  </w:style>
  <w:style w:type="paragraph" w:styleId="Header">
    <w:name w:val="Header"/>
    <w:basedOn w:val="Normal"/>
    <w:link w:val="HeaderChar"/>
    <w:uiPriority w:val="99"/>
    <w:unhideWhenUsed/>
    <w:rsid w:val="00e957dd"/>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e957dd"/>
    <w:pPr>
      <w:tabs>
        <w:tab w:val="clear" w:pos="720"/>
        <w:tab w:val="center" w:pos="4513" w:leader="none"/>
        <w:tab w:val="right" w:pos="9026"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25</TotalTime>
  <Application>LibreOffice/24.2.5.2$Windows_X86_64 LibreOffice_project/bffef4ea93e59bebbeaf7f431bb02b1a39ee8a59</Application>
  <AppVersion>15.0000</AppVersion>
  <Pages>11</Pages>
  <Words>2876</Words>
  <Characters>16533</Characters>
  <CharactersWithSpaces>19165</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2024-09-10T15:06:00Z</dcterms:created>
  <dc:creator>Kuldip Kumar</dc:creator>
  <dc:description/>
  <dc:language>en-IN</dc:language>
  <cp:lastModifiedBy/>
  <cp:lastPrinted>2024-09-11T22:49:21Z</cp:lastPrinted>
  <dcterms:modified xsi:type="dcterms:W3CDTF">2024-09-11T23:08:11Z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