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684E6" w14:textId="529FF0AC" w:rsidR="006C30DB" w:rsidRDefault="006C30DB" w:rsidP="006C30DB">
      <w:pPr>
        <w:spacing w:line="360" w:lineRule="auto"/>
        <w:jc w:val="center"/>
        <w:rPr>
          <w:rFonts w:ascii="Times New Roman" w:hAnsi="Times New Roman" w:cs="Times New Roman"/>
          <w:b/>
          <w:bCs/>
          <w:sz w:val="28"/>
          <w:szCs w:val="28"/>
        </w:rPr>
      </w:pPr>
      <w:r w:rsidRPr="006C30DB">
        <w:rPr>
          <w:rFonts w:ascii="Times New Roman" w:hAnsi="Times New Roman" w:cs="Times New Roman"/>
          <w:b/>
          <w:bCs/>
          <w:sz w:val="28"/>
          <w:szCs w:val="28"/>
        </w:rPr>
        <w:t>Balancing Human Expertise and Technological Innovations in Aviation: Strategies for Sustainable Advancement and Management</w:t>
      </w:r>
    </w:p>
    <w:p w14:paraId="367F9F04" w14:textId="77777777" w:rsidR="006C30DB" w:rsidRDefault="006C30DB" w:rsidP="00AD2E3D">
      <w:pPr>
        <w:spacing w:line="360" w:lineRule="auto"/>
        <w:jc w:val="both"/>
        <w:rPr>
          <w:rFonts w:ascii="Times New Roman" w:hAnsi="Times New Roman" w:cs="Times New Roman"/>
          <w:b/>
          <w:bCs/>
          <w:sz w:val="28"/>
          <w:szCs w:val="28"/>
        </w:rPr>
      </w:pPr>
    </w:p>
    <w:p w14:paraId="3D46478E" w14:textId="59043431" w:rsidR="00AD2E3D" w:rsidRPr="006C30DB" w:rsidRDefault="00AD2E3D" w:rsidP="00AD2E3D">
      <w:pPr>
        <w:spacing w:line="360" w:lineRule="auto"/>
        <w:jc w:val="both"/>
        <w:rPr>
          <w:rFonts w:ascii="Times New Roman" w:hAnsi="Times New Roman" w:cs="Times New Roman"/>
          <w:b/>
          <w:bCs/>
          <w:sz w:val="28"/>
          <w:szCs w:val="28"/>
        </w:rPr>
      </w:pPr>
      <w:r w:rsidRPr="00AD2E3D">
        <w:rPr>
          <w:rFonts w:ascii="Times New Roman" w:hAnsi="Times New Roman" w:cs="Times New Roman"/>
          <w:b/>
          <w:bCs/>
          <w:sz w:val="28"/>
          <w:szCs w:val="28"/>
        </w:rPr>
        <w:t>Abstract</w:t>
      </w:r>
    </w:p>
    <w:p w14:paraId="4C33E9CD" w14:textId="77777777" w:rsidR="00AD2E3D" w:rsidRPr="00AD2E3D" w:rsidRDefault="00AD2E3D" w:rsidP="00AD2E3D">
      <w:pPr>
        <w:spacing w:line="360" w:lineRule="auto"/>
        <w:jc w:val="both"/>
        <w:rPr>
          <w:rFonts w:ascii="Times New Roman" w:hAnsi="Times New Roman" w:cs="Times New Roman"/>
          <w:sz w:val="24"/>
          <w:szCs w:val="24"/>
        </w:rPr>
      </w:pPr>
      <w:r w:rsidRPr="00AD2E3D">
        <w:rPr>
          <w:rFonts w:ascii="Times New Roman" w:hAnsi="Times New Roman" w:cs="Times New Roman"/>
          <w:sz w:val="24"/>
          <w:szCs w:val="24"/>
        </w:rPr>
        <w:t>The aviation industry stands at a crossroads where technological innovation and human expertise must coexist to ensure sustainable advancement and management. As automation, artificial intelligence, and advanced analytics reshape operational paradigms, the question arises: will these innovations replace human jobs or enhance employee roles? This paper explores the critical balance between leveraging cutting-edge technologies and maintaining essential human involvement in aviation operations.</w:t>
      </w:r>
    </w:p>
    <w:p w14:paraId="7E9D47CB" w14:textId="77777777" w:rsidR="00AD2E3D" w:rsidRPr="00AD2E3D" w:rsidRDefault="00AD2E3D" w:rsidP="00AD2E3D">
      <w:pPr>
        <w:spacing w:line="360" w:lineRule="auto"/>
        <w:jc w:val="both"/>
        <w:rPr>
          <w:rFonts w:ascii="Times New Roman" w:hAnsi="Times New Roman" w:cs="Times New Roman"/>
          <w:sz w:val="24"/>
          <w:szCs w:val="24"/>
        </w:rPr>
      </w:pPr>
    </w:p>
    <w:p w14:paraId="72D82D48" w14:textId="37C90F69" w:rsidR="00AD2E3D" w:rsidRPr="00AD2E3D" w:rsidRDefault="00AD2E3D" w:rsidP="00AD2E3D">
      <w:pPr>
        <w:spacing w:line="360" w:lineRule="auto"/>
        <w:jc w:val="both"/>
        <w:rPr>
          <w:rFonts w:ascii="Times New Roman" w:hAnsi="Times New Roman" w:cs="Times New Roman"/>
          <w:sz w:val="24"/>
          <w:szCs w:val="24"/>
        </w:rPr>
      </w:pPr>
      <w:r w:rsidRPr="00AD2E3D">
        <w:rPr>
          <w:rFonts w:ascii="Times New Roman" w:hAnsi="Times New Roman" w:cs="Times New Roman"/>
          <w:sz w:val="24"/>
          <w:szCs w:val="24"/>
        </w:rPr>
        <w:t xml:space="preserve">While automation can significantly improve efficiency and safety, the complexities of aviation demand a level of human judgment that machines cannot replicate. Situational awareness, decision-making under pressure, and emotional intelligence are key attributes that remain integral to effective aviation management. Furthermore, </w:t>
      </w:r>
      <w:r w:rsidR="00755BFC">
        <w:rPr>
          <w:rFonts w:ascii="Times New Roman" w:hAnsi="Times New Roman" w:cs="Times New Roman"/>
          <w:sz w:val="24"/>
          <w:szCs w:val="24"/>
        </w:rPr>
        <w:t>integrating</w:t>
      </w:r>
      <w:r w:rsidRPr="00AD2E3D">
        <w:rPr>
          <w:rFonts w:ascii="Times New Roman" w:hAnsi="Times New Roman" w:cs="Times New Roman"/>
          <w:sz w:val="24"/>
          <w:szCs w:val="24"/>
        </w:rPr>
        <w:t xml:space="preserve"> technology requires skilled personnel who can interpret data, manage systems, and respond to unexpected challenges.</w:t>
      </w:r>
    </w:p>
    <w:p w14:paraId="6A4E0AC8" w14:textId="77777777" w:rsidR="00AD2E3D" w:rsidRPr="00AD2E3D" w:rsidRDefault="00AD2E3D" w:rsidP="00AD2E3D">
      <w:pPr>
        <w:spacing w:line="360" w:lineRule="auto"/>
        <w:jc w:val="both"/>
        <w:rPr>
          <w:rFonts w:ascii="Times New Roman" w:hAnsi="Times New Roman" w:cs="Times New Roman"/>
          <w:sz w:val="24"/>
          <w:szCs w:val="24"/>
        </w:rPr>
      </w:pPr>
    </w:p>
    <w:p w14:paraId="4F007C96" w14:textId="77777777" w:rsidR="00AD2E3D" w:rsidRPr="00AD2E3D" w:rsidRDefault="00AD2E3D" w:rsidP="00AD2E3D">
      <w:pPr>
        <w:spacing w:line="360" w:lineRule="auto"/>
        <w:jc w:val="both"/>
        <w:rPr>
          <w:rFonts w:ascii="Times New Roman" w:hAnsi="Times New Roman" w:cs="Times New Roman"/>
          <w:sz w:val="24"/>
          <w:szCs w:val="24"/>
        </w:rPr>
      </w:pPr>
      <w:r w:rsidRPr="00AD2E3D">
        <w:rPr>
          <w:rFonts w:ascii="Times New Roman" w:hAnsi="Times New Roman" w:cs="Times New Roman"/>
          <w:sz w:val="24"/>
          <w:szCs w:val="24"/>
        </w:rPr>
        <w:t>This study highlights strategies for harmonizing human expertise with technological advancements. It emphasizes training and reskilling programs, fostering a culture of continuous learning, and promoting collaboration between human operators and technology. By prioritizing these strategies, the aviation sector can harness the potential of innovation while ensuring that human capabilities are not only preserved but enhanced.</w:t>
      </w:r>
    </w:p>
    <w:p w14:paraId="60B86FD7" w14:textId="77777777" w:rsidR="00AD2E3D" w:rsidRPr="00AD2E3D" w:rsidRDefault="00AD2E3D" w:rsidP="00AD2E3D">
      <w:pPr>
        <w:spacing w:line="360" w:lineRule="auto"/>
        <w:jc w:val="both"/>
        <w:rPr>
          <w:rFonts w:ascii="Times New Roman" w:hAnsi="Times New Roman" w:cs="Times New Roman"/>
          <w:sz w:val="24"/>
          <w:szCs w:val="24"/>
        </w:rPr>
      </w:pPr>
    </w:p>
    <w:p w14:paraId="6ABCEEC0" w14:textId="1EA773C8" w:rsidR="00DF1C58" w:rsidRDefault="00AD2E3D" w:rsidP="00AD2E3D">
      <w:pPr>
        <w:spacing w:line="360" w:lineRule="auto"/>
        <w:jc w:val="both"/>
        <w:rPr>
          <w:rFonts w:ascii="Times New Roman" w:hAnsi="Times New Roman" w:cs="Times New Roman"/>
          <w:sz w:val="24"/>
          <w:szCs w:val="24"/>
        </w:rPr>
      </w:pPr>
      <w:r w:rsidRPr="00AD2E3D">
        <w:rPr>
          <w:rFonts w:ascii="Times New Roman" w:hAnsi="Times New Roman" w:cs="Times New Roman"/>
          <w:sz w:val="24"/>
          <w:szCs w:val="24"/>
        </w:rPr>
        <w:t>Ultimately, this paper argues that a synergistic approach—where technology augments human abilities rather than replacing them—is vital for the sustainable future of the aviation industry. The findings aim to provide a framework for stakeholders to navigate the evolving landscape of aviation, ensuring that both human and technological resources are optimized for improved safety, efficiency, and service delivery.</w:t>
      </w:r>
    </w:p>
    <w:p w14:paraId="28A24EC7" w14:textId="17532DA3" w:rsidR="00AD2E3D" w:rsidRDefault="00AD2E3D" w:rsidP="00AD2E3D">
      <w:pPr>
        <w:spacing w:line="360" w:lineRule="auto"/>
        <w:jc w:val="both"/>
        <w:rPr>
          <w:rFonts w:ascii="Times New Roman" w:hAnsi="Times New Roman" w:cs="Times New Roman"/>
          <w:sz w:val="24"/>
          <w:szCs w:val="24"/>
        </w:rPr>
      </w:pPr>
      <w:r>
        <w:rPr>
          <w:rFonts w:ascii="Times New Roman" w:hAnsi="Times New Roman" w:cs="Times New Roman"/>
          <w:sz w:val="24"/>
          <w:szCs w:val="24"/>
        </w:rPr>
        <w:t>Key words: Innovation, Technology, sustainable, automation, collaboration</w:t>
      </w:r>
    </w:p>
    <w:p w14:paraId="37C6F57E" w14:textId="77777777" w:rsidR="006C30DB" w:rsidRDefault="006C30DB" w:rsidP="00AD2E3D">
      <w:pPr>
        <w:spacing w:line="360" w:lineRule="auto"/>
        <w:jc w:val="both"/>
        <w:rPr>
          <w:rFonts w:ascii="Times New Roman" w:hAnsi="Times New Roman" w:cs="Times New Roman"/>
          <w:sz w:val="24"/>
          <w:szCs w:val="24"/>
        </w:rPr>
      </w:pPr>
    </w:p>
    <w:p w14:paraId="2099948D" w14:textId="77777777" w:rsidR="006C30DB" w:rsidRPr="006C30DB" w:rsidRDefault="006C30DB" w:rsidP="006C30DB">
      <w:pPr>
        <w:spacing w:line="360" w:lineRule="auto"/>
        <w:jc w:val="both"/>
        <w:rPr>
          <w:rFonts w:ascii="Times New Roman" w:hAnsi="Times New Roman" w:cs="Times New Roman"/>
          <w:b/>
          <w:bCs/>
          <w:sz w:val="24"/>
          <w:szCs w:val="24"/>
        </w:rPr>
      </w:pPr>
      <w:r w:rsidRPr="006C30DB">
        <w:rPr>
          <w:rFonts w:ascii="Times New Roman" w:hAnsi="Times New Roman" w:cs="Times New Roman"/>
          <w:b/>
          <w:bCs/>
          <w:sz w:val="24"/>
          <w:szCs w:val="24"/>
        </w:rPr>
        <w:t>Introduction</w:t>
      </w:r>
    </w:p>
    <w:p w14:paraId="3EE4A822" w14:textId="77777777" w:rsidR="006C30DB" w:rsidRPr="006C30DB" w:rsidRDefault="006C30DB" w:rsidP="006C30DB">
      <w:pPr>
        <w:spacing w:line="360" w:lineRule="auto"/>
        <w:jc w:val="both"/>
        <w:rPr>
          <w:rFonts w:ascii="Times New Roman" w:hAnsi="Times New Roman" w:cs="Times New Roman"/>
          <w:sz w:val="24"/>
          <w:szCs w:val="24"/>
        </w:rPr>
      </w:pPr>
      <w:r w:rsidRPr="006C30DB">
        <w:rPr>
          <w:rFonts w:ascii="Times New Roman" w:hAnsi="Times New Roman" w:cs="Times New Roman"/>
          <w:sz w:val="24"/>
          <w:szCs w:val="24"/>
        </w:rPr>
        <w:t>The aviation industry plays a pivotal role in the global economy, facilitating the movement of millions of passengers and vast quantities of goods annually. As it continues to evolve, the integration of advanced technologies—such as automation, artificial intelligence (AI), and data analytics—has transformed operational efficiencies and safety protocols. However, this rapid technological advancement poses significant questions about the future roles of human operators in an increasingly automated environment.</w:t>
      </w:r>
    </w:p>
    <w:p w14:paraId="6513020E" w14:textId="77777777" w:rsidR="006C30DB" w:rsidRPr="006C30DB" w:rsidRDefault="006C30DB" w:rsidP="006C30DB">
      <w:pPr>
        <w:spacing w:line="360" w:lineRule="auto"/>
        <w:jc w:val="both"/>
        <w:rPr>
          <w:rFonts w:ascii="Times New Roman" w:hAnsi="Times New Roman" w:cs="Times New Roman"/>
          <w:sz w:val="24"/>
          <w:szCs w:val="24"/>
        </w:rPr>
      </w:pPr>
      <w:r w:rsidRPr="006C30DB">
        <w:rPr>
          <w:rFonts w:ascii="Times New Roman" w:hAnsi="Times New Roman" w:cs="Times New Roman"/>
          <w:sz w:val="24"/>
          <w:szCs w:val="24"/>
        </w:rPr>
        <w:t>At this crossroads, the aviation sector faces a complex challenge: how to balance the benefits of cutting-edge technology with the indispensable human skills that are vital for effective decision-making, situational awareness, and emotional intelligence. While automation can enhance efficiency and reduce operational risks, the intricacies of aviation demand a level of human judgment that machines are currently unable to replicate. Consequently, understanding how to integrate these technological innovations without displacing essential human roles is crucial for the industry's sustainable advancement.</w:t>
      </w:r>
    </w:p>
    <w:p w14:paraId="2542CDE5" w14:textId="77777777" w:rsidR="006C30DB" w:rsidRPr="006C30DB" w:rsidRDefault="006C30DB" w:rsidP="006C30DB">
      <w:pPr>
        <w:spacing w:line="360" w:lineRule="auto"/>
        <w:jc w:val="both"/>
        <w:rPr>
          <w:rFonts w:ascii="Times New Roman" w:hAnsi="Times New Roman" w:cs="Times New Roman"/>
          <w:sz w:val="24"/>
          <w:szCs w:val="24"/>
        </w:rPr>
      </w:pPr>
      <w:r w:rsidRPr="006C30DB">
        <w:rPr>
          <w:rFonts w:ascii="Times New Roman" w:hAnsi="Times New Roman" w:cs="Times New Roman"/>
          <w:sz w:val="24"/>
          <w:szCs w:val="24"/>
        </w:rPr>
        <w:t xml:space="preserve">This study aims to explore this delicate balance, focusing on several key objectives. First, it </w:t>
      </w:r>
      <w:proofErr w:type="spellStart"/>
      <w:r w:rsidRPr="006C30DB">
        <w:rPr>
          <w:rFonts w:ascii="Times New Roman" w:hAnsi="Times New Roman" w:cs="Times New Roman"/>
          <w:sz w:val="24"/>
          <w:szCs w:val="24"/>
        </w:rPr>
        <w:t>analyzes</w:t>
      </w:r>
      <w:proofErr w:type="spellEnd"/>
      <w:r w:rsidRPr="006C30DB">
        <w:rPr>
          <w:rFonts w:ascii="Times New Roman" w:hAnsi="Times New Roman" w:cs="Times New Roman"/>
          <w:sz w:val="24"/>
          <w:szCs w:val="24"/>
        </w:rPr>
        <w:t xml:space="preserve"> the impact of automation on job roles and operational efficiency within the aviation sector. Second, it identifies the critical human skills that remain essential in the face of technological change. Third, it examines strategies for effective collaboration between human operators and automated systems, including the development of training and reskilling initiatives that foster a culture of continuous learning.</w:t>
      </w:r>
    </w:p>
    <w:p w14:paraId="0EE198DF" w14:textId="77777777" w:rsidR="006C30DB" w:rsidRPr="006C30DB" w:rsidRDefault="006C30DB" w:rsidP="006C30DB">
      <w:pPr>
        <w:spacing w:line="360" w:lineRule="auto"/>
        <w:jc w:val="both"/>
        <w:rPr>
          <w:rFonts w:ascii="Times New Roman" w:hAnsi="Times New Roman" w:cs="Times New Roman"/>
          <w:sz w:val="24"/>
          <w:szCs w:val="24"/>
        </w:rPr>
      </w:pPr>
      <w:r w:rsidRPr="006C30DB">
        <w:rPr>
          <w:rFonts w:ascii="Times New Roman" w:hAnsi="Times New Roman" w:cs="Times New Roman"/>
          <w:sz w:val="24"/>
          <w:szCs w:val="24"/>
        </w:rPr>
        <w:t>The significance of this research extends to various stakeholders in the aviation industry, including policymakers, airline executives, and workforce development organizations. By understanding the dynamics between technology and human roles, stakeholders can make informed decisions that promote not only operational effectiveness but also workforce resilience. This research ultimately contributes to ongoing discussions about sustainable practices within aviation, emphasizing the need to enhance human capabilities alongside technological advancements.</w:t>
      </w:r>
    </w:p>
    <w:p w14:paraId="23031A51" w14:textId="58D3823B" w:rsidR="00AD2E3D" w:rsidRDefault="00AD2E3D" w:rsidP="00AD2E3D">
      <w:pPr>
        <w:spacing w:line="360" w:lineRule="auto"/>
        <w:jc w:val="both"/>
        <w:rPr>
          <w:rFonts w:ascii="Times New Roman" w:hAnsi="Times New Roman" w:cs="Times New Roman"/>
          <w:sz w:val="24"/>
          <w:szCs w:val="24"/>
        </w:rPr>
      </w:pPr>
    </w:p>
    <w:p w14:paraId="07C3B0C1" w14:textId="77777777" w:rsidR="00E464EB" w:rsidRDefault="00E464EB" w:rsidP="00AD2E3D">
      <w:pPr>
        <w:spacing w:line="360" w:lineRule="auto"/>
        <w:jc w:val="both"/>
        <w:rPr>
          <w:rFonts w:ascii="Times New Roman" w:hAnsi="Times New Roman" w:cs="Times New Roman"/>
          <w:sz w:val="24"/>
          <w:szCs w:val="24"/>
        </w:rPr>
      </w:pPr>
    </w:p>
    <w:p w14:paraId="73500B5A" w14:textId="1AB64857" w:rsidR="00807D08" w:rsidRPr="00807D08" w:rsidRDefault="00D15A44"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lastRenderedPageBreak/>
        <w:t xml:space="preserve">Literature Review </w:t>
      </w:r>
    </w:p>
    <w:p w14:paraId="60D074B4"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The aviation sector has faced unprecedented challenges in recent years, particularly due to the COVID-19 pandemic, which has prompted a re-evaluation of technological and educational paradigms within the industry. Recent literature has focused on various aspects of aviation technology, policy, and human factors, yet significant gaps remain that warrant further exploration. This review synthesizes findings from key studies and identifies areas for future research.</w:t>
      </w:r>
    </w:p>
    <w:p w14:paraId="381A04B8" w14:textId="77777777" w:rsidR="00807D08" w:rsidRPr="00807D08" w:rsidRDefault="00807D08"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t>Technological and Educational Challenges in Aviation</w:t>
      </w:r>
    </w:p>
    <w:p w14:paraId="5933CCD3"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 xml:space="preserve">Sun et al. (2021) </w:t>
      </w:r>
      <w:proofErr w:type="gramStart"/>
      <w:r w:rsidRPr="00807D08">
        <w:rPr>
          <w:rFonts w:ascii="Times New Roman" w:hAnsi="Times New Roman" w:cs="Times New Roman"/>
          <w:sz w:val="24"/>
          <w:szCs w:val="24"/>
        </w:rPr>
        <w:t>examine</w:t>
      </w:r>
      <w:proofErr w:type="gramEnd"/>
      <w:r w:rsidRPr="00807D08">
        <w:rPr>
          <w:rFonts w:ascii="Times New Roman" w:hAnsi="Times New Roman" w:cs="Times New Roman"/>
          <w:sz w:val="24"/>
          <w:szCs w:val="24"/>
        </w:rPr>
        <w:t xml:space="preserve"> the challenges that emerged in aviation during the pandemic, emphasizing the need for a resilient framework that integrates advanced technologies with educational initiatives. Their findings highlight the critical intersection of technology and human factors, suggesting that a holistic approach is necessary for future resilience. However, while the paper identifies specific technological advancements, it does not sufficiently address the long-term educational strategies required to support these innovations.</w:t>
      </w:r>
    </w:p>
    <w:p w14:paraId="3345AD85" w14:textId="77777777" w:rsidR="00807D08" w:rsidRPr="00807D08" w:rsidRDefault="00807D08"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t>Aviation Technology Space and Industrial Leadership</w:t>
      </w:r>
    </w:p>
    <w:p w14:paraId="131E8C41"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Valdés et al. (2019) provide a comprehensive overview of the aviation technology landscape in alignment with the Flight Path 2050 and ACARE goals. They emphasize the importance of maintaining industrial leadership through sustainable practices. Despite the detailed mapping of technologies, the authors do not explore the implications of these advancements on workforce training and skill development. This oversight suggests a gap in understanding how emerging technologies will necessitate changes in educational frameworks within the aviation industry.</w:t>
      </w:r>
    </w:p>
    <w:p w14:paraId="15F7514A" w14:textId="77777777" w:rsidR="00807D08" w:rsidRPr="00807D08" w:rsidRDefault="00807D08"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t>Human Factors in Advanced Air Mobility</w:t>
      </w:r>
    </w:p>
    <w:p w14:paraId="4BF635C9"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 xml:space="preserve">Vempati et al. (2023) </w:t>
      </w:r>
      <w:proofErr w:type="gramStart"/>
      <w:r w:rsidRPr="00807D08">
        <w:rPr>
          <w:rFonts w:ascii="Times New Roman" w:hAnsi="Times New Roman" w:cs="Times New Roman"/>
          <w:sz w:val="24"/>
          <w:szCs w:val="24"/>
        </w:rPr>
        <w:t>conduct</w:t>
      </w:r>
      <w:proofErr w:type="gramEnd"/>
      <w:r w:rsidRPr="00807D08">
        <w:rPr>
          <w:rFonts w:ascii="Times New Roman" w:hAnsi="Times New Roman" w:cs="Times New Roman"/>
          <w:sz w:val="24"/>
          <w:szCs w:val="24"/>
        </w:rPr>
        <w:t xml:space="preserve"> a systematic review of human factors in Advanced Air Mobility (AAM), shedding light on the complexities involved in integrating new air transport modes. Their analysis highlights significant human factors issues but indicates a need for more empirical research to understand how these factors can be effectively addressed in policy formulation. This presents an opportunity for research focused on developing guidelines that incorporate human factors into the design and implementation of AAM systems.</w:t>
      </w:r>
    </w:p>
    <w:p w14:paraId="0D811CFB" w14:textId="77777777" w:rsidR="00807D08" w:rsidRDefault="00807D08" w:rsidP="00807D08">
      <w:pPr>
        <w:spacing w:line="360" w:lineRule="auto"/>
        <w:jc w:val="both"/>
        <w:rPr>
          <w:rFonts w:ascii="Times New Roman" w:hAnsi="Times New Roman" w:cs="Times New Roman"/>
          <w:b/>
          <w:bCs/>
          <w:sz w:val="24"/>
          <w:szCs w:val="24"/>
        </w:rPr>
      </w:pPr>
    </w:p>
    <w:p w14:paraId="3F7A38CF" w14:textId="5E01FE2E" w:rsidR="00807D08" w:rsidRPr="00807D08" w:rsidRDefault="00807D08"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lastRenderedPageBreak/>
        <w:t>Evolution of Flight Vehicle Structures</w:t>
      </w:r>
    </w:p>
    <w:p w14:paraId="4EE24067"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The work of Renton et al. (2004) discusses the evolution of flight vehicle structures, projecting trends from 2000 to 2023. Although this study provides valuable insights into structural innovations, it lacks a forward-looking perspective on how emerging materials and technologies will interact with existing regulations and safety standards in the post-pandemic context. Research could explore the regulatory implications of new structural designs and their impact on safety and efficiency.</w:t>
      </w:r>
    </w:p>
    <w:p w14:paraId="58CD9C23" w14:textId="77777777" w:rsidR="00807D08" w:rsidRPr="00807D08" w:rsidRDefault="00807D08" w:rsidP="00807D08">
      <w:pPr>
        <w:spacing w:line="360" w:lineRule="auto"/>
        <w:jc w:val="both"/>
        <w:rPr>
          <w:rFonts w:ascii="Times New Roman" w:hAnsi="Times New Roman" w:cs="Times New Roman"/>
          <w:b/>
          <w:bCs/>
          <w:sz w:val="24"/>
          <w:szCs w:val="24"/>
        </w:rPr>
      </w:pPr>
      <w:r w:rsidRPr="00807D08">
        <w:rPr>
          <w:rFonts w:ascii="Times New Roman" w:hAnsi="Times New Roman" w:cs="Times New Roman"/>
          <w:b/>
          <w:bCs/>
          <w:sz w:val="24"/>
          <w:szCs w:val="24"/>
        </w:rPr>
        <w:t>Identified Research Gaps</w:t>
      </w:r>
    </w:p>
    <w:p w14:paraId="62EBDA0E" w14:textId="77777777" w:rsidR="00807D08" w:rsidRPr="00807D08" w:rsidRDefault="00807D08" w:rsidP="00807D08">
      <w:pPr>
        <w:spacing w:line="360" w:lineRule="auto"/>
        <w:jc w:val="both"/>
        <w:rPr>
          <w:rFonts w:ascii="Times New Roman" w:hAnsi="Times New Roman" w:cs="Times New Roman"/>
          <w:sz w:val="24"/>
          <w:szCs w:val="24"/>
        </w:rPr>
      </w:pPr>
      <w:r w:rsidRPr="00807D08">
        <w:rPr>
          <w:rFonts w:ascii="Times New Roman" w:hAnsi="Times New Roman" w:cs="Times New Roman"/>
          <w:sz w:val="24"/>
          <w:szCs w:val="24"/>
        </w:rPr>
        <w:t>The literature reveals several critical gaps:</w:t>
      </w:r>
    </w:p>
    <w:p w14:paraId="0D194825" w14:textId="77777777" w:rsidR="00807D08" w:rsidRPr="00807D08" w:rsidRDefault="00807D08" w:rsidP="00807D08">
      <w:pPr>
        <w:numPr>
          <w:ilvl w:val="0"/>
          <w:numId w:val="2"/>
        </w:numPr>
        <w:spacing w:line="360" w:lineRule="auto"/>
        <w:jc w:val="both"/>
        <w:rPr>
          <w:rFonts w:ascii="Times New Roman" w:hAnsi="Times New Roman" w:cs="Times New Roman"/>
          <w:sz w:val="24"/>
          <w:szCs w:val="24"/>
        </w:rPr>
      </w:pPr>
      <w:r w:rsidRPr="00807D08">
        <w:rPr>
          <w:rFonts w:ascii="Times New Roman" w:hAnsi="Times New Roman" w:cs="Times New Roman"/>
          <w:b/>
          <w:bCs/>
          <w:sz w:val="24"/>
          <w:szCs w:val="24"/>
        </w:rPr>
        <w:t>Long-term Educational Strategies</w:t>
      </w:r>
      <w:r w:rsidRPr="00807D08">
        <w:rPr>
          <w:rFonts w:ascii="Times New Roman" w:hAnsi="Times New Roman" w:cs="Times New Roman"/>
          <w:sz w:val="24"/>
          <w:szCs w:val="24"/>
        </w:rPr>
        <w:t>: There is insufficient exploration of how educational systems in aviation must evolve to prepare a workforce capable of adapting to rapid technological changes.</w:t>
      </w:r>
    </w:p>
    <w:p w14:paraId="1DF16CFD" w14:textId="77777777" w:rsidR="00807D08" w:rsidRPr="00807D08" w:rsidRDefault="00807D08" w:rsidP="00807D08">
      <w:pPr>
        <w:numPr>
          <w:ilvl w:val="0"/>
          <w:numId w:val="2"/>
        </w:numPr>
        <w:spacing w:line="360" w:lineRule="auto"/>
        <w:jc w:val="both"/>
        <w:rPr>
          <w:rFonts w:ascii="Times New Roman" w:hAnsi="Times New Roman" w:cs="Times New Roman"/>
          <w:sz w:val="24"/>
          <w:szCs w:val="24"/>
        </w:rPr>
      </w:pPr>
      <w:r w:rsidRPr="00807D08">
        <w:rPr>
          <w:rFonts w:ascii="Times New Roman" w:hAnsi="Times New Roman" w:cs="Times New Roman"/>
          <w:b/>
          <w:bCs/>
          <w:sz w:val="24"/>
          <w:szCs w:val="24"/>
        </w:rPr>
        <w:t>Empirical Research on Human Factors</w:t>
      </w:r>
      <w:r w:rsidRPr="00807D08">
        <w:rPr>
          <w:rFonts w:ascii="Times New Roman" w:hAnsi="Times New Roman" w:cs="Times New Roman"/>
          <w:sz w:val="24"/>
          <w:szCs w:val="24"/>
        </w:rPr>
        <w:t>: A lack of empirical studies examining how human factors can be systematically integrated into AAM policies creates a barrier to effective implementation.</w:t>
      </w:r>
    </w:p>
    <w:p w14:paraId="51EEEC91" w14:textId="77777777" w:rsidR="00807D08" w:rsidRPr="00807D08" w:rsidRDefault="00807D08" w:rsidP="00807D08">
      <w:pPr>
        <w:numPr>
          <w:ilvl w:val="0"/>
          <w:numId w:val="2"/>
        </w:numPr>
        <w:spacing w:line="360" w:lineRule="auto"/>
        <w:jc w:val="both"/>
        <w:rPr>
          <w:rFonts w:ascii="Times New Roman" w:hAnsi="Times New Roman" w:cs="Times New Roman"/>
          <w:sz w:val="24"/>
          <w:szCs w:val="24"/>
        </w:rPr>
      </w:pPr>
      <w:r w:rsidRPr="00807D08">
        <w:rPr>
          <w:rFonts w:ascii="Times New Roman" w:hAnsi="Times New Roman" w:cs="Times New Roman"/>
          <w:b/>
          <w:bCs/>
          <w:sz w:val="24"/>
          <w:szCs w:val="24"/>
        </w:rPr>
        <w:t>Regulatory Frameworks for Emerging Technologies</w:t>
      </w:r>
      <w:r w:rsidRPr="00807D08">
        <w:rPr>
          <w:rFonts w:ascii="Times New Roman" w:hAnsi="Times New Roman" w:cs="Times New Roman"/>
          <w:sz w:val="24"/>
          <w:szCs w:val="24"/>
        </w:rPr>
        <w:t>: The intersection of new technologies, safety standards, and regulatory frameworks remains under-researched, particularly in the context of post-pandemic recovery.</w:t>
      </w:r>
    </w:p>
    <w:p w14:paraId="561AADD3" w14:textId="77777777" w:rsidR="00E464EB" w:rsidRDefault="00E464EB" w:rsidP="00AD2E3D">
      <w:pPr>
        <w:spacing w:line="360" w:lineRule="auto"/>
        <w:jc w:val="both"/>
        <w:rPr>
          <w:rFonts w:ascii="Times New Roman" w:hAnsi="Times New Roman" w:cs="Times New Roman"/>
          <w:sz w:val="24"/>
          <w:szCs w:val="24"/>
        </w:rPr>
      </w:pPr>
    </w:p>
    <w:p w14:paraId="7515512F" w14:textId="77777777" w:rsidR="00E464EB" w:rsidRDefault="00E464EB" w:rsidP="00AD2E3D">
      <w:pPr>
        <w:spacing w:line="360" w:lineRule="auto"/>
        <w:jc w:val="both"/>
        <w:rPr>
          <w:rFonts w:ascii="Times New Roman" w:hAnsi="Times New Roman" w:cs="Times New Roman"/>
          <w:sz w:val="24"/>
          <w:szCs w:val="24"/>
        </w:rPr>
      </w:pPr>
    </w:p>
    <w:p w14:paraId="00973B11" w14:textId="77777777" w:rsidR="00E464EB" w:rsidRDefault="00E464EB" w:rsidP="00AD2E3D">
      <w:pPr>
        <w:spacing w:line="360" w:lineRule="auto"/>
        <w:jc w:val="both"/>
        <w:rPr>
          <w:rFonts w:ascii="Times New Roman" w:hAnsi="Times New Roman" w:cs="Times New Roman"/>
          <w:sz w:val="24"/>
          <w:szCs w:val="24"/>
        </w:rPr>
      </w:pPr>
    </w:p>
    <w:p w14:paraId="553C2F81" w14:textId="77777777" w:rsidR="00E464EB" w:rsidRDefault="00E464EB" w:rsidP="00AD2E3D">
      <w:pPr>
        <w:spacing w:line="360" w:lineRule="auto"/>
        <w:jc w:val="both"/>
        <w:rPr>
          <w:rFonts w:ascii="Times New Roman" w:hAnsi="Times New Roman" w:cs="Times New Roman"/>
          <w:sz w:val="24"/>
          <w:szCs w:val="24"/>
        </w:rPr>
      </w:pPr>
    </w:p>
    <w:p w14:paraId="2A161740" w14:textId="77777777" w:rsidR="00E464EB" w:rsidRDefault="00E464EB" w:rsidP="00AD2E3D">
      <w:pPr>
        <w:spacing w:line="360" w:lineRule="auto"/>
        <w:jc w:val="both"/>
        <w:rPr>
          <w:rFonts w:ascii="Times New Roman" w:hAnsi="Times New Roman" w:cs="Times New Roman"/>
          <w:sz w:val="24"/>
          <w:szCs w:val="24"/>
        </w:rPr>
      </w:pPr>
    </w:p>
    <w:p w14:paraId="4A72E9FA" w14:textId="77777777" w:rsidR="00E464EB" w:rsidRDefault="00E464EB" w:rsidP="00AD2E3D">
      <w:pPr>
        <w:spacing w:line="360" w:lineRule="auto"/>
        <w:jc w:val="both"/>
        <w:rPr>
          <w:rFonts w:ascii="Times New Roman" w:hAnsi="Times New Roman" w:cs="Times New Roman"/>
          <w:sz w:val="24"/>
          <w:szCs w:val="24"/>
        </w:rPr>
      </w:pPr>
    </w:p>
    <w:p w14:paraId="160270BD" w14:textId="77777777" w:rsidR="00E464EB" w:rsidRDefault="00E464EB" w:rsidP="00AD2E3D">
      <w:pPr>
        <w:spacing w:line="360" w:lineRule="auto"/>
        <w:jc w:val="both"/>
        <w:rPr>
          <w:rFonts w:ascii="Times New Roman" w:hAnsi="Times New Roman" w:cs="Times New Roman"/>
          <w:sz w:val="24"/>
          <w:szCs w:val="24"/>
        </w:rPr>
      </w:pPr>
    </w:p>
    <w:p w14:paraId="38094543" w14:textId="77777777" w:rsidR="00E464EB" w:rsidRDefault="00E464EB" w:rsidP="00AD2E3D">
      <w:pPr>
        <w:spacing w:line="360" w:lineRule="auto"/>
        <w:jc w:val="both"/>
        <w:rPr>
          <w:rFonts w:ascii="Times New Roman" w:hAnsi="Times New Roman" w:cs="Times New Roman"/>
          <w:sz w:val="24"/>
          <w:szCs w:val="24"/>
        </w:rPr>
      </w:pPr>
    </w:p>
    <w:p w14:paraId="2977C2C4" w14:textId="77777777" w:rsidR="00E464EB" w:rsidRDefault="00E464EB" w:rsidP="00AD2E3D">
      <w:pPr>
        <w:spacing w:line="360" w:lineRule="auto"/>
        <w:jc w:val="both"/>
        <w:rPr>
          <w:rFonts w:ascii="Times New Roman" w:hAnsi="Times New Roman" w:cs="Times New Roman"/>
          <w:sz w:val="24"/>
          <w:szCs w:val="24"/>
        </w:rPr>
      </w:pPr>
    </w:p>
    <w:p w14:paraId="79D801FB" w14:textId="56B2EE96" w:rsidR="00E464EB" w:rsidRDefault="00E464EB" w:rsidP="00AD2E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w:t>
      </w:r>
    </w:p>
    <w:p w14:paraId="63A3A861" w14:textId="3D06FF44" w:rsidR="00E464EB" w:rsidRDefault="00D15A44" w:rsidP="00AD2E3D">
      <w:pPr>
        <w:spacing w:line="360" w:lineRule="auto"/>
        <w:jc w:val="both"/>
        <w:rPr>
          <w:rFonts w:ascii="Times New Roman" w:hAnsi="Times New Roman" w:cs="Times New Roman"/>
          <w:sz w:val="24"/>
          <w:szCs w:val="24"/>
        </w:rPr>
      </w:pPr>
      <w:r w:rsidRPr="00D15A44">
        <w:rPr>
          <w:rFonts w:ascii="Times New Roman" w:hAnsi="Times New Roman" w:cs="Times New Roman"/>
          <w:sz w:val="24"/>
          <w:szCs w:val="24"/>
        </w:rPr>
        <w:t xml:space="preserve">Sun, X., </w:t>
      </w:r>
      <w:proofErr w:type="spellStart"/>
      <w:r w:rsidRPr="00D15A44">
        <w:rPr>
          <w:rFonts w:ascii="Times New Roman" w:hAnsi="Times New Roman" w:cs="Times New Roman"/>
          <w:sz w:val="24"/>
          <w:szCs w:val="24"/>
        </w:rPr>
        <w:t>Wandelt</w:t>
      </w:r>
      <w:proofErr w:type="spellEnd"/>
      <w:r w:rsidRPr="00D15A44">
        <w:rPr>
          <w:rFonts w:ascii="Times New Roman" w:hAnsi="Times New Roman" w:cs="Times New Roman"/>
          <w:sz w:val="24"/>
          <w:szCs w:val="24"/>
        </w:rPr>
        <w:t>, S., &amp; Zhang, A. (2021). Technological and educational challenges towards pandemic-resilient aviation. </w:t>
      </w:r>
      <w:r w:rsidRPr="00D15A44">
        <w:rPr>
          <w:rFonts w:ascii="Times New Roman" w:hAnsi="Times New Roman" w:cs="Times New Roman"/>
          <w:i/>
          <w:iCs/>
          <w:sz w:val="24"/>
          <w:szCs w:val="24"/>
        </w:rPr>
        <w:t>Transport Policy</w:t>
      </w:r>
      <w:r w:rsidRPr="00D15A44">
        <w:rPr>
          <w:rFonts w:ascii="Times New Roman" w:hAnsi="Times New Roman" w:cs="Times New Roman"/>
          <w:sz w:val="24"/>
          <w:szCs w:val="24"/>
        </w:rPr>
        <w:t xml:space="preserve">, 114, 104 - 115. </w:t>
      </w:r>
      <w:hyperlink r:id="rId5" w:history="1">
        <w:r w:rsidRPr="00AE14BA">
          <w:rPr>
            <w:rStyle w:val="Hyperlink"/>
            <w:rFonts w:ascii="Times New Roman" w:hAnsi="Times New Roman" w:cs="Times New Roman"/>
            <w:sz w:val="24"/>
            <w:szCs w:val="24"/>
          </w:rPr>
          <w:t>https://doi.org/10.1016/j.tranpol.2021.09.010</w:t>
        </w:r>
      </w:hyperlink>
      <w:r w:rsidRPr="00D15A44">
        <w:rPr>
          <w:rFonts w:ascii="Times New Roman" w:hAnsi="Times New Roman" w:cs="Times New Roman"/>
          <w:sz w:val="24"/>
          <w:szCs w:val="24"/>
        </w:rPr>
        <w:t>.</w:t>
      </w:r>
    </w:p>
    <w:p w14:paraId="2F391AA6" w14:textId="70CF4C21" w:rsidR="00D15A44" w:rsidRDefault="00D15A44" w:rsidP="00AD2E3D">
      <w:pPr>
        <w:spacing w:line="360" w:lineRule="auto"/>
        <w:jc w:val="both"/>
        <w:rPr>
          <w:rFonts w:ascii="Times New Roman" w:hAnsi="Times New Roman" w:cs="Times New Roman"/>
          <w:sz w:val="24"/>
          <w:szCs w:val="24"/>
        </w:rPr>
      </w:pPr>
      <w:r w:rsidRPr="00D15A44">
        <w:rPr>
          <w:rFonts w:ascii="Times New Roman" w:hAnsi="Times New Roman" w:cs="Times New Roman"/>
          <w:sz w:val="24"/>
          <w:szCs w:val="24"/>
        </w:rPr>
        <w:t xml:space="preserve">Valdés, R., </w:t>
      </w:r>
      <w:proofErr w:type="spellStart"/>
      <w:r w:rsidRPr="00D15A44">
        <w:rPr>
          <w:rFonts w:ascii="Times New Roman" w:hAnsi="Times New Roman" w:cs="Times New Roman"/>
          <w:sz w:val="24"/>
          <w:szCs w:val="24"/>
        </w:rPr>
        <w:t>Burmaoglu</w:t>
      </w:r>
      <w:proofErr w:type="spellEnd"/>
      <w:r w:rsidRPr="00D15A44">
        <w:rPr>
          <w:rFonts w:ascii="Times New Roman" w:hAnsi="Times New Roman" w:cs="Times New Roman"/>
          <w:sz w:val="24"/>
          <w:szCs w:val="24"/>
        </w:rPr>
        <w:t xml:space="preserve">, S., Tucci, V., Campos, L., Mattera, L., &amp; Comendador, V. (2019). Flight Path 2050 and ACARE Goals for Maintaining and Extending Industrial Leadership in Aviation: A Map of the Aviation Technology </w:t>
      </w:r>
      <w:proofErr w:type="gramStart"/>
      <w:r w:rsidRPr="00D15A44">
        <w:rPr>
          <w:rFonts w:ascii="Times New Roman" w:hAnsi="Times New Roman" w:cs="Times New Roman"/>
          <w:sz w:val="24"/>
          <w:szCs w:val="24"/>
        </w:rPr>
        <w:t>Space..</w:t>
      </w:r>
      <w:proofErr w:type="gramEnd"/>
      <w:r w:rsidRPr="00D15A44">
        <w:rPr>
          <w:rFonts w:ascii="Times New Roman" w:hAnsi="Times New Roman" w:cs="Times New Roman"/>
          <w:sz w:val="24"/>
          <w:szCs w:val="24"/>
        </w:rPr>
        <w:t> </w:t>
      </w:r>
      <w:r w:rsidRPr="00D15A44">
        <w:rPr>
          <w:rFonts w:ascii="Times New Roman" w:hAnsi="Times New Roman" w:cs="Times New Roman"/>
          <w:i/>
          <w:iCs/>
          <w:sz w:val="24"/>
          <w:szCs w:val="24"/>
        </w:rPr>
        <w:t>Sustainability</w:t>
      </w:r>
      <w:r w:rsidRPr="00D15A44">
        <w:rPr>
          <w:rFonts w:ascii="Times New Roman" w:hAnsi="Times New Roman" w:cs="Times New Roman"/>
          <w:sz w:val="24"/>
          <w:szCs w:val="24"/>
        </w:rPr>
        <w:t xml:space="preserve">. </w:t>
      </w:r>
      <w:hyperlink r:id="rId6" w:history="1">
        <w:r w:rsidRPr="00AE14BA">
          <w:rPr>
            <w:rStyle w:val="Hyperlink"/>
            <w:rFonts w:ascii="Times New Roman" w:hAnsi="Times New Roman" w:cs="Times New Roman"/>
            <w:sz w:val="24"/>
            <w:szCs w:val="24"/>
          </w:rPr>
          <w:t>https://doi.org/10.3390/SU11072065</w:t>
        </w:r>
      </w:hyperlink>
      <w:r w:rsidRPr="00D15A44">
        <w:rPr>
          <w:rFonts w:ascii="Times New Roman" w:hAnsi="Times New Roman" w:cs="Times New Roman"/>
          <w:sz w:val="24"/>
          <w:szCs w:val="24"/>
        </w:rPr>
        <w:t>.</w:t>
      </w:r>
    </w:p>
    <w:p w14:paraId="1F531F99" w14:textId="10FDCD84" w:rsidR="00D15A44" w:rsidRDefault="00D15A44" w:rsidP="00AD2E3D">
      <w:pPr>
        <w:spacing w:line="360" w:lineRule="auto"/>
        <w:jc w:val="both"/>
        <w:rPr>
          <w:rFonts w:ascii="Times New Roman" w:hAnsi="Times New Roman" w:cs="Times New Roman"/>
          <w:sz w:val="24"/>
          <w:szCs w:val="24"/>
        </w:rPr>
      </w:pPr>
      <w:r w:rsidRPr="00D15A44">
        <w:rPr>
          <w:rFonts w:ascii="Times New Roman" w:hAnsi="Times New Roman" w:cs="Times New Roman"/>
          <w:sz w:val="24"/>
          <w:szCs w:val="24"/>
        </w:rPr>
        <w:t>Vempati, L., Gawron, V., &amp; Winter, S. (2023). Advanced Air Mobility: Systematic Review of Human Factors’ Scientific Publications and Policy. </w:t>
      </w:r>
      <w:r w:rsidRPr="00D15A44">
        <w:rPr>
          <w:rFonts w:ascii="Times New Roman" w:hAnsi="Times New Roman" w:cs="Times New Roman"/>
          <w:i/>
          <w:iCs/>
          <w:sz w:val="24"/>
          <w:szCs w:val="24"/>
        </w:rPr>
        <w:t>Journal of Air Transportation</w:t>
      </w:r>
      <w:r w:rsidRPr="00D15A44">
        <w:rPr>
          <w:rFonts w:ascii="Times New Roman" w:hAnsi="Times New Roman" w:cs="Times New Roman"/>
          <w:sz w:val="24"/>
          <w:szCs w:val="24"/>
        </w:rPr>
        <w:t xml:space="preserve">. </w:t>
      </w:r>
      <w:hyperlink r:id="rId7" w:history="1">
        <w:r w:rsidRPr="00AE14BA">
          <w:rPr>
            <w:rStyle w:val="Hyperlink"/>
            <w:rFonts w:ascii="Times New Roman" w:hAnsi="Times New Roman" w:cs="Times New Roman"/>
            <w:sz w:val="24"/>
            <w:szCs w:val="24"/>
          </w:rPr>
          <w:t>https://doi.org/10.2514/1.d0366</w:t>
        </w:r>
      </w:hyperlink>
      <w:r w:rsidRPr="00D15A44">
        <w:rPr>
          <w:rFonts w:ascii="Times New Roman" w:hAnsi="Times New Roman" w:cs="Times New Roman"/>
          <w:sz w:val="24"/>
          <w:szCs w:val="24"/>
        </w:rPr>
        <w:t>.</w:t>
      </w:r>
    </w:p>
    <w:p w14:paraId="3995080C" w14:textId="52469845" w:rsidR="00D15A44" w:rsidRDefault="00D15A44" w:rsidP="00AD2E3D">
      <w:pPr>
        <w:spacing w:line="360" w:lineRule="auto"/>
        <w:jc w:val="both"/>
        <w:rPr>
          <w:rFonts w:ascii="Times New Roman" w:hAnsi="Times New Roman" w:cs="Times New Roman"/>
          <w:sz w:val="24"/>
          <w:szCs w:val="24"/>
        </w:rPr>
      </w:pPr>
      <w:r w:rsidRPr="00D15A44">
        <w:rPr>
          <w:rFonts w:ascii="Times New Roman" w:hAnsi="Times New Roman" w:cs="Times New Roman"/>
          <w:sz w:val="24"/>
          <w:szCs w:val="24"/>
        </w:rPr>
        <w:t xml:space="preserve">Renton, J., Olcott, D., Roeseler, B., Batzer, R., Baron, B., &amp; </w:t>
      </w:r>
      <w:proofErr w:type="spellStart"/>
      <w:r w:rsidRPr="00D15A44">
        <w:rPr>
          <w:rFonts w:ascii="Times New Roman" w:hAnsi="Times New Roman" w:cs="Times New Roman"/>
          <w:sz w:val="24"/>
          <w:szCs w:val="24"/>
        </w:rPr>
        <w:t>Velicki</w:t>
      </w:r>
      <w:proofErr w:type="spellEnd"/>
      <w:r w:rsidRPr="00D15A44">
        <w:rPr>
          <w:rFonts w:ascii="Times New Roman" w:hAnsi="Times New Roman" w:cs="Times New Roman"/>
          <w:sz w:val="24"/>
          <w:szCs w:val="24"/>
        </w:rPr>
        <w:t>, A. (2004). Future of Flight Vehicle Structures (2000 to 2023). </w:t>
      </w:r>
      <w:r w:rsidRPr="00D15A44">
        <w:rPr>
          <w:rFonts w:ascii="Times New Roman" w:hAnsi="Times New Roman" w:cs="Times New Roman"/>
          <w:i/>
          <w:iCs/>
          <w:sz w:val="24"/>
          <w:szCs w:val="24"/>
        </w:rPr>
        <w:t>Journal of Aircraft</w:t>
      </w:r>
      <w:r w:rsidRPr="00D15A44">
        <w:rPr>
          <w:rFonts w:ascii="Times New Roman" w:hAnsi="Times New Roman" w:cs="Times New Roman"/>
          <w:sz w:val="24"/>
          <w:szCs w:val="24"/>
        </w:rPr>
        <w:t xml:space="preserve">, 41, 986-998. </w:t>
      </w:r>
      <w:hyperlink r:id="rId8" w:history="1">
        <w:r w:rsidRPr="00AE14BA">
          <w:rPr>
            <w:rStyle w:val="Hyperlink"/>
            <w:rFonts w:ascii="Times New Roman" w:hAnsi="Times New Roman" w:cs="Times New Roman"/>
            <w:sz w:val="24"/>
            <w:szCs w:val="24"/>
          </w:rPr>
          <w:t>https://doi.org/10.2514/1.4039</w:t>
        </w:r>
      </w:hyperlink>
      <w:r w:rsidRPr="00D15A44">
        <w:rPr>
          <w:rFonts w:ascii="Times New Roman" w:hAnsi="Times New Roman" w:cs="Times New Roman"/>
          <w:sz w:val="24"/>
          <w:szCs w:val="24"/>
        </w:rPr>
        <w:t>.</w:t>
      </w:r>
    </w:p>
    <w:p w14:paraId="0201B475" w14:textId="77777777" w:rsidR="00D15A44" w:rsidRPr="00AD2E3D" w:rsidRDefault="00D15A44" w:rsidP="00AD2E3D">
      <w:pPr>
        <w:spacing w:line="360" w:lineRule="auto"/>
        <w:jc w:val="both"/>
        <w:rPr>
          <w:rFonts w:ascii="Times New Roman" w:hAnsi="Times New Roman" w:cs="Times New Roman"/>
          <w:sz w:val="24"/>
          <w:szCs w:val="24"/>
        </w:rPr>
      </w:pPr>
    </w:p>
    <w:sectPr w:rsidR="00D15A44" w:rsidRPr="00AD2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9E1F8A"/>
    <w:multiLevelType w:val="multilevel"/>
    <w:tmpl w:val="772A25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56578A"/>
    <w:multiLevelType w:val="multilevel"/>
    <w:tmpl w:val="24368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9120289">
    <w:abstractNumId w:val="0"/>
  </w:num>
  <w:num w:numId="2" w16cid:durableId="1398941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E3D"/>
    <w:rsid w:val="002054A6"/>
    <w:rsid w:val="00633919"/>
    <w:rsid w:val="006C30DB"/>
    <w:rsid w:val="00755BFC"/>
    <w:rsid w:val="00807D08"/>
    <w:rsid w:val="00AD2E3D"/>
    <w:rsid w:val="00C8690B"/>
    <w:rsid w:val="00C9372F"/>
    <w:rsid w:val="00D15A44"/>
    <w:rsid w:val="00DF1C58"/>
    <w:rsid w:val="00E464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312C7"/>
  <w15:chartTrackingRefBased/>
  <w15:docId w15:val="{8C5C63C6-5758-478F-A71A-FA23B326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4EB"/>
    <w:rPr>
      <w:color w:val="0563C1" w:themeColor="hyperlink"/>
      <w:u w:val="single"/>
    </w:rPr>
  </w:style>
  <w:style w:type="character" w:styleId="UnresolvedMention">
    <w:name w:val="Unresolved Mention"/>
    <w:basedOn w:val="DefaultParagraphFont"/>
    <w:uiPriority w:val="99"/>
    <w:semiHidden/>
    <w:unhideWhenUsed/>
    <w:rsid w:val="00E46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24996">
      <w:bodyDiv w:val="1"/>
      <w:marLeft w:val="0"/>
      <w:marRight w:val="0"/>
      <w:marTop w:val="0"/>
      <w:marBottom w:val="0"/>
      <w:divBdr>
        <w:top w:val="none" w:sz="0" w:space="0" w:color="auto"/>
        <w:left w:val="none" w:sz="0" w:space="0" w:color="auto"/>
        <w:bottom w:val="none" w:sz="0" w:space="0" w:color="auto"/>
        <w:right w:val="none" w:sz="0" w:space="0" w:color="auto"/>
      </w:divBdr>
    </w:div>
    <w:div w:id="353770204">
      <w:bodyDiv w:val="1"/>
      <w:marLeft w:val="0"/>
      <w:marRight w:val="0"/>
      <w:marTop w:val="0"/>
      <w:marBottom w:val="0"/>
      <w:divBdr>
        <w:top w:val="none" w:sz="0" w:space="0" w:color="auto"/>
        <w:left w:val="none" w:sz="0" w:space="0" w:color="auto"/>
        <w:bottom w:val="none" w:sz="0" w:space="0" w:color="auto"/>
        <w:right w:val="none" w:sz="0" w:space="0" w:color="auto"/>
      </w:divBdr>
    </w:div>
    <w:div w:id="1001618155">
      <w:bodyDiv w:val="1"/>
      <w:marLeft w:val="0"/>
      <w:marRight w:val="0"/>
      <w:marTop w:val="0"/>
      <w:marBottom w:val="0"/>
      <w:divBdr>
        <w:top w:val="none" w:sz="0" w:space="0" w:color="auto"/>
        <w:left w:val="none" w:sz="0" w:space="0" w:color="auto"/>
        <w:bottom w:val="none" w:sz="0" w:space="0" w:color="auto"/>
        <w:right w:val="none" w:sz="0" w:space="0" w:color="auto"/>
      </w:divBdr>
    </w:div>
    <w:div w:id="1100220941">
      <w:bodyDiv w:val="1"/>
      <w:marLeft w:val="0"/>
      <w:marRight w:val="0"/>
      <w:marTop w:val="0"/>
      <w:marBottom w:val="0"/>
      <w:divBdr>
        <w:top w:val="none" w:sz="0" w:space="0" w:color="auto"/>
        <w:left w:val="none" w:sz="0" w:space="0" w:color="auto"/>
        <w:bottom w:val="none" w:sz="0" w:space="0" w:color="auto"/>
        <w:right w:val="none" w:sz="0" w:space="0" w:color="auto"/>
      </w:divBdr>
    </w:div>
    <w:div w:id="1152254442">
      <w:bodyDiv w:val="1"/>
      <w:marLeft w:val="0"/>
      <w:marRight w:val="0"/>
      <w:marTop w:val="0"/>
      <w:marBottom w:val="0"/>
      <w:divBdr>
        <w:top w:val="none" w:sz="0" w:space="0" w:color="auto"/>
        <w:left w:val="none" w:sz="0" w:space="0" w:color="auto"/>
        <w:bottom w:val="none" w:sz="0" w:space="0" w:color="auto"/>
        <w:right w:val="none" w:sz="0" w:space="0" w:color="auto"/>
      </w:divBdr>
    </w:div>
    <w:div w:id="145884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14/1.4039" TargetMode="External"/><Relationship Id="rId3" Type="http://schemas.openxmlformats.org/officeDocument/2006/relationships/settings" Target="settings.xml"/><Relationship Id="rId7" Type="http://schemas.openxmlformats.org/officeDocument/2006/relationships/hyperlink" Target="https://doi.org/10.2514/1.d03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SU11072065" TargetMode="External"/><Relationship Id="rId5" Type="http://schemas.openxmlformats.org/officeDocument/2006/relationships/hyperlink" Target="https://doi.org/10.1016/j.tranpol.2021.09.01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1131</Words>
  <Characters>7454</Characters>
  <Application>Microsoft Office Word</Application>
  <DocSecurity>0</DocSecurity>
  <Lines>130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Thriveni Muthuvelu</dc:creator>
  <cp:keywords/>
  <dc:description/>
  <cp:lastModifiedBy>Thriveni Muthuvelu</cp:lastModifiedBy>
  <cp:revision>2</cp:revision>
  <dcterms:created xsi:type="dcterms:W3CDTF">2024-09-20T10:38:00Z</dcterms:created>
  <dcterms:modified xsi:type="dcterms:W3CDTF">2024-09-27T18:01:00Z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efcbaec655cc5f0106cd4bb7139cfda6a15426519f45a32c89307664419e8a30</vt:lpwstr>
  </property>
</Properties>
</file>