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A226D" w14:textId="3D5A2F64" w:rsidR="00F83541" w:rsidRDefault="00E47220" w:rsidP="00F83541">
      <w:pPr>
        <w:jc w:val="both"/>
        <w:rPr>
          <w:b/>
          <w:bCs/>
          <w:u w:val="none"/>
        </w:rPr>
      </w:pPr>
      <w:r w:rsidRPr="00E47220">
        <w:rPr>
          <w:u w:val="none"/>
        </w:rPr>
        <w:t>Indole alkaloids have a bicyclic structure, consisting of a six-membered benzene ring fused to a five-membered nitrogen-containing pyrrole ring</w:t>
      </w:r>
      <w:r w:rsidR="003B3DA3">
        <w:rPr>
          <w:u w:val="none"/>
        </w:rPr>
        <w:t xml:space="preserve"> [</w:t>
      </w:r>
      <w:r w:rsidR="003B3DA3" w:rsidRPr="009C73AA">
        <w:rPr>
          <w:highlight w:val="yellow"/>
          <w:u w:val="none"/>
        </w:rPr>
        <w:t>fig xxxx</w:t>
      </w:r>
      <w:r w:rsidR="003B3DA3">
        <w:rPr>
          <w:u w:val="none"/>
        </w:rPr>
        <w:t>]</w:t>
      </w:r>
      <w:r w:rsidRPr="00E47220">
        <w:rPr>
          <w:u w:val="none"/>
        </w:rPr>
        <w:t>.</w:t>
      </w:r>
      <w:r>
        <w:rPr>
          <w:u w:val="none"/>
        </w:rPr>
        <w:t xml:space="preserve"> </w:t>
      </w:r>
      <w:r w:rsidR="00F83541" w:rsidRPr="007433AB">
        <w:rPr>
          <w:u w:val="none"/>
        </w:rPr>
        <w:t>Indole alkaloids, a prominent class of natural products characterized by the presence of one or more indole moieties, are frequently isolated from various wide range of marine and terrestrial organisms</w:t>
      </w:r>
      <w:r w:rsidR="00F83541">
        <w:rPr>
          <w:b/>
          <w:bCs/>
          <w:u w:val="none"/>
        </w:rPr>
        <w:t xml:space="preserve"> [1] </w:t>
      </w:r>
      <w:r w:rsidR="00F83541" w:rsidRPr="007433AB">
        <w:rPr>
          <w:u w:val="none"/>
        </w:rPr>
        <w:t>These compounds exhibit a broad spectrum of biological activities, including cytotoxic, antitumor, antiviral, antibacterial, and anti-inflammatory effects</w:t>
      </w:r>
      <w:r w:rsidR="00F83541">
        <w:rPr>
          <w:b/>
          <w:bCs/>
          <w:u w:val="none"/>
        </w:rPr>
        <w:t xml:space="preserve"> [2]</w:t>
      </w:r>
      <w:r w:rsidR="00F83541" w:rsidRPr="007433AB">
        <w:rPr>
          <w:u w:val="none"/>
        </w:rPr>
        <w:t>. Notable examples of therapeutic agents derived from this class include camptothecin and quinine, highlighting their</w:t>
      </w:r>
      <w:r w:rsidR="00F83541">
        <w:rPr>
          <w:b/>
          <w:bCs/>
          <w:u w:val="none"/>
        </w:rPr>
        <w:t xml:space="preserve"> </w:t>
      </w:r>
      <w:r w:rsidR="00F83541" w:rsidRPr="007433AB">
        <w:rPr>
          <w:u w:val="none"/>
        </w:rPr>
        <w:t>significance in drug discovery and development.</w:t>
      </w:r>
      <w:r w:rsidR="00F83541">
        <w:rPr>
          <w:b/>
          <w:bCs/>
          <w:u w:val="none"/>
        </w:rPr>
        <w:t xml:space="preserve"> </w:t>
      </w:r>
    </w:p>
    <w:p w14:paraId="47D8D683" w14:textId="0D8238E5" w:rsidR="003B3DA3" w:rsidRDefault="003B3DA3" w:rsidP="003B3DA3">
      <w:pPr>
        <w:jc w:val="center"/>
        <w:rPr>
          <w:b/>
          <w:bCs/>
          <w:u w:val="none"/>
        </w:rPr>
      </w:pPr>
      <w:r w:rsidRPr="003B3DA3">
        <w:rPr>
          <w:noProof/>
          <w:u w:val="none"/>
        </w:rPr>
        <w:drawing>
          <wp:inline distT="0" distB="0" distL="0" distR="0" wp14:anchorId="3B6A042D" wp14:editId="0C46A706">
            <wp:extent cx="2099310" cy="17570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99310" cy="1757045"/>
                    </a:xfrm>
                    <a:prstGeom prst="rect">
                      <a:avLst/>
                    </a:prstGeom>
                    <a:noFill/>
                    <a:ln>
                      <a:noFill/>
                    </a:ln>
                  </pic:spPr>
                </pic:pic>
              </a:graphicData>
            </a:graphic>
          </wp:inline>
        </w:drawing>
      </w:r>
    </w:p>
    <w:p w14:paraId="57477AAD" w14:textId="77777777" w:rsidR="00F83541" w:rsidRPr="00F83541" w:rsidRDefault="00F83541" w:rsidP="00F83541">
      <w:pPr>
        <w:rPr>
          <w:highlight w:val="yellow"/>
          <w:u w:val="none"/>
        </w:rPr>
      </w:pPr>
      <w:r w:rsidRPr="00F83541">
        <w:rPr>
          <w:b/>
          <w:bCs/>
          <w:highlight w:val="yellow"/>
          <w:u w:val="none"/>
        </w:rPr>
        <w:t xml:space="preserve">1. </w:t>
      </w:r>
      <w:r w:rsidRPr="00F83541">
        <w:rPr>
          <w:highlight w:val="yellow"/>
          <w:u w:val="none"/>
        </w:rPr>
        <w:t>J. Kobayashi, T. Murayama, M. Ishibashi, S. Kosuge,</w:t>
      </w:r>
      <w:r w:rsidRPr="00F83541">
        <w:rPr>
          <w:b/>
          <w:bCs/>
          <w:highlight w:val="yellow"/>
          <w:u w:val="none"/>
        </w:rPr>
        <w:t xml:space="preserve"> </w:t>
      </w:r>
      <w:r w:rsidRPr="00F83541">
        <w:rPr>
          <w:highlight w:val="yellow"/>
          <w:u w:val="none"/>
        </w:rPr>
        <w:t>M. Takamatsu, Y. Ohizumi, H. Kobayashi, T. Ohta,</w:t>
      </w:r>
      <w:r w:rsidRPr="00F83541">
        <w:rPr>
          <w:b/>
          <w:bCs/>
          <w:highlight w:val="yellow"/>
          <w:u w:val="none"/>
        </w:rPr>
        <w:t xml:space="preserve"> </w:t>
      </w:r>
      <w:r w:rsidRPr="00F83541">
        <w:rPr>
          <w:highlight w:val="yellow"/>
          <w:u w:val="none"/>
        </w:rPr>
        <w:t>S. Nozoe and S. Takuma, Hyrtiosins A and B, New Indole</w:t>
      </w:r>
      <w:r w:rsidRPr="00F83541">
        <w:rPr>
          <w:b/>
          <w:bCs/>
          <w:highlight w:val="yellow"/>
          <w:u w:val="none"/>
        </w:rPr>
        <w:t xml:space="preserve"> </w:t>
      </w:r>
      <w:r w:rsidRPr="00F83541">
        <w:rPr>
          <w:highlight w:val="yellow"/>
          <w:u w:val="none"/>
        </w:rPr>
        <w:t>Alkaloids from the Okinawan Marine Sponge Hyrtios</w:t>
      </w:r>
      <w:r w:rsidRPr="00F83541">
        <w:rPr>
          <w:b/>
          <w:bCs/>
          <w:highlight w:val="yellow"/>
          <w:u w:val="none"/>
        </w:rPr>
        <w:t xml:space="preserve"> </w:t>
      </w:r>
      <w:r w:rsidRPr="00F83541">
        <w:rPr>
          <w:highlight w:val="yellow"/>
          <w:u w:val="none"/>
        </w:rPr>
        <w:t>Erecta, Tetrahedron, 1990, 46(23), 7699–7702, DOI:</w:t>
      </w:r>
      <w:r w:rsidRPr="00F83541">
        <w:rPr>
          <w:b/>
          <w:bCs/>
          <w:highlight w:val="yellow"/>
          <w:u w:val="none"/>
        </w:rPr>
        <w:t xml:space="preserve"> </w:t>
      </w:r>
      <w:r w:rsidRPr="00F83541">
        <w:rPr>
          <w:highlight w:val="yellow"/>
          <w:u w:val="none"/>
        </w:rPr>
        <w:t>10.1016/S0040-4020(01)90065-1.</w:t>
      </w:r>
    </w:p>
    <w:p w14:paraId="6C3A18D6" w14:textId="07D2C378" w:rsidR="00F83541" w:rsidRDefault="00F83541" w:rsidP="00F83541">
      <w:pPr>
        <w:rPr>
          <w:u w:val="none"/>
        </w:rPr>
      </w:pPr>
      <w:r w:rsidRPr="00F83541">
        <w:rPr>
          <w:highlight w:val="yellow"/>
          <w:u w:val="none"/>
        </w:rPr>
        <w:t>2 B. Bao, Q. Sun, X. Yao, J. Hong, C.-O. Lee, H. Y. Cho and</w:t>
      </w:r>
      <w:r w:rsidRPr="00F83541">
        <w:rPr>
          <w:b/>
          <w:bCs/>
          <w:highlight w:val="yellow"/>
          <w:u w:val="none"/>
        </w:rPr>
        <w:t xml:space="preserve"> </w:t>
      </w:r>
      <w:r w:rsidRPr="00F83541">
        <w:rPr>
          <w:highlight w:val="yellow"/>
          <w:u w:val="none"/>
        </w:rPr>
        <w:t>J. H. Jung, Bisindole Alkaloids of the Topsentin and</w:t>
      </w:r>
      <w:r w:rsidRPr="00F83541">
        <w:rPr>
          <w:b/>
          <w:bCs/>
          <w:highlight w:val="yellow"/>
          <w:u w:val="none"/>
        </w:rPr>
        <w:t xml:space="preserve"> </w:t>
      </w:r>
      <w:r w:rsidRPr="00F83541">
        <w:rPr>
          <w:highlight w:val="yellow"/>
          <w:u w:val="none"/>
        </w:rPr>
        <w:t>Hamacanthin Classes from a Marine Sponge Spongosorites</w:t>
      </w:r>
      <w:r w:rsidRPr="00F83541">
        <w:rPr>
          <w:b/>
          <w:bCs/>
          <w:highlight w:val="yellow"/>
          <w:u w:val="none"/>
        </w:rPr>
        <w:t xml:space="preserve"> </w:t>
      </w:r>
      <w:r w:rsidRPr="00F83541">
        <w:rPr>
          <w:highlight w:val="yellow"/>
          <w:u w:val="none"/>
        </w:rPr>
        <w:t>Sp, J. Nat. Prod. , 2007, 70(1), 2–8, DOI: 10.1021/np060206z.</w:t>
      </w:r>
    </w:p>
    <w:p w14:paraId="2FC5B604" w14:textId="22B3753D" w:rsidR="00D23692" w:rsidRDefault="00D23692"/>
    <w:p w14:paraId="445C6314" w14:textId="1B58EAE3" w:rsidR="000629A9" w:rsidRDefault="000629A9" w:rsidP="000629A9">
      <w:pPr>
        <w:pStyle w:val="NormalWeb"/>
      </w:pPr>
      <w:r>
        <w:t xml:space="preserve">The proton and carbon NMR spectra of indole alkaloids based on the given indole structure show distinct patterns that aid in identifying their functional groups and connectivity. In the proton NMR spectrum, the aromatic region typically displays signals for the unsubstituted indole. These protons usually resonate in the range of δ </w:t>
      </w:r>
      <w:r w:rsidRPr="0019214E">
        <w:t>6.5–8</w:t>
      </w:r>
      <w:r>
        <w:t xml:space="preserve">.5 ppm.  In the carbon NMR spectrum, methylene carbons (CH₂) can be assigned in the region of </w:t>
      </w:r>
      <w:r w:rsidR="00FD7248">
        <w:rPr>
          <w:highlight w:val="yellow"/>
        </w:rPr>
        <w:t>100-120</w:t>
      </w:r>
      <w:r w:rsidRPr="00FD7248">
        <w:rPr>
          <w:highlight w:val="yellow"/>
        </w:rPr>
        <w:t xml:space="preserve"> </w:t>
      </w:r>
      <w:r>
        <w:t xml:space="preserve">ppm, while the deshielded quaternary carbons typically found in the downfield region, around </w:t>
      </w:r>
      <w:r w:rsidR="00FD7248">
        <w:rPr>
          <w:highlight w:val="yellow"/>
        </w:rPr>
        <w:t>130-140</w:t>
      </w:r>
      <w:r w:rsidRPr="00FD7248">
        <w:rPr>
          <w:highlight w:val="yellow"/>
        </w:rPr>
        <w:t xml:space="preserve"> </w:t>
      </w:r>
      <w:r>
        <w:t xml:space="preserve">ppm. </w:t>
      </w:r>
    </w:p>
    <w:p w14:paraId="3D37D55D" w14:textId="220134E4" w:rsidR="006F0FC4" w:rsidRDefault="006F0FC4" w:rsidP="000629A9">
      <w:pPr>
        <w:pStyle w:val="NormalWeb"/>
      </w:pPr>
    </w:p>
    <w:p w14:paraId="2356DC15" w14:textId="5645CF85" w:rsidR="006F0FC4" w:rsidRDefault="006F0FC4" w:rsidP="000629A9">
      <w:pPr>
        <w:pStyle w:val="NormalWeb"/>
      </w:pPr>
    </w:p>
    <w:p w14:paraId="4F36FC81" w14:textId="0B81BCE1" w:rsidR="006F0FC4" w:rsidRDefault="006F0FC4" w:rsidP="000629A9">
      <w:pPr>
        <w:pStyle w:val="NormalWeb"/>
      </w:pPr>
    </w:p>
    <w:p w14:paraId="0B37B951" w14:textId="73CD0707" w:rsidR="006F0FC4" w:rsidRDefault="006F0FC4" w:rsidP="000629A9">
      <w:pPr>
        <w:pStyle w:val="NormalWeb"/>
      </w:pPr>
    </w:p>
    <w:p w14:paraId="1B939700" w14:textId="08148D6E" w:rsidR="006F0FC4" w:rsidRDefault="006F0FC4" w:rsidP="000629A9">
      <w:pPr>
        <w:pStyle w:val="NormalWeb"/>
      </w:pPr>
    </w:p>
    <w:p w14:paraId="0254B233" w14:textId="496F7B0C" w:rsidR="006F0FC4" w:rsidRPr="009440C3" w:rsidRDefault="006F0FC4" w:rsidP="006F0FC4">
      <w:pPr>
        <w:pStyle w:val="NormalWeb"/>
        <w:jc w:val="both"/>
      </w:pPr>
      <w:r>
        <w:lastRenderedPageBreak/>
        <w:t xml:space="preserve">The structure elucidation of the vincaminorudeine </w:t>
      </w:r>
      <w:r w:rsidRPr="000077B1">
        <w:rPr>
          <w:highlight w:val="yellow"/>
        </w:rPr>
        <w:t>(9),</w:t>
      </w:r>
      <w:r>
        <w:t xml:space="preserve"> was accomplished through detailed NMR analysis such as </w:t>
      </w:r>
      <w:r w:rsidRPr="00DD1E0C">
        <w:rPr>
          <w:vertAlign w:val="superscript"/>
        </w:rPr>
        <w:t>1</w:t>
      </w:r>
      <w:r>
        <w:t xml:space="preserve">H and </w:t>
      </w:r>
      <w:r w:rsidRPr="00DD1E0C">
        <w:rPr>
          <w:vertAlign w:val="superscript"/>
        </w:rPr>
        <w:t>13</w:t>
      </w:r>
      <w:r>
        <w:t>C NMR spectra, along with 2D experiments (COSY, HSQC, and HMBC), played a pivotal role in determining the molecular framework and assigning proton and carbon resonances. The proton NMR spectrum revealed four aromatic protons consistent with a 1,2-disubstituted benzene ring, appearing as 7.09- 7.53 ppm. Additionally, a key signal at δH 4.39 (dd, J = 4.3, 2.7 Hz, H-3) suggested a methine proton that was instrumental in stereochemical determination. Other significant proton signals included 3.72 ppm corresponding to the methyl ester group, and 3.47 ppm along with 1.29 ppm from a 1-hydroxyethyl group. In the carbon NMR spectrum, the 21 carbon signals provided further insight into the structural details. Quaternary sp</w:t>
      </w:r>
      <w:r w:rsidRPr="00DD1E0C">
        <w:rPr>
          <w:vertAlign w:val="superscript"/>
        </w:rPr>
        <w:t>2</w:t>
      </w:r>
      <w:r>
        <w:t xml:space="preserve"> carbons were observed at δC 139.1 (C-2), 136.7 (C-18), 127.0 (C-13), and 110.3 (C-12), confirming the indole core. Additional signals at δC 120.7 (C-16), 118.5 (C-15), 118.1 (C-14), and 108.6 (C-17) corresponded to protonated sp</w:t>
      </w:r>
      <w:r w:rsidRPr="00DD1E0C">
        <w:rPr>
          <w:vertAlign w:val="superscript"/>
        </w:rPr>
        <w:t>2</w:t>
      </w:r>
      <w:r>
        <w:t xml:space="preserve"> carbons in the aromatic ring. The highly deshielded O-methine carbon at δC 74.2 (C-20) was indicative of the hydroxymethyl group, while other methylene groups were assigned at δC 56.6 (C-19), 55.2 (C-8), and 53.6 (C-10). The quaternary sp^3 carbon at δC 42.9 (C-5) linked the indole core to the rest of the molecule, providing key structural connectivity. The stereochemical assignment of vincaminorudeine was based on the chemical shift differences and HMBC correlations. For instance, the comparison of H-3’s chemical shift (δH 4.39) with those of related compounds (vincaminorine and vincaminoreine) indicated a cis relationship between the 3-methyl ester and the 5-ethyl substituent, supporting a (3S*,5S*) configuration. Further correlations, such as H-21/C-5 and H-20/C-19 in the HMBC spectrum, confirmed the position of the 1-hydroxyethyl group. However, the stereochemistry at C-20 could not be fully resolved due to the conformational flexibility of the hydroxymethyl group and the lack of NOESY data, leaving this center unassigned. This comprehensive NMR analysis provides a solid foundation for vincaminorudeine’s structure</w:t>
      </w:r>
      <w:r w:rsidR="000077B1">
        <w:t xml:space="preserve"> [</w:t>
      </w:r>
      <w:r w:rsidR="000077B1" w:rsidRPr="000077B1">
        <w:rPr>
          <w:rFonts w:ascii="Arial" w:hAnsi="Arial" w:cs="Arial"/>
          <w:color w:val="222222"/>
          <w:sz w:val="20"/>
          <w:szCs w:val="20"/>
          <w:highlight w:val="yellow"/>
          <w:shd w:val="clear" w:color="auto" w:fill="FFFFFF"/>
        </w:rPr>
        <w:t>Vrabec, Rudolf, et al.</w:t>
      </w:r>
      <w:r w:rsidR="000077B1">
        <w:rPr>
          <w:rFonts w:ascii="Arial" w:hAnsi="Arial" w:cs="Arial"/>
          <w:color w:val="222222"/>
          <w:sz w:val="20"/>
          <w:szCs w:val="20"/>
          <w:shd w:val="clear" w:color="auto" w:fill="FFFFFF"/>
        </w:rPr>
        <w:t xml:space="preserve"> 2021]</w:t>
      </w:r>
    </w:p>
    <w:p w14:paraId="178271CE" w14:textId="3F9B907D" w:rsidR="006F0FC4" w:rsidRDefault="000077B1" w:rsidP="000629A9">
      <w:pPr>
        <w:pStyle w:val="NormalWeb"/>
        <w:rPr>
          <w:rFonts w:ascii="Arial" w:hAnsi="Arial" w:cs="Arial"/>
          <w:color w:val="222222"/>
          <w:sz w:val="20"/>
          <w:szCs w:val="20"/>
          <w:shd w:val="clear" w:color="auto" w:fill="FFFFFF"/>
        </w:rPr>
      </w:pPr>
      <w:r w:rsidRPr="000077B1">
        <w:rPr>
          <w:rFonts w:ascii="Arial" w:hAnsi="Arial" w:cs="Arial"/>
          <w:color w:val="222222"/>
          <w:sz w:val="20"/>
          <w:szCs w:val="20"/>
          <w:highlight w:val="yellow"/>
          <w:shd w:val="clear" w:color="auto" w:fill="FFFFFF"/>
        </w:rPr>
        <w:t>Vrabec, Rudolf, et al. "Monoterpene indole alkaloids from Vinca minor L.(Apocynaceae): Identification of new structural scaffold for treatment of Alzheimer's disease." </w:t>
      </w:r>
      <w:r w:rsidRPr="000077B1">
        <w:rPr>
          <w:rFonts w:ascii="Arial" w:hAnsi="Arial" w:cs="Arial"/>
          <w:i/>
          <w:iCs/>
          <w:color w:val="222222"/>
          <w:sz w:val="20"/>
          <w:szCs w:val="20"/>
          <w:highlight w:val="yellow"/>
          <w:shd w:val="clear" w:color="auto" w:fill="FFFFFF"/>
        </w:rPr>
        <w:t>Phytochemistry</w:t>
      </w:r>
      <w:r w:rsidRPr="000077B1">
        <w:rPr>
          <w:rFonts w:ascii="Arial" w:hAnsi="Arial" w:cs="Arial"/>
          <w:color w:val="222222"/>
          <w:sz w:val="20"/>
          <w:szCs w:val="20"/>
          <w:highlight w:val="yellow"/>
          <w:shd w:val="clear" w:color="auto" w:fill="FFFFFF"/>
        </w:rPr>
        <w:t> 194 (2022): 113017.</w:t>
      </w:r>
      <w:r>
        <w:rPr>
          <w:rFonts w:ascii="Arial" w:hAnsi="Arial" w:cs="Arial"/>
          <w:color w:val="222222"/>
          <w:sz w:val="20"/>
          <w:szCs w:val="20"/>
          <w:shd w:val="clear" w:color="auto" w:fill="FFFFFF"/>
        </w:rPr>
        <w:t xml:space="preserve"> </w:t>
      </w:r>
      <w:hyperlink r:id="rId5" w:history="1">
        <w:r w:rsidRPr="00E35C9A">
          <w:rPr>
            <w:rStyle w:val="Hyperlink"/>
            <w:rFonts w:ascii="Arial" w:hAnsi="Arial" w:cs="Arial"/>
            <w:sz w:val="20"/>
            <w:szCs w:val="20"/>
            <w:shd w:val="clear" w:color="auto" w:fill="FFFFFF"/>
          </w:rPr>
          <w:t>https://doi.org/10.1016/j.phytochem.2021.113017</w:t>
        </w:r>
      </w:hyperlink>
    </w:p>
    <w:p w14:paraId="15105D9D" w14:textId="68ED32EF" w:rsidR="000077B1" w:rsidRDefault="000077B1" w:rsidP="000077B1">
      <w:pPr>
        <w:pStyle w:val="NormalWeb"/>
        <w:jc w:val="center"/>
      </w:pPr>
      <w:r>
        <w:rPr>
          <w:noProof/>
        </w:rPr>
        <w:drawing>
          <wp:inline distT="0" distB="0" distL="0" distR="0" wp14:anchorId="093F678E" wp14:editId="7B6EE8FD">
            <wp:extent cx="2128520" cy="1655445"/>
            <wp:effectExtent l="0" t="0" r="508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28520" cy="1655445"/>
                    </a:xfrm>
                    <a:prstGeom prst="rect">
                      <a:avLst/>
                    </a:prstGeom>
                    <a:noFill/>
                    <a:ln>
                      <a:noFill/>
                    </a:ln>
                  </pic:spPr>
                </pic:pic>
              </a:graphicData>
            </a:graphic>
          </wp:inline>
        </w:drawing>
      </w:r>
    </w:p>
    <w:p w14:paraId="61A89E4B" w14:textId="77777777" w:rsidR="008E3FFA" w:rsidRDefault="008E3FFA" w:rsidP="008E3FFA">
      <w:pPr>
        <w:jc w:val="both"/>
        <w:rPr>
          <w:b/>
          <w:bCs/>
          <w:u w:val="none"/>
        </w:rPr>
      </w:pPr>
      <w:r w:rsidRPr="009440C3">
        <w:rPr>
          <w:u w:val="none"/>
        </w:rPr>
        <w:t xml:space="preserve">Two new bisindole alkaloids, bisnaecarpamines A (1) and B (2), possessing a vobasine-sarpagine type skeleton were isolated from the bark of Tabernaemontana macrocarpa Jack.  The structural elucidation of bisnaecarpamine A and B has been achieved through comprehensive ¹H and ¹³C NMR spectroscopy combined with ROESY correlations and molecular mechanics calculations. In bisnaecarpamine A, the ¹H NMR spectrum reveals aromatic proton signals in the δ 7.0–7.5 ppm range, indicative of its indole structure, along with a notable singlet for the N-methyl group at δ 2.68 ppm and methoxy groups at δ 3.86 ppm. The ¹³C NMR spectrum confirms the presence of </w:t>
      </w:r>
      <w:r w:rsidRPr="009440C3">
        <w:rPr>
          <w:u w:val="none"/>
        </w:rPr>
        <w:lastRenderedPageBreak/>
        <w:t>aromatic carbons between δ 99.8–133.0 ppm and methoxy carbons at δ 56.9 and δ 61.0 ppm. Key quaternary sp³ carbons, like C-5, resonate around δ 42.0 ppm, while the carbonyl carbon of the ester appears deshielded at δ 173.9 ppm.</w:t>
      </w:r>
      <w:r>
        <w:rPr>
          <w:b/>
          <w:bCs/>
          <w:u w:val="none"/>
        </w:rPr>
        <w:t xml:space="preserve"> </w:t>
      </w:r>
      <w:r w:rsidRPr="009440C3">
        <w:rPr>
          <w:u w:val="none"/>
        </w:rPr>
        <w:t>The stereochemistry of bisnaecarpamine A is elucidated through ROESY correlations, indicating an E-configuration of the ethylidene side chain, supported by interactions among H-15 (δ 3.86), H₃-18 (δ 1.72), and H-19 (δ 3.10). In bisnaecarpamine B, the configuration is further corroborated by correlations involving H-3' (δ 5.13) and H-21'a (δ 4.39), alongside the α-orientation of H-6'a relative to N-4'. Molecular mechanics calculations suggest a dihedral angle of approximately 120° for C-14–C-3–C-9'–C-10', enhancing our understanding of the stereochemical arrangement of these complex alkaloids</w:t>
      </w:r>
      <w:r>
        <w:rPr>
          <w:b/>
          <w:bCs/>
          <w:u w:val="none"/>
        </w:rPr>
        <w:t xml:space="preserve"> </w:t>
      </w:r>
      <w:r w:rsidRPr="009440C3">
        <w:rPr>
          <w:b/>
          <w:bCs/>
          <w:highlight w:val="yellow"/>
          <w:u w:val="none"/>
        </w:rPr>
        <w:t>[</w:t>
      </w:r>
      <w:r w:rsidRPr="009440C3">
        <w:rPr>
          <w:highlight w:val="yellow"/>
          <w:u w:val="none"/>
        </w:rPr>
        <w:t>Amelia, Puteri, et al.</w:t>
      </w:r>
      <w:r w:rsidRPr="009440C3">
        <w:rPr>
          <w:b/>
          <w:bCs/>
          <w:highlight w:val="yellow"/>
          <w:u w:val="none"/>
        </w:rPr>
        <w:t xml:space="preserve"> 2021]</w:t>
      </w:r>
    </w:p>
    <w:p w14:paraId="1CCD7B5D" w14:textId="77777777" w:rsidR="008E3FFA" w:rsidRDefault="008E3FFA" w:rsidP="008E3FFA">
      <w:pPr>
        <w:jc w:val="both"/>
        <w:rPr>
          <w:b/>
          <w:bCs/>
          <w:u w:val="none"/>
        </w:rPr>
      </w:pPr>
      <w:r w:rsidRPr="009440C3">
        <w:rPr>
          <w:highlight w:val="yellow"/>
          <w:u w:val="none"/>
        </w:rPr>
        <w:t>Amelia, Puteri, et al. "Two new bisindole alkaloids from Tabernaemontana macrocarpa Jack." Journal of natural medicines 75 (2021): 633-642.</w:t>
      </w:r>
    </w:p>
    <w:p w14:paraId="120269A4" w14:textId="77777777" w:rsidR="008E3FFA" w:rsidRPr="009440C3" w:rsidRDefault="008E3FFA" w:rsidP="008E3FFA">
      <w:pPr>
        <w:jc w:val="both"/>
        <w:rPr>
          <w:u w:val="none"/>
        </w:rPr>
      </w:pPr>
      <w:r w:rsidRPr="009440C3">
        <w:rPr>
          <w:noProof/>
          <w:u w:val="none"/>
        </w:rPr>
        <w:drawing>
          <wp:inline distT="0" distB="0" distL="0" distR="0" wp14:anchorId="4530A85E" wp14:editId="76B7EE2C">
            <wp:extent cx="5943600" cy="32365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236595"/>
                    </a:xfrm>
                    <a:prstGeom prst="rect">
                      <a:avLst/>
                    </a:prstGeom>
                  </pic:spPr>
                </pic:pic>
              </a:graphicData>
            </a:graphic>
          </wp:inline>
        </w:drawing>
      </w:r>
    </w:p>
    <w:p w14:paraId="019B7DAB" w14:textId="77777777" w:rsidR="008E3FFA" w:rsidRPr="009440C3" w:rsidRDefault="008E3FFA" w:rsidP="008E3FFA">
      <w:pPr>
        <w:jc w:val="both"/>
        <w:rPr>
          <w:u w:val="none"/>
        </w:rPr>
      </w:pPr>
    </w:p>
    <w:p w14:paraId="21B6174D" w14:textId="77777777" w:rsidR="008E3FFA" w:rsidRDefault="008E3FFA" w:rsidP="000629A9">
      <w:pPr>
        <w:pStyle w:val="NormalWeb"/>
      </w:pPr>
    </w:p>
    <w:p w14:paraId="09D1802A" w14:textId="7FE7DBB8" w:rsidR="000629A9" w:rsidRDefault="000629A9" w:rsidP="000629A9">
      <w:pPr>
        <w:pStyle w:val="NormalWeb"/>
        <w:jc w:val="center"/>
      </w:pPr>
    </w:p>
    <w:p w14:paraId="452E7BD0" w14:textId="77777777" w:rsidR="000629A9" w:rsidRDefault="000629A9" w:rsidP="000629A9"/>
    <w:p w14:paraId="59A5660C" w14:textId="77777777" w:rsidR="000629A9" w:rsidRDefault="000629A9"/>
    <w:sectPr w:rsidR="000629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E28"/>
    <w:rsid w:val="000077B1"/>
    <w:rsid w:val="000629A9"/>
    <w:rsid w:val="000A4A9E"/>
    <w:rsid w:val="001536B6"/>
    <w:rsid w:val="003B3DA3"/>
    <w:rsid w:val="003B5AC6"/>
    <w:rsid w:val="00505687"/>
    <w:rsid w:val="0069535F"/>
    <w:rsid w:val="006F0FC4"/>
    <w:rsid w:val="00784F5C"/>
    <w:rsid w:val="008E3FFA"/>
    <w:rsid w:val="008E430B"/>
    <w:rsid w:val="009B498A"/>
    <w:rsid w:val="009C73AA"/>
    <w:rsid w:val="00B04A0D"/>
    <w:rsid w:val="00D23692"/>
    <w:rsid w:val="00D42F28"/>
    <w:rsid w:val="00E32E28"/>
    <w:rsid w:val="00E47220"/>
    <w:rsid w:val="00F83541"/>
    <w:rsid w:val="00FD7248"/>
    <w:rsid w:val="00FE56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B82F7"/>
  <w15:chartTrackingRefBased/>
  <w15:docId w15:val="{4771C5D6-E9C5-4C7A-B13B-CBDBFEFF9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sz w:val="24"/>
        <w:szCs w:val="24"/>
        <w:u w:val="single"/>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5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29A9"/>
    <w:pPr>
      <w:spacing w:before="100" w:beforeAutospacing="1" w:after="100" w:afterAutospacing="1" w:line="240" w:lineRule="auto"/>
    </w:pPr>
    <w:rPr>
      <w:rFonts w:eastAsia="Times New Roman"/>
      <w:color w:val="auto"/>
      <w:u w:val="none"/>
    </w:rPr>
  </w:style>
  <w:style w:type="character" w:styleId="Hyperlink">
    <w:name w:val="Hyperlink"/>
    <w:basedOn w:val="DefaultParagraphFont"/>
    <w:uiPriority w:val="99"/>
    <w:unhideWhenUsed/>
    <w:rsid w:val="000077B1"/>
    <w:rPr>
      <w:color w:val="0563C1" w:themeColor="hyperlink"/>
      <w:u w:val="single"/>
    </w:rPr>
  </w:style>
  <w:style w:type="character" w:styleId="UnresolvedMention">
    <w:name w:val="Unresolved Mention"/>
    <w:basedOn w:val="DefaultParagraphFont"/>
    <w:uiPriority w:val="99"/>
    <w:semiHidden/>
    <w:unhideWhenUsed/>
    <w:rsid w:val="000077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s://doi.org/10.1016/j.phytochem.2021.113017"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891</Words>
  <Characters>5083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12</cp:revision>
  <dcterms:created xsi:type="dcterms:W3CDTF">2024-10-17T04:34:00Z</dcterms:created>
  <dcterms:modified xsi:type="dcterms:W3CDTF">2024-10-17T06:41:00Z</dcterms:modified>
</cp:coreProperties>
</file>