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AAE2C" w14:textId="77777777" w:rsidR="00CA27B8" w:rsidRDefault="00CA27B8" w:rsidP="00B34F7F">
      <w:pPr>
        <w:pStyle w:val="NormalWeb"/>
        <w:spacing w:line="360" w:lineRule="auto"/>
        <w:jc w:val="both"/>
        <w:rPr>
          <w:b/>
          <w:bCs/>
          <w:sz w:val="28"/>
          <w:szCs w:val="28"/>
        </w:rPr>
      </w:pPr>
    </w:p>
    <w:p w14:paraId="69F0C765" w14:textId="77777777" w:rsidR="00CA27B8" w:rsidRPr="00E46B15" w:rsidRDefault="00CA27B8" w:rsidP="00CA27B8">
      <w:pPr>
        <w:spacing w:line="360" w:lineRule="auto"/>
        <w:jc w:val="both"/>
        <w:rPr>
          <w:rFonts w:ascii="Arial" w:hAnsi="Arial" w:cs="Arial"/>
          <w:b/>
          <w:bCs/>
          <w:sz w:val="24"/>
          <w:szCs w:val="24"/>
        </w:rPr>
      </w:pPr>
      <w:r w:rsidRPr="00E46B15">
        <w:rPr>
          <w:rFonts w:ascii="Arial" w:hAnsi="Arial" w:cs="Arial"/>
          <w:b/>
          <w:bCs/>
          <w:sz w:val="24"/>
          <w:szCs w:val="24"/>
        </w:rPr>
        <w:t>Abstract</w:t>
      </w:r>
    </w:p>
    <w:p w14:paraId="2710C45D" w14:textId="5D75697F" w:rsidR="00CA27B8" w:rsidRPr="00CA27B8" w:rsidRDefault="00CA27B8" w:rsidP="00CA27B8">
      <w:pPr>
        <w:pStyle w:val="NormalWeb"/>
        <w:spacing w:line="360" w:lineRule="auto"/>
        <w:jc w:val="both"/>
        <w:rPr>
          <w:b/>
          <w:bCs/>
          <w:sz w:val="28"/>
          <w:szCs w:val="28"/>
        </w:rPr>
      </w:pPr>
      <w:r w:rsidRPr="00CA27B8">
        <w:rPr>
          <w:sz w:val="28"/>
          <w:szCs w:val="28"/>
        </w:rPr>
        <w:t xml:space="preserve">Lithium metal batteries are a promising technology for next-generation energy storage but are hindered by poor cycle life due to lithium dendrite formation. While fluorinated solvents can enhance battery longevity by increasing LiF content in the solid-electrolyte interphase, their high cost and environmental concerns limit their practicality. Previous studies have compared weakly solvating solvents by introducing fluorinated and non-fluorinated variants, often varying the carbon-to-oxygen ratios. These studies typically reduce the solvating power of ethers by increasing the proportion of non-solvating alkyl units, reducing solvating ethereal oxygen atoms, and adding steric hindrance groups in the ether molecular skeletons, resulting in differing performance outcomes without a clear understanding of the contributing </w:t>
      </w:r>
      <w:r w:rsidRPr="00CA27B8">
        <w:rPr>
          <w:sz w:val="28"/>
          <w:szCs w:val="28"/>
        </w:rPr>
        <w:t>factors. In</w:t>
      </w:r>
      <w:r w:rsidRPr="00CA27B8">
        <w:rPr>
          <w:sz w:val="28"/>
          <w:szCs w:val="28"/>
        </w:rPr>
        <w:t xml:space="preserve"> contrast, this study introduces a series of fluorine-free, weakly solvating solvents—dipropyl ether (DPE), butyl ethyl ether (BEE), and pentyl methyl ether (PME)—with a fixed carbon-to-oxygen ratio, altering only the position of the oxygen atoms. This positional change increases the dielectric constant and dipole moment from DPE to BEE to PME, allowing for a detailed examination of their impact on solvation structure and lithium metal battery performance. By maintaining this ratio, we aim to isolate and understand the factors responsible for improved battery performance. These solvents promote the formation of inorganic LiF, Li</w:t>
      </w:r>
      <w:r w:rsidRPr="00AA288E">
        <w:rPr>
          <w:sz w:val="28"/>
          <w:szCs w:val="28"/>
          <w:vertAlign w:val="subscript"/>
        </w:rPr>
        <w:t>2</w:t>
      </w:r>
      <w:r w:rsidRPr="00CA27B8">
        <w:rPr>
          <w:sz w:val="28"/>
          <w:szCs w:val="28"/>
        </w:rPr>
        <w:t>O -rich interphases through anion reduction, achieving stable SEI formation. Raman, FTIR, NMR techniques are employed to investigate the Li</w:t>
      </w:r>
      <w:r w:rsidRPr="00AA288E">
        <w:rPr>
          <w:sz w:val="28"/>
          <w:szCs w:val="28"/>
          <w:vertAlign w:val="superscript"/>
        </w:rPr>
        <w:t>+</w:t>
      </w:r>
      <w:r w:rsidRPr="00CA27B8">
        <w:rPr>
          <w:sz w:val="28"/>
          <w:szCs w:val="28"/>
        </w:rPr>
        <w:t>-solvent structure and XPS for understanding SEI composition and correlates between interphase compositions and electrochemical performances</w:t>
      </w:r>
    </w:p>
    <w:p w14:paraId="7C567CB8" w14:textId="77777777" w:rsidR="004F33F2" w:rsidRDefault="004F33F2" w:rsidP="00B34F7F">
      <w:pPr>
        <w:pStyle w:val="NormalWeb"/>
        <w:spacing w:line="360" w:lineRule="auto"/>
        <w:jc w:val="both"/>
        <w:rPr>
          <w:b/>
          <w:bCs/>
          <w:sz w:val="28"/>
          <w:szCs w:val="28"/>
        </w:rPr>
      </w:pPr>
    </w:p>
    <w:p w14:paraId="7CC39916" w14:textId="77777777" w:rsidR="004F33F2" w:rsidRDefault="004F33F2" w:rsidP="00B34F7F">
      <w:pPr>
        <w:pStyle w:val="NormalWeb"/>
        <w:spacing w:line="360" w:lineRule="auto"/>
        <w:jc w:val="both"/>
        <w:rPr>
          <w:b/>
          <w:bCs/>
          <w:sz w:val="28"/>
          <w:szCs w:val="28"/>
        </w:rPr>
      </w:pPr>
    </w:p>
    <w:p w14:paraId="1503266E" w14:textId="1CFBA3B2" w:rsidR="007C3802" w:rsidRPr="007C3802" w:rsidRDefault="007C3802" w:rsidP="00B34F7F">
      <w:pPr>
        <w:pStyle w:val="NormalWeb"/>
        <w:spacing w:line="360" w:lineRule="auto"/>
        <w:jc w:val="both"/>
        <w:rPr>
          <w:b/>
          <w:bCs/>
          <w:sz w:val="28"/>
          <w:szCs w:val="28"/>
        </w:rPr>
      </w:pPr>
      <w:r w:rsidRPr="007C3802">
        <w:rPr>
          <w:b/>
          <w:bCs/>
          <w:sz w:val="28"/>
          <w:szCs w:val="28"/>
        </w:rPr>
        <w:lastRenderedPageBreak/>
        <w:t>Introduction</w:t>
      </w:r>
    </w:p>
    <w:p w14:paraId="53CFB29B" w14:textId="0D252B39" w:rsidR="00B34F7F" w:rsidRPr="00B34F7F" w:rsidRDefault="00B34F7F" w:rsidP="00B34F7F">
      <w:pPr>
        <w:pStyle w:val="NormalWeb"/>
        <w:spacing w:line="360" w:lineRule="auto"/>
        <w:jc w:val="both"/>
        <w:rPr>
          <w:sz w:val="28"/>
          <w:szCs w:val="28"/>
        </w:rPr>
      </w:pPr>
      <w:r w:rsidRPr="00B34F7F">
        <w:rPr>
          <w:sz w:val="28"/>
          <w:szCs w:val="28"/>
        </w:rPr>
        <w:t>Lithium metal is considered an exceptionally promising anode material for next-generation high-energy rechargeable batteries because of its high specific capacity</w:t>
      </w:r>
      <w:r w:rsidR="00D5369A" w:rsidRPr="00423129">
        <w:rPr>
          <w:sz w:val="28"/>
          <w:szCs w:val="28"/>
        </w:rPr>
        <w:t>(3860 mAh g−1)</w:t>
      </w:r>
      <w:r w:rsidRPr="00B34F7F">
        <w:rPr>
          <w:sz w:val="28"/>
          <w:szCs w:val="28"/>
        </w:rPr>
        <w:t>, low electrochemical potential</w:t>
      </w:r>
      <w:r w:rsidR="00D5369A" w:rsidRPr="00423129">
        <w:rPr>
          <w:sz w:val="28"/>
          <w:szCs w:val="28"/>
        </w:rPr>
        <w:t>(−3.04 V versus standard hydrogen electrode (SHE)</w:t>
      </w:r>
      <w:r w:rsidRPr="00B34F7F">
        <w:rPr>
          <w:sz w:val="28"/>
          <w:szCs w:val="28"/>
        </w:rPr>
        <w:t>, and low density</w:t>
      </w:r>
      <w:r w:rsidR="00D5369A" w:rsidRPr="00423129">
        <w:rPr>
          <w:sz w:val="28"/>
          <w:szCs w:val="28"/>
        </w:rPr>
        <w:t>(0.534 g cm−3)</w:t>
      </w:r>
      <w:r w:rsidR="008A6772">
        <w:rPr>
          <w:sz w:val="28"/>
          <w:szCs w:val="28"/>
        </w:rPr>
        <w:fldChar w:fldCharType="begin" w:fldLock="1"/>
      </w:r>
      <w:r w:rsidR="008A6772">
        <w:rPr>
          <w:sz w:val="28"/>
          <w:szCs w:val="28"/>
        </w:rPr>
        <w:instrText>ADDIN CSL_CITATION {"citationItems":[{"id":"ITEM-1","itemData":{"DOI":"10.1002/adfm.202005991","ISSN":"16163028","abstract":"Highly concentrated electrolytes (HCEs) significantly improve the stability of lithium metal anodes, but applications are often impeded by their limitation of density, viscosity, and cost. Here, fluorobenzene (FB), an economical hydrocarbon with low density and low viscosity, is demonstrated as a bifunctional cosolvent to obtain a novel FB diluted highly concentrated electrolyte (FB-DHCE). First, the addition of FB suppresses the decomposition of dimethoxyethane (DME) on the Li metal by strengthening the interactions of DME and FSI− around Li+. Second, FB efficiently elevates the content of LiF in the solid electrolyte interphase (SEI) based on its electrochemical reduction reaction. The unique solvation and interfacial chemistry of FB-DHCE enable dendrite-free deposition of lithium with high Coulombic efficiency (up to 99.3%) and prolong cycling life (over 500 cycles at 1 mA cm−2). The performance of FB-DHCE is further demonstrated in full cells under practical conditions, including ambient to low temperature (–20 °C), high areal capacity (7.6 mAh cm−2), high current density (3 mA cm−2), limited excess Li (20 µm Li), and lean electrolyte (3 g Ah−1). Employing FB as a cosolvent not only opens a novel pathway to stabilize Li metal anodes, but also could greatly advance the development of Li metal batteries.","author":[{"dropping-particle":"","family":"Jiang","given":"Zhipeng","non-dropping-particle":"","parse-names":false,"suffix":""},{"dropping-particle":"","family":"Zeng","given":"Ziqi","non-dropping-particle":"","parse-names":false,"suffix":""},{"dropping-particle":"","family":"Liang","given":"Xinmiao","non-dropping-particle":"","parse-names":false,"suffix":""},{"dropping-particle":"","family":"Yang","given":"Li","non-dropping-particle":"","parse-names":false,"suffix":""},{"dropping-particle":"","family":"Hu","given":"Wei","non-dropping-particle":"","parse-names":false,"suffix":""},{"dropping-particle":"","family":"Zhang","given":"Ce","non-dropping-particle":"","parse-names":false,"suffix":""},{"dropping-particle":"","family":"Han","given":"Zhilong","non-dropping-particle":"","parse-names":false,"suffix":""},{"dropping-particle":"","family":"Feng","given":"Jiwen","non-dropping-particle":"","parse-names":false,"suffix":""},{"dropping-particle":"","family":"Xie","given":"Jia","non-dropping-particle":"","parse-names":false,"suffix":""}],"container-title":"Advanced Functional Materials","id":"ITEM-1","issue":"1","issued":{"date-parts":[["2021"]]},"page":"1-9","title":"Fluorobenzene, A Low-Density, Economical, and Bifunctional Hydrocarbon Cosolvent for Practical Lithium Metal Batteries","type":"article-journal","volume":"31"},"uris":["http://www.mendeley.com/documents/?uuid=4b38a33a-8d48-43ac-8028-bec74fa94ba4"]}],"mendeley":{"formattedCitation":"&lt;sup&gt;1&lt;/sup&gt;","plainTextFormattedCitation":"1","previouslyFormattedCitation":"&lt;sup&gt;1&lt;/sup&gt;"},"properties":{"noteIndex":0},"schema":"https://github.com/citation-style-language/schema/raw/master/csl-citation.json"}</w:instrText>
      </w:r>
      <w:r w:rsidR="008A6772">
        <w:rPr>
          <w:sz w:val="28"/>
          <w:szCs w:val="28"/>
        </w:rPr>
        <w:fldChar w:fldCharType="separate"/>
      </w:r>
      <w:r w:rsidR="008A6772" w:rsidRPr="008A6772">
        <w:rPr>
          <w:noProof/>
          <w:sz w:val="28"/>
          <w:szCs w:val="28"/>
          <w:vertAlign w:val="superscript"/>
        </w:rPr>
        <w:t>1</w:t>
      </w:r>
      <w:r w:rsidR="008A6772">
        <w:rPr>
          <w:sz w:val="28"/>
          <w:szCs w:val="28"/>
        </w:rPr>
        <w:fldChar w:fldCharType="end"/>
      </w:r>
      <w:r w:rsidR="00926C44">
        <w:rPr>
          <w:sz w:val="28"/>
          <w:szCs w:val="28"/>
        </w:rPr>
        <w:t>.</w:t>
      </w:r>
      <w:r w:rsidRPr="00B34F7F">
        <w:rPr>
          <w:sz w:val="28"/>
          <w:szCs w:val="28"/>
        </w:rPr>
        <w:t xml:space="preserve"> However, lithium-metal batteries (LMBs) encounter two major challenges: dendritic growth of lithium, which can lead to internal short-circuits, and low Coulombic efficiency (CE) due to ongoing side reactions that deplete active lithium and consume the electrolyte</w:t>
      </w:r>
      <w:r w:rsidR="008A6772">
        <w:rPr>
          <w:sz w:val="28"/>
          <w:szCs w:val="28"/>
        </w:rPr>
        <w:fldChar w:fldCharType="begin" w:fldLock="1"/>
      </w:r>
      <w:r w:rsidR="005B2F79">
        <w:rPr>
          <w:sz w:val="28"/>
          <w:szCs w:val="28"/>
        </w:rPr>
        <w:instrText>ADDIN CSL_CITATION {"citationItems":[{"id":"ITEM-1","itemData":{"DOI":"10.1007/s43979-023-00074-4","ISSN":"27313948","abstract":"High energy density lithium metal batteries (LMBs) have garnered significant research interests in the past decades. However, the growth of lithium dendrites and the low Coulombic efficiency (CE) of Li metal anode pose significant challenges for the development of LMBs. Herein, we report a triethyl orthoformate (TEOF)-based localized high-concentration electrolyte (LHCE) that facilitates a highly reversible Li metal anode with dendrite-free deposition morphologies and an average Coulombic efficiency of 99.1% for 450 cycles. Mechanistic study reveal that the steric hindrance caused by the terminal ethyl groups in the TEOF solvent molecule results in a weak solvating ability, leading to the formation of anion-dominant solvation structures. The anion-dominant solvation sheaths play an essential role in the formation of a LiF-rich solid-electrolyte interphase (SEI), which effectively suppresses the growth of Li dendrites. Furthermore, the TEOF-based electrolyte demonstrates the stable cycling of high-voltage Li||NMC811 cells. These results provide insights into understanding of steric hindrance effect on electrolyte solvation structure and offer valuable guidance for the design of electrolyte solvents in the development of lithium metal batteries.","author":[{"dropping-particle":"","family":"Li","given":"Xinpeng","non-dropping-particle":"","parse-names":false,"suffix":""},{"dropping-particle":"","family":"Pan","given":"Yuxue","non-dropping-particle":"","parse-names":false,"suffix":""},{"dropping-particle":"","family":"Liu","given":"Yue","non-dropping-particle":"","parse-names":false,"suffix":""},{"dropping-particle":"","family":"Jie","given":"Yulin","non-dropping-particle":"","parse-names":false,"suffix":""},{"dropping-particle":"","family":"Chen","given":"Shunqiang","non-dropping-particle":"","parse-names":false,"suffix":""},{"dropping-particle":"","family":"Wang","given":"Shiyang","non-dropping-particle":"","parse-names":false,"suffix":""},{"dropping-particle":"","family":"He","given":"Zixu","non-dropping-particle":"","parse-names":false,"suffix":""},{"dropping-particle":"","family":"Ren","given":"Xiaodi","non-dropping-particle":"","parse-names":false,"suffix":""},{"dropping-particle":"","family":"Cheng","given":"Tao","non-dropping-particle":"","parse-names":false,"suffix":""},{"dropping-particle":"","family":"Cao","given":"Ruiguo","non-dropping-particle":"","parse-names":false,"suffix":""},{"dropping-particle":"","family":"Jiao","given":"Shuhong","non-dropping-particle":"","parse-names":false,"suffix":""}],"container-title":"Carbon Neutrality","id":"ITEM-1","issue":"1","issued":{"date-parts":[["2023"]]},"publisher":"Springer Nature Singapore","title":"Understanding steric hindrance effect of solvent molecule in localized high-concentration electrolyte for lithium metal batteries","type":"article-journal","volume":"2"},"uris":["http://www.mendeley.com/documents/?uuid=68e6dee5-33f4-4eeb-b0a7-b27d1285f7c0"]}],"mendeley":{"formattedCitation":"&lt;sup&gt;2&lt;/sup&gt;","plainTextFormattedCitation":"2","previouslyFormattedCitation":"&lt;sup&gt;2&lt;/sup&gt;"},"properties":{"noteIndex":0},"schema":"https://github.com/citation-style-language/schema/raw/master/csl-citation.json"}</w:instrText>
      </w:r>
      <w:r w:rsidR="008A6772">
        <w:rPr>
          <w:sz w:val="28"/>
          <w:szCs w:val="28"/>
        </w:rPr>
        <w:fldChar w:fldCharType="separate"/>
      </w:r>
      <w:r w:rsidR="008A6772" w:rsidRPr="008A6772">
        <w:rPr>
          <w:noProof/>
          <w:sz w:val="28"/>
          <w:szCs w:val="28"/>
          <w:vertAlign w:val="superscript"/>
        </w:rPr>
        <w:t>2</w:t>
      </w:r>
      <w:r w:rsidR="008A6772">
        <w:rPr>
          <w:sz w:val="28"/>
          <w:szCs w:val="28"/>
        </w:rPr>
        <w:fldChar w:fldCharType="end"/>
      </w:r>
      <w:r w:rsidR="00D739D3">
        <w:rPr>
          <w:sz w:val="28"/>
          <w:szCs w:val="28"/>
        </w:rPr>
        <w:t>.</w:t>
      </w:r>
      <w:r w:rsidRPr="00B34F7F">
        <w:rPr>
          <w:sz w:val="28"/>
          <w:szCs w:val="28"/>
        </w:rPr>
        <w:t xml:space="preserve"> These issues are significantly affected by the solid electrolyte interphase (SEI) that forms between the lithium and the electrolyte, as the SEI’s composition and properties are key to stabilizing lithium deposition and influencing interfacial stability, ionic conductivity, and overall battery performance</w:t>
      </w:r>
      <w:r w:rsidR="005B2F79">
        <w:rPr>
          <w:sz w:val="28"/>
          <w:szCs w:val="28"/>
        </w:rPr>
        <w:fldChar w:fldCharType="begin" w:fldLock="1"/>
      </w:r>
      <w:r w:rsidR="005B2F79">
        <w:rPr>
          <w:sz w:val="28"/>
          <w:szCs w:val="28"/>
        </w:rPr>
        <w:instrText>ADDIN CSL_CITATION {"citationItems":[{"id":"ITEM-1","itemData":{"DOI":"10.1002/inf2.12249","ISSN":"25673165","abstract":"Solid electrolyte interphase (SEI) plays a critical role in determining the interfacial stability, which in turn impacts the plating/stripping process of the lithium metal anode. Substantial research has been focused on the composition of SEI and its contribution to the interfacial stability. Herein, we illustrate the significance of SEI structure, in a comprehensive comparison of a diluted electrolyte (1 M LiTFSI-PC) and a super-concentrated electrolyte (8 M LiTFSI-PC). Illustrated by in situ optical and atomic force microscope observation, homogeneous plating on lithium anode is achieved in the concentrated electrolyte. However, x-ray photoelectron spectroscopy and molecular dynamics simulations reveal that, contrary to the general understanding, the components of SEI is nearly identical for lithium anode cycled in both two electrolytes. Detailed characterizations demonstrate the structure of SEI is quite different. In concentrated electrolyte, a compact structure of SEI layer can be obtained, mainly due to the reduced solubility and outstanding formation kinetics of the interfacial layer. This work provided a new understanding to the excellent performance of super-concentrated electrolyte in lithium metal battery.","author":[{"dropping-particle":"","family":"Hu","given":"Zhenglin","non-dropping-particle":"","parse-names":false,"suffix":""},{"dropping-particle":"","family":"Wang","given":"Chen","non-dropping-particle":"","parse-names":false,"suffix":""},{"dropping-particle":"","family":"Wang","given":"Chao","non-dropping-particle":"","parse-names":false,"suffix":""},{"dropping-particle":"","family":"Chen","given":"Bingbing","non-dropping-particle":"","parse-names":false,"suffix":""},{"dropping-particle":"","family":"Yang","given":"Chunpeng","non-dropping-particle":"","parse-names":false,"suffix":""},{"dropping-particle":"","family":"Dong","given":"Shanmu","non-dropping-particle":"","parse-names":false,"suffix":""},{"dropping-particle":"","family":"Cui","given":"Guanglei","non-dropping-particle":"","parse-names":false,"suffix":""}],"container-title":"InfoMat","id":"ITEM-1","issue":"3","issued":{"date-parts":[["2022"]]},"page":"1-11","title":"Uncovering the critical impact of the solid electrolyte interphase structure on the interfacial stability","type":"article-journal","volume":"4"},"uris":["http://www.mendeley.com/documents/?uuid=354801c6-0c11-4b45-ac14-091c94eb8b2b"]}],"mendeley":{"formattedCitation":"&lt;sup&gt;3&lt;/sup&gt;","plainTextFormattedCitation":"3","previouslyFormattedCitation":"&lt;sup&gt;3&lt;/sup&gt;"},"properties":{"noteIndex":0},"schema":"https://github.com/citation-style-language/schema/raw/master/csl-citation.json"}</w:instrText>
      </w:r>
      <w:r w:rsidR="005B2F79">
        <w:rPr>
          <w:sz w:val="28"/>
          <w:szCs w:val="28"/>
        </w:rPr>
        <w:fldChar w:fldCharType="separate"/>
      </w:r>
      <w:r w:rsidR="005B2F79" w:rsidRPr="005B2F79">
        <w:rPr>
          <w:noProof/>
          <w:sz w:val="28"/>
          <w:szCs w:val="28"/>
          <w:vertAlign w:val="superscript"/>
        </w:rPr>
        <w:t>3</w:t>
      </w:r>
      <w:r w:rsidR="005B2F79">
        <w:rPr>
          <w:sz w:val="28"/>
          <w:szCs w:val="28"/>
        </w:rPr>
        <w:fldChar w:fldCharType="end"/>
      </w:r>
      <w:r w:rsidRPr="00B34F7F">
        <w:rPr>
          <w:sz w:val="28"/>
          <w:szCs w:val="28"/>
        </w:rPr>
        <w:t>.</w:t>
      </w:r>
    </w:p>
    <w:p w14:paraId="6203CDF5" w14:textId="6A6FE3F3" w:rsidR="00B34F7F" w:rsidRPr="00B34F7F" w:rsidRDefault="00B34F7F" w:rsidP="00B34F7F">
      <w:pPr>
        <w:pStyle w:val="NormalWeb"/>
        <w:spacing w:line="360" w:lineRule="auto"/>
        <w:jc w:val="both"/>
        <w:rPr>
          <w:sz w:val="28"/>
          <w:szCs w:val="28"/>
        </w:rPr>
      </w:pPr>
      <w:r w:rsidRPr="00B34F7F">
        <w:rPr>
          <w:sz w:val="28"/>
          <w:szCs w:val="28"/>
        </w:rPr>
        <w:t>A beneficial SEI structure is often rich in inorganic components like LiF and Li₂O, which enhance ionic conductivity while providing necessary electrical insulation to support stable lithium deposition and reduce dendrite formation. However, not all electrolytes support this ideal SEI formation. Carbonate-based electrolytes, commonly used in lithium-ion batteries (LIBs), have poor reductive stability with lithium metal anodes (LMAs), leading to an organic-rich SEI prone to continuous decomposition. This instability causes uneven lithium deposition, dendritic growth, and, consequently, low CE</w:t>
      </w:r>
      <w:r w:rsidR="005B2F79">
        <w:rPr>
          <w:sz w:val="28"/>
          <w:szCs w:val="28"/>
        </w:rPr>
        <w:fldChar w:fldCharType="begin" w:fldLock="1"/>
      </w:r>
      <w:r w:rsidR="005B2F79">
        <w:rPr>
          <w:sz w:val="28"/>
          <w:szCs w:val="28"/>
        </w:rPr>
        <w:instrText>ADDIN CSL_CITATION {"citationItems":[{"id":"ITEM-1","itemData":{"DOI":"10.1021/acsami.0c03952","ISSN":"19448252","PMID":"32348668","abstract":"Functional electrolytes that are stable toward both Li-metal anode and high-voltage (&gt;4 V vs Li/Li+) cathodes play a critical role in the development of high-energy density Li-metal batteries. Traditional carbonate-based electrolytes can hardly be used in high-voltage Li-metal batteries due to the dendritic Li deposits, low Coulombic efficiency, and anodic instability in the presence of aggressive cathodes. Herein, we design a concentrated dual-salt electrolyte that achieves high stability for both Li anodes and high-voltage cathodes of LiNi0.5Mn1.5O4 (LNMO) and LiNi0.7Co0.15Mn0.15O2 (NCM). A Li||Cu cell in the designed electrolyte shows a high Coulombic efficiency of &gt;98% in long-term plating/stripping for 900 cycles. Li||LNMO and Li||NCM cells achieve a capacity retention of 88.5% over 500 cycles and 86.2% over 200 cycles with a cutoff voltage of 4.9 and 4.3 V, respectively. The Li||LNMO full cell with a cathode areal capacity of 1.8 mAh/cm2 and only 3× excess Li was fabricated, and it delivered a high capacity retention of 87.8% after 100 cycles. The reasons for the good cycling stability of the cells in a concentrated dual-salt electrolyte can be attributed to the reversible dendrite-free plating/stripping of a Li-metal anode and stable interfacial layers on both anode and cathode.","author":[{"dropping-particle":"","family":"Wang","given":"Wei","non-dropping-particle":"","parse-names":false,"suffix":""},{"dropping-particle":"","family":"Zhang","given":"Jiaolong","non-dropping-particle":"","parse-names":false,"suffix":""},{"dropping-particle":"","family":"Yang","given":"Qin","non-dropping-particle":"","parse-names":false,"suffix":""},{"dropping-particle":"","family":"Wang","given":"Shuwei","non-dropping-particle":"","parse-names":false,"suffix":""},{"dropping-particle":"","family":"Wang","given":"Wenhui","non-dropping-particle":"","parse-names":false,"suffix":""},{"dropping-particle":"","family":"Li","given":"Baohua","non-dropping-particle":"","parse-names":false,"suffix":""}],"container-title":"ACS Applied Materials and Interfaces","id":"ITEM-1","issue":"20","issued":{"date-parts":[["2020"]]},"page":"22901-22909","title":"Stable Cycling of High-Voltage Lithium-Metal Batteries Enabled by High-Concentration FEC-Based Electrolyte","type":"article-journal","volume":"12"},"uris":["http://www.mendeley.com/documents/?uuid=35c32b2a-2a2f-4d8d-aed0-40dc196f5702"]}],"mendeley":{"formattedCitation":"&lt;sup&gt;4&lt;/sup&gt;","plainTextFormattedCitation":"4","previouslyFormattedCitation":"&lt;sup&gt;4&lt;/sup&gt;"},"properties":{"noteIndex":0},"schema":"https://github.com/citation-style-language/schema/raw/master/csl-citation.json"}</w:instrText>
      </w:r>
      <w:r w:rsidR="005B2F79">
        <w:rPr>
          <w:sz w:val="28"/>
          <w:szCs w:val="28"/>
        </w:rPr>
        <w:fldChar w:fldCharType="separate"/>
      </w:r>
      <w:r w:rsidR="005B2F79" w:rsidRPr="005B2F79">
        <w:rPr>
          <w:noProof/>
          <w:sz w:val="28"/>
          <w:szCs w:val="28"/>
          <w:vertAlign w:val="superscript"/>
        </w:rPr>
        <w:t>4</w:t>
      </w:r>
      <w:r w:rsidR="005B2F79">
        <w:rPr>
          <w:sz w:val="28"/>
          <w:szCs w:val="28"/>
        </w:rPr>
        <w:fldChar w:fldCharType="end"/>
      </w:r>
      <w:r w:rsidRPr="00B34F7F">
        <w:rPr>
          <w:sz w:val="28"/>
          <w:szCs w:val="28"/>
        </w:rPr>
        <w:t>.</w:t>
      </w:r>
    </w:p>
    <w:p w14:paraId="47010E30" w14:textId="40B7CE96" w:rsidR="00B34F7F" w:rsidRPr="00B34F7F" w:rsidRDefault="00B34F7F" w:rsidP="00B34F7F">
      <w:pPr>
        <w:pStyle w:val="NormalWeb"/>
        <w:spacing w:line="360" w:lineRule="auto"/>
        <w:jc w:val="both"/>
        <w:rPr>
          <w:sz w:val="28"/>
          <w:szCs w:val="28"/>
        </w:rPr>
      </w:pPr>
      <w:r w:rsidRPr="00B34F7F">
        <w:rPr>
          <w:sz w:val="28"/>
          <w:szCs w:val="28"/>
        </w:rPr>
        <w:t xml:space="preserve">Alternatively, ether-based electrolytes, such as </w:t>
      </w:r>
      <w:r w:rsidR="00CA27B8" w:rsidRPr="00B34F7F">
        <w:rPr>
          <w:sz w:val="28"/>
          <w:szCs w:val="28"/>
        </w:rPr>
        <w:t>dimethoxymethane</w:t>
      </w:r>
      <w:r w:rsidRPr="00B34F7F">
        <w:rPr>
          <w:sz w:val="28"/>
          <w:szCs w:val="28"/>
        </w:rPr>
        <w:t xml:space="preserve"> (DME), exhibit greater reductive stability on LMAs, making them more suitable for LMBs</w:t>
      </w:r>
      <w:r w:rsidR="005B2F79">
        <w:rPr>
          <w:sz w:val="28"/>
          <w:szCs w:val="28"/>
        </w:rPr>
        <w:fldChar w:fldCharType="begin" w:fldLock="1"/>
      </w:r>
      <w:r w:rsidR="005B2F79">
        <w:rPr>
          <w:sz w:val="28"/>
          <w:szCs w:val="28"/>
        </w:rPr>
        <w:instrText>ADDIN CSL_CITATION {"citationItems":[{"id":"ITEM-1","itemData":{"DOI":"10.1021/acscentsci.1c00503","ISSN":"23747951","abstract":"Novel electrolytes are required for the commercialization of batteries with high energy densities such as lithium metal batteries. Recently, fluoroether solvents have become promising electrolyte candidates because they yield appreciable ionic conductivities, high oxidative stability, and enable high Coulombic efficiencies for lithium metal cycling. However, reported fluoroether electrolytes have similar molecular structures, and the influence of ion solvation in modifying electrolyte properties has not been elucidated. In this work, we synthesize a group of fluoroether compounds with reversed building block connectivity where ether moieties are sandwiched by fluorinated end groups. These compounds can support ionic conductivities as high as 1.3 mS/cm (30 °C, 1 M salt concentration). Remarkably, we report that the oxidative stability of these electrolytes increases with decreasing fluorine content, a phenomenon not observed in other fluoroethers. Using Raman and other spectroscopic techniques, we show that lithium ion solvation is controlled by fluoroether molecular structure, and the oxidative stability correlates with the \"free solvent\"fraction. Finally, we show that these electrolytes can be cycled repeatedly with lithium metal and other battery chemistries. Understanding the impact of building block connectivity and ionic solvation structure on electrochemical phenomena will facilitate the development of novel electrolytes for next-generation batteries.","author":[{"dropping-particle":"","family":"Ma","given":"Peiyuan","non-dropping-particle":"","parse-names":false,"suffix":""},{"dropping-particle":"","family":"Mirmira","given":"Priyadarshini","non-dropping-particle":"","parse-names":false,"suffix":""},{"dropping-particle":"V.","family":"Amanchukwu","given":"Chibueze","non-dropping-particle":"","parse-names":false,"suffix":""}],"container-title":"ACS Central Science","id":"ITEM-1","issue":"7","issued":{"date-parts":[["2021"]]},"page":"1232-1244","title":"Effect of Building Block Connectivity and Ion Solvation on Electrochemical Stability and Ionic Conductivity in Novel Fluoroether Electrolytes","type":"article-journal","volume":"7"},"uris":["http://www.mendeley.com/documents/?uuid=b0e7e5d8-fcf7-4421-b97b-38385a95ad91"]}],"mendeley":{"formattedCitation":"&lt;sup&gt;5&lt;/sup&gt;","plainTextFormattedCitation":"5","previouslyFormattedCitation":"&lt;sup&gt;5&lt;/sup&gt;"},"properties":{"noteIndex":0},"schema":"https://github.com/citation-style-language/schema/raw/master/csl-citation.json"}</w:instrText>
      </w:r>
      <w:r w:rsidR="005B2F79">
        <w:rPr>
          <w:sz w:val="28"/>
          <w:szCs w:val="28"/>
        </w:rPr>
        <w:fldChar w:fldCharType="separate"/>
      </w:r>
      <w:r w:rsidR="005B2F79" w:rsidRPr="005B2F79">
        <w:rPr>
          <w:noProof/>
          <w:sz w:val="28"/>
          <w:szCs w:val="28"/>
          <w:vertAlign w:val="superscript"/>
        </w:rPr>
        <w:t>5</w:t>
      </w:r>
      <w:r w:rsidR="005B2F79">
        <w:rPr>
          <w:sz w:val="28"/>
          <w:szCs w:val="28"/>
        </w:rPr>
        <w:fldChar w:fldCharType="end"/>
      </w:r>
      <w:r w:rsidRPr="00B34F7F">
        <w:rPr>
          <w:sz w:val="28"/>
          <w:szCs w:val="28"/>
        </w:rPr>
        <w:t xml:space="preserve">. </w:t>
      </w:r>
      <w:r w:rsidR="00E65BAC">
        <w:rPr>
          <w:sz w:val="28"/>
          <w:szCs w:val="28"/>
        </w:rPr>
        <w:t>5</w:t>
      </w:r>
      <w:r w:rsidRPr="00B34F7F">
        <w:rPr>
          <w:sz w:val="28"/>
          <w:szCs w:val="28"/>
        </w:rPr>
        <w:t xml:space="preserve">However, because DME is a strongly solvating solvent, dilute DME-based electrolytes are not effective for LMBs, as they tend to form solvent-separated ion pairs (SSIPs) that lead to organic-rich SEI formation. Higher concentrations (above 4M) of DME are preferred because they promote the </w:t>
      </w:r>
      <w:r w:rsidRPr="00B34F7F">
        <w:rPr>
          <w:sz w:val="28"/>
          <w:szCs w:val="28"/>
        </w:rPr>
        <w:lastRenderedPageBreak/>
        <w:t>formation of contact ion pairs (CIPs) or aggregates (AGGs), leading to an inorganic-rich SEI that enhances performance</w:t>
      </w:r>
      <w:r w:rsidR="005B2F79">
        <w:rPr>
          <w:sz w:val="28"/>
          <w:szCs w:val="28"/>
        </w:rPr>
        <w:fldChar w:fldCharType="begin" w:fldLock="1"/>
      </w:r>
      <w:r w:rsidR="005B2F79">
        <w:rPr>
          <w:sz w:val="28"/>
          <w:szCs w:val="28"/>
        </w:rPr>
        <w:instrText>ADDIN CSL_CITATION {"citationItems":[{"id":"ITEM-1","itemData":{"DOI":"10.1021/jacs.1c09006","ISSN":"15205126","PMID":"34709034","abstract":"1,2-Dimethoxyethane (DME) is a common electrolyte solvent for lithium metal batteries. Various DME-based electrolyte designs have improved long-term cyclability of high-voltage full cells. However, insufficient Coulombic efficiency at the Li anode and poor high-voltage stability remain a challenge for DME electrolytes. Here, we report a molecular design principle that utilizes a steric hindrance effect to tune the solvation structures of Li+ ions. We hypothesized that by substituting the methoxy groups on DME with larger-sized ethoxy groups, the resulting 1,2-diethoxyethane (DEE) should have a weaker solvation ability and consequently more anion-rich inner solvation shells, both of which enhance interfacial stability at the cathode and anode. Experimental and computational evidence indicates such steric-effect-based design leads to an appreciable improvement in electrochemical stability of lithium bis(fluorosulfonyl)imide (LiFSI)/DEE electrolytes. Under stringent full-cell conditions of 4.8 mAh cm-2 NMC811, 50 μm thin Li, and high cutoff voltage at 4.4 V, 4 M LiFSI/DEE enabled 182 cycles until 80% capacity retention while 4 M LiFSI/DME only achieved 94 cycles. This work points out a promising path toward the molecular design of non-fluorinated ether-based electrolyte solvents for practical high-voltage Li metal batteries.","author":[{"dropping-particle":"","family":"Chen","given":"Yuelang","non-dropping-particle":"","parse-names":false,"suffix":""},{"dropping-particle":"","family":"Yu","given":"Zhiao","non-dropping-particle":"","parse-names":false,"suffix":""},{"dropping-particle":"","family":"Rudnicki","given":"Paul","non-dropping-particle":"","parse-names":false,"suffix":""},{"dropping-particle":"","family":"Gong","given":"Huaxin","non-dropping-particle":"","parse-names":false,"suffix":""},{"dropping-particle":"","family":"Huang","given":"Zhuojun","non-dropping-particle":"","parse-names":false,"suffix":""},{"dropping-particle":"","family":"Kim","given":"Sang Cheol","non-dropping-particle":"","parse-names":false,"suffix":""},{"dropping-particle":"","family":"Lai","given":"Jian Cheng","non-dropping-particle":"","parse-names":false,"suffix":""},{"dropping-particle":"","family":"Kong","given":"Xian","non-dropping-particle":"","parse-names":false,"suffix":""},{"dropping-particle":"","family":"Qin","given":"Jian","non-dropping-particle":"","parse-names":false,"suffix":""},{"dropping-particle":"","family":"Cui","given":"Yi","non-dropping-particle":"","parse-names":false,"suffix":""},{"dropping-particle":"","family":"Bao","given":"Zhenan","non-dropping-particle":"","parse-names":false,"suffix":""}],"container-title":"Journal of the American Chemical Society","id":"ITEM-1","issue":"44","issued":{"date-parts":[["2021"]]},"page":"18703-18713","title":"Steric Effect Tuned Ion Solvation Enabling Stable Cycling of High-Voltage Lithium Metal Battery","type":"article-journal","volume":"143"},"uris":["http://www.mendeley.com/documents/?uuid=c380e526-8e95-4e1a-91b7-e520403b8b7c"]}],"mendeley":{"formattedCitation":"&lt;sup&gt;6&lt;/sup&gt;","plainTextFormattedCitation":"6","previouslyFormattedCitation":"&lt;sup&gt;6&lt;/sup&gt;"},"properties":{"noteIndex":0},"schema":"https://github.com/citation-style-language/schema/raw/master/csl-citation.json"}</w:instrText>
      </w:r>
      <w:r w:rsidR="005B2F79">
        <w:rPr>
          <w:sz w:val="28"/>
          <w:szCs w:val="28"/>
        </w:rPr>
        <w:fldChar w:fldCharType="separate"/>
      </w:r>
      <w:r w:rsidR="005B2F79" w:rsidRPr="005B2F79">
        <w:rPr>
          <w:noProof/>
          <w:sz w:val="28"/>
          <w:szCs w:val="28"/>
          <w:vertAlign w:val="superscript"/>
        </w:rPr>
        <w:t>6</w:t>
      </w:r>
      <w:r w:rsidR="005B2F79">
        <w:rPr>
          <w:sz w:val="28"/>
          <w:szCs w:val="28"/>
        </w:rPr>
        <w:fldChar w:fldCharType="end"/>
      </w:r>
      <w:r w:rsidRPr="00B34F7F">
        <w:rPr>
          <w:sz w:val="28"/>
          <w:szCs w:val="28"/>
        </w:rPr>
        <w:t>.</w:t>
      </w:r>
    </w:p>
    <w:p w14:paraId="3EDA5E5B" w14:textId="4867970E" w:rsidR="00B34F7F" w:rsidRPr="00B34F7F" w:rsidRDefault="00B34F7F" w:rsidP="00B34F7F">
      <w:pPr>
        <w:pStyle w:val="NormalWeb"/>
        <w:spacing w:line="360" w:lineRule="auto"/>
        <w:jc w:val="both"/>
        <w:rPr>
          <w:sz w:val="28"/>
          <w:szCs w:val="28"/>
        </w:rPr>
      </w:pPr>
      <w:r w:rsidRPr="00B34F7F">
        <w:rPr>
          <w:sz w:val="28"/>
          <w:szCs w:val="28"/>
        </w:rPr>
        <w:t xml:space="preserve">High-concentration electrolytes, however, come with their own challenges, including lower ionic conductivity and the high cost of lithium salts. To address these issues, localized high-concentration electrolytes (LHCEs) have been introduced. By adding a diluent to increase conductivity without altering the solvation structure, LHCEs maintain the benefits of high-concentration </w:t>
      </w:r>
      <w:r w:rsidR="005B2F79" w:rsidRPr="00B34F7F">
        <w:rPr>
          <w:sz w:val="28"/>
          <w:szCs w:val="28"/>
        </w:rPr>
        <w:t>electrolytes.</w:t>
      </w:r>
      <w:r w:rsidRPr="00B34F7F">
        <w:rPr>
          <w:sz w:val="28"/>
          <w:szCs w:val="28"/>
        </w:rPr>
        <w:t xml:space="preserve"> However, due to the high cost of certain diluents and the high fluorine content in these systems, alternative electrolyte systems known as weakly solvating solvents have been explored. Weakly solvating solvents form a higher proportion of CIPs and AGGs in the solvation structure</w:t>
      </w:r>
      <w:r w:rsidR="005B4999">
        <w:rPr>
          <w:sz w:val="28"/>
          <w:szCs w:val="28"/>
        </w:rPr>
        <w:t xml:space="preserve"> with</w:t>
      </w:r>
      <w:r w:rsidRPr="00B34F7F">
        <w:rPr>
          <w:sz w:val="28"/>
          <w:szCs w:val="28"/>
        </w:rPr>
        <w:t xml:space="preserve"> optim</w:t>
      </w:r>
      <w:r w:rsidR="005B4999">
        <w:rPr>
          <w:sz w:val="28"/>
          <w:szCs w:val="28"/>
        </w:rPr>
        <w:t xml:space="preserve">um </w:t>
      </w:r>
      <w:r w:rsidRPr="00B34F7F">
        <w:rPr>
          <w:sz w:val="28"/>
          <w:szCs w:val="28"/>
        </w:rPr>
        <w:t>ionic conductivity at lower concentrations and achieving better CE</w:t>
      </w:r>
      <w:r w:rsidR="005B2F79">
        <w:rPr>
          <w:sz w:val="28"/>
          <w:szCs w:val="28"/>
        </w:rPr>
        <w:fldChar w:fldCharType="begin" w:fldLock="1"/>
      </w:r>
      <w:r w:rsidR="00BF2AC9">
        <w:rPr>
          <w:sz w:val="28"/>
          <w:szCs w:val="28"/>
        </w:rPr>
        <w:instrText>ADDIN CSL_CITATION {"citationItems":[{"id":"ITEM-1","itemData":{"DOI":"10.1021/acsenergylett.3c00181","ISSN":"23808195","abstract":"The commercialization of high-voltage lithium (Li) metal batteries (LMBs) has been severely hindered due to the lack of advanced electrolytes that can simultaneously support a stable lithium metal anode (LMA) and high-voltage cathode (&gt;4 V vs Li+/Li). Here, we propose a tetrahydropyran (THP)-based weakly solvating electrolyte (WSE) to regulate Li+ solvation structures and interfacial behaviors. The anion-rich Li+ solvation in THP-based WSE effectively promotes the formation of inorganic-rich solid electrolyte interphase (SEI) layers, firm cathode electrolyte interphase (CEI) films, and protective passivation films on an Al current collector. The optimized interfacial behaviors contribute to the highly compact Li deposition, high-voltage stability, and inhibition of transition metal ion dissolution and Al corrosion. Finally, the Li||LiNi0.5Co0.2Mn0.3O2 full cell delivered stable cycling performance at high cutoff voltages of 4.3 and even 4.5 V. This study demonstrates an exciting approach to enable ether-based electrolytes for high-voltage LMBs and could be developed for other battery systems.","author":[{"dropping-particle":"","family":"Zhang","given":"Jiaming","non-dropping-particle":"","parse-names":false,"suffix":""},{"dropping-particle":"","family":"Li","given":"Qiuping","non-dropping-particle":"","parse-names":false,"suffix":""},{"dropping-particle":"","family":"Zeng","given":"Yaping","non-dropping-particle":"","parse-names":false,"suffix":""},{"dropping-particle":"","family":"Tang","given":"Zheng","non-dropping-particle":"","parse-names":false,"suffix":""},{"dropping-particle":"","family":"Sun","given":"Dan","non-dropping-particle":"","parse-names":false,"suffix":""},{"dropping-particle":"","family":"Huang","given":"Dan","non-dropping-particle":"","parse-names":false,"suffix":""},{"dropping-particle":"","family":"Tang","given":"Yougen","non-dropping-particle":"","parse-names":false,"suffix":""},{"dropping-particle":"","family":"Wang","given":"Haiyan","non-dropping-particle":"","parse-names":false,"suffix":""}],"container-title":"ACS Energy Letters","id":"ITEM-1","issue":"4","issued":{"date-parts":[["2023"]]},"page":"1752-1761","title":"Weakly Solvating Cyclic Ether Electrolyte for High-Voltage Lithium Metal Batteries","type":"article-journal","volume":"8"},"uris":["http://www.mendeley.com/documents/?uuid=62940c63-c4c6-4cc7-99dd-3c38abeb5336"]}],"mendeley":{"formattedCitation":"&lt;sup&gt;7&lt;/sup&gt;","plainTextFormattedCitation":"7","previouslyFormattedCitation":"&lt;sup&gt;7&lt;/sup&gt;"},"properties":{"noteIndex":0},"schema":"https://github.com/citation-style-language/schema/raw/master/csl-citation.json"}</w:instrText>
      </w:r>
      <w:r w:rsidR="005B2F79">
        <w:rPr>
          <w:sz w:val="28"/>
          <w:szCs w:val="28"/>
        </w:rPr>
        <w:fldChar w:fldCharType="separate"/>
      </w:r>
      <w:r w:rsidR="005B2F79" w:rsidRPr="005B2F79">
        <w:rPr>
          <w:noProof/>
          <w:sz w:val="28"/>
          <w:szCs w:val="28"/>
          <w:vertAlign w:val="superscript"/>
        </w:rPr>
        <w:t>7</w:t>
      </w:r>
      <w:r w:rsidR="005B2F79">
        <w:rPr>
          <w:sz w:val="28"/>
          <w:szCs w:val="28"/>
        </w:rPr>
        <w:fldChar w:fldCharType="end"/>
      </w:r>
      <w:r w:rsidRPr="00B34F7F">
        <w:rPr>
          <w:sz w:val="28"/>
          <w:szCs w:val="28"/>
        </w:rPr>
        <w:t>.</w:t>
      </w:r>
    </w:p>
    <w:p w14:paraId="5A62ABBD" w14:textId="1645B816" w:rsidR="00B34F7F" w:rsidRPr="00B34F7F" w:rsidRDefault="00B34F7F" w:rsidP="00B34F7F">
      <w:pPr>
        <w:pStyle w:val="NormalWeb"/>
        <w:spacing w:line="360" w:lineRule="auto"/>
        <w:jc w:val="both"/>
        <w:rPr>
          <w:sz w:val="28"/>
          <w:szCs w:val="28"/>
        </w:rPr>
      </w:pPr>
      <w:r w:rsidRPr="00B34F7F">
        <w:rPr>
          <w:sz w:val="28"/>
          <w:szCs w:val="28"/>
        </w:rPr>
        <w:t>To further explore this approach, researchers have studied various weakly solvating solvents with modified ether structures, varying chain lengths,</w:t>
      </w:r>
      <w:r w:rsidR="005B4999">
        <w:rPr>
          <w:sz w:val="28"/>
          <w:szCs w:val="28"/>
        </w:rPr>
        <w:t xml:space="preserve"> where number of carbon is different and varying number of</w:t>
      </w:r>
      <w:r w:rsidRPr="00B34F7F">
        <w:rPr>
          <w:sz w:val="28"/>
          <w:szCs w:val="28"/>
        </w:rPr>
        <w:t xml:space="preserve"> oxygen content, or steric effects to achieve the</w:t>
      </w:r>
      <w:r w:rsidR="005B4999">
        <w:rPr>
          <w:sz w:val="28"/>
          <w:szCs w:val="28"/>
        </w:rPr>
        <w:t xml:space="preserve"> benefits of weakly solvating solvent</w:t>
      </w:r>
      <w:r w:rsidR="00BF2AC9">
        <w:rPr>
          <w:sz w:val="28"/>
          <w:szCs w:val="28"/>
        </w:rPr>
        <w:fldChar w:fldCharType="begin" w:fldLock="1"/>
      </w:r>
      <w:r w:rsidR="00BF2AC9">
        <w:rPr>
          <w:sz w:val="28"/>
          <w:szCs w:val="28"/>
        </w:rPr>
        <w:instrText>ADDIN CSL_CITATION {"citationItems":[{"id":"ITEM-1","itemData":{"DOI":"10.1038/s41557-024-01497-x","ISBN":"4155702401","ISSN":"17554349","PMID":"38570729","abstract":"Lithium metal batteries represent a promising technology for next-generation energy storage, but they still suffer from poor cycle life due to lithium dendrite formation and cathode cracking. Fluorinated solvents can improve battery longevity by improving LiF content in the solid–electrolyte interphase; however, the high cost and environmental concerns of fluorinated solvents limit battery viability. Here we designed a series of fluorine-free solvents through the methylation of 1,2-dimethoxyethane, which promotes inorganic LiF-rich interphase formation through anion reduction and achieves high oxidation stability. The anion-derived LiF interphases suppress lithium dendrite growth on the lithium anode and minimize cathode cracking under high-voltage operation. The Li+-solvent structure is investigated through in situ techniques and simulations to draw correlations between the interphase compositions and electrochemical performances. The methylation strategy provides an alternative pathway for electrolyte engineering towards high-voltage electrolytes while reducing dependence on expensive fluorinated solvents. (Figure presented.)","author":[{"dropping-particle":"","family":"Li","given":"Ai Min","non-dropping-particle":"","parse-names":false,"suffix":""},{"dropping-particle":"","family":"Borodin","given":"Oleg","non-dropping-particle":"","parse-names":false,"suffix":""},{"dropping-particle":"","family":"Pollard","given":"Travis P.","non-dropping-particle":"","parse-names":false,"suffix":""},{"dropping-particle":"","family":"Zhang","given":"Weiran","non-dropping-particle":"","parse-names":false,"suffix":""},{"dropping-particle":"","family":"Zhang","given":"Nan","non-dropping-particle":"","parse-names":false,"suffix":""},{"dropping-particle":"","family":"Tan","given":"Sha","non-dropping-particle":"","parse-names":false,"suffix":""},{"dropping-particle":"","family":"Chen","given":"Fu","non-dropping-particle":"","parse-names":false,"suffix":""},{"dropping-particle":"","family":"Jayawardana","given":"Chamithri","non-dropping-particle":"","parse-names":false,"suffix":""},{"dropping-particle":"","family":"Lucht","given":"Brett L.","non-dropping-particle":"","parse-names":false,"suffix":""},{"dropping-particle":"","family":"Hu","given":"Enyuan","non-dropping-particle":"","parse-names":false,"suffix":""},{"dropping-particle":"","family":"Yang","given":"Xiao Qing","non-dropping-particle":"","parse-names":false,"suffix":""},{"dropping-particle":"","family":"Wang","given":"Chunsheng","non-dropping-particle":"","parse-names":false,"suffix":""}],"container-title":"Nature Chemistry","id":"ITEM-1","issue":"6","issued":{"date-parts":[["2024"]]},"page":"922-929","title":"Methylation enables the use of fluorine-free ether electrolytes in high-voltage lithium metal batteries","type":"article-journal","volume":"16"},"uris":["http://www.mendeley.com/documents/?uuid=20972f1b-8205-40b1-bd74-bb1ce54c7c4d"]}],"mendeley":{"formattedCitation":"&lt;sup&gt;8&lt;/sup&gt;","plainTextFormattedCitation":"8"},"properties":{"noteIndex":0},"schema":"https://github.com/citation-style-language/schema/raw/master/csl-citation.json"}</w:instrText>
      </w:r>
      <w:r w:rsidR="00BF2AC9">
        <w:rPr>
          <w:sz w:val="28"/>
          <w:szCs w:val="28"/>
        </w:rPr>
        <w:fldChar w:fldCharType="separate"/>
      </w:r>
      <w:r w:rsidR="00BF2AC9" w:rsidRPr="00BF2AC9">
        <w:rPr>
          <w:noProof/>
          <w:sz w:val="28"/>
          <w:szCs w:val="28"/>
          <w:vertAlign w:val="superscript"/>
        </w:rPr>
        <w:t>8</w:t>
      </w:r>
      <w:r w:rsidR="00BF2AC9">
        <w:rPr>
          <w:sz w:val="28"/>
          <w:szCs w:val="28"/>
        </w:rPr>
        <w:fldChar w:fldCharType="end"/>
      </w:r>
      <w:r w:rsidR="005B4999">
        <w:rPr>
          <w:sz w:val="28"/>
          <w:szCs w:val="28"/>
        </w:rPr>
        <w:t xml:space="preserve">. </w:t>
      </w:r>
      <w:r w:rsidRPr="00B34F7F">
        <w:rPr>
          <w:sz w:val="28"/>
          <w:szCs w:val="28"/>
        </w:rPr>
        <w:t>These structural modifications have different impacts on SEI formation and interfacial kinetics, resulting in varying first-cycle Coulombic efficiency and average CE. However, identifying the precise structural factors responsible for improved battery performance remains a challenge.</w:t>
      </w:r>
    </w:p>
    <w:p w14:paraId="166353F8" w14:textId="6FCE1258" w:rsidR="00B34F7F" w:rsidRDefault="00B34F7F" w:rsidP="00B34F7F">
      <w:pPr>
        <w:pStyle w:val="NormalWeb"/>
        <w:spacing w:line="360" w:lineRule="auto"/>
        <w:jc w:val="both"/>
        <w:rPr>
          <w:sz w:val="28"/>
          <w:szCs w:val="28"/>
        </w:rPr>
      </w:pPr>
      <w:r w:rsidRPr="00B34F7F">
        <w:rPr>
          <w:sz w:val="28"/>
          <w:szCs w:val="28"/>
        </w:rPr>
        <w:t xml:space="preserve">In this study, three positional isomers of weakly solvating ether solvents—dipropyl ether (DPE), butyl ethyl ether (BEE), and pentyl methyl ether (PME)—were selected. Each has the same number of carbon and oxygen atoms, but with the oxygen positioned differently. This allows for a focused examination of how oxygen positioning affects solvation </w:t>
      </w:r>
      <w:r w:rsidR="005B4999" w:rsidRPr="00B34F7F">
        <w:rPr>
          <w:sz w:val="28"/>
          <w:szCs w:val="28"/>
        </w:rPr>
        <w:t>structure,</w:t>
      </w:r>
      <w:r w:rsidR="005B4999">
        <w:rPr>
          <w:sz w:val="28"/>
          <w:szCs w:val="28"/>
        </w:rPr>
        <w:t xml:space="preserve"> SEI</w:t>
      </w:r>
      <w:r>
        <w:rPr>
          <w:sz w:val="28"/>
          <w:szCs w:val="28"/>
        </w:rPr>
        <w:t xml:space="preserve"> compositions and finally its effect in</w:t>
      </w:r>
      <w:r w:rsidRPr="00B34F7F">
        <w:rPr>
          <w:sz w:val="28"/>
          <w:szCs w:val="28"/>
        </w:rPr>
        <w:t xml:space="preserve"> first-cycle CE, and average CE. While DPE and BEE are commercially available, PME was synthesized specifically for this study. Testing in 1M and 2M </w:t>
      </w:r>
      <w:r w:rsidRPr="00B34F7F">
        <w:rPr>
          <w:sz w:val="28"/>
          <w:szCs w:val="28"/>
        </w:rPr>
        <w:lastRenderedPageBreak/>
        <w:t>concentrations revealed similar performance trends across both concentrations, allowing a clearer understanding of the effects of oxygen positioning on electrolyte performance in LMBs.</w:t>
      </w:r>
    </w:p>
    <w:p w14:paraId="64E1FE10" w14:textId="3B4662B6" w:rsidR="00BF2AC9" w:rsidRPr="00BF2AC9" w:rsidRDefault="008A6772"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fldChar w:fldCharType="begin" w:fldLock="1"/>
      </w:r>
      <w:r>
        <w:instrText xml:space="preserve">ADDIN Mendeley Bibliography CSL_BIBLIOGRAPHY </w:instrText>
      </w:r>
      <w:r>
        <w:fldChar w:fldCharType="separate"/>
      </w:r>
      <w:r w:rsidR="00BF2AC9" w:rsidRPr="00BF2AC9">
        <w:rPr>
          <w:rFonts w:ascii="Times New Roman" w:hAnsi="Times New Roman" w:cs="Times New Roman"/>
          <w:noProof/>
          <w:kern w:val="0"/>
          <w:sz w:val="24"/>
          <w:szCs w:val="24"/>
        </w:rPr>
        <w:t>1.</w:t>
      </w:r>
      <w:r w:rsidR="00BF2AC9" w:rsidRPr="00BF2AC9">
        <w:rPr>
          <w:rFonts w:ascii="Times New Roman" w:hAnsi="Times New Roman" w:cs="Times New Roman"/>
          <w:noProof/>
          <w:kern w:val="0"/>
          <w:sz w:val="24"/>
          <w:szCs w:val="24"/>
        </w:rPr>
        <w:tab/>
        <w:t xml:space="preserve">Jiang, Z. </w:t>
      </w:r>
      <w:r w:rsidR="00BF2AC9" w:rsidRPr="00BF2AC9">
        <w:rPr>
          <w:rFonts w:ascii="Times New Roman" w:hAnsi="Times New Roman" w:cs="Times New Roman"/>
          <w:i/>
          <w:iCs/>
          <w:noProof/>
          <w:kern w:val="0"/>
          <w:sz w:val="24"/>
          <w:szCs w:val="24"/>
        </w:rPr>
        <w:t>et al.</w:t>
      </w:r>
      <w:r w:rsidR="00BF2AC9" w:rsidRPr="00BF2AC9">
        <w:rPr>
          <w:rFonts w:ascii="Times New Roman" w:hAnsi="Times New Roman" w:cs="Times New Roman"/>
          <w:noProof/>
          <w:kern w:val="0"/>
          <w:sz w:val="24"/>
          <w:szCs w:val="24"/>
        </w:rPr>
        <w:t xml:space="preserve"> Fluorobenzene, A Low-Density, Economical, and Bifunctional Hydrocarbon Cosolvent for Practical Lithium Metal Batteries. </w:t>
      </w:r>
      <w:r w:rsidR="00BF2AC9" w:rsidRPr="00BF2AC9">
        <w:rPr>
          <w:rFonts w:ascii="Times New Roman" w:hAnsi="Times New Roman" w:cs="Times New Roman"/>
          <w:i/>
          <w:iCs/>
          <w:noProof/>
          <w:kern w:val="0"/>
          <w:sz w:val="24"/>
          <w:szCs w:val="24"/>
        </w:rPr>
        <w:t>Adv. Funct. Mater.</w:t>
      </w:r>
      <w:r w:rsidR="00BF2AC9" w:rsidRPr="00BF2AC9">
        <w:rPr>
          <w:rFonts w:ascii="Times New Roman" w:hAnsi="Times New Roman" w:cs="Times New Roman"/>
          <w:noProof/>
          <w:kern w:val="0"/>
          <w:sz w:val="24"/>
          <w:szCs w:val="24"/>
        </w:rPr>
        <w:t xml:space="preserve"> </w:t>
      </w:r>
      <w:r w:rsidR="00BF2AC9" w:rsidRPr="00BF2AC9">
        <w:rPr>
          <w:rFonts w:ascii="Times New Roman" w:hAnsi="Times New Roman" w:cs="Times New Roman"/>
          <w:b/>
          <w:bCs/>
          <w:noProof/>
          <w:kern w:val="0"/>
          <w:sz w:val="24"/>
          <w:szCs w:val="24"/>
        </w:rPr>
        <w:t>31</w:t>
      </w:r>
      <w:r w:rsidR="00BF2AC9" w:rsidRPr="00BF2AC9">
        <w:rPr>
          <w:rFonts w:ascii="Times New Roman" w:hAnsi="Times New Roman" w:cs="Times New Roman"/>
          <w:noProof/>
          <w:kern w:val="0"/>
          <w:sz w:val="24"/>
          <w:szCs w:val="24"/>
        </w:rPr>
        <w:t>, 1–9 (2021).</w:t>
      </w:r>
    </w:p>
    <w:p w14:paraId="4CDC9B01"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2.</w:t>
      </w:r>
      <w:r w:rsidRPr="00BF2AC9">
        <w:rPr>
          <w:rFonts w:ascii="Times New Roman" w:hAnsi="Times New Roman" w:cs="Times New Roman"/>
          <w:noProof/>
          <w:kern w:val="0"/>
          <w:sz w:val="24"/>
          <w:szCs w:val="24"/>
        </w:rPr>
        <w:tab/>
        <w:t xml:space="preserve">Li, X.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Understanding steric hindrance effect of solvent molecule in localized high-concentration electrolyte for lithium metal batteries. </w:t>
      </w:r>
      <w:r w:rsidRPr="00BF2AC9">
        <w:rPr>
          <w:rFonts w:ascii="Times New Roman" w:hAnsi="Times New Roman" w:cs="Times New Roman"/>
          <w:i/>
          <w:iCs/>
          <w:noProof/>
          <w:kern w:val="0"/>
          <w:sz w:val="24"/>
          <w:szCs w:val="24"/>
        </w:rPr>
        <w:t>Carbon Neutrality</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2</w:t>
      </w:r>
      <w:r w:rsidRPr="00BF2AC9">
        <w:rPr>
          <w:rFonts w:ascii="Times New Roman" w:hAnsi="Times New Roman" w:cs="Times New Roman"/>
          <w:noProof/>
          <w:kern w:val="0"/>
          <w:sz w:val="24"/>
          <w:szCs w:val="24"/>
        </w:rPr>
        <w:t>, (2023).</w:t>
      </w:r>
    </w:p>
    <w:p w14:paraId="4633647B"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3.</w:t>
      </w:r>
      <w:r w:rsidRPr="00BF2AC9">
        <w:rPr>
          <w:rFonts w:ascii="Times New Roman" w:hAnsi="Times New Roman" w:cs="Times New Roman"/>
          <w:noProof/>
          <w:kern w:val="0"/>
          <w:sz w:val="24"/>
          <w:szCs w:val="24"/>
        </w:rPr>
        <w:tab/>
        <w:t xml:space="preserve">Hu, Z.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Uncovering the critical impact of the solid electrolyte interphase structure on the interfacial stability. </w:t>
      </w:r>
      <w:r w:rsidRPr="00BF2AC9">
        <w:rPr>
          <w:rFonts w:ascii="Times New Roman" w:hAnsi="Times New Roman" w:cs="Times New Roman"/>
          <w:i/>
          <w:iCs/>
          <w:noProof/>
          <w:kern w:val="0"/>
          <w:sz w:val="24"/>
          <w:szCs w:val="24"/>
        </w:rPr>
        <w:t>InfoMat</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4</w:t>
      </w:r>
      <w:r w:rsidRPr="00BF2AC9">
        <w:rPr>
          <w:rFonts w:ascii="Times New Roman" w:hAnsi="Times New Roman" w:cs="Times New Roman"/>
          <w:noProof/>
          <w:kern w:val="0"/>
          <w:sz w:val="24"/>
          <w:szCs w:val="24"/>
        </w:rPr>
        <w:t>, 1–11 (2022).</w:t>
      </w:r>
    </w:p>
    <w:p w14:paraId="3CA2AAD6"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4.</w:t>
      </w:r>
      <w:r w:rsidRPr="00BF2AC9">
        <w:rPr>
          <w:rFonts w:ascii="Times New Roman" w:hAnsi="Times New Roman" w:cs="Times New Roman"/>
          <w:noProof/>
          <w:kern w:val="0"/>
          <w:sz w:val="24"/>
          <w:szCs w:val="24"/>
        </w:rPr>
        <w:tab/>
        <w:t xml:space="preserve">Wang, W.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Stable Cycling of High-Voltage Lithium-Metal Batteries Enabled by High-Concentration FEC-Based Electrolyte. </w:t>
      </w:r>
      <w:r w:rsidRPr="00BF2AC9">
        <w:rPr>
          <w:rFonts w:ascii="Times New Roman" w:hAnsi="Times New Roman" w:cs="Times New Roman"/>
          <w:i/>
          <w:iCs/>
          <w:noProof/>
          <w:kern w:val="0"/>
          <w:sz w:val="24"/>
          <w:szCs w:val="24"/>
        </w:rPr>
        <w:t>ACS Appl. Mater. Interfaces</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12</w:t>
      </w:r>
      <w:r w:rsidRPr="00BF2AC9">
        <w:rPr>
          <w:rFonts w:ascii="Times New Roman" w:hAnsi="Times New Roman" w:cs="Times New Roman"/>
          <w:noProof/>
          <w:kern w:val="0"/>
          <w:sz w:val="24"/>
          <w:szCs w:val="24"/>
        </w:rPr>
        <w:t>, 22901–22909 (2020).</w:t>
      </w:r>
    </w:p>
    <w:p w14:paraId="478099A6"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5.</w:t>
      </w:r>
      <w:r w:rsidRPr="00BF2AC9">
        <w:rPr>
          <w:rFonts w:ascii="Times New Roman" w:hAnsi="Times New Roman" w:cs="Times New Roman"/>
          <w:noProof/>
          <w:kern w:val="0"/>
          <w:sz w:val="24"/>
          <w:szCs w:val="24"/>
        </w:rPr>
        <w:tab/>
        <w:t xml:space="preserve">Ma, P., Mirmira, P. &amp; Amanchukwu, C. V. Effect of Building Block Connectivity and Ion Solvation on Electrochemical Stability and Ionic Conductivity in Novel Fluoroether Electrolytes. </w:t>
      </w:r>
      <w:r w:rsidRPr="00BF2AC9">
        <w:rPr>
          <w:rFonts w:ascii="Times New Roman" w:hAnsi="Times New Roman" w:cs="Times New Roman"/>
          <w:i/>
          <w:iCs/>
          <w:noProof/>
          <w:kern w:val="0"/>
          <w:sz w:val="24"/>
          <w:szCs w:val="24"/>
        </w:rPr>
        <w:t>ACS Cent. Sci.</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7</w:t>
      </w:r>
      <w:r w:rsidRPr="00BF2AC9">
        <w:rPr>
          <w:rFonts w:ascii="Times New Roman" w:hAnsi="Times New Roman" w:cs="Times New Roman"/>
          <w:noProof/>
          <w:kern w:val="0"/>
          <w:sz w:val="24"/>
          <w:szCs w:val="24"/>
        </w:rPr>
        <w:t>, 1232–1244 (2021).</w:t>
      </w:r>
    </w:p>
    <w:p w14:paraId="2B936134"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6.</w:t>
      </w:r>
      <w:r w:rsidRPr="00BF2AC9">
        <w:rPr>
          <w:rFonts w:ascii="Times New Roman" w:hAnsi="Times New Roman" w:cs="Times New Roman"/>
          <w:noProof/>
          <w:kern w:val="0"/>
          <w:sz w:val="24"/>
          <w:szCs w:val="24"/>
        </w:rPr>
        <w:tab/>
        <w:t xml:space="preserve">Chen, Y.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Steric Effect Tuned Ion Solvation Enabling Stable Cycling of High-Voltage Lithium Metal Battery. </w:t>
      </w:r>
      <w:r w:rsidRPr="00BF2AC9">
        <w:rPr>
          <w:rFonts w:ascii="Times New Roman" w:hAnsi="Times New Roman" w:cs="Times New Roman"/>
          <w:i/>
          <w:iCs/>
          <w:noProof/>
          <w:kern w:val="0"/>
          <w:sz w:val="24"/>
          <w:szCs w:val="24"/>
        </w:rPr>
        <w:t>J. Am. Chem. Soc.</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143</w:t>
      </w:r>
      <w:r w:rsidRPr="00BF2AC9">
        <w:rPr>
          <w:rFonts w:ascii="Times New Roman" w:hAnsi="Times New Roman" w:cs="Times New Roman"/>
          <w:noProof/>
          <w:kern w:val="0"/>
          <w:sz w:val="24"/>
          <w:szCs w:val="24"/>
        </w:rPr>
        <w:t>, 18703–18713 (2021).</w:t>
      </w:r>
    </w:p>
    <w:p w14:paraId="5004D0F2"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kern w:val="0"/>
          <w:sz w:val="24"/>
          <w:szCs w:val="24"/>
        </w:rPr>
      </w:pPr>
      <w:r w:rsidRPr="00BF2AC9">
        <w:rPr>
          <w:rFonts w:ascii="Times New Roman" w:hAnsi="Times New Roman" w:cs="Times New Roman"/>
          <w:noProof/>
          <w:kern w:val="0"/>
          <w:sz w:val="24"/>
          <w:szCs w:val="24"/>
        </w:rPr>
        <w:t>7.</w:t>
      </w:r>
      <w:r w:rsidRPr="00BF2AC9">
        <w:rPr>
          <w:rFonts w:ascii="Times New Roman" w:hAnsi="Times New Roman" w:cs="Times New Roman"/>
          <w:noProof/>
          <w:kern w:val="0"/>
          <w:sz w:val="24"/>
          <w:szCs w:val="24"/>
        </w:rPr>
        <w:tab/>
        <w:t xml:space="preserve">Zhang, J.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Weakly Solvating Cyclic Ether Electrolyte for High-Voltage Lithium Metal Batteries. </w:t>
      </w:r>
      <w:r w:rsidRPr="00BF2AC9">
        <w:rPr>
          <w:rFonts w:ascii="Times New Roman" w:hAnsi="Times New Roman" w:cs="Times New Roman"/>
          <w:i/>
          <w:iCs/>
          <w:noProof/>
          <w:kern w:val="0"/>
          <w:sz w:val="24"/>
          <w:szCs w:val="24"/>
        </w:rPr>
        <w:t>ACS Energy Lett.</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8</w:t>
      </w:r>
      <w:r w:rsidRPr="00BF2AC9">
        <w:rPr>
          <w:rFonts w:ascii="Times New Roman" w:hAnsi="Times New Roman" w:cs="Times New Roman"/>
          <w:noProof/>
          <w:kern w:val="0"/>
          <w:sz w:val="24"/>
          <w:szCs w:val="24"/>
        </w:rPr>
        <w:t>, 1752–1761 (2023).</w:t>
      </w:r>
    </w:p>
    <w:p w14:paraId="63D0B193" w14:textId="77777777" w:rsidR="00BF2AC9" w:rsidRPr="00BF2AC9" w:rsidRDefault="00BF2AC9" w:rsidP="00BF2AC9">
      <w:pPr>
        <w:widowControl w:val="0"/>
        <w:autoSpaceDE w:val="0"/>
        <w:autoSpaceDN w:val="0"/>
        <w:adjustRightInd w:val="0"/>
        <w:spacing w:before="100" w:after="100" w:line="240" w:lineRule="auto"/>
        <w:ind w:left="640" w:hanging="640"/>
        <w:rPr>
          <w:rFonts w:ascii="Times New Roman" w:hAnsi="Times New Roman" w:cs="Times New Roman"/>
          <w:noProof/>
          <w:sz w:val="24"/>
        </w:rPr>
      </w:pPr>
      <w:r w:rsidRPr="00BF2AC9">
        <w:rPr>
          <w:rFonts w:ascii="Times New Roman" w:hAnsi="Times New Roman" w:cs="Times New Roman"/>
          <w:noProof/>
          <w:kern w:val="0"/>
          <w:sz w:val="24"/>
          <w:szCs w:val="24"/>
        </w:rPr>
        <w:t>8.</w:t>
      </w:r>
      <w:r w:rsidRPr="00BF2AC9">
        <w:rPr>
          <w:rFonts w:ascii="Times New Roman" w:hAnsi="Times New Roman" w:cs="Times New Roman"/>
          <w:noProof/>
          <w:kern w:val="0"/>
          <w:sz w:val="24"/>
          <w:szCs w:val="24"/>
        </w:rPr>
        <w:tab/>
        <w:t xml:space="preserve">Li, A. M. </w:t>
      </w:r>
      <w:r w:rsidRPr="00BF2AC9">
        <w:rPr>
          <w:rFonts w:ascii="Times New Roman" w:hAnsi="Times New Roman" w:cs="Times New Roman"/>
          <w:i/>
          <w:iCs/>
          <w:noProof/>
          <w:kern w:val="0"/>
          <w:sz w:val="24"/>
          <w:szCs w:val="24"/>
        </w:rPr>
        <w:t>et al.</w:t>
      </w:r>
      <w:r w:rsidRPr="00BF2AC9">
        <w:rPr>
          <w:rFonts w:ascii="Times New Roman" w:hAnsi="Times New Roman" w:cs="Times New Roman"/>
          <w:noProof/>
          <w:kern w:val="0"/>
          <w:sz w:val="24"/>
          <w:szCs w:val="24"/>
        </w:rPr>
        <w:t xml:space="preserve"> Methylation enables the use of fluorine-free ether electrolytes in high-voltage lithium metal batteries. </w:t>
      </w:r>
      <w:r w:rsidRPr="00BF2AC9">
        <w:rPr>
          <w:rFonts w:ascii="Times New Roman" w:hAnsi="Times New Roman" w:cs="Times New Roman"/>
          <w:i/>
          <w:iCs/>
          <w:noProof/>
          <w:kern w:val="0"/>
          <w:sz w:val="24"/>
          <w:szCs w:val="24"/>
        </w:rPr>
        <w:t>Nat. Chem.</w:t>
      </w:r>
      <w:r w:rsidRPr="00BF2AC9">
        <w:rPr>
          <w:rFonts w:ascii="Times New Roman" w:hAnsi="Times New Roman" w:cs="Times New Roman"/>
          <w:noProof/>
          <w:kern w:val="0"/>
          <w:sz w:val="24"/>
          <w:szCs w:val="24"/>
        </w:rPr>
        <w:t xml:space="preserve"> </w:t>
      </w:r>
      <w:r w:rsidRPr="00BF2AC9">
        <w:rPr>
          <w:rFonts w:ascii="Times New Roman" w:hAnsi="Times New Roman" w:cs="Times New Roman"/>
          <w:b/>
          <w:bCs/>
          <w:noProof/>
          <w:kern w:val="0"/>
          <w:sz w:val="24"/>
          <w:szCs w:val="24"/>
        </w:rPr>
        <w:t>16</w:t>
      </w:r>
      <w:r w:rsidRPr="00BF2AC9">
        <w:rPr>
          <w:rFonts w:ascii="Times New Roman" w:hAnsi="Times New Roman" w:cs="Times New Roman"/>
          <w:noProof/>
          <w:kern w:val="0"/>
          <w:sz w:val="24"/>
          <w:szCs w:val="24"/>
        </w:rPr>
        <w:t>, 922–929 (2024).</w:t>
      </w:r>
    </w:p>
    <w:p w14:paraId="1D562CB7" w14:textId="4F7B0C96" w:rsidR="008A6772" w:rsidRDefault="008A6772" w:rsidP="00C73EE7">
      <w:pPr>
        <w:pStyle w:val="NormalWeb"/>
      </w:pPr>
      <w:r>
        <w:fldChar w:fldCharType="end"/>
      </w:r>
    </w:p>
    <w:p w14:paraId="6BFE6F95" w14:textId="77777777" w:rsidR="008A6772" w:rsidRDefault="008A6772" w:rsidP="00C73EE7">
      <w:pPr>
        <w:pStyle w:val="NormalWeb"/>
      </w:pPr>
    </w:p>
    <w:p w14:paraId="27534E52" w14:textId="77777777" w:rsidR="008A6772" w:rsidRDefault="008A6772" w:rsidP="00C73EE7">
      <w:pPr>
        <w:pStyle w:val="NormalWeb"/>
      </w:pPr>
    </w:p>
    <w:p w14:paraId="3DC531B5" w14:textId="77777777" w:rsidR="008A6772" w:rsidRDefault="008A6772" w:rsidP="00C73EE7">
      <w:pPr>
        <w:pStyle w:val="NormalWeb"/>
      </w:pPr>
    </w:p>
    <w:p w14:paraId="0D85510A" w14:textId="77777777" w:rsidR="008A6772" w:rsidRDefault="008A6772" w:rsidP="00C73EE7">
      <w:pPr>
        <w:pStyle w:val="NormalWeb"/>
      </w:pPr>
    </w:p>
    <w:p w14:paraId="0350CED7" w14:textId="77777777" w:rsidR="008A6772" w:rsidRDefault="008A6772" w:rsidP="00C73EE7">
      <w:pPr>
        <w:pStyle w:val="NormalWeb"/>
      </w:pPr>
    </w:p>
    <w:p w14:paraId="1A8D9AEB" w14:textId="77777777" w:rsidR="008A6772" w:rsidRDefault="008A6772" w:rsidP="00C73EE7">
      <w:pPr>
        <w:pStyle w:val="NormalWeb"/>
      </w:pPr>
    </w:p>
    <w:p w14:paraId="6265002D" w14:textId="77777777" w:rsidR="008A6772" w:rsidRDefault="008A6772" w:rsidP="00C73EE7">
      <w:pPr>
        <w:pStyle w:val="NormalWeb"/>
      </w:pPr>
    </w:p>
    <w:p w14:paraId="2C5FB77D" w14:textId="77777777" w:rsidR="008A6772" w:rsidRDefault="008A6772" w:rsidP="00C73EE7">
      <w:pPr>
        <w:pStyle w:val="NormalWeb"/>
      </w:pPr>
    </w:p>
    <w:p w14:paraId="2FD27A37" w14:textId="77777777" w:rsidR="008A6772" w:rsidRDefault="008A6772" w:rsidP="00C73EE7">
      <w:pPr>
        <w:pStyle w:val="NormalWeb"/>
      </w:pPr>
    </w:p>
    <w:p w14:paraId="09EF6AD3" w14:textId="77777777" w:rsidR="008A6772" w:rsidRDefault="008A6772" w:rsidP="00C73EE7">
      <w:pPr>
        <w:pStyle w:val="NormalWeb"/>
      </w:pPr>
    </w:p>
    <w:p w14:paraId="35BE6331" w14:textId="77777777" w:rsidR="008A6772" w:rsidRDefault="008A6772" w:rsidP="00C73EE7">
      <w:pPr>
        <w:pStyle w:val="NormalWeb"/>
      </w:pPr>
    </w:p>
    <w:p w14:paraId="0D93816E" w14:textId="77777777" w:rsidR="008A6772" w:rsidRDefault="008A6772" w:rsidP="00C73EE7">
      <w:pPr>
        <w:pStyle w:val="NormalWeb"/>
      </w:pPr>
    </w:p>
    <w:p w14:paraId="1649472D" w14:textId="77777777" w:rsidR="008A6772" w:rsidRDefault="008A6772" w:rsidP="00C73EE7">
      <w:pPr>
        <w:pStyle w:val="NormalWeb"/>
      </w:pPr>
    </w:p>
    <w:p w14:paraId="65B13F6D" w14:textId="77777777" w:rsidR="008A6772" w:rsidRDefault="008A6772" w:rsidP="00C73EE7">
      <w:pPr>
        <w:pStyle w:val="NormalWeb"/>
      </w:pPr>
    </w:p>
    <w:p w14:paraId="01A0BEDC" w14:textId="77777777" w:rsidR="008A6772" w:rsidRDefault="008A6772" w:rsidP="00C73EE7">
      <w:pPr>
        <w:pStyle w:val="NormalWeb"/>
      </w:pPr>
    </w:p>
    <w:p w14:paraId="769EF297" w14:textId="77777777" w:rsidR="008A6772" w:rsidRDefault="008A6772" w:rsidP="00C73EE7">
      <w:pPr>
        <w:pStyle w:val="NormalWeb"/>
      </w:pPr>
    </w:p>
    <w:p w14:paraId="46674DD2" w14:textId="77777777" w:rsidR="008A6772" w:rsidRDefault="008A6772" w:rsidP="00C73EE7">
      <w:pPr>
        <w:pStyle w:val="NormalWeb"/>
      </w:pPr>
    </w:p>
    <w:p w14:paraId="0D06DA42" w14:textId="77777777" w:rsidR="008A6772" w:rsidRDefault="008A6772" w:rsidP="00C73EE7">
      <w:pPr>
        <w:pStyle w:val="NormalWeb"/>
      </w:pPr>
    </w:p>
    <w:p w14:paraId="3C18D86D" w14:textId="77777777" w:rsidR="008A6772" w:rsidRDefault="008A6772" w:rsidP="00C73EE7">
      <w:pPr>
        <w:pStyle w:val="NormalWeb"/>
      </w:pPr>
    </w:p>
    <w:p w14:paraId="76BFBB79" w14:textId="77777777" w:rsidR="008A6772" w:rsidRDefault="008A6772" w:rsidP="00C73EE7">
      <w:pPr>
        <w:pStyle w:val="NormalWeb"/>
      </w:pPr>
    </w:p>
    <w:p w14:paraId="5F556E43" w14:textId="77777777" w:rsidR="008A6772" w:rsidRDefault="008A6772" w:rsidP="00C73EE7">
      <w:pPr>
        <w:pStyle w:val="NormalWeb"/>
      </w:pPr>
    </w:p>
    <w:p w14:paraId="5A825A79" w14:textId="77777777" w:rsidR="008A6772" w:rsidRDefault="008A6772" w:rsidP="00C73EE7">
      <w:pPr>
        <w:pStyle w:val="NormalWeb"/>
      </w:pPr>
    </w:p>
    <w:p w14:paraId="00A4865B" w14:textId="77777777" w:rsidR="008A6772" w:rsidRDefault="008A6772" w:rsidP="00C73EE7">
      <w:pPr>
        <w:pStyle w:val="NormalWeb"/>
      </w:pPr>
    </w:p>
    <w:p w14:paraId="4E35D195" w14:textId="77777777" w:rsidR="008A6772" w:rsidRDefault="008A6772" w:rsidP="00C73EE7">
      <w:pPr>
        <w:pStyle w:val="NormalWeb"/>
      </w:pPr>
    </w:p>
    <w:p w14:paraId="40A02000" w14:textId="77777777" w:rsidR="008A6772" w:rsidRDefault="008A6772" w:rsidP="00C73EE7">
      <w:pPr>
        <w:pStyle w:val="NormalWeb"/>
      </w:pPr>
    </w:p>
    <w:sectPr w:rsidR="008A67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7F"/>
    <w:rsid w:val="00191E51"/>
    <w:rsid w:val="00281674"/>
    <w:rsid w:val="002C33E6"/>
    <w:rsid w:val="003F181A"/>
    <w:rsid w:val="00490252"/>
    <w:rsid w:val="004F33F2"/>
    <w:rsid w:val="005203DE"/>
    <w:rsid w:val="00525F42"/>
    <w:rsid w:val="005B2F79"/>
    <w:rsid w:val="005B4999"/>
    <w:rsid w:val="00762113"/>
    <w:rsid w:val="007C3802"/>
    <w:rsid w:val="008A6772"/>
    <w:rsid w:val="00926C44"/>
    <w:rsid w:val="0099665A"/>
    <w:rsid w:val="00A8007F"/>
    <w:rsid w:val="00A909BA"/>
    <w:rsid w:val="00AA288E"/>
    <w:rsid w:val="00B34F7F"/>
    <w:rsid w:val="00B43219"/>
    <w:rsid w:val="00B53D2E"/>
    <w:rsid w:val="00BE4020"/>
    <w:rsid w:val="00BF2AC9"/>
    <w:rsid w:val="00C73EE7"/>
    <w:rsid w:val="00CA27B8"/>
    <w:rsid w:val="00CA368E"/>
    <w:rsid w:val="00D16BFA"/>
    <w:rsid w:val="00D5369A"/>
    <w:rsid w:val="00D739D3"/>
    <w:rsid w:val="00E65BAC"/>
    <w:rsid w:val="00F00644"/>
    <w:rsid w:val="00F22957"/>
    <w:rsid w:val="00F93F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A524B"/>
  <w15:chartTrackingRefBased/>
  <w15:docId w15:val="{BC778011-1144-434B-B04A-BB5EC4D42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4F7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407766">
      <w:bodyDiv w:val="1"/>
      <w:marLeft w:val="0"/>
      <w:marRight w:val="0"/>
      <w:marTop w:val="0"/>
      <w:marBottom w:val="0"/>
      <w:divBdr>
        <w:top w:val="none" w:sz="0" w:space="0" w:color="auto"/>
        <w:left w:val="none" w:sz="0" w:space="0" w:color="auto"/>
        <w:bottom w:val="none" w:sz="0" w:space="0" w:color="auto"/>
        <w:right w:val="none" w:sz="0" w:space="0" w:color="auto"/>
      </w:divBdr>
    </w:div>
    <w:div w:id="1081221382">
      <w:bodyDiv w:val="1"/>
      <w:marLeft w:val="0"/>
      <w:marRight w:val="0"/>
      <w:marTop w:val="0"/>
      <w:marBottom w:val="0"/>
      <w:divBdr>
        <w:top w:val="none" w:sz="0" w:space="0" w:color="auto"/>
        <w:left w:val="none" w:sz="0" w:space="0" w:color="auto"/>
        <w:bottom w:val="none" w:sz="0" w:space="0" w:color="auto"/>
        <w:right w:val="none" w:sz="0" w:space="0" w:color="auto"/>
      </w:divBdr>
    </w:div>
    <w:div w:id="1425765892">
      <w:bodyDiv w:val="1"/>
      <w:marLeft w:val="0"/>
      <w:marRight w:val="0"/>
      <w:marTop w:val="0"/>
      <w:marBottom w:val="0"/>
      <w:divBdr>
        <w:top w:val="none" w:sz="0" w:space="0" w:color="auto"/>
        <w:left w:val="none" w:sz="0" w:space="0" w:color="auto"/>
        <w:bottom w:val="none" w:sz="0" w:space="0" w:color="auto"/>
        <w:right w:val="none" w:sz="0" w:space="0" w:color="auto"/>
      </w:divBdr>
    </w:div>
    <w:div w:id="160511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E4CBD-45BD-48D9-A1F4-A9478031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4700</Words>
  <Characters>26794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Ishita Das</dc:creator>
  <cp:keywords/>
  <dc:description/>
  <cp:lastModifiedBy>Ishita Das</cp:lastModifiedBy>
  <cp:revision>19</cp:revision>
  <dcterms:created xsi:type="dcterms:W3CDTF">2024-11-05T07:34:00Z</dcterms:created>
  <dcterms:modified xsi:type="dcterms:W3CDTF">2024-11-05T09:23:00Z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0a19551c-dde3-3058-acc4-5108501fcb07</vt:lpwstr>
  </property>
  <property fmtid="{D5CDD505-2E9C-101B-9397-08002B2CF9AE}" pid="4" name="Mendeley Citation Style_1">
    <vt:lpwstr>http://www.zotero.org/styles/nature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