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28C0" w:rsidRPr="002375BF" w:rsidRDefault="005610F0" w:rsidP="002375BF">
      <w:pPr>
        <w:spacing w:line="276" w:lineRule="auto"/>
        <w:rPr>
          <w:rStyle w:val="Strong"/>
          <w:rFonts w:ascii="Times New Roman" w:hAnsi="Times New Roman" w:cs="Times New Roman"/>
          <w:color w:val="000000"/>
          <w:spacing w:val="-6"/>
          <w:sz w:val="32"/>
          <w:szCs w:val="21"/>
          <w:shd w:val="clear" w:color="auto" w:fill="FCFCFD"/>
        </w:rPr>
      </w:pPr>
      <w:r w:rsidRPr="002375BF">
        <w:rPr>
          <w:rStyle w:val="Strong"/>
          <w:rFonts w:ascii="Times New Roman" w:hAnsi="Times New Roman" w:cs="Times New Roman"/>
          <w:color w:val="000000"/>
          <w:spacing w:val="-6"/>
          <w:sz w:val="32"/>
          <w:szCs w:val="21"/>
          <w:shd w:val="clear" w:color="auto" w:fill="FCFCFD"/>
        </w:rPr>
        <w:t>Advancements in Electrolysis Technologies: Exploring the Potential of Oxyhydrogen as a Clean Energy Source</w:t>
      </w:r>
      <w:r w:rsidR="00FD28C0" w:rsidRPr="002375BF">
        <w:rPr>
          <w:rStyle w:val="Strong"/>
          <w:rFonts w:ascii="Times New Roman" w:hAnsi="Times New Roman" w:cs="Times New Roman"/>
          <w:color w:val="000000"/>
          <w:spacing w:val="-6"/>
          <w:sz w:val="32"/>
          <w:szCs w:val="21"/>
          <w:shd w:val="clear" w:color="auto" w:fill="FCFCFD"/>
        </w:rPr>
        <w:t xml:space="preserve"> </w:t>
      </w:r>
      <w:bookmarkStart w:id="0" w:name="_GoBack"/>
      <w:bookmarkEnd w:id="0"/>
    </w:p>
    <w:p w:rsidR="0031245A" w:rsidRPr="00555E6D" w:rsidRDefault="0031245A" w:rsidP="008C36F5">
      <w:pPr>
        <w:spacing w:line="240" w:lineRule="auto"/>
        <w:rPr>
          <w:rFonts w:ascii="Times New Roman" w:hAnsi="Times New Roman" w:cs="Times New Roman"/>
          <w:b/>
          <w:sz w:val="24"/>
          <w:szCs w:val="20"/>
        </w:rPr>
      </w:pPr>
      <w:r w:rsidRPr="00555E6D">
        <w:rPr>
          <w:rFonts w:ascii="Times New Roman" w:hAnsi="Times New Roman" w:cs="Times New Roman"/>
          <w:b/>
          <w:sz w:val="24"/>
          <w:szCs w:val="20"/>
        </w:rPr>
        <w:t>Graphical Abstract:</w:t>
      </w:r>
    </w:p>
    <w:p w:rsidR="00A147DF" w:rsidRPr="008C36F5" w:rsidRDefault="001046EA" w:rsidP="008C36F5">
      <w:pPr>
        <w:spacing w:line="240" w:lineRule="auto"/>
        <w:rPr>
          <w:rFonts w:ascii="Times New Roman" w:hAnsi="Times New Roman" w:cs="Times New Roman"/>
          <w:b/>
          <w:noProof/>
          <w:sz w:val="20"/>
          <w:szCs w:val="20"/>
        </w:rPr>
      </w:pPr>
      <w:r w:rsidRPr="008C36F5">
        <w:rPr>
          <w:rFonts w:ascii="Times New Roman" w:hAnsi="Times New Roman" w:cs="Times New Roman"/>
          <w:b/>
          <w:noProof/>
          <w:sz w:val="20"/>
          <w:szCs w:val="20"/>
        </w:rPr>
        <w:drawing>
          <wp:inline distT="0" distB="0" distL="0" distR="0">
            <wp:extent cx="5812124" cy="26936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noChangeArrowheads="1"/>
                    </pic:cNvPicPr>
                  </pic:nvPicPr>
                  <pic:blipFill>
                    <a:blip r:embed="rId8" cstate="print"/>
                    <a:stretch>
                      <a:fillRect/>
                    </a:stretch>
                  </pic:blipFill>
                  <pic:spPr bwMode="auto">
                    <a:xfrm>
                      <a:off x="0" y="0"/>
                      <a:ext cx="5812876" cy="2693949"/>
                    </a:xfrm>
                    <a:prstGeom prst="rect">
                      <a:avLst/>
                    </a:prstGeom>
                    <a:noFill/>
                    <a:ln w="9525">
                      <a:noFill/>
                      <a:miter lim="800000"/>
                      <a:headEnd/>
                      <a:tailEnd/>
                    </a:ln>
                  </pic:spPr>
                </pic:pic>
              </a:graphicData>
            </a:graphic>
          </wp:inline>
        </w:drawing>
      </w:r>
    </w:p>
    <w:p w:rsidR="008D1A50" w:rsidRDefault="00A147DF" w:rsidP="007A1076">
      <w:pPr>
        <w:pStyle w:val="ListParagraph"/>
        <w:tabs>
          <w:tab w:val="left" w:pos="900"/>
        </w:tabs>
        <w:spacing w:line="240" w:lineRule="auto"/>
        <w:ind w:left="90"/>
        <w:rPr>
          <w:rFonts w:ascii="Times New Roman" w:hAnsi="Times New Roman" w:cs="Times New Roman"/>
          <w:sz w:val="20"/>
          <w:szCs w:val="20"/>
        </w:rPr>
      </w:pPr>
      <w:r w:rsidRPr="00555E6D">
        <w:rPr>
          <w:rFonts w:ascii="Times New Roman" w:hAnsi="Times New Roman" w:cs="Times New Roman"/>
          <w:b/>
          <w:sz w:val="24"/>
          <w:szCs w:val="20"/>
        </w:rPr>
        <w:t xml:space="preserve">Abstract: </w:t>
      </w:r>
      <w:r w:rsidR="009A699F" w:rsidRPr="00725C6B">
        <w:rPr>
          <w:rFonts w:ascii="Times New Roman" w:hAnsi="Times New Roman" w:cs="Times New Roman"/>
          <w:color w:val="000000"/>
          <w:spacing w:val="-6"/>
          <w:sz w:val="21"/>
          <w:szCs w:val="21"/>
          <w:shd w:val="clear" w:color="auto" w:fill="FCFCFD"/>
        </w:rPr>
        <w:t>The increasing demand for clean and sustainable energy sources has led to significant advancements in the production of oxyhydrogen (HHO) and hydrogen gas through various electrolysis techniques. This review provides a comprehensive analysis of the current state of electrolysis methods, including alkaline water electrolysis (AWE), proton exchange membrane electrolysis (PEM), and microbial electrolysis cells (MEC), highlighting their efficiencies, challenges, and potential applications. The paper discusses the environmental benefits of utilizing HHO as an alternative fuel, particularly in reducing harmful emissions from internal combustion engines and enhancing overall energy efficiency. Recent innovations in catalyst development, such as the use of non-noble metal catalysts and advanced materials, are examined for their role in improving electrolysis performance and reducing production costs. Additionally, the integration of renewable energy sources, particularly solar energy, for powering electrolysis systems is explored, emphasizing its potential to create a sustainable hydrogen economy. The review concludes with a discussion on future research directions and the need for further optimization of electrolysis technologies to meet the growing energy demands while minimizing environmental impact.</w:t>
      </w:r>
    </w:p>
    <w:p w:rsidR="007A1076" w:rsidRPr="007A1076" w:rsidRDefault="007A1076" w:rsidP="007A1076">
      <w:pPr>
        <w:pStyle w:val="ListParagraph"/>
        <w:tabs>
          <w:tab w:val="left" w:pos="900"/>
        </w:tabs>
        <w:spacing w:line="240" w:lineRule="auto"/>
        <w:ind w:left="90"/>
        <w:rPr>
          <w:rFonts w:ascii="Times New Roman" w:hAnsi="Times New Roman" w:cs="Times New Roman"/>
          <w:sz w:val="20"/>
          <w:szCs w:val="20"/>
        </w:rPr>
      </w:pPr>
    </w:p>
    <w:p w:rsidR="00555E6D" w:rsidRPr="00F723EE" w:rsidRDefault="00A147DF" w:rsidP="00555E6D">
      <w:pPr>
        <w:pStyle w:val="ListParagraph"/>
        <w:spacing w:line="240" w:lineRule="auto"/>
        <w:ind w:left="90"/>
        <w:rPr>
          <w:rFonts w:ascii="Times New Roman" w:eastAsia="SimSun" w:hAnsi="Times New Roman" w:cs="Times New Roman"/>
          <w:color w:val="000000"/>
          <w:sz w:val="20"/>
          <w:szCs w:val="20"/>
        </w:rPr>
      </w:pPr>
      <w:r w:rsidRPr="00555E6D">
        <w:rPr>
          <w:rFonts w:ascii="Times New Roman" w:hAnsi="Times New Roman" w:cs="Times New Roman"/>
          <w:b/>
          <w:sz w:val="24"/>
          <w:szCs w:val="20"/>
        </w:rPr>
        <w:t>Keywords</w:t>
      </w:r>
      <w:r w:rsidRPr="00F723EE">
        <w:rPr>
          <w:rFonts w:ascii="Times New Roman" w:hAnsi="Times New Roman" w:cs="Times New Roman"/>
          <w:sz w:val="20"/>
          <w:szCs w:val="20"/>
        </w:rPr>
        <w:t xml:space="preserve">: </w:t>
      </w:r>
      <w:r w:rsidR="00F723EE" w:rsidRPr="00F723EE">
        <w:rPr>
          <w:rFonts w:ascii="Times New Roman" w:hAnsi="Times New Roman" w:cs="Times New Roman"/>
          <w:color w:val="000000"/>
          <w:spacing w:val="-6"/>
          <w:sz w:val="20"/>
          <w:szCs w:val="20"/>
          <w:shd w:val="clear" w:color="auto" w:fill="FCFCFD"/>
        </w:rPr>
        <w:t>Oxyhydrogen, Hydrogen Production, Electrolysis Techniques, Renewable Energy, Alkaline Water Electrolysis, Proton Exchange Membrane, Microbial Electrolysis Cells, Sustainable Energy.</w:t>
      </w:r>
    </w:p>
    <w:p w:rsidR="00555E6D" w:rsidRPr="00555E6D" w:rsidRDefault="00555E6D" w:rsidP="00555E6D">
      <w:pPr>
        <w:pStyle w:val="ListParagraph"/>
        <w:spacing w:line="240" w:lineRule="auto"/>
        <w:ind w:left="90"/>
        <w:rPr>
          <w:rFonts w:ascii="Times New Roman" w:eastAsia="SimSun" w:hAnsi="Times New Roman" w:cs="Times New Roman"/>
          <w:color w:val="000000"/>
          <w:sz w:val="20"/>
          <w:szCs w:val="20"/>
        </w:rPr>
      </w:pPr>
    </w:p>
    <w:p w:rsidR="007A1076" w:rsidRPr="008C36F5" w:rsidRDefault="007A1076" w:rsidP="008C36F5">
      <w:pPr>
        <w:pStyle w:val="ListParagraph"/>
        <w:spacing w:line="240" w:lineRule="auto"/>
        <w:ind w:left="90"/>
        <w:rPr>
          <w:rFonts w:ascii="Times New Roman" w:eastAsia="SimSun" w:hAnsi="Times New Roman" w:cs="Times New Roman"/>
          <w:color w:val="000000"/>
          <w:sz w:val="20"/>
          <w:szCs w:val="20"/>
        </w:rPr>
      </w:pPr>
    </w:p>
    <w:p w:rsidR="00A147DF" w:rsidRPr="00E66D2C" w:rsidRDefault="00A147DF" w:rsidP="008C36F5">
      <w:pPr>
        <w:pStyle w:val="ListParagraph"/>
        <w:spacing w:line="240" w:lineRule="auto"/>
        <w:ind w:left="90"/>
        <w:rPr>
          <w:rFonts w:ascii="Times New Roman" w:hAnsi="Times New Roman" w:cs="Times New Roman"/>
          <w:b/>
          <w:szCs w:val="20"/>
        </w:rPr>
      </w:pPr>
      <w:r w:rsidRPr="00E66D2C">
        <w:rPr>
          <w:rFonts w:ascii="Times New Roman" w:hAnsi="Times New Roman" w:cs="Times New Roman"/>
          <w:b/>
          <w:szCs w:val="20"/>
        </w:rPr>
        <w:t>Nomenclature:</w:t>
      </w:r>
    </w:p>
    <w:tbl>
      <w:tblPr>
        <w:tblStyle w:val="LightShading"/>
        <w:tblW w:w="5000" w:type="pct"/>
        <w:tblLook w:val="0620" w:firstRow="1" w:lastRow="0" w:firstColumn="0" w:lastColumn="0" w:noHBand="1" w:noVBand="1"/>
      </w:tblPr>
      <w:tblGrid>
        <w:gridCol w:w="982"/>
        <w:gridCol w:w="3806"/>
        <w:gridCol w:w="1132"/>
        <w:gridCol w:w="3656"/>
      </w:tblGrid>
      <w:tr w:rsidR="00A147DF" w:rsidRPr="008C36F5" w:rsidTr="00B563F0">
        <w:trPr>
          <w:cnfStyle w:val="100000000000" w:firstRow="1" w:lastRow="0" w:firstColumn="0" w:lastColumn="0" w:oddVBand="0" w:evenVBand="0" w:oddHBand="0" w:evenHBand="0" w:firstRowFirstColumn="0" w:firstRowLastColumn="0" w:lastRowFirstColumn="0" w:lastRowLastColumn="0"/>
          <w:trHeight w:val="144"/>
        </w:trPr>
        <w:tc>
          <w:tcPr>
            <w:tcW w:w="513" w:type="pct"/>
          </w:tcPr>
          <w:p w:rsidR="00A147DF" w:rsidRPr="008C36F5" w:rsidRDefault="00A147DF" w:rsidP="008C36F5">
            <w:pPr>
              <w:spacing w:before="100" w:after="100"/>
              <w:rPr>
                <w:rFonts w:ascii="Times New Roman" w:eastAsia="SimSun" w:hAnsi="Times New Roman" w:cs="Times New Roman"/>
                <w:bCs w:val="0"/>
                <w:color w:val="000000"/>
                <w:sz w:val="20"/>
                <w:szCs w:val="20"/>
                <w:vertAlign w:val="subscript"/>
              </w:rPr>
            </w:pPr>
            <w:r w:rsidRPr="008C36F5">
              <w:rPr>
                <w:rFonts w:ascii="Times New Roman" w:eastAsia="SimSun" w:hAnsi="Times New Roman" w:cs="Times New Roman"/>
                <w:bCs w:val="0"/>
                <w:color w:val="000000"/>
                <w:sz w:val="20"/>
                <w:szCs w:val="20"/>
              </w:rPr>
              <w:t>H</w:t>
            </w:r>
            <w:r w:rsidRPr="008C36F5">
              <w:rPr>
                <w:rFonts w:ascii="Times New Roman" w:eastAsia="SimSun" w:hAnsi="Times New Roman" w:cs="Times New Roman"/>
                <w:bCs w:val="0"/>
                <w:color w:val="000000"/>
                <w:sz w:val="20"/>
                <w:szCs w:val="20"/>
                <w:vertAlign w:val="subscript"/>
              </w:rPr>
              <w:t>2</w:t>
            </w:r>
          </w:p>
        </w:tc>
        <w:tc>
          <w:tcPr>
            <w:tcW w:w="1987" w:type="pct"/>
          </w:tcPr>
          <w:p w:rsidR="00A147DF" w:rsidRPr="008C36F5" w:rsidRDefault="00A147DF" w:rsidP="008C36F5">
            <w:pPr>
              <w:spacing w:before="100" w:after="100"/>
              <w:rPr>
                <w:rFonts w:ascii="Times New Roman" w:eastAsia="SimSun" w:hAnsi="Times New Roman" w:cs="Times New Roman"/>
                <w:b w:val="0"/>
                <w:color w:val="000000"/>
                <w:sz w:val="20"/>
                <w:szCs w:val="20"/>
              </w:rPr>
            </w:pPr>
            <w:r w:rsidRPr="008C36F5">
              <w:rPr>
                <w:rFonts w:ascii="Times New Roman" w:eastAsia="SimSun" w:hAnsi="Times New Roman" w:cs="Times New Roman"/>
                <w:b w:val="0"/>
                <w:color w:val="000000"/>
                <w:sz w:val="20"/>
                <w:szCs w:val="20"/>
              </w:rPr>
              <w:t>Hydrogen</w:t>
            </w:r>
          </w:p>
        </w:tc>
        <w:tc>
          <w:tcPr>
            <w:tcW w:w="591"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B.G</w:t>
            </w:r>
          </w:p>
        </w:tc>
        <w:tc>
          <w:tcPr>
            <w:tcW w:w="1909" w:type="pct"/>
          </w:tcPr>
          <w:p w:rsidR="00A147DF" w:rsidRPr="008C36F5" w:rsidRDefault="00A147DF" w:rsidP="008C36F5">
            <w:pPr>
              <w:spacing w:before="100" w:after="100"/>
              <w:rPr>
                <w:rFonts w:ascii="Times New Roman" w:eastAsia="SimSun" w:hAnsi="Times New Roman" w:cs="Times New Roman"/>
                <w:b w:val="0"/>
                <w:color w:val="000000"/>
                <w:sz w:val="20"/>
                <w:szCs w:val="20"/>
              </w:rPr>
            </w:pPr>
            <w:r w:rsidRPr="008C36F5">
              <w:rPr>
                <w:rFonts w:ascii="Times New Roman" w:eastAsia="SimSun" w:hAnsi="Times New Roman" w:cs="Times New Roman"/>
                <w:b w:val="0"/>
                <w:color w:val="000000"/>
                <w:sz w:val="20"/>
                <w:szCs w:val="20"/>
              </w:rPr>
              <w:t>Brown Gas</w:t>
            </w:r>
          </w:p>
        </w:tc>
      </w:tr>
      <w:tr w:rsidR="00A147DF" w:rsidRPr="008C36F5" w:rsidTr="00B563F0">
        <w:trPr>
          <w:trHeight w:val="144"/>
        </w:trPr>
        <w:tc>
          <w:tcPr>
            <w:tcW w:w="513" w:type="pct"/>
          </w:tcPr>
          <w:p w:rsidR="00A147DF" w:rsidRPr="008C36F5" w:rsidRDefault="00A147DF" w:rsidP="008C36F5">
            <w:pPr>
              <w:spacing w:before="100" w:after="100"/>
              <w:rPr>
                <w:rFonts w:ascii="Times New Roman" w:eastAsia="SimSun" w:hAnsi="Times New Roman" w:cs="Times New Roman"/>
                <w:b/>
                <w:bCs/>
                <w:color w:val="000000"/>
                <w:sz w:val="20"/>
                <w:szCs w:val="20"/>
                <w:vertAlign w:val="subscript"/>
              </w:rPr>
            </w:pPr>
            <w:r w:rsidRPr="008C36F5">
              <w:rPr>
                <w:rFonts w:ascii="Times New Roman" w:eastAsia="SimSun" w:hAnsi="Times New Roman" w:cs="Times New Roman"/>
                <w:b/>
                <w:bCs/>
                <w:color w:val="000000"/>
                <w:sz w:val="20"/>
                <w:szCs w:val="20"/>
              </w:rPr>
              <w:t>NO</w:t>
            </w:r>
            <w:r w:rsidRPr="008C36F5">
              <w:rPr>
                <w:rFonts w:ascii="Times New Roman" w:eastAsia="SimSun" w:hAnsi="Times New Roman" w:cs="Times New Roman"/>
                <w:b/>
                <w:bCs/>
                <w:color w:val="000000"/>
                <w:sz w:val="20"/>
                <w:szCs w:val="20"/>
                <w:vertAlign w:val="subscript"/>
              </w:rPr>
              <w:t>x</w:t>
            </w:r>
          </w:p>
        </w:tc>
        <w:tc>
          <w:tcPr>
            <w:tcW w:w="1987"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Nitrogen Oxides</w:t>
            </w:r>
          </w:p>
        </w:tc>
        <w:tc>
          <w:tcPr>
            <w:tcW w:w="591" w:type="pct"/>
          </w:tcPr>
          <w:p w:rsidR="00A147DF" w:rsidRPr="008C36F5" w:rsidRDefault="00A147DF" w:rsidP="008C36F5">
            <w:pPr>
              <w:spacing w:before="100" w:after="100"/>
              <w:rPr>
                <w:rFonts w:ascii="Times New Roman" w:eastAsia="SimSun" w:hAnsi="Times New Roman" w:cs="Times New Roman"/>
                <w:b/>
                <w:color w:val="000000"/>
                <w:sz w:val="20"/>
                <w:szCs w:val="20"/>
              </w:rPr>
            </w:pPr>
            <w:r w:rsidRPr="008C36F5">
              <w:rPr>
                <w:rFonts w:ascii="Times New Roman" w:eastAsia="SimSun" w:hAnsi="Times New Roman" w:cs="Times New Roman"/>
                <w:b/>
                <w:color w:val="000000"/>
                <w:sz w:val="20"/>
                <w:szCs w:val="20"/>
              </w:rPr>
              <w:t>sfc</w:t>
            </w:r>
          </w:p>
        </w:tc>
        <w:tc>
          <w:tcPr>
            <w:tcW w:w="1909"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Specific fuel consumption</w:t>
            </w:r>
          </w:p>
        </w:tc>
      </w:tr>
      <w:tr w:rsidR="00A147DF" w:rsidRPr="008C36F5" w:rsidTr="00B563F0">
        <w:trPr>
          <w:trHeight w:val="144"/>
        </w:trPr>
        <w:tc>
          <w:tcPr>
            <w:tcW w:w="513" w:type="pct"/>
          </w:tcPr>
          <w:p w:rsidR="00A147DF" w:rsidRPr="008C36F5" w:rsidRDefault="00A147DF" w:rsidP="008C36F5">
            <w:pPr>
              <w:spacing w:before="100" w:after="100"/>
              <w:rPr>
                <w:rFonts w:ascii="Times New Roman" w:eastAsia="SimSun" w:hAnsi="Times New Roman" w:cs="Times New Roman"/>
                <w:b/>
                <w:bCs/>
                <w:color w:val="000000"/>
                <w:sz w:val="20"/>
                <w:szCs w:val="20"/>
              </w:rPr>
            </w:pPr>
            <w:r w:rsidRPr="008C36F5">
              <w:rPr>
                <w:rFonts w:ascii="Times New Roman" w:eastAsia="SimSun" w:hAnsi="Times New Roman" w:cs="Times New Roman"/>
                <w:b/>
                <w:bCs/>
                <w:color w:val="000000"/>
                <w:sz w:val="20"/>
                <w:szCs w:val="20"/>
              </w:rPr>
              <w:t>L.P.M</w:t>
            </w:r>
          </w:p>
        </w:tc>
        <w:tc>
          <w:tcPr>
            <w:tcW w:w="1987"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Litres per Minute</w:t>
            </w:r>
          </w:p>
        </w:tc>
        <w:tc>
          <w:tcPr>
            <w:tcW w:w="591" w:type="pct"/>
          </w:tcPr>
          <w:p w:rsidR="00A147DF" w:rsidRPr="008C36F5" w:rsidRDefault="00A147DF" w:rsidP="008C36F5">
            <w:pPr>
              <w:spacing w:before="100" w:after="100"/>
              <w:rPr>
                <w:rFonts w:ascii="Times New Roman" w:eastAsia="SimSun" w:hAnsi="Times New Roman" w:cs="Times New Roman"/>
                <w:b/>
                <w:color w:val="000000"/>
                <w:sz w:val="20"/>
                <w:szCs w:val="20"/>
              </w:rPr>
            </w:pPr>
            <w:r w:rsidRPr="008C36F5">
              <w:rPr>
                <w:rFonts w:ascii="Times New Roman" w:eastAsia="SimSun" w:hAnsi="Times New Roman" w:cs="Times New Roman"/>
                <w:b/>
                <w:color w:val="000000"/>
                <w:sz w:val="20"/>
                <w:szCs w:val="20"/>
              </w:rPr>
              <w:t>bsfc</w:t>
            </w:r>
          </w:p>
        </w:tc>
        <w:tc>
          <w:tcPr>
            <w:tcW w:w="1909"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Brake Specific fuel consumption</w:t>
            </w:r>
          </w:p>
        </w:tc>
      </w:tr>
      <w:tr w:rsidR="00A147DF" w:rsidRPr="008C36F5" w:rsidTr="00B563F0">
        <w:trPr>
          <w:trHeight w:val="144"/>
        </w:trPr>
        <w:tc>
          <w:tcPr>
            <w:tcW w:w="513" w:type="pct"/>
          </w:tcPr>
          <w:p w:rsidR="00A147DF" w:rsidRPr="008C36F5" w:rsidRDefault="00A147DF" w:rsidP="008C36F5">
            <w:pPr>
              <w:spacing w:before="100" w:after="100"/>
              <w:rPr>
                <w:rFonts w:ascii="Times New Roman" w:eastAsia="SimSun" w:hAnsi="Times New Roman" w:cs="Times New Roman"/>
                <w:b/>
                <w:bCs/>
                <w:color w:val="000000"/>
                <w:sz w:val="20"/>
                <w:szCs w:val="20"/>
                <w:vertAlign w:val="subscript"/>
              </w:rPr>
            </w:pPr>
            <w:r w:rsidRPr="008C36F5">
              <w:rPr>
                <w:rFonts w:ascii="Times New Roman" w:eastAsia="SimSun" w:hAnsi="Times New Roman" w:cs="Times New Roman"/>
                <w:b/>
                <w:bCs/>
                <w:color w:val="000000"/>
                <w:sz w:val="20"/>
                <w:szCs w:val="20"/>
              </w:rPr>
              <w:t>CO</w:t>
            </w:r>
            <w:r w:rsidRPr="008C36F5">
              <w:rPr>
                <w:rFonts w:ascii="Times New Roman" w:eastAsia="SimSun" w:hAnsi="Times New Roman" w:cs="Times New Roman"/>
                <w:b/>
                <w:bCs/>
                <w:color w:val="000000"/>
                <w:sz w:val="20"/>
                <w:szCs w:val="20"/>
                <w:vertAlign w:val="subscript"/>
              </w:rPr>
              <w:t>2</w:t>
            </w:r>
          </w:p>
        </w:tc>
        <w:tc>
          <w:tcPr>
            <w:tcW w:w="1987"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Carbon dioxide</w:t>
            </w:r>
          </w:p>
        </w:tc>
        <w:tc>
          <w:tcPr>
            <w:tcW w:w="591" w:type="pct"/>
          </w:tcPr>
          <w:p w:rsidR="00A147DF" w:rsidRPr="008C36F5" w:rsidRDefault="00A147DF" w:rsidP="008C36F5">
            <w:pPr>
              <w:spacing w:before="100" w:after="100"/>
              <w:rPr>
                <w:rFonts w:ascii="Times New Roman" w:eastAsia="SimSun" w:hAnsi="Times New Roman" w:cs="Times New Roman"/>
                <w:b/>
                <w:color w:val="000000"/>
                <w:sz w:val="20"/>
                <w:szCs w:val="20"/>
              </w:rPr>
            </w:pPr>
            <w:r w:rsidRPr="008C36F5">
              <w:rPr>
                <w:rFonts w:ascii="Times New Roman" w:eastAsia="SimSun" w:hAnsi="Times New Roman" w:cs="Times New Roman"/>
                <w:b/>
                <w:color w:val="000000"/>
                <w:sz w:val="20"/>
                <w:szCs w:val="20"/>
              </w:rPr>
              <w:t>isfc</w:t>
            </w:r>
          </w:p>
        </w:tc>
        <w:tc>
          <w:tcPr>
            <w:tcW w:w="1909" w:type="pct"/>
          </w:tcPr>
          <w:p w:rsidR="00A147DF" w:rsidRPr="008C36F5" w:rsidRDefault="0064770A" w:rsidP="008C36F5">
            <w:pPr>
              <w:spacing w:before="100" w:after="100"/>
              <w:jc w:val="left"/>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 xml:space="preserve">Indicated Specific </w:t>
            </w:r>
            <w:r w:rsidR="00A147DF" w:rsidRPr="008C36F5">
              <w:rPr>
                <w:rFonts w:ascii="Times New Roman" w:eastAsia="SimSun" w:hAnsi="Times New Roman" w:cs="Times New Roman"/>
                <w:color w:val="000000"/>
                <w:sz w:val="20"/>
                <w:szCs w:val="20"/>
              </w:rPr>
              <w:t>fuel consumption</w:t>
            </w:r>
          </w:p>
        </w:tc>
      </w:tr>
      <w:tr w:rsidR="00A147DF" w:rsidRPr="008C36F5" w:rsidTr="00B563F0">
        <w:trPr>
          <w:trHeight w:val="144"/>
        </w:trPr>
        <w:tc>
          <w:tcPr>
            <w:tcW w:w="513" w:type="pct"/>
          </w:tcPr>
          <w:p w:rsidR="00A147DF" w:rsidRPr="008C36F5" w:rsidRDefault="00A147DF" w:rsidP="008C36F5">
            <w:pPr>
              <w:spacing w:before="100" w:after="100"/>
              <w:rPr>
                <w:rFonts w:ascii="Times New Roman" w:eastAsia="SimSun" w:hAnsi="Times New Roman" w:cs="Times New Roman"/>
                <w:b/>
                <w:bCs/>
                <w:color w:val="000000"/>
                <w:sz w:val="20"/>
                <w:szCs w:val="20"/>
              </w:rPr>
            </w:pPr>
            <w:r w:rsidRPr="008C36F5">
              <w:rPr>
                <w:rFonts w:ascii="Times New Roman" w:eastAsia="SimSun" w:hAnsi="Times New Roman" w:cs="Times New Roman"/>
                <w:b/>
                <w:bCs/>
                <w:color w:val="000000"/>
                <w:sz w:val="20"/>
                <w:szCs w:val="20"/>
              </w:rPr>
              <w:t>HC</w:t>
            </w:r>
          </w:p>
        </w:tc>
        <w:tc>
          <w:tcPr>
            <w:tcW w:w="1987"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Hydrocarbon</w:t>
            </w:r>
          </w:p>
        </w:tc>
        <w:tc>
          <w:tcPr>
            <w:tcW w:w="591" w:type="pct"/>
          </w:tcPr>
          <w:p w:rsidR="00A147DF" w:rsidRPr="008C36F5" w:rsidRDefault="00A147DF" w:rsidP="008C36F5">
            <w:pPr>
              <w:spacing w:before="100" w:after="100"/>
              <w:rPr>
                <w:rFonts w:ascii="Times New Roman" w:eastAsia="SimSun" w:hAnsi="Times New Roman" w:cs="Times New Roman"/>
                <w:b/>
                <w:color w:val="000000"/>
                <w:sz w:val="20"/>
                <w:szCs w:val="20"/>
              </w:rPr>
            </w:pPr>
            <w:r w:rsidRPr="008C36F5">
              <w:rPr>
                <w:rFonts w:ascii="Times New Roman" w:eastAsia="SimSun" w:hAnsi="Times New Roman" w:cs="Times New Roman"/>
                <w:b/>
                <w:color w:val="000000"/>
                <w:sz w:val="20"/>
                <w:szCs w:val="20"/>
              </w:rPr>
              <w:t>I.P</w:t>
            </w:r>
          </w:p>
        </w:tc>
        <w:tc>
          <w:tcPr>
            <w:tcW w:w="1909"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Indicated Power</w:t>
            </w:r>
          </w:p>
        </w:tc>
      </w:tr>
      <w:tr w:rsidR="00A147DF" w:rsidRPr="008C36F5" w:rsidTr="00B563F0">
        <w:trPr>
          <w:trHeight w:val="144"/>
        </w:trPr>
        <w:tc>
          <w:tcPr>
            <w:tcW w:w="513" w:type="pct"/>
          </w:tcPr>
          <w:p w:rsidR="00A147DF" w:rsidRPr="008C36F5" w:rsidRDefault="00A147DF" w:rsidP="008C36F5">
            <w:pPr>
              <w:spacing w:before="100" w:after="100"/>
              <w:rPr>
                <w:rFonts w:ascii="Times New Roman" w:eastAsia="SimSun" w:hAnsi="Times New Roman" w:cs="Times New Roman"/>
                <w:b/>
                <w:bCs/>
                <w:color w:val="000000"/>
                <w:sz w:val="20"/>
                <w:szCs w:val="20"/>
              </w:rPr>
            </w:pPr>
            <w:r w:rsidRPr="008C36F5">
              <w:rPr>
                <w:rFonts w:ascii="Times New Roman" w:eastAsia="SimSun" w:hAnsi="Times New Roman" w:cs="Times New Roman"/>
                <w:b/>
                <w:bCs/>
                <w:color w:val="000000"/>
                <w:sz w:val="20"/>
                <w:szCs w:val="20"/>
              </w:rPr>
              <w:t>HHO</w:t>
            </w:r>
          </w:p>
        </w:tc>
        <w:tc>
          <w:tcPr>
            <w:tcW w:w="1987"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Oxyhydrogen</w:t>
            </w:r>
          </w:p>
        </w:tc>
        <w:tc>
          <w:tcPr>
            <w:tcW w:w="591" w:type="pct"/>
          </w:tcPr>
          <w:p w:rsidR="00A147DF" w:rsidRPr="008C36F5" w:rsidRDefault="00A147DF" w:rsidP="008C36F5">
            <w:pPr>
              <w:spacing w:before="100" w:after="100"/>
              <w:rPr>
                <w:rFonts w:ascii="Times New Roman" w:eastAsia="SimSun" w:hAnsi="Times New Roman" w:cs="Times New Roman"/>
                <w:b/>
                <w:color w:val="000000"/>
                <w:sz w:val="20"/>
                <w:szCs w:val="20"/>
              </w:rPr>
            </w:pPr>
            <w:r w:rsidRPr="008C36F5">
              <w:rPr>
                <w:rFonts w:ascii="Times New Roman" w:eastAsia="SimSun" w:hAnsi="Times New Roman" w:cs="Times New Roman"/>
                <w:b/>
                <w:color w:val="000000"/>
                <w:sz w:val="20"/>
                <w:szCs w:val="20"/>
              </w:rPr>
              <w:t>AWE</w:t>
            </w:r>
          </w:p>
        </w:tc>
        <w:tc>
          <w:tcPr>
            <w:tcW w:w="1909"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Alkaline Water Electrolysis</w:t>
            </w:r>
          </w:p>
        </w:tc>
      </w:tr>
      <w:tr w:rsidR="00A147DF" w:rsidRPr="008C36F5" w:rsidTr="00B563F0">
        <w:trPr>
          <w:trHeight w:val="144"/>
        </w:trPr>
        <w:tc>
          <w:tcPr>
            <w:tcW w:w="513" w:type="pct"/>
          </w:tcPr>
          <w:p w:rsidR="00A147DF" w:rsidRPr="008C36F5" w:rsidRDefault="00A147DF" w:rsidP="008C36F5">
            <w:pPr>
              <w:spacing w:before="100" w:after="100"/>
              <w:rPr>
                <w:rFonts w:ascii="Times New Roman" w:eastAsia="SimSun" w:hAnsi="Times New Roman" w:cs="Times New Roman"/>
                <w:b/>
                <w:bCs/>
                <w:color w:val="000000"/>
                <w:sz w:val="20"/>
                <w:szCs w:val="20"/>
              </w:rPr>
            </w:pPr>
            <w:r w:rsidRPr="008C36F5">
              <w:rPr>
                <w:rFonts w:ascii="Times New Roman" w:eastAsia="SimSun" w:hAnsi="Times New Roman" w:cs="Times New Roman"/>
                <w:b/>
                <w:bCs/>
                <w:color w:val="000000"/>
                <w:sz w:val="20"/>
                <w:szCs w:val="20"/>
              </w:rPr>
              <w:t>PM</w:t>
            </w:r>
          </w:p>
        </w:tc>
        <w:tc>
          <w:tcPr>
            <w:tcW w:w="1987"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Particulate Matter</w:t>
            </w:r>
          </w:p>
        </w:tc>
        <w:tc>
          <w:tcPr>
            <w:tcW w:w="591" w:type="pct"/>
          </w:tcPr>
          <w:p w:rsidR="00A147DF" w:rsidRPr="008C36F5" w:rsidRDefault="00A147DF" w:rsidP="008C36F5">
            <w:pPr>
              <w:spacing w:before="100" w:after="100"/>
              <w:rPr>
                <w:rFonts w:ascii="Times New Roman" w:eastAsia="SimSun" w:hAnsi="Times New Roman" w:cs="Times New Roman"/>
                <w:b/>
                <w:color w:val="000000"/>
                <w:sz w:val="20"/>
                <w:szCs w:val="20"/>
              </w:rPr>
            </w:pPr>
            <w:r w:rsidRPr="008C36F5">
              <w:rPr>
                <w:rFonts w:ascii="Times New Roman" w:eastAsia="SimSun" w:hAnsi="Times New Roman" w:cs="Times New Roman"/>
                <w:b/>
                <w:color w:val="000000"/>
                <w:sz w:val="20"/>
                <w:szCs w:val="20"/>
              </w:rPr>
              <w:t>B.P</w:t>
            </w:r>
          </w:p>
        </w:tc>
        <w:tc>
          <w:tcPr>
            <w:tcW w:w="1909"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Brake Power</w:t>
            </w:r>
          </w:p>
        </w:tc>
      </w:tr>
      <w:tr w:rsidR="00A147DF" w:rsidRPr="008C36F5" w:rsidTr="00B563F0">
        <w:trPr>
          <w:trHeight w:val="144"/>
        </w:trPr>
        <w:tc>
          <w:tcPr>
            <w:tcW w:w="513" w:type="pct"/>
          </w:tcPr>
          <w:p w:rsidR="00A147DF" w:rsidRPr="008C36F5" w:rsidRDefault="00A147DF" w:rsidP="008C36F5">
            <w:pPr>
              <w:spacing w:before="100" w:after="100"/>
              <w:rPr>
                <w:rFonts w:ascii="Times New Roman" w:eastAsia="SimSun" w:hAnsi="Times New Roman" w:cs="Times New Roman"/>
                <w:b/>
                <w:bCs/>
                <w:color w:val="000000"/>
                <w:sz w:val="20"/>
                <w:szCs w:val="20"/>
              </w:rPr>
            </w:pPr>
            <w:r w:rsidRPr="008C36F5">
              <w:rPr>
                <w:rFonts w:ascii="Times New Roman" w:eastAsia="SimSun" w:hAnsi="Times New Roman" w:cs="Times New Roman"/>
                <w:b/>
                <w:bCs/>
                <w:color w:val="000000"/>
                <w:sz w:val="20"/>
                <w:szCs w:val="20"/>
              </w:rPr>
              <w:t>NG</w:t>
            </w:r>
          </w:p>
        </w:tc>
        <w:tc>
          <w:tcPr>
            <w:tcW w:w="1987"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eastAsia="SimSun" w:hAnsi="Times New Roman" w:cs="Times New Roman"/>
                <w:color w:val="000000"/>
                <w:sz w:val="20"/>
                <w:szCs w:val="20"/>
              </w:rPr>
              <w:t>Natural Gas</w:t>
            </w:r>
          </w:p>
        </w:tc>
        <w:tc>
          <w:tcPr>
            <w:tcW w:w="591" w:type="pct"/>
          </w:tcPr>
          <w:p w:rsidR="00A147DF" w:rsidRPr="008C36F5" w:rsidRDefault="00A147DF" w:rsidP="008C36F5">
            <w:pPr>
              <w:spacing w:before="100" w:after="100"/>
              <w:rPr>
                <w:rFonts w:ascii="Times New Roman" w:eastAsia="SimSun" w:hAnsi="Times New Roman" w:cs="Times New Roman"/>
                <w:b/>
                <w:color w:val="000000"/>
                <w:sz w:val="20"/>
                <w:szCs w:val="20"/>
              </w:rPr>
            </w:pPr>
            <w:r w:rsidRPr="008C36F5">
              <w:rPr>
                <w:rFonts w:ascii="Times New Roman" w:hAnsi="Times New Roman" w:cs="Times New Roman"/>
                <w:b/>
                <w:color w:val="000000"/>
                <w:sz w:val="20"/>
                <w:szCs w:val="20"/>
              </w:rPr>
              <w:t>LPG</w:t>
            </w:r>
          </w:p>
        </w:tc>
        <w:tc>
          <w:tcPr>
            <w:tcW w:w="1909"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hAnsi="Times New Roman" w:cs="Times New Roman"/>
                <w:color w:val="000000"/>
                <w:sz w:val="20"/>
                <w:szCs w:val="20"/>
              </w:rPr>
              <w:t>Liquefied Petroleum Gas</w:t>
            </w:r>
          </w:p>
        </w:tc>
      </w:tr>
      <w:tr w:rsidR="00A147DF" w:rsidRPr="008C36F5" w:rsidTr="00B563F0">
        <w:trPr>
          <w:trHeight w:val="144"/>
        </w:trPr>
        <w:tc>
          <w:tcPr>
            <w:tcW w:w="513" w:type="pct"/>
          </w:tcPr>
          <w:p w:rsidR="00A147DF" w:rsidRPr="008C36F5" w:rsidRDefault="00A147DF" w:rsidP="008C36F5">
            <w:pPr>
              <w:spacing w:before="100" w:after="100"/>
              <w:rPr>
                <w:rFonts w:ascii="Times New Roman" w:eastAsia="SimSun" w:hAnsi="Times New Roman" w:cs="Times New Roman"/>
                <w:b/>
                <w:bCs/>
                <w:color w:val="000000"/>
                <w:sz w:val="20"/>
                <w:szCs w:val="20"/>
              </w:rPr>
            </w:pPr>
            <w:r w:rsidRPr="008C36F5">
              <w:rPr>
                <w:rFonts w:ascii="Times New Roman" w:eastAsia="SimSun" w:hAnsi="Times New Roman" w:cs="Times New Roman"/>
                <w:b/>
                <w:bCs/>
                <w:color w:val="000000"/>
                <w:sz w:val="20"/>
                <w:szCs w:val="20"/>
              </w:rPr>
              <w:lastRenderedPageBreak/>
              <w:t>CNG</w:t>
            </w:r>
          </w:p>
        </w:tc>
        <w:tc>
          <w:tcPr>
            <w:tcW w:w="1987" w:type="pct"/>
          </w:tcPr>
          <w:p w:rsidR="00A147DF" w:rsidRPr="008C36F5" w:rsidRDefault="00A147DF" w:rsidP="008C36F5">
            <w:pPr>
              <w:spacing w:before="100" w:after="100"/>
              <w:rPr>
                <w:rFonts w:ascii="Times New Roman" w:eastAsia="SimSun" w:hAnsi="Times New Roman" w:cs="Times New Roman"/>
                <w:color w:val="000000"/>
                <w:sz w:val="20"/>
                <w:szCs w:val="20"/>
              </w:rPr>
            </w:pPr>
            <w:r w:rsidRPr="008C36F5">
              <w:rPr>
                <w:rFonts w:ascii="Times New Roman" w:hAnsi="Times New Roman" w:cs="Times New Roman"/>
                <w:color w:val="000000"/>
                <w:sz w:val="20"/>
                <w:szCs w:val="20"/>
              </w:rPr>
              <w:t>Compressed Natural Gas</w:t>
            </w:r>
          </w:p>
        </w:tc>
        <w:tc>
          <w:tcPr>
            <w:tcW w:w="591" w:type="pct"/>
          </w:tcPr>
          <w:p w:rsidR="00A147DF" w:rsidRPr="008C36F5" w:rsidRDefault="00A147DF" w:rsidP="008C36F5">
            <w:pPr>
              <w:spacing w:before="100" w:after="100"/>
              <w:rPr>
                <w:rFonts w:ascii="Times New Roman" w:hAnsi="Times New Roman" w:cs="Times New Roman"/>
                <w:b/>
                <w:color w:val="000000"/>
                <w:sz w:val="20"/>
                <w:szCs w:val="20"/>
              </w:rPr>
            </w:pPr>
            <w:r w:rsidRPr="008C36F5">
              <w:rPr>
                <w:rFonts w:ascii="Times New Roman" w:hAnsi="Times New Roman" w:cs="Times New Roman"/>
                <w:b/>
                <w:color w:val="000000"/>
                <w:sz w:val="20"/>
                <w:szCs w:val="20"/>
              </w:rPr>
              <w:t>CO</w:t>
            </w:r>
          </w:p>
        </w:tc>
        <w:tc>
          <w:tcPr>
            <w:tcW w:w="1909" w:type="pct"/>
          </w:tcPr>
          <w:p w:rsidR="00A147DF" w:rsidRPr="008C36F5" w:rsidRDefault="00A147DF" w:rsidP="008C36F5">
            <w:pPr>
              <w:spacing w:before="100" w:after="100"/>
              <w:rPr>
                <w:rFonts w:ascii="Times New Roman" w:hAnsi="Times New Roman" w:cs="Times New Roman"/>
                <w:color w:val="000000"/>
                <w:sz w:val="20"/>
                <w:szCs w:val="20"/>
              </w:rPr>
            </w:pPr>
            <w:r w:rsidRPr="008C36F5">
              <w:rPr>
                <w:rFonts w:ascii="Times New Roman" w:hAnsi="Times New Roman" w:cs="Times New Roman"/>
                <w:color w:val="000000"/>
                <w:sz w:val="20"/>
                <w:szCs w:val="20"/>
              </w:rPr>
              <w:t>Carbon Monoxide</w:t>
            </w:r>
          </w:p>
        </w:tc>
      </w:tr>
      <w:tr w:rsidR="00A147DF" w:rsidRPr="008C36F5" w:rsidTr="00B563F0">
        <w:trPr>
          <w:trHeight w:val="144"/>
        </w:trPr>
        <w:tc>
          <w:tcPr>
            <w:tcW w:w="513" w:type="pct"/>
          </w:tcPr>
          <w:p w:rsidR="00A147DF" w:rsidRPr="008C36F5" w:rsidRDefault="00A147DF" w:rsidP="008C36F5">
            <w:pPr>
              <w:spacing w:before="100" w:after="100"/>
              <w:rPr>
                <w:rFonts w:ascii="Times New Roman" w:eastAsia="SimSun" w:hAnsi="Times New Roman" w:cs="Times New Roman"/>
                <w:b/>
                <w:bCs/>
                <w:color w:val="000000"/>
                <w:sz w:val="20"/>
                <w:szCs w:val="20"/>
              </w:rPr>
            </w:pPr>
            <w:r w:rsidRPr="008C36F5">
              <w:rPr>
                <w:rFonts w:ascii="Times New Roman" w:eastAsia="SimSun" w:hAnsi="Times New Roman" w:cs="Times New Roman"/>
                <w:b/>
                <w:bCs/>
                <w:color w:val="000000"/>
                <w:sz w:val="20"/>
                <w:szCs w:val="20"/>
              </w:rPr>
              <w:t>B.T.E</w:t>
            </w:r>
          </w:p>
        </w:tc>
        <w:tc>
          <w:tcPr>
            <w:tcW w:w="1987" w:type="pct"/>
          </w:tcPr>
          <w:p w:rsidR="00A147DF" w:rsidRPr="008C36F5" w:rsidRDefault="00A147DF" w:rsidP="008C36F5">
            <w:pPr>
              <w:spacing w:before="100" w:after="100"/>
              <w:rPr>
                <w:rFonts w:ascii="Times New Roman" w:hAnsi="Times New Roman" w:cs="Times New Roman"/>
                <w:color w:val="000000"/>
                <w:sz w:val="20"/>
                <w:szCs w:val="20"/>
              </w:rPr>
            </w:pPr>
            <w:r w:rsidRPr="008C36F5">
              <w:rPr>
                <w:rFonts w:ascii="Times New Roman" w:hAnsi="Times New Roman" w:cs="Times New Roman"/>
                <w:color w:val="000000"/>
                <w:sz w:val="20"/>
                <w:szCs w:val="20"/>
              </w:rPr>
              <w:t>Brake Thermal Efficiency</w:t>
            </w:r>
          </w:p>
        </w:tc>
        <w:tc>
          <w:tcPr>
            <w:tcW w:w="591" w:type="pct"/>
          </w:tcPr>
          <w:p w:rsidR="00A147DF" w:rsidRPr="008C36F5" w:rsidRDefault="00A147DF" w:rsidP="008C36F5">
            <w:pPr>
              <w:spacing w:before="100" w:after="100"/>
              <w:rPr>
                <w:rFonts w:ascii="Times New Roman" w:hAnsi="Times New Roman" w:cs="Times New Roman"/>
                <w:b/>
                <w:color w:val="000000"/>
                <w:sz w:val="20"/>
                <w:szCs w:val="20"/>
              </w:rPr>
            </w:pPr>
            <w:r w:rsidRPr="008C36F5">
              <w:rPr>
                <w:rFonts w:ascii="Times New Roman" w:hAnsi="Times New Roman" w:cs="Times New Roman"/>
                <w:b/>
                <w:color w:val="000000"/>
                <w:sz w:val="20"/>
                <w:szCs w:val="20"/>
              </w:rPr>
              <w:t>I.T.E</w:t>
            </w:r>
          </w:p>
        </w:tc>
        <w:tc>
          <w:tcPr>
            <w:tcW w:w="1909" w:type="pct"/>
          </w:tcPr>
          <w:p w:rsidR="00A147DF" w:rsidRPr="008C36F5" w:rsidRDefault="00A147DF" w:rsidP="008C36F5">
            <w:pPr>
              <w:spacing w:before="100" w:after="100"/>
              <w:rPr>
                <w:rFonts w:ascii="Times New Roman" w:hAnsi="Times New Roman" w:cs="Times New Roman"/>
                <w:color w:val="000000"/>
                <w:sz w:val="20"/>
                <w:szCs w:val="20"/>
              </w:rPr>
            </w:pPr>
            <w:r w:rsidRPr="008C36F5">
              <w:rPr>
                <w:rFonts w:ascii="Times New Roman" w:hAnsi="Times New Roman" w:cs="Times New Roman"/>
                <w:color w:val="000000"/>
                <w:sz w:val="20"/>
                <w:szCs w:val="20"/>
              </w:rPr>
              <w:t>Indicated Thermal Efficiency</w:t>
            </w:r>
          </w:p>
        </w:tc>
      </w:tr>
      <w:tr w:rsidR="00A147DF" w:rsidRPr="008C36F5" w:rsidTr="00B563F0">
        <w:trPr>
          <w:trHeight w:val="144"/>
        </w:trPr>
        <w:tc>
          <w:tcPr>
            <w:tcW w:w="513" w:type="pct"/>
          </w:tcPr>
          <w:p w:rsidR="00A147DF" w:rsidRPr="008C36F5" w:rsidRDefault="00A147DF" w:rsidP="008C36F5">
            <w:pPr>
              <w:spacing w:before="100" w:after="100"/>
              <w:rPr>
                <w:rFonts w:ascii="Times New Roman" w:eastAsia="SimSun" w:hAnsi="Times New Roman" w:cs="Times New Roman"/>
                <w:b/>
                <w:bCs/>
                <w:color w:val="000000"/>
                <w:sz w:val="20"/>
                <w:szCs w:val="20"/>
              </w:rPr>
            </w:pPr>
            <w:r w:rsidRPr="008C36F5">
              <w:rPr>
                <w:rFonts w:ascii="Times New Roman" w:eastAsia="SimSun" w:hAnsi="Times New Roman" w:cs="Times New Roman"/>
                <w:b/>
                <w:bCs/>
                <w:color w:val="000000"/>
                <w:sz w:val="20"/>
                <w:szCs w:val="20"/>
              </w:rPr>
              <w:t>PEM</w:t>
            </w:r>
          </w:p>
        </w:tc>
        <w:tc>
          <w:tcPr>
            <w:tcW w:w="1987" w:type="pct"/>
          </w:tcPr>
          <w:p w:rsidR="00A147DF" w:rsidRPr="008C36F5" w:rsidRDefault="00A147DF" w:rsidP="008C36F5">
            <w:pPr>
              <w:spacing w:before="100" w:after="100"/>
              <w:rPr>
                <w:rFonts w:ascii="Times New Roman" w:hAnsi="Times New Roman" w:cs="Times New Roman"/>
                <w:color w:val="000000"/>
                <w:sz w:val="20"/>
                <w:szCs w:val="20"/>
              </w:rPr>
            </w:pPr>
            <w:r w:rsidRPr="008C36F5">
              <w:rPr>
                <w:rFonts w:ascii="Times New Roman" w:hAnsi="Times New Roman" w:cs="Times New Roman"/>
                <w:color w:val="000000"/>
                <w:sz w:val="20"/>
                <w:szCs w:val="20"/>
              </w:rPr>
              <w:t>Proton Exchange Membrane</w:t>
            </w:r>
          </w:p>
        </w:tc>
        <w:tc>
          <w:tcPr>
            <w:tcW w:w="591" w:type="pct"/>
          </w:tcPr>
          <w:p w:rsidR="00A147DF" w:rsidRPr="008C36F5" w:rsidRDefault="00A147DF" w:rsidP="008C36F5">
            <w:pPr>
              <w:spacing w:before="100" w:after="100"/>
              <w:rPr>
                <w:rFonts w:ascii="Times New Roman" w:hAnsi="Times New Roman" w:cs="Times New Roman"/>
                <w:b/>
                <w:color w:val="000000"/>
                <w:sz w:val="20"/>
                <w:szCs w:val="20"/>
              </w:rPr>
            </w:pPr>
            <w:r w:rsidRPr="008C36F5">
              <w:rPr>
                <w:rFonts w:ascii="Times New Roman" w:hAnsi="Times New Roman" w:cs="Times New Roman"/>
                <w:b/>
                <w:color w:val="000000"/>
                <w:sz w:val="20"/>
                <w:szCs w:val="20"/>
              </w:rPr>
              <w:t>AEM</w:t>
            </w:r>
          </w:p>
        </w:tc>
        <w:tc>
          <w:tcPr>
            <w:tcW w:w="1909" w:type="pct"/>
          </w:tcPr>
          <w:p w:rsidR="00A147DF" w:rsidRPr="008C36F5" w:rsidRDefault="00A147DF" w:rsidP="008C36F5">
            <w:pPr>
              <w:spacing w:before="100" w:after="100"/>
              <w:rPr>
                <w:rFonts w:ascii="Times New Roman" w:hAnsi="Times New Roman" w:cs="Times New Roman"/>
                <w:color w:val="000000"/>
                <w:sz w:val="20"/>
                <w:szCs w:val="20"/>
              </w:rPr>
            </w:pPr>
            <w:r w:rsidRPr="008C36F5">
              <w:rPr>
                <w:rFonts w:ascii="Times New Roman" w:hAnsi="Times New Roman" w:cs="Times New Roman"/>
                <w:color w:val="000000"/>
                <w:sz w:val="20"/>
                <w:szCs w:val="20"/>
              </w:rPr>
              <w:t>Anion Exchange  Membrane</w:t>
            </w:r>
          </w:p>
        </w:tc>
      </w:tr>
      <w:tr w:rsidR="00A147DF" w:rsidRPr="008C36F5" w:rsidTr="00B563F0">
        <w:trPr>
          <w:trHeight w:val="144"/>
        </w:trPr>
        <w:tc>
          <w:tcPr>
            <w:tcW w:w="513" w:type="pct"/>
          </w:tcPr>
          <w:p w:rsidR="00A147DF" w:rsidRPr="008C36F5" w:rsidRDefault="00A147DF" w:rsidP="008C36F5">
            <w:pPr>
              <w:spacing w:before="100" w:after="100"/>
              <w:rPr>
                <w:rFonts w:ascii="Times New Roman" w:hAnsi="Times New Roman" w:cs="Times New Roman"/>
                <w:b/>
                <w:color w:val="202122"/>
                <w:sz w:val="20"/>
                <w:szCs w:val="20"/>
                <w:shd w:val="clear" w:color="auto" w:fill="FFFFFF"/>
              </w:rPr>
            </w:pPr>
            <w:r w:rsidRPr="008C36F5">
              <w:rPr>
                <w:rFonts w:ascii="Times New Roman" w:hAnsi="Times New Roman" w:cs="Times New Roman"/>
                <w:b/>
                <w:sz w:val="20"/>
                <w:szCs w:val="20"/>
              </w:rPr>
              <w:t>MABE</w:t>
            </w:r>
          </w:p>
        </w:tc>
        <w:tc>
          <w:tcPr>
            <w:tcW w:w="1987" w:type="pct"/>
          </w:tcPr>
          <w:p w:rsidR="00A147DF" w:rsidRPr="008C36F5" w:rsidRDefault="00A147DF" w:rsidP="008C36F5">
            <w:pPr>
              <w:spacing w:before="100" w:after="100"/>
              <w:rPr>
                <w:rFonts w:ascii="Times New Roman" w:hAnsi="Times New Roman" w:cs="Times New Roman"/>
                <w:color w:val="000000"/>
                <w:sz w:val="20"/>
                <w:szCs w:val="20"/>
              </w:rPr>
            </w:pPr>
            <w:r w:rsidRPr="008C36F5">
              <w:rPr>
                <w:rFonts w:ascii="Times New Roman" w:hAnsi="Times New Roman" w:cs="Times New Roman"/>
                <w:color w:val="000000"/>
                <w:sz w:val="20"/>
                <w:szCs w:val="20"/>
              </w:rPr>
              <w:t>Mean absolute bias error</w:t>
            </w:r>
          </w:p>
        </w:tc>
        <w:tc>
          <w:tcPr>
            <w:tcW w:w="591" w:type="pct"/>
          </w:tcPr>
          <w:p w:rsidR="00A147DF" w:rsidRPr="008C36F5" w:rsidRDefault="00A147DF" w:rsidP="008C36F5">
            <w:pPr>
              <w:spacing w:before="100" w:after="100"/>
              <w:rPr>
                <w:rFonts w:ascii="Times New Roman" w:hAnsi="Times New Roman" w:cs="Times New Roman"/>
                <w:b/>
                <w:color w:val="202122"/>
                <w:sz w:val="20"/>
                <w:szCs w:val="20"/>
                <w:shd w:val="clear" w:color="auto" w:fill="FFFFFF"/>
              </w:rPr>
            </w:pPr>
            <w:r w:rsidRPr="008C36F5">
              <w:rPr>
                <w:rFonts w:ascii="Times New Roman" w:hAnsi="Times New Roman" w:cs="Times New Roman"/>
                <w:b/>
                <w:sz w:val="20"/>
                <w:szCs w:val="20"/>
              </w:rPr>
              <w:t>MBE</w:t>
            </w:r>
          </w:p>
        </w:tc>
        <w:tc>
          <w:tcPr>
            <w:tcW w:w="1909" w:type="pct"/>
          </w:tcPr>
          <w:p w:rsidR="00A147DF" w:rsidRPr="008C36F5" w:rsidRDefault="00A147DF" w:rsidP="008C36F5">
            <w:pPr>
              <w:spacing w:before="100" w:after="100"/>
              <w:rPr>
                <w:rFonts w:ascii="Times New Roman" w:hAnsi="Times New Roman" w:cs="Times New Roman"/>
                <w:color w:val="000000"/>
                <w:sz w:val="20"/>
                <w:szCs w:val="20"/>
              </w:rPr>
            </w:pPr>
            <w:r w:rsidRPr="008C36F5">
              <w:rPr>
                <w:rFonts w:ascii="Times New Roman" w:hAnsi="Times New Roman" w:cs="Times New Roman"/>
                <w:color w:val="000000"/>
                <w:sz w:val="20"/>
                <w:szCs w:val="20"/>
              </w:rPr>
              <w:t>Mean bias error</w:t>
            </w:r>
          </w:p>
        </w:tc>
      </w:tr>
      <w:tr w:rsidR="00A147DF" w:rsidRPr="008C36F5" w:rsidTr="00B563F0">
        <w:trPr>
          <w:trHeight w:val="144"/>
        </w:trPr>
        <w:tc>
          <w:tcPr>
            <w:tcW w:w="513" w:type="pct"/>
          </w:tcPr>
          <w:p w:rsidR="00A147DF" w:rsidRPr="008C36F5" w:rsidRDefault="00A147DF" w:rsidP="008C36F5">
            <w:pPr>
              <w:spacing w:before="100" w:after="100"/>
              <w:rPr>
                <w:rFonts w:ascii="Times New Roman" w:eastAsia="SimSun" w:hAnsi="Times New Roman" w:cs="Times New Roman"/>
                <w:b/>
                <w:bCs/>
                <w:color w:val="000000"/>
                <w:sz w:val="20"/>
                <w:szCs w:val="20"/>
              </w:rPr>
            </w:pPr>
            <w:r w:rsidRPr="008C36F5">
              <w:rPr>
                <w:rFonts w:ascii="Times New Roman" w:hAnsi="Times New Roman" w:cs="Times New Roman"/>
                <w:b/>
                <w:color w:val="202122"/>
                <w:sz w:val="20"/>
                <w:szCs w:val="20"/>
                <w:shd w:val="clear" w:color="auto" w:fill="FFFFFF"/>
              </w:rPr>
              <w:t>SOEC</w:t>
            </w:r>
          </w:p>
        </w:tc>
        <w:tc>
          <w:tcPr>
            <w:tcW w:w="1987" w:type="pct"/>
          </w:tcPr>
          <w:p w:rsidR="00A147DF" w:rsidRPr="008C36F5" w:rsidRDefault="00A147DF" w:rsidP="008C36F5">
            <w:pPr>
              <w:spacing w:before="100" w:after="100"/>
              <w:rPr>
                <w:rFonts w:ascii="Times New Roman" w:hAnsi="Times New Roman" w:cs="Times New Roman"/>
                <w:color w:val="000000"/>
                <w:sz w:val="20"/>
                <w:szCs w:val="20"/>
              </w:rPr>
            </w:pPr>
            <w:r w:rsidRPr="008C36F5">
              <w:rPr>
                <w:rFonts w:ascii="Times New Roman" w:hAnsi="Times New Roman" w:cs="Times New Roman"/>
                <w:bCs/>
                <w:color w:val="202122"/>
                <w:sz w:val="20"/>
                <w:szCs w:val="20"/>
                <w:shd w:val="clear" w:color="auto" w:fill="FFFFFF"/>
              </w:rPr>
              <w:t>Solid oxide electrolyzer  cell</w:t>
            </w:r>
          </w:p>
        </w:tc>
        <w:tc>
          <w:tcPr>
            <w:tcW w:w="591" w:type="pct"/>
          </w:tcPr>
          <w:p w:rsidR="00A147DF" w:rsidRPr="008C36F5" w:rsidRDefault="00A147DF" w:rsidP="008C36F5">
            <w:pPr>
              <w:spacing w:before="100" w:after="100"/>
              <w:rPr>
                <w:rFonts w:ascii="Times New Roman" w:hAnsi="Times New Roman" w:cs="Times New Roman"/>
                <w:b/>
                <w:color w:val="000000"/>
                <w:sz w:val="20"/>
                <w:szCs w:val="20"/>
              </w:rPr>
            </w:pPr>
            <w:r w:rsidRPr="008C36F5">
              <w:rPr>
                <w:rFonts w:ascii="Times New Roman" w:hAnsi="Times New Roman" w:cs="Times New Roman"/>
                <w:b/>
                <w:color w:val="000000"/>
                <w:sz w:val="20"/>
                <w:szCs w:val="20"/>
              </w:rPr>
              <w:t>MEC</w:t>
            </w:r>
          </w:p>
        </w:tc>
        <w:tc>
          <w:tcPr>
            <w:tcW w:w="1909" w:type="pct"/>
          </w:tcPr>
          <w:p w:rsidR="00A147DF" w:rsidRPr="008C36F5" w:rsidRDefault="00A147DF" w:rsidP="008C36F5">
            <w:pPr>
              <w:spacing w:before="100" w:after="100"/>
              <w:rPr>
                <w:rFonts w:ascii="Times New Roman" w:hAnsi="Times New Roman" w:cs="Times New Roman"/>
                <w:color w:val="000000"/>
                <w:sz w:val="20"/>
                <w:szCs w:val="20"/>
              </w:rPr>
            </w:pPr>
            <w:r w:rsidRPr="008C36F5">
              <w:rPr>
                <w:rFonts w:ascii="Times New Roman" w:hAnsi="Times New Roman" w:cs="Times New Roman"/>
                <w:color w:val="202122"/>
                <w:sz w:val="20"/>
                <w:szCs w:val="20"/>
                <w:shd w:val="clear" w:color="auto" w:fill="FFFFFF"/>
              </w:rPr>
              <w:t>Microbial electrolysis cells</w:t>
            </w:r>
          </w:p>
        </w:tc>
      </w:tr>
      <w:tr w:rsidR="00A147DF" w:rsidRPr="008C36F5" w:rsidTr="00B563F0">
        <w:trPr>
          <w:trHeight w:val="144"/>
        </w:trPr>
        <w:tc>
          <w:tcPr>
            <w:tcW w:w="513" w:type="pct"/>
          </w:tcPr>
          <w:p w:rsidR="00A147DF" w:rsidRPr="008C36F5" w:rsidRDefault="00A147DF" w:rsidP="008C36F5">
            <w:pPr>
              <w:tabs>
                <w:tab w:val="center" w:pos="754"/>
              </w:tabs>
              <w:spacing w:before="100" w:after="100"/>
              <w:rPr>
                <w:rFonts w:ascii="Times New Roman" w:hAnsi="Times New Roman" w:cs="Times New Roman"/>
                <w:b/>
                <w:color w:val="202122"/>
                <w:sz w:val="20"/>
                <w:szCs w:val="20"/>
                <w:shd w:val="clear" w:color="auto" w:fill="FFFFFF"/>
              </w:rPr>
            </w:pPr>
            <w:r w:rsidRPr="008C36F5">
              <w:rPr>
                <w:rFonts w:ascii="Times New Roman" w:hAnsi="Times New Roman" w:cs="Times New Roman"/>
                <w:b/>
                <w:sz w:val="20"/>
                <w:szCs w:val="20"/>
                <w:lang w:val="en-IN"/>
              </w:rPr>
              <w:t>RHFC</w:t>
            </w:r>
          </w:p>
        </w:tc>
        <w:tc>
          <w:tcPr>
            <w:tcW w:w="1987" w:type="pct"/>
          </w:tcPr>
          <w:p w:rsidR="00A147DF" w:rsidRPr="008C36F5" w:rsidRDefault="00A147DF" w:rsidP="008C36F5">
            <w:pPr>
              <w:spacing w:before="100" w:after="100"/>
              <w:rPr>
                <w:rFonts w:ascii="Times New Roman" w:hAnsi="Times New Roman" w:cs="Times New Roman"/>
                <w:color w:val="202122"/>
                <w:sz w:val="20"/>
                <w:szCs w:val="20"/>
                <w:shd w:val="clear" w:color="auto" w:fill="FFFFFF"/>
              </w:rPr>
            </w:pPr>
            <w:r w:rsidRPr="008C36F5">
              <w:rPr>
                <w:rFonts w:ascii="Times New Roman" w:hAnsi="Times New Roman" w:cs="Times New Roman"/>
                <w:color w:val="000000"/>
                <w:sz w:val="20"/>
                <w:szCs w:val="20"/>
              </w:rPr>
              <w:t>Regenerative hydrogen fuel cell</w:t>
            </w:r>
          </w:p>
        </w:tc>
        <w:tc>
          <w:tcPr>
            <w:tcW w:w="591" w:type="pct"/>
          </w:tcPr>
          <w:p w:rsidR="00A147DF" w:rsidRPr="008C36F5" w:rsidRDefault="00A147DF" w:rsidP="008C36F5">
            <w:pPr>
              <w:spacing w:before="100" w:after="100"/>
              <w:rPr>
                <w:rFonts w:ascii="Times New Roman" w:hAnsi="Times New Roman" w:cs="Times New Roman"/>
                <w:b/>
                <w:color w:val="000000"/>
                <w:sz w:val="20"/>
                <w:szCs w:val="20"/>
              </w:rPr>
            </w:pPr>
            <w:r w:rsidRPr="008C36F5">
              <w:rPr>
                <w:rFonts w:ascii="Times New Roman" w:hAnsi="Times New Roman" w:cs="Times New Roman"/>
                <w:b/>
                <w:sz w:val="20"/>
                <w:szCs w:val="20"/>
                <w:lang w:val="en-IN"/>
              </w:rPr>
              <w:t>ESOI</w:t>
            </w:r>
          </w:p>
        </w:tc>
        <w:tc>
          <w:tcPr>
            <w:tcW w:w="1909" w:type="pct"/>
          </w:tcPr>
          <w:p w:rsidR="00A147DF" w:rsidRPr="008C36F5" w:rsidRDefault="00A147DF" w:rsidP="008C36F5">
            <w:pPr>
              <w:spacing w:before="100" w:after="100"/>
              <w:rPr>
                <w:rFonts w:ascii="Times New Roman" w:hAnsi="Times New Roman" w:cs="Times New Roman"/>
                <w:color w:val="202122"/>
                <w:sz w:val="20"/>
                <w:szCs w:val="20"/>
                <w:shd w:val="clear" w:color="auto" w:fill="FFFFFF"/>
              </w:rPr>
            </w:pPr>
            <w:r w:rsidRPr="008C36F5">
              <w:rPr>
                <w:rFonts w:ascii="Times New Roman" w:hAnsi="Times New Roman" w:cs="Times New Roman"/>
                <w:color w:val="000000"/>
                <w:sz w:val="20"/>
                <w:szCs w:val="20"/>
              </w:rPr>
              <w:t>Energy stored on invested</w:t>
            </w:r>
          </w:p>
        </w:tc>
      </w:tr>
      <w:tr w:rsidR="00A147DF" w:rsidRPr="008C36F5" w:rsidTr="00B563F0">
        <w:trPr>
          <w:trHeight w:val="144"/>
        </w:trPr>
        <w:tc>
          <w:tcPr>
            <w:tcW w:w="513" w:type="pct"/>
          </w:tcPr>
          <w:p w:rsidR="00A147DF" w:rsidRPr="008C36F5" w:rsidRDefault="00A147DF" w:rsidP="008C36F5">
            <w:pPr>
              <w:tabs>
                <w:tab w:val="center" w:pos="754"/>
              </w:tabs>
              <w:spacing w:before="100" w:after="100"/>
              <w:rPr>
                <w:rFonts w:ascii="Times New Roman" w:hAnsi="Times New Roman" w:cs="Times New Roman"/>
                <w:b/>
                <w:color w:val="202122"/>
                <w:sz w:val="20"/>
                <w:szCs w:val="20"/>
                <w:shd w:val="clear" w:color="auto" w:fill="FFFFFF"/>
              </w:rPr>
            </w:pPr>
            <w:r w:rsidRPr="008C36F5">
              <w:rPr>
                <w:rFonts w:ascii="Times New Roman" w:hAnsi="Times New Roman" w:cs="Times New Roman"/>
                <w:b/>
                <w:sz w:val="20"/>
                <w:szCs w:val="20"/>
              </w:rPr>
              <w:t>CSP</w:t>
            </w:r>
          </w:p>
        </w:tc>
        <w:tc>
          <w:tcPr>
            <w:tcW w:w="1987" w:type="pct"/>
          </w:tcPr>
          <w:p w:rsidR="00A147DF" w:rsidRPr="008C36F5" w:rsidRDefault="00A147DF" w:rsidP="008C36F5">
            <w:pPr>
              <w:spacing w:before="100" w:after="100"/>
              <w:rPr>
                <w:rFonts w:ascii="Times New Roman" w:hAnsi="Times New Roman" w:cs="Times New Roman"/>
                <w:bCs/>
                <w:color w:val="202122"/>
                <w:sz w:val="20"/>
                <w:szCs w:val="20"/>
                <w:shd w:val="clear" w:color="auto" w:fill="FFFFFF"/>
              </w:rPr>
            </w:pPr>
            <w:r w:rsidRPr="008C36F5">
              <w:rPr>
                <w:rFonts w:ascii="Times New Roman" w:hAnsi="Times New Roman" w:cs="Times New Roman"/>
                <w:color w:val="000000"/>
                <w:sz w:val="20"/>
                <w:szCs w:val="20"/>
              </w:rPr>
              <w:t>Concentrated Solar Power</w:t>
            </w:r>
          </w:p>
        </w:tc>
        <w:tc>
          <w:tcPr>
            <w:tcW w:w="591" w:type="pct"/>
          </w:tcPr>
          <w:p w:rsidR="00A147DF" w:rsidRPr="008C36F5" w:rsidRDefault="00A147DF" w:rsidP="008C36F5">
            <w:pPr>
              <w:spacing w:before="100" w:after="100"/>
              <w:rPr>
                <w:rFonts w:ascii="Times New Roman" w:hAnsi="Times New Roman" w:cs="Times New Roman"/>
                <w:b/>
                <w:color w:val="000000"/>
                <w:sz w:val="20"/>
                <w:szCs w:val="20"/>
              </w:rPr>
            </w:pPr>
            <w:r w:rsidRPr="008C36F5">
              <w:rPr>
                <w:rFonts w:ascii="Times New Roman" w:hAnsi="Times New Roman" w:cs="Times New Roman"/>
                <w:b/>
                <w:color w:val="000000"/>
                <w:sz w:val="20"/>
                <w:szCs w:val="20"/>
              </w:rPr>
              <w:t>JNNSM</w:t>
            </w:r>
          </w:p>
        </w:tc>
        <w:tc>
          <w:tcPr>
            <w:tcW w:w="1909" w:type="pct"/>
          </w:tcPr>
          <w:p w:rsidR="00A147DF" w:rsidRPr="008C36F5" w:rsidRDefault="00A147DF" w:rsidP="008C36F5">
            <w:pPr>
              <w:spacing w:before="100" w:after="100"/>
              <w:rPr>
                <w:rFonts w:ascii="Times New Roman" w:hAnsi="Times New Roman" w:cs="Times New Roman"/>
                <w:color w:val="202122"/>
                <w:sz w:val="20"/>
                <w:szCs w:val="20"/>
                <w:shd w:val="clear" w:color="auto" w:fill="FFFFFF"/>
              </w:rPr>
            </w:pPr>
            <w:r w:rsidRPr="008C36F5">
              <w:rPr>
                <w:rFonts w:ascii="Times New Roman" w:hAnsi="Times New Roman" w:cs="Times New Roman"/>
                <w:color w:val="000000"/>
                <w:sz w:val="20"/>
                <w:szCs w:val="20"/>
              </w:rPr>
              <w:t>Jawaharlal Nehru National Solar Mission</w:t>
            </w:r>
          </w:p>
        </w:tc>
      </w:tr>
      <w:tr w:rsidR="00A147DF" w:rsidRPr="008C36F5" w:rsidTr="00B563F0">
        <w:trPr>
          <w:trHeight w:val="144"/>
        </w:trPr>
        <w:tc>
          <w:tcPr>
            <w:tcW w:w="513" w:type="pct"/>
          </w:tcPr>
          <w:p w:rsidR="00A147DF" w:rsidRPr="008C36F5" w:rsidRDefault="00A147DF" w:rsidP="008C36F5">
            <w:pPr>
              <w:spacing w:before="100" w:after="100"/>
              <w:rPr>
                <w:rFonts w:ascii="Times New Roman" w:hAnsi="Times New Roman" w:cs="Times New Roman"/>
                <w:b/>
                <w:color w:val="202122"/>
                <w:sz w:val="20"/>
                <w:szCs w:val="20"/>
                <w:shd w:val="clear" w:color="auto" w:fill="FFFFFF"/>
              </w:rPr>
            </w:pPr>
            <w:r w:rsidRPr="008C36F5">
              <w:rPr>
                <w:rFonts w:ascii="Times New Roman" w:hAnsi="Times New Roman" w:cs="Times New Roman"/>
                <w:b/>
                <w:sz w:val="20"/>
                <w:szCs w:val="20"/>
              </w:rPr>
              <w:t>RMSE</w:t>
            </w:r>
          </w:p>
        </w:tc>
        <w:tc>
          <w:tcPr>
            <w:tcW w:w="1987" w:type="pct"/>
          </w:tcPr>
          <w:p w:rsidR="00A147DF" w:rsidRPr="008C36F5" w:rsidRDefault="00A147DF" w:rsidP="008C36F5">
            <w:pPr>
              <w:spacing w:before="100" w:after="100"/>
              <w:rPr>
                <w:rFonts w:ascii="Times New Roman" w:hAnsi="Times New Roman" w:cs="Times New Roman"/>
                <w:bCs/>
                <w:color w:val="202122"/>
                <w:sz w:val="20"/>
                <w:szCs w:val="20"/>
                <w:shd w:val="clear" w:color="auto" w:fill="FFFFFF"/>
              </w:rPr>
            </w:pPr>
            <w:r w:rsidRPr="008C36F5">
              <w:rPr>
                <w:rFonts w:ascii="Times New Roman" w:hAnsi="Times New Roman" w:cs="Times New Roman"/>
                <w:color w:val="000000"/>
                <w:sz w:val="20"/>
                <w:szCs w:val="20"/>
              </w:rPr>
              <w:t>Root mean square error</w:t>
            </w:r>
          </w:p>
        </w:tc>
        <w:tc>
          <w:tcPr>
            <w:tcW w:w="591" w:type="pct"/>
          </w:tcPr>
          <w:p w:rsidR="00A147DF" w:rsidRPr="008C36F5" w:rsidRDefault="00A147DF" w:rsidP="008C36F5">
            <w:pPr>
              <w:spacing w:before="100" w:after="100"/>
              <w:rPr>
                <w:rFonts w:ascii="Times New Roman" w:hAnsi="Times New Roman" w:cs="Times New Roman"/>
                <w:b/>
                <w:color w:val="000000"/>
                <w:sz w:val="20"/>
                <w:szCs w:val="20"/>
              </w:rPr>
            </w:pPr>
            <w:r w:rsidRPr="008C36F5">
              <w:rPr>
                <w:rFonts w:ascii="Times New Roman" w:hAnsi="Times New Roman" w:cs="Times New Roman"/>
                <w:b/>
                <w:color w:val="000000"/>
                <w:sz w:val="20"/>
                <w:szCs w:val="20"/>
              </w:rPr>
              <w:t>MEA</w:t>
            </w:r>
          </w:p>
        </w:tc>
        <w:tc>
          <w:tcPr>
            <w:tcW w:w="1909" w:type="pct"/>
          </w:tcPr>
          <w:p w:rsidR="00A147DF" w:rsidRPr="008C36F5" w:rsidRDefault="00A147DF" w:rsidP="008C36F5">
            <w:pPr>
              <w:spacing w:before="100" w:after="100"/>
              <w:rPr>
                <w:rFonts w:ascii="Times New Roman" w:hAnsi="Times New Roman" w:cs="Times New Roman"/>
                <w:color w:val="202122"/>
                <w:sz w:val="20"/>
                <w:szCs w:val="20"/>
                <w:shd w:val="clear" w:color="auto" w:fill="FFFFFF"/>
              </w:rPr>
            </w:pPr>
            <w:r w:rsidRPr="008C36F5">
              <w:rPr>
                <w:rFonts w:ascii="Times New Roman" w:hAnsi="Times New Roman" w:cs="Times New Roman"/>
                <w:color w:val="202122"/>
                <w:sz w:val="20"/>
                <w:szCs w:val="20"/>
                <w:shd w:val="clear" w:color="auto" w:fill="FFFFFF"/>
              </w:rPr>
              <w:t>Membrane Electrode Assembly.</w:t>
            </w:r>
          </w:p>
        </w:tc>
      </w:tr>
      <w:tr w:rsidR="00A147DF" w:rsidRPr="008C36F5" w:rsidTr="00B563F0">
        <w:trPr>
          <w:trHeight w:val="144"/>
        </w:trPr>
        <w:tc>
          <w:tcPr>
            <w:tcW w:w="513" w:type="pct"/>
          </w:tcPr>
          <w:p w:rsidR="00A147DF" w:rsidRPr="008C36F5" w:rsidRDefault="00A147DF" w:rsidP="008C36F5">
            <w:pPr>
              <w:spacing w:before="100" w:after="100"/>
              <w:rPr>
                <w:rFonts w:ascii="Times New Roman" w:hAnsi="Times New Roman" w:cs="Times New Roman"/>
                <w:b/>
                <w:color w:val="202122"/>
                <w:sz w:val="20"/>
                <w:szCs w:val="20"/>
                <w:shd w:val="clear" w:color="auto" w:fill="FFFFFF"/>
              </w:rPr>
            </w:pPr>
            <w:r w:rsidRPr="008C36F5">
              <w:rPr>
                <w:rFonts w:ascii="Times New Roman" w:hAnsi="Times New Roman" w:cs="Times New Roman"/>
                <w:b/>
                <w:color w:val="202122"/>
                <w:sz w:val="20"/>
                <w:szCs w:val="20"/>
                <w:shd w:val="clear" w:color="auto" w:fill="FFFFFF"/>
              </w:rPr>
              <w:t>OER</w:t>
            </w:r>
          </w:p>
        </w:tc>
        <w:tc>
          <w:tcPr>
            <w:tcW w:w="1987" w:type="pct"/>
          </w:tcPr>
          <w:p w:rsidR="00A147DF" w:rsidRPr="008C36F5" w:rsidRDefault="00A147DF" w:rsidP="008C36F5">
            <w:pPr>
              <w:spacing w:before="100" w:after="100"/>
              <w:rPr>
                <w:rFonts w:ascii="Times New Roman" w:hAnsi="Times New Roman" w:cs="Times New Roman"/>
                <w:color w:val="000000"/>
                <w:sz w:val="20"/>
                <w:szCs w:val="20"/>
              </w:rPr>
            </w:pPr>
            <w:r w:rsidRPr="008C36F5">
              <w:rPr>
                <w:rFonts w:ascii="Times New Roman" w:hAnsi="Times New Roman" w:cs="Times New Roman"/>
                <w:color w:val="000000"/>
                <w:sz w:val="20"/>
                <w:szCs w:val="20"/>
              </w:rPr>
              <w:t>Oxygen Evaluation Reaction</w:t>
            </w:r>
          </w:p>
        </w:tc>
        <w:tc>
          <w:tcPr>
            <w:tcW w:w="591" w:type="pct"/>
          </w:tcPr>
          <w:p w:rsidR="00A147DF" w:rsidRPr="008C36F5" w:rsidRDefault="00A147DF" w:rsidP="008C36F5">
            <w:pPr>
              <w:spacing w:before="100" w:after="100"/>
              <w:rPr>
                <w:rFonts w:ascii="Times New Roman" w:hAnsi="Times New Roman" w:cs="Times New Roman"/>
                <w:b/>
                <w:color w:val="000000"/>
                <w:sz w:val="20"/>
                <w:szCs w:val="20"/>
              </w:rPr>
            </w:pPr>
            <w:r w:rsidRPr="008C36F5">
              <w:rPr>
                <w:rFonts w:ascii="Times New Roman" w:hAnsi="Times New Roman" w:cs="Times New Roman"/>
                <w:b/>
                <w:color w:val="000000"/>
                <w:sz w:val="20"/>
                <w:szCs w:val="20"/>
              </w:rPr>
              <w:t>HER</w:t>
            </w:r>
          </w:p>
        </w:tc>
        <w:tc>
          <w:tcPr>
            <w:tcW w:w="1909" w:type="pct"/>
          </w:tcPr>
          <w:p w:rsidR="00A147DF" w:rsidRPr="008C36F5" w:rsidRDefault="00A147DF" w:rsidP="008C36F5">
            <w:pPr>
              <w:spacing w:before="100" w:after="100"/>
              <w:rPr>
                <w:rFonts w:ascii="Times New Roman" w:hAnsi="Times New Roman" w:cs="Times New Roman"/>
                <w:color w:val="202122"/>
                <w:sz w:val="20"/>
                <w:szCs w:val="20"/>
                <w:shd w:val="clear" w:color="auto" w:fill="FFFFFF"/>
              </w:rPr>
            </w:pPr>
            <w:r w:rsidRPr="008C36F5">
              <w:rPr>
                <w:rFonts w:ascii="Times New Roman" w:hAnsi="Times New Roman" w:cs="Times New Roman"/>
                <w:color w:val="000000"/>
                <w:sz w:val="20"/>
                <w:szCs w:val="20"/>
              </w:rPr>
              <w:t>Hydrogen Evaluation Reaction</w:t>
            </w:r>
          </w:p>
        </w:tc>
      </w:tr>
      <w:tr w:rsidR="00A147DF" w:rsidRPr="008C36F5" w:rsidTr="00B563F0">
        <w:trPr>
          <w:trHeight w:val="144"/>
        </w:trPr>
        <w:tc>
          <w:tcPr>
            <w:tcW w:w="513" w:type="pct"/>
          </w:tcPr>
          <w:p w:rsidR="00A147DF" w:rsidRPr="008C36F5" w:rsidRDefault="00A147DF" w:rsidP="008C36F5">
            <w:pPr>
              <w:spacing w:before="100" w:after="100"/>
              <w:rPr>
                <w:rFonts w:ascii="Times New Roman" w:hAnsi="Times New Roman" w:cs="Times New Roman"/>
                <w:b/>
                <w:color w:val="202122"/>
                <w:sz w:val="20"/>
                <w:szCs w:val="20"/>
                <w:shd w:val="clear" w:color="auto" w:fill="FFFFFF"/>
              </w:rPr>
            </w:pPr>
            <w:r w:rsidRPr="008C36F5">
              <w:rPr>
                <w:rFonts w:ascii="Times New Roman" w:hAnsi="Times New Roman" w:cs="Times New Roman"/>
                <w:b/>
                <w:color w:val="202122"/>
                <w:sz w:val="20"/>
                <w:szCs w:val="20"/>
                <w:shd w:val="clear" w:color="auto" w:fill="FFFFFF"/>
              </w:rPr>
              <w:t>OME</w:t>
            </w:r>
          </w:p>
        </w:tc>
        <w:tc>
          <w:tcPr>
            <w:tcW w:w="1987" w:type="pct"/>
          </w:tcPr>
          <w:p w:rsidR="00A147DF" w:rsidRPr="008C36F5" w:rsidRDefault="00A147DF" w:rsidP="008C36F5">
            <w:pPr>
              <w:spacing w:before="100" w:after="100"/>
              <w:rPr>
                <w:rFonts w:ascii="Times New Roman" w:hAnsi="Times New Roman" w:cs="Times New Roman"/>
                <w:bCs/>
                <w:color w:val="202122"/>
                <w:sz w:val="20"/>
                <w:szCs w:val="20"/>
                <w:shd w:val="clear" w:color="auto" w:fill="FFFFFF"/>
              </w:rPr>
            </w:pPr>
            <w:r w:rsidRPr="008C36F5">
              <w:rPr>
                <w:rFonts w:ascii="Times New Roman" w:hAnsi="Times New Roman" w:cs="Times New Roman"/>
                <w:bCs/>
                <w:color w:val="202122"/>
                <w:sz w:val="20"/>
                <w:szCs w:val="20"/>
                <w:shd w:val="clear" w:color="auto" w:fill="FFFFFF"/>
              </w:rPr>
              <w:t>Oxymethylene ethers</w:t>
            </w:r>
          </w:p>
        </w:tc>
        <w:tc>
          <w:tcPr>
            <w:tcW w:w="591" w:type="pct"/>
          </w:tcPr>
          <w:p w:rsidR="00A147DF" w:rsidRPr="008C36F5" w:rsidRDefault="00A147DF" w:rsidP="008C36F5">
            <w:pPr>
              <w:spacing w:before="100" w:after="100"/>
              <w:rPr>
                <w:rFonts w:ascii="Times New Roman" w:hAnsi="Times New Roman" w:cs="Times New Roman"/>
                <w:b/>
                <w:color w:val="000000"/>
                <w:sz w:val="20"/>
                <w:szCs w:val="20"/>
              </w:rPr>
            </w:pPr>
            <w:r w:rsidRPr="008C36F5">
              <w:rPr>
                <w:rFonts w:ascii="Times New Roman" w:hAnsi="Times New Roman" w:cs="Times New Roman"/>
                <w:b/>
                <w:color w:val="202122"/>
                <w:sz w:val="20"/>
                <w:szCs w:val="20"/>
                <w:shd w:val="clear" w:color="auto" w:fill="FFFFFF"/>
              </w:rPr>
              <w:t>MHD</w:t>
            </w:r>
          </w:p>
        </w:tc>
        <w:tc>
          <w:tcPr>
            <w:tcW w:w="1909" w:type="pct"/>
          </w:tcPr>
          <w:p w:rsidR="00A147DF" w:rsidRPr="008C36F5" w:rsidRDefault="00A147DF" w:rsidP="008C36F5">
            <w:pPr>
              <w:spacing w:before="100" w:after="100"/>
              <w:rPr>
                <w:rFonts w:ascii="Times New Roman" w:hAnsi="Times New Roman" w:cs="Times New Roman"/>
                <w:color w:val="202122"/>
                <w:sz w:val="20"/>
                <w:szCs w:val="20"/>
                <w:shd w:val="clear" w:color="auto" w:fill="FFFFFF"/>
              </w:rPr>
            </w:pPr>
            <w:r w:rsidRPr="008C36F5">
              <w:rPr>
                <w:rFonts w:ascii="Times New Roman" w:hAnsi="Times New Roman" w:cs="Times New Roman"/>
                <w:color w:val="202122"/>
                <w:sz w:val="20"/>
                <w:szCs w:val="20"/>
                <w:shd w:val="clear" w:color="auto" w:fill="FFFFFF"/>
              </w:rPr>
              <w:t>Cyclotron Magnetohydrodynamic</w:t>
            </w:r>
          </w:p>
        </w:tc>
      </w:tr>
      <w:tr w:rsidR="00A147DF" w:rsidRPr="008C36F5" w:rsidTr="00B563F0">
        <w:trPr>
          <w:trHeight w:val="144"/>
        </w:trPr>
        <w:tc>
          <w:tcPr>
            <w:tcW w:w="513" w:type="pct"/>
          </w:tcPr>
          <w:p w:rsidR="00A147DF" w:rsidRPr="008C36F5" w:rsidRDefault="00A147DF" w:rsidP="008C36F5">
            <w:pPr>
              <w:spacing w:before="100" w:after="100"/>
              <w:rPr>
                <w:rFonts w:ascii="Times New Roman" w:hAnsi="Times New Roman" w:cs="Times New Roman"/>
                <w:b/>
                <w:sz w:val="20"/>
                <w:szCs w:val="20"/>
                <w:vertAlign w:val="subscript"/>
              </w:rPr>
            </w:pPr>
            <w:r w:rsidRPr="008C36F5">
              <w:rPr>
                <w:rFonts w:ascii="Times New Roman" w:hAnsi="Times New Roman" w:cs="Times New Roman"/>
                <w:b/>
                <w:sz w:val="20"/>
                <w:szCs w:val="20"/>
              </w:rPr>
              <w:t>η</w:t>
            </w:r>
            <w:r w:rsidRPr="008C36F5">
              <w:rPr>
                <w:rFonts w:ascii="Times New Roman" w:hAnsi="Times New Roman" w:cs="Times New Roman"/>
                <w:b/>
                <w:sz w:val="20"/>
                <w:szCs w:val="20"/>
                <w:vertAlign w:val="subscript"/>
              </w:rPr>
              <w:t>th</w:t>
            </w:r>
          </w:p>
        </w:tc>
        <w:tc>
          <w:tcPr>
            <w:tcW w:w="1987" w:type="pct"/>
          </w:tcPr>
          <w:p w:rsidR="00A147DF" w:rsidRPr="008C36F5" w:rsidRDefault="00A147DF" w:rsidP="008C36F5">
            <w:pPr>
              <w:spacing w:before="100" w:after="100"/>
              <w:rPr>
                <w:rFonts w:ascii="Times New Roman" w:hAnsi="Times New Roman" w:cs="Times New Roman"/>
                <w:color w:val="000000"/>
                <w:sz w:val="20"/>
                <w:szCs w:val="20"/>
              </w:rPr>
            </w:pPr>
            <w:r w:rsidRPr="008C36F5">
              <w:rPr>
                <w:rFonts w:ascii="Times New Roman" w:hAnsi="Times New Roman" w:cs="Times New Roman"/>
                <w:color w:val="000000"/>
                <w:sz w:val="20"/>
                <w:szCs w:val="20"/>
              </w:rPr>
              <w:t>Thermal Efficiency</w:t>
            </w:r>
          </w:p>
        </w:tc>
        <w:tc>
          <w:tcPr>
            <w:tcW w:w="591" w:type="pct"/>
          </w:tcPr>
          <w:p w:rsidR="00A147DF" w:rsidRPr="008C36F5" w:rsidRDefault="00A147DF" w:rsidP="008C36F5">
            <w:pPr>
              <w:spacing w:before="100" w:after="100"/>
              <w:rPr>
                <w:rFonts w:ascii="Times New Roman" w:hAnsi="Times New Roman" w:cs="Times New Roman"/>
                <w:b/>
                <w:color w:val="000000"/>
                <w:sz w:val="20"/>
                <w:szCs w:val="20"/>
              </w:rPr>
            </w:pPr>
            <w:r w:rsidRPr="008C36F5">
              <w:rPr>
                <w:rFonts w:ascii="Times New Roman" w:hAnsi="Times New Roman" w:cs="Times New Roman"/>
                <w:b/>
                <w:color w:val="000000"/>
                <w:sz w:val="20"/>
                <w:szCs w:val="20"/>
              </w:rPr>
              <w:t>GA</w:t>
            </w:r>
          </w:p>
        </w:tc>
        <w:tc>
          <w:tcPr>
            <w:tcW w:w="1909" w:type="pct"/>
          </w:tcPr>
          <w:p w:rsidR="00A147DF" w:rsidRPr="008C36F5" w:rsidRDefault="00A147DF" w:rsidP="008C36F5">
            <w:pPr>
              <w:spacing w:before="100" w:after="100"/>
              <w:rPr>
                <w:rFonts w:ascii="Times New Roman" w:hAnsi="Times New Roman" w:cs="Times New Roman"/>
                <w:color w:val="202122"/>
                <w:sz w:val="20"/>
                <w:szCs w:val="20"/>
                <w:shd w:val="clear" w:color="auto" w:fill="FFFFFF"/>
              </w:rPr>
            </w:pPr>
            <w:r w:rsidRPr="008C36F5">
              <w:rPr>
                <w:rFonts w:ascii="Times New Roman" w:hAnsi="Times New Roman" w:cs="Times New Roman"/>
                <w:color w:val="202122"/>
                <w:sz w:val="20"/>
                <w:szCs w:val="20"/>
                <w:shd w:val="clear" w:color="auto" w:fill="FFFFFF"/>
              </w:rPr>
              <w:t>Genetic Algorithm</w:t>
            </w:r>
          </w:p>
        </w:tc>
      </w:tr>
    </w:tbl>
    <w:p w:rsidR="00E66D2C" w:rsidRPr="00E66D2C" w:rsidRDefault="00A147DF" w:rsidP="00E66D2C">
      <w:pPr>
        <w:pStyle w:val="ListParagraph"/>
        <w:numPr>
          <w:ilvl w:val="0"/>
          <w:numId w:val="8"/>
        </w:numPr>
        <w:spacing w:line="240" w:lineRule="auto"/>
        <w:ind w:left="142"/>
        <w:rPr>
          <w:rFonts w:ascii="Times New Roman" w:hAnsi="Times New Roman" w:cs="Times New Roman"/>
          <w:b/>
          <w:sz w:val="20"/>
          <w:szCs w:val="20"/>
        </w:rPr>
      </w:pPr>
      <w:r w:rsidRPr="00E66D2C">
        <w:rPr>
          <w:rFonts w:ascii="Times New Roman" w:hAnsi="Times New Roman" w:cs="Times New Roman"/>
          <w:b/>
          <w:szCs w:val="20"/>
        </w:rPr>
        <w:t>Introduction:</w:t>
      </w:r>
      <w:r w:rsidR="00DC2F81" w:rsidRPr="00E66D2C">
        <w:rPr>
          <w:rFonts w:ascii="Times New Roman" w:hAnsi="Times New Roman" w:cs="Times New Roman"/>
          <w:b/>
          <w:szCs w:val="20"/>
        </w:rPr>
        <w:t xml:space="preserve"> </w:t>
      </w:r>
      <w:r w:rsidRPr="008C36F5">
        <w:rPr>
          <w:rFonts w:ascii="Times New Roman" w:hAnsi="Times New Roman" w:cs="Times New Roman"/>
          <w:sz w:val="20"/>
          <w:szCs w:val="20"/>
        </w:rPr>
        <w:t xml:space="preserve">At present, our world is in a stage of a quantum leap of advanced development in science &amp; technology, and the most vital role in this is played by energy in each step. Presently we are strongly dependent on the conventional type of fossil fuels for energy; therefore Oxyhydrogen/Hydrogen comes into the limelight. In 1960 Yull Brown discovered that one could utilize both Hydrogen and Oxygen as an energy source. B.G consists of two-thirds hydrogen and one-third oxygen by volume. </w:t>
      </w:r>
    </w:p>
    <w:p w:rsidR="00456158" w:rsidRDefault="00A147DF" w:rsidP="00456158">
      <w:pPr>
        <w:pStyle w:val="ListParagraph"/>
        <w:spacing w:line="240" w:lineRule="auto"/>
        <w:ind w:left="142"/>
        <w:rPr>
          <w:rFonts w:ascii="Times New Roman" w:hAnsi="Times New Roman" w:cs="Times New Roman"/>
          <w:sz w:val="20"/>
          <w:szCs w:val="20"/>
          <w:lang w:val="en-IN"/>
        </w:rPr>
      </w:pPr>
      <w:r w:rsidRPr="00E66D2C">
        <w:rPr>
          <w:rFonts w:ascii="Times New Roman" w:hAnsi="Times New Roman" w:cs="Times New Roman"/>
          <w:sz w:val="20"/>
          <w:szCs w:val="20"/>
        </w:rPr>
        <w:t>The main objective was to investigate the impacts that alcohols have on combustion and emission traits of a broad variety of I.C engines with different analysis outcomes alcohols ranging from three-carbon C</w:t>
      </w:r>
      <w:r w:rsidRPr="00E66D2C">
        <w:rPr>
          <w:rFonts w:ascii="Times New Roman" w:hAnsi="Times New Roman" w:cs="Times New Roman"/>
          <w:sz w:val="20"/>
          <w:szCs w:val="20"/>
          <w:vertAlign w:val="subscript"/>
        </w:rPr>
        <w:t>3</w:t>
      </w:r>
      <w:r w:rsidRPr="00E66D2C">
        <w:rPr>
          <w:rFonts w:ascii="Times New Roman" w:hAnsi="Times New Roman" w:cs="Times New Roman"/>
          <w:sz w:val="20"/>
          <w:szCs w:val="20"/>
        </w:rPr>
        <w:t>H</w:t>
      </w:r>
      <w:r w:rsidRPr="00E66D2C">
        <w:rPr>
          <w:rFonts w:ascii="Times New Roman" w:hAnsi="Times New Roman" w:cs="Times New Roman"/>
          <w:sz w:val="20"/>
          <w:szCs w:val="20"/>
          <w:vertAlign w:val="subscript"/>
        </w:rPr>
        <w:t>8</w:t>
      </w:r>
      <w:r w:rsidRPr="00E66D2C">
        <w:rPr>
          <w:rFonts w:ascii="Times New Roman" w:hAnsi="Times New Roman" w:cs="Times New Roman"/>
          <w:sz w:val="20"/>
          <w:szCs w:val="20"/>
        </w:rPr>
        <w:t xml:space="preserve">O to twenty-carbon pythol </w:t>
      </w:r>
      <w:r w:rsidR="0063134A" w:rsidRPr="00E66D2C">
        <w:rPr>
          <w:rFonts w:ascii="Times New Roman" w:hAnsi="Times New Roman" w:cs="Times New Roman"/>
          <w:sz w:val="20"/>
          <w:szCs w:val="20"/>
          <w:lang w:val="en-IN"/>
        </w:rPr>
        <w:fldChar w:fldCharType="begin" w:fldLock="1"/>
      </w:r>
      <w:r w:rsidRPr="00E66D2C">
        <w:rPr>
          <w:rFonts w:ascii="Times New Roman" w:hAnsi="Times New Roman" w:cs="Times New Roman"/>
          <w:sz w:val="20"/>
          <w:szCs w:val="20"/>
          <w:lang w:val="en-IN"/>
        </w:rPr>
        <w:instrText>ADDIN CSL_CITATION {"citationItems":[{"id":"ITEM-1","itemData":{"DOI":"10.1016/j.rser.2016.01.085","ISSN":"18790690","abstract":"Biofuels have grabbed the attention of engine researchers ever since the oil-crisis and escalating costs of petro-chemicals cropped up in the '70s. Ethanol and methanol were the most widely researched alcohols in IC engines. However, the last decade has witnessed significant amount of research in higher alcohols due to the development of modern fermentation processes using engineered micro-organisms that improved yield. Higher alcohols are attractive second/third generation biofuels that can be produced from sugary, starchy and ligno-cellulosic biomass feedstocks using sustainable pathways. The present work reviews the current literature concerning the effects of using higher alcohols ranging from 3-carbon propanol to 20-carbon phytol on combustion, performance and emission characteristics of a wide range of diesel engines under various test conditions. The literature is abound with evidence that higher alcohols reduce carcinogenic particulate emissions that are prevalent in diesel engines. NOx emissions either increased or decreased based on the domination of either cetane number or heat of evaporation. Brake specific fuel consumption (BSFC) of the engine usually suffered due to low energy content of alcohols. A notable feature is that the combination of higher alcohols (like butanol or pentanol), high exhaust gas recirculation (EGR) rates and late injection timing enabled low temperature combustion (LTC) in diesel engines that can simultaneously reduce smoke and NOx emissions with improved engine efficiency. It can be concluded that higher alcohols reduce smoke emissions with their fuel-borne oxygen; enhance air/fuel mixing by offering long ignition delay and eventually replace fossil diesel (partially or wholly) to enable a clean and efficient combustion in compression-ignition engines. The chief thrust areas include developing mutant strains with higher yield, higher tolerance to toxic inhibition and low-cost substrates for fermentation. Further work is required in stipulating optimum blend-fuel characteristics and ensuring the long-term durability of the engines using these fuels.","author":[{"dropping-particle":"","family":"Rajesh Kumar","given":"B.","non-dropping-particle":"","parse-names":false,"suffix":""},{"dropping-particle":"","family":"Saravanan","given":"S.","non-dropping-particle":"","parse-names":false,"suffix":""}],"container-title":"Renewable and Sustainable Energy Reviews","id":"ITEM-1","issued":{"date-parts":[["2016"]]},"page":"84-115","publisher":"Elsevier","title":"Use of higher alcohol biofuels in diesel engines: A review","type":"article-journal","volume":"60"},"uris":["http://www.mendeley.com/documents/?uuid=c94b5689-9283-425f-8b38-f3a3b23c44f9"]}],"mendeley":{"formattedCitation":"(Rajesh Kumar and Saravanan, 2016)","plainTextFormattedCitation":"(Rajesh Kumar and Saravanan, 2016)","previouslyFormattedCitation":"(Rajesh Kumar and Saravanan, 2016)"},"properties":{"noteIndex":0},"schema":"https://github.com/citation-style-language/schema/raw/master/csl-citation.json"}</w:instrText>
      </w:r>
      <w:r w:rsidR="0063134A" w:rsidRPr="00E66D2C">
        <w:rPr>
          <w:rFonts w:ascii="Times New Roman" w:hAnsi="Times New Roman" w:cs="Times New Roman"/>
          <w:sz w:val="20"/>
          <w:szCs w:val="20"/>
          <w:lang w:val="en-IN"/>
        </w:rPr>
        <w:fldChar w:fldCharType="separate"/>
      </w:r>
      <w:r w:rsidRPr="00E66D2C">
        <w:rPr>
          <w:rFonts w:ascii="Times New Roman" w:hAnsi="Times New Roman" w:cs="Times New Roman"/>
          <w:noProof/>
          <w:sz w:val="20"/>
          <w:szCs w:val="20"/>
          <w:lang w:val="en-IN"/>
        </w:rPr>
        <w:t>(Rajesh Kumar and Saravanan, 2016)</w:t>
      </w:r>
      <w:r w:rsidR="0063134A" w:rsidRPr="00E66D2C">
        <w:rPr>
          <w:rFonts w:ascii="Times New Roman" w:hAnsi="Times New Roman" w:cs="Times New Roman"/>
          <w:sz w:val="20"/>
          <w:szCs w:val="20"/>
          <w:lang w:val="en-IN"/>
        </w:rPr>
        <w:fldChar w:fldCharType="end"/>
      </w:r>
      <w:r w:rsidRPr="00E66D2C">
        <w:rPr>
          <w:rFonts w:ascii="Times New Roman" w:hAnsi="Times New Roman" w:cs="Times New Roman"/>
          <w:sz w:val="20"/>
          <w:szCs w:val="20"/>
          <w:lang w:val="en-IN"/>
        </w:rPr>
        <w:t xml:space="preserve">. </w:t>
      </w:r>
      <w:r w:rsidRPr="00E66D2C">
        <w:rPr>
          <w:rFonts w:ascii="Times New Roman" w:hAnsi="Times New Roman" w:cs="Times New Roman"/>
          <w:noProof/>
          <w:sz w:val="20"/>
          <w:szCs w:val="20"/>
          <w:lang w:val="en-IN"/>
        </w:rPr>
        <w:t xml:space="preserve">Tamilselvan et.al has carried out a </w:t>
      </w:r>
      <w:r w:rsidRPr="00E66D2C">
        <w:rPr>
          <w:rFonts w:ascii="Times New Roman" w:hAnsi="Times New Roman" w:cs="Times New Roman"/>
          <w:sz w:val="20"/>
          <w:szCs w:val="20"/>
          <w:lang w:val="en-IN"/>
        </w:rPr>
        <w:t xml:space="preserve"> thorough analysis on the efficiency, burning and exhaust emission properties of few significant bio-diesel fuels upon the I.C engine </w:t>
      </w:r>
      <w:r w:rsidR="0063134A" w:rsidRPr="00E66D2C">
        <w:rPr>
          <w:rFonts w:ascii="Times New Roman" w:hAnsi="Times New Roman" w:cs="Times New Roman"/>
          <w:sz w:val="20"/>
          <w:szCs w:val="20"/>
          <w:lang w:val="en-IN"/>
        </w:rPr>
        <w:fldChar w:fldCharType="begin" w:fldLock="1"/>
      </w:r>
      <w:r w:rsidRPr="00E66D2C">
        <w:rPr>
          <w:rFonts w:ascii="Times New Roman" w:hAnsi="Times New Roman" w:cs="Times New Roman"/>
          <w:sz w:val="20"/>
          <w:szCs w:val="20"/>
          <w:lang w:val="en-IN"/>
        </w:rPr>
        <w:instrText>ADDIN CSL_CITATION {"citationItems":[{"id":"ITEM-1","itemData":{"DOI":"10.1016/j.rser.2017.05.176","ISSN":"18790690","abstract":"Direct injection diesel engines are more popular in the automotive sector than spark ignition (SI) engines due to its fuel lean operation. However, the demand of fossil fuel is rising day by day and hence the major fuel source of diesel engine, the petroleum based fuel, is depleting rapidly. Many countries depend mainly on imported fossil fuels due to lack of fuel reserves and it has great impact on the economy. In addition to this, the major concerns of diesel engine are its oxides of nitrogen and smoke emissions. Therefore, for the past several decades extensive efforts are being made to search for alternate fuels to overcome the dependence on fossil fuel and environment pollution. In this regard, several alternate fuels namely hydrogen, oxygenated fuels like alcohol fuels, dimethyl ether and biodiesel fuels etc., have been extensively analysed. Recent studies show that biodiesel is one of the most promising alternate fuels for diesel engines because of its biodegradable, oxygenated, sulphur free and renewable characteristics. Hence, it is getting the attention of researchers all over the world. The blends of biodiesel with fossil diesel have many benefits like reduction in emissions, lower engine wear, lesser engine oil consumption and comparable thermal efficiency vis-a-vis diesel fuel. Exhaustive experimental works have been carried out to analyse the suitability of biodiesel fuel as alternate fuel and to explore their advantages in diesel engines. Hence, this paper is attempted to present a comprehensive review on the performance, combustion and emission characteristics of some important biodiesel fuels on diesel engines. This comprehensive review on the published literature will be helpful to the researchers to understand the state-of-the-art technology of the biodiesel fuelled compression ignition engine.","author":[{"dropping-particle":"","family":"Tamilselvan","given":"P.","non-dropping-particle":"","parse-names":false,"suffix":""},{"dropping-particle":"","family":"Nallusamy","given":"N.","non-dropping-particle":"","parse-names":false,"suffix":""},{"dropping-particle":"","family":"Rajkumar","given":"S.","non-dropping-particle":"","parse-names":false,"suffix":""}],"container-title":"Renewable and Sustainable Energy Reviews","id":"ITEM-1","issue":"November 2016","issued":{"date-parts":[["2017"]]},"page":"1134-1159","publisher":"Elsevier Ltd","title":"A comprehensive review on performance, combustion and emission characteristics of biodiesel fuelled diesel engines","type":"article-journal","volume":"79"},"uris":["http://www.mendeley.com/documents/?uuid=c37f0352-f892-45b2-80bb-a0fa1997c822"]}],"mendeley":{"formattedCitation":"(Tamilselvan, Nallusamy and Rajkumar, 2017)","plainTextFormattedCitation":"(Tamilselvan, Nallusamy and Rajkumar, 2017)","previouslyFormattedCitation":"(Tamilselvan, Nallusamy and Rajkumar, 2017)"},"properties":{"noteIndex":0},"schema":"https://github.com/citation-style-language/schema/raw/master/csl-citation.json"}</w:instrText>
      </w:r>
      <w:r w:rsidR="0063134A" w:rsidRPr="00E66D2C">
        <w:rPr>
          <w:rFonts w:ascii="Times New Roman" w:hAnsi="Times New Roman" w:cs="Times New Roman"/>
          <w:sz w:val="20"/>
          <w:szCs w:val="20"/>
          <w:lang w:val="en-IN"/>
        </w:rPr>
        <w:fldChar w:fldCharType="separate"/>
      </w:r>
      <w:r w:rsidRPr="00E66D2C">
        <w:rPr>
          <w:rFonts w:ascii="Times New Roman" w:hAnsi="Times New Roman" w:cs="Times New Roman"/>
          <w:noProof/>
          <w:sz w:val="20"/>
          <w:szCs w:val="20"/>
          <w:lang w:val="en-IN"/>
        </w:rPr>
        <w:t>(Tamilselvan, Nallusamy and Rajkumar, 2017)</w:t>
      </w:r>
      <w:r w:rsidR="0063134A" w:rsidRPr="00E66D2C">
        <w:rPr>
          <w:rFonts w:ascii="Times New Roman" w:hAnsi="Times New Roman" w:cs="Times New Roman"/>
          <w:sz w:val="20"/>
          <w:szCs w:val="20"/>
          <w:lang w:val="en-IN"/>
        </w:rPr>
        <w:fldChar w:fldCharType="end"/>
      </w:r>
      <w:r w:rsidRPr="00E66D2C">
        <w:rPr>
          <w:rFonts w:ascii="Times New Roman" w:hAnsi="Times New Roman" w:cs="Times New Roman"/>
          <w:sz w:val="20"/>
          <w:szCs w:val="20"/>
          <w:lang w:val="en-IN"/>
        </w:rPr>
        <w:t xml:space="preserve">. They work on diesel PM management in both pre-and post-combustion approaches that have been used for decades </w:t>
      </w:r>
      <w:r w:rsidR="0063134A" w:rsidRPr="00E66D2C">
        <w:rPr>
          <w:rFonts w:ascii="Times New Roman" w:hAnsi="Times New Roman" w:cs="Times New Roman"/>
          <w:sz w:val="20"/>
          <w:szCs w:val="20"/>
          <w:lang w:val="en-IN"/>
        </w:rPr>
        <w:fldChar w:fldCharType="begin" w:fldLock="1"/>
      </w:r>
      <w:r w:rsidRPr="00E66D2C">
        <w:rPr>
          <w:rFonts w:ascii="Times New Roman" w:hAnsi="Times New Roman" w:cs="Times New Roman"/>
          <w:sz w:val="20"/>
          <w:szCs w:val="20"/>
          <w:lang w:val="en-IN"/>
        </w:rPr>
        <w:instrText>ADDIN CSL_CITATION {"citationItems":[{"id":"ITEM-1","itemData":{"DOI":"10.1016/j.rser.2017.05.133","ISBN":"1364-0321","ISSN":"18790690","abstract":"The diesel engine is being widely used in day to day life in both mobile and stationary applications. The main drawback is the release of harmful gasses like HC, CO, NOx and particulate matter into the atmosphere. This affects both human beings and environment to a great extent and should be controlled effectively. This paper reviews the works on the control of diesel particulate matter in both pre-combustion and post-combustion techniques employed in the past few decades. The initial part of this review will discuss particulate matter composition and its structure. Then the various physical processes involved in the formation of particulate matter are discussed. Effects of fuel composition and its structure on soot formation are reported. Hazardous effects of particulate matter on both human beings and the environment are reviewed. Use of biodiesel water emulsified fuel as a fuel to control soot formation is highlighted. This review also highlights control of particulate matter by varying injection parameters like injection pressure, injection timing and auxiliary air injection. Multiple fuel injections within the same cycle to control NOx and particulate matter are also discussed. The conventional control technique of particulate matter by using Diesel particulate filter and its types are also compared with the new technologies. Various regeneration concepts to burn the collected soot are also highlighted. The major part of this review focuses on pre-combustion techniques to control particulate matter. This review paper, it is hoped, will be very useful for the researchers working on the control of diesel particulate matter.","author":[{"dropping-particle":"","family":"Mohankumar","given":"S.","non-dropping-particle":"","parse-names":false,"suffix":""},{"dropping-particle":"","family":"Senthilkumar","given":"P.","non-dropping-particle":"","parse-names":false,"suffix":""}],"container-title":"Renewable and Sustainable Energy Reviews","id":"ITEM-1","issue":"June 2016","issued":{"date-parts":[["2017"]]},"page":"1227-1238","publisher":"Elsevier Ltd","title":"Particulate matter formation and its control methodologies for diesel engine: A comprehensive review","type":"article-journal","volume":"80"},"uris":["http://www.mendeley.com/documents/?uuid=d4350bf8-1e07-4355-b286-cb04b5fd3350"]}],"mendeley":{"formattedCitation":"(Mohankumar and Senthilkumar, 2017)","plainTextFormattedCitation":"(Mohankumar and Senthilkumar, 2017)","previouslyFormattedCitation":"(Mohankumar and Senthilkumar, 2017)"},"properties":{"noteIndex":0},"schema":"https://github.com/citation-style-language/schema/raw/master/csl-citation.json"}</w:instrText>
      </w:r>
      <w:r w:rsidR="0063134A" w:rsidRPr="00E66D2C">
        <w:rPr>
          <w:rFonts w:ascii="Times New Roman" w:hAnsi="Times New Roman" w:cs="Times New Roman"/>
          <w:sz w:val="20"/>
          <w:szCs w:val="20"/>
          <w:lang w:val="en-IN"/>
        </w:rPr>
        <w:fldChar w:fldCharType="separate"/>
      </w:r>
      <w:r w:rsidRPr="00E66D2C">
        <w:rPr>
          <w:rFonts w:ascii="Times New Roman" w:hAnsi="Times New Roman" w:cs="Times New Roman"/>
          <w:noProof/>
          <w:sz w:val="20"/>
          <w:szCs w:val="20"/>
          <w:lang w:val="en-IN"/>
        </w:rPr>
        <w:t>(Mohankumar and Senthilkumar, 2017)</w:t>
      </w:r>
      <w:r w:rsidR="0063134A" w:rsidRPr="00E66D2C">
        <w:rPr>
          <w:rFonts w:ascii="Times New Roman" w:hAnsi="Times New Roman" w:cs="Times New Roman"/>
          <w:sz w:val="20"/>
          <w:szCs w:val="20"/>
          <w:lang w:val="en-IN"/>
        </w:rPr>
        <w:fldChar w:fldCharType="end"/>
      </w:r>
      <w:r w:rsidRPr="00E66D2C">
        <w:rPr>
          <w:rFonts w:ascii="Times New Roman" w:hAnsi="Times New Roman" w:cs="Times New Roman"/>
          <w:sz w:val="20"/>
          <w:szCs w:val="20"/>
          <w:lang w:val="en-IN"/>
        </w:rPr>
        <w:t xml:space="preserve">. </w:t>
      </w:r>
      <w:r w:rsidRPr="00E66D2C">
        <w:rPr>
          <w:rFonts w:ascii="Times New Roman" w:hAnsi="Times New Roman" w:cs="Times New Roman"/>
          <w:bCs/>
          <w:sz w:val="20"/>
          <w:szCs w:val="20"/>
        </w:rPr>
        <w:t xml:space="preserve">This paper </w:t>
      </w:r>
      <w:r w:rsidRPr="00E66D2C">
        <w:rPr>
          <w:rFonts w:ascii="Times New Roman" w:hAnsi="Times New Roman" w:cs="Times New Roman"/>
          <w:bCs/>
          <w:sz w:val="20"/>
          <w:szCs w:val="20"/>
          <w:lang w:val="en-IN"/>
        </w:rPr>
        <w:t>discussed</w:t>
      </w:r>
      <w:r w:rsidRPr="00E66D2C">
        <w:rPr>
          <w:rFonts w:ascii="Times New Roman" w:hAnsi="Times New Roman" w:cs="Times New Roman"/>
          <w:bCs/>
          <w:sz w:val="20"/>
          <w:szCs w:val="20"/>
        </w:rPr>
        <w:t xml:space="preserve"> the pub</w:t>
      </w:r>
      <w:r w:rsidRPr="00E66D2C">
        <w:rPr>
          <w:rFonts w:ascii="Times New Roman" w:hAnsi="Times New Roman" w:cs="Times New Roman"/>
          <w:bCs/>
          <w:sz w:val="20"/>
          <w:szCs w:val="20"/>
          <w:lang w:val="en-IN"/>
        </w:rPr>
        <w:t xml:space="preserve">lications on PEMWE’s efficiency deterioration and mitigation techniques. Degradation sources were presented for individual elements. The analysis highlighted viable solutions to reduce degradation of components with degradation factors addressed and processes explored </w:t>
      </w:r>
      <w:r w:rsidR="0063134A" w:rsidRPr="00E66D2C">
        <w:rPr>
          <w:rFonts w:ascii="Times New Roman" w:hAnsi="Times New Roman" w:cs="Times New Roman"/>
          <w:bCs/>
          <w:sz w:val="20"/>
          <w:szCs w:val="20"/>
          <w:lang w:val="en-IN"/>
        </w:rPr>
        <w:fldChar w:fldCharType="begin" w:fldLock="1"/>
      </w:r>
      <w:r w:rsidRPr="00E66D2C">
        <w:rPr>
          <w:rFonts w:ascii="Times New Roman" w:hAnsi="Times New Roman" w:cs="Times New Roman"/>
          <w:bCs/>
          <w:sz w:val="20"/>
          <w:szCs w:val="20"/>
          <w:lang w:val="en-IN"/>
        </w:rPr>
        <w:instrText>ADDIN CSL_CITATION {"citationItems":[{"id":"ITEM-1","itemData":{"DOI":"10.1016/j.jpowsour.2017.09.006","ISBN":"03787753","ISSN":"03787753","abstract":"Proton exchange membrane water electrolysis (PEMWE) is an advanced and effective solution to the primary energy storage technologies. A better understanding of performance and durability of PEMWE is critical for the engineers and researchers to further advance this technology for its market penetration, and for the manufacturers of PEM water electrolyzers to implement quality control procedures for the production line or on-site process monitoring/diagnosis. This paper reviews the published works on performance degradations and mitigation strategies for PEMWE. Sources of degradation for individual components are introduced. With degradation causes discussed and degradation mechanisms examined, the review emphasizes on feasible strategies to mitigate the components degradation. To avoid lengthy real lifetime degradation tests and their high costs, the importance of accelerated stress tests and protocols is highlighted for various components. In the end, R&amp;D directions are proposed to move the PEMWE technology forward to become a key element in future energy scenarios.","author":[{"dropping-particle":"","family":"Feng","given":"Qi","non-dropping-particle":"","parse-names":false,"suffix":""},{"dropping-particle":"","family":"Yuan","given":"Xiao Zi","non-dropping-particle":"","parse-names":false,"suffix":""},{"dropping-particle":"","family":"Liu","given":"Gaoyang","non-dropping-particle":"","parse-names":false,"suffix":""},{"dropping-particle":"","family":"Wei","given":"Bing","non-dropping-particle":"","parse-names":false,"suffix":""},{"dropping-particle":"","family":"Zhang","given":"Zhen","non-dropping-particle":"","parse-names":false,"suffix":""},{"dropping-particle":"","family":"Li","given":"Hui","non-dropping-particle":"","parse-names":false,"suffix":""},{"dropping-particle":"","family":"Wang","given":"Haijiang","non-dropping-particle":"","parse-names":false,"suffix":""}],"container-title":"Journal of Power Sources","id":"ITEM-1","issued":{"date-parts":[["2017"]]},"page":"33-55","publisher":"Elsevier B.V","title":"A review of proton exchange membrane water electrolysis on degradation mechanisms and mitigation strategies","type":"article-journal","volume":"366"},"uris":["http://www.mendeley.com/documents/?uuid=c656bf1f-b052-4270-962c-89efa52174f9"]}],"mendeley":{"formattedCitation":"(Feng &lt;i&gt;et al.&lt;/i&gt;, 2017)","plainTextFormattedCitation":"(Feng et al., 2017)","previouslyFormattedCitation":"(Feng &lt;i&gt;et al.&lt;/i&gt;, 2017)"},"properties":{"noteIndex":0},"schema":"https://github.com/citation-style-language/schema/raw/master/csl-citation.json"}</w:instrText>
      </w:r>
      <w:r w:rsidR="0063134A" w:rsidRPr="00E66D2C">
        <w:rPr>
          <w:rFonts w:ascii="Times New Roman" w:hAnsi="Times New Roman" w:cs="Times New Roman"/>
          <w:bCs/>
          <w:sz w:val="20"/>
          <w:szCs w:val="20"/>
          <w:lang w:val="en-IN"/>
        </w:rPr>
        <w:fldChar w:fldCharType="separate"/>
      </w:r>
      <w:r w:rsidRPr="00E66D2C">
        <w:rPr>
          <w:rFonts w:ascii="Times New Roman" w:hAnsi="Times New Roman" w:cs="Times New Roman"/>
          <w:bCs/>
          <w:noProof/>
          <w:sz w:val="20"/>
          <w:szCs w:val="20"/>
          <w:lang w:val="en-IN"/>
        </w:rPr>
        <w:t xml:space="preserve">(Feng </w:t>
      </w:r>
      <w:r w:rsidRPr="00E66D2C">
        <w:rPr>
          <w:rFonts w:ascii="Times New Roman" w:hAnsi="Times New Roman" w:cs="Times New Roman"/>
          <w:bCs/>
          <w:i/>
          <w:noProof/>
          <w:sz w:val="20"/>
          <w:szCs w:val="20"/>
          <w:lang w:val="en-IN"/>
        </w:rPr>
        <w:t>et al.</w:t>
      </w:r>
      <w:r w:rsidRPr="00E66D2C">
        <w:rPr>
          <w:rFonts w:ascii="Times New Roman" w:hAnsi="Times New Roman" w:cs="Times New Roman"/>
          <w:bCs/>
          <w:noProof/>
          <w:sz w:val="20"/>
          <w:szCs w:val="20"/>
          <w:lang w:val="en-IN"/>
        </w:rPr>
        <w:t>, 2017)</w:t>
      </w:r>
      <w:r w:rsidR="0063134A" w:rsidRPr="00E66D2C">
        <w:rPr>
          <w:rFonts w:ascii="Times New Roman" w:hAnsi="Times New Roman" w:cs="Times New Roman"/>
          <w:bCs/>
          <w:sz w:val="20"/>
          <w:szCs w:val="20"/>
          <w:lang w:val="en-IN"/>
        </w:rPr>
        <w:fldChar w:fldCharType="end"/>
      </w:r>
      <w:r w:rsidRPr="00E66D2C">
        <w:rPr>
          <w:rFonts w:ascii="Times New Roman" w:hAnsi="Times New Roman" w:cs="Times New Roman"/>
          <w:bCs/>
          <w:sz w:val="20"/>
          <w:szCs w:val="20"/>
          <w:lang w:val="en-IN"/>
        </w:rPr>
        <w:t>.</w:t>
      </w:r>
      <w:r w:rsidR="00DC2F81" w:rsidRPr="00E66D2C">
        <w:rPr>
          <w:rFonts w:ascii="Times New Roman" w:hAnsi="Times New Roman" w:cs="Times New Roman"/>
          <w:b/>
          <w:sz w:val="20"/>
          <w:szCs w:val="20"/>
        </w:rPr>
        <w:t xml:space="preserve"> </w:t>
      </w:r>
      <w:r w:rsidRPr="00E66D2C">
        <w:rPr>
          <w:rFonts w:ascii="Times New Roman" w:hAnsi="Times New Roman" w:cs="Times New Roman"/>
          <w:bCs/>
          <w:sz w:val="20"/>
          <w:szCs w:val="20"/>
        </w:rPr>
        <w:t>It pr</w:t>
      </w:r>
      <w:r w:rsidRPr="00E66D2C">
        <w:rPr>
          <w:rFonts w:ascii="Times New Roman" w:hAnsi="Times New Roman" w:cs="Times New Roman"/>
          <w:bCs/>
          <w:sz w:val="20"/>
          <w:szCs w:val="20"/>
          <w:lang w:val="en-IN"/>
        </w:rPr>
        <w:t>ovided</w:t>
      </w:r>
      <w:r w:rsidRPr="00E66D2C">
        <w:rPr>
          <w:rFonts w:ascii="Times New Roman" w:hAnsi="Times New Roman" w:cs="Times New Roman"/>
          <w:bCs/>
          <w:sz w:val="20"/>
          <w:szCs w:val="20"/>
        </w:rPr>
        <w:t xml:space="preserve"> a</w:t>
      </w:r>
      <w:r w:rsidRPr="00E66D2C">
        <w:rPr>
          <w:rFonts w:ascii="Times New Roman" w:hAnsi="Times New Roman" w:cs="Times New Roman"/>
          <w:bCs/>
          <w:sz w:val="20"/>
          <w:szCs w:val="20"/>
          <w:lang w:val="en-IN"/>
        </w:rPr>
        <w:t xml:space="preserve">n extensive summary of the accessible publications on heat and power plants focused on solar energy. To restrict the scale of analysis, only completely renewable plants were taken into account with a minimum generation of energy and thermal/hot water for final usage were taken into account. This encompasses photovoltaic solar and solar-based heat plants with not only concentrating but also anti-concentrating panels in not only solar-solo but also solar-mixed setups. This review work also provided a set of cases for assessing the combined thermal and electricity production capacity of solar energy in Denmark </w:t>
      </w:r>
      <w:r w:rsidR="0063134A" w:rsidRPr="00E66D2C">
        <w:rPr>
          <w:rFonts w:ascii="Times New Roman" w:hAnsi="Times New Roman" w:cs="Times New Roman"/>
          <w:bCs/>
          <w:sz w:val="20"/>
          <w:szCs w:val="20"/>
          <w:lang w:val="en-IN"/>
        </w:rPr>
        <w:fldChar w:fldCharType="begin" w:fldLock="1"/>
      </w:r>
      <w:r w:rsidRPr="00E66D2C">
        <w:rPr>
          <w:rFonts w:ascii="Times New Roman" w:hAnsi="Times New Roman" w:cs="Times New Roman"/>
          <w:bCs/>
          <w:sz w:val="20"/>
          <w:szCs w:val="20"/>
          <w:lang w:val="en-IN"/>
        </w:rPr>
        <w:instrText>ADDIN CSL_CITATION {"citationItems":[{"id":"ITEM-1","itemData":{"DOI":"10.1016/j.rser.2016.09.075","ISBN":"13640321","ISSN":"18790690","PMID":"19009209","abstract":"The utilization of solar energy based technologies has attracted increased interest in recent times in order to satisfy the various energy demands of our society. This paper presents a thorough review of the open literature on solar energy based heat and power plants. In order to limit the scope of the review, only fully renewable plants with at least the production of electricity and heat/hot water for end use are considered. These include solar photovoltaic and solar thermal based plants with both concentrating and non-concentrating collectors in both solar-only and solar-hybrid configurations. The paper also presents a selection of case studies for the evaluation of solar energy based combined heat and power generation possibility in Denmark. The considered technologies for the case studies are (1) solar photovoltaic modules, (2) solar flat plate collectors, (3) a ground source heat pump, (4) a biomass burner, and (5) an organic Rankine cycle. The various cases are compared on the basis of economic profitability and environmental performance. The results from the case studies indicate that it is economically and environmentally beneficial to invest in both small and large capacity solar-biomass hybrid plants for combined heat and power production in the Nordic climatic conditions. The results also suggest that the configuration with an organic Rankine cycle with solar thermal collectors and a biomass burner is particularly attractive for large capacity plants.","author":[{"dropping-particle":"","family":"Modi","given":"Anish","non-dropping-particle":"","parse-names":false,"suffix":""},{"dropping-particle":"","family":"Bühler","given":"Fabian","non-dropping-particle":"","parse-names":false,"suffix":""},{"dropping-particle":"","family":"Andreasen","given":"Jesper Graa","non-dropping-particle":"","parse-names":false,"suffix":""},{"dropping-particle":"","family":"Haglind","given":"Fredrik","non-dropping-particle":"","parse-names":false,"suffix":""}],"container-title":"Renewable and Sustainable Energy Reviews","id":"ITEM-1","issued":{"date-parts":[["2017"]]},"page":"1047-1064","publisher":"Elsevier","title":"A review of solar energy based heat and power generation systems","type":"article-journal","volume":"67"},"uris":["http://www.mendeley.com/documents/?uuid=fd712b2f-02a0-4b78-bce5-7d64dae6e243"]}],"mendeley":{"formattedCitation":"(Modi &lt;i&gt;et al.&lt;/i&gt;, 2017)","plainTextFormattedCitation":"(Modi et al., 2017)","previouslyFormattedCitation":"(Modi &lt;i&gt;et al.&lt;/i&gt;, 2017)"},"properties":{"noteIndex":0},"schema":"https://github.com/citation-style-language/schema/raw/master/csl-citation.json"}</w:instrText>
      </w:r>
      <w:r w:rsidR="0063134A" w:rsidRPr="00E66D2C">
        <w:rPr>
          <w:rFonts w:ascii="Times New Roman" w:hAnsi="Times New Roman" w:cs="Times New Roman"/>
          <w:bCs/>
          <w:sz w:val="20"/>
          <w:szCs w:val="20"/>
          <w:lang w:val="en-IN"/>
        </w:rPr>
        <w:fldChar w:fldCharType="separate"/>
      </w:r>
      <w:r w:rsidRPr="00E66D2C">
        <w:rPr>
          <w:rFonts w:ascii="Times New Roman" w:hAnsi="Times New Roman" w:cs="Times New Roman"/>
          <w:bCs/>
          <w:noProof/>
          <w:sz w:val="20"/>
          <w:szCs w:val="20"/>
          <w:lang w:val="en-IN"/>
        </w:rPr>
        <w:t xml:space="preserve">(Modi </w:t>
      </w:r>
      <w:r w:rsidRPr="00E66D2C">
        <w:rPr>
          <w:rFonts w:ascii="Times New Roman" w:hAnsi="Times New Roman" w:cs="Times New Roman"/>
          <w:bCs/>
          <w:i/>
          <w:noProof/>
          <w:sz w:val="20"/>
          <w:szCs w:val="20"/>
          <w:lang w:val="en-IN"/>
        </w:rPr>
        <w:t>et al.</w:t>
      </w:r>
      <w:r w:rsidRPr="00E66D2C">
        <w:rPr>
          <w:rFonts w:ascii="Times New Roman" w:hAnsi="Times New Roman" w:cs="Times New Roman"/>
          <w:bCs/>
          <w:noProof/>
          <w:sz w:val="20"/>
          <w:szCs w:val="20"/>
          <w:lang w:val="en-IN"/>
        </w:rPr>
        <w:t>, 2017)</w:t>
      </w:r>
      <w:r w:rsidR="0063134A" w:rsidRPr="00E66D2C">
        <w:rPr>
          <w:rFonts w:ascii="Times New Roman" w:hAnsi="Times New Roman" w:cs="Times New Roman"/>
          <w:bCs/>
          <w:sz w:val="20"/>
          <w:szCs w:val="20"/>
          <w:lang w:val="en-IN"/>
        </w:rPr>
        <w:fldChar w:fldCharType="end"/>
      </w:r>
      <w:r w:rsidRPr="00E66D2C">
        <w:rPr>
          <w:rFonts w:ascii="Times New Roman" w:hAnsi="Times New Roman" w:cs="Times New Roman"/>
          <w:bCs/>
          <w:sz w:val="20"/>
          <w:szCs w:val="20"/>
          <w:lang w:val="en-IN"/>
        </w:rPr>
        <w:t xml:space="preserve">. </w:t>
      </w:r>
      <w:r w:rsidRPr="00E66D2C">
        <w:rPr>
          <w:rFonts w:ascii="Times New Roman" w:hAnsi="Times New Roman" w:cs="Times New Roman"/>
          <w:sz w:val="20"/>
          <w:szCs w:val="20"/>
        </w:rPr>
        <w:t xml:space="preserve">The </w:t>
      </w:r>
      <w:r w:rsidRPr="00E66D2C">
        <w:rPr>
          <w:rFonts w:ascii="Times New Roman" w:hAnsi="Times New Roman" w:cs="Times New Roman"/>
          <w:sz w:val="20"/>
          <w:szCs w:val="20"/>
          <w:lang w:val="en-IN"/>
        </w:rPr>
        <w:t>objective</w:t>
      </w:r>
      <w:r w:rsidRPr="00E66D2C">
        <w:rPr>
          <w:rFonts w:ascii="Times New Roman" w:hAnsi="Times New Roman" w:cs="Times New Roman"/>
          <w:sz w:val="20"/>
          <w:szCs w:val="20"/>
        </w:rPr>
        <w:t xml:space="preserve"> of this </w:t>
      </w:r>
      <w:r w:rsidRPr="00E66D2C">
        <w:rPr>
          <w:rFonts w:ascii="Times New Roman" w:hAnsi="Times New Roman" w:cs="Times New Roman"/>
          <w:sz w:val="20"/>
          <w:szCs w:val="20"/>
          <w:lang w:val="en-IN"/>
        </w:rPr>
        <w:t>analysis was to evaluate</w:t>
      </w:r>
      <w:r w:rsidRPr="00E66D2C">
        <w:rPr>
          <w:rFonts w:ascii="Times New Roman" w:hAnsi="Times New Roman" w:cs="Times New Roman"/>
          <w:sz w:val="20"/>
          <w:szCs w:val="20"/>
        </w:rPr>
        <w:t xml:space="preserve"> the </w:t>
      </w:r>
      <w:r w:rsidRPr="00E66D2C">
        <w:rPr>
          <w:rFonts w:ascii="Times New Roman" w:hAnsi="Times New Roman" w:cs="Times New Roman"/>
          <w:sz w:val="20"/>
          <w:szCs w:val="20"/>
          <w:lang w:val="en-IN"/>
        </w:rPr>
        <w:t xml:space="preserve">procedure of electrolysis of water for generation of hydrogen, the major electrolyzers utilized, hydrogen generation problems and substitutes to meet that variable, and also to gather information on research articles on the fuel cell usage within Brazil and around the globe </w:t>
      </w:r>
      <w:r w:rsidR="0063134A" w:rsidRPr="00E66D2C">
        <w:rPr>
          <w:rFonts w:ascii="Times New Roman" w:hAnsi="Times New Roman" w:cs="Times New Roman"/>
          <w:sz w:val="20"/>
          <w:szCs w:val="20"/>
          <w:lang w:val="en-IN"/>
        </w:rPr>
        <w:fldChar w:fldCharType="begin" w:fldLock="1"/>
      </w:r>
      <w:r w:rsidRPr="00E66D2C">
        <w:rPr>
          <w:rFonts w:ascii="Times New Roman" w:hAnsi="Times New Roman" w:cs="Times New Roman"/>
          <w:sz w:val="20"/>
          <w:szCs w:val="20"/>
          <w:lang w:val="en-IN"/>
        </w:rPr>
        <w:instrText>ADDIN CSL_CITATION {"citationItems":[{"id":"ITEM-1","itemData":{"DOI":"10.1016/j.rser.2016.09.128","ISSN":"18790690","abstract":"Hydrogen is a promising fuel, can be obtained from different sources of raw materials, including water. This is a renewable and sustainable source, which can obtain a high hydrogen purity via electrolysis. Among the processes for obtaining hydrogen from the water, the electrolytic conversion is the best known, in which two electrodes are responsible for conducting electricity and production of this gas. However, to promote this segregation, some technological challenges must be overcome, as the efficiency of electrolyzers, efficiency and durability of the main fuel cells and the integration of the electrolysis systems for supply and energy, aiming to reduce production costs. The Brazil stands out worldwide with production of fuels obtained from renewable sources and also seeks to develop the hydrogen production through water electrolysis.","author":[{"dropping-particle":"","family":"Santos","given":"Kenia Gabriela","non-dropping-particle":"dos","parse-names":false,"suffix":""},{"dropping-particle":"","family":"Eckert","given":"Caroline Thaís","non-dropping-particle":"","parse-names":false,"suffix":""},{"dropping-particle":"","family":"Rossi","given":"Eduardo","non-dropping-particle":"De","parse-names":false,"suffix":""},{"dropping-particle":"","family":"Bariccatti","given":"Reinaldo Aparecido","non-dropping-particle":"","parse-names":false,"suffix":""},{"dropping-particle":"","family":"Frigo","given":"Elisandro Pires","non-dropping-particle":"","parse-names":false,"suffix":""},{"dropping-particle":"","family":"Lindino","given":"Cleber Antonio","non-dropping-particle":"","parse-names":false,"suffix":""},{"dropping-particle":"","family":"Alves","given":"Helton José","non-dropping-particle":"","parse-names":false,"suffix":""}],"container-title":"Renewable and Sustainable Energy Reviews","id":"ITEM-1","issue":"September 2016","issued":{"date-parts":[["2017"]]},"page":"563-571","publisher":"Elsevier","title":"Hydrogen production in the electrolysis of water in Brazil, a review","type":"article-journal","volume":"68"},"uris":["http://www.mendeley.com/documents/?uuid=26fbc633-ef5e-4826-8f49-ad85dd4d7f9a"]}],"mendeley":{"formattedCitation":"(dos Santos &lt;i&gt;et al.&lt;/i&gt;, 2017)","plainTextFormattedCitation":"(dos Santos et al., 2017)","previouslyFormattedCitation":"(dos Santos &lt;i&gt;et al.&lt;/i&gt;, 2017)"},"properties":{"noteIndex":0},"schema":"https://github.com/citation-style-language/schema/raw/master/csl-citation.json"}</w:instrText>
      </w:r>
      <w:r w:rsidR="0063134A" w:rsidRPr="00E66D2C">
        <w:rPr>
          <w:rFonts w:ascii="Times New Roman" w:hAnsi="Times New Roman" w:cs="Times New Roman"/>
          <w:sz w:val="20"/>
          <w:szCs w:val="20"/>
          <w:lang w:val="en-IN"/>
        </w:rPr>
        <w:fldChar w:fldCharType="separate"/>
      </w:r>
      <w:r w:rsidRPr="00E66D2C">
        <w:rPr>
          <w:rFonts w:ascii="Times New Roman" w:hAnsi="Times New Roman" w:cs="Times New Roman"/>
          <w:noProof/>
          <w:sz w:val="20"/>
          <w:szCs w:val="20"/>
          <w:lang w:val="en-IN"/>
        </w:rPr>
        <w:t xml:space="preserve">(dos Santos </w:t>
      </w:r>
      <w:r w:rsidRPr="00E66D2C">
        <w:rPr>
          <w:rFonts w:ascii="Times New Roman" w:hAnsi="Times New Roman" w:cs="Times New Roman"/>
          <w:i/>
          <w:noProof/>
          <w:sz w:val="20"/>
          <w:szCs w:val="20"/>
          <w:lang w:val="en-IN"/>
        </w:rPr>
        <w:t>et al.</w:t>
      </w:r>
      <w:r w:rsidRPr="00E66D2C">
        <w:rPr>
          <w:rFonts w:ascii="Times New Roman" w:hAnsi="Times New Roman" w:cs="Times New Roman"/>
          <w:noProof/>
          <w:sz w:val="20"/>
          <w:szCs w:val="20"/>
          <w:lang w:val="en-IN"/>
        </w:rPr>
        <w:t>, 2017)</w:t>
      </w:r>
      <w:r w:rsidR="0063134A" w:rsidRPr="00E66D2C">
        <w:rPr>
          <w:rFonts w:ascii="Times New Roman" w:hAnsi="Times New Roman" w:cs="Times New Roman"/>
          <w:sz w:val="20"/>
          <w:szCs w:val="20"/>
          <w:lang w:val="en-IN"/>
        </w:rPr>
        <w:fldChar w:fldCharType="end"/>
      </w:r>
      <w:r w:rsidRPr="00E66D2C">
        <w:rPr>
          <w:rFonts w:ascii="Times New Roman" w:hAnsi="Times New Roman" w:cs="Times New Roman"/>
          <w:sz w:val="20"/>
          <w:szCs w:val="20"/>
          <w:lang w:val="en-IN"/>
        </w:rPr>
        <w:t xml:space="preserve">. </w:t>
      </w:r>
      <w:r w:rsidRPr="00E66D2C">
        <w:rPr>
          <w:rFonts w:ascii="Times New Roman" w:hAnsi="Times New Roman" w:cs="Times New Roman"/>
          <w:sz w:val="20"/>
          <w:szCs w:val="20"/>
        </w:rPr>
        <w:t xml:space="preserve">In this </w:t>
      </w:r>
      <w:r w:rsidRPr="00E66D2C">
        <w:rPr>
          <w:rFonts w:ascii="Times New Roman" w:hAnsi="Times New Roman" w:cs="Times New Roman"/>
          <w:sz w:val="20"/>
          <w:szCs w:val="20"/>
          <w:lang w:val="en-IN"/>
        </w:rPr>
        <w:t>paper,</w:t>
      </w:r>
      <w:r w:rsidRPr="00E66D2C">
        <w:rPr>
          <w:rFonts w:ascii="Times New Roman" w:hAnsi="Times New Roman" w:cs="Times New Roman"/>
          <w:sz w:val="20"/>
          <w:szCs w:val="20"/>
        </w:rPr>
        <w:t xml:space="preserve"> the us</w:t>
      </w:r>
      <w:r w:rsidRPr="00E66D2C">
        <w:rPr>
          <w:rFonts w:ascii="Times New Roman" w:hAnsi="Times New Roman" w:cs="Times New Roman"/>
          <w:sz w:val="20"/>
          <w:szCs w:val="20"/>
          <w:lang w:val="en-IN"/>
        </w:rPr>
        <w:t>age of OH and ROR (ethers) as fuel in SI engine which might substitute the fuels dependent on crude</w:t>
      </w:r>
      <w:r w:rsidRPr="00E66D2C">
        <w:rPr>
          <w:rFonts w:ascii="Times New Roman" w:hAnsi="Times New Roman" w:cs="Times New Roman"/>
          <w:sz w:val="20"/>
          <w:szCs w:val="20"/>
        </w:rPr>
        <w:t xml:space="preserve">. </w:t>
      </w:r>
      <w:r w:rsidRPr="00E66D2C">
        <w:rPr>
          <w:rFonts w:ascii="Times New Roman" w:hAnsi="Times New Roman" w:cs="Times New Roman"/>
          <w:sz w:val="20"/>
          <w:szCs w:val="20"/>
          <w:lang w:val="en-IN"/>
        </w:rPr>
        <w:t xml:space="preserve">In addition, the current research explored the impact of fuels OH &amp; ether on efficiency, exhaust and combustion properties of the S.I engine </w:t>
      </w:r>
      <w:r w:rsidR="0063134A" w:rsidRPr="00E66D2C">
        <w:rPr>
          <w:rFonts w:ascii="Times New Roman" w:hAnsi="Times New Roman" w:cs="Times New Roman"/>
          <w:sz w:val="20"/>
          <w:szCs w:val="20"/>
          <w:lang w:val="en-IN"/>
        </w:rPr>
        <w:fldChar w:fldCharType="begin" w:fldLock="1"/>
      </w:r>
      <w:r w:rsidRPr="00E66D2C">
        <w:rPr>
          <w:rFonts w:ascii="Times New Roman" w:hAnsi="Times New Roman" w:cs="Times New Roman"/>
          <w:sz w:val="20"/>
          <w:szCs w:val="20"/>
          <w:lang w:val="en-IN"/>
        </w:rPr>
        <w:instrText>ADDIN CSL_CITATION {"citationItems":[{"id":"ITEM-1","itemData":{"DOI":"10.1016/j.rser.2017.09.074","ISSN":"13640321","abstract":"Energy security and global warming concern are the two main driving forces for the global alcohol development that also have the effort to animate the agro-industry. Generally, alcohol and ether fuels are produced from several sources and can be produced locally. Almost all alcohol fuels have similar combustion and ignition characteristics to existing known mineral fuels. Mainly the ether fuels (MTBE and DME) are used as additives at low blending ratio to enhance the octane number and oxygen content of gasoline. The addition of alcohol and ether fuels to gasoline lead to a complete combustion due to the higher oxygen content, thereby leads to in- creased combustion efficiency and decreased engine emissions. The objectives of this paper are to systematically review the use of alcohols and ethers including butanol, methanol, ethanol, and fusel oil, MTBE, and DME as fuels in SI engine. Also, the current study has investigated the effects of performance (brake torque, brake power, BSFC, effective efficiency, and EGT), emissions (CO, CO2, NOx and HC) and combustion characteristics of SI engine with alcohol and ether. The increase in engine performance could be attained with an increased com- pression ratio along with the use of alcohol fuels which have a higher-octane value. Furthermore, alcohol and ether burn very cleanly than regular gasoline and produce lesser carbon monoxide (CO) and nitrogen oxide (NOx). On the other hand, the energy value of alcohol and ether fuels is approximately 30% lower than gasoline; thereby the specific fuel consumption (SFC) will increase simultaneously when using alcohol and ether as a fuel. Finally, this paper also discusses the impacts of alcohol on engine vibration, engine noise, and potential to be used as a gasoline octane enhancer. Alcohol can be used as a pure fuel in spark ignition engine, but it requires some","author":[{"dropping-particle":"","family":"Mamat","given":"R.","non-dropping-particle":"","parse-names":false,"suffix":""},{"dropping-particle":"","family":"Awad","given":"Omar I.","non-dropping-particle":"","parse-names":false,"suffix":""},{"dropping-particle":"","family":"Ali","given":"Obed M.","non-dropping-particle":"","parse-names":false,"suffix":""},{"dropping-particle":"","family":"Kettner","given":"Maurice","non-dropping-particle":"","parse-names":false,"suffix":""},{"dropping-particle":"","family":"Kadirgama","given":"K.","non-dropping-particle":"","parse-names":false,"suffix":""},{"dropping-particle":"","family":"Sidik","given":"N.A.C.","non-dropping-particle":"","parse-names":false,"suffix":""},{"dropping-particle":"","family":"Yusaf","given":"T.","non-dropping-particle":"","parse-names":false,"suffix":""}],"container-title":"Renewable and Sustainable Energy Reviews","id":"ITEM-1","issue":"May","issued":{"date-parts":[["2017"]]},"page":"2586-2605","publisher":"Elsevier Ltd","title":"Alcohol and ether as alternative fuels in spark ignition engine: A review","type":"article-journal","volume":"82"},"uris":["http://www.mendeley.com/documents/?uuid=acc1cd6c-3bab-4ce9-96f0-dc487e126c65"]}],"mendeley":{"formattedCitation":"(Mamat &lt;i&gt;et al.&lt;/i&gt;, 2017)","plainTextFormattedCitation":"(Mamat et al., 2017)","previouslyFormattedCitation":"(Mamat &lt;i&gt;et al.&lt;/i&gt;, 2017)"},"properties":{"noteIndex":0},"schema":"https://github.com/citation-style-language/schema/raw/master/csl-citation.json"}</w:instrText>
      </w:r>
      <w:r w:rsidR="0063134A" w:rsidRPr="00E66D2C">
        <w:rPr>
          <w:rFonts w:ascii="Times New Roman" w:hAnsi="Times New Roman" w:cs="Times New Roman"/>
          <w:sz w:val="20"/>
          <w:szCs w:val="20"/>
          <w:lang w:val="en-IN"/>
        </w:rPr>
        <w:fldChar w:fldCharType="separate"/>
      </w:r>
      <w:r w:rsidRPr="00E66D2C">
        <w:rPr>
          <w:rFonts w:ascii="Times New Roman" w:hAnsi="Times New Roman" w:cs="Times New Roman"/>
          <w:noProof/>
          <w:sz w:val="20"/>
          <w:szCs w:val="20"/>
          <w:lang w:val="en-IN"/>
        </w:rPr>
        <w:t xml:space="preserve">(Mamat </w:t>
      </w:r>
      <w:r w:rsidRPr="00E66D2C">
        <w:rPr>
          <w:rFonts w:ascii="Times New Roman" w:hAnsi="Times New Roman" w:cs="Times New Roman"/>
          <w:i/>
          <w:noProof/>
          <w:sz w:val="20"/>
          <w:szCs w:val="20"/>
          <w:lang w:val="en-IN"/>
        </w:rPr>
        <w:t>et al.</w:t>
      </w:r>
      <w:r w:rsidRPr="00E66D2C">
        <w:rPr>
          <w:rFonts w:ascii="Times New Roman" w:hAnsi="Times New Roman" w:cs="Times New Roman"/>
          <w:noProof/>
          <w:sz w:val="20"/>
          <w:szCs w:val="20"/>
          <w:lang w:val="en-IN"/>
        </w:rPr>
        <w:t>, 2017)</w:t>
      </w:r>
      <w:r w:rsidR="0063134A" w:rsidRPr="00E66D2C">
        <w:rPr>
          <w:rFonts w:ascii="Times New Roman" w:hAnsi="Times New Roman" w:cs="Times New Roman"/>
          <w:sz w:val="20"/>
          <w:szCs w:val="20"/>
          <w:lang w:val="en-IN"/>
        </w:rPr>
        <w:fldChar w:fldCharType="end"/>
      </w:r>
      <w:r w:rsidRPr="00E66D2C">
        <w:rPr>
          <w:rFonts w:ascii="Times New Roman" w:hAnsi="Times New Roman" w:cs="Times New Roman"/>
          <w:sz w:val="20"/>
          <w:szCs w:val="20"/>
          <w:lang w:val="en-IN"/>
        </w:rPr>
        <w:t xml:space="preserve">. </w:t>
      </w:r>
      <w:r w:rsidRPr="00E66D2C">
        <w:rPr>
          <w:rFonts w:ascii="Times New Roman" w:hAnsi="Times New Roman" w:cs="Times New Roman"/>
          <w:sz w:val="20"/>
          <w:szCs w:val="20"/>
        </w:rPr>
        <w:t xml:space="preserve">In this </w:t>
      </w:r>
      <w:r w:rsidRPr="00E66D2C">
        <w:rPr>
          <w:rFonts w:ascii="Times New Roman" w:hAnsi="Times New Roman" w:cs="Times New Roman"/>
          <w:sz w:val="20"/>
          <w:szCs w:val="20"/>
          <w:lang w:val="en-IN"/>
        </w:rPr>
        <w:t>review</w:t>
      </w:r>
      <w:r w:rsidRPr="00E66D2C">
        <w:rPr>
          <w:rFonts w:ascii="Times New Roman" w:hAnsi="Times New Roman" w:cs="Times New Roman"/>
          <w:sz w:val="20"/>
          <w:szCs w:val="20"/>
        </w:rPr>
        <w:t>,</w:t>
      </w:r>
      <w:r w:rsidRPr="00E66D2C">
        <w:rPr>
          <w:rFonts w:ascii="Times New Roman" w:hAnsi="Times New Roman" w:cs="Times New Roman"/>
          <w:sz w:val="20"/>
          <w:szCs w:val="20"/>
          <w:lang w:val="en-IN"/>
        </w:rPr>
        <w:t xml:space="preserve"> Stirling engine output on basis of thermodynamic procedure such as thermodynamic analysis infinite time, thermodynamic analysis of fine speeds, isothermal procedure, anti-ideal adiabatic procedure, CAFS and PSVL, model were reported </w:t>
      </w:r>
      <w:r w:rsidR="0063134A" w:rsidRPr="00E66D2C">
        <w:rPr>
          <w:rFonts w:ascii="Times New Roman" w:hAnsi="Times New Roman" w:cs="Times New Roman"/>
          <w:sz w:val="20"/>
          <w:szCs w:val="20"/>
          <w:lang w:val="en-IN"/>
        </w:rPr>
        <w:fldChar w:fldCharType="begin" w:fldLock="1"/>
      </w:r>
      <w:r w:rsidRPr="00E66D2C">
        <w:rPr>
          <w:rFonts w:ascii="Times New Roman" w:hAnsi="Times New Roman" w:cs="Times New Roman"/>
          <w:sz w:val="20"/>
          <w:szCs w:val="20"/>
          <w:lang w:val="en-IN"/>
        </w:rPr>
        <w:instrText>ADDIN CSL_CITATION {"citationItems":[{"id":"ITEM-1","itemData":{"DOI":"10.1016/j.rser.2016.09.033","ISSN":"18790690","abstract":"This paper demonstrates a detailed review of the performance of Stirling engine based on the thermodynamic methods like Finite Time Thermodynamic analysis, Finite speed thermodynamic analysis, Isothermal model, Non-ideal adiabatic method, CAFS: The Combined Adiabatic- Finite Speed Thermal Model and Polytropic analysis of Stirling engine with Various Loss mechanisms (PSVL) model are reported. The aim of the paper is to summarize overall research work being carried out worldwide on the thermodynamic performance evaluation of Stirling engine using different thermodynamic methods. In this paper, the conventional thermodynamic methods for GPU3 Stirling engine were compared. The outcome of this comparison revealed that PSVL was better than the other methods.","author":[{"dropping-particle":"","family":"Ahmadi","given":"Mohammad H.","non-dropping-particle":"","parse-names":false,"suffix":""},{"dropping-particle":"","family":"Ahmadi","given":"Mohammad Ali","non-dropping-particle":"","parse-names":false,"suffix":""},{"dropping-particle":"","family":"Pourfayaz","given":"Fathollah","non-dropping-particle":"","parse-names":false,"suffix":""}],"container-title":"Renewable and Sustainable Energy Reviews","id":"ITEM-1","issue":"July 2015","issued":{"date-parts":[["2017"]]},"page":"168-184","publisher":"Elsevier","title":"Thermal models for analysis of performance of Stirling engine: A review","type":"article-journal","volume":"68"},"uris":["http://www.mendeley.com/documents/?uuid=11936b90-55ff-4087-b730-658006f58871"]}],"mendeley":{"formattedCitation":"(Ahmadi, Ahmadi and Pourfayaz, 2017)","plainTextFormattedCitation":"(Ahmadi, Ahmadi and Pourfayaz, 2017)","previouslyFormattedCitation":"(Ahmadi, Ahmadi and Pourfayaz, 2017)"},"properties":{"noteIndex":0},"schema":"https://github.com/citation-style-language/schema/raw/master/csl-citation.json"}</w:instrText>
      </w:r>
      <w:r w:rsidR="0063134A" w:rsidRPr="00E66D2C">
        <w:rPr>
          <w:rFonts w:ascii="Times New Roman" w:hAnsi="Times New Roman" w:cs="Times New Roman"/>
          <w:sz w:val="20"/>
          <w:szCs w:val="20"/>
          <w:lang w:val="en-IN"/>
        </w:rPr>
        <w:fldChar w:fldCharType="separate"/>
      </w:r>
      <w:r w:rsidRPr="00E66D2C">
        <w:rPr>
          <w:rFonts w:ascii="Times New Roman" w:hAnsi="Times New Roman" w:cs="Times New Roman"/>
          <w:noProof/>
          <w:sz w:val="20"/>
          <w:szCs w:val="20"/>
          <w:lang w:val="en-IN"/>
        </w:rPr>
        <w:t>(Ahmadi, Ahmadi and Pourfayaz, 2017)</w:t>
      </w:r>
      <w:r w:rsidR="0063134A" w:rsidRPr="00E66D2C">
        <w:rPr>
          <w:rFonts w:ascii="Times New Roman" w:hAnsi="Times New Roman" w:cs="Times New Roman"/>
          <w:sz w:val="20"/>
          <w:szCs w:val="20"/>
          <w:lang w:val="en-IN"/>
        </w:rPr>
        <w:fldChar w:fldCharType="end"/>
      </w:r>
      <w:r w:rsidRPr="00E66D2C">
        <w:rPr>
          <w:rFonts w:ascii="Times New Roman" w:hAnsi="Times New Roman" w:cs="Times New Roman"/>
          <w:sz w:val="20"/>
          <w:szCs w:val="20"/>
          <w:lang w:val="en-IN"/>
        </w:rPr>
        <w:t xml:space="preserve">. </w:t>
      </w:r>
    </w:p>
    <w:p w:rsidR="00456158" w:rsidRDefault="00A147DF" w:rsidP="00456158">
      <w:pPr>
        <w:pStyle w:val="ListParagraph"/>
        <w:spacing w:line="240" w:lineRule="auto"/>
        <w:ind w:left="142"/>
        <w:rPr>
          <w:rFonts w:ascii="Times New Roman" w:hAnsi="Times New Roman" w:cs="Times New Roman"/>
          <w:sz w:val="20"/>
          <w:szCs w:val="20"/>
        </w:rPr>
      </w:pPr>
      <w:r w:rsidRPr="008C36F5">
        <w:rPr>
          <w:rFonts w:ascii="Times New Roman" w:hAnsi="Times New Roman" w:cs="Times New Roman"/>
          <w:sz w:val="20"/>
          <w:szCs w:val="20"/>
          <w:lang w:val="en-IN"/>
        </w:rPr>
        <w:t>The cells of microbial electrolysis</w:t>
      </w:r>
      <w:r w:rsidR="0040445B">
        <w:rPr>
          <w:rFonts w:ascii="Times New Roman" w:hAnsi="Times New Roman" w:cs="Times New Roman"/>
          <w:sz w:val="20"/>
          <w:szCs w:val="20"/>
          <w:lang w:val="en-IN"/>
        </w:rPr>
        <w:t xml:space="preserve"> </w:t>
      </w:r>
      <w:r w:rsidRPr="008C36F5">
        <w:rPr>
          <w:rFonts w:ascii="Times New Roman" w:hAnsi="Times New Roman" w:cs="Times New Roman"/>
          <w:sz w:val="20"/>
          <w:szCs w:val="20"/>
          <w:lang w:val="en-IN"/>
        </w:rPr>
        <w:t>(MECs) were generating biological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and discussed currently available methods for inhibition of methanogenesis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{"citationItems":[{"id":"ITEM-1","itemData":{"DOI":"10.1016/j.biotechadv.2017.07.004","ISBN":"0734-9750","ISSN":"07349750","PMID":"21875792","abstract":"Microbial electrolysis cells (MECs) are a promising technology for biological hydrogen production. Compared to abiotic water electrolysis, a much lower electrical voltage (~ 0.2 V) is required for hydrogen production in MECs. It is also an attractive waste treatment technology as a variety of biodegradable substances can be used as the process feedstock. Underpinning this technology is a recently discovered bioelectrochemical pathway known as “bioelectrohydrogenesis”. However, little is known about the mechanism of this pathway, and numerous hurdles are yet to be addressed to maximize hydrogen yield and purity. Here, we review various aspects including reactor configurations, microorganisms, substrates, electrode materials, and inhibitors of methanogenesis in order to improve hydrogen generation in MECs.","author":[{"dropping-particle":"","family":"Karthikeyan","given":"Rengasamy","non-dropping-particle":"","parse-names":false,"suffix":""},{"dropping-particle":"","family":"Cheng","given":"Ka Yu","non-dropping-particle":"","parse-names":false,"suffix":""},{"dropping-particle":"","family":"Selvam","given":"Ammaiyappan","non-dropping-particle":"","parse-names":false,"suffix":""},{"dropping-particle":"","family":"Bose","given":"Arpita","non-dropping-particle":"","parse-names":false,"suffix":""},{"dropping-particle":"","family":"Wong","given":"Jonathan W.C.","non-dropping-particle":"","parse-names":false,"suffix":""}],"container-title":"Biotechnology Advances","id":"ITEM-1","issue":"6","issued":{"date-parts":[["2017"]]},"page":"758-771","publisher":"Elsevier Inc","title":"Bioelectrohydrogenesis and inhibition of methanogenic activity in microbial electrolysis cells - A review","type":"article-journal","volume":"35"},"uris":["http://www.mendeley.com/documents/?uuid=83cab70f-cefb-4d31-bf12-6c9d84259f7d"]}],"mendeley":{"formattedCitation":"(Karthikeyan &lt;i&gt;et al.&lt;/i&gt;, 2017)","plainTextFormattedCitation":"(Karthikeyan et al., 2017)","previouslyFormattedCitation":"(Karthikeyan &lt;i&gt;et al.&lt;/i&gt;, 2017)"},"properties":{"noteIndex":0},"schema":"https://github.com/citation-style-language/schema/raw/master/csl-citation.json"}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(Karthikeyan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2017)</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This paper delivered an extensive and complete overview of current modelling functions upon the electrolysis system for small temperatures. The membrane interchange innovations of alkaline and proton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{"citationItems":[{"id":"ITEM-1","itemData":{"DOI":"10.1016/j.rser.2017.03.099","ISSN":"18790690","abstract":"This review provides an exhaustive and comprehensive analysis of the existing modelling works about low temperature electrolysis system: alkaline and proton exchange membrane (PEM) technologies. In order to achieve this review, a classification was built, based on different criteria such as physical domains involved or modelling approaches. The proposed methodology allows both exposing an overview of the electrolysis system modelling field and providing a deep analysis of each reviewed model. Actual strengths, weaknesses and lacks in this research field are pointed out and the performed analysis provides ideas for future research in this area.","author":[{"dropping-particle":"","family":"Olivier","given":"Pierre","non-dropping-particle":"","parse-names":false,"suffix":""},{"dropping-particle":"","family":"Bourasseau","given":"Cyril","non-dropping-particle":"","parse-names":false,"suffix":""},{"dropping-particle":"","family":"Bouamama","given":"Pr Belkacem","non-dropping-particle":"","parse-names":false,"suffix":""}],"container-title":"Renewable and Sustainable Energy Reviews","id":"ITEM-1","issue":"January 2016","issued":{"date-parts":[["2017"]]},"page":"280-300","title":"Low-temperature electrolysis system modelling: A review","type":"article-journal","volume":"78"},"uris":["http://www.mendeley.com/documents/?uuid=91cafadb-27a8-4a7c-bc42-a214e132f3c8"]}],"mendeley":{"formattedCitation":"(Olivier, Bourasseau and Bouamama, 2017)","plainTextFormattedCitation":"(Olivier, Bourasseau and Bouamama, 2017)","previouslyFormattedCitation":"(Olivier, Bourasseau and Bouamama, 2017)"},"properties":{"noteIndex":0},"schema":"https://github.com/citation-style-language/schema/raw/master/csl-citation.json"}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(Olivier, Bourasseau and Bouamama, 2017)</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This study helped in the further development of the CSP power plants in India. It also attracted potential investors to the sector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{"citationItems":[{"id":"ITEM-1","itemData":{"DOI":"10.1016/j.rser.2017.05.086","ISSN":"18790690","abstract":"The electricity generated by concentrated solar power (CSP) in every year is being increased with high rate in India. India have enormous solar power potential for solar electricity generation per watt set up because it has solar radiation of 1700–1900 kW h per kilowatt peak with more than 300 clear sky days in year. Government of India set target of extra solar power generation of 10,000 MW till 2017, and an 100,000 MW till 2022.Therefore, the area of concern in this study is the review of the various installed CSP based electricity generation plant in India.","author":[{"dropping-particle":"","family":"Kumar","given":"Anil","non-dropping-particle":"","parse-names":false,"suffix":""},{"dropping-particle":"","family":"Prakash","given":"Om","non-dropping-particle":"","parse-names":false,"suffix":""},{"dropping-particle":"","family":"Dube","given":"Akarshi","non-dropping-particle":"","parse-names":false,"suffix":""}],"container-title":"Renewable and Sustainable Energy Reviews","id":"ITEM-1","issue":"February 2016","issued":{"date-parts":[["2017"]]},"page":"304-307","publisher":"Elsevier Ltd","title":"A review on progress of concentrated solar power in India","type":"article-journal","volume":"79"},"uris":["http://www.mendeley.com/documents/?uuid=d5a3b444-2e05-485b-9e06-7aafcd6da827"]}],"mendeley":{"formattedCitation":"(Kumar, Prakash and Dube, 2017)","plainTextFormattedCitation":"(Kumar, Prakash and Dube, 2017)","previouslyFormattedCitation":"(Kumar, Prakash and Dube, 2017)"},"properties":{"noteIndex":0},"schema":"https://github.com/citation-style-language/schema/raw/master/csl-citation.json"}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(Kumar, Prakash and Dube, 2017)</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The evolution of carbon assisted WE technology has shown that commercialization of this process requires varying levels of effort. This technology can be commonly used for various applications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{"citationItems":[{"id":"ITEM-1","itemData":{"DOI":"10.1016/j.apenergy.2018.09.125","ISBN":"0306-2619","ISSN":"03062619","abstract":"Hydrogen is mainly produced by natural gas reforming, which is a highly efficient process with low feedstock costs. However, the rising interest in clean technologies will increase the demand for hydrogen, meaning that other sources will need to be explored. Although coal is currently the major source of power generation, its demand appears to be declining due to the rise in electricity generated from renewable energy sources and the worldwide quest for low-emission power generation. Coal reserves worldwide are abundant, but new technologies would be needed to produce hydrogen from this feedstock. Coal gasification is one well-established technology for this purpose, but it is inefficient and produces high CO2 emissions. An alternative technology that has been investigated over the past few decades is carbon assisted water electrolysis. The basic process is water/steam electrolysis, with part of the energy required for the electrolysis provided by the chemical energy of coal, which reduces the overall electrical energy input. In addition to coal, the process can also use other carbon sources, such as biomass, alcohols or gaseous hydrocarbons. Several studies have investigated this electrochemical route of hydrogen production, employing different electrolytes in a wide temperature range (room temperature to 850 °C) under different process conditions. This paper presents a comprehensive review of carbon assisted water electrolysis, associated materials used and the challenges for the development of the technology at the commercial scale.","author":[{"dropping-particle":"","family":"Ju","given":"Hyung Kuk","non-dropping-particle":"","parse-names":false,"suffix":""},{"dropping-particle":"","family":"Badwal","given":"Sukhvinder","non-dropping-particle":"","parse-names":false,"suffix":""},{"dropping-particle":"","family":"Giddey","given":"Sarbjit","non-dropping-particle":"","parse-names":false,"suffix":""}],"container-title":"Applied Energy","id":"ITEM-1","issue":"May","issued":{"date-parts":[["2018"]]},"page":"502-533","publisher":"Elsevier","title":"A comprehensive review of carbon and hydrocarbon assisted water electrolysis for hydrogen production","type":"article-journal","volume":"231"},"uris":["http://www.mendeley.com/documents/?uuid=c27e1422-851e-48dd-8289-24fa0d7eef41"]}],"mendeley":{"formattedCitation":"(Ju, Badwal and Giddey, 2018)","plainTextFormattedCitation":"(Ju, Badwal and Giddey, 2018)","previouslyFormattedCitation":"(Ju, Badwal and Giddey, 2018)"},"properties":{"noteIndex":0},"schema":"https://github.com/citation-style-language/schema/raw/master/csl-citation.json"}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(Ju, Badwal and Giddey, 2018)</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rPr>
        <w:t xml:space="preserve">This </w:t>
      </w:r>
      <w:r w:rsidRPr="008C36F5">
        <w:rPr>
          <w:rFonts w:ascii="Times New Roman" w:hAnsi="Times New Roman" w:cs="Times New Roman"/>
          <w:sz w:val="20"/>
          <w:szCs w:val="20"/>
          <w:lang w:val="en-IN"/>
        </w:rPr>
        <w:t>study offered</w:t>
      </w:r>
      <w:r w:rsidRPr="008C36F5">
        <w:rPr>
          <w:rFonts w:ascii="Times New Roman" w:hAnsi="Times New Roman" w:cs="Times New Roman"/>
          <w:sz w:val="20"/>
          <w:szCs w:val="20"/>
        </w:rPr>
        <w:t xml:space="preserve"> a </w:t>
      </w:r>
      <w:r w:rsidRPr="008C36F5">
        <w:rPr>
          <w:rFonts w:ascii="Times New Roman" w:hAnsi="Times New Roman" w:cs="Times New Roman"/>
          <w:sz w:val="20"/>
          <w:szCs w:val="20"/>
          <w:lang w:val="en-IN"/>
        </w:rPr>
        <w:t>foundation</w:t>
      </w:r>
      <w:r w:rsidRPr="008C36F5">
        <w:rPr>
          <w:rFonts w:ascii="Times New Roman" w:hAnsi="Times New Roman" w:cs="Times New Roman"/>
          <w:sz w:val="20"/>
          <w:szCs w:val="20"/>
        </w:rPr>
        <w:t xml:space="preserve"> of </w:t>
      </w:r>
      <w:r w:rsidRPr="008C36F5">
        <w:rPr>
          <w:rFonts w:ascii="Times New Roman" w:hAnsi="Times New Roman" w:cs="Times New Roman"/>
          <w:sz w:val="20"/>
          <w:szCs w:val="20"/>
          <w:lang w:val="en-IN"/>
        </w:rPr>
        <w:t>essential parameters</w:t>
      </w:r>
      <w:r w:rsidRPr="008C36F5">
        <w:rPr>
          <w:rFonts w:ascii="Times New Roman" w:hAnsi="Times New Roman" w:cs="Times New Roman"/>
          <w:sz w:val="20"/>
          <w:szCs w:val="20"/>
        </w:rPr>
        <w:t xml:space="preserve"> and </w:t>
      </w:r>
      <w:r w:rsidRPr="008C36F5">
        <w:rPr>
          <w:rFonts w:ascii="Times New Roman" w:hAnsi="Times New Roman" w:cs="Times New Roman"/>
          <w:sz w:val="20"/>
          <w:szCs w:val="20"/>
          <w:lang w:val="en-IN"/>
        </w:rPr>
        <w:t xml:space="preserve">requisite interpretation </w:t>
      </w:r>
      <w:r w:rsidRPr="008C36F5">
        <w:rPr>
          <w:rFonts w:ascii="Times New Roman" w:hAnsi="Times New Roman" w:cs="Times New Roman"/>
          <w:sz w:val="20"/>
          <w:szCs w:val="20"/>
        </w:rPr>
        <w:t xml:space="preserve">of electrolysis </w:t>
      </w:r>
      <w:r w:rsidRPr="008C36F5">
        <w:rPr>
          <w:rFonts w:ascii="Times New Roman" w:hAnsi="Times New Roman" w:cs="Times New Roman"/>
          <w:sz w:val="20"/>
          <w:szCs w:val="20"/>
          <w:lang w:val="en-IN"/>
        </w:rPr>
        <w:t>underlying basics</w:t>
      </w:r>
      <w:r w:rsidRPr="008C36F5">
        <w:rPr>
          <w:rFonts w:ascii="Times New Roman" w:hAnsi="Times New Roman" w:cs="Times New Roman"/>
          <w:sz w:val="20"/>
          <w:szCs w:val="20"/>
        </w:rPr>
        <w:t xml:space="preserve"> and </w:t>
      </w:r>
      <w:r w:rsidRPr="008C36F5">
        <w:rPr>
          <w:rFonts w:ascii="Times New Roman" w:hAnsi="Times New Roman" w:cs="Times New Roman"/>
          <w:sz w:val="20"/>
          <w:szCs w:val="20"/>
          <w:lang w:val="en-IN"/>
        </w:rPr>
        <w:t>innovations</w:t>
      </w:r>
      <w:r w:rsidRPr="008C36F5">
        <w:rPr>
          <w:rFonts w:ascii="Times New Roman" w:hAnsi="Times New Roman" w:cs="Times New Roman"/>
          <w:sz w:val="20"/>
          <w:szCs w:val="20"/>
        </w:rPr>
        <w:t xml:space="preserve"> for a techn</w:t>
      </w:r>
      <w:r w:rsidRPr="008C36F5">
        <w:rPr>
          <w:rFonts w:ascii="Times New Roman" w:hAnsi="Times New Roman" w:cs="Times New Roman"/>
          <w:sz w:val="20"/>
          <w:szCs w:val="20"/>
          <w:lang w:val="en-IN"/>
        </w:rPr>
        <w:t xml:space="preserve">ical and </w:t>
      </w:r>
      <w:r w:rsidRPr="008C36F5">
        <w:rPr>
          <w:rFonts w:ascii="Times New Roman" w:hAnsi="Times New Roman" w:cs="Times New Roman"/>
          <w:sz w:val="20"/>
          <w:szCs w:val="20"/>
        </w:rPr>
        <w:t xml:space="preserve">economic </w:t>
      </w:r>
      <w:r w:rsidRPr="008C36F5">
        <w:rPr>
          <w:rFonts w:ascii="Times New Roman" w:hAnsi="Times New Roman" w:cs="Times New Roman"/>
          <w:sz w:val="20"/>
          <w:szCs w:val="20"/>
          <w:lang w:val="en-IN"/>
        </w:rPr>
        <w:t>assessment</w:t>
      </w:r>
      <w:r w:rsidRPr="008C36F5">
        <w:rPr>
          <w:rFonts w:ascii="Times New Roman" w:hAnsi="Times New Roman" w:cs="Times New Roman"/>
          <w:sz w:val="20"/>
          <w:szCs w:val="20"/>
        </w:rPr>
        <w:t xml:space="preserve"> of </w:t>
      </w:r>
      <w:r w:rsidRPr="008C36F5">
        <w:rPr>
          <w:rFonts w:ascii="Times New Roman" w:hAnsi="Times New Roman" w:cs="Times New Roman"/>
          <w:sz w:val="20"/>
          <w:szCs w:val="20"/>
          <w:lang w:val="en-IN"/>
        </w:rPr>
        <w:t>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O</w:t>
      </w:r>
      <w:r w:rsidRPr="008C36F5">
        <w:rPr>
          <w:rFonts w:ascii="Times New Roman" w:hAnsi="Times New Roman" w:cs="Times New Roman"/>
          <w:sz w:val="20"/>
          <w:szCs w:val="20"/>
        </w:rPr>
        <w:t xml:space="preserve"> electrolysis-</w:t>
      </w:r>
      <w:r w:rsidRPr="008C36F5">
        <w:rPr>
          <w:rFonts w:ascii="Times New Roman" w:hAnsi="Times New Roman" w:cs="Times New Roman"/>
          <w:sz w:val="20"/>
          <w:szCs w:val="20"/>
          <w:lang w:val="en-IN"/>
        </w:rPr>
        <w:t>dependent principles</w:t>
      </w:r>
      <w:r w:rsidRPr="008C36F5">
        <w:rPr>
          <w:rFonts w:ascii="Times New Roman" w:hAnsi="Times New Roman" w:cs="Times New Roman"/>
          <w:sz w:val="20"/>
          <w:szCs w:val="20"/>
        </w:rPr>
        <w:t xml:space="preserve"> and </w:t>
      </w:r>
      <w:r w:rsidRPr="008C36F5">
        <w:rPr>
          <w:rFonts w:ascii="Times New Roman" w:hAnsi="Times New Roman" w:cs="Times New Roman"/>
          <w:sz w:val="20"/>
          <w:szCs w:val="20"/>
          <w:lang w:val="en-IN"/>
        </w:rPr>
        <w:t xml:space="preserve">also </w:t>
      </w:r>
      <w:r w:rsidRPr="008C36F5">
        <w:rPr>
          <w:rFonts w:ascii="Times New Roman" w:hAnsi="Times New Roman" w:cs="Times New Roman"/>
          <w:sz w:val="20"/>
          <w:szCs w:val="20"/>
        </w:rPr>
        <w:t>an</w:t>
      </w:r>
      <w:r w:rsidRPr="008C36F5">
        <w:rPr>
          <w:rFonts w:ascii="Times New Roman" w:hAnsi="Times New Roman" w:cs="Times New Roman"/>
          <w:sz w:val="20"/>
          <w:szCs w:val="20"/>
          <w:lang w:val="en-IN"/>
        </w:rPr>
        <w:t xml:space="preserve"> analysis o</w:t>
      </w:r>
      <w:r w:rsidRPr="008C36F5">
        <w:rPr>
          <w:rFonts w:ascii="Times New Roman" w:hAnsi="Times New Roman" w:cs="Times New Roman"/>
          <w:sz w:val="20"/>
          <w:szCs w:val="20"/>
        </w:rPr>
        <w:t xml:space="preserve">f </w:t>
      </w:r>
      <w:r w:rsidRPr="008C36F5">
        <w:rPr>
          <w:rFonts w:ascii="Times New Roman" w:hAnsi="Times New Roman" w:cs="Times New Roman"/>
          <w:sz w:val="20"/>
          <w:szCs w:val="20"/>
          <w:lang w:val="en-IN"/>
        </w:rPr>
        <w:t xml:space="preserve">power to gas and liquid investigation of </w:t>
      </w:r>
      <w:r w:rsidRPr="008C36F5">
        <w:rPr>
          <w:rFonts w:ascii="Times New Roman" w:hAnsi="Times New Roman" w:cs="Times New Roman"/>
          <w:sz w:val="20"/>
          <w:szCs w:val="20"/>
        </w:rPr>
        <w:t xml:space="preserve">energy </w:t>
      </w:r>
      <w:r w:rsidRPr="008C36F5">
        <w:rPr>
          <w:rFonts w:ascii="Times New Roman" w:hAnsi="Times New Roman" w:cs="Times New Roman"/>
          <w:sz w:val="20"/>
          <w:szCs w:val="20"/>
          <w:lang w:val="en-IN"/>
        </w:rPr>
        <w:t xml:space="preserve">network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{"citationItems":[{"id":"ITEM-1","itemData":{"DOI":"10.1016/j.rser.2017.09.003","ISBN":"978-1-4577-0165-8","ISSN":"18790690","abstract":"Water electrolysis has the potential to become a key element in coupling the electricity, mobility, heating and chemical sector via Power-to-Liquids (PtL) or Power-to-Gas (PtG) in a future sustainable energy system. Based on an extensive market survey, discussions with manufacturers, project reports and literature, an overview of the current status of alkaline, PEM and solid oxide electrolysis on the way to large-scale flexible energy storage is presented. These main water electrolysis technologies were compared in terms of available capacity, nominal and part-load performance, flexibility (load range, load gradients, start-up time, stand-by losses) lifetime and investment costs. This review provides a basis of the parameters required and the necessary understanding of electrolysis fundamentals and technologies for a techno-economic analysis of water electrolysis-based concepts and an evaluation of PtG and PtL in energy system studies.","author":[{"dropping-particle":"","family":"Buttler","given":"Alexander","non-dropping-particle":"","parse-names":false,"suffix":""},{"dropping-particle":"","family":"Spliethoff","given":"Hartmut","non-dropping-particle":"","parse-names":false,"suffix":""}],"container-title":"Renewable and Sustainable Energy Reviews","id":"ITEM-1","issue":"September","issued":{"date-parts":[["2018"]]},"page":"2440-2454","title":"Current status of water electrolysis for energy storage, grid balancing and sector coupling via power-to-gas and power-to-liquids: A review","type":"article-journal","volume":"82"},"uris":["http://www.mendeley.com/documents/?uuid=95bada66-b0cf-455a-aac8-17ce7dadd9c8"]}],"mendeley":{"formattedCitation":"(Buttler and Spliethoff, 2018)","plainTextFormattedCitation":"(Buttler and Spliethoff, 2018)","previouslyFormattedCitation":"(Buttler and Spliethoff,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(Buttler and Spliethoff,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w:t>
      </w:r>
    </w:p>
    <w:p w:rsidR="00456158" w:rsidRDefault="00A147DF" w:rsidP="00456158">
      <w:pPr>
        <w:pStyle w:val="ListParagraph"/>
        <w:spacing w:line="240" w:lineRule="auto"/>
        <w:ind w:left="142"/>
        <w:rPr>
          <w:rFonts w:ascii="Times New Roman" w:hAnsi="Times New Roman" w:cs="Times New Roman"/>
          <w:sz w:val="20"/>
          <w:szCs w:val="20"/>
          <w:lang w:val="en-IN"/>
        </w:rPr>
      </w:pPr>
      <w:r w:rsidRPr="008C36F5">
        <w:rPr>
          <w:rFonts w:ascii="Times New Roman" w:hAnsi="Times New Roman" w:cs="Times New Roman"/>
          <w:sz w:val="20"/>
          <w:szCs w:val="20"/>
          <w:lang w:val="en-IN"/>
        </w:rPr>
        <w:t xml:space="preserve">In this research, AEM electrolysis technology for hydrogen generation was studied. It was found that non-noble metal catalyst reduces the whole system's capital expense. The study discussed literature on PEMWE output deterioration and mitigation approaches. A deterioration source was provided for individual portion. The study focused on practical solutions to minimise component deterioration with factors addressed and degradation mechanisms considered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{"citationItems":[{"id":"ITEM-1","itemData":{"DOI":"10.1016/j.rser.2017.05.258","ISSN":"18790690","abstract":"Anion exchange membrane (AEM) water electrolysis is a hydrogen production method that is achieved with an AEM, using electricity. One of the major advantages of AEM water electrolysis is the replacement of conventional noble metal electrocatalysts with low cost transition metal catalysts. AEM electrolysis is still a developing technology; therefore, with a view to using it to eventually achieve commercially viable hydrogen production, AEM electrolysis requires further investigation and improvements, specifically regarding its power efficiency, membrane stability, robustness, ease of handling, and cost reduction. This review addresses state of the art technology of AEM electrolysis for hydrogen production. It also provides a summary of important research that has been carried out on membranes, electrocatalysts, and ionomers used in AEM electrolyzers, and the performance of such electrolyzers. The aim of this review is to identify gaps in AEM water electrolysis research and to make recommendations for future directions in AEM water electrolysis research.","author":[{"dropping-particle":"","family":"Vincent","given":"Immanuel","non-dropping-particle":"","parse-names":false,"suffix":""},{"dropping-particle":"","family":"Bessarabov","given":"Dmitri","non-dropping-particle":"","parse-names":false,"suffix":""}],"container-title":"Renewable and Sustainable Energy Reviews","id":"ITEM-1","issue":"May","issued":{"date-parts":[["2018"]]},"page":"1690-1704","publisher":"Elsevier Ltd","title":"Low cost hydrogen production by anion exchange membrane electrolysis: A review","type":"article-journal","volume":"81"},"uris":["http://www.mendeley.com/documents/?uuid=fc522de1-18d4-428c-868a-6105c4c7de2a"]}],"mendeley":{"formattedCitation":"(Vincent and Bessarabov, 2018)","plainTextFormattedCitation":"(Vincent and Bessarabov, 2018)","previouslyFormattedCitation":"(Vincent and Bessarabov, 2018)"},"properties":{"noteIndex":0},"schema":"https://github.com/citation-style-language/schema/raw/master/csl-citation.json"}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(Vincent and Bessarabov, 2018)</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007171F7" w:rsidRPr="008C36F5">
        <w:rPr>
          <w:rFonts w:ascii="Times New Roman" w:hAnsi="Times New Roman" w:cs="Times New Roman"/>
          <w:sz w:val="20"/>
          <w:szCs w:val="20"/>
          <w:lang w:val="en-IN"/>
        </w:rPr>
        <w:t>This paper provided a systematic literature analysis of approaches used to measure and anticipates</w:t>
      </w:r>
      <w:r w:rsidRPr="008C36F5">
        <w:rPr>
          <w:rFonts w:ascii="Times New Roman" w:hAnsi="Times New Roman" w:cs="Times New Roman"/>
          <w:sz w:val="20"/>
          <w:szCs w:val="20"/>
          <w:lang w:val="en-IN"/>
        </w:rPr>
        <w:t xml:space="preserve"> worldwide solar radiation and temperature of the cell with an estimation of solar power production. Furthermore, existing statistics were used to present a comparative analysis </w:t>
      </w:r>
      <w:r w:rsidR="0063134A" w:rsidRPr="008C36F5">
        <w:rPr>
          <w:rFonts w:ascii="Times New Roman" w:hAnsi="Times New Roman" w:cs="Times New Roman"/>
          <w:sz w:val="20"/>
          <w:szCs w:val="20"/>
          <w:lang w:val="en-IN"/>
        </w:rPr>
        <w:lastRenderedPageBreak/>
        <w:fldChar w:fldCharType="begin" w:fldLock="1"/>
      </w:r>
      <w:r w:rsidRPr="008C36F5">
        <w:rPr>
          <w:rFonts w:ascii="Times New Roman" w:hAnsi="Times New Roman" w:cs="Times New Roman"/>
          <w:sz w:val="20"/>
          <w:szCs w:val="20"/>
          <w:lang w:val="en-IN"/>
        </w:rPr>
        <w:instrText>ADDIN CSL_CITATION {"citationItems":[{"id":"ITEM-1","itemData":{"DOI":"10.1016/j.rser.2018.03.084","ISSN":"18790690","abstract":"Solar energy is the most important energy resource that has become an efficient solution to the world's energy challenges. Accurate knowledge of global solar radiation and cell temperature are required for solar photovoltaic power forecasting. In this paper, a comprehensive literature review of methods used for estimation of global solar radiation, cell temperature and solar power generation forecasting are presented. In addition, a comparative analysis is presented using the actual data, which is collected from a home placed in Anadolu University İki Eylül Campus in Eskişehir as a comprehensive case study. Within the scope of this analysis, hourly global solar radiation values on horizontal surface are estimated from the measured daily global solar radiation values by using eleven different models. By using the selected model, estimated hourly global solar radiation values for horizontal surface are converted to values for inclined surface. Cell temperature of the photovoltaic modules is estimated with various known models in the literature. Based on the estimated cell temperature and global solar radiation values on inclined surface, power generation values of the on-grid and off-grid systems are forecasted. Therefore, based on the statistical analysis, the most accurate models are recommended to be carried out in any location that has similar climatic conditions with the considered city.","author":[{"dropping-particle":"","family":"Ayvazoğluyüksel","given":"Özge","non-dropping-particle":"","parse-names":false,"suffix":""},{"dropping-particle":"","family":"Filik","given":"Ümmühan Başaran","non-dropping-particle":"","parse-names":false,"suffix":""}],"container-title":"Renewable and Sustainable Energy Reviews","id":"ITEM-1","issue":"May 2017","issued":{"date-parts":[["2018"]]},"page":"639-653","title":"Estimation methods of global solar radiation, cell temperature and solar power forecasting: A review and case study in eskişehir","type":"article-journal","volume":"91"},"uris":["http://www.mendeley.com/documents/?uuid=25a87627-15e8-492f-8b0d-db3f2f8ccbe0"]}],"mendeley":{"formattedCitation":"(Ayvazoğluyüksel and Filik, 2018)","plainTextFormattedCitation":"(Ayvazoğluyüksel and Filik, 2018)","previouslyFormattedCitation":"(Ayvazoğluyüksel and Filik, 2018)"},"properties":{"noteIndex":0},"schema":"https://github.com/citation-style-language/schema/raw/master/csl-citation.json"}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(Ayvazoğluyüksel and Filik, 2018)</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rPr>
        <w:t xml:space="preserve">Hydrogen production by electrolysis was carried out with input parameters. It was well adapted to operate with transient power load and pressurized hydrogen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{"citationItems":[{"id":"ITEM-1","itemData":{"DOI":"10.1002/9783527676507.ch4","ISBN":"9783527676507","abstract":"This chapter reviews state-of-the-art alkaline water electrolysis, presents basic principles, describes technology developments, identifies some limitations in existing technology and draws some perspectives in view of future market applications. The main advantage of alkaline water electrolysis over other water electrolysis technology lies in the fact that alkaline electrolysers can be made of abundant and inexpensive materials: simple iron or nickel steel electrodes are used to produce hydrogen and nickel used for oxygen production. An advanced concept of alkaline water electrolyser with gas diffusion electrodes and recirculation of the electrolyte between the electrodes has been proposed by Marini. The technology has mostly been used for applications in the industry sector, in particular for hydrogen production for ammonia synthesis. Systems that can deliver up to several hundred of Nm3 H2 h−1 have been successfully developed and implemented in different places throughout the world.","author":[{"dropping-particle":"","family":"Guillet","given":"Nicolas","non-dropping-particle":"","parse-names":false,"suffix":""},{"dropping-particle":"","family":"Millet","given":"Pierre","non-dropping-particle":"","parse-names":false,"suffix":""}],"container-title":"Hydrogen Production: by Electrolysis","id":"ITEM-1","issued":{"date-parts":[["2015"]]},"page":"117-167","title":"Chapter 4: Alkaline water electrolysis","type":"chapter"},"uris":["http://www.mendeley.com/documents/?uuid=d1021d46-188d-4157-b7c1-c16b655afce2"]}],"mendeley":{"formattedCitation":"(Guillet and Millet, 2015)","plainTextFormattedCitation":"(Guillet and Millet, 2015)","previouslyFormattedCitation":"(Guillet and Millet, 2015)"},"properties":{"noteIndex":0},"schema":"https://github.com/citation-style-language/schema/raw/master/csl-citation.json"}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(Guillet and Millet, 2015)</w:t>
      </w:r>
      <w:r w:rsidR="0063134A" w:rsidRPr="008C36F5">
        <w:rPr>
          <w:rFonts w:ascii="Times New Roman" w:hAnsi="Times New Roman" w:cs="Times New Roman"/>
          <w:sz w:val="20"/>
          <w:szCs w:val="20"/>
        </w:rPr>
        <w:fldChar w:fldCharType="end"/>
      </w:r>
      <w:r w:rsidR="00456158">
        <w:rPr>
          <w:rFonts w:ascii="Times New Roman" w:hAnsi="Times New Roman" w:cs="Times New Roman"/>
          <w:sz w:val="20"/>
          <w:szCs w:val="20"/>
          <w:lang w:val="en-IN"/>
        </w:rPr>
        <w:t>.</w:t>
      </w:r>
    </w:p>
    <w:p w:rsidR="00456158" w:rsidRDefault="00A147DF" w:rsidP="00456158">
      <w:pPr>
        <w:pStyle w:val="ListParagraph"/>
        <w:spacing w:line="240" w:lineRule="auto"/>
        <w:ind w:left="142"/>
        <w:rPr>
          <w:rFonts w:ascii="Times New Roman" w:hAnsi="Times New Roman" w:cs="Times New Roman"/>
          <w:sz w:val="20"/>
          <w:szCs w:val="20"/>
        </w:rPr>
      </w:pPr>
      <w:r w:rsidRPr="008C36F5">
        <w:rPr>
          <w:rFonts w:ascii="Times New Roman" w:hAnsi="Times New Roman" w:cs="Times New Roman"/>
          <w:sz w:val="20"/>
          <w:szCs w:val="20"/>
        </w:rPr>
        <w:t xml:space="preserve">This chapter described various techniques for generating hydrogen from water. It includes a discussion about different techniques for producing hydrogen. The current production of hydrogen was not targeted to its use as a fuel but as a chemical or reducing agent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{"citationItems":[{"id":"ITEM-1","itemData":{"author":[{"dropping-particle":"","family":"Scott","given":"Keith","non-dropping-particle":"","parse-names":false,"suffix":""}],"container-title":"Sustainable and Green Electrochemical Science and Technology","id":"ITEM-1","issued":{"date-parts":[["2017"]]},"page":"159-202","title":"Fossil fuel based hydrogen production","type":"article-journal","volume":"01"},"uris":["http://www.mendeley.com/documents/?uuid=b588ff7b-9336-4afb-86fc-64fc8abf9fb6"]}],"mendeley":{"formattedCitation":"(Scott, 2017)","plainTextFormattedCitation":"(Scott, 2017)","previouslyFormattedCitation":"(Scott, 2017)"},"properties":{"noteIndex":0},"schema":"https://github.com/citation-style-language/schema/raw/master/csl-citation.json"}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(Scott, 2017)</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w:t>
      </w:r>
      <w:r w:rsidRPr="008C36F5">
        <w:rPr>
          <w:rFonts w:ascii="Times New Roman" w:hAnsi="Times New Roman" w:cs="Times New Roman"/>
          <w:sz w:val="20"/>
          <w:szCs w:val="20"/>
          <w:lang w:val="en-IN"/>
        </w:rPr>
        <w:t>Matthew et.al worked on Hydrogen and batteries for grid storage. Hydrogen was taken as the input and analyzed by comparing RHFC to other storage technologies; the purpose was to improve net energy analysis to store energy in a regenerative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FC. The result was the ESOI ratio of a regenerative hydrogen fuel cell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{"citationItems":[{"id":"ITEM-1","itemData":{"DOI":"10.1039/c4ee04041d","ISBN":"1754-5692","ISSN":"17545706","abstract":"Storing electrical energy in hydrogen requires less manufacturing energy than batteries, per unit of energy dispatched over the system's lifetime. Energy storage is a promising approach to address the challenge of intermittent generation from renewables on the electric grid. In this work, we evaluate energy storage with a regenerative hydrogen fuel cell (RHFC) using net energy analysis. We examine the most widely installed RHFC configuration, containing an alkaline water electrolyzer and a PEM fuel cell. To compare RHFC's to other storage technologies, we use two energy return ratios: the electrical energy stored on invested (ESOI e ) ratio (the ratio of electrical energy returned by the device over its lifetime to the electrical-equivalent energy required to build the device) and the overall energy efficiency (the ratio of electrical energy returned by the device over its lifetime to total lifetime electrical-equivalent energy input into the system). In our reference scenario, the RHFC system has an ESOI e ratio of 59, more favorable than the best battery technology available today (Li-ion, ESOI e = 35). (In the reference scenario RHFC, the alkaline electrolyzer is 70% efficient and has a stack lifetime of 100 000 h; the PEM fuel cell is 47% efficient and has a stack lifetime of 10 000 h; and the round-trip efficiency is 30%.) The ESOI e ratio of storage in hydrogen exceeds that of batteries because of the low energy cost of the materials required to store compressed hydrogen, and the high energy cost of the materials required to store electric charge in a battery. However, the low round-trip efficiency of a RHFC energy storage system results in very high energy costs during operation, and a much lower overall energy efficiency than lithium ion batteries (0.30 for RHFC, vs. 0.83 for lithium ion batteries). RHFC's represent an attractive investment of manufacturing energy to provide storage. On the other hand, their round-trip efficiency must improve dramatically before they can offer the same overall energy efficiency as batteries, which have round-trip efficiencies of 75–90%. One application of energy storage that illustrates the tradeoff between these different aspects of energy performance is capturing overgeneration (spilled power) for later use during times of peak output from renewables. We quantify the relative energetic benefit of adding different types of energy storage to a renewable generating facility using [EROI] grid . Even with 30% round…","author":[{"dropping-particle":"","family":"Pellow","given":"Matthew A.","non-dropping-particle":"","parse-names":false,"suffix":""},{"dropping-particle":"","family":"Emmott","given":"Christopher J.M.","non-dropping-particle":"","parse-names":false,"suffix":""},{"dropping-particle":"","family":"Barnhart","given":"Charles J.","non-dropping-particle":"","parse-names":false,"suffix":""},{"dropping-particle":"","family":"Benson","given":"Sally M.","non-dropping-particle":"","parse-names":false,"suffix":""}],"container-title":"Energy and Environmental Science","id":"ITEM-1","issue":"7","issued":{"date-parts":[["2015"]]},"page":"1938-1952","title":"Hydrogen or batteries for grid storage? A net energy analysis","type":"article-journal","volume":"8"},"uris":["http://www.mendeley.com/documents/?uuid=1f1b0b43-dbe5-4ce8-858b-86329e33d705"]}],"mendeley":{"formattedCitation":"(Pellow &lt;i&gt;et al.&lt;/i&gt;, 2015)","plainTextFormattedCitation":"(Pellow et al., 2015)","previouslyFormattedCitation":"(Pellow &lt;i&gt;et al.&lt;/i&gt;, 2015)"},"properties":{"noteIndex":0},"schema":"https://github.com/citation-style-language/schema/raw/master/csl-citation.json"}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(Pellow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2015)</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rPr>
        <w:t xml:space="preserve">The hydrogen fuel cell </w:t>
      </w:r>
      <w:r w:rsidRPr="008C36F5">
        <w:rPr>
          <w:rFonts w:ascii="Times New Roman" w:hAnsi="Times New Roman" w:cs="Times New Roman"/>
          <w:sz w:val="20"/>
          <w:szCs w:val="20"/>
          <w:lang w:val="en-IN"/>
        </w:rPr>
        <w:t>was</w:t>
      </w:r>
      <w:r w:rsidRPr="008C36F5">
        <w:rPr>
          <w:rFonts w:ascii="Times New Roman" w:hAnsi="Times New Roman" w:cs="Times New Roman"/>
          <w:sz w:val="20"/>
          <w:szCs w:val="20"/>
        </w:rPr>
        <w:t xml:space="preserve"> used as input and analyzed by modified conventional I.C</w:t>
      </w:r>
      <w:r w:rsidR="007A52A5" w:rsidRPr="008C36F5">
        <w:rPr>
          <w:rFonts w:ascii="Times New Roman" w:hAnsi="Times New Roman" w:cs="Times New Roman"/>
          <w:sz w:val="20"/>
          <w:szCs w:val="20"/>
        </w:rPr>
        <w:t>.</w:t>
      </w:r>
      <w:r w:rsidRPr="008C36F5">
        <w:rPr>
          <w:rFonts w:ascii="Times New Roman" w:hAnsi="Times New Roman" w:cs="Times New Roman"/>
          <w:sz w:val="20"/>
          <w:szCs w:val="20"/>
        </w:rPr>
        <w:t xml:space="preserve"> engine. </w:t>
      </w:r>
    </w:p>
    <w:p w:rsidR="007A52A5" w:rsidRPr="00456158" w:rsidRDefault="00A147DF" w:rsidP="00456158">
      <w:pPr>
        <w:pStyle w:val="ListParagraph"/>
        <w:spacing w:line="240" w:lineRule="auto"/>
        <w:ind w:left="142"/>
        <w:rPr>
          <w:rFonts w:ascii="Times New Roman" w:hAnsi="Times New Roman" w:cs="Times New Roman"/>
          <w:b/>
          <w:sz w:val="20"/>
          <w:szCs w:val="20"/>
        </w:rPr>
      </w:pPr>
      <w:r w:rsidRPr="008C36F5">
        <w:rPr>
          <w:rFonts w:ascii="Times New Roman" w:hAnsi="Times New Roman" w:cs="Times New Roman"/>
          <w:sz w:val="20"/>
          <w:szCs w:val="20"/>
        </w:rPr>
        <w:t xml:space="preserve">This study was carried out to explore the various aspects of deep carbonization of the global energy system. It highlighted that although hydrogen has made significant progress in reducing its cost, it remains a very competitive fuel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{"citationItems":[{"id":"ITEM-1","itemData":{"DOI":"10.1039/c8ee01157e","ISSN":"1754-5692","abstract":"Hydrogen has been ‘just around the corner’ for decades, but now offers serious alternatives for decarbonising global heat, power and transport.Hydrogen technologies have experienced cycles of excessive expectations followed by disillusion. Nonetheless, a growing body of evidence suggests these technologies form an attractive option for the deep decarbonisation of global energy systems, and that recent improvements in their cost and performance point towards economic viability as well. This paper is a comprehensive review of the potential role that hydrogen could play in the provision of electricity, heat, industry, transport and energy storage in a low-carbon energy system, and an assessment of the status of hydrogen in being able to fulfil that potential. The picture that emerges is one of qualified promise: hydrogen is well established in certain niches such as forklift trucks, while mainstream applications are now forthcoming. Hydrogen vehicles are available commercially in several countries, and 225 000 fuel cell home heating systems have been sold. This represents a step change from the situation of only five years ago. This review shows that challenges around cost and performance remain, and considerable improvements are still required for hydrogen to become truly competitive. But such competitiveness in the medium-term future no longer seems an unrealistic prospect, which fully justifies the growing interest and policy support for these technologies around the world.","author":[{"dropping-particle":"","family":"Balcombe","given":"Paul","non-dropping-particle":"","parse-names":false,"suffix":""},{"dropping-particle":"","family":"Staffell","given":"Iain","non-dropping-particle":"","parse-names":false,"suffix":""},{"dropping-particle":"","family":"Dodds","given":"Paul E.","non-dropping-particle":"","parse-names":false,"suffix":""},{"dropping-particle":"","family":"Ward","given":"Kate R.","non-dropping-particle":"","parse-names":false,"suffix":""},{"dropping-particle":"","family":"Scamman","given":"Daniel","non-dropping-particle":"","parse-names":false,"suffix":""},{"dropping-particle":"","family":"Ekins","given":"Paul","non-dropping-particle":"","parse-names":false,"suffix":""},{"dropping-particle":"","family":"Velazquez Abad","given":"Anthony","non-dropping-particle":"","parse-names":false,"suffix":""},{"dropping-particle":"","family":"Shah","given":"Nilay","non-dropping-particle":"","parse-names":false,"suffix":""}],"container-title":"Energy &amp; Environmental Science","id":"ITEM-1","issued":{"date-parts":[["2018"]]},"page":"01-29","publisher":"Royal Society of Chemistry","title":"The role of hydrogen and fuel cells in the global energy system","type":"article-journal"},"uris":["http://www.mendeley.com/documents/?uuid=9633b065-e730-456f-8ed1-e86fc22abd28"]}],"mendeley":{"formattedCitation":"(Balcombe &lt;i&gt;et al.&lt;/i&gt;, 2018)","plainTextFormattedCitation":"(Balcombe et al., 2018)","previouslyFormattedCitation":"(Balcombe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(Balcombe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It has been demonstrated that the in-cylinder airflow properties of diesel engines have a substantial influence on their performance. As a result, it was feasible to increase the </w:t>
      </w:r>
      <w:r w:rsidRPr="008C36F5">
        <w:rPr>
          <w:rFonts w:ascii="Times New Roman" w:hAnsi="Times New Roman" w:cs="Times New Roman"/>
          <w:color w:val="202124"/>
          <w:sz w:val="20"/>
          <w:szCs w:val="20"/>
          <w:shd w:val="clear" w:color="auto" w:fill="FFFFFF"/>
        </w:rPr>
        <w:t>enforcement</w:t>
      </w:r>
      <w:r w:rsidRPr="008C36F5">
        <w:rPr>
          <w:rFonts w:ascii="Times New Roman" w:hAnsi="Times New Roman" w:cs="Times New Roman"/>
          <w:sz w:val="20"/>
          <w:szCs w:val="20"/>
        </w:rPr>
        <w:t xml:space="preserve"> of C</w:t>
      </w:r>
      <w:r w:rsidR="007A52A5" w:rsidRPr="008C36F5">
        <w:rPr>
          <w:rFonts w:ascii="Times New Roman" w:hAnsi="Times New Roman" w:cs="Times New Roman"/>
          <w:sz w:val="20"/>
          <w:szCs w:val="20"/>
        </w:rPr>
        <w:t>.</w:t>
      </w:r>
      <w:r w:rsidRPr="008C36F5">
        <w:rPr>
          <w:rFonts w:ascii="Times New Roman" w:hAnsi="Times New Roman" w:cs="Times New Roman"/>
          <w:sz w:val="20"/>
          <w:szCs w:val="20"/>
        </w:rPr>
        <w:t>I</w:t>
      </w:r>
      <w:r w:rsidR="007A52A5" w:rsidRPr="008C36F5">
        <w:rPr>
          <w:rFonts w:ascii="Times New Roman" w:hAnsi="Times New Roman" w:cs="Times New Roman"/>
          <w:sz w:val="20"/>
          <w:szCs w:val="20"/>
        </w:rPr>
        <w:t>.</w:t>
      </w:r>
      <w:r w:rsidRPr="008C36F5">
        <w:rPr>
          <w:rFonts w:ascii="Times New Roman" w:hAnsi="Times New Roman" w:cs="Times New Roman"/>
          <w:sz w:val="20"/>
          <w:szCs w:val="20"/>
        </w:rPr>
        <w:t xml:space="preserve"> engines with HVFs by enhancing in-cylinder airflow characteristics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{"citationItems":[{"id":"ITEM-1","itemData":{"DOI":"10.1016/j.fuel.2019.116769","ISSN":"00162361","abstract":"Performances of diesel engines run on biodiesel and vegetable-based fuels are not satisfactory mainly due to higher viscosity, and they are termed as higher viscous fuels (HVFs). Researchers have developed different techniques to improve the performance of diesel engines run on HVFs such as preheating HVFs, blending with lighter fuels, and changing injection strategy. These techniques improved the performance with HVFs, but the performances are still lower than diesel. Another technique, improving the in-cylinder airflow characteristics can create more turbulence inside the combustion chamber to break up HVFs and mix better with the in-cylinder air to improve the performance of the engine. Most reviews show that the performances of diesel engines are improved with higher turbulence though with diesel, but few papers show that this technique can improve the performance of diesel engines with HVFs as well. Based on literatures, the in-cylinder turbulence can be increased using guide vanes and throttling the intake manifold and modifying the combustion chamber and intake manifold. It is found that about 1.3–2.8% efficiency improved by improving the in-cylinder turbulence by using guide vanes when the engines ran on HVFs. Some researchers have also reported around 12% improvement in brake specific fuel consumption (bsfc) by improving the swirl of the air inside the combustion chamber. This paper reviews different techniques to improve the in-cylinder airflow characteristics in IC engines and reviews a handful of papers with HVFs to show that increasing in-cylinder turbulence can improve the performance of the CI engines with HVFs.","author":[{"dropping-particle":"","family":"Bari","given":"S.","non-dropping-particle":"","parse-names":false,"suffix":""},{"dropping-particle":"","family":"Hossain","given":"S. N.","non-dropping-particle":"","parse-names":false,"suffix":""},{"dropping-particle":"","family":"Saad","given":"I.","non-dropping-particle":"","parse-names":false,"suffix":""}],"container-title":"Fuel","id":"ITEM-1","issue":"November 2019","issued":{"date-parts":[["2020"]]},"page":"116769","publisher":"Elsevier","title":"A review on improving airflow characteristics inside the combustion chamber of CI engines to improve the performance with higher viscous biofuels","type":"article-journal","volume":"264"},"uris":["http://www.mendeley.com/documents/?uuid=02beb9fd-00eb-4d3d-b12e-f76505294f1b"]}],"mendeley":{"formattedCitation":"(Bari, Hossain and Saad, 2020)","plainTextFormattedCitation":"(Bari, Hossain and Saad, 2020)","previouslyFormattedCitation":"(Bari, Hossain and Saad, 2020)"},"properties":{"noteIndex":0},"schema":"https://github.com/citation-style-language/schema/raw/master/csl-citation.json"}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(Bari, Hossain and Saad, 2020)</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The engine's total performance may be increased further by adjusting the engine working parameters, such as CR, IP, and IT, in conjunction with various flow rates of HHO. It is possible to investigate the irreversibility of the fuel oxidation, friction, and mixing processes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{"citationItems":[{"id":"ITEM-1","itemData":{"DOI":"10.1016/j.fuel.2019.116923","ISSN":"00162361","abstract":"In this study, energy, exergy, and emission analysis were investigated for the hydroxyl fueled compression ignition (CI) engine under dual fuel mode. Hydroxyl gas (HHO) generator was used to supply three different mass flow rates of HHO (0.25, 0.5, and 0.75 lpm) along with diesel for the experimental work on a modified constant speed CI engine. Significant improvement of 6.5% in brake thermal efficiency was obtained with 0.75 lpm HHO flow rate at 80% load. However, a slight increment in heat transfer losses and energy in exhaust gas were observed by 6.29% and 8.55%, respectively, at the optimized condition. The work availability, exhaust gas, and heat transfer exergy were increased by 6.54%, 5.69%, and 6.36% (0.75 lpm and 80% load), respectively due to the higher diffusivity of hydrogen and faster oxidation of fuel species within the cylinder. A significant reduction in emission parameters was obtained in carbon monoxide, unburnt hydrocarbon, and smoke emission as 53%, 62%, and 49%, respectively. High pressure and temperature within the cylinder improve the rate of oxidation of fuel species, which results in decreased HC, CO, and smoke emission. Furthermore, high temperature increases the NOX emission by 35%. Overall it can be concluded the HHO can be used as a prominent alternative fuel with increased exergy and lower emissions.","author":[{"dropping-particle":"","family":"Kumar Sharma","given":"Pushpendra","non-dropping-particle":"","parse-names":false,"suffix":""},{"dropping-particle":"","family":"Sharma","given":"Dilip","non-dropping-particle":"","parse-names":false,"suffix":""},{"dropping-particle":"","family":"Lal Soni","given":"Shyam","non-dropping-particle":"","parse-names":false,"suffix":""},{"dropping-particle":"","family":"Jhalani","given":"Amit","non-dropping-particle":"","parse-names":false,"suffix":""},{"dropping-particle":"","family":"Singh","given":"Digambar","non-dropping-particle":"","parse-names":false,"suffix":""},{"dropping-particle":"","family":"Sharma","given":"Sumit","non-dropping-particle":"","parse-names":false,"suffix":""}],"container-title":"Fuel","id":"ITEM-1","issue":"December 2019","issued":{"date-parts":[["2020"]]},"page":"116923","publisher":"Elsevier","title":"Energy, exergy, and emission analysis of a hydroxyl fueled compression ignition engine under dual fuel mode","type":"article-journal","volume":"265"},"uris":["http://www.mendeley.com/documents/?uuid=709371fb-29cc-461d-bff1-afdc296247cc"]}],"mendeley":{"formattedCitation":"(Kumar Sharma &lt;i&gt;et al.&lt;/i&gt;, 2020)","plainTextFormattedCitation":"(Kumar Sharma et al., 2020)","previouslyFormattedCitation":"(Kumar Sharma &lt;i&gt;et al.&lt;/i&gt;, 2020)"},"properties":{"noteIndex":0},"schema":"https://github.com/citation-style-language/schema/raw/master/csl-citation.json"}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(Kumar Sharma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2020)</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The progress of non-noble metal electro-catalysts in water electrolysis was discussed</w:t>
      </w:r>
      <w:r w:rsidR="007A52A5" w:rsidRPr="008C36F5">
        <w:rPr>
          <w:rFonts w:ascii="Times New Roman" w:hAnsi="Times New Roman" w:cs="Times New Roman"/>
          <w:sz w:val="20"/>
          <w:szCs w:val="20"/>
        </w:rPr>
        <w:t xml:space="preserv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{"citationItems":[{"id":"ITEM-1","itemData":{"DOI":"10.1007/s41918-018-0014-z","ISBN":"0123456789","ISSN":"2520-8489","abstract":"The study of hydrogen evolution reaction and oxygen evolution reaction electrocatalysts for water electrolysis is a developing field in which noble metal-based materials are commonly used. However, the associated high cost and low abundance of noble metals limit their practical application. Non-noble metal catalysts, aside from being inexpensive, highly abundant and environmental friendly, can possess high electrical conductivity, good structural tunability and comparable electrocatalytic performances to state-of-the-art noble metals, particularly in alkaline media, making them desirable candidates to reduce or replace noble metals as promising electrocatalysts for water electrolysis. This article will review and provide an overview of the fundamental knowledge related to water electrolysis with a focus on the development and progress of non-noble metal-based electrocatalysts in alkaline, polymer exchange membrane and solid oxide electrolysis. A critical analysis of the various catalysts currently available is also provided with discussions on current challenges and future perspectives. In addition, to facilitate future research and development, several possible research directions to overcome these challenges are provided in this article.","author":[{"dropping-particle":"","family":"Khan","given":"Muhammad Arif","non-dropping-particle":"","parse-names":false,"suffix":""},{"dropping-particle":"","family":"Zhao","given":"Hongbin","non-dropping-particle":"","parse-names":false,"suffix":""},{"dropping-particle":"","family":"Zou","given":"Wenwen","non-dropping-particle":"","parse-names":false,"suffix":""},{"dropping-particle":"","family":"Chen","given":"Zhe","non-dropping-particle":"","parse-names":false,"suffix":""},{"dropping-particle":"","family":"Cao","given":"Wenjuan","non-dropping-particle":"","parse-names":false,"suffix":""},{"dropping-particle":"","family":"Fang","given":"Jianhui","non-dropping-particle":"","parse-names":false,"suffix":""},{"dropping-particle":"","family":"Xu","given":"Jiaqiang","non-dropping-particle":"","parse-names":false,"suffix":""},{"dropping-particle":"","family":"Zhang","given":"Lei","non-dropping-particle":"","parse-names":false,"suffix":""},{"dropping-particle":"","family":"Zhang","given":"Jiujun","non-dropping-particle":"","parse-names":false,"suffix":""}],"container-title":"Electrochemical Energy Reviews","id":"ITEM-1","issue":"4","issued":{"date-parts":[["2018"]]},"number-of-pages":"483-530","publisher":"Springer Singapore","title":"Recent Progresses in Electrocatalysts for Water Electrolysis","type":"book","volume":"1"},"uris":["http://www.mendeley.com/documents/?uuid=541cea74-75ed-4d68-9800-a6326be75f32"]}],"mendeley":{"formattedCitation":"(Khan &lt;i&gt;et al.&lt;/i&gt;, 2018)","manualFormatting":"(Khanetal.,2018)","plainTextFormattedCitation":"(Khan et al., 2018)","previouslyFormattedCitation":"(Khan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(Khan</w:t>
      </w:r>
      <w:r w:rsidRPr="008C36F5">
        <w:rPr>
          <w:rFonts w:ascii="Times New Roman" w:hAnsi="Times New Roman" w:cs="Times New Roman"/>
          <w:i/>
          <w:noProof/>
          <w:sz w:val="20"/>
          <w:szCs w:val="20"/>
        </w:rPr>
        <w:t xml:space="preserve"> et al.</w:t>
      </w:r>
      <w:r w:rsidRPr="008C36F5">
        <w:rPr>
          <w:rFonts w:ascii="Times New Roman" w:hAnsi="Times New Roman" w:cs="Times New Roman"/>
          <w:noProof/>
          <w:sz w:val="20"/>
          <w:szCs w:val="20"/>
        </w:rPr>
        <w:t>,2018)</w:t>
      </w:r>
      <w:r w:rsidR="0063134A" w:rsidRPr="008C36F5">
        <w:rPr>
          <w:rFonts w:ascii="Times New Roman" w:hAnsi="Times New Roman" w:cs="Times New Roman"/>
          <w:sz w:val="20"/>
          <w:szCs w:val="20"/>
        </w:rPr>
        <w:fldChar w:fldCharType="end"/>
      </w:r>
    </w:p>
    <w:p w:rsidR="007A52A5" w:rsidRPr="00F0712B" w:rsidRDefault="00A147DF" w:rsidP="008C36F5">
      <w:pPr>
        <w:spacing w:line="240" w:lineRule="auto"/>
        <w:rPr>
          <w:rFonts w:ascii="Times New Roman" w:hAnsi="Times New Roman" w:cs="Times New Roman"/>
          <w:szCs w:val="20"/>
        </w:rPr>
      </w:pPr>
      <w:r w:rsidRPr="00F0712B">
        <w:rPr>
          <w:rFonts w:ascii="Times New Roman" w:hAnsi="Times New Roman" w:cs="Times New Roman"/>
          <w:b/>
          <w:szCs w:val="20"/>
        </w:rPr>
        <w:t>Table 1</w:t>
      </w:r>
      <w:r w:rsidR="002C77A4" w:rsidRPr="00F0712B">
        <w:rPr>
          <w:rFonts w:ascii="Times New Roman" w:hAnsi="Times New Roman" w:cs="Times New Roman"/>
          <w:b/>
          <w:szCs w:val="20"/>
        </w:rPr>
        <w:t>: Summary</w:t>
      </w:r>
      <w:r w:rsidRPr="00F0712B">
        <w:rPr>
          <w:rFonts w:ascii="Times New Roman" w:hAnsi="Times New Roman" w:cs="Times New Roman"/>
          <w:b/>
          <w:szCs w:val="20"/>
        </w:rPr>
        <w:t xml:space="preserve"> of Introduction</w:t>
      </w:r>
    </w:p>
    <w:tbl>
      <w:tblPr>
        <w:tblStyle w:val="LightShading"/>
        <w:tblW w:w="5000" w:type="pct"/>
        <w:jc w:val="center"/>
        <w:tblLayout w:type="fixed"/>
        <w:tblLook w:val="0620" w:firstRow="1" w:lastRow="0" w:firstColumn="0" w:lastColumn="0" w:noHBand="1" w:noVBand="1"/>
      </w:tblPr>
      <w:tblGrid>
        <w:gridCol w:w="1387"/>
        <w:gridCol w:w="1557"/>
        <w:gridCol w:w="1984"/>
        <w:gridCol w:w="2126"/>
        <w:gridCol w:w="1988"/>
        <w:gridCol w:w="534"/>
      </w:tblGrid>
      <w:tr w:rsidR="007A52A5" w:rsidRPr="008C36F5" w:rsidTr="00C92551">
        <w:trPr>
          <w:cnfStyle w:val="100000000000" w:firstRow="1" w:lastRow="0" w:firstColumn="0" w:lastColumn="0" w:oddVBand="0" w:evenVBand="0" w:oddHBand="0" w:evenHBand="0" w:firstRowFirstColumn="0" w:firstRowLastColumn="0" w:lastRowFirstColumn="0" w:lastRowLastColumn="0"/>
          <w:trHeight w:val="350"/>
          <w:jc w:val="center"/>
        </w:trPr>
        <w:tc>
          <w:tcPr>
            <w:tcW w:w="724"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Author &amp; year</w:t>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Input</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Analysis methodology</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Purpose</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Result and outcome</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Ref.</w:t>
            </w:r>
          </w:p>
        </w:tc>
      </w:tr>
      <w:tr w:rsidR="007A52A5" w:rsidRPr="008C36F5" w:rsidTr="00C92551">
        <w:trPr>
          <w:trHeight w:val="874"/>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{"citationItems":[{"id":"ITEM-1","itemData":{"DOI":"10.1016/j.rser.2016.01.085","ISSN":"18790690","abstract":"Biofuels have grabbed the attention of engine researchers ever since the oil-crisis and escalating costs of petro-chemicals cropped up in the '70s. Ethanol and methanol were the most widely researched alcohols in IC engines. However, the last decade has witnessed significant amount of research in higher alcohols due to the development of modern fermentation processes using engineered micro-organisms that improved yield. Higher alcohols are attractive second/third generation biofuels that can be produced from sugary, starchy and ligno-cellulosic biomass feedstocks using sustainable pathways. The present work reviews the current literature concerning the effects of using higher alcohols ranging from 3-carbon propanol to 20-carbon phytol on combustion, performance and emission characteristics of a wide range of diesel engines under various test conditions. The literature is abound with evidence that higher alcohols reduce carcinogenic particulate emissions that are prevalent in diesel engines. NOx emissions either increased or decreased based on the domination of either cetane number or heat of evaporation. Brake specific fuel consumption (BSFC) of the engine usually suffered due to low energy content of alcohols. A notable feature is that the combination of higher alcohols (like butanol or pentanol), high exhaust gas recirculation (EGR) rates and late injection timing enabled low temperature combustion (LTC) in diesel engines that can simultaneously reduce smoke and NOx emissions with improved engine efficiency. It can be concluded that higher alcohols reduce smoke emissions with their fuel-borne oxygen; enhance air/fuel mixing by offering long ignition delay and eventually replace fossil diesel (partially or wholly) to enable a clean and efficient combustion in compression-ignition engines. The chief thrust areas include developing mutant strains with higher yield, higher tolerance to toxic inhibition and low-cost substrates for fermentation. Further work is required in stipulating optimum blend-fuel characteristics and ensuring the long-term durability of the engines using these fuels.","author":[{"dropping-particle":"","family":"Rajesh Kumar","given":"B.","non-dropping-particle":"","parse-names":false,"suffix":""},{"dropping-particle":"","family":"Saravanan","given":"S.","non-dropping-particle":"","parse-names":false,"suffix":""}],"container-title":"Renewable and Sustainable Energy Reviews","id":"ITEM-1","issued":{"date-parts":[["2016"]]},"page":"84-115","publisher":"Elsevier","title":"Use of higher alcohol biofuels in diesel engines: A review","type":"article-journal","volume":"60"},"uris":["http://www.mendeley.com/documents/?uuid=c94b5689-9283-425f-8b38-f3a3b23c44f9"]}],"mendeley":{"formattedCitation":"(Rajesh Kumar and Saravanan, 2016)","plainTextFormattedCitation":"(Rajesh Kumar and Saravanan, 2016)","previouslyFormattedCitation":"(Rajesh Kumar and Saravanan, 2016)"},"properties":{"noteIndex":0},"schema":"https://github.com/citation-style-language/schema/raw/master/csl-citation.json"}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(Rajesh Kumar and Saravanan, 2016)</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bCs/>
                <w:sz w:val="20"/>
                <w:szCs w:val="20"/>
              </w:rPr>
            </w:pPr>
            <w:r w:rsidRPr="008C36F5">
              <w:rPr>
                <w:rFonts w:ascii="Times New Roman" w:hAnsi="Times New Roman" w:cs="Times New Roman"/>
                <w:bCs/>
                <w:sz w:val="20"/>
                <w:szCs w:val="20"/>
              </w:rPr>
              <w:t>Alcohol biofuels</w:t>
            </w:r>
          </w:p>
        </w:tc>
        <w:tc>
          <w:tcPr>
            <w:tcW w:w="1036" w:type="pct"/>
            <w:vAlign w:val="center"/>
          </w:tcPr>
          <w:p w:rsidR="007A52A5" w:rsidRPr="008C36F5" w:rsidRDefault="007A52A5" w:rsidP="008C36F5">
            <w:pPr>
              <w:spacing w:after="100"/>
              <w:jc w:val="center"/>
              <w:rPr>
                <w:rFonts w:ascii="Times New Roman" w:hAnsi="Times New Roman" w:cs="Times New Roman"/>
                <w:bCs/>
                <w:sz w:val="20"/>
                <w:szCs w:val="20"/>
              </w:rPr>
            </w:pPr>
            <w:r w:rsidRPr="008C36F5">
              <w:rPr>
                <w:rFonts w:ascii="Times New Roman" w:hAnsi="Times New Roman" w:cs="Times New Roman"/>
                <w:bCs/>
                <w:sz w:val="20"/>
                <w:szCs w:val="20"/>
              </w:rPr>
              <w:t>Comparative study</w:t>
            </w:r>
          </w:p>
        </w:tc>
        <w:tc>
          <w:tcPr>
            <w:tcW w:w="1110" w:type="pct"/>
            <w:vAlign w:val="center"/>
          </w:tcPr>
          <w:p w:rsidR="007A52A5" w:rsidRPr="008C36F5" w:rsidRDefault="007A52A5" w:rsidP="008C36F5">
            <w:pPr>
              <w:spacing w:after="100"/>
              <w:jc w:val="center"/>
              <w:rPr>
                <w:rFonts w:ascii="Times New Roman" w:hAnsi="Times New Roman" w:cs="Times New Roman"/>
                <w:bCs/>
                <w:sz w:val="20"/>
                <w:szCs w:val="20"/>
              </w:rPr>
            </w:pPr>
            <w:r w:rsidRPr="008C36F5">
              <w:rPr>
                <w:rFonts w:ascii="Times New Roman" w:hAnsi="Times New Roman" w:cs="Times New Roman"/>
                <w:bCs/>
                <w:sz w:val="20"/>
                <w:szCs w:val="20"/>
              </w:rPr>
              <w:t>To determine the impact of increased alcohol levels on I.C engine performance and emission characteristics.</w:t>
            </w:r>
          </w:p>
        </w:tc>
        <w:tc>
          <w:tcPr>
            <w:tcW w:w="1038" w:type="pct"/>
            <w:vAlign w:val="center"/>
          </w:tcPr>
          <w:p w:rsidR="007A52A5" w:rsidRPr="008C36F5" w:rsidRDefault="007A52A5" w:rsidP="008C36F5">
            <w:pPr>
              <w:spacing w:after="100"/>
              <w:jc w:val="center"/>
              <w:rPr>
                <w:rFonts w:ascii="Times New Roman" w:hAnsi="Times New Roman" w:cs="Times New Roman"/>
                <w:b/>
                <w:sz w:val="20"/>
                <w:szCs w:val="20"/>
              </w:rPr>
            </w:pPr>
            <w:r w:rsidRPr="008C36F5">
              <w:rPr>
                <w:rFonts w:ascii="Times New Roman" w:hAnsi="Times New Roman" w:cs="Times New Roman"/>
                <w:bCs/>
                <w:sz w:val="20"/>
                <w:szCs w:val="20"/>
              </w:rPr>
              <w:t>Higher alcohols percentage reduces smoke emissions along with their fuel borne O</w:t>
            </w:r>
            <w:r w:rsidRPr="008C36F5">
              <w:rPr>
                <w:rFonts w:ascii="Times New Roman" w:hAnsi="Times New Roman" w:cs="Times New Roman"/>
                <w:bCs/>
                <w:sz w:val="20"/>
                <w:szCs w:val="20"/>
                <w:vertAlign w:val="subscript"/>
              </w:rPr>
              <w:t>2</w:t>
            </w:r>
            <w:r w:rsidRPr="008C36F5">
              <w:rPr>
                <w:rFonts w:ascii="Times New Roman" w:hAnsi="Times New Roman" w:cs="Times New Roman"/>
                <w:bCs/>
                <w:sz w:val="20"/>
                <w:szCs w:val="20"/>
              </w:rPr>
              <w:t>.</w:t>
            </w:r>
          </w:p>
        </w:tc>
        <w:tc>
          <w:tcPr>
            <w:tcW w:w="279" w:type="pct"/>
            <w:vAlign w:val="center"/>
          </w:tcPr>
          <w:p w:rsidR="007A52A5" w:rsidRPr="008C36F5" w:rsidRDefault="007A52A5" w:rsidP="008C36F5">
            <w:pPr>
              <w:spacing w:after="100"/>
              <w:jc w:val="center"/>
              <w:rPr>
                <w:rFonts w:ascii="Times New Roman" w:hAnsi="Times New Roman" w:cs="Times New Roman"/>
                <w:color w:val="FF0000"/>
                <w:sz w:val="20"/>
                <w:szCs w:val="20"/>
              </w:rPr>
            </w:pPr>
            <w:r w:rsidRPr="008C36F5">
              <w:rPr>
                <w:rFonts w:ascii="Times New Roman" w:hAnsi="Times New Roman" w:cs="Times New Roman"/>
                <w:sz w:val="20"/>
                <w:szCs w:val="20"/>
              </w:rPr>
              <w:t>187</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{"citationItems":[{"id":"ITEM-1","itemData":{"DOI":"10.1016/j.rser.2017.05.176","ISSN":"18790690","abstract":"Direct injection diesel engines are more popular in the automotive sector than spark ignition (SI) engines due to its fuel lean operation. However, the demand of fossil fuel is rising day by day and hence the major fuel source of diesel engine, the petroleum based fuel, is depleting rapidly. Many countries depend mainly on imported fossil fuels due to lack of fuel reserves and it has great impact on the economy. In addition to this, the major concerns of diesel engine are its oxides of nitrogen and smoke emissions. Therefore, for the past several decades extensive efforts are being made to search for alternate fuels to overcome the dependence on fossil fuel and environment pollution. In this regard, several alternate fuels namely hydrogen, oxygenated fuels like alcohol fuels, dimethyl ether and biodiesel fuels etc., have been extensively analysed. Recent studies show that biodiesel is one of the most promising alternate fuels for diesel engines because of its biodegradable, oxygenated, sulphur free and renewable characteristics. Hence, it is getting the attention of researchers all over the world. The blends of biodiesel with fossil diesel have many benefits like reduction in emissions, lower engine wear, lesser engine oil consumption and comparable thermal efficiency vis-a-vis diesel fuel. Exhaustive experimental works have been carried out to analyse the suitability of biodiesel fuel as alternate fuel and to explore their advantages in diesel engines. Hence, this paper is attempted to present a comprehensive review on the performance, combustion and emission characteristics of some important biodiesel fuels on diesel engines. This comprehensive review on the published literature will be helpful to the researchers to understand the state-of-the-art technology of the biodiesel fuelled compression ignition engine.","author":[{"dropping-particle":"","family":"Tamilselvan","given":"P.","non-dropping-particle":"","parse-names":false,"suffix":""},{"dropping-particle":"","family":"Nallusamy","given":"N.","non-dropping-particle":"","parse-names":false,"suffix":""},{"dropping-particle":"","family":"Rajkumar","given":"S.","non-dropping-particle":"","parse-names":false,"suffix":""}],"container-title":"Renewable and Sustainable Energy Reviews","id":"ITEM-1","issue":"November 2016","issued":{"date-parts":[["2017"]]},"page":"1134-1159","publisher":"Elsevier Ltd","title":"A comprehensive review on performance, combustion and emission characteristics of biodiesel fuelled diesel engines","type":"article-journal","volume":"79"},"uris":["http://www.mendeley.com/documents/?uuid=c37f0352-f892-45b2-80bb-a0fa1997c822"]}],"mendeley":{"formattedCitation":"(Tamilselvan, Nallusamy and Rajkumar, 2017)","plainTextFormattedCitation":"(Tamilselvan, Nallusamy and Rajkumar, 2017)","previouslyFormattedCitation":"(Tamilselvan, Nallusamy and Rajkumar, 2017)"},"properties":{"noteIndex":0},"schema":"https://github.com/citation-style-language/schema/raw/master/csl-citation.json"}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(Tamilselvan, Nallusamy and Rajkumar, 2017)</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The biodiesel-to-fossil-diesel blends</w:t>
            </w:r>
          </w:p>
        </w:tc>
        <w:tc>
          <w:tcPr>
            <w:tcW w:w="1036" w:type="pct"/>
            <w:vAlign w:val="center"/>
          </w:tcPr>
          <w:p w:rsidR="007A52A5" w:rsidRPr="008C36F5" w:rsidRDefault="00A23838"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 xml:space="preserve">A </w:t>
            </w:r>
            <w:r w:rsidR="007A52A5" w:rsidRPr="008C36F5">
              <w:rPr>
                <w:rFonts w:ascii="Times New Roman" w:hAnsi="Times New Roman" w:cs="Times New Roman"/>
                <w:sz w:val="20"/>
                <w:szCs w:val="20"/>
              </w:rPr>
              <w:t>comprehensive examination of the work that has been accomplished in the field of literature</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Biodiesel-fuelled I.C efficiency, combustion and emission traits.</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Minor emissions from exhaust were produced by the combustion of biodiesel.  Biodiesel does not emit any sulphur components.</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384</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{"citationItems":[{"id":"ITEM-1","itemData":{"DOI":"10.1016/j.rser.2017.05.133","ISBN":"1364-0321","ISSN":"18790690","abstract":"The diesel engine is being widely used in day to day life in both mobile and stationary applications. The main drawback is the release of harmful gasses like HC, CO, NOx and particulate matter into the atmosphere. This affects both human beings and environment to a great extent and should be controlled effectively. This paper reviews the works on the control of diesel particulate matter in both pre-combustion and post-combustion techniques employed in the past few decades. The initial part of this review will discuss particulate matter composition and its structure. Then the various physical processes involved in the formation of particulate matter are discussed. Effects of fuel composition and its structure on soot formation are reported. Hazardous effects of particulate matter on both human beings and the environment are reviewed. Use of biodiesel water emulsified fuel as a fuel to control soot formation is highlighted. This review also highlights control of particulate matter by varying injection parameters like injection pressure, injection timing and auxiliary air injection. Multiple fuel injections within the same cycle to control NOx and particulate matter are also discussed. The conventional control technique of particulate matter by using Diesel particulate filter and its types are also compared with the new technologies. Various regeneration concepts to burn the collected soot are also highlighted. The major part of this review focuses on pre-combustion techniques to control particulate matter. This review paper, it is hoped, will be very useful for the researchers working on the control of diesel particulate matter.","author":[{"dropping-particle":"","family":"Mohankumar","given":"S.","non-dropping-particle":"","parse-names":false,"suffix":""},{"dropping-particle":"","family":"Senthilkumar","given":"P.","non-dropping-particle":"","parse-names":false,"suffix":""}],"container-title":"Renewable and Sustainable Energy Reviews","id":"ITEM-1","issue":"June 2016","issued":{"date-parts":[["2017"]]},"page":"1227-1238","publisher":"Elsevier Ltd","title":"Particulate matter formation and its control methodologies for diesel engine: A comprehensive review","type":"article-journal","volume":"80"},"uris":["http://www.mendeley.com/documents/?uuid=d4350bf8-1e07-4355-b286-cb04b5fd3350"]}],"mendeley":{"formattedCitation":"(Mohankumar and Senthilkumar, 2017)","plainTextFormattedCitation":"(Mohankumar and Senthilkumar, 2017)","previouslyFormattedCitation":"(Mohankumar and Senthilkumar, 2017)"},"properties":{"noteIndex":0},"schema":"https://github.com/citation-style-language/schema/raw/master/csl-citation.json"}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(Mohankumar and Senthilkumar, 2017)</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The arrangement and composition of particulate matter</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Techniques for pre-and post-combustion.</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eastAsia="sans-serif" w:hAnsi="Times New Roman" w:cs="Times New Roman"/>
                <w:color w:val="252525"/>
                <w:sz w:val="20"/>
                <w:szCs w:val="20"/>
              </w:rPr>
              <w:t>PM development and regulation techniques for I.C engines.</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The best solutions for meeting the present strong emission standards are post-combustion technology.</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103</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{"citationItems":[{"id":"ITEM-1","itemData":{"DOI":"10.1016/j.rser.2016.09.075","ISBN":"13640321","ISSN":"18790690","PMID":"19009209","abstract":"The utilization of solar energy based technologies has attracted increased interest in recent times in order to satisfy the various energy demands of our society. This paper presents a thorough review of the open literature on solar energy based heat and power plants. In order to limit the scope of the review, only fully renewable plants with at least the production of electricity and heat/hot water for end use are considered. These include solar photovoltaic and solar thermal based plants with both concentrating and non-concentrating collectors in both solar-only and solar-hybrid configurations. The paper also presents a selection of case studies for the evaluation of solar energy based combined heat and power generation possibility in Denmark. The considered technologies for the case studies are (1) solar photovoltaic modules, (2) solar flat plate collectors, (3) a ground source heat pump, (4) a biomass burner, and (5) an organic Rankine cycle. The various cases are compared on the basis of economic profitability and environmental performance. The results from the case studies indicate that it is economically and environmentally beneficial to invest in both small and large capacity solar-biomass hybrid plants for combined heat and power production in the Nordic climatic conditions. The results also suggest that the configuration with an organic Rankine cycle with solar thermal collectors and a biomass burner is particularly attractive for large capacity plants.","author":[{"dropping-particle":"","family":"Modi","given":"Anish","non-dropping-particle":"","parse-names":false,"suffix":""},{"dropping-particle":"","family":"Bühler","given":"Fabian","non-dropping-particle":"","parse-names":false,"suffix":""},{"dropping-particle":"","family":"Andreasen","given":"Jesper Graa","non-dropping-particle":"","parse-names":false,"suffix":""},{"dropping-particle":"","family":"Haglind","given":"Fredrik","non-dropping-particle":"","parse-names":false,"suffix":""}],"container-title":"Renewable and Sustainable Energy Reviews","id":"ITEM-1","issued":{"date-parts":[["2017"]]},"page":"1047-1064","publisher":"Elsevier","title":"A review of solar energy based heat and power generation systems","type":"article-journal","volume":"67"},"uris":["http://www.mendeley.com/documents/?uuid=fd712b2f-02a0-4b78-bce5-7d64dae6e243"]}],"mendeley":{"formattedCitation":"(Modi &lt;i&gt;et al.&lt;/i&gt;, 2017)","plainTextFormattedCitation":"(Modi et al., 2017)","previouslyFormattedCitation":"(Modi &lt;i&gt;et al.&lt;/i&gt;, 2017)"},"properties":{"noteIndex":0},"schema":"https://github.com/citation-style-language/schema/raw/master/csl-citation.json"}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 xml:space="preserve">(Modi </w:t>
            </w:r>
            <w:r w:rsidR="007A52A5" w:rsidRPr="008C36F5">
              <w:rPr>
                <w:rFonts w:ascii="Times New Roman" w:hAnsi="Times New Roman" w:cs="Times New Roman"/>
                <w:i/>
                <w:noProof/>
                <w:sz w:val="20"/>
                <w:szCs w:val="20"/>
              </w:rPr>
              <w:t>et al.</w:t>
            </w:r>
            <w:r w:rsidR="007A52A5" w:rsidRPr="008C36F5">
              <w:rPr>
                <w:rFonts w:ascii="Times New Roman" w:hAnsi="Times New Roman" w:cs="Times New Roman"/>
                <w:noProof/>
                <w:sz w:val="20"/>
                <w:szCs w:val="20"/>
              </w:rPr>
              <w:t>, 2017)</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Solar photovoltaic and thermal plants in solar-only and solar-hybrid configurations with concentrating and non-concentrating collectors</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Study of a solar cogeneration system with the case study</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To offer a Comprehensive</w:t>
            </w:r>
          </w:p>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Review on heat and power plants focused on solar energy.</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The combination of a bio-mass burner and solar thermal collectors with an organic Rankine cycle is desirable for large-capacity plants.</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187</w:t>
            </w:r>
          </w:p>
        </w:tc>
      </w:tr>
      <w:tr w:rsidR="007A52A5" w:rsidRPr="008C36F5" w:rsidTr="00C92551">
        <w:trPr>
          <w:trHeight w:val="981"/>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lastRenderedPageBreak/>
              <w:fldChar w:fldCharType="begin" w:fldLock="1"/>
            </w:r>
            <w:r w:rsidR="007A52A5" w:rsidRPr="008C36F5">
              <w:rPr>
                <w:rFonts w:ascii="Times New Roman" w:hAnsi="Times New Roman" w:cs="Times New Roman"/>
                <w:b/>
                <w:sz w:val="20"/>
                <w:szCs w:val="20"/>
              </w:rPr>
              <w:instrText>ADDIN CSL_CITATION {"citationItems":[{"id":"ITEM-1","itemData":{"DOI":"10.1016/j.jpowsour.2017.09.006","ISBN":"03787753","ISSN":"03787753","abstract":"Proton exchange membrane water electrolysis (PEMWE) is an advanced and effective solution to the primary energy storage technologies. A better understanding of performance and durability of PEMWE is critical for the engineers and researchers to further advance this technology for its market penetration, and for the manufacturers of PEM water electrolyzers to implement quality control procedures for the production line or on-site process monitoring/diagnosis. This paper reviews the published works on performance degradations and mitigation strategies for PEMWE. Sources of degradation for individual components are introduced. With degradation causes discussed and degradation mechanisms examined, the review emphasizes on feasible strategies to mitigate the components degradation. To avoid lengthy real lifetime degradation tests and their high costs, the importance of accelerated stress tests and protocols is highlighted for various components. In the end, R&amp;D directions are proposed to move the PEMWE technology forward to become a key element in future energy scenarios.","author":[{"dropping-particle":"","family":"Feng","given":"Qi","non-dropping-particle":"","parse-names":false,"suffix":""},{"dropping-particle":"","family":"Yuan","given":"Xiao Zi","non-dropping-particle":"","parse-names":false,"suffix":""},{"dropping-particle":"","family":"Liu","given":"Gaoyang","non-dropping-particle":"","parse-names":false,"suffix":""},{"dropping-particle":"","family":"Wei","given":"Bing","non-dropping-particle":"","parse-names":false,"suffix":""},{"dropping-particle":"","family":"Zhang","given":"Zhen","non-dropping-particle":"","parse-names":false,"suffix":""},{"dropping-particle":"","family":"Li","given":"Hui","non-dropping-particle":"","parse-names":false,"suffix":""},{"dropping-particle":"","family":"Wang","given":"Haijiang","non-dropping-particle":"","parse-names":false,"suffix":""}],"container-title":"Journal of Power Sources","id":"ITEM-1","issued":{"date-parts":[["2017"]]},"page":"33-55","publisher":"Elsevier B.V","title":"A review of proton exchange membrane water electrolysis on degradation mechanisms and mitigation strategies","type":"article-journal","volume":"366"},"uris":["http://www.mendeley.com/documents/?uuid=c656bf1f-b052-4270-962c-89efa52174f9"]}],"mendeley":{"formattedCitation":"(Feng &lt;i&gt;et al.&lt;/i&gt;, 2017)","plainTextFormattedCitation":"(Feng et al., 2017)","previouslyFormattedCitation":"(Feng &lt;i&gt;et al.&lt;/i&gt;, 2017)"},"properties":{"noteIndex":0},"schema":"https://github.com/citation-style-language/schema/raw/master/csl-citation.json"}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 xml:space="preserve">(Feng </w:t>
            </w:r>
            <w:r w:rsidR="007A52A5" w:rsidRPr="008C36F5">
              <w:rPr>
                <w:rFonts w:ascii="Times New Roman" w:hAnsi="Times New Roman" w:cs="Times New Roman"/>
                <w:i/>
                <w:noProof/>
                <w:sz w:val="20"/>
                <w:szCs w:val="20"/>
              </w:rPr>
              <w:t>et al.</w:t>
            </w:r>
            <w:r w:rsidR="007A52A5" w:rsidRPr="008C36F5">
              <w:rPr>
                <w:rFonts w:ascii="Times New Roman" w:hAnsi="Times New Roman" w:cs="Times New Roman"/>
                <w:noProof/>
                <w:sz w:val="20"/>
                <w:szCs w:val="20"/>
              </w:rPr>
              <w:t>, 2017)</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PEMWE efficiency degradations and mitigation methods published in several publications.</w:t>
            </w:r>
          </w:p>
        </w:tc>
        <w:tc>
          <w:tcPr>
            <w:tcW w:w="1036" w:type="pct"/>
            <w:vAlign w:val="center"/>
          </w:tcPr>
          <w:p w:rsidR="007A52A5" w:rsidRPr="008C36F5" w:rsidRDefault="00A23838"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 xml:space="preserve">Mechanisms </w:t>
            </w:r>
            <w:r w:rsidR="007A52A5" w:rsidRPr="008C36F5">
              <w:rPr>
                <w:rFonts w:ascii="Times New Roman" w:hAnsi="Times New Roman" w:cs="Times New Roman"/>
                <w:sz w:val="20"/>
                <w:szCs w:val="20"/>
              </w:rPr>
              <w:t>and prevention methods for depletion.</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For the commercialization of the PEMWE technology</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The PEMWE cell should be formed and tested under real-world conditions, using suitable and normal durability testing protocols. It is the future that will be able to fulfill the world's electricity demands.</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260</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color w:val="1D1B11" w:themeColor="background2" w:themeShade="1A"/>
                <w:sz w:val="20"/>
                <w:szCs w:val="20"/>
              </w:rPr>
            </w:pPr>
            <w:r w:rsidRPr="008C36F5">
              <w:rPr>
                <w:rFonts w:ascii="Times New Roman" w:hAnsi="Times New Roman" w:cs="Times New Roman"/>
                <w:b/>
                <w:color w:val="1D1B11" w:themeColor="background2" w:themeShade="1A"/>
                <w:sz w:val="20"/>
                <w:szCs w:val="20"/>
              </w:rPr>
              <w:fldChar w:fldCharType="begin" w:fldLock="1"/>
            </w:r>
            <w:r w:rsidR="007A52A5" w:rsidRPr="008C36F5">
              <w:rPr>
                <w:rFonts w:ascii="Times New Roman" w:hAnsi="Times New Roman" w:cs="Times New Roman"/>
                <w:b/>
                <w:color w:val="1D1B11" w:themeColor="background2" w:themeShade="1A"/>
                <w:sz w:val="20"/>
                <w:szCs w:val="20"/>
              </w:rPr>
              <w:instrText>ADDIN CSL_CITATION {"citationItems":[{"id":"ITEM-1","itemData":{"DOI":"10.1016/j.rser.2016.09.128","ISSN":"18790690","abstract":"Hydrogen is a promising fuel, can be obtained from different sources of raw materials, including water. This is a renewable and sustainable source, which can obtain a high hydrogen purity via electrolysis. Among the processes for obtaining hydrogen from the water, the electrolytic conversion is the best known, in which two electrodes are responsible for conducting electricity and production of this gas. However, to promote this segregation, some technological challenges must be overcome, as the efficiency of electrolyzers, efficiency and durability of the main fuel cells and the integration of the electrolysis systems for supply and energy, aiming to reduce production costs. The Brazil stands out worldwide with production of fuels obtained from renewable sources and also seeks to develop the hydrogen production through water electrolysis.","author":[{"dropping-particle":"","family":"Santos","given":"Kenia Gabriela","non-dropping-particle":"dos","parse-names":false,"suffix":""},{"dropping-particle":"","family":"Eckert","given":"Caroline Thaís","non-dropping-particle":"","parse-names":false,"suffix":""},{"dropping-particle":"","family":"Rossi","given":"Eduardo","non-dropping-particle":"De","parse-names":false,"suffix":""},{"dropping-particle":"","family":"Bariccatti","given":"Reinaldo Aparecido","non-dropping-particle":"","parse-names":false,"suffix":""},{"dropping-particle":"","family":"Frigo","given":"Elisandro Pires","non-dropping-particle":"","parse-names":false,"suffix":""},{"dropping-particle":"","family":"Lindino","given":"Cleber Antonio","non-dropping-particle":"","parse-names":false,"suffix":""},{"dropping-particle":"","family":"Alves","given":"Helton José","non-dropping-particle":"","parse-names":false,"suffix":""}],"container-title":"Renewable and Sustainable Energy Reviews","id":"ITEM-1","issue":"September 2016","issued":{"date-parts":[["2017"]]},"page":"563-571","publisher":"Elsevier","title":"Hydrogen production in the electrolysis of water in Brazil, a review","type":"article-journal","volume":"68"},"uris":["http://www.mendeley.com/documents/?uuid=26fbc633-ef5e-4826-8f49-ad85dd4d7f9a"]}],"mendeley":{"formattedCitation":"(dos Santos &lt;i&gt;et al.&lt;/i&gt;, 2017)","plainTextFormattedCitation":"(dos Santos et al., 2017)","previouslyFormattedCitation":"(dos Santos &lt;i&gt;et al.&lt;/i&gt;, 2017)"},"properties":{"noteIndex":0},"schema":"https://github.com/citation-style-language/schema/raw/master/csl-citation.json"}</w:instrText>
            </w:r>
            <w:r w:rsidRPr="008C36F5">
              <w:rPr>
                <w:rFonts w:ascii="Times New Roman" w:hAnsi="Times New Roman" w:cs="Times New Roman"/>
                <w:b/>
                <w:color w:val="1D1B11" w:themeColor="background2" w:themeShade="1A"/>
                <w:sz w:val="20"/>
                <w:szCs w:val="20"/>
              </w:rPr>
              <w:fldChar w:fldCharType="separate"/>
            </w:r>
            <w:r w:rsidR="007A52A5" w:rsidRPr="008C36F5">
              <w:rPr>
                <w:rFonts w:ascii="Times New Roman" w:hAnsi="Times New Roman" w:cs="Times New Roman"/>
                <w:noProof/>
                <w:color w:val="1D1B11" w:themeColor="background2" w:themeShade="1A"/>
                <w:sz w:val="20"/>
                <w:szCs w:val="20"/>
              </w:rPr>
              <w:t xml:space="preserve">(dos Santos </w:t>
            </w:r>
            <w:r w:rsidR="007A52A5" w:rsidRPr="008C36F5">
              <w:rPr>
                <w:rFonts w:ascii="Times New Roman" w:hAnsi="Times New Roman" w:cs="Times New Roman"/>
                <w:i/>
                <w:noProof/>
                <w:color w:val="1D1B11" w:themeColor="background2" w:themeShade="1A"/>
                <w:sz w:val="20"/>
                <w:szCs w:val="20"/>
              </w:rPr>
              <w:t>et al.</w:t>
            </w:r>
            <w:r w:rsidR="007A52A5" w:rsidRPr="008C36F5">
              <w:rPr>
                <w:rFonts w:ascii="Times New Roman" w:hAnsi="Times New Roman" w:cs="Times New Roman"/>
                <w:noProof/>
                <w:color w:val="1D1B11" w:themeColor="background2" w:themeShade="1A"/>
                <w:sz w:val="20"/>
                <w:szCs w:val="20"/>
              </w:rPr>
              <w:t>, 2017)</w:t>
            </w:r>
            <w:r w:rsidRPr="008C36F5">
              <w:rPr>
                <w:rFonts w:ascii="Times New Roman" w:hAnsi="Times New Roman" w:cs="Times New Roman"/>
                <w:b/>
                <w:color w:val="1D1B11" w:themeColor="background2" w:themeShade="1A"/>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color w:val="1D1B11" w:themeColor="background2" w:themeShade="1A"/>
                <w:sz w:val="20"/>
                <w:szCs w:val="20"/>
                <w:highlight w:val="yellow"/>
              </w:rPr>
            </w:pPr>
            <w:r w:rsidRPr="008C36F5">
              <w:rPr>
                <w:rFonts w:ascii="Times New Roman" w:hAnsi="Times New Roman" w:cs="Times New Roman"/>
                <w:color w:val="1D1B11" w:themeColor="background2" w:themeShade="1A"/>
                <w:sz w:val="20"/>
                <w:szCs w:val="20"/>
              </w:rPr>
              <w:t>Hydrogen fuel cells like PEM &amp; AEM</w:t>
            </w:r>
          </w:p>
        </w:tc>
        <w:tc>
          <w:tcPr>
            <w:tcW w:w="1036" w:type="pct"/>
            <w:vAlign w:val="center"/>
          </w:tcPr>
          <w:p w:rsidR="007A52A5" w:rsidRPr="008C36F5" w:rsidRDefault="007A52A5" w:rsidP="008C36F5">
            <w:pPr>
              <w:spacing w:after="100"/>
              <w:jc w:val="center"/>
              <w:rPr>
                <w:rFonts w:ascii="Times New Roman" w:hAnsi="Times New Roman" w:cs="Times New Roman"/>
                <w:color w:val="1D1B11" w:themeColor="background2" w:themeShade="1A"/>
                <w:sz w:val="20"/>
                <w:szCs w:val="20"/>
                <w:highlight w:val="yellow"/>
              </w:rPr>
            </w:pPr>
            <w:r w:rsidRPr="008C36F5">
              <w:rPr>
                <w:rFonts w:ascii="Times New Roman" w:hAnsi="Times New Roman" w:cs="Times New Roman"/>
                <w:color w:val="1D1B11" w:themeColor="background2" w:themeShade="1A"/>
                <w:sz w:val="20"/>
                <w:szCs w:val="20"/>
              </w:rPr>
              <w:t>The Study of developments in various types of fuel cells.</w:t>
            </w:r>
          </w:p>
        </w:tc>
        <w:tc>
          <w:tcPr>
            <w:tcW w:w="1110" w:type="pct"/>
            <w:vAlign w:val="center"/>
          </w:tcPr>
          <w:p w:rsidR="007A52A5" w:rsidRPr="008C36F5" w:rsidRDefault="007A52A5" w:rsidP="008C36F5">
            <w:pPr>
              <w:spacing w:after="100"/>
              <w:jc w:val="center"/>
              <w:rPr>
                <w:rFonts w:ascii="Times New Roman" w:hAnsi="Times New Roman" w:cs="Times New Roman"/>
                <w:color w:val="1D1B11" w:themeColor="background2" w:themeShade="1A"/>
                <w:sz w:val="20"/>
                <w:szCs w:val="20"/>
              </w:rPr>
            </w:pPr>
            <w:r w:rsidRPr="008C36F5">
              <w:rPr>
                <w:rFonts w:ascii="Times New Roman" w:hAnsi="Times New Roman" w:cs="Times New Roman"/>
                <w:color w:val="1D1B11" w:themeColor="background2" w:themeShade="1A"/>
                <w:sz w:val="20"/>
                <w:szCs w:val="20"/>
              </w:rPr>
              <w:t>Production of hydrogen as future fuel</w:t>
            </w:r>
          </w:p>
        </w:tc>
        <w:tc>
          <w:tcPr>
            <w:tcW w:w="1038" w:type="pct"/>
            <w:vAlign w:val="center"/>
          </w:tcPr>
          <w:p w:rsidR="007A52A5" w:rsidRPr="008C36F5" w:rsidRDefault="007A52A5" w:rsidP="008C36F5">
            <w:pPr>
              <w:spacing w:after="100"/>
              <w:jc w:val="center"/>
              <w:rPr>
                <w:rFonts w:ascii="Times New Roman" w:hAnsi="Times New Roman" w:cs="Times New Roman"/>
                <w:color w:val="1D1B11" w:themeColor="background2" w:themeShade="1A"/>
                <w:sz w:val="20"/>
                <w:szCs w:val="20"/>
              </w:rPr>
            </w:pPr>
            <w:r w:rsidRPr="008C36F5">
              <w:rPr>
                <w:rFonts w:ascii="Times New Roman" w:hAnsi="Times New Roman" w:cs="Times New Roman"/>
                <w:color w:val="1D1B11" w:themeColor="background2" w:themeShade="1A"/>
                <w:sz w:val="20"/>
                <w:szCs w:val="20"/>
              </w:rPr>
              <w:t>Due to its high employability and flexibility to scientific study, AFC and PEMFC cells have received the most study for fuel cells.</w:t>
            </w:r>
          </w:p>
        </w:tc>
        <w:tc>
          <w:tcPr>
            <w:tcW w:w="279" w:type="pct"/>
            <w:vAlign w:val="center"/>
          </w:tcPr>
          <w:p w:rsidR="007A52A5" w:rsidRPr="008C36F5" w:rsidRDefault="007A52A5" w:rsidP="008C36F5">
            <w:pPr>
              <w:spacing w:after="100"/>
              <w:jc w:val="center"/>
              <w:rPr>
                <w:rFonts w:ascii="Times New Roman" w:hAnsi="Times New Roman" w:cs="Times New Roman"/>
                <w:color w:val="1D1B11" w:themeColor="background2" w:themeShade="1A"/>
                <w:sz w:val="20"/>
                <w:szCs w:val="20"/>
              </w:rPr>
            </w:pPr>
            <w:r w:rsidRPr="008C36F5">
              <w:rPr>
                <w:rFonts w:ascii="Times New Roman" w:hAnsi="Times New Roman" w:cs="Times New Roman"/>
                <w:color w:val="1D1B11" w:themeColor="background2" w:themeShade="1A"/>
                <w:sz w:val="20"/>
                <w:szCs w:val="20"/>
              </w:rPr>
              <w:t>81</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{"citationItems":[{"id":"ITEM-1","itemData":{"DOI":"10.1016/j.rser.2017.09.074","ISSN":"13640321","abstract":"Energy security and global warming concern are the two main driving forces for the global alcohol development that also have the effort to animate the agro-industry. Generally, alcohol and ether fuels are produced from several sources and can be produced locally. Almost all alcohol fuels have similar combustion and ignition characteristics to existing known mineral fuels. Mainly the ether fuels (MTBE and DME) are used as additives at low blending ratio to enhance the octane number and oxygen content of gasoline. The addition of alcohol and ether fuels to gasoline lead to a complete combustion due to the higher oxygen content, thereby leads to in- creased combustion efficiency and decreased engine emissions. The objectives of this paper are to systematically review the use of alcohols and ethers including butanol, methanol, ethanol, and fusel oil, MTBE, and DME as fuels in SI engine. Also, the current study has investigated the effects of performance (brake torque, brake power, BSFC, effective efficiency, and EGT), emissions (CO, CO2, NOx and HC) and combustion characteristics of SI engine with alcohol and ether. The increase in engine performance could be attained with an increased com- pression ratio along with the use of alcohol fuels which have a higher-octane value. Furthermore, alcohol and ether burn very cleanly than regular gasoline and produce lesser carbon monoxide (CO) and nitrogen oxide (NOx). On the other hand, the energy value of alcohol and ether fuels is approximately 30% lower than gasoline; thereby the specific fuel consumption (SFC) will increase simultaneously when using alcohol and ether as a fuel. Finally, this paper also discusses the impacts of alcohol on engine vibration, engine noise, and potential to be used as a gasoline octane enhancer. Alcohol can be used as a pure fuel in spark ignition engine, but it requires some","author":[{"dropping-particle":"","family":"Mamat","given":"R.","non-dropping-particle":"","parse-names":false,"suffix":""},{"dropping-particle":"","family":"Awad","given":"Omar I.","non-dropping-particle":"","parse-names":false,"suffix":""},{"dropping-particle":"","family":"Ali","given":"Obed M.","non-dropping-particle":"","parse-names":false,"suffix":""},{"dropping-particle":"","family":"Kettner","given":"Maurice","non-dropping-particle":"","parse-names":false,"suffix":""},{"dropping-particle":"","family":"Kadirgama","given":"K.","non-dropping-particle":"","parse-names":false,"suffix":""},{"dropping-particle":"","family":"Sidik","given":"N.A.C.","non-dropping-particle":"","parse-names":false,"suffix":""},{"dropping-particle":"","family":"Yusaf","given":"T.","non-dropping-particle":"","parse-names":false,"suffix":""}],"container-title":"Renewable and Sustainable Energy Reviews","id":"ITEM-1","issue":"May","issued":{"date-parts":[["2017"]]},"page":"2586-2605","publisher":"Elsevier Ltd","title":"Alcohol and ether as alternative fuels in spark ignition engine: A review","type":"article-journal","volume":"82"},"uris":["http://www.mendeley.com/documents/?uuid=acc1cd6c-3bab-4ce9-96f0-dc487e126c65"]}],"mendeley":{"formattedCitation":"(Mamat &lt;i&gt;et al.&lt;/i&gt;, 2017)","plainTextFormattedCitation":"(Mamat et al., 2017)","previouslyFormattedCitation":"(Mamat &lt;i&gt;et al.&lt;/i&gt;, 2017)"},"properties":{"noteIndex":0},"schema":"https://github.com/citation-style-language/schema/raw/master/csl-citation.json"}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 xml:space="preserve">(Mamat </w:t>
            </w:r>
            <w:r w:rsidR="007A52A5" w:rsidRPr="008C36F5">
              <w:rPr>
                <w:rFonts w:ascii="Times New Roman" w:hAnsi="Times New Roman" w:cs="Times New Roman"/>
                <w:i/>
                <w:noProof/>
                <w:sz w:val="20"/>
                <w:szCs w:val="20"/>
              </w:rPr>
              <w:t>et al.</w:t>
            </w:r>
            <w:r w:rsidR="007A52A5" w:rsidRPr="008C36F5">
              <w:rPr>
                <w:rFonts w:ascii="Times New Roman" w:hAnsi="Times New Roman" w:cs="Times New Roman"/>
                <w:noProof/>
                <w:sz w:val="20"/>
                <w:szCs w:val="20"/>
              </w:rPr>
              <w:t>, 2017)</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Alcohol and ether</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Examine the use of alcohols and ethers in S.I. engines systematically.</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Alcohol could be utilized as an unadulterated</w:t>
            </w:r>
            <w:r w:rsidR="00A23838" w:rsidRPr="008C36F5">
              <w:rPr>
                <w:rFonts w:ascii="Times New Roman" w:hAnsi="Times New Roman" w:cs="Times New Roman"/>
                <w:sz w:val="20"/>
                <w:szCs w:val="20"/>
              </w:rPr>
              <w:t xml:space="preserve">. </w:t>
            </w:r>
            <w:r w:rsidRPr="008C36F5">
              <w:rPr>
                <w:rFonts w:ascii="Times New Roman" w:hAnsi="Times New Roman" w:cs="Times New Roman"/>
                <w:sz w:val="20"/>
                <w:szCs w:val="20"/>
              </w:rPr>
              <w:t>S.I engine with modifications.</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Alcohol fuels with a high compression ratio can be utilized to improve the efficiency of the SI engine.</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106</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{"citationItems":[{"id":"ITEM-1","itemData":{"DOI":"10.1016/j.rser.2016.09.033","ISSN":"18790690","abstract":"This paper demonstrates a detailed review of the performance of Stirling engine based on the thermodynamic methods like Finite Time Thermodynamic analysis, Finite speed thermodynamic analysis, Isothermal model, Non-ideal adiabatic method, CAFS: The Combined Adiabatic- Finite Speed Thermal Model and Polytropic analysis of Stirling engine with Various Loss mechanisms (PSVL) model are reported. The aim of the paper is to summarize overall research work being carried out worldwide on the thermodynamic performance evaluation of Stirling engine using different thermodynamic methods. In this paper, the conventional thermodynamic methods for GPU3 Stirling engine were compared. The outcome of this comparison revealed that PSVL was better than the other methods.","author":[{"dropping-particle":"","family":"Ahmadi","given":"Mohammad H.","non-dropping-particle":"","parse-names":false,"suffix":""},{"dropping-particle":"","family":"Ahmadi","given":"Mohammad Ali","non-dropping-particle":"","parse-names":false,"suffix":""},{"dropping-particle":"","family":"Pourfayaz","given":"Fathollah","non-dropping-particle":"","parse-names":false,"suffix":""}],"container-title":"Renewable and Sustainable Energy Reviews","id":"ITEM-1","issue":"July 2015","issued":{"date-parts":[["2017"]]},"page":"168-184","publisher":"Elsevier","title":"Thermal models for analysis of performance of Stirling engine: A review","type":"article-journal","volume":"68"},"uris":["http://www.mendeley.com/documents/?uuid=11936b90-55ff-4087-b730-658006f58871"]}],"mendeley":{"formattedCitation":"(Ahmadi, Ahmadi and Pourfayaz, 2017)","plainTextFormattedCitation":"(Ahmadi, Ahmadi and Pourfayaz, 2017)","previouslyFormattedCitation":"(Ahmadi, Ahmadi and Pourfayaz, 2017)"},"properties":{"noteIndex":0},"schema":"https://github.com/citation-style-language/schema/raw/master/csl-citation.json"}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(Ahmadi, Ahmadi and Pourfayaz, 2017)</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Worldwide working on the thermodynamic efficiency assessment of Stirling engines using various thermodynamic approaches.</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Analysis through various thermodynamics methods &amp;  CAFS</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To compare and contrast the efficiency of various Stirling engines</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PSVL was shown to be superior to the other kind in this comparison.</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130</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{"citationItems":[{"id":"ITEM-1","itemData":{"DOI":"10.1016/j.biotechadv.2017.07.004","ISBN":"0734-9750","ISSN":"07349750","PMID":"21875792","abstract":"Microbial electrolysis cells (MECs) are a promising technology for biological hydrogen production. Compared to abiotic water electrolysis, a much lower electrical voltage (~ 0.2 V) is required for hydrogen production in MECs. It is also an attractive waste treatment technology as a variety of biodegradable substances can be used as the process feedstock. Underpinning this technology is a recently discovered bioelectrochemical pathway known as “bioelectrohydrogenesis”. However, little is known about the mechanism of this pathway, and numerous hurdles are yet to be addressed to maximize hydrogen yield and purity. Here, we review various aspects including reactor configurations, microorganisms, substrates, electrode materials, and inhibitors of methanogenesis in order to improve hydrogen generation in MECs.","author":[{"dropping-particle":"","family":"Karthikeyan","given":"Rengasamy","non-dropping-particle":"","parse-names":false,"suffix":""},{"dropping-particle":"","family":"Cheng","given":"Ka Yu","non-dropping-particle":"","parse-names":false,"suffix":""},{"dropping-particle":"","family":"Selvam","given":"Ammaiyappan","non-dropping-particle":"","parse-names":false,"suffix":""},{"dropping-particle":"","family":"Bose","given":"Arpita","non-dropping-particle":"","parse-names":false,"suffix":""},{"dropping-particle":"","family":"Wong","given":"Jonathan W.C.","non-dropping-particle":"","parse-names":false,"suffix":""}],"container-title":"Biotechnology Advances","id":"ITEM-1","issue":"6","issued":{"date-parts":[["2017"]]},"page":"758-771","publisher":"Elsevier Inc","title":"Bioelectrohydrogenesis and inhibition of methanogenic activity in microbial electrolysis cells - A review","type":"article-journal","volume":"35"},"uris":["http://www.mendeley.com/documents/?uuid=83cab70f-cefb-4d31-bf12-6c9d84259f7d"]}],"mendeley":{"formattedCitation":"(Karthikeyan &lt;i&gt;et al.&lt;/i&gt;, 2017)","plainTextFormattedCitation":"(Karthikeyan et al., 2017)","previouslyFormattedCitation":"(Karthikeyan &lt;i&gt;et al.&lt;/i&gt;, 2017)"},"properties":{"noteIndex":0},"schema":"https://github.com/citation-style-language/schema/raw/master/csl-citation.json"}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 xml:space="preserve">(Karthikeyan </w:t>
            </w:r>
            <w:r w:rsidR="007A52A5" w:rsidRPr="008C36F5">
              <w:rPr>
                <w:rFonts w:ascii="Times New Roman" w:hAnsi="Times New Roman" w:cs="Times New Roman"/>
                <w:i/>
                <w:noProof/>
                <w:sz w:val="20"/>
                <w:szCs w:val="20"/>
              </w:rPr>
              <w:t>et al.</w:t>
            </w:r>
            <w:r w:rsidR="007A52A5" w:rsidRPr="008C36F5">
              <w:rPr>
                <w:rFonts w:ascii="Times New Roman" w:hAnsi="Times New Roman" w:cs="Times New Roman"/>
                <w:noProof/>
                <w:sz w:val="20"/>
                <w:szCs w:val="20"/>
              </w:rPr>
              <w:t>, 2017)</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Microbial electrolysis cells (MECs)</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Bioelectrohydrogenesis</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Improve hydrogen generation in MECs</w:t>
            </w:r>
          </w:p>
        </w:tc>
        <w:tc>
          <w:tcPr>
            <w:tcW w:w="1038" w:type="pct"/>
            <w:vAlign w:val="center"/>
          </w:tcPr>
          <w:p w:rsidR="007A52A5" w:rsidRPr="008C36F5" w:rsidRDefault="007A52A5" w:rsidP="00A73290">
            <w:pPr>
              <w:spacing w:after="100"/>
              <w:jc w:val="center"/>
              <w:rPr>
                <w:rFonts w:ascii="Times New Roman" w:hAnsi="Times New Roman" w:cs="Times New Roman"/>
                <w:sz w:val="20"/>
                <w:szCs w:val="20"/>
              </w:rPr>
            </w:pPr>
            <w:r w:rsidRPr="008C36F5">
              <w:rPr>
                <w:rFonts w:ascii="Times New Roman" w:hAnsi="Times New Roman" w:cs="Times New Roman"/>
                <w:sz w:val="20"/>
                <w:szCs w:val="20"/>
              </w:rPr>
              <w:t>This proc</w:t>
            </w:r>
            <w:r w:rsidR="00A73290">
              <w:rPr>
                <w:rFonts w:ascii="Times New Roman" w:hAnsi="Times New Roman" w:cs="Times New Roman"/>
                <w:sz w:val="20"/>
                <w:szCs w:val="20"/>
              </w:rPr>
              <w:t>ess failed to produce hydrogen,</w:t>
            </w:r>
            <w:r w:rsidRPr="008C36F5">
              <w:rPr>
                <w:rFonts w:ascii="Times New Roman" w:hAnsi="Times New Roman" w:cs="Times New Roman"/>
                <w:sz w:val="20"/>
                <w:szCs w:val="20"/>
              </w:rPr>
              <w:t>It is practically challenging</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136</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{"citationItems":[{"id":"ITEM-1","itemData":{"DOI":"10.1016/j.rser.2017.03.099","ISSN":"18790690","abstract":"This review provides an exhaustive and comprehensive analysis of the existing modelling works about low temperature electrolysis system: alkaline and proton exchange membrane (PEM) technologies. In order to achieve this review, a classification was built, based on different criteria such as physical domains involved or modelling approaches. The proposed methodology allows both exposing an overview of the electrolysis system modelling field and providing a deep analysis of each reviewed model. Actual strengths, weaknesses and lacks in this research field are pointed out and the performed analysis provides ideas for future research in this area.","author":[{"dropping-particle":"","family":"Olivier","given":"Pierre","non-dropping-particle":"","parse-names":false,"suffix":""},{"dropping-particle":"","family":"Bourasseau","given":"Cyril","non-dropping-particle":"","parse-names":false,"suffix":""},{"dropping-particle":"","family":"Bouamama","given":"Pr Belkacem","non-dropping-particle":"","parse-names":false,"suffix":""}],"container-title":"Renewable and Sustainable Energy Reviews","id":"ITEM-1","issue":"January 2016","issued":{"date-parts":[["2017"]]},"page":"280-300","title":"Low-temperature electrolysis system modelling: A review","type":"article-journal","volume":"78"},"uris":["http://www.mendeley.com/documents/?uuid=91cafadb-27a8-4a7c-bc42-a214e132f3c8"]}],"mendeley":{"formattedCitation":"(Olivier, Bourasseau and Bouamama, 2017)","plainTextFormattedCitation":"(Olivier, Bourasseau and Bouamama, 2017)","previouslyFormattedCitation":"(Olivier, Bourasseau and Bouamama, 2017)"},"properties":{"noteIndex":0},"schema":"https://github.com/citation-style-language/schema/raw/master/csl-citation.json"}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(Olivier, Bourasseau and Bouamama, 2017)</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Membrane technology for alkaline and proton exchange</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Physical domain, modelling approaches, dynamic behaviour &amp; modelling scales</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An in-depth review of current modelling studies on low-temperature electrolysis systems</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Complex and non-linear layouts of the electrolysis mechanism are outlined.</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119</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{"citationItems":[{"id":"ITEM-1","itemData":{"DOI":"10.1016/j.rser.2017.05.086","ISSN":"18790690","abstract":"The electricity generated by concentrated solar power (CSP) in every year is being increased with high rate in India. India have enormous solar power potential for solar electricity generation per watt set up because it has solar radiation of 1700–1900 kW h per kilowatt peak with more than 300 clear sky days in year. Government of India set target of extra solar power generation of 10,000 MW till 2017, and an 100,000 MW till 2022.Therefore, the area of concern in this study is the review of the various installed CSP based electricity generation plant in India.","author":[{"dropping-particle":"","family":"Kumar","given":"Anil","non-dropping-particle":"","parse-names":false,"suffix":""},{"dropping-particle":"","family":"Prakash","given":"Om","non-dropping-particle":"","parse-names":false,"suffix":""},{"dropping-particle":"","family":"Dube","given":"Akarshi","non-dropping-particle":"","parse-names":false,"suffix":""}],"container-title":"Renewable and Sustainable Energy Reviews","id":"ITEM-1","issue":"February 2016","issued":{"date-parts":[["2017"]]},"page":"304-307","publisher":"Elsevier Ltd","title":"A review on progress of concentrated solar power in India","type":"article-journal","volume":"79"},"uris":["http://www.mendeley.com/documents/?uuid=d5a3b444-2e05-485b-9e06-7aafcd6da827"]}],"mendeley":{"formattedCitation":"(Kumar, Prakash and Dube, 2017)","plainTextFormattedCitation":"(Kumar, Prakash and Dube, 2017)","previouslyFormattedCitation":"(Kumar, Prakash and Dube, 2017)"},"properties":{"noteIndex":0},"schema":"https://github.com/citation-style-language/schema/raw/master/csl-citation.json"}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(Kumar, Prakash and Dube, 2017)</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CSP based power plants</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Study of CSP with a case study</w:t>
            </w:r>
          </w:p>
        </w:tc>
        <w:tc>
          <w:tcPr>
            <w:tcW w:w="1110" w:type="pct"/>
            <w:vAlign w:val="center"/>
          </w:tcPr>
          <w:p w:rsidR="007A52A5" w:rsidRPr="008C36F5" w:rsidRDefault="00A23838"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 xml:space="preserve">Reformation of policy in India, </w:t>
            </w:r>
            <w:r w:rsidR="007A52A5" w:rsidRPr="008C36F5">
              <w:rPr>
                <w:rFonts w:ascii="Times New Roman" w:hAnsi="Times New Roman" w:cs="Times New Roman"/>
                <w:sz w:val="20"/>
                <w:szCs w:val="20"/>
              </w:rPr>
              <w:t>planning and implementation of CSP power plants.</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JNNSM was established by the Indian government's Ministry of New and Renewable Energy to promote different solar applications, including CSP.</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27</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{"citationItems":[{"id":"ITEM-1","itemData":{"DOI":"10.1016/j.apenergy.2018.09.125","ISBN":"0306-2619","ISSN":"03062619","abstract":"Hydrogen is mainly produced by natural gas reforming, which is a highly efficient process with low feedstock costs. However, the rising interest in clean technologies will increase the demand for hydrogen, meaning that other sources will need to be explored. Although coal is currently the major source of power generation, its demand appears to be declining due to the rise in electricity generated from renewable energy sources and the worldwide quest for low-emission power generation. Coal reserves worldwide are abundant, but new technologies would be needed to produce hydrogen from this feedstock. Coal gasification is one well-established technology for this purpose, but it is inefficient and produces high CO2 emissions. An alternative technology that has been investigated over the past few decades is carbon assisted water electrolysis. The basic process is water/steam electrolysis, with part of the energy required for the electrolysis provided by the chemical energy of coal, which reduces the overall electrical energy input. In addition to coal, the process can also use other carbon sources, such as biomass, alcohols or gaseous hydrocarbons. Several studies have investigated this electrochemical route of hydrogen production, employing different electrolytes in a wide temperature range (room temperature to 850 °C) under different process conditions. This paper presents a comprehensive review of carbon assisted water electrolysis, associated materials used and the challenges for the development of the technology at the commercial scale.","author":[{"dropping-particle":"","family":"Ju","given":"Hyung Kuk","non-dropping-particle":"","parse-names":false,"suffix":""},{"dropping-particle":"","family":"Badwal","given":"Sukhvinder","non-dropping-particle":"","parse-names":false,"suffix":""},{"dropping-particle":"","family":"Giddey","given":"Sarbjit","non-dropping-particle":"","parse-names":false,"suffix":""}],"container-title":"Applied Energy","id":"ITEM-1","issue":"May","issued":{"date-parts":[["2018"]]},"page":"502-533","publisher":"Elsevier","title":"A comprehensive review of carbon and hydrocarbon assisted water electrolysis for hydrogen production","type":"article-journal","volume":"231"},"uris":["http://www.mendeley.com/documents/?uuid=c27e1422-851e-48dd-8289-24fa0d7eef41"]}],"mendeley":{"formattedCitation":"(Ju, Badwal and Giddey, 2018)","plainTextFormattedCitation":"(Ju, Badwal and Giddey, 2018)","previouslyFormattedCitation":"(Ju, Badwal and Giddey, 2018)"},"properties":{"noteIndex":0},"schema":"https://github.com/citation-style-language/schema/raw/master/csl-citation.json"}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(Ju, Badwal and Giddey, 2018)</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Carbon and hydrocarbon  assisted water electrolysis</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Study of Published Review Work</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The aim was to study the different prevailing technique for the production of H</w:t>
            </w:r>
            <w:r w:rsidRPr="008C36F5">
              <w:rPr>
                <w:rFonts w:ascii="Times New Roman" w:hAnsi="Times New Roman" w:cs="Times New Roman"/>
                <w:sz w:val="20"/>
                <w:szCs w:val="20"/>
                <w:vertAlign w:val="subscript"/>
              </w:rPr>
              <w:t>2.</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 xml:space="preserve">Carbon assisted water electrolysis technology was in its initial phase; among the alcohols, </w:t>
            </w:r>
            <w:r w:rsidRPr="008C36F5">
              <w:rPr>
                <w:rFonts w:ascii="Times New Roman" w:hAnsi="Times New Roman" w:cs="Times New Roman"/>
                <w:sz w:val="20"/>
                <w:szCs w:val="20"/>
              </w:rPr>
              <w:lastRenderedPageBreak/>
              <w:t>methanol-assisted electrolysis has shown great promise.</w:t>
            </w:r>
          </w:p>
        </w:tc>
        <w:tc>
          <w:tcPr>
            <w:tcW w:w="279" w:type="pct"/>
            <w:vAlign w:val="center"/>
          </w:tcPr>
          <w:p w:rsidR="007A52A5" w:rsidRPr="008C36F5" w:rsidRDefault="007A52A5" w:rsidP="008C36F5">
            <w:pPr>
              <w:spacing w:after="100"/>
              <w:jc w:val="center"/>
              <w:rPr>
                <w:rFonts w:ascii="Times New Roman" w:hAnsi="Times New Roman" w:cs="Times New Roman"/>
                <w:color w:val="FF0000"/>
                <w:sz w:val="20"/>
                <w:szCs w:val="20"/>
              </w:rPr>
            </w:pPr>
            <w:r w:rsidRPr="008C36F5">
              <w:rPr>
                <w:rFonts w:ascii="Times New Roman" w:hAnsi="Times New Roman" w:cs="Times New Roman"/>
                <w:sz w:val="20"/>
                <w:szCs w:val="20"/>
              </w:rPr>
              <w:lastRenderedPageBreak/>
              <w:t>176</w:t>
            </w:r>
          </w:p>
        </w:tc>
      </w:tr>
      <w:tr w:rsidR="007A52A5" w:rsidRPr="008C36F5" w:rsidTr="00C92551">
        <w:trPr>
          <w:trHeight w:val="1763"/>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{"citationItems":[{"id":"ITEM-1","itemData":{"DOI":"10.1016/j.rser.2017.09.003","ISBN":"978-1-4577-0165-8","ISSN":"18790690","abstract":"Water electrolysis has the potential to become a key element in coupling the electricity, mobility, heating and chemical sector via Power-to-Liquids (PtL) or Power-to-Gas (PtG) in a future sustainable energy system. Based on an extensive market survey, discussions with manufacturers, project reports and literature, an overview of the current status of alkaline, PEM and solid oxide electrolysis on the way to large-scale flexible energy storage is presented. These main water electrolysis technologies were compared in terms of available capacity, nominal and part-load performance, flexibility (load range, load gradients, start-up time, stand-by losses) lifetime and investment costs. This review provides a basis of the parameters required and the necessary understanding of electrolysis fundamentals and technologies for a techno-economic analysis of water electrolysis-based concepts and an evaluation of PtG and PtL in energy system studies.","author":[{"dropping-particle":"","family":"Buttler","given":"Alexander","non-dropping-particle":"","parse-names":false,"suffix":""},{"dropping-particle":"","family":"Spliethoff","given":"Hartmut","non-dropping-particle":"","parse-names":false,"suffix":""}],"container-title":"Renewable and Sustainable Energy Reviews","id":"ITEM-1","issue":"September","issued":{"date-parts":[["2018"]]},"page":"2440-2454","title":"Current status of water electrolysis for energy storage, grid balancing and sector coupling via power-to-gas and power-to-liquids: A review","type":"article-journal","volume":"82"},"uris":["http://www.mendeley.com/documents/?uuid=95bada66-b0cf-455a-aac8-17ce7dadd9c8"]}],"mendeley":{"formattedCitation":"(Buttler and Spliethoff, 2018)","plainTextFormattedCitation":"(Buttler and Spliethoff, 2018)","previouslyFormattedCitation":"(Buttler and Spliethoff, 2018)"},"properties":{"noteIndex":0},"schema":"https://github.com/citation-style-language/schema/raw/master/csl-citation.json"}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(Buttler and Spliethoff, 2018)</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Technologies for water electrolysis</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The study includes a detailed industry survey, discussions with suppliers, project reports and literature, and a summary of the present state of alkaline, PEM, and SOEC.</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Understanding of electrolysis fundamental</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SOEL, unlike AEL and PEMEL, is only in the pre-commercial period. SOEL has the potential to improve hydrogen production performance, and it has unique features such as reversible activity and syngas production through co-electrolysis.</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169</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{"citationItems":[{"id":"ITEM-1","itemData":{"DOI":"10.1016/j.rser.2017.05.258","ISSN":"18790690","abstract":"Anion exchange membrane (AEM) water electrolysis is a hydrogen production method that is achieved with an AEM, using electricity. One of the major advantages of AEM water electrolysis is the replacement of conventional noble metal electrocatalysts with low cost transition metal catalysts. AEM electrolysis is still a developing technology; therefore, with a view to using it to eventually achieve commercially viable hydrogen production, AEM electrolysis requires further investigation and improvements, specifically regarding its power efficiency, membrane stability, robustness, ease of handling, and cost reduction. This review addresses state of the art technology of AEM electrolysis for hydrogen production. It also provides a summary of important research that has been carried out on membranes, electrocatalysts, and ionomers used in AEM electrolyzers, and the performance of such electrolyzers. The aim of this review is to identify gaps in AEM water electrolysis research and to make recommendations for future directions in AEM water electrolysis research.","author":[{"dropping-particle":"","family":"Vincent","given":"Immanuel","non-dropping-particle":"","parse-names":false,"suffix":""},{"dropping-particle":"","family":"Bessarabov","given":"Dmitri","non-dropping-particle":"","parse-names":false,"suffix":""}],"container-title":"Renewable and Sustainable Energy Reviews","id":"ITEM-1","issue":"May","issued":{"date-parts":[["2018"]]},"page":"1690-1704","publisher":"Elsevier Ltd","title":"Low cost hydrogen production by anion exchange membrane electrolysis: A review","type":"article-journal","volume":"81"},"uris":["http://www.mendeley.com/documents/?uuid=fc522de1-18d4-428c-868a-6105c4c7de2a"]}],"mendeley":{"formattedCitation":"(Vincent and Bessarabov, 2018)","plainTextFormattedCitation":"(Vincent and Bessarabov, 2018)","previouslyFormattedCitation":"(Vincent and Bessarabov, 2018)"},"properties":{"noteIndex":0},"schema":"https://github.com/citation-style-language/schema/raw/master/csl-citation.json"}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(Vincent and Bessarabov, 2018)</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AEM electrolysis &amp; its technology.</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Membranes, electrocatalysts, and ionomers used in AEM electrolyzers were studied, as well as the efficiency of such electrolyzers...</w:t>
            </w:r>
          </w:p>
        </w:tc>
        <w:tc>
          <w:tcPr>
            <w:tcW w:w="1110" w:type="pct"/>
            <w:vAlign w:val="center"/>
          </w:tcPr>
          <w:p w:rsidR="007A52A5" w:rsidRPr="008C36F5" w:rsidRDefault="007A52A5" w:rsidP="008C36F5">
            <w:pPr>
              <w:spacing w:after="100"/>
              <w:ind w:left="200" w:hangingChars="100" w:hanging="200"/>
              <w:jc w:val="center"/>
              <w:rPr>
                <w:rFonts w:ascii="Times New Roman" w:hAnsi="Times New Roman" w:cs="Times New Roman"/>
                <w:sz w:val="20"/>
                <w:szCs w:val="20"/>
              </w:rPr>
            </w:pPr>
            <w:r w:rsidRPr="008C36F5">
              <w:rPr>
                <w:rFonts w:ascii="Times New Roman" w:hAnsi="Times New Roman" w:cs="Times New Roman"/>
                <w:sz w:val="20"/>
                <w:szCs w:val="20"/>
              </w:rPr>
              <w:t>Identify voids in AEM water electrolysis techniques and make suggestions for prospective research directions.</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The use of non-noble metal catalysts in AEM electrolysis lowers the system's capital cost.</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92</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{"citationItems":[{"id":"ITEM-1","itemData":{"DOI":"10.1016/j.rser.2018.03.084","ISSN":"18790690","abstract":"Solar energy is the most important energy resource that has become an efficient solution to the world's energy challenges. Accurate knowledge of global solar radiation and cell temperature are required for solar photovoltaic power forecasting. In this paper, a comprehensive literature review of methods used for estimation of global solar radiation, cell temperature and solar power generation forecasting are presented. In addition, a comparative analysis is presented using the actual data, which is collected from a home placed in Anadolu University İki Eylül Campus in Eskişehir as a comprehensive case study. Within the scope of this analysis, hourly global solar radiation values on horizontal surface are estimated from the measured daily global solar radiation values by using eleven different models. By using the selected model, estimated hourly global solar radiation values for horizontal surface are converted to values for inclined surface. Cell temperature of the photovoltaic modules is estimated with various known models in the literature. Based on the estimated cell temperature and global solar radiation values on inclined surface, power generation values of the on-grid and off-grid systems are forecasted. Therefore, based on the statistical analysis, the most accurate models are recommended to be carried out in any location that has similar climatic conditions with the considered city.","author":[{"dropping-particle":"","family":"Ayvazoğluyüksel","given":"Özge","non-dropping-particle":"","parse-names":false,"suffix":""},{"dropping-particle":"","family":"Filik","given":"Ümmühan Başaran","non-dropping-particle":"","parse-names":false,"suffix":""}],"container-title":"Renewable and Sustainable Energy Reviews","id":"ITEM-1","issue":"May 2017","issued":{"date-parts":[["2018"]]},"page":"639-653","title":"Estimation methods of global solar radiation, cell temperature and solar power forecasting: A review and case study in eskişehir","type":"article-journal","volume":"91"},"uris":["http://www.mendeley.com/documents/?uuid=25a87627-15e8-492f-8b0d-db3f2f8ccbe0"]}],"mendeley":{"formattedCitation":"(Ayvazoğluyüksel and Filik, 2018)","plainTextFormattedCitation":"(Ayvazoğluyüksel and Filik, 2018)","previouslyFormattedCitation":"(Ayvazoğluyüksel and Filik, 2018)"},"properties":{"noteIndex":0},"schema":"https://github.com/citation-style-language/schema/raw/master/csl-citation.json"}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(Ayvazoğluyüksel and Filik, 2018)</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Solar radiation decomposition models</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MABE,</w:t>
            </w:r>
            <w:r w:rsidR="00A23838" w:rsidRPr="008C36F5">
              <w:rPr>
                <w:rFonts w:ascii="Times New Roman" w:hAnsi="Times New Roman" w:cs="Times New Roman"/>
                <w:sz w:val="20"/>
                <w:szCs w:val="20"/>
              </w:rPr>
              <w:t xml:space="preserve"> </w:t>
            </w:r>
            <w:r w:rsidRPr="008C36F5">
              <w:rPr>
                <w:rFonts w:ascii="Times New Roman" w:hAnsi="Times New Roman" w:cs="Times New Roman"/>
                <w:sz w:val="20"/>
                <w:szCs w:val="20"/>
              </w:rPr>
              <w:t>MBE</w:t>
            </w:r>
            <w:r w:rsidR="00A23838" w:rsidRPr="008C36F5">
              <w:rPr>
                <w:rFonts w:ascii="Times New Roman" w:hAnsi="Times New Roman" w:cs="Times New Roman"/>
                <w:sz w:val="20"/>
                <w:szCs w:val="20"/>
              </w:rPr>
              <w:t xml:space="preserve">, </w:t>
            </w:r>
            <w:r w:rsidRPr="008C36F5">
              <w:rPr>
                <w:rFonts w:ascii="Times New Roman" w:hAnsi="Times New Roman" w:cs="Times New Roman"/>
                <w:sz w:val="20"/>
                <w:szCs w:val="20"/>
              </w:rPr>
              <w:t>RMSE</w:t>
            </w:r>
            <w:r w:rsidR="00A23838" w:rsidRPr="008C36F5">
              <w:rPr>
                <w:rFonts w:ascii="Times New Roman" w:hAnsi="Times New Roman" w:cs="Times New Roman"/>
                <w:sz w:val="20"/>
                <w:szCs w:val="20"/>
              </w:rPr>
              <w:t xml:space="preserve"> </w:t>
            </w:r>
            <w:r w:rsidRPr="008C36F5">
              <w:rPr>
                <w:rFonts w:ascii="Times New Roman" w:hAnsi="Times New Roman" w:cs="Times New Roman"/>
                <w:sz w:val="20"/>
                <w:szCs w:val="20"/>
              </w:rPr>
              <w:t>T-statistic methodology</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Worldwide solar radiation, solar power and cell temperature prediction.</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The cell temperature magnitudes determined by skoplaki models provide the most reliable power generation prediction.</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82</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{"citationItems":[{"id":"ITEM-1","itemData":{"DOI":"10.1016/j.ijhydene.2018.10.243","ISSN":"03603199","abstract":"The presented study provides details on Fuzzy Logic based control of HHO generators aims at protecting the HHO generator from extreme temperature effects while maximizing the hydrogen production. The Fuzzy Logic Controller mainly focuses on protecting the generator from the harsh effects of process related over heating problems while maximizing the hydrogen production. The designed controller takes two process specific parameters, such as temperature and the HHO flow rate, and optimizes the operation of the reactor for maximization of production. In order to prove the effectiveness of the developed Fuzzy Logic based control approach, a comparative study on performance of conventional and presented novel Fuzzy Logic based systems are presented. The advantage of the Fuzzy Logic Controller is that it protests the reactor and allows continuous production of HHO gas while the conventional approach leads to damage to the reactor or interrupted operation due to overheating.","author":[{"dropping-particle":"","family":"Conker","given":"Çağlar","non-dropping-particle":"","parse-names":false,"suffix":""}],"container-title":"International Journal of Hydrogen Energy","id":"ITEM-1","issue":"xxxx","issued":{"date-parts":[["2018"]]},"title":"A novel fuzzy logic based safe operation oriented control technique for driving HHO dry cell systems based on PWM duty cycle","type":"article-journal"},"uris":["http://www.mendeley.com/documents/?uuid=a25f07da-1d4e-442b-bc1a-5159c009cfee"]}],"mendeley":{"formattedCitation":"(Conker, 2018)","plainTextFormattedCitation":"(Conker, 2018)","previouslyFormattedCitation":"(Conker, 2018)"},"properties":{"noteIndex":0},"schema":"https://github.com/citation-style-language/schema/raw/master/csl-citation.json"}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(Conker, 2018)</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HHO flow rate &amp;  temperature</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Fuzzy logic</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HHO generator safety from high-temperature effect.</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Improved hydrogen production</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27</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{"citationItems":[{"id":"ITEM-1","itemData":{"DOI":"10.1002/9783527676507.ch4","ISBN":"9783527676507","abstract":"This chapter reviews state-of-the-art alkaline water electrolysis, presents basic principles, describes technology developments, identifies some limitations in existing technology and draws some perspectives in view of future market applications. The main advantage of alkaline water electrolysis over other water electrolysis technology lies in the fact that alkaline electrolysers can be made of abundant and inexpensive materials: simple iron or nickel steel electrodes are used to produce hydrogen and nickel used for oxygen production. An advanced concept of alkaline water electrolyser with gas diffusion electrodes and recirculation of the electrolyte between the electrodes has been proposed by Marini. The technology has mostly been used for applications in the industry sector, in particular for hydrogen production for ammonia synthesis. Systems that can deliver up to several hundred of Nm3 H2 h−1 have been successfully developed and implemented in different places throughout the world.","author":[{"dropping-particle":"","family":"Guillet","given":"Nicolas","non-dropping-particle":"","parse-names":false,"suffix":""},{"dropping-particle":"","family":"Millet","given":"Pierre","non-dropping-particle":"","parse-names":false,"suffix":""}],"container-title":"Hydrogen Production: by Electrolysis","id":"ITEM-1","issued":{"date-parts":[["2015"]]},"page":"117-167","title":"Chapter 4: Alkaline water electrolysis","type":"chapter"},"uris":["http://www.mendeley.com/documents/?uuid=d1021d46-188d-4157-b7c1-c16b655afce2"]}],"mendeley":{"formattedCitation":"(Guillet and Millet, 2015)","plainTextFormattedCitation":"(Guillet and Millet, 2015)","previouslyFormattedCitation":"(Guillet and Millet, 2015)"},"properties":{"noteIndex":0},"schema":"https://github.com/citation-style-language/schema/raw/master/csl-citation.json"}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(Guillet and Millet, 2015)</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Alkaline water</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Decomposition of water by electric discharge into hydrogen and oxygen</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Possibility of securely operating at high pressure.</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Well-suited to transient power load operation and pressured.</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75</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{"citationItems":[{"id":"ITEM-1","itemData":{"author":[{"dropping-particle":"","family":"Scott","given":"Keith","non-dropping-particle":"","parse-names":false,"suffix":""}],"container-title":"Sustainable and Green Electrochemical Science and Technology","id":"ITEM-1","issued":{"date-parts":[["2017"]]},"page":"159-202","title":"Fossil fuel based hydrogen production","type":"article-journal","volume":"01"},"uris":["http://www.mendeley.com/documents/?uuid=b588ff7b-9336-4afb-86fc-64fc8abf9fb6"]}],"mendeley":{"formattedCitation":"(Scott, 2017)","plainTextFormattedCitation":"(Scott, 2017)","previouslyFormattedCitation":"(Scott, 2017)"},"properties":{"noteIndex":0},"schema":"https://github.com/citation-style-language/schema/raw/master/csl-citation.json"}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(Scott, 2017)</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Fossil fuel, hydrogen via electrolysis, Photo electrolysis, Thermal and electrochemically generated hydrogen</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Detailed and theoretical analysis of various  techniques for producing hydrogen</w:t>
            </w:r>
          </w:p>
          <w:p w:rsidR="007A52A5" w:rsidRPr="008C36F5" w:rsidRDefault="007A52A5" w:rsidP="008C36F5">
            <w:pPr>
              <w:spacing w:after="100"/>
              <w:jc w:val="center"/>
              <w:rPr>
                <w:rFonts w:ascii="Times New Roman" w:hAnsi="Times New Roman" w:cs="Times New Roman"/>
                <w:sz w:val="20"/>
                <w:szCs w:val="20"/>
              </w:rPr>
            </w:pP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To gather the knowledge about ways of hydrogen production through various methods.</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Hydrogen can be successfully produced using thermal &amp; renewable energy</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33</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{"citationItems":[{"id":"ITEM-1","itemData":{"DOI":"10.1039/c4ee04041d","ISBN":"1754-5692","ISSN":"17545706","abstract":"Storing electrical energy in hydrogen requires less manufacturing energy than batteries, per unit of energy dispatched over the system's lifetime. Energy storage is a promising approach to address the challenge of intermittent generation from renewables on the electric grid. In this work, we evaluate energy storage with a regenerative hydrogen fuel cell (RHFC) using net energy analysis. We examine the most widely installed RHFC configuration, containing an alkaline water electrolyzer and a PEM fuel cell. To compare RHFC's to other storage technologies, we use two energy return ratios: the electrical energy stored on invested (ESOI e ) ratio (the ratio of electrical energy returned by the device over its lifetime to the electrical-equivalent energy required to build the device) and the overall energy efficiency (the ratio of electrical energy returned by the device over its lifetime to total lifetime electrical-equivalent energy input into the system). In our reference scenario, the RHFC system has an ESOI e ratio of 59, more favorable than the best battery technology available today (Li-ion, ESOI e = 35). (In the reference scenario RHFC, the alkaline electrolyzer is 70% efficient and has a stack lifetime of 100 000 h; the PEM fuel cell is 47% efficient and has a stack lifetime of 10 000 h; and the round-trip efficiency is 30%.) The ESOI e ratio of storage in hydrogen exceeds that of batteries because of the low energy cost of the materials required to store compressed hydrogen, and the high energy cost of the materials required to store electric charge in a battery. However, the low round-trip efficiency of a RHFC energy storage system results in very high energy costs during operation, and a much lower overall energy efficiency than lithium ion batteries (0.30 for RHFC, vs. 0.83 for lithium ion batteries). RHFC's represent an attractive investment of manufacturing energy to provide storage. On the other hand, their round-trip efficiency must improve dramatically before they can offer the same overall energy efficiency as batteries, which have round-trip efficiencies of 75–90%. One application of energy storage that illustrates the tradeoff between these different aspects of energy performance is capturing overgeneration (spilled power) for later use during times of peak output from renewables. We quantify the relative energetic benefit of adding different types of energy storage to a renewable generating facility using [EROI] grid . Even with 30% round…","author":[{"dropping-particle":"","family":"Pellow","given":"Matthew A.","non-dropping-particle":"","parse-names":false,"suffix":""},{"dropping-particle":"","family":"Emmott","given":"Christopher J.M.","non-dropping-particle":"","parse-names":false,"suffix":""},{"dropping-particle":"","family":"Barnhart","given":"Charles J.","non-dropping-particle":"","parse-names":false,"suffix":""},{"dropping-particle":"","family":"Benson","given":"Sally M.","non-dropping-particle":"","parse-names":false,"suffix":""}],"container-title":"Energy and Environmental Science","id":"ITEM-1","issue":"7","issued":{"date-parts":[["2015"]]},"page":"1938-1952","title":"Hydrogen or batteries for grid storage? A net energy analysis","type":"article-journal","volume":"8"},"uris":["http://www.mendeley.com/documents/?uuid=1f1b0b43-dbe5-4ce8-858b-86329e33d705"]}],"mendeley":{"formattedCitation":"(Pellow &lt;i&gt;et al.&lt;/i&gt;, 2015)","plainTextFormattedCitation":"(Pellow et al., 2015)","previouslyFormattedCitation":"(Pellow &lt;i&gt;et al.&lt;/i&gt;, 2015)"},"properties":{"noteIndex":0},"schema":"https://github.com/citation-style-language/schema/raw/master/csl-citation.json"}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 xml:space="preserve">(Pellow </w:t>
            </w:r>
            <w:r w:rsidR="007A52A5" w:rsidRPr="008C36F5">
              <w:rPr>
                <w:rFonts w:ascii="Times New Roman" w:hAnsi="Times New Roman" w:cs="Times New Roman"/>
                <w:i/>
                <w:noProof/>
                <w:sz w:val="20"/>
                <w:szCs w:val="20"/>
              </w:rPr>
              <w:t>et al.</w:t>
            </w:r>
            <w:r w:rsidR="007A52A5" w:rsidRPr="008C36F5">
              <w:rPr>
                <w:rFonts w:ascii="Times New Roman" w:hAnsi="Times New Roman" w:cs="Times New Roman"/>
                <w:noProof/>
                <w:sz w:val="20"/>
                <w:szCs w:val="20"/>
              </w:rPr>
              <w:t>, 2015)</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RHFC, lithium-ion batteries</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ESOI ratio (electrical energy retained on invested) and total energy efficiency</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To see how RHFCs stack up against other storage technologies</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The average EROI of hydrogen energy storage combined with wind power is much greater than the EROI of fossil electricity generation.</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66</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hAnsi="Times New Roman" w:cs="Times New Roman"/>
                <w:b/>
                <w:sz w:val="20"/>
                <w:szCs w:val="20"/>
              </w:rPr>
            </w:pPr>
            <w:r w:rsidRPr="008C36F5">
              <w:rPr>
                <w:rFonts w:ascii="Times New Roman" w:hAnsi="Times New Roman" w:cs="Times New Roman"/>
                <w:b/>
                <w:sz w:val="20"/>
                <w:szCs w:val="20"/>
              </w:rPr>
              <w:fldChar w:fldCharType="begin" w:fldLock="1"/>
            </w:r>
            <w:r w:rsidR="007A52A5" w:rsidRPr="008C36F5">
              <w:rPr>
                <w:rFonts w:ascii="Times New Roman" w:hAnsi="Times New Roman" w:cs="Times New Roman"/>
                <w:b/>
                <w:sz w:val="20"/>
                <w:szCs w:val="20"/>
              </w:rPr>
              <w:instrText>ADDIN CSL_CITATION {"citationItems":[{"id":"ITEM-1","itemData":{"DOI":"10.1039/c8ee01157e","ISSN":"1754-5692","abstract":"Hydrogen has been ‘just around the corner’ for decades, but now offers serious alternatives for decarbonising global heat, power and transport.Hydrogen technologies have experienced cycles of excessive expectations followed by disillusion. Nonetheless, a growing body of evidence suggests these technologies form an attractive option for the deep decarbonisation of global energy systems, and that recent improvements in their cost and performance point towards economic viability as well. This paper is a comprehensive review of the potential role that hydrogen could play in the provision of electricity, heat, industry, transport and energy storage in a low-carbon energy system, and an assessment of the status of hydrogen in being able to fulfil that potential. The picture that emerges is one of qualified promise: hydrogen is well established in certain niches such as forklift trucks, while mainstream applications are now forthcoming. Hydrogen vehicles are available commercially in several countries, and 225 000 fuel cell home heating systems have been sold. This represents a step change from the situation of only five years ago. This review shows that challenges around cost and performance remain, and considerable improvements are still required for hydrogen to become truly competitive. But such competitiveness in the medium-term future no longer seems an unrealistic prospect, which fully justifies the growing interest and policy support for these technologies around the world.","author":[{"dropping-particle":"","family":"Balcombe","given":"Paul","non-dropping-particle":"","parse-names":false,"suffix":""},{"dropping-particle":"","family":"Staffell","given":"Iain","non-dropping-particle":"","parse-names":false,"suffix":""},{"dropping-particle":"","family":"Dodds","given":"Paul E.","non-dropping-particle":"","parse-names":false,"suffix":""},{"dropping-particle":"","family":"Ward","given":"Kate R.","non-dropping-particle":"","parse-names":false,"suffix":""},{"dropping-particle":"","family":"Scamman","given":"Daniel","non-dropping-particle":"","parse-names":false,"suffix":""},{"dropping-particle":"","family":"Ekins","given":"Paul","non-dropping-particle":"","parse-names":false,"suffix":""},{"dropping-particle":"","family":"Velazquez Abad","given":"Anthony","non-dropping-particle":"","parse-names":false,"suffix":""},{"dropping-particle":"","family":"Shah","given":"Nilay","non-dropping-particle":"","parse-names":false,"suffix":""}],"container-title":"Energy &amp; Environmental Science","id":"ITEM-1","issued":{"date-parts":[["2018"]]},"page":"01-29","publisher":"Royal Society of Chemistry","title":"The role of hydrogen and fuel cells in the global energy system","type":"article-journal"},"uris":["http://www.mendeley.com/documents/?uuid=9633b065-e730-456f-8ed1-e86fc22abd28"]}],"mendeley":{"formattedCitation":"(Balcombe &lt;i&gt;et al.&lt;/i&gt;, 2018)","plainTextFormattedCitation":"(Balcombe et al., 2018)","previouslyFormattedCitation":"(Balcombe &lt;i&gt;et al.&lt;/i&gt;, 2018)"},"properties":{"noteIndex":0},"schema":"https://github.com/citation-style-language/schema/raw/master/csl-citation.json"}</w:instrText>
            </w:r>
            <w:r w:rsidRPr="008C36F5">
              <w:rPr>
                <w:rFonts w:ascii="Times New Roman" w:hAnsi="Times New Roman" w:cs="Times New Roman"/>
                <w:b/>
                <w:sz w:val="20"/>
                <w:szCs w:val="20"/>
              </w:rPr>
              <w:fldChar w:fldCharType="separate"/>
            </w:r>
            <w:r w:rsidR="007A52A5" w:rsidRPr="008C36F5">
              <w:rPr>
                <w:rFonts w:ascii="Times New Roman" w:hAnsi="Times New Roman" w:cs="Times New Roman"/>
                <w:noProof/>
                <w:sz w:val="20"/>
                <w:szCs w:val="20"/>
              </w:rPr>
              <w:t xml:space="preserve">(Balcombe </w:t>
            </w:r>
            <w:r w:rsidR="007A52A5" w:rsidRPr="008C36F5">
              <w:rPr>
                <w:rFonts w:ascii="Times New Roman" w:hAnsi="Times New Roman" w:cs="Times New Roman"/>
                <w:i/>
                <w:noProof/>
                <w:sz w:val="20"/>
                <w:szCs w:val="20"/>
              </w:rPr>
              <w:t>et al.</w:t>
            </w:r>
            <w:r w:rsidR="007A52A5" w:rsidRPr="008C36F5">
              <w:rPr>
                <w:rFonts w:ascii="Times New Roman" w:hAnsi="Times New Roman" w:cs="Times New Roman"/>
                <w:noProof/>
                <w:sz w:val="20"/>
                <w:szCs w:val="20"/>
              </w:rPr>
              <w:t>, 2018)</w:t>
            </w:r>
            <w:r w:rsidRPr="008C36F5">
              <w:rPr>
                <w:rFonts w:ascii="Times New Roman" w:hAnsi="Times New Roman" w:cs="Times New Roman"/>
                <w:b/>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Hydrogen &amp; fuel cells</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 comprehensive review of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potential of hydrogen in the present </w:t>
            </w:r>
            <w:r w:rsidRPr="008C36F5">
              <w:rPr>
                <w:rFonts w:ascii="Times New Roman" w:hAnsi="Times New Roman" w:cs="Times New Roman"/>
                <w:sz w:val="20"/>
                <w:szCs w:val="20"/>
              </w:rPr>
              <w:lastRenderedPageBreak/>
              <w:t>scenario</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lastRenderedPageBreak/>
              <w:t xml:space="preserve">To determine the importance of hydrogen in providing power, heat, </w:t>
            </w:r>
            <w:r w:rsidRPr="008C36F5">
              <w:rPr>
                <w:rFonts w:ascii="Times New Roman" w:hAnsi="Times New Roman" w:cs="Times New Roman"/>
                <w:sz w:val="20"/>
                <w:szCs w:val="20"/>
              </w:rPr>
              <w:lastRenderedPageBreak/>
              <w:t>manufacturing, transportation and energy depository in a low-carbon energy environment</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lastRenderedPageBreak/>
              <w:t xml:space="preserve">Hydrogen technology will help low-carbon energy systems that are dominated by </w:t>
            </w:r>
            <w:r w:rsidRPr="008C36F5">
              <w:rPr>
                <w:rFonts w:ascii="Times New Roman" w:hAnsi="Times New Roman" w:cs="Times New Roman"/>
                <w:sz w:val="20"/>
                <w:szCs w:val="20"/>
              </w:rPr>
              <w:lastRenderedPageBreak/>
              <w:t>intermittent renewable and/or electric heating demand.</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lastRenderedPageBreak/>
              <w:t>356</w:t>
            </w:r>
          </w:p>
        </w:tc>
      </w:tr>
      <w:tr w:rsidR="007A52A5" w:rsidRPr="008C36F5" w:rsidTr="00C92551">
        <w:trPr>
          <w:trHeight w:val="1133"/>
          <w:jc w:val="center"/>
        </w:trPr>
        <w:tc>
          <w:tcPr>
            <w:tcW w:w="724" w:type="pct"/>
            <w:vAlign w:val="center"/>
          </w:tcPr>
          <w:p w:rsidR="007A52A5" w:rsidRPr="008C36F5" w:rsidRDefault="0063134A"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fldChar w:fldCharType="begin" w:fldLock="1"/>
            </w:r>
            <w:r w:rsidR="007A52A5" w:rsidRPr="008C36F5">
              <w:rPr>
                <w:rFonts w:ascii="Times New Roman" w:hAnsi="Times New Roman" w:cs="Times New Roman"/>
                <w:sz w:val="20"/>
                <w:szCs w:val="20"/>
              </w:rPr>
              <w:instrText>ADDIN CSL_CITATION {"citationItems":[{"id":"ITEM-1","itemData":{"DOI":"10.1016/j.fuel.2019.116769","ISSN":"00162361","abstract":"Performances of diesel engines run on biodiesel and vegetable-based fuels are not satisfactory mainly due to higher viscosity, and they are termed as higher viscous fuels (HVFs). Researchers have developed different techniques to improve the performance of diesel engines run on HVFs such as preheating HVFs, blending with lighter fuels, and changing injection strategy. These techniques improved the performance with HVFs, but the performances are still lower than diesel. Another technique, improving the in-cylinder airflow characteristics can create more turbulence inside the combustion chamber to break up HVFs and mix better with the in-cylinder air to improve the performance of the engine. Most reviews show that the performances of diesel engines are improved with higher turbulence though with diesel, but few papers show that this technique can improve the performance of diesel engines with HVFs as well. Based on literatures, the in-cylinder turbulence can be increased using guide vanes and throttling the intake manifold and modifying the combustion chamber and intake manifold. It is found that about 1.3–2.8% efficiency improved by improving the in-cylinder turbulence by using guide vanes when the engines ran on HVFs. Some researchers have also reported around 12% improvement in brake specific fuel consumption (bsfc) by improving the swirl of the air inside the combustion chamber. This paper reviews different techniques to improve the in-cylinder airflow characteristics in IC engines and reviews a handful of papers with HVFs to show that increasing in-cylinder turbulence can improve the performance of the CI engines with HVFs.","author":[{"dropping-particle":"","family":"Bari","given":"S.","non-dropping-particle":"","parse-names":false,"suffix":""},{"dropping-particle":"","family":"Hossain","given":"S. N.","non-dropping-particle":"","parse-names":false,"suffix":""},{"dropping-particle":"","family":"Saad","given":"I.","non-dropping-particle":"","parse-names":false,"suffix":""}],"container-title":"Fuel","id":"ITEM-1","issue":"November 2019","issued":{"date-parts":[["2020"]]},"page":"116769","publisher":"Elsevier","title":"A review on improving airflow characteristics inside the combustion chamber of CI engines to improve the performance with higher viscous biofuels","type":"article-journal","volume":"264"},"uris":["http://www.mendeley.com/documents/?uuid=02beb9fd-00eb-4d3d-b12e-f76505294f1b"]}],"mendeley":{"formattedCitation":"(Bari, Hossain and Saad, 2020)","plainTextFormattedCitation":"(Bari, Hossain and Saad, 2020)","previouslyFormattedCitation":"(Bari, Hossain and Saad, 2020)"},"properties":{"noteIndex":0},"schema":"https://github.com/citation-style-language/schema/raw/master/csl-citation.json"}</w:instrText>
            </w:r>
            <w:r w:rsidRPr="008C36F5">
              <w:rPr>
                <w:rFonts w:ascii="Times New Roman" w:hAnsi="Times New Roman" w:cs="Times New Roman"/>
                <w:sz w:val="20"/>
                <w:szCs w:val="20"/>
              </w:rPr>
              <w:fldChar w:fldCharType="separate"/>
            </w:r>
            <w:r w:rsidR="007A52A5" w:rsidRPr="008C36F5">
              <w:rPr>
                <w:rFonts w:ascii="Times New Roman" w:hAnsi="Times New Roman" w:cs="Times New Roman"/>
                <w:noProof/>
                <w:sz w:val="20"/>
                <w:szCs w:val="20"/>
              </w:rPr>
              <w:t>(Bari, Hossain and Saad, 2020)</w:t>
            </w:r>
            <w:r w:rsidRPr="008C36F5">
              <w:rPr>
                <w:rFonts w:ascii="Times New Roman" w:hAnsi="Times New Roman" w:cs="Times New Roman"/>
                <w:sz w:val="20"/>
                <w:szCs w:val="20"/>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Biodiesel</w:t>
            </w:r>
          </w:p>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Vegetable-based fuel</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Techniques for modifying the combustion chamber and intake manifold, as well as inflow cylinder airflow characteristics.</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To improve airflow properties within CI engine combustion chambers to boost performance with higher viscous biofuels.</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The performance of CI engines with HVFs can be improved by increasing the swirl and tumble of air in the combustion chamber.</w:t>
            </w:r>
          </w:p>
          <w:p w:rsidR="007A52A5" w:rsidRPr="008C36F5" w:rsidRDefault="007A52A5" w:rsidP="008C36F5">
            <w:pPr>
              <w:spacing w:after="100"/>
              <w:jc w:val="center"/>
              <w:rPr>
                <w:rFonts w:ascii="Times New Roman" w:hAnsi="Times New Roman" w:cs="Times New Roman"/>
                <w:sz w:val="20"/>
                <w:szCs w:val="20"/>
              </w:rPr>
            </w:pP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99</w:t>
            </w:r>
          </w:p>
        </w:tc>
      </w:tr>
      <w:tr w:rsidR="007A52A5" w:rsidRPr="008C36F5" w:rsidTr="00C92551">
        <w:trPr>
          <w:jc w:val="center"/>
        </w:trPr>
        <w:tc>
          <w:tcPr>
            <w:tcW w:w="724" w:type="pct"/>
            <w:vAlign w:val="center"/>
          </w:tcPr>
          <w:p w:rsidR="007A52A5" w:rsidRPr="008C36F5" w:rsidRDefault="007A52A5" w:rsidP="008C36F5">
            <w:pPr>
              <w:spacing w:after="100"/>
              <w:jc w:val="center"/>
              <w:rPr>
                <w:rFonts w:ascii="Times New Roman" w:eastAsia="Times New Roman" w:hAnsi="Times New Roman" w:cs="Times New Roman"/>
                <w:sz w:val="20"/>
                <w:szCs w:val="20"/>
                <w:lang w:eastAsia="en-IN"/>
              </w:rPr>
            </w:pPr>
            <w:r w:rsidRPr="008C36F5">
              <w:rPr>
                <w:rFonts w:ascii="Times New Roman" w:eastAsia="Times New Roman" w:hAnsi="Times New Roman" w:cs="Times New Roman"/>
                <w:sz w:val="20"/>
                <w:szCs w:val="20"/>
                <w:lang w:eastAsia="en-IN"/>
              </w:rPr>
              <w:t>Sharma et. al /2020</w:t>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Hydroxyl, DC supply, HHO dry cell.</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Experimental analysis under dual fuel mode of CI engine fueled with HHO.“ ENGINESOFT" software was used to analyze engine performance.</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At various engine load situations and HHO flow rates, the effect of HHO fluctuation on energy and exergy was investigated.</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For exhaust gas and heat transmission, energy losses were considerably enhanced. Improved work availability improves the efficiency of the exhaust gas and heat transfer.</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43</w:t>
            </w:r>
          </w:p>
        </w:tc>
      </w:tr>
      <w:tr w:rsidR="007A52A5" w:rsidRPr="008C36F5" w:rsidTr="00C92551">
        <w:trPr>
          <w:jc w:val="center"/>
        </w:trPr>
        <w:tc>
          <w:tcPr>
            <w:tcW w:w="724" w:type="pct"/>
            <w:vAlign w:val="center"/>
          </w:tcPr>
          <w:p w:rsidR="007A52A5" w:rsidRPr="008C36F5" w:rsidRDefault="0063134A" w:rsidP="008C36F5">
            <w:pPr>
              <w:spacing w:after="100"/>
              <w:jc w:val="center"/>
              <w:rPr>
                <w:rFonts w:ascii="Times New Roman" w:eastAsia="Times New Roman" w:hAnsi="Times New Roman" w:cs="Times New Roman"/>
                <w:sz w:val="20"/>
                <w:szCs w:val="20"/>
                <w:lang w:eastAsia="en-IN"/>
              </w:rPr>
            </w:pPr>
            <w:r w:rsidRPr="008C36F5">
              <w:rPr>
                <w:rFonts w:ascii="Times New Roman" w:eastAsia="Times New Roman" w:hAnsi="Times New Roman" w:cs="Times New Roman"/>
                <w:sz w:val="20"/>
                <w:szCs w:val="20"/>
                <w:lang w:eastAsia="en-IN"/>
              </w:rPr>
              <w:fldChar w:fldCharType="begin" w:fldLock="1"/>
            </w:r>
            <w:r w:rsidR="007A52A5" w:rsidRPr="008C36F5">
              <w:rPr>
                <w:rFonts w:ascii="Times New Roman" w:eastAsia="Times New Roman" w:hAnsi="Times New Roman" w:cs="Times New Roman"/>
                <w:sz w:val="20"/>
                <w:szCs w:val="20"/>
                <w:lang w:eastAsia="en-IN"/>
              </w:rPr>
              <w:instrText>ADDIN CSL_CITATION {"citationItems":[{"id":"ITEM-1","itemData":{"DOI":"10.1007/s41918-018-0014-z","ISBN":"0123456789","ISSN":"2520-8489","abstract":"The study of hydrogen evolution reaction and oxygen evolution reaction electrocatalysts for water electrolysis is a developing field in which noble metal-based materials are commonly used. However, the associated high cost and low abundance of noble metals limit their practical application. Non-noble metal catalysts, aside from being inexpensive, highly abundant and environmental friendly, can possess high electrical conductivity, good structural tunability and comparable electrocatalytic performances to state-of-the-art noble metals, particularly in alkaline media, making them desirable candidates to reduce or replace noble metals as promising electrocatalysts for water electrolysis. This article will review and provide an overview of the fundamental knowledge related to water electrolysis with a focus on the development and progress of non-noble metal-based electrocatalysts in alkaline, polymer exchange membrane and solid oxide electrolysis. A critical analysis of the various catalysts currently available is also provided with discussions on current challenges and future perspectives. In addition, to facilitate future research and development, several possible research directions to overcome these challenges are provided in this article.","author":[{"dropping-particle":"","family":"Khan","given":"Muhammad Arif","non-dropping-particle":"","parse-names":false,"suffix":""},{"dropping-particle":"","family":"Zhao","given":"Hongbin","non-dropping-particle":"","parse-names":false,"suffix":""},{"dropping-particle":"","family":"Zou","given":"Wenwen","non-dropping-particle":"","parse-names":false,"suffix":""},{"dropping-particle":"","family":"Chen","given":"Zhe","non-dropping-particle":"","parse-names":false,"suffix":""},{"dropping-particle":"","family":"Cao","given":"Wenjuan","non-dropping-particle":"","parse-names":false,"suffix":""},{"dropping-particle":"","family":"Fang","given":"Jianhui","non-dropping-particle":"","parse-names":false,"suffix":""},{"dropping-particle":"","family":"Xu","given":"Jiaqiang","non-dropping-particle":"","parse-names":false,"suffix":""},{"dropping-particle":"","family":"Zhang","given":"Lei","non-dropping-particle":"","parse-names":false,"suffix":""},{"dropping-particle":"","family":"Zhang","given":"Jiujun","non-dropping-particle":"","parse-names":false,"suffix":""}],"container-title":"Electrochemical Energy Reviews","id":"ITEM-1","issue":"4","issued":{"date-parts":[["2018"]]},"number-of-pages":"483-530","publisher":"Springer Singapore","title":"Recent Progresses in Electrocatalysts for Water Electrolysis","type":"book","volume":"1"},"uris":["http://www.mendeley.com/documents/?uuid=541cea74-75ed-4d68-9800-a6326be75f32"]}],"mendeley":{"formattedCitation":"(Khan &lt;i&gt;et al.&lt;/i&gt;, 2018)","plainTextFormattedCitation":"(Khan et al., 2018)","previouslyFormattedCitation":"(Khan &lt;i&gt;et al.&lt;/i&gt;, 2018)"},"properties":{"noteIndex":0},"schema":"https://github.com/citation-style-language/schema/raw/master/csl-citation.json"}</w:instrText>
            </w:r>
            <w:r w:rsidRPr="008C36F5">
              <w:rPr>
                <w:rFonts w:ascii="Times New Roman" w:eastAsia="Times New Roman" w:hAnsi="Times New Roman" w:cs="Times New Roman"/>
                <w:sz w:val="20"/>
                <w:szCs w:val="20"/>
                <w:lang w:eastAsia="en-IN"/>
              </w:rPr>
              <w:fldChar w:fldCharType="separate"/>
            </w:r>
            <w:r w:rsidR="007A52A5" w:rsidRPr="008C36F5">
              <w:rPr>
                <w:rFonts w:ascii="Times New Roman" w:eastAsia="Times New Roman" w:hAnsi="Times New Roman" w:cs="Times New Roman"/>
                <w:noProof/>
                <w:sz w:val="20"/>
                <w:szCs w:val="20"/>
                <w:lang w:eastAsia="en-IN"/>
              </w:rPr>
              <w:t xml:space="preserve">(Khan </w:t>
            </w:r>
            <w:r w:rsidR="007A52A5" w:rsidRPr="008C36F5">
              <w:rPr>
                <w:rFonts w:ascii="Times New Roman" w:eastAsia="Times New Roman" w:hAnsi="Times New Roman" w:cs="Times New Roman"/>
                <w:i/>
                <w:noProof/>
                <w:sz w:val="20"/>
                <w:szCs w:val="20"/>
                <w:lang w:eastAsia="en-IN"/>
              </w:rPr>
              <w:t>et al.</w:t>
            </w:r>
            <w:r w:rsidR="007A52A5" w:rsidRPr="008C36F5">
              <w:rPr>
                <w:rFonts w:ascii="Times New Roman" w:eastAsia="Times New Roman" w:hAnsi="Times New Roman" w:cs="Times New Roman"/>
                <w:noProof/>
                <w:sz w:val="20"/>
                <w:szCs w:val="20"/>
                <w:lang w:eastAsia="en-IN"/>
              </w:rPr>
              <w:t>, 2018)</w:t>
            </w:r>
            <w:r w:rsidRPr="008C36F5">
              <w:rPr>
                <w:rFonts w:ascii="Times New Roman" w:eastAsia="Times New Roman" w:hAnsi="Times New Roman" w:cs="Times New Roman"/>
                <w:sz w:val="20"/>
                <w:szCs w:val="20"/>
                <w:lang w:eastAsia="en-IN"/>
              </w:rPr>
              <w:fldChar w:fldCharType="end"/>
            </w:r>
          </w:p>
        </w:tc>
        <w:tc>
          <w:tcPr>
            <w:tcW w:w="813"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A study on advancements in electrolysis like WEC, PEM, Alkaline media, SOEC.</w:t>
            </w:r>
          </w:p>
        </w:tc>
        <w:tc>
          <w:tcPr>
            <w:tcW w:w="1036"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color w:val="1D1B11" w:themeColor="background2" w:themeShade="1A"/>
                <w:sz w:val="20"/>
                <w:szCs w:val="20"/>
              </w:rPr>
              <w:t>The Study of developments in various types of Water electrolysis techniques.</w:t>
            </w:r>
          </w:p>
        </w:tc>
        <w:tc>
          <w:tcPr>
            <w:tcW w:w="1110"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Focus on the development of non-noble metal-based electrocatalysts and advancements in alkaline, PEM, and SOEC.</w:t>
            </w:r>
          </w:p>
        </w:tc>
        <w:tc>
          <w:tcPr>
            <w:tcW w:w="1038"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Development of new, simple, and cost-effective non-precious metal-based catalysts with good electrocatalytic properties for OERs and HERs.</w:t>
            </w:r>
          </w:p>
        </w:tc>
        <w:tc>
          <w:tcPr>
            <w:tcW w:w="279" w:type="pct"/>
            <w:vAlign w:val="center"/>
          </w:tcPr>
          <w:p w:rsidR="007A52A5" w:rsidRPr="008C36F5" w:rsidRDefault="007A52A5" w:rsidP="008C36F5">
            <w:pPr>
              <w:spacing w:after="100"/>
              <w:jc w:val="center"/>
              <w:rPr>
                <w:rFonts w:ascii="Times New Roman" w:hAnsi="Times New Roman" w:cs="Times New Roman"/>
                <w:sz w:val="20"/>
                <w:szCs w:val="20"/>
              </w:rPr>
            </w:pPr>
            <w:r w:rsidRPr="008C36F5">
              <w:rPr>
                <w:rFonts w:ascii="Times New Roman" w:hAnsi="Times New Roman" w:cs="Times New Roman"/>
                <w:sz w:val="20"/>
                <w:szCs w:val="20"/>
              </w:rPr>
              <w:t>368</w:t>
            </w:r>
          </w:p>
        </w:tc>
      </w:tr>
    </w:tbl>
    <w:p w:rsidR="006E5C78" w:rsidRDefault="006E5C78" w:rsidP="006E5C78">
      <w:pPr>
        <w:spacing w:before="0" w:beforeAutospacing="0" w:after="0" w:afterAutospacing="0" w:line="240" w:lineRule="auto"/>
        <w:rPr>
          <w:rFonts w:ascii="Times New Roman" w:hAnsi="Times New Roman" w:cs="Times New Roman"/>
          <w:b/>
          <w:szCs w:val="20"/>
        </w:rPr>
      </w:pPr>
    </w:p>
    <w:p w:rsidR="006E5C78" w:rsidRDefault="00A147DF" w:rsidP="006E5C78">
      <w:pPr>
        <w:spacing w:before="0" w:beforeAutospacing="0" w:after="0" w:afterAutospacing="0" w:line="240" w:lineRule="auto"/>
        <w:rPr>
          <w:rFonts w:ascii="Times New Roman" w:hAnsi="Times New Roman" w:cs="Times New Roman"/>
          <w:b/>
          <w:szCs w:val="20"/>
        </w:rPr>
      </w:pPr>
      <w:r w:rsidRPr="00AF3023">
        <w:rPr>
          <w:rFonts w:ascii="Times New Roman" w:hAnsi="Times New Roman" w:cs="Times New Roman"/>
          <w:b/>
          <w:szCs w:val="20"/>
        </w:rPr>
        <w:t>Comment:</w:t>
      </w:r>
      <w:r w:rsidR="00AF3023">
        <w:rPr>
          <w:rFonts w:ascii="Times New Roman" w:hAnsi="Times New Roman" w:cs="Times New Roman"/>
          <w:b/>
          <w:szCs w:val="20"/>
        </w:rPr>
        <w:t xml:space="preserve"> </w:t>
      </w:r>
      <w:r w:rsidRPr="008C36F5">
        <w:rPr>
          <w:rFonts w:ascii="Times New Roman" w:hAnsi="Times New Roman" w:cs="Times New Roman"/>
          <w:sz w:val="20"/>
          <w:szCs w:val="20"/>
        </w:rPr>
        <w:t>This research aims to examine all possible methods for electrolysis of water, both traditional and non-conventional. Degradation processes were studied concerning the characteristics of the cells and their operating conditions. The different forms of energy used to carry out the electrolysis are interpolated and analysed to uncover the links between causes and effects, as well as current diagnosis and mitigation methods. However, there is very few comprehensive analysis of the methodology for fully eliminating fossil fuels from ICE. This study offers and discusses a comprehensive indication of Oxyhydrogen's potential to minimise the world's current dependency on fossil fuels while also providing an efficient way to reduce pollution and flue gases from existing engine technology. Researchers have used a variety of strategies to address or alleviate the problems described above, as well as to enhance performance and minimize emissions of ICE.</w:t>
      </w:r>
      <w:r w:rsidR="006E5C78">
        <w:rPr>
          <w:rFonts w:ascii="Times New Roman" w:hAnsi="Times New Roman" w:cs="Times New Roman"/>
          <w:b/>
          <w:szCs w:val="20"/>
        </w:rPr>
        <w:t xml:space="preserve"> </w:t>
      </w:r>
    </w:p>
    <w:p w:rsidR="00A147DF" w:rsidRPr="006E5C78" w:rsidRDefault="00A147DF" w:rsidP="006E5C78">
      <w:pPr>
        <w:spacing w:before="0" w:beforeAutospacing="0" w:after="0" w:afterAutospacing="0" w:line="240" w:lineRule="auto"/>
        <w:rPr>
          <w:rFonts w:ascii="Times New Roman" w:hAnsi="Times New Roman" w:cs="Times New Roman"/>
          <w:b/>
          <w:szCs w:val="20"/>
        </w:rPr>
      </w:pPr>
      <w:r w:rsidRPr="008C36F5">
        <w:rPr>
          <w:rFonts w:ascii="Times New Roman" w:hAnsi="Times New Roman" w:cs="Times New Roman"/>
          <w:sz w:val="20"/>
          <w:szCs w:val="20"/>
        </w:rPr>
        <w:t>After conducting a thorough literature review we discovered appropriate review papers on the efficiency of the I.C engine using the oxyhydrogen technique. However, authors discovered a shortage of literature and reviews to aid in their understanding of electrolyte classification and forms. As a consequence, the authors present in this paper a thorough review of HHO/H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Generation Techniques. The authors conclude that the analysis of Techniques for HHO/H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Generation reveals a plethora of options for reducing dependency on fossil fuels.</w:t>
      </w:r>
    </w:p>
    <w:p w:rsidR="00A147DF" w:rsidRPr="00DE4EB9" w:rsidRDefault="00A147DF" w:rsidP="00DE4EB9">
      <w:pPr>
        <w:pStyle w:val="ListParagraph"/>
        <w:numPr>
          <w:ilvl w:val="0"/>
          <w:numId w:val="8"/>
        </w:numPr>
        <w:spacing w:line="240" w:lineRule="auto"/>
        <w:rPr>
          <w:rFonts w:ascii="Times New Roman" w:hAnsi="Times New Roman" w:cs="Times New Roman"/>
          <w:sz w:val="20"/>
          <w:szCs w:val="20"/>
          <w:lang w:val="en-IN"/>
        </w:rPr>
      </w:pPr>
      <w:r w:rsidRPr="00DE4EB9">
        <w:rPr>
          <w:rFonts w:ascii="Times New Roman" w:hAnsi="Times New Roman" w:cs="Times New Roman"/>
          <w:b/>
          <w:szCs w:val="20"/>
          <w:lang w:val="en-IN"/>
        </w:rPr>
        <w:t>Different Techniques used for generation of Oxyhydrogen Gas (HHO)/Hydrogen H</w:t>
      </w:r>
      <w:r w:rsidRPr="00DE4EB9">
        <w:rPr>
          <w:rFonts w:ascii="Times New Roman" w:hAnsi="Times New Roman" w:cs="Times New Roman"/>
          <w:b/>
          <w:szCs w:val="20"/>
          <w:vertAlign w:val="subscript"/>
          <w:lang w:val="en-IN"/>
        </w:rPr>
        <w:t>2</w:t>
      </w:r>
      <w:r w:rsidRPr="00DE4EB9">
        <w:rPr>
          <w:rFonts w:ascii="Times New Roman" w:hAnsi="Times New Roman" w:cs="Times New Roman"/>
          <w:b/>
          <w:sz w:val="20"/>
          <w:szCs w:val="20"/>
          <w:lang w:val="en-IN"/>
        </w:rPr>
        <w:t xml:space="preserve">: </w:t>
      </w:r>
      <w:r w:rsidRPr="00DE4EB9">
        <w:rPr>
          <w:rFonts w:ascii="Times New Roman" w:hAnsi="Times New Roman" w:cs="Times New Roman"/>
          <w:sz w:val="20"/>
          <w:szCs w:val="20"/>
          <w:lang w:val="en-IN"/>
        </w:rPr>
        <w:t>The Oxyhydrogen gas also called by the name Brown Gas can be generated using several Conventional an</w:t>
      </w:r>
      <w:r w:rsidR="00C9193C" w:rsidRPr="00DE4EB9">
        <w:rPr>
          <w:rFonts w:ascii="Times New Roman" w:hAnsi="Times New Roman" w:cs="Times New Roman"/>
          <w:sz w:val="20"/>
          <w:szCs w:val="20"/>
          <w:lang w:val="en-IN"/>
        </w:rPr>
        <w:t xml:space="preserve">d Non-Conventional Techniques. </w:t>
      </w:r>
    </w:p>
    <w:p w:rsidR="00DE4EB9" w:rsidRPr="00DE4EB9" w:rsidRDefault="00DE4EB9" w:rsidP="00DE4EB9">
      <w:pPr>
        <w:pStyle w:val="ListParagraph"/>
        <w:spacing w:line="240" w:lineRule="auto"/>
        <w:ind w:left="218"/>
        <w:rPr>
          <w:rFonts w:ascii="Times New Roman" w:hAnsi="Times New Roman" w:cs="Times New Roman"/>
          <w:sz w:val="20"/>
          <w:szCs w:val="20"/>
          <w:lang w:val="en-IN"/>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2381"/>
        <w:gridCol w:w="6892"/>
        <w:gridCol w:w="303"/>
      </w:tblGrid>
      <w:tr w:rsidR="00325F07" w:rsidRPr="008C36F5" w:rsidTr="00325F07">
        <w:trPr>
          <w:gridAfter w:val="1"/>
          <w:wAfter w:w="303" w:type="dxa"/>
          <w:jc w:val="center"/>
        </w:trPr>
        <w:tc>
          <w:tcPr>
            <w:tcW w:w="9273" w:type="dxa"/>
            <w:gridSpan w:val="2"/>
            <w:shd w:val="clear" w:color="auto" w:fill="FFFFFF" w:themeFill="background1"/>
          </w:tcPr>
          <w:p w:rsidR="00325F07" w:rsidRPr="00C9193C" w:rsidRDefault="00325F07" w:rsidP="003F31B3">
            <w:pPr>
              <w:jc w:val="center"/>
              <w:rPr>
                <w:rFonts w:ascii="Times New Roman" w:hAnsi="Times New Roman" w:cs="Times New Roman"/>
                <w:b/>
                <w:szCs w:val="20"/>
              </w:rPr>
            </w:pPr>
            <w:r w:rsidRPr="00C9193C">
              <w:rPr>
                <w:rFonts w:ascii="Times New Roman" w:hAnsi="Times New Roman" w:cs="Times New Roman"/>
                <w:b/>
                <w:szCs w:val="20"/>
              </w:rPr>
              <w:t>Techniques for the generation of HHO/Hydrogen Gas</w:t>
            </w:r>
          </w:p>
        </w:tc>
      </w:tr>
      <w:tr w:rsidR="00A147DF" w:rsidRPr="008C36F5" w:rsidTr="00325F07">
        <w:trPr>
          <w:gridAfter w:val="1"/>
          <w:wAfter w:w="303" w:type="dxa"/>
          <w:jc w:val="center"/>
        </w:trPr>
        <w:tc>
          <w:tcPr>
            <w:tcW w:w="2381" w:type="dxa"/>
            <w:shd w:val="clear" w:color="auto" w:fill="FFFFFF" w:themeFill="background1"/>
          </w:tcPr>
          <w:p w:rsidR="00A147DF" w:rsidRPr="003F31B3" w:rsidRDefault="00A147DF" w:rsidP="008C36F5">
            <w:pPr>
              <w:spacing w:after="100"/>
              <w:jc w:val="center"/>
              <w:rPr>
                <w:rFonts w:ascii="Times New Roman" w:hAnsi="Times New Roman" w:cs="Times New Roman"/>
                <w:b/>
                <w:color w:val="202122"/>
                <w:szCs w:val="20"/>
                <w:u w:val="single"/>
                <w:shd w:val="clear" w:color="auto" w:fill="FFFFFF"/>
              </w:rPr>
            </w:pPr>
            <w:r w:rsidRPr="003F31B3">
              <w:rPr>
                <w:rFonts w:ascii="Times New Roman" w:hAnsi="Times New Roman" w:cs="Times New Roman"/>
                <w:b/>
                <w:szCs w:val="20"/>
                <w:u w:val="single"/>
              </w:rPr>
              <w:lastRenderedPageBreak/>
              <w:t>Conventional</w:t>
            </w:r>
          </w:p>
        </w:tc>
        <w:tc>
          <w:tcPr>
            <w:tcW w:w="6892" w:type="dxa"/>
            <w:shd w:val="clear" w:color="auto" w:fill="FFFFFF" w:themeFill="background1"/>
          </w:tcPr>
          <w:p w:rsidR="00B953B2" w:rsidRPr="003F31B3" w:rsidRDefault="00A147DF" w:rsidP="003F31B3">
            <w:pPr>
              <w:spacing w:after="100"/>
              <w:jc w:val="center"/>
              <w:rPr>
                <w:rFonts w:ascii="Times New Roman" w:hAnsi="Times New Roman" w:cs="Times New Roman"/>
                <w:b/>
                <w:szCs w:val="20"/>
                <w:u w:val="single"/>
              </w:rPr>
            </w:pPr>
            <w:r w:rsidRPr="003F31B3">
              <w:rPr>
                <w:rFonts w:ascii="Times New Roman" w:hAnsi="Times New Roman" w:cs="Times New Roman"/>
                <w:b/>
                <w:szCs w:val="20"/>
                <w:u w:val="single"/>
              </w:rPr>
              <w:t>Non- Conventional</w:t>
            </w:r>
          </w:p>
        </w:tc>
      </w:tr>
      <w:tr w:rsidR="00A147DF" w:rsidRPr="008C36F5" w:rsidTr="00325F07">
        <w:trPr>
          <w:jc w:val="center"/>
        </w:trPr>
        <w:tc>
          <w:tcPr>
            <w:tcW w:w="2381" w:type="dxa"/>
            <w:vMerge w:val="restart"/>
            <w:shd w:val="clear" w:color="auto" w:fill="FFFFFF" w:themeFill="background1"/>
          </w:tcPr>
          <w:p w:rsidR="00A147DF" w:rsidRPr="008C36F5" w:rsidRDefault="00C0782C" w:rsidP="008C36F5">
            <w:pPr>
              <w:spacing w:after="100"/>
              <w:ind w:right="-65"/>
              <w:rPr>
                <w:rFonts w:ascii="Times New Roman" w:hAnsi="Times New Roman" w:cs="Times New Roman"/>
                <w:b/>
                <w:sz w:val="20"/>
                <w:szCs w:val="20"/>
              </w:rPr>
            </w:pPr>
            <w:r w:rsidRPr="008C36F5">
              <w:rPr>
                <w:rFonts w:ascii="Times New Roman" w:hAnsi="Times New Roman" w:cs="Times New Roman"/>
                <w:sz w:val="20"/>
                <w:szCs w:val="20"/>
              </w:rPr>
              <w:t xml:space="preserve">1.Generation </w:t>
            </w:r>
            <w:r w:rsidR="00A147DF" w:rsidRPr="008C36F5">
              <w:rPr>
                <w:rFonts w:ascii="Times New Roman" w:hAnsi="Times New Roman" w:cs="Times New Roman"/>
                <w:sz w:val="20"/>
                <w:szCs w:val="20"/>
              </w:rPr>
              <w:t>of Oxyhydrogen Gas (HHO)/</w:t>
            </w:r>
            <w:r w:rsidR="00A147DF" w:rsidRPr="008C36F5">
              <w:rPr>
                <w:rFonts w:ascii="Times New Roman" w:hAnsi="Times New Roman" w:cs="Times New Roman"/>
                <w:sz w:val="20"/>
                <w:szCs w:val="20"/>
                <w:lang w:val="en-IN"/>
              </w:rPr>
              <w:t>H</w:t>
            </w:r>
            <w:r w:rsidR="00A147DF" w:rsidRPr="008C36F5">
              <w:rPr>
                <w:rFonts w:ascii="Times New Roman" w:hAnsi="Times New Roman" w:cs="Times New Roman"/>
                <w:sz w:val="20"/>
                <w:szCs w:val="20"/>
                <w:vertAlign w:val="subscript"/>
                <w:lang w:val="en-IN"/>
              </w:rPr>
              <w:t>2</w:t>
            </w:r>
            <w:r w:rsidR="00A147DF" w:rsidRPr="008C36F5">
              <w:rPr>
                <w:rFonts w:ascii="Times New Roman" w:hAnsi="Times New Roman" w:cs="Times New Roman"/>
                <w:sz w:val="20"/>
                <w:szCs w:val="20"/>
                <w:lang w:val="en-IN"/>
              </w:rPr>
              <w:t xml:space="preserve"> gas</w:t>
            </w:r>
            <w:r w:rsidR="00A147DF" w:rsidRPr="008C36F5">
              <w:rPr>
                <w:rFonts w:ascii="Times New Roman" w:hAnsi="Times New Roman" w:cs="Times New Roman"/>
                <w:sz w:val="20"/>
                <w:szCs w:val="20"/>
              </w:rPr>
              <w:t xml:space="preserve"> through Conventional Method of Electrolysis using Chemical and Salts like (NaOH, KOH &amp; NaHCO</w:t>
            </w:r>
            <w:r w:rsidR="00A147DF" w:rsidRPr="008C36F5">
              <w:rPr>
                <w:rFonts w:ascii="Times New Roman" w:hAnsi="Times New Roman" w:cs="Times New Roman"/>
                <w:sz w:val="20"/>
                <w:szCs w:val="20"/>
                <w:vertAlign w:val="subscript"/>
              </w:rPr>
              <w:t>3</w:t>
            </w:r>
            <w:r w:rsidR="00A147DF" w:rsidRPr="008C36F5">
              <w:rPr>
                <w:rFonts w:ascii="Times New Roman" w:hAnsi="Times New Roman" w:cs="Times New Roman"/>
                <w:sz w:val="20"/>
                <w:szCs w:val="20"/>
              </w:rPr>
              <w:t>)</w:t>
            </w:r>
          </w:p>
          <w:p w:rsidR="00A147DF" w:rsidRPr="008C36F5" w:rsidRDefault="00A147DF" w:rsidP="008C36F5">
            <w:pPr>
              <w:spacing w:after="100"/>
              <w:rPr>
                <w:rFonts w:ascii="Times New Roman" w:hAnsi="Times New Roman" w:cs="Times New Roman"/>
                <w:color w:val="202122"/>
                <w:sz w:val="20"/>
                <w:szCs w:val="20"/>
                <w:shd w:val="clear" w:color="auto" w:fill="FFFFFF"/>
              </w:rPr>
            </w:pPr>
          </w:p>
        </w:tc>
        <w:tc>
          <w:tcPr>
            <w:tcW w:w="7195" w:type="dxa"/>
            <w:gridSpan w:val="2"/>
            <w:shd w:val="clear" w:color="auto" w:fill="FFFFFF" w:themeFill="background1"/>
          </w:tcPr>
          <w:p w:rsidR="008D4848" w:rsidRDefault="00A147DF" w:rsidP="008D4848">
            <w:pPr>
              <w:spacing w:before="0" w:beforeAutospacing="0" w:afterAutospacing="0"/>
              <w:ind w:left="389"/>
              <w:rPr>
                <w:rFonts w:ascii="Times New Roman" w:hAnsi="Times New Roman" w:cs="Times New Roman"/>
                <w:sz w:val="20"/>
                <w:szCs w:val="20"/>
              </w:rPr>
            </w:pPr>
            <w:r w:rsidRPr="008C36F5">
              <w:rPr>
                <w:rFonts w:ascii="Times New Roman" w:hAnsi="Times New Roman" w:cs="Times New Roman"/>
                <w:sz w:val="20"/>
                <w:szCs w:val="20"/>
              </w:rPr>
              <w:t>1. Generation of Oxyhydrogen Gas (HHO)/H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using Membrane Exchange Method like Proton Exchange Membrane/ Anion Exchange Method</w:t>
            </w:r>
            <w:r w:rsidR="008D4848">
              <w:rPr>
                <w:rFonts w:ascii="Times New Roman" w:hAnsi="Times New Roman" w:cs="Times New Roman"/>
                <w:sz w:val="20"/>
                <w:szCs w:val="20"/>
              </w:rPr>
              <w:t>.</w:t>
            </w:r>
          </w:p>
          <w:p w:rsidR="00A147DF" w:rsidRPr="008D4848" w:rsidRDefault="00A147DF" w:rsidP="008D4848">
            <w:pPr>
              <w:spacing w:before="0" w:beforeAutospacing="0" w:afterAutospacing="0"/>
              <w:ind w:left="389"/>
              <w:rPr>
                <w:rFonts w:ascii="Times New Roman" w:hAnsi="Times New Roman" w:cs="Times New Roman"/>
                <w:sz w:val="20"/>
                <w:szCs w:val="20"/>
              </w:rPr>
            </w:pPr>
            <w:r w:rsidRPr="008C36F5">
              <w:rPr>
                <w:rFonts w:ascii="Times New Roman" w:hAnsi="Times New Roman" w:cs="Times New Roman"/>
                <w:sz w:val="20"/>
                <w:szCs w:val="20"/>
              </w:rPr>
              <w:t>2.</w:t>
            </w:r>
            <w:r w:rsidRPr="008C36F5">
              <w:rPr>
                <w:rFonts w:ascii="Times New Roman" w:eastAsia="+mn-ea" w:hAnsi="Times New Roman" w:cs="Times New Roman"/>
                <w:color w:val="000000"/>
                <w:kern w:val="24"/>
                <w:sz w:val="20"/>
                <w:szCs w:val="20"/>
              </w:rPr>
              <w:t xml:space="preserve"> </w:t>
            </w:r>
            <w:r w:rsidRPr="008C36F5">
              <w:rPr>
                <w:rFonts w:ascii="Times New Roman" w:hAnsi="Times New Roman" w:cs="Times New Roman"/>
                <w:color w:val="202122"/>
                <w:sz w:val="20"/>
                <w:szCs w:val="20"/>
                <w:shd w:val="clear" w:color="auto" w:fill="FFFFFF"/>
              </w:rPr>
              <w:t>Generation of Oxyhydrogen Gas (HHO)/ H</w:t>
            </w:r>
            <w:r w:rsidRPr="008C36F5">
              <w:rPr>
                <w:rFonts w:ascii="Times New Roman" w:hAnsi="Times New Roman" w:cs="Times New Roman"/>
                <w:color w:val="202122"/>
                <w:sz w:val="20"/>
                <w:szCs w:val="20"/>
                <w:shd w:val="clear" w:color="auto" w:fill="FFFFFF"/>
                <w:vertAlign w:val="subscript"/>
              </w:rPr>
              <w:t>2</w:t>
            </w:r>
            <w:r w:rsidRPr="008C36F5">
              <w:rPr>
                <w:rFonts w:ascii="Times New Roman" w:hAnsi="Times New Roman" w:cs="Times New Roman"/>
                <w:color w:val="202122"/>
                <w:sz w:val="20"/>
                <w:szCs w:val="20"/>
                <w:shd w:val="clear" w:color="auto" w:fill="FFFFFF"/>
              </w:rPr>
              <w:t xml:space="preserve"> gas</w:t>
            </w:r>
            <w:r w:rsidRPr="008C36F5">
              <w:rPr>
                <w:rFonts w:ascii="Times New Roman" w:hAnsi="Times New Roman" w:cs="Times New Roman"/>
                <w:color w:val="202122"/>
                <w:sz w:val="20"/>
                <w:szCs w:val="20"/>
                <w:shd w:val="clear" w:color="auto" w:fill="FFFFFF"/>
                <w:vertAlign w:val="subscript"/>
              </w:rPr>
              <w:t xml:space="preserve"> </w:t>
            </w:r>
            <w:r w:rsidRPr="008C36F5">
              <w:rPr>
                <w:rFonts w:ascii="Times New Roman" w:hAnsi="Times New Roman" w:cs="Times New Roman"/>
                <w:color w:val="202122"/>
                <w:sz w:val="20"/>
                <w:szCs w:val="20"/>
                <w:shd w:val="clear" w:color="auto" w:fill="FFFFFF"/>
              </w:rPr>
              <w:t>Using Non- Conventional Catalysts/ Advanced Material for cell formation/ Sulfonated Polyether ether ketone /CL-SPEEK/Cs-MoPA/CeO</w:t>
            </w:r>
            <w:r w:rsidRPr="008C36F5">
              <w:rPr>
                <w:rFonts w:ascii="Times New Roman" w:hAnsi="Times New Roman" w:cs="Times New Roman"/>
                <w:color w:val="202122"/>
                <w:sz w:val="20"/>
                <w:szCs w:val="20"/>
                <w:shd w:val="clear" w:color="auto" w:fill="FFFFFF"/>
                <w:vertAlign w:val="subscript"/>
              </w:rPr>
              <w:t>2</w:t>
            </w:r>
            <w:r w:rsidRPr="008C36F5">
              <w:rPr>
                <w:rFonts w:ascii="Times New Roman" w:hAnsi="Times New Roman" w:cs="Times New Roman"/>
                <w:color w:val="202122"/>
                <w:sz w:val="20"/>
                <w:szCs w:val="20"/>
                <w:shd w:val="clear" w:color="auto" w:fill="FFFFFF"/>
              </w:rPr>
              <w:t>/ Graphene etc.</w:t>
            </w:r>
          </w:p>
        </w:tc>
      </w:tr>
      <w:tr w:rsidR="00A147DF" w:rsidRPr="008C36F5" w:rsidTr="00325F07">
        <w:trPr>
          <w:jc w:val="center"/>
        </w:trPr>
        <w:tc>
          <w:tcPr>
            <w:tcW w:w="2381" w:type="dxa"/>
            <w:vMerge/>
            <w:shd w:val="clear" w:color="auto" w:fill="FFFFFF" w:themeFill="background1"/>
          </w:tcPr>
          <w:p w:rsidR="00A147DF" w:rsidRPr="008C36F5" w:rsidRDefault="00A147DF" w:rsidP="008C36F5">
            <w:pPr>
              <w:spacing w:after="100"/>
              <w:rPr>
                <w:rFonts w:ascii="Times New Roman" w:hAnsi="Times New Roman" w:cs="Times New Roman"/>
                <w:color w:val="202122"/>
                <w:sz w:val="20"/>
                <w:szCs w:val="20"/>
                <w:shd w:val="clear" w:color="auto" w:fill="FFFFFF"/>
              </w:rPr>
            </w:pPr>
          </w:p>
        </w:tc>
        <w:tc>
          <w:tcPr>
            <w:tcW w:w="7195" w:type="dxa"/>
            <w:gridSpan w:val="2"/>
            <w:shd w:val="clear" w:color="auto" w:fill="FFFFFF" w:themeFill="background1"/>
          </w:tcPr>
          <w:p w:rsidR="00A147DF" w:rsidRPr="008C36F5" w:rsidRDefault="00A147DF" w:rsidP="008D4848">
            <w:pPr>
              <w:spacing w:before="0" w:beforeAutospacing="0" w:afterAutospacing="0"/>
              <w:ind w:left="389"/>
              <w:rPr>
                <w:rFonts w:ascii="Times New Roman" w:hAnsi="Times New Roman" w:cs="Times New Roman"/>
                <w:color w:val="202122"/>
                <w:sz w:val="20"/>
                <w:szCs w:val="20"/>
                <w:shd w:val="clear" w:color="auto" w:fill="FFFFFF"/>
              </w:rPr>
            </w:pPr>
            <w:r w:rsidRPr="008C36F5">
              <w:rPr>
                <w:rFonts w:ascii="Times New Roman" w:hAnsi="Times New Roman" w:cs="Times New Roman"/>
                <w:color w:val="202122"/>
                <w:sz w:val="20"/>
                <w:szCs w:val="20"/>
                <w:shd w:val="clear" w:color="auto" w:fill="FFFFFF"/>
              </w:rPr>
              <w:t>3.</w:t>
            </w:r>
            <w:r w:rsidRPr="008C36F5">
              <w:rPr>
                <w:rFonts w:ascii="Times New Roman" w:eastAsia="+mn-ea" w:hAnsi="Times New Roman" w:cs="Times New Roman"/>
                <w:color w:val="000000"/>
                <w:kern w:val="24"/>
                <w:sz w:val="20"/>
                <w:szCs w:val="20"/>
              </w:rPr>
              <w:t xml:space="preserve"> </w:t>
            </w:r>
            <w:r w:rsidRPr="008C36F5">
              <w:rPr>
                <w:rFonts w:ascii="Times New Roman" w:hAnsi="Times New Roman" w:cs="Times New Roman"/>
                <w:color w:val="202122"/>
                <w:sz w:val="20"/>
                <w:szCs w:val="20"/>
                <w:shd w:val="clear" w:color="auto" w:fill="FFFFFF"/>
              </w:rPr>
              <w:t>Generation of Oxyhydrogen Gas (HHO)/ H</w:t>
            </w:r>
            <w:r w:rsidRPr="008C36F5">
              <w:rPr>
                <w:rFonts w:ascii="Times New Roman" w:hAnsi="Times New Roman" w:cs="Times New Roman"/>
                <w:color w:val="202122"/>
                <w:sz w:val="20"/>
                <w:szCs w:val="20"/>
                <w:shd w:val="clear" w:color="auto" w:fill="FFFFFF"/>
                <w:vertAlign w:val="subscript"/>
              </w:rPr>
              <w:t>2</w:t>
            </w:r>
            <w:r w:rsidRPr="008C36F5">
              <w:rPr>
                <w:rFonts w:ascii="Times New Roman" w:hAnsi="Times New Roman" w:cs="Times New Roman"/>
                <w:color w:val="202122"/>
                <w:sz w:val="20"/>
                <w:szCs w:val="20"/>
                <w:shd w:val="clear" w:color="auto" w:fill="FFFFFF"/>
              </w:rPr>
              <w:t xml:space="preserve"> gas using Renewable Energy (Solar/Wind).</w:t>
            </w:r>
          </w:p>
          <w:p w:rsidR="00A147DF" w:rsidRPr="008C36F5" w:rsidRDefault="00A147DF" w:rsidP="008D4848">
            <w:pPr>
              <w:spacing w:before="0" w:beforeAutospacing="0" w:afterAutospacing="0"/>
              <w:ind w:left="389"/>
              <w:rPr>
                <w:rFonts w:ascii="Times New Roman" w:hAnsi="Times New Roman" w:cs="Times New Roman"/>
                <w:color w:val="202122"/>
                <w:sz w:val="20"/>
                <w:szCs w:val="20"/>
                <w:shd w:val="clear" w:color="auto" w:fill="FFFFFF"/>
              </w:rPr>
            </w:pPr>
            <w:r w:rsidRPr="008C36F5">
              <w:rPr>
                <w:rFonts w:ascii="Times New Roman" w:hAnsi="Times New Roman" w:cs="Times New Roman"/>
                <w:color w:val="202122"/>
                <w:sz w:val="20"/>
                <w:szCs w:val="20"/>
                <w:shd w:val="clear" w:color="auto" w:fill="FFFFFF"/>
              </w:rPr>
              <w:t>4. MEC-based HHO/H2 gas generation is a technology for producing biological and glycerol hydrogen.</w:t>
            </w:r>
          </w:p>
        </w:tc>
      </w:tr>
      <w:tr w:rsidR="00A147DF" w:rsidRPr="008C36F5" w:rsidTr="00325F07">
        <w:trPr>
          <w:jc w:val="center"/>
        </w:trPr>
        <w:tc>
          <w:tcPr>
            <w:tcW w:w="2381" w:type="dxa"/>
            <w:vMerge/>
            <w:shd w:val="clear" w:color="auto" w:fill="FFFFFF" w:themeFill="background1"/>
          </w:tcPr>
          <w:p w:rsidR="00A147DF" w:rsidRPr="008C36F5" w:rsidRDefault="00A147DF" w:rsidP="008C36F5">
            <w:pPr>
              <w:spacing w:after="100"/>
              <w:rPr>
                <w:rFonts w:ascii="Times New Roman" w:hAnsi="Times New Roman" w:cs="Times New Roman"/>
                <w:color w:val="202122"/>
                <w:sz w:val="20"/>
                <w:szCs w:val="20"/>
                <w:shd w:val="clear" w:color="auto" w:fill="FFFFFF"/>
              </w:rPr>
            </w:pPr>
          </w:p>
        </w:tc>
        <w:tc>
          <w:tcPr>
            <w:tcW w:w="7195" w:type="dxa"/>
            <w:gridSpan w:val="2"/>
            <w:shd w:val="clear" w:color="auto" w:fill="FFFFFF" w:themeFill="background1"/>
          </w:tcPr>
          <w:p w:rsidR="00A147DF" w:rsidRPr="008C36F5" w:rsidRDefault="00A147DF" w:rsidP="008C36F5">
            <w:pPr>
              <w:spacing w:after="100"/>
              <w:ind w:left="389"/>
              <w:rPr>
                <w:rFonts w:ascii="Times New Roman" w:hAnsi="Times New Roman" w:cs="Times New Roman"/>
                <w:sz w:val="20"/>
                <w:szCs w:val="20"/>
              </w:rPr>
            </w:pPr>
            <w:r w:rsidRPr="008C36F5">
              <w:rPr>
                <w:rFonts w:ascii="Times New Roman" w:hAnsi="Times New Roman" w:cs="Times New Roman"/>
                <w:sz w:val="20"/>
                <w:szCs w:val="20"/>
              </w:rPr>
              <w:t>5. Generation of oxyhydrogen gas (HHO)/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gas using a magnetic field and pulse potential and ultrasonic waves.</w:t>
            </w:r>
          </w:p>
        </w:tc>
      </w:tr>
      <w:tr w:rsidR="00A147DF" w:rsidRPr="008C36F5" w:rsidTr="00325F07">
        <w:trPr>
          <w:jc w:val="center"/>
        </w:trPr>
        <w:tc>
          <w:tcPr>
            <w:tcW w:w="2381" w:type="dxa"/>
            <w:vMerge/>
            <w:shd w:val="clear" w:color="auto" w:fill="FFFFFF" w:themeFill="background1"/>
          </w:tcPr>
          <w:p w:rsidR="00A147DF" w:rsidRPr="008C36F5" w:rsidRDefault="00A147DF" w:rsidP="008C36F5">
            <w:pPr>
              <w:spacing w:after="100"/>
              <w:rPr>
                <w:rFonts w:ascii="Times New Roman" w:hAnsi="Times New Roman" w:cs="Times New Roman"/>
                <w:color w:val="202122"/>
                <w:sz w:val="20"/>
                <w:szCs w:val="20"/>
                <w:shd w:val="clear" w:color="auto" w:fill="FFFFFF"/>
              </w:rPr>
            </w:pPr>
          </w:p>
        </w:tc>
        <w:tc>
          <w:tcPr>
            <w:tcW w:w="7195" w:type="dxa"/>
            <w:gridSpan w:val="2"/>
            <w:shd w:val="clear" w:color="auto" w:fill="FFFFFF" w:themeFill="background1"/>
          </w:tcPr>
          <w:p w:rsidR="00A147DF" w:rsidRPr="008C36F5" w:rsidRDefault="00A147DF" w:rsidP="008C36F5">
            <w:pPr>
              <w:spacing w:after="100"/>
              <w:ind w:left="389"/>
              <w:rPr>
                <w:rFonts w:ascii="Times New Roman" w:hAnsi="Times New Roman" w:cs="Times New Roman"/>
                <w:sz w:val="20"/>
                <w:szCs w:val="20"/>
              </w:rPr>
            </w:pPr>
            <w:r w:rsidRPr="008C36F5">
              <w:rPr>
                <w:rFonts w:ascii="Times New Roman" w:hAnsi="Times New Roman" w:cs="Times New Roman"/>
                <w:sz w:val="20"/>
                <w:szCs w:val="20"/>
              </w:rPr>
              <w:t>6. Generation of Oxyhydrogen Gas (HHO)/H</w:t>
            </w:r>
            <w:r w:rsidRPr="008C36F5">
              <w:rPr>
                <w:rFonts w:ascii="Times New Roman" w:hAnsi="Times New Roman" w:cs="Times New Roman"/>
                <w:sz w:val="20"/>
                <w:szCs w:val="20"/>
                <w:vertAlign w:val="subscript"/>
              </w:rPr>
              <w:t xml:space="preserve">2 </w:t>
            </w:r>
            <w:r w:rsidRPr="008C36F5">
              <w:rPr>
                <w:rFonts w:ascii="Times New Roman" w:hAnsi="Times New Roman" w:cs="Times New Roman"/>
                <w:sz w:val="20"/>
                <w:szCs w:val="20"/>
              </w:rPr>
              <w:t xml:space="preserve">gas generation Using Bifunctionality and Flexible Working Electrode/ Cobalt-Tungsten-Boron as an Active Electrocatalyst. </w:t>
            </w:r>
          </w:p>
        </w:tc>
      </w:tr>
    </w:tbl>
    <w:p w:rsidR="00A147DF" w:rsidRPr="007769BB" w:rsidRDefault="00A147DF" w:rsidP="008C36F5">
      <w:pPr>
        <w:spacing w:line="240" w:lineRule="auto"/>
        <w:rPr>
          <w:rFonts w:ascii="Times New Roman" w:hAnsi="Times New Roman" w:cs="Times New Roman"/>
          <w:b/>
          <w:szCs w:val="20"/>
        </w:rPr>
      </w:pPr>
      <w:r w:rsidRPr="007769BB">
        <w:rPr>
          <w:rFonts w:ascii="Times New Roman" w:hAnsi="Times New Roman" w:cs="Times New Roman"/>
          <w:b/>
          <w:szCs w:val="20"/>
        </w:rPr>
        <w:t xml:space="preserve">3. Generation of Oxyhydrogen Gas (HHO)/ </w:t>
      </w:r>
      <w:r w:rsidRPr="007769BB">
        <w:rPr>
          <w:rFonts w:ascii="Times New Roman" w:hAnsi="Times New Roman" w:cs="Times New Roman"/>
          <w:b/>
          <w:szCs w:val="20"/>
          <w:lang w:val="en-IN"/>
        </w:rPr>
        <w:t>H</w:t>
      </w:r>
      <w:r w:rsidRPr="007769BB">
        <w:rPr>
          <w:rFonts w:ascii="Times New Roman" w:hAnsi="Times New Roman" w:cs="Times New Roman"/>
          <w:b/>
          <w:szCs w:val="20"/>
          <w:vertAlign w:val="subscript"/>
          <w:lang w:val="en-IN"/>
        </w:rPr>
        <w:t>2</w:t>
      </w:r>
      <w:r w:rsidRPr="007769BB">
        <w:rPr>
          <w:rFonts w:ascii="Times New Roman" w:hAnsi="Times New Roman" w:cs="Times New Roman"/>
          <w:b/>
          <w:szCs w:val="20"/>
          <w:lang w:val="en-IN"/>
        </w:rPr>
        <w:t xml:space="preserve"> gas</w:t>
      </w:r>
      <w:r w:rsidRPr="007769BB">
        <w:rPr>
          <w:rFonts w:ascii="Times New Roman" w:hAnsi="Times New Roman" w:cs="Times New Roman"/>
          <w:b/>
          <w:szCs w:val="20"/>
        </w:rPr>
        <w:t xml:space="preserve"> through Conventional Method of Electrolysis Using Chemical and Salts like (NaOH, KOH &amp; NaHCO</w:t>
      </w:r>
      <w:r w:rsidRPr="007769BB">
        <w:rPr>
          <w:rFonts w:ascii="Times New Roman" w:hAnsi="Times New Roman" w:cs="Times New Roman"/>
          <w:b/>
          <w:szCs w:val="20"/>
          <w:vertAlign w:val="subscript"/>
        </w:rPr>
        <w:t>3</w:t>
      </w:r>
      <w:r w:rsidRPr="007769BB">
        <w:rPr>
          <w:rFonts w:ascii="Times New Roman" w:hAnsi="Times New Roman" w:cs="Times New Roman"/>
          <w:b/>
          <w:szCs w:val="20"/>
        </w:rPr>
        <w:t>)</w:t>
      </w:r>
    </w:p>
    <w:p w:rsidR="003F31B3" w:rsidRDefault="00A147DF" w:rsidP="003F31B3">
      <w:pPr>
        <w:spacing w:before="0" w:beforeAutospacing="0" w:after="0" w:afterAutospacing="0" w:line="240" w:lineRule="auto"/>
        <w:jc w:val="center"/>
        <w:rPr>
          <w:rFonts w:ascii="Times New Roman" w:hAnsi="Times New Roman" w:cs="Times New Roman"/>
          <w:b/>
          <w:sz w:val="20"/>
          <w:szCs w:val="20"/>
        </w:rPr>
      </w:pPr>
      <w:r w:rsidRPr="008C36F5">
        <w:rPr>
          <w:rFonts w:ascii="Times New Roman" w:hAnsi="Times New Roman" w:cs="Times New Roman"/>
          <w:b/>
          <w:noProof/>
          <w:sz w:val="20"/>
          <w:szCs w:val="20"/>
          <w:vertAlign w:val="superscript"/>
        </w:rPr>
        <w:drawing>
          <wp:inline distT="0" distB="0" distL="0" distR="0">
            <wp:extent cx="1982156" cy="2333625"/>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stretch>
                      <a:fillRect/>
                    </a:stretch>
                  </pic:blipFill>
                  <pic:spPr bwMode="auto">
                    <a:xfrm>
                      <a:off x="0" y="0"/>
                      <a:ext cx="1990716" cy="2343703"/>
                    </a:xfrm>
                    <a:prstGeom prst="rect">
                      <a:avLst/>
                    </a:prstGeom>
                    <a:noFill/>
                    <a:ln w="9525">
                      <a:noFill/>
                      <a:miter lim="800000"/>
                      <a:headEnd/>
                      <a:tailEnd/>
                    </a:ln>
                  </pic:spPr>
                </pic:pic>
              </a:graphicData>
            </a:graphic>
          </wp:inline>
        </w:drawing>
      </w:r>
    </w:p>
    <w:p w:rsidR="00164703" w:rsidRPr="009459C3" w:rsidRDefault="00164703" w:rsidP="009459C3">
      <w:pPr>
        <w:spacing w:before="0" w:beforeAutospacing="0" w:after="0" w:afterAutospacing="0" w:line="240" w:lineRule="auto"/>
        <w:jc w:val="center"/>
        <w:rPr>
          <w:rFonts w:ascii="Times New Roman" w:hAnsi="Times New Roman" w:cs="Times New Roman"/>
          <w:b/>
          <w:sz w:val="20"/>
          <w:szCs w:val="20"/>
        </w:rPr>
      </w:pPr>
      <w:r>
        <w:rPr>
          <w:rFonts w:ascii="Times New Roman" w:hAnsi="Times New Roman" w:cs="Times New Roman"/>
          <w:b/>
          <w:sz w:val="20"/>
          <w:szCs w:val="20"/>
        </w:rPr>
        <w:t>Fig: 1</w:t>
      </w:r>
      <w:r w:rsidR="009459C3">
        <w:rPr>
          <w:rFonts w:ascii="Times New Roman" w:hAnsi="Times New Roman" w:cs="Times New Roman"/>
          <w:b/>
          <w:sz w:val="20"/>
          <w:szCs w:val="20"/>
        </w:rPr>
        <w:t xml:space="preserve"> Electrolysis Cell</w:t>
      </w:r>
    </w:p>
    <w:p w:rsidR="00A147DF" w:rsidRPr="007769BB" w:rsidRDefault="00A147DF" w:rsidP="008C36F5">
      <w:pPr>
        <w:spacing w:line="240" w:lineRule="auto"/>
        <w:rPr>
          <w:rFonts w:ascii="Times New Roman" w:hAnsi="Times New Roman" w:cs="Times New Roman"/>
          <w:b/>
          <w:szCs w:val="20"/>
        </w:rPr>
      </w:pPr>
      <w:r w:rsidRPr="007769BB">
        <w:rPr>
          <w:rFonts w:ascii="Times New Roman" w:hAnsi="Times New Roman" w:cs="Times New Roman"/>
          <w:b/>
          <w:szCs w:val="20"/>
        </w:rPr>
        <w:t xml:space="preserve">Chemical Reaction: </w:t>
      </w:r>
    </w:p>
    <w:p w:rsidR="00A147DF" w:rsidRPr="008C36F5" w:rsidRDefault="00CF73CB" w:rsidP="00A03082">
      <w:pPr>
        <w:spacing w:before="0" w:beforeAutospacing="0" w:after="0" w:afterAutospacing="0" w:line="240" w:lineRule="auto"/>
        <w:rPr>
          <w:rFonts w:ascii="Times New Roman" w:hAnsi="Times New Roman" w:cs="Times New Roman"/>
          <w:sz w:val="20"/>
          <w:szCs w:val="20"/>
          <w:vertAlign w:val="superscript"/>
        </w:rPr>
      </w:pPr>
      <w:r>
        <w:rPr>
          <w:rFonts w:ascii="Times New Roman" w:hAnsi="Times New Roman" w:cs="Times New Roman"/>
          <w:b/>
          <w:noProof/>
          <w:color w:val="595959" w:themeColor="text1" w:themeTint="A6"/>
          <w:sz w:val="20"/>
          <w:szCs w:val="20"/>
        </w:rPr>
        <w:pict>
          <v:shapetype id="_x0000_t32" coordsize="21600,21600" o:spt="32" o:oned="t" path="m,l21600,21600e" filled="f">
            <v:path arrowok="t" fillok="f" o:connecttype="none"/>
            <o:lock v:ext="edit" shapetype="t"/>
          </v:shapetype>
          <v:shape id="_x0000_s1054" type="#_x0000_t32" style="position:absolute;left:0;text-align:left;margin-left:77.35pt;margin-top:4.1pt;width:19.6pt;height:0;z-index:251663360" o:connectortype="straight">
            <v:stroke endarrow="block"/>
          </v:shape>
        </w:pict>
      </w:r>
      <w:r w:rsidR="00A147DF" w:rsidRPr="008C36F5">
        <w:rPr>
          <w:rFonts w:ascii="Times New Roman" w:hAnsi="Times New Roman" w:cs="Times New Roman"/>
          <w:b/>
          <w:sz w:val="20"/>
          <w:szCs w:val="20"/>
        </w:rPr>
        <w:t>Anode (+):</w:t>
      </w:r>
      <w:r w:rsidR="00A147DF" w:rsidRPr="008C36F5">
        <w:rPr>
          <w:rFonts w:ascii="Times New Roman" w:hAnsi="Times New Roman" w:cs="Times New Roman"/>
          <w:sz w:val="20"/>
          <w:szCs w:val="20"/>
        </w:rPr>
        <w:t xml:space="preserve"> 2 OH</w:t>
      </w:r>
      <w:r w:rsidR="00A147DF" w:rsidRPr="008C36F5">
        <w:rPr>
          <w:rFonts w:ascii="Times New Roman" w:hAnsi="Times New Roman" w:cs="Times New Roman"/>
          <w:sz w:val="20"/>
          <w:szCs w:val="20"/>
          <w:vertAlign w:val="superscript"/>
        </w:rPr>
        <w:t>-</w:t>
      </w:r>
      <w:r w:rsidR="00A147DF" w:rsidRPr="008C36F5">
        <w:rPr>
          <w:rFonts w:ascii="Times New Roman" w:hAnsi="Times New Roman" w:cs="Times New Roman"/>
          <w:sz w:val="20"/>
          <w:szCs w:val="20"/>
        </w:rPr>
        <w:t xml:space="preserve">            H</w:t>
      </w:r>
      <w:r w:rsidR="00A147DF" w:rsidRPr="008C36F5">
        <w:rPr>
          <w:rFonts w:ascii="Times New Roman" w:hAnsi="Times New Roman" w:cs="Times New Roman"/>
          <w:sz w:val="20"/>
          <w:szCs w:val="20"/>
          <w:vertAlign w:val="subscript"/>
        </w:rPr>
        <w:t>2</w:t>
      </w:r>
      <w:r w:rsidR="00A147DF" w:rsidRPr="008C36F5">
        <w:rPr>
          <w:rFonts w:ascii="Times New Roman" w:hAnsi="Times New Roman" w:cs="Times New Roman"/>
          <w:sz w:val="20"/>
          <w:szCs w:val="20"/>
        </w:rPr>
        <w:t>O + ½ O</w:t>
      </w:r>
      <w:r w:rsidR="00A147DF" w:rsidRPr="008C36F5">
        <w:rPr>
          <w:rFonts w:ascii="Times New Roman" w:hAnsi="Times New Roman" w:cs="Times New Roman"/>
          <w:sz w:val="20"/>
          <w:szCs w:val="20"/>
          <w:vertAlign w:val="subscript"/>
        </w:rPr>
        <w:t xml:space="preserve">2 </w:t>
      </w:r>
      <w:r w:rsidR="00A147DF" w:rsidRPr="008C36F5">
        <w:rPr>
          <w:rFonts w:ascii="Times New Roman" w:hAnsi="Times New Roman" w:cs="Times New Roman"/>
          <w:sz w:val="20"/>
          <w:szCs w:val="20"/>
        </w:rPr>
        <w:t>(g) + 2 e</w:t>
      </w:r>
      <w:r w:rsidR="00A147DF" w:rsidRPr="008C36F5">
        <w:rPr>
          <w:rFonts w:ascii="Times New Roman" w:hAnsi="Times New Roman" w:cs="Times New Roman"/>
          <w:sz w:val="20"/>
          <w:szCs w:val="20"/>
          <w:vertAlign w:val="superscript"/>
        </w:rPr>
        <w:t>-</w:t>
      </w:r>
    </w:p>
    <w:p w:rsidR="00A147DF" w:rsidRPr="008C36F5" w:rsidRDefault="00CF73CB" w:rsidP="00A03082">
      <w:pPr>
        <w:spacing w:before="0" w:beforeAutospacing="0" w:after="0" w:afterAutospacing="0" w:line="240" w:lineRule="auto"/>
        <w:rPr>
          <w:rFonts w:ascii="Times New Roman" w:hAnsi="Times New Roman" w:cs="Times New Roman"/>
          <w:sz w:val="20"/>
          <w:szCs w:val="20"/>
          <w:vertAlign w:val="superscript"/>
        </w:rPr>
      </w:pPr>
      <w:r>
        <w:rPr>
          <w:rFonts w:ascii="Times New Roman" w:hAnsi="Times New Roman" w:cs="Times New Roman"/>
          <w:b/>
          <w:noProof/>
          <w:sz w:val="20"/>
          <w:szCs w:val="20"/>
        </w:rPr>
        <w:pict>
          <v:shape id="_x0000_s1055" type="#_x0000_t32" style="position:absolute;left:0;text-align:left;margin-left:105.05pt;margin-top:4.85pt;width:27.15pt;height:0;z-index:251664384" o:connectortype="straight">
            <v:stroke endarrow="block"/>
          </v:shape>
        </w:pict>
      </w:r>
      <w:r w:rsidR="00A147DF" w:rsidRPr="008C36F5">
        <w:rPr>
          <w:rFonts w:ascii="Times New Roman" w:hAnsi="Times New Roman" w:cs="Times New Roman"/>
          <w:b/>
          <w:sz w:val="20"/>
          <w:szCs w:val="20"/>
        </w:rPr>
        <w:t>Cathode (-):</w:t>
      </w:r>
      <w:r w:rsidR="00A147DF" w:rsidRPr="008C36F5">
        <w:rPr>
          <w:rFonts w:ascii="Times New Roman" w:hAnsi="Times New Roman" w:cs="Times New Roman"/>
          <w:sz w:val="20"/>
          <w:szCs w:val="20"/>
        </w:rPr>
        <w:t xml:space="preserve"> 2 H</w:t>
      </w:r>
      <w:r w:rsidR="00A147DF" w:rsidRPr="008C36F5">
        <w:rPr>
          <w:rFonts w:ascii="Times New Roman" w:hAnsi="Times New Roman" w:cs="Times New Roman"/>
          <w:sz w:val="20"/>
          <w:szCs w:val="20"/>
          <w:vertAlign w:val="subscript"/>
        </w:rPr>
        <w:t>2</w:t>
      </w:r>
      <w:r w:rsidR="00A147DF" w:rsidRPr="008C36F5">
        <w:rPr>
          <w:rFonts w:ascii="Times New Roman" w:hAnsi="Times New Roman" w:cs="Times New Roman"/>
          <w:sz w:val="20"/>
          <w:szCs w:val="20"/>
        </w:rPr>
        <w:t>O + 2 e</w:t>
      </w:r>
      <w:r w:rsidR="00A147DF" w:rsidRPr="008C36F5">
        <w:rPr>
          <w:rFonts w:ascii="Times New Roman" w:hAnsi="Times New Roman" w:cs="Times New Roman"/>
          <w:sz w:val="20"/>
          <w:szCs w:val="20"/>
          <w:vertAlign w:val="superscript"/>
        </w:rPr>
        <w:t>-</w:t>
      </w:r>
      <w:r w:rsidR="00A147DF" w:rsidRPr="008C36F5">
        <w:rPr>
          <w:rFonts w:ascii="Times New Roman" w:hAnsi="Times New Roman" w:cs="Times New Roman"/>
          <w:sz w:val="20"/>
          <w:szCs w:val="20"/>
        </w:rPr>
        <w:t xml:space="preserve"> </w:t>
      </w:r>
      <w:r w:rsidR="00A147DF" w:rsidRPr="008C36F5">
        <w:rPr>
          <w:rFonts w:ascii="Times New Roman" w:hAnsi="Times New Roman" w:cs="Times New Roman"/>
          <w:sz w:val="20"/>
          <w:szCs w:val="20"/>
        </w:rPr>
        <w:tab/>
        <w:t xml:space="preserve">  </w:t>
      </w:r>
      <w:r w:rsidR="007769BB">
        <w:rPr>
          <w:rFonts w:ascii="Times New Roman" w:hAnsi="Times New Roman" w:cs="Times New Roman"/>
          <w:sz w:val="20"/>
          <w:szCs w:val="20"/>
        </w:rPr>
        <w:t xml:space="preserve">      </w:t>
      </w:r>
      <w:r w:rsidR="00A147DF" w:rsidRPr="008C36F5">
        <w:rPr>
          <w:rFonts w:ascii="Times New Roman" w:hAnsi="Times New Roman" w:cs="Times New Roman"/>
          <w:sz w:val="20"/>
          <w:szCs w:val="20"/>
        </w:rPr>
        <w:t xml:space="preserve">  H</w:t>
      </w:r>
      <w:r w:rsidR="00A147DF" w:rsidRPr="008C36F5">
        <w:rPr>
          <w:rFonts w:ascii="Times New Roman" w:hAnsi="Times New Roman" w:cs="Times New Roman"/>
          <w:sz w:val="20"/>
          <w:szCs w:val="20"/>
          <w:vertAlign w:val="subscript"/>
        </w:rPr>
        <w:t xml:space="preserve">2 </w:t>
      </w:r>
      <w:r w:rsidR="00A147DF" w:rsidRPr="008C36F5">
        <w:rPr>
          <w:rFonts w:ascii="Times New Roman" w:hAnsi="Times New Roman" w:cs="Times New Roman"/>
          <w:sz w:val="20"/>
          <w:szCs w:val="20"/>
        </w:rPr>
        <w:t>(g) + 2 OH</w:t>
      </w:r>
      <w:r w:rsidR="00A147DF" w:rsidRPr="008C36F5">
        <w:rPr>
          <w:rFonts w:ascii="Times New Roman" w:hAnsi="Times New Roman" w:cs="Times New Roman"/>
          <w:sz w:val="20"/>
          <w:szCs w:val="20"/>
          <w:vertAlign w:val="superscript"/>
        </w:rPr>
        <w:t>-</w:t>
      </w:r>
    </w:p>
    <w:p w:rsidR="00A147DF" w:rsidRPr="008C36F5" w:rsidRDefault="00CF73CB" w:rsidP="00A03082">
      <w:pPr>
        <w:spacing w:before="0" w:beforeAutospacing="0" w:after="0" w:afterAutospacing="0" w:line="240" w:lineRule="auto"/>
        <w:rPr>
          <w:rFonts w:ascii="Times New Roman" w:hAnsi="Times New Roman" w:cs="Times New Roman"/>
          <w:sz w:val="20"/>
          <w:szCs w:val="20"/>
          <w:lang w:val="en-IN"/>
        </w:rPr>
      </w:pPr>
      <w:r>
        <w:rPr>
          <w:rFonts w:ascii="Times New Roman" w:hAnsi="Times New Roman" w:cs="Times New Roman"/>
          <w:b/>
          <w:noProof/>
          <w:sz w:val="20"/>
          <w:szCs w:val="20"/>
        </w:rPr>
        <w:pict>
          <v:shape id="_x0000_s1056" type="#_x0000_t32" style="position:absolute;left:0;text-align:left;margin-left:126.85pt;margin-top:4.05pt;width:29.15pt;height:0;z-index:251665408" o:connectortype="straight">
            <v:stroke endarrow="block"/>
          </v:shape>
        </w:pict>
      </w:r>
      <w:r w:rsidR="00A147DF" w:rsidRPr="008C36F5">
        <w:rPr>
          <w:rFonts w:ascii="Times New Roman" w:hAnsi="Times New Roman" w:cs="Times New Roman"/>
          <w:b/>
          <w:sz w:val="20"/>
          <w:szCs w:val="20"/>
        </w:rPr>
        <w:t>Overall Reaction:</w:t>
      </w:r>
      <w:r w:rsidR="00A147DF" w:rsidRPr="008C36F5">
        <w:rPr>
          <w:rFonts w:ascii="Times New Roman" w:hAnsi="Times New Roman" w:cs="Times New Roman"/>
          <w:sz w:val="20"/>
          <w:szCs w:val="20"/>
        </w:rPr>
        <w:t xml:space="preserve"> H</w:t>
      </w:r>
      <w:r w:rsidR="00A147DF" w:rsidRPr="008C36F5">
        <w:rPr>
          <w:rFonts w:ascii="Times New Roman" w:hAnsi="Times New Roman" w:cs="Times New Roman"/>
          <w:sz w:val="20"/>
          <w:szCs w:val="20"/>
          <w:vertAlign w:val="subscript"/>
        </w:rPr>
        <w:t>2</w:t>
      </w:r>
      <w:r w:rsidR="00A147DF" w:rsidRPr="008C36F5">
        <w:rPr>
          <w:rFonts w:ascii="Times New Roman" w:hAnsi="Times New Roman" w:cs="Times New Roman"/>
          <w:sz w:val="20"/>
          <w:szCs w:val="20"/>
        </w:rPr>
        <w:t xml:space="preserve">O (liq) </w:t>
      </w:r>
      <w:r w:rsidR="00A147DF" w:rsidRPr="008C36F5">
        <w:rPr>
          <w:rFonts w:ascii="Times New Roman" w:hAnsi="Times New Roman" w:cs="Times New Roman"/>
          <w:sz w:val="20"/>
          <w:szCs w:val="20"/>
        </w:rPr>
        <w:tab/>
        <w:t xml:space="preserve">        H</w:t>
      </w:r>
      <w:r w:rsidR="00A147DF" w:rsidRPr="008C36F5">
        <w:rPr>
          <w:rFonts w:ascii="Times New Roman" w:hAnsi="Times New Roman" w:cs="Times New Roman"/>
          <w:sz w:val="20"/>
          <w:szCs w:val="20"/>
          <w:vertAlign w:val="subscript"/>
        </w:rPr>
        <w:t xml:space="preserve">2 </w:t>
      </w:r>
      <w:r w:rsidR="00A147DF" w:rsidRPr="008C36F5">
        <w:rPr>
          <w:rFonts w:ascii="Times New Roman" w:hAnsi="Times New Roman" w:cs="Times New Roman"/>
          <w:sz w:val="20"/>
          <w:szCs w:val="20"/>
        </w:rPr>
        <w:t>(g) + ½ O</w:t>
      </w:r>
      <w:r w:rsidR="00A147DF" w:rsidRPr="008C36F5">
        <w:rPr>
          <w:rFonts w:ascii="Times New Roman" w:hAnsi="Times New Roman" w:cs="Times New Roman"/>
          <w:sz w:val="20"/>
          <w:szCs w:val="20"/>
          <w:vertAlign w:val="subscript"/>
        </w:rPr>
        <w:t xml:space="preserve">2 </w:t>
      </w:r>
      <w:r w:rsidR="00A147DF" w:rsidRPr="008C36F5">
        <w:rPr>
          <w:rFonts w:ascii="Times New Roman" w:hAnsi="Times New Roman" w:cs="Times New Roman"/>
          <w:sz w:val="20"/>
          <w:szCs w:val="20"/>
        </w:rPr>
        <w:t>(g)</w:t>
      </w:r>
      <w:r w:rsidR="00A147DF" w:rsidRPr="008C36F5">
        <w:rPr>
          <w:rFonts w:ascii="Times New Roman" w:hAnsi="Times New Roman" w:cs="Times New Roman"/>
          <w:sz w:val="20"/>
          <w:szCs w:val="20"/>
          <w:lang w:val="en-IN"/>
        </w:rPr>
        <w:t xml:space="preserve"> </w:t>
      </w:r>
    </w:p>
    <w:p w:rsidR="00A147DF" w:rsidRPr="008C36F5" w:rsidRDefault="00A147DF" w:rsidP="006D67F7">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lang w:val="en-IN"/>
        </w:rPr>
        <w:t xml:space="preserve">The objective of this work was to introduce a modern concept with fuel cells, SOEC and steam generator for heat recovery (HRSG). The usage of </w:t>
      </w:r>
      <w:r w:rsidRPr="008C36F5">
        <w:rPr>
          <w:rFonts w:ascii="Times New Roman" w:hAnsi="Times New Roman" w:cs="Times New Roman"/>
          <w:sz w:val="20"/>
          <w:szCs w:val="20"/>
        </w:rPr>
        <w:t>(HHO)/H</w:t>
      </w:r>
      <w:r w:rsidRPr="008C36F5">
        <w:rPr>
          <w:rFonts w:ascii="Times New Roman" w:hAnsi="Times New Roman" w:cs="Times New Roman"/>
          <w:sz w:val="20"/>
          <w:szCs w:val="20"/>
          <w:vertAlign w:val="subscript"/>
        </w:rPr>
        <w:t xml:space="preserve">2 </w:t>
      </w:r>
      <w:r w:rsidRPr="008C36F5">
        <w:rPr>
          <w:rFonts w:ascii="Times New Roman" w:hAnsi="Times New Roman" w:cs="Times New Roman"/>
          <w:sz w:val="20"/>
          <w:szCs w:val="20"/>
        </w:rPr>
        <w:t xml:space="preserve">gas </w:t>
      </w:r>
      <w:r w:rsidRPr="008C36F5">
        <w:rPr>
          <w:rFonts w:ascii="Times New Roman" w:hAnsi="Times New Roman" w:cs="Times New Roman"/>
          <w:sz w:val="20"/>
          <w:szCs w:val="20"/>
          <w:lang w:val="en-IN"/>
        </w:rPr>
        <w:t xml:space="preserve">generated by the SOEC in energy offering in housing areas as part of the initiative used in this report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{"citationItems":[{"id":"ITEM-1","itemData":{"DOI":"10.1016/j.enconman.2015.07.054","ISSN":"01968904","abstract":"Abstract Using solar chimney in desert areas like El Paso city in Texas, USA, with high intensity solar radiation is efficient and environmental friendly. However, one of the main challenges in terms of using solar chimneys is poor electricity generation at night. In this paper, a new power plant plan is proposed which simultaneously generates heat and electricity using a solar chimney with solid oxide fuel cells and solid oxide electrolysis cells. In one hand, the solar chimney generates electricity by sunlight and supplies a part of demand. Then, additional electricity is generated through the high temperature electrolysis which produces hydrogen that is stored in tanks and converted into electricity by solid oxide fuel cells. After designing and modeling the cycle components, the economic aspect of this power plant is considered numerically by means of genetic algorithm. The results indicate that, 0.28 kg/s hydrogen is produced at the peak of the radiation. With such a hydrogen production rate, this system supplies 79.26% and 37.04% of the demand in summer and winter respectively in a district of El Paso city.","author":[{"dropping-particle":"","family":"Joneydi Shariatzadeh","given":"O.","non-dropping-particle":"","parse-names":false,"suffix":""},{"dropping-particle":"","family":"Refahi","given":"A. H.","non-dropping-particle":"","parse-names":false,"suffix":""},{"dropping-particle":"","family":"Abolhassani","given":"S. S.","non-dropping-particle":"","parse-names":false,"suffix":""},{"dropping-particle":"","family":"Rahmani","given":"M.","non-dropping-particle":"","parse-names":false,"suffix":""}],"container-title":"Energy Conversion and Management","id":"ITEM-1","issued":{"date-parts":[["2015"]]},"page":"423-432","publisher":"Elsevier Ltd","title":"Modeling and optimization of a novel solar chimney cogeneration power plant combined with solid oxide electrolysis/fuel cell","type":"article-journal","volume":"105"},"uris":["http://www.mendeley.com/documents/?uuid=dd8a822f-2a69-4f83-a6b2-70474eee785e"]}],"mendeley":{"formattedCitation":"(Joneydi Shariatzadeh &lt;i&gt;et al.&lt;/i&gt;, 2015)","plainTextFormattedCitation":"(Joneydi Shariatzadeh et al., 2015)","previouslyFormattedCitation":"(Joneydi Shariatzadeh &lt;i&gt;et al.&lt;/i&gt;, 2015)"},"properties":{"noteIndex":0},"schema":"https://github.com/citation-style-language/schema/raw/master/csl-citation.json"}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(Joneydi Shariatzadeh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2015)</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Hydroxy</w:t>
      </w:r>
      <w:r w:rsidRPr="008C36F5">
        <w:rPr>
          <w:rFonts w:ascii="Times New Roman" w:hAnsi="Times New Roman" w:cs="Times New Roman"/>
          <w:sz w:val="20"/>
          <w:szCs w:val="20"/>
        </w:rPr>
        <w:t xml:space="preserve"> fuel </w:t>
      </w:r>
      <w:r w:rsidRPr="008C36F5">
        <w:rPr>
          <w:rFonts w:ascii="Times New Roman" w:hAnsi="Times New Roman" w:cs="Times New Roman"/>
          <w:sz w:val="20"/>
          <w:szCs w:val="20"/>
          <w:lang w:val="en-IN"/>
        </w:rPr>
        <w:t>generation</w:t>
      </w:r>
      <w:r w:rsidRPr="008C36F5">
        <w:rPr>
          <w:rFonts w:ascii="Times New Roman" w:hAnsi="Times New Roman" w:cs="Times New Roman"/>
          <w:sz w:val="20"/>
          <w:szCs w:val="20"/>
        </w:rPr>
        <w:t xml:space="preserve"> unit </w:t>
      </w:r>
      <w:r w:rsidRPr="008C36F5">
        <w:rPr>
          <w:rFonts w:ascii="Times New Roman" w:hAnsi="Times New Roman" w:cs="Times New Roman"/>
          <w:sz w:val="20"/>
          <w:szCs w:val="20"/>
          <w:lang w:val="en-IN"/>
        </w:rPr>
        <w:t>driven by the method of electrolysis was planned,</w:t>
      </w:r>
      <w:r w:rsidRPr="008C36F5">
        <w:rPr>
          <w:rFonts w:ascii="Times New Roman" w:hAnsi="Times New Roman" w:cs="Times New Roman"/>
          <w:sz w:val="20"/>
          <w:szCs w:val="20"/>
        </w:rPr>
        <w:t xml:space="preserve"> designed </w:t>
      </w:r>
      <w:r w:rsidRPr="008C36F5">
        <w:rPr>
          <w:rFonts w:ascii="Times New Roman" w:hAnsi="Times New Roman" w:cs="Times New Roman"/>
          <w:sz w:val="20"/>
          <w:szCs w:val="20"/>
          <w:lang w:val="en-IN"/>
        </w:rPr>
        <w:t>and accompanied by</w:t>
      </w:r>
      <w:r w:rsidRPr="008C36F5">
        <w:rPr>
          <w:rFonts w:ascii="Times New Roman" w:hAnsi="Times New Roman" w:cs="Times New Roman"/>
          <w:sz w:val="20"/>
          <w:szCs w:val="20"/>
        </w:rPr>
        <w:t xml:space="preserve"> the ability to </w:t>
      </w:r>
      <w:r w:rsidRPr="008C36F5">
        <w:rPr>
          <w:rFonts w:ascii="Times New Roman" w:hAnsi="Times New Roman" w:cs="Times New Roman"/>
          <w:sz w:val="20"/>
          <w:szCs w:val="20"/>
          <w:lang w:val="en-IN"/>
        </w:rPr>
        <w:t>shift negative &amp; positive electrode</w:t>
      </w:r>
      <w:r w:rsidRPr="008C36F5">
        <w:rPr>
          <w:rFonts w:ascii="Times New Roman" w:hAnsi="Times New Roman" w:cs="Times New Roman"/>
          <w:sz w:val="20"/>
          <w:szCs w:val="20"/>
        </w:rPr>
        <w:t xml:space="preserve"> plate's inter</w:t>
      </w:r>
      <w:r w:rsidRPr="008C36F5">
        <w:rPr>
          <w:rFonts w:ascii="Times New Roman" w:hAnsi="Times New Roman" w:cs="Times New Roman"/>
          <w:sz w:val="20"/>
          <w:szCs w:val="20"/>
          <w:lang w:val="en-IN"/>
        </w:rPr>
        <w:t>spacing &amp; implemented</w:t>
      </w:r>
      <w:r w:rsidRPr="008C36F5">
        <w:rPr>
          <w:rFonts w:ascii="Times New Roman" w:hAnsi="Times New Roman" w:cs="Times New Roman"/>
          <w:sz w:val="20"/>
          <w:szCs w:val="20"/>
        </w:rPr>
        <w:t xml:space="preserve"> to G </w:t>
      </w:r>
      <w:r w:rsidRPr="008C36F5">
        <w:rPr>
          <w:rFonts w:ascii="Times New Roman" w:hAnsi="Times New Roman" w:cs="Times New Roman"/>
          <w:sz w:val="20"/>
          <w:szCs w:val="20"/>
          <w:lang w:val="en-IN"/>
        </w:rPr>
        <w:t>two hundred HONDA</w:t>
      </w:r>
      <w:r w:rsidRPr="008C36F5">
        <w:rPr>
          <w:rFonts w:ascii="Times New Roman" w:hAnsi="Times New Roman" w:cs="Times New Roman"/>
          <w:sz w:val="20"/>
          <w:szCs w:val="20"/>
        </w:rPr>
        <w:t xml:space="preserve"> (197 c</w:t>
      </w:r>
      <w:r w:rsidRPr="008C36F5">
        <w:rPr>
          <w:rFonts w:ascii="Times New Roman" w:hAnsi="Times New Roman" w:cs="Times New Roman"/>
          <w:sz w:val="20"/>
          <w:szCs w:val="20"/>
          <w:lang w:val="en-IN"/>
        </w:rPr>
        <w:t>c capacity engine of the solo cylinder</w:t>
      </w:r>
      <w:r w:rsidRPr="008C36F5">
        <w:rPr>
          <w:rFonts w:ascii="Times New Roman" w:hAnsi="Times New Roman" w:cs="Times New Roman"/>
          <w:sz w:val="20"/>
          <w:szCs w:val="20"/>
        </w:rPr>
        <w:t xml:space="preserve">). The </w:t>
      </w:r>
      <w:r w:rsidRPr="008C36F5">
        <w:rPr>
          <w:rFonts w:ascii="Times New Roman" w:hAnsi="Times New Roman" w:cs="Times New Roman"/>
          <w:sz w:val="20"/>
          <w:szCs w:val="20"/>
          <w:lang w:val="en-IN"/>
        </w:rPr>
        <w:t>inter-distance was varied to three</w:t>
      </w:r>
      <w:r w:rsidRPr="008C36F5">
        <w:rPr>
          <w:rFonts w:ascii="Times New Roman" w:hAnsi="Times New Roman" w:cs="Times New Roman"/>
          <w:sz w:val="20"/>
          <w:szCs w:val="20"/>
        </w:rPr>
        <w:t xml:space="preserve">, </w:t>
      </w:r>
      <w:r w:rsidRPr="008C36F5">
        <w:rPr>
          <w:rFonts w:ascii="Times New Roman" w:hAnsi="Times New Roman" w:cs="Times New Roman"/>
          <w:sz w:val="20"/>
          <w:szCs w:val="20"/>
          <w:lang w:val="en-IN"/>
        </w:rPr>
        <w:t>five</w:t>
      </w:r>
      <w:r w:rsidRPr="008C36F5">
        <w:rPr>
          <w:rFonts w:ascii="Times New Roman" w:hAnsi="Times New Roman" w:cs="Times New Roman"/>
          <w:sz w:val="20"/>
          <w:szCs w:val="20"/>
        </w:rPr>
        <w:t xml:space="preserve">, </w:t>
      </w:r>
      <w:r w:rsidRPr="008C36F5">
        <w:rPr>
          <w:rFonts w:ascii="Times New Roman" w:hAnsi="Times New Roman" w:cs="Times New Roman"/>
          <w:sz w:val="20"/>
          <w:szCs w:val="20"/>
          <w:lang w:val="en-IN"/>
        </w:rPr>
        <w:t xml:space="preserve">seven </w:t>
      </w:r>
      <w:r w:rsidRPr="008C36F5">
        <w:rPr>
          <w:rFonts w:ascii="Times New Roman" w:hAnsi="Times New Roman" w:cs="Times New Roman"/>
          <w:sz w:val="20"/>
          <w:szCs w:val="20"/>
        </w:rPr>
        <w:t xml:space="preserve">and </w:t>
      </w:r>
      <w:r w:rsidRPr="008C36F5">
        <w:rPr>
          <w:rFonts w:ascii="Times New Roman" w:hAnsi="Times New Roman" w:cs="Times New Roman"/>
          <w:sz w:val="20"/>
          <w:szCs w:val="20"/>
          <w:lang w:val="en-IN"/>
        </w:rPr>
        <w:t>ten</w:t>
      </w:r>
      <w:r w:rsidRPr="008C36F5">
        <w:rPr>
          <w:rFonts w:ascii="Times New Roman" w:hAnsi="Times New Roman" w:cs="Times New Roman"/>
          <w:sz w:val="20"/>
          <w:szCs w:val="20"/>
        </w:rPr>
        <w:t xml:space="preserve"> mm</w:t>
      </w:r>
      <w:r w:rsidRPr="008C36F5">
        <w:rPr>
          <w:rFonts w:ascii="Times New Roman" w:hAnsi="Times New Roman" w:cs="Times New Roman"/>
          <w:sz w:val="20"/>
          <w:szCs w:val="20"/>
          <w:lang w:val="en-IN"/>
        </w:rPr>
        <w:t xml:space="preserve"> between the plates</w:t>
      </w:r>
      <w:r w:rsidRPr="008C36F5">
        <w:rPr>
          <w:rFonts w:ascii="Times New Roman" w:hAnsi="Times New Roman" w:cs="Times New Roman"/>
          <w:sz w:val="20"/>
          <w:szCs w:val="20"/>
        </w:rPr>
        <w:t xml:space="preserve">. Tests </w:t>
      </w:r>
      <w:r w:rsidRPr="008C36F5">
        <w:rPr>
          <w:rFonts w:ascii="Times New Roman" w:hAnsi="Times New Roman" w:cs="Times New Roman"/>
          <w:sz w:val="20"/>
          <w:szCs w:val="20"/>
          <w:lang w:val="en-IN"/>
        </w:rPr>
        <w:t>disclose</w:t>
      </w:r>
      <w:r w:rsidRPr="008C36F5">
        <w:rPr>
          <w:rFonts w:ascii="Times New Roman" w:hAnsi="Times New Roman" w:cs="Times New Roman"/>
          <w:sz w:val="20"/>
          <w:szCs w:val="20"/>
        </w:rPr>
        <w:t xml:space="preserve"> that</w:t>
      </w:r>
      <w:r w:rsidRPr="008C36F5">
        <w:rPr>
          <w:rFonts w:ascii="Times New Roman" w:hAnsi="Times New Roman" w:cs="Times New Roman"/>
          <w:sz w:val="20"/>
          <w:szCs w:val="20"/>
          <w:lang w:val="en-IN"/>
        </w:rPr>
        <w:t xml:space="preserve"> blending hydroxy</w:t>
      </w:r>
      <w:r w:rsidRPr="008C36F5">
        <w:rPr>
          <w:rFonts w:ascii="Times New Roman" w:hAnsi="Times New Roman" w:cs="Times New Roman"/>
          <w:sz w:val="20"/>
          <w:szCs w:val="20"/>
        </w:rPr>
        <w:t xml:space="preserve">, air, and </w:t>
      </w:r>
      <w:r w:rsidRPr="008C36F5">
        <w:rPr>
          <w:rFonts w:ascii="Times New Roman" w:hAnsi="Times New Roman" w:cs="Times New Roman"/>
          <w:sz w:val="20"/>
          <w:szCs w:val="20"/>
          <w:lang w:val="en-IN"/>
        </w:rPr>
        <w:t>petrol improved</w:t>
      </w:r>
      <w:r w:rsidRPr="008C36F5">
        <w:rPr>
          <w:rFonts w:ascii="Times New Roman" w:hAnsi="Times New Roman" w:cs="Times New Roman"/>
          <w:sz w:val="20"/>
          <w:szCs w:val="20"/>
        </w:rPr>
        <w:t xml:space="preserve"> engine performance and </w:t>
      </w:r>
      <w:r w:rsidRPr="008C36F5">
        <w:rPr>
          <w:rFonts w:ascii="Times New Roman" w:hAnsi="Times New Roman" w:cs="Times New Roman"/>
          <w:sz w:val="20"/>
          <w:szCs w:val="20"/>
          <w:lang w:val="en-IN"/>
        </w:rPr>
        <w:t>exhaust discharge</w:t>
      </w:r>
      <w:r w:rsidRPr="008C36F5">
        <w:rPr>
          <w:rFonts w:ascii="Times New Roman" w:hAnsi="Times New Roman" w:cs="Times New Roman"/>
          <w:sz w:val="20"/>
          <w:szCs w:val="20"/>
        </w:rPr>
        <w:t xml:space="preserve">. The </w:t>
      </w:r>
      <w:r w:rsidRPr="008C36F5">
        <w:rPr>
          <w:rFonts w:ascii="Times New Roman" w:hAnsi="Times New Roman" w:cs="Times New Roman"/>
          <w:sz w:val="20"/>
          <w:szCs w:val="20"/>
          <w:lang w:val="en-IN"/>
        </w:rPr>
        <w:t>findings indicated that the change of combustion properties was greatly influenced by the inter-distance among the cell plates</w:t>
      </w:r>
      <w:r w:rsidRPr="008C36F5">
        <w:rPr>
          <w:rFonts w:ascii="Times New Roman" w:hAnsi="Times New Roman" w:cs="Times New Roman"/>
          <w:sz w:val="20"/>
          <w:szCs w:val="20"/>
        </w:rPr>
        <w:t>. The</w:t>
      </w:r>
      <w:r w:rsidRPr="008C36F5">
        <w:rPr>
          <w:rFonts w:ascii="Times New Roman" w:hAnsi="Times New Roman" w:cs="Times New Roman"/>
          <w:sz w:val="20"/>
          <w:szCs w:val="20"/>
          <w:lang w:val="en-IN"/>
        </w:rPr>
        <w:t xml:space="preserve"> peak generated</w:t>
      </w:r>
      <w:r w:rsidRPr="008C36F5">
        <w:rPr>
          <w:rFonts w:ascii="Times New Roman" w:hAnsi="Times New Roman" w:cs="Times New Roman"/>
          <w:sz w:val="20"/>
          <w:szCs w:val="20"/>
        </w:rPr>
        <w:t xml:space="preserve"> power </w:t>
      </w:r>
      <w:r w:rsidRPr="008C36F5">
        <w:rPr>
          <w:rFonts w:ascii="Times New Roman" w:hAnsi="Times New Roman" w:cs="Times New Roman"/>
          <w:sz w:val="20"/>
          <w:szCs w:val="20"/>
          <w:lang w:val="en-IN"/>
        </w:rPr>
        <w:t>&amp;</w:t>
      </w:r>
      <w:r w:rsidRPr="008C36F5">
        <w:rPr>
          <w:rFonts w:ascii="Times New Roman" w:hAnsi="Times New Roman" w:cs="Times New Roman"/>
          <w:sz w:val="20"/>
          <w:szCs w:val="20"/>
        </w:rPr>
        <w:t xml:space="preserve"> minimum </w:t>
      </w:r>
      <w:r w:rsidRPr="008C36F5">
        <w:rPr>
          <w:rFonts w:ascii="Times New Roman" w:hAnsi="Times New Roman" w:cs="Times New Roman"/>
          <w:sz w:val="20"/>
          <w:szCs w:val="20"/>
          <w:lang w:val="en-IN"/>
        </w:rPr>
        <w:t>usage of fuel</w:t>
      </w:r>
      <w:r w:rsidRPr="008C36F5">
        <w:rPr>
          <w:rFonts w:ascii="Times New Roman" w:hAnsi="Times New Roman" w:cs="Times New Roman"/>
          <w:sz w:val="20"/>
          <w:szCs w:val="20"/>
        </w:rPr>
        <w:t xml:space="preserve"> were </w:t>
      </w:r>
      <w:r w:rsidRPr="008C36F5">
        <w:rPr>
          <w:rFonts w:ascii="Times New Roman" w:hAnsi="Times New Roman" w:cs="Times New Roman"/>
          <w:sz w:val="20"/>
          <w:szCs w:val="20"/>
          <w:lang w:val="en-IN"/>
        </w:rPr>
        <w:t>linked</w:t>
      </w:r>
      <w:r w:rsidRPr="008C36F5">
        <w:rPr>
          <w:rFonts w:ascii="Times New Roman" w:hAnsi="Times New Roman" w:cs="Times New Roman"/>
          <w:sz w:val="20"/>
          <w:szCs w:val="20"/>
        </w:rPr>
        <w:t xml:space="preserve"> with 10 mm </w:t>
      </w:r>
      <w:r w:rsidRPr="008C36F5">
        <w:rPr>
          <w:rFonts w:ascii="Times New Roman" w:hAnsi="Times New Roman" w:cs="Times New Roman"/>
          <w:sz w:val="20"/>
          <w:szCs w:val="20"/>
          <w:lang w:val="en-IN"/>
        </w:rPr>
        <w:t>positive electrode</w:t>
      </w:r>
      <w:r w:rsidRPr="008C36F5">
        <w:rPr>
          <w:rFonts w:ascii="Times New Roman" w:hAnsi="Times New Roman" w:cs="Times New Roman"/>
          <w:sz w:val="20"/>
          <w:szCs w:val="20"/>
        </w:rPr>
        <w:t>-</w:t>
      </w:r>
      <w:r w:rsidRPr="008C36F5">
        <w:rPr>
          <w:rFonts w:ascii="Times New Roman" w:hAnsi="Times New Roman" w:cs="Times New Roman"/>
          <w:sz w:val="20"/>
          <w:szCs w:val="20"/>
          <w:lang w:val="en-IN"/>
        </w:rPr>
        <w:t>negative electrode</w:t>
      </w:r>
      <w:r w:rsidRPr="008C36F5">
        <w:rPr>
          <w:rFonts w:ascii="Times New Roman" w:hAnsi="Times New Roman" w:cs="Times New Roman"/>
          <w:sz w:val="20"/>
          <w:szCs w:val="20"/>
        </w:rPr>
        <w:t xml:space="preserve"> plates </w:t>
      </w:r>
      <w:r w:rsidRPr="008C36F5">
        <w:rPr>
          <w:rFonts w:ascii="Times New Roman" w:hAnsi="Times New Roman" w:cs="Times New Roman"/>
          <w:sz w:val="20"/>
          <w:szCs w:val="20"/>
          <w:lang w:val="en-IN"/>
        </w:rPr>
        <w:t xml:space="preserve">gap case </w:t>
      </w:r>
      <w:r w:rsidRPr="008C36F5">
        <w:rPr>
          <w:rFonts w:ascii="Times New Roman" w:hAnsi="Times New Roman" w:cs="Times New Roman"/>
          <w:sz w:val="20"/>
          <w:szCs w:val="20"/>
        </w:rPr>
        <w:t xml:space="preserve">where </w:t>
      </w:r>
      <w:r w:rsidRPr="008C36F5">
        <w:rPr>
          <w:rFonts w:ascii="Times New Roman" w:hAnsi="Times New Roman" w:cs="Times New Roman"/>
          <w:sz w:val="20"/>
          <w:szCs w:val="20"/>
          <w:lang w:val="en-IN"/>
        </w:rPr>
        <w:t>HC’s</w:t>
      </w:r>
      <w:r w:rsidRPr="008C36F5">
        <w:rPr>
          <w:rFonts w:ascii="Times New Roman" w:hAnsi="Times New Roman" w:cs="Times New Roman"/>
          <w:sz w:val="20"/>
          <w:szCs w:val="20"/>
        </w:rPr>
        <w:t xml:space="preserve"> and </w:t>
      </w:r>
      <w:r w:rsidRPr="008C36F5">
        <w:rPr>
          <w:rFonts w:ascii="Times New Roman" w:hAnsi="Times New Roman" w:cs="Times New Roman"/>
          <w:sz w:val="20"/>
          <w:szCs w:val="20"/>
          <w:lang w:val="en-IN"/>
        </w:rPr>
        <w:t>CO discharge had</w:t>
      </w:r>
      <w:r w:rsidRPr="008C36F5">
        <w:rPr>
          <w:rFonts w:ascii="Times New Roman" w:hAnsi="Times New Roman" w:cs="Times New Roman"/>
          <w:sz w:val="20"/>
          <w:szCs w:val="20"/>
        </w:rPr>
        <w:t xml:space="preserve"> been </w:t>
      </w:r>
      <w:r w:rsidRPr="008C36F5">
        <w:rPr>
          <w:rFonts w:ascii="Times New Roman" w:hAnsi="Times New Roman" w:cs="Times New Roman"/>
          <w:sz w:val="20"/>
          <w:szCs w:val="20"/>
          <w:lang w:val="en-IN"/>
        </w:rPr>
        <w:t>decreased</w:t>
      </w:r>
      <w:r w:rsidRPr="008C36F5">
        <w:rPr>
          <w:rFonts w:ascii="Times New Roman" w:hAnsi="Times New Roman" w:cs="Times New Roman"/>
          <w:sz w:val="20"/>
          <w:szCs w:val="20"/>
        </w:rPr>
        <w:t xml:space="preserve"> to </w:t>
      </w:r>
      <w:r w:rsidRPr="008C36F5">
        <w:rPr>
          <w:rFonts w:ascii="Times New Roman" w:hAnsi="Times New Roman" w:cs="Times New Roman"/>
          <w:sz w:val="20"/>
          <w:szCs w:val="20"/>
          <w:lang w:val="en-IN"/>
        </w:rPr>
        <w:t>around</w:t>
      </w:r>
      <w:r w:rsidRPr="008C36F5">
        <w:rPr>
          <w:rFonts w:ascii="Times New Roman" w:hAnsi="Times New Roman" w:cs="Times New Roman"/>
          <w:sz w:val="20"/>
          <w:szCs w:val="20"/>
        </w:rPr>
        <w:t xml:space="preserve"> 40 </w:t>
      </w:r>
      <w:r w:rsidRPr="008C36F5">
        <w:rPr>
          <w:rFonts w:ascii="Times New Roman" w:hAnsi="Times New Roman" w:cs="Times New Roman"/>
          <w:sz w:val="20"/>
          <w:szCs w:val="20"/>
          <w:lang w:val="en-IN"/>
        </w:rPr>
        <w:t>percent</w:t>
      </w:r>
      <w:r w:rsidRPr="008C36F5">
        <w:rPr>
          <w:rFonts w:ascii="Times New Roman" w:hAnsi="Times New Roman" w:cs="Times New Roman"/>
          <w:sz w:val="20"/>
          <w:szCs w:val="20"/>
        </w:rPr>
        <w:t xml:space="preserve"> at </w:t>
      </w:r>
      <w:r w:rsidRPr="008C36F5">
        <w:rPr>
          <w:rFonts w:ascii="Times New Roman" w:hAnsi="Times New Roman" w:cs="Times New Roman"/>
          <w:sz w:val="20"/>
          <w:szCs w:val="20"/>
          <w:lang w:val="en-IN"/>
        </w:rPr>
        <w:t>various processing</w:t>
      </w:r>
      <w:r w:rsidRPr="008C36F5">
        <w:rPr>
          <w:rFonts w:ascii="Times New Roman" w:hAnsi="Times New Roman" w:cs="Times New Roman"/>
          <w:sz w:val="20"/>
          <w:szCs w:val="20"/>
        </w:rPr>
        <w:t xml:space="preserve"> speeds whereas, </w:t>
      </w:r>
      <w:r w:rsidRPr="008C36F5">
        <w:rPr>
          <w:rFonts w:ascii="Times New Roman" w:hAnsi="Times New Roman" w:cs="Times New Roman"/>
          <w:sz w:val="20"/>
          <w:szCs w:val="20"/>
          <w:lang w:val="en-IN"/>
        </w:rPr>
        <w:t>five</w:t>
      </w:r>
      <w:r w:rsidRPr="008C36F5">
        <w:rPr>
          <w:rFonts w:ascii="Times New Roman" w:hAnsi="Times New Roman" w:cs="Times New Roman"/>
          <w:sz w:val="20"/>
          <w:szCs w:val="20"/>
        </w:rPr>
        <w:t xml:space="preserve"> mm </w:t>
      </w:r>
      <w:r w:rsidRPr="008C36F5">
        <w:rPr>
          <w:rFonts w:ascii="Times New Roman" w:hAnsi="Times New Roman" w:cs="Times New Roman"/>
          <w:sz w:val="20"/>
          <w:szCs w:val="20"/>
          <w:lang w:val="en-IN"/>
        </w:rPr>
        <w:t>inter-distance</w:t>
      </w:r>
      <w:r w:rsidRPr="008C36F5">
        <w:rPr>
          <w:rFonts w:ascii="Times New Roman" w:hAnsi="Times New Roman" w:cs="Times New Roman"/>
          <w:sz w:val="20"/>
          <w:szCs w:val="20"/>
        </w:rPr>
        <w:t xml:space="preserve"> case ha</w:t>
      </w:r>
      <w:r w:rsidRPr="008C36F5">
        <w:rPr>
          <w:rFonts w:ascii="Times New Roman" w:hAnsi="Times New Roman" w:cs="Times New Roman"/>
          <w:sz w:val="20"/>
          <w:szCs w:val="20"/>
          <w:lang w:val="en-IN"/>
        </w:rPr>
        <w:t>d</w:t>
      </w:r>
      <w:r w:rsidRPr="008C36F5">
        <w:rPr>
          <w:rFonts w:ascii="Times New Roman" w:hAnsi="Times New Roman" w:cs="Times New Roman"/>
          <w:sz w:val="20"/>
          <w:szCs w:val="20"/>
        </w:rPr>
        <w:t xml:space="preserve"> the </w:t>
      </w:r>
      <w:r w:rsidRPr="008C36F5">
        <w:rPr>
          <w:rFonts w:ascii="Times New Roman" w:hAnsi="Times New Roman" w:cs="Times New Roman"/>
          <w:sz w:val="20"/>
          <w:szCs w:val="20"/>
          <w:lang w:val="en-IN"/>
        </w:rPr>
        <w:t>biggest effect</w:t>
      </w:r>
      <w:r w:rsidRPr="008C36F5">
        <w:rPr>
          <w:rFonts w:ascii="Times New Roman" w:hAnsi="Times New Roman" w:cs="Times New Roman"/>
          <w:sz w:val="20"/>
          <w:szCs w:val="20"/>
        </w:rPr>
        <w:t xml:space="preserve"> on emission </w:t>
      </w:r>
      <w:r w:rsidRPr="008C36F5">
        <w:rPr>
          <w:rFonts w:ascii="Times New Roman" w:hAnsi="Times New Roman" w:cs="Times New Roman"/>
          <w:sz w:val="20"/>
          <w:szCs w:val="20"/>
          <w:lang w:val="en-IN"/>
        </w:rPr>
        <w:t>elimination</w:t>
      </w:r>
      <w:r w:rsidR="00FE4443" w:rsidRPr="008C36F5">
        <w:rPr>
          <w:rFonts w:ascii="Times New Roman" w:hAnsi="Times New Roman" w:cs="Times New Roman"/>
          <w:sz w:val="20"/>
          <w:szCs w:val="20"/>
          <w:lang w:val="en-IN"/>
        </w:rPr>
        <w:t xml:space="preserv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{"citationItems":[{"id":"ITEM-1","itemData":{"DOI":"10.1016/j.ijhydene.2018.08.118","ISSN":"03603199","abstract":"Control emission pollution associated with oil combustion is a major concern of researchers worldwide. A blend of HHO has been introduced to the combustion elements to reduce emission and drive the combustion reaction toward stoichiometric condition. HHO fuel production unit based on an electrolysis process has been designed and built with an ability to alter Anode-Cathode plate's inter-distances and integrated to Honda G 200 (197 cc single cylinder engine). The gap between the plates was adjusted to 3, 5, 7 and 10 mm. Tests reveal that mixing HHO, air, and gasoline cause an enhancement in engine performance and emissions. The emission tests have been done with varying the engine speed and preserve the electrolyte concentration and temperature. The results show that enhancement in combustion characteristics is strongly affected by the gap between cell plates. The maximum produced power and minimum fuel consumption were associated with the case of 10 mm cathode-anode plates distance where hydrocarbons (HCs) and carbon monoxide emissions have been reduced to about 40% at different operating speeds. Whereas, 5 mm gap case has the highest impact on emission reduction.","author":[{"dropping-particle":"","family":"Al-Rousan","given":"Ammar A.","non-dropping-particle":"","parse-names":false,"suffix":""},{"dropping-particle":"","family":"Musmar","given":"Sa'ed A.","non-dropping-particle":"","parse-names":false,"suffix":""}],"container-title":"International Journal of Hydrogen Energy","id":"ITEM-1","issue":"41","issued":{"date-parts":[["2018"]]},"page":"19213-19221","publisher":"Elsevier Ltd","title":"Effect of anodes-cathodes inter-distances of HHO fuel cell on gasoline engine performance operating by a blend of HHO","type":"article-journal","volume":"43"},"uris":["http://www.mendeley.com/documents/?uuid=27382231-646e-4582-bcde-c4ae1ba7917b"]}],"mendeley":{"formattedCitation":"(Al-Rousan and Musmar, 2018)","plainTextFormattedCitation":"(Al-Rousan and Musmar, 2018)","previouslyFormattedCitation":"(Al-Rousan and Musmar,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(Al-Rousan and Musmar,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w:t>
      </w:r>
    </w:p>
    <w:p w:rsidR="006D67F7" w:rsidRDefault="00A147DF" w:rsidP="006D67F7">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lang w:val="en-IN"/>
        </w:rPr>
        <w:t>The influences of hydroxy richness on engine efficie</w:t>
      </w:r>
      <w:r w:rsidR="00B300F7" w:rsidRPr="008C36F5">
        <w:rPr>
          <w:rFonts w:ascii="Times New Roman" w:hAnsi="Times New Roman" w:cs="Times New Roman"/>
          <w:sz w:val="20"/>
          <w:szCs w:val="20"/>
          <w:lang w:val="en-IN"/>
        </w:rPr>
        <w:t>ncy and exhaust discharge in C.</w:t>
      </w:r>
      <w:r w:rsidRPr="008C36F5">
        <w:rPr>
          <w:rFonts w:ascii="Times New Roman" w:hAnsi="Times New Roman" w:cs="Times New Roman"/>
          <w:sz w:val="20"/>
          <w:szCs w:val="20"/>
          <w:lang w:val="en-IN"/>
        </w:rPr>
        <w:t>I</w:t>
      </w:r>
      <w:r w:rsidR="00B300F7" w:rsidRPr="008C36F5">
        <w:rPr>
          <w:rFonts w:ascii="Times New Roman" w:hAnsi="Times New Roman" w:cs="Times New Roman"/>
          <w:sz w:val="20"/>
          <w:szCs w:val="20"/>
          <w:lang w:val="en-IN"/>
        </w:rPr>
        <w:t>.</w:t>
      </w:r>
      <w:r w:rsidRPr="008C36F5">
        <w:rPr>
          <w:rFonts w:ascii="Times New Roman" w:hAnsi="Times New Roman" w:cs="Times New Roman"/>
          <w:sz w:val="20"/>
          <w:szCs w:val="20"/>
          <w:lang w:val="en-IN"/>
        </w:rPr>
        <w:t xml:space="preserve"> and S.I engines had been investigated in depth. Experiments had shown that NaOH-type platforms generate more Hydroxy gases with a </w:t>
      </w:r>
      <w:r w:rsidRPr="008C36F5">
        <w:rPr>
          <w:rFonts w:ascii="Times New Roman" w:hAnsi="Times New Roman" w:cs="Times New Roman"/>
          <w:sz w:val="20"/>
          <w:szCs w:val="20"/>
          <w:lang w:val="en-IN"/>
        </w:rPr>
        <w:lastRenderedPageBreak/>
        <w:t>similar quantity of catalyst and fuel. Every experime</w:t>
      </w:r>
      <w:r w:rsidR="00ED289A" w:rsidRPr="008C36F5">
        <w:rPr>
          <w:rFonts w:ascii="Times New Roman" w:hAnsi="Times New Roman" w:cs="Times New Roman"/>
          <w:sz w:val="20"/>
          <w:szCs w:val="20"/>
          <w:lang w:val="en-IN"/>
        </w:rPr>
        <w:t>ntal finding from petrol and C.</w:t>
      </w:r>
      <w:r w:rsidRPr="008C36F5">
        <w:rPr>
          <w:rFonts w:ascii="Times New Roman" w:hAnsi="Times New Roman" w:cs="Times New Roman"/>
          <w:sz w:val="20"/>
          <w:szCs w:val="20"/>
          <w:lang w:val="en-IN"/>
        </w:rPr>
        <w:t xml:space="preserve">I engines showed that efficiency &amp; exhaust discharge values had enhanced with brown gas supplementation to the non-renewable energy source apart from NOx discharge. The highest possible changes petrol and C.I engine efficiency and exhaust discharge were represented graphically &amp; numerically in conclusions and findings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{"citationItems":[{"id":"ITEM-1","itemData":{"DOI":"10.1016/j.ijhydene.2018.04.026","ISSN":"03603199","abstract":"Energy security is an important consideration for development of future transport fuels. Among the all gaseous fuels hydrogen or hydroxy (HHO) gas is considered to be one of the clean alternative fuels. Hydrogen is very flammable gas and storing and transporting of hydrogen gas safely is very difficult. Today, vehicles using pure hydrogen as fuel require stations with compressed or liquefied hydrogen stocks at high pressures from hydrogen production centres established with large investments. Different electrode design and different electrolytes have been tested to find the best electrode design and electrolyte for higher amount of HHO production using same electric energy. HHO is used as an additional fuel without storage tanks in the four strokes, 4-cylinder compression ignition engine and two-stroke, one-cylinder spark ignition engine without any structural changes. Later, previously developed commercially available dry cell HHO reactor used as a fuel additive to neat diesel fuel and biodiesel fuel mixtures. HHO gas is used to hydrogenate the compressed natural gas (CNG) and different amounts of HHO-CNG fuel mixtures are used in a pilot injection CI engine. Pure diesel fuel and diesel fuel + biodiesel mixtures with different volumetric flow rates are also used as pilot injection fuel in the test engine. The effects of HHO enrichment on engine performance and emissions in compression-ignition and spark-ignition engines have been examined in detail. It is found from the experiments that plate type reactor with NaOH produced more HHO gas with the same amount of catalyst and electric energy. All experimental results from Gasoline and Diesel Engines show that performance and exhaust emission values have improved with hydroxy gas addition to the fossil fuels except NOx exhaust emissions. The maximum average improvements in terms of performance and emissions of the gasoline and the diesel engine are both graphically and numerically expressed in results and discussions. The maximum average improvements obtained for brake power, brake torque and BSFC values of the gasoline engine were 27%, 32.4% and 16.3%, respectively. Furthermore, maximum improvements in performance data obtained with the use of HHO enriched biodiesel fuel mixture in diesel engine were 8.31% for brake power, 7.1% for brake torque and 10% for BSFC.","author":[{"dropping-particle":"","family":"Aydin","given":"Kadir","non-dropping-particle":"","parse-names":false,"suffix":""},{"dropping-particle":"","family":"Kenanoğlu","given":"Raif","non-dropping-particle":"","parse-names":false,"suffix":""}],"container-title":"International Journal of Hydrogen Energy","id":"ITEM-1","issue":"30","issued":{"date-parts":[["2018"]]},"page":"14047-14058","title":"Effects of hydrogenation of fossil fuels with hydrogen and hydroxy gas on performance and emissions of internal combustion engines","type":"article-journal","volume":"43"},"uris":["http://www.mendeley.com/documents/?uuid=8af4aab8-d9b1-4f04-a4ab-a6a54a2563b1"]}],"mendeley":{"formattedCitation":"(Aydin and Kenanoğlu, 2018)","plainTextFormattedCitation":"(Aydin and Kenanoğlu, 2018)","previouslyFormattedCitation":"(Aydin and Kenanoğlu, 2018)"},"properties":{"noteIndex":0},"schema":"https://github.com/citation-style-language/schema/raw/master/csl-citation.json"}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(Aydin and Kenanoğlu, 2018)</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In this analysis, they presented a new fuzzy logic dependent secure operation based handling technique. The logical control method in fuzzy boost output ability of hydroxy reactors while shielding them against harsh process impacts associated with thermal problems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{"citationItems":[{"id":"ITEM-1","itemData":{"DOI":"10.1016/j.ijhydene.2018.10.243","ISSN":"03603199","abstract":"The presented study provides details on Fuzzy Logic based control of HHO generators aims at protecting the HHO generator from extreme temperature effects while maximizing the hydrogen production. The Fuzzy Logic Controller mainly focuses on protecting the generator from the harsh effects of process related over heating problems while maximizing the hydrogen production. The designed controller takes two process specific parameters, such as temperature and the HHO flow rate, and optimizes the operation of the reactor for maximization of production. In order to prove the effectiveness of the developed Fuzzy Logic based control approach, a comparative study on performance of conventional and presented novel Fuzzy Logic based systems are presented. The advantage of the Fuzzy Logic Controller is that it protests the reactor and allows continuous production of HHO gas while the conventional approach leads to damage to the reactor or interrupted operation due to overheating.","author":[{"dropping-particle":"","family":"Conker","given":"Çağlar","non-dropping-particle":"","parse-names":false,"suffix":""}],"container-title":"International Journal of Hydrogen Energy","id":"ITEM-1","issue":"xxxx","issued":{"date-parts":[["2018"]]},"title":"A novel fuzzy logic based safe operation oriented control technique for driving HHO dry cell systems based on PWM duty cycle","type":"article-journal"},"uris":["http://www.mendeley.com/documents/?uuid=a25f07da-1d4e-442b-bc1a-5159c009cfee"]}],"mendeley":{"formattedCitation":"(Conker, 2018)","plainTextFormattedCitation":"(Conker, 2018)","previouslyFormattedCitation":"(Conker, 2018)"},"properties":{"noteIndex":0},"schema":"https://github.com/citation-style-language/schema/raw/master/csl-citation.json"}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(Conker, 2018)</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rPr>
        <w:t>They work</w:t>
      </w:r>
      <w:r w:rsidRPr="008C36F5">
        <w:rPr>
          <w:rFonts w:ascii="Times New Roman" w:hAnsi="Times New Roman" w:cs="Times New Roman"/>
          <w:sz w:val="20"/>
          <w:szCs w:val="20"/>
          <w:lang w:val="en-IN"/>
        </w:rPr>
        <w:t>ed</w:t>
      </w:r>
      <w:r w:rsidRPr="008C36F5">
        <w:rPr>
          <w:rFonts w:ascii="Times New Roman" w:hAnsi="Times New Roman" w:cs="Times New Roman"/>
          <w:sz w:val="20"/>
          <w:szCs w:val="20"/>
        </w:rPr>
        <w:t xml:space="preserve"> on </w:t>
      </w:r>
      <w:r w:rsidRPr="008C36F5">
        <w:rPr>
          <w:rFonts w:ascii="Times New Roman" w:hAnsi="Times New Roman" w:cs="Times New Roman"/>
          <w:sz w:val="20"/>
          <w:szCs w:val="20"/>
          <w:lang w:val="en-IN"/>
        </w:rPr>
        <w:t>analyzing on-board energy requirements for HHO production</w:t>
      </w:r>
      <w:r w:rsidRPr="008C36F5">
        <w:rPr>
          <w:rFonts w:ascii="Times New Roman" w:hAnsi="Times New Roman" w:cs="Times New Roman"/>
          <w:sz w:val="20"/>
          <w:szCs w:val="20"/>
        </w:rPr>
        <w:t xml:space="preserve"> as</w:t>
      </w:r>
      <w:r w:rsidRPr="008C36F5">
        <w:rPr>
          <w:rFonts w:ascii="Times New Roman" w:hAnsi="Times New Roman" w:cs="Times New Roman"/>
          <w:sz w:val="20"/>
          <w:szCs w:val="20"/>
          <w:lang w:val="en-IN"/>
        </w:rPr>
        <w:t xml:space="preserve"> a</w:t>
      </w:r>
      <w:r w:rsidRPr="008C36F5">
        <w:rPr>
          <w:rFonts w:ascii="Times New Roman" w:hAnsi="Times New Roman" w:cs="Times New Roman"/>
          <w:sz w:val="20"/>
          <w:szCs w:val="20"/>
        </w:rPr>
        <w:t xml:space="preserve"> fuel </w:t>
      </w:r>
      <w:r w:rsidRPr="008C36F5">
        <w:rPr>
          <w:rFonts w:ascii="Times New Roman" w:hAnsi="Times New Roman" w:cs="Times New Roman"/>
          <w:sz w:val="20"/>
          <w:szCs w:val="20"/>
          <w:lang w:val="en-IN"/>
        </w:rPr>
        <w:t>supplementation</w:t>
      </w:r>
      <w:r w:rsidRPr="008C36F5">
        <w:rPr>
          <w:rFonts w:ascii="Times New Roman" w:hAnsi="Times New Roman" w:cs="Times New Roman"/>
          <w:sz w:val="20"/>
          <w:szCs w:val="20"/>
        </w:rPr>
        <w:t xml:space="preserve"> in </w:t>
      </w:r>
      <w:r w:rsidRPr="008C36F5">
        <w:rPr>
          <w:rFonts w:ascii="Times New Roman" w:hAnsi="Times New Roman" w:cs="Times New Roman"/>
          <w:sz w:val="20"/>
          <w:szCs w:val="20"/>
          <w:lang w:val="en-IN"/>
        </w:rPr>
        <w:t>I.C.E</w:t>
      </w:r>
      <w:r w:rsidRPr="008C36F5">
        <w:rPr>
          <w:rFonts w:ascii="Times New Roman" w:hAnsi="Times New Roman" w:cs="Times New Roman"/>
          <w:sz w:val="20"/>
          <w:szCs w:val="20"/>
        </w:rPr>
        <w:t>. HHO and other parameters</w:t>
      </w:r>
      <w:r w:rsidRPr="008C36F5">
        <w:rPr>
          <w:rFonts w:ascii="Times New Roman" w:hAnsi="Times New Roman" w:cs="Times New Roman"/>
          <w:sz w:val="20"/>
          <w:szCs w:val="20"/>
          <w:lang w:val="en-IN"/>
        </w:rPr>
        <w:t xml:space="preserve"> were</w:t>
      </w:r>
      <w:r w:rsidRPr="008C36F5">
        <w:rPr>
          <w:rFonts w:ascii="Times New Roman" w:hAnsi="Times New Roman" w:cs="Times New Roman"/>
          <w:sz w:val="20"/>
          <w:szCs w:val="20"/>
        </w:rPr>
        <w:t xml:space="preserve"> used as input and analyzed. The purpose </w:t>
      </w:r>
      <w:r w:rsidRPr="008C36F5">
        <w:rPr>
          <w:rFonts w:ascii="Times New Roman" w:hAnsi="Times New Roman" w:cs="Times New Roman"/>
          <w:sz w:val="20"/>
          <w:szCs w:val="20"/>
          <w:lang w:val="en-IN"/>
        </w:rPr>
        <w:t>was an evaluation</w:t>
      </w:r>
      <w:r w:rsidRPr="008C36F5">
        <w:rPr>
          <w:rFonts w:ascii="Times New Roman" w:hAnsi="Times New Roman" w:cs="Times New Roman"/>
          <w:sz w:val="20"/>
          <w:szCs w:val="20"/>
        </w:rPr>
        <w:t xml:space="preserve"> of energetic </w:t>
      </w:r>
      <w:r w:rsidRPr="008C36F5">
        <w:rPr>
          <w:rFonts w:ascii="Times New Roman" w:hAnsi="Times New Roman" w:cs="Times New Roman"/>
          <w:sz w:val="20"/>
          <w:szCs w:val="20"/>
          <w:lang w:val="en-IN"/>
        </w:rPr>
        <w:t>requirements linked</w:t>
      </w:r>
      <w:r w:rsidRPr="008C36F5">
        <w:rPr>
          <w:rFonts w:ascii="Times New Roman" w:hAnsi="Times New Roman" w:cs="Times New Roman"/>
          <w:sz w:val="20"/>
          <w:szCs w:val="20"/>
        </w:rPr>
        <w:t xml:space="preserve"> to </w:t>
      </w:r>
      <w:r w:rsidRPr="008C36F5">
        <w:rPr>
          <w:rFonts w:ascii="Times New Roman" w:hAnsi="Times New Roman" w:cs="Times New Roman"/>
          <w:sz w:val="20"/>
          <w:szCs w:val="20"/>
          <w:lang w:val="en-IN"/>
        </w:rPr>
        <w:t>the hydroxy generation</w:t>
      </w:r>
      <w:r w:rsidRPr="008C36F5">
        <w:rPr>
          <w:rFonts w:ascii="Times New Roman" w:hAnsi="Times New Roman" w:cs="Times New Roman"/>
          <w:sz w:val="20"/>
          <w:szCs w:val="20"/>
        </w:rPr>
        <w:t xml:space="preserve"> and the result show</w:t>
      </w:r>
      <w:r w:rsidRPr="008C36F5">
        <w:rPr>
          <w:rFonts w:ascii="Times New Roman" w:hAnsi="Times New Roman" w:cs="Times New Roman"/>
          <w:sz w:val="20"/>
          <w:szCs w:val="20"/>
          <w:lang w:val="en-IN"/>
        </w:rPr>
        <w:t>ed</w:t>
      </w:r>
      <w:r w:rsidRPr="008C36F5">
        <w:rPr>
          <w:rFonts w:ascii="Times New Roman" w:hAnsi="Times New Roman" w:cs="Times New Roman"/>
          <w:sz w:val="20"/>
          <w:szCs w:val="20"/>
        </w:rPr>
        <w:t xml:space="preserve"> fuel saving </w:t>
      </w:r>
      <w:r w:rsidRPr="008C36F5">
        <w:rPr>
          <w:rFonts w:ascii="Times New Roman" w:hAnsi="Times New Roman" w:cs="Times New Roman"/>
          <w:sz w:val="20"/>
          <w:szCs w:val="20"/>
          <w:lang w:val="en-IN"/>
        </w:rPr>
        <w:t>w</w:t>
      </w:r>
      <w:r w:rsidRPr="008C36F5">
        <w:rPr>
          <w:rFonts w:ascii="Times New Roman" w:hAnsi="Times New Roman" w:cs="Times New Roman"/>
          <w:sz w:val="20"/>
          <w:szCs w:val="20"/>
        </w:rPr>
        <w:t xml:space="preserve">as more </w:t>
      </w:r>
      <w:r w:rsidRPr="008C36F5">
        <w:rPr>
          <w:rFonts w:ascii="Times New Roman" w:hAnsi="Times New Roman" w:cs="Times New Roman"/>
          <w:sz w:val="20"/>
          <w:szCs w:val="20"/>
          <w:lang w:val="en-IN"/>
        </w:rPr>
        <w:t>probable</w:t>
      </w:r>
      <w:r w:rsidRPr="008C36F5">
        <w:rPr>
          <w:rFonts w:ascii="Times New Roman" w:hAnsi="Times New Roman" w:cs="Times New Roman"/>
          <w:sz w:val="20"/>
          <w:szCs w:val="20"/>
        </w:rPr>
        <w:t xml:space="preserve"> to be </w:t>
      </w:r>
      <w:r w:rsidRPr="008C36F5">
        <w:rPr>
          <w:rFonts w:ascii="Times New Roman" w:hAnsi="Times New Roman" w:cs="Times New Roman"/>
          <w:sz w:val="20"/>
          <w:szCs w:val="20"/>
          <w:lang w:val="en-IN"/>
        </w:rPr>
        <w:t>accomplished through</w:t>
      </w:r>
      <w:r w:rsidRPr="008C36F5">
        <w:rPr>
          <w:rFonts w:ascii="Times New Roman" w:hAnsi="Times New Roman" w:cs="Times New Roman"/>
          <w:sz w:val="20"/>
          <w:szCs w:val="20"/>
        </w:rPr>
        <w:t xml:space="preserve"> small engine </w:t>
      </w:r>
      <w:r w:rsidRPr="008C36F5">
        <w:rPr>
          <w:rFonts w:ascii="Times New Roman" w:hAnsi="Times New Roman" w:cs="Times New Roman"/>
          <w:sz w:val="20"/>
          <w:szCs w:val="20"/>
          <w:lang w:val="en-IN"/>
        </w:rPr>
        <w:t>&amp; hydroxy</w:t>
      </w:r>
      <w:r w:rsidRPr="008C36F5">
        <w:rPr>
          <w:rFonts w:ascii="Times New Roman" w:hAnsi="Times New Roman" w:cs="Times New Roman"/>
          <w:sz w:val="20"/>
          <w:szCs w:val="20"/>
        </w:rPr>
        <w:t xml:space="preserve"> flow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{"citationItems":[{"id":"ITEM-1","itemData":{"DOI":"10.1016/j.enconman.2018.09.082","ISSN":"01968904","abstract":"The present study aims at assessing, from a theoretical point of view, the feasibility of on-board production and use of Oxy-Hydrogen (HHO) as fuel additive in internal combustion engines. From the available literature, many works deal with the experimental investigation of the benefits achieved with HHO use in both compression and spark ignition engines in terms of brake thermal efficiency improvement and emissions reduction. Nevertheless, a thorough demonstration of the feasibility of HHO on-board production and use has not been performed yet, also due to the unclear nature of the generated HHO mixture. To bridge this gap, a rigorous analysis of the energetic needs related to HHO production through electrolysis, with the internal combustion engine as unique power supply, is here described in details. An innovative assumption is proposed to achieve a generalized representation of HHO mixture and univocally determine the energetic requirements related to its production. A conventional layout is considered to define realistic restrictions for HHO use and fuel savings achievement. Several case studies, based on works available in the literature, are investigated to prove the validity of the proposed analysis and assess the feasibility of the technological approach.","author":[{"dropping-particle":"","family":"Polverino","given":"Pierpaolo","non-dropping-particle":"","parse-names":false,"suffix":""},{"dropping-particle":"","family":"D'Aniello","given":"Federica","non-dropping-particle":"","parse-names":false,"suffix":""},{"dropping-particle":"","family":"Arsie","given":"Ivan","non-dropping-particle":"","parse-names":false,"suffix":""},{"dropping-particle":"","family":"Pianese","given":"Cesare","non-dropping-particle":"","parse-names":false,"suffix":""}],"container-title":"Energy Conversion and Management","id":"ITEM-1","issue":"September 2018","issued":{"date-parts":[["2019"]]},"page":"114-131","publisher":"Elsevier","title":"Study of the energetic needs for the on-board production of oxy-hydrogen as fuel additive in internal combustion engines","type":"article-journal","volume":"179"},"uris":["http://www.mendeley.com/documents/?uuid=74a278ec-c891-4a9b-8d58-8076497d4c27"]}],"mendeley":{"formattedCitation":"(Polverino &lt;i&gt;et al.&lt;/i&gt;, 2019)","plainTextFormattedCitation":"(Polverino et al., 2019)","previouslyFormattedCitation":"(Polverino &lt;i&gt;et al.&lt;/i&gt;, 2019)"},"properties":{"noteIndex":0},"schema":"https://github.com/citation-style-language/schema/raw/master/csl-citation.json"}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(Polverino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2019)</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They work</w:t>
      </w:r>
      <w:r w:rsidRPr="008C36F5">
        <w:rPr>
          <w:rFonts w:ascii="Times New Roman" w:hAnsi="Times New Roman" w:cs="Times New Roman"/>
          <w:sz w:val="20"/>
          <w:szCs w:val="20"/>
          <w:lang w:val="en-IN"/>
        </w:rPr>
        <w:t>ed</w:t>
      </w:r>
      <w:r w:rsidRPr="008C36F5">
        <w:rPr>
          <w:rFonts w:ascii="Times New Roman" w:hAnsi="Times New Roman" w:cs="Times New Roman"/>
          <w:sz w:val="20"/>
          <w:szCs w:val="20"/>
        </w:rPr>
        <w:t xml:space="preserve"> on </w:t>
      </w:r>
      <w:r w:rsidRPr="008C36F5">
        <w:rPr>
          <w:rFonts w:ascii="Times New Roman" w:hAnsi="Times New Roman" w:cs="Times New Roman"/>
          <w:sz w:val="20"/>
          <w:szCs w:val="20"/>
          <w:lang w:val="en-IN"/>
        </w:rPr>
        <w:t>designing</w:t>
      </w:r>
      <w:r w:rsidRPr="008C36F5">
        <w:rPr>
          <w:rFonts w:ascii="Times New Roman" w:hAnsi="Times New Roman" w:cs="Times New Roman"/>
          <w:sz w:val="20"/>
          <w:szCs w:val="20"/>
        </w:rPr>
        <w:t xml:space="preserve"> and</w:t>
      </w:r>
      <w:r w:rsidRPr="008C36F5">
        <w:rPr>
          <w:rFonts w:ascii="Times New Roman" w:hAnsi="Times New Roman" w:cs="Times New Roman"/>
          <w:sz w:val="20"/>
          <w:szCs w:val="20"/>
          <w:lang w:val="en-IN"/>
        </w:rPr>
        <w:t xml:space="preserve"> computation</w:t>
      </w:r>
      <w:r w:rsidRPr="008C36F5">
        <w:rPr>
          <w:rFonts w:ascii="Times New Roman" w:hAnsi="Times New Roman" w:cs="Times New Roman"/>
          <w:sz w:val="20"/>
          <w:szCs w:val="20"/>
        </w:rPr>
        <w:t xml:space="preserve"> of electrochemical </w:t>
      </w:r>
      <w:r w:rsidRPr="008C36F5">
        <w:rPr>
          <w:rFonts w:ascii="Times New Roman" w:hAnsi="Times New Roman" w:cs="Times New Roman"/>
          <w:sz w:val="20"/>
          <w:szCs w:val="20"/>
          <w:lang w:val="en-IN"/>
        </w:rPr>
        <w:t>study</w:t>
      </w:r>
      <w:r w:rsidRPr="008C36F5">
        <w:rPr>
          <w:rFonts w:ascii="Times New Roman" w:hAnsi="Times New Roman" w:cs="Times New Roman"/>
          <w:sz w:val="20"/>
          <w:szCs w:val="20"/>
        </w:rPr>
        <w:t xml:space="preserve"> of </w:t>
      </w:r>
      <w:r w:rsidRPr="008C36F5">
        <w:rPr>
          <w:rFonts w:ascii="Times New Roman" w:hAnsi="Times New Roman" w:cs="Times New Roman"/>
          <w:sz w:val="20"/>
          <w:szCs w:val="20"/>
          <w:lang w:val="en-IN"/>
        </w:rPr>
        <w:t>combined S.I</w:t>
      </w:r>
      <w:r w:rsidRPr="008C36F5">
        <w:rPr>
          <w:rFonts w:ascii="Times New Roman" w:hAnsi="Times New Roman" w:cs="Times New Roman"/>
          <w:sz w:val="20"/>
          <w:szCs w:val="20"/>
        </w:rPr>
        <w:t xml:space="preserve"> engine u</w:t>
      </w:r>
      <w:r w:rsidRPr="008C36F5">
        <w:rPr>
          <w:rFonts w:ascii="Times New Roman" w:hAnsi="Times New Roman" w:cs="Times New Roman"/>
          <w:sz w:val="20"/>
          <w:szCs w:val="20"/>
          <w:lang w:val="en-IN"/>
        </w:rPr>
        <w:t>tiliz</w:t>
      </w:r>
      <w:r w:rsidRPr="008C36F5">
        <w:rPr>
          <w:rFonts w:ascii="Times New Roman" w:hAnsi="Times New Roman" w:cs="Times New Roman"/>
          <w:sz w:val="20"/>
          <w:szCs w:val="20"/>
        </w:rPr>
        <w:t xml:space="preserve">ing dry cell. HHO dry cell and other parameters </w:t>
      </w:r>
      <w:r w:rsidRPr="008C36F5">
        <w:rPr>
          <w:rFonts w:ascii="Times New Roman" w:hAnsi="Times New Roman" w:cs="Times New Roman"/>
          <w:sz w:val="20"/>
          <w:szCs w:val="20"/>
          <w:lang w:val="en-IN"/>
        </w:rPr>
        <w:t>were</w:t>
      </w:r>
      <w:r w:rsidRPr="008C36F5">
        <w:rPr>
          <w:rFonts w:ascii="Times New Roman" w:hAnsi="Times New Roman" w:cs="Times New Roman"/>
          <w:sz w:val="20"/>
          <w:szCs w:val="20"/>
        </w:rPr>
        <w:t xml:space="preserve"> used as input and analyzed by fuzzy logic </w:t>
      </w:r>
      <w:r w:rsidRPr="008C36F5">
        <w:rPr>
          <w:rFonts w:ascii="Times New Roman" w:hAnsi="Times New Roman" w:cs="Times New Roman"/>
          <w:sz w:val="20"/>
          <w:szCs w:val="20"/>
          <w:lang w:val="en-IN"/>
        </w:rPr>
        <w:t>simulation &amp; MATLAB coding</w:t>
      </w:r>
      <w:r w:rsidRPr="008C36F5">
        <w:rPr>
          <w:rFonts w:ascii="Times New Roman" w:hAnsi="Times New Roman" w:cs="Times New Roman"/>
          <w:sz w:val="20"/>
          <w:szCs w:val="20"/>
        </w:rPr>
        <w:t xml:space="preserve">. </w:t>
      </w:r>
      <w:r w:rsidRPr="008C36F5">
        <w:rPr>
          <w:rFonts w:ascii="Times New Roman" w:hAnsi="Times New Roman" w:cs="Times New Roman"/>
          <w:sz w:val="20"/>
          <w:szCs w:val="20"/>
          <w:lang w:val="en-IN"/>
        </w:rPr>
        <w:t>The goal was to model various parameters influencing the hybrid S.I engine’s output</w:t>
      </w:r>
      <w:r w:rsidRPr="008C36F5">
        <w:rPr>
          <w:rFonts w:ascii="Times New Roman" w:hAnsi="Times New Roman" w:cs="Times New Roman"/>
          <w:sz w:val="20"/>
          <w:szCs w:val="20"/>
        </w:rPr>
        <w:t xml:space="preserve"> and </w:t>
      </w:r>
      <w:r w:rsidRPr="008C36F5">
        <w:rPr>
          <w:rFonts w:ascii="Times New Roman" w:hAnsi="Times New Roman" w:cs="Times New Roman"/>
          <w:sz w:val="20"/>
          <w:szCs w:val="20"/>
          <w:lang w:val="en-IN"/>
        </w:rPr>
        <w:t>the outcome</w:t>
      </w:r>
      <w:r w:rsidRPr="008C36F5">
        <w:rPr>
          <w:rFonts w:ascii="Times New Roman" w:hAnsi="Times New Roman" w:cs="Times New Roman"/>
          <w:sz w:val="20"/>
          <w:szCs w:val="20"/>
        </w:rPr>
        <w:t xml:space="preserve"> show</w:t>
      </w:r>
      <w:r w:rsidRPr="008C36F5">
        <w:rPr>
          <w:rFonts w:ascii="Times New Roman" w:hAnsi="Times New Roman" w:cs="Times New Roman"/>
          <w:sz w:val="20"/>
          <w:szCs w:val="20"/>
          <w:lang w:val="en-IN"/>
        </w:rPr>
        <w:t>ed</w:t>
      </w:r>
      <w:r w:rsidRPr="008C36F5">
        <w:rPr>
          <w:rFonts w:ascii="Times New Roman" w:hAnsi="Times New Roman" w:cs="Times New Roman"/>
          <w:sz w:val="20"/>
          <w:szCs w:val="20"/>
        </w:rPr>
        <w:t xml:space="preserve"> that there </w:t>
      </w:r>
      <w:r w:rsidRPr="008C36F5">
        <w:rPr>
          <w:rFonts w:ascii="Times New Roman" w:hAnsi="Times New Roman" w:cs="Times New Roman"/>
          <w:sz w:val="20"/>
          <w:szCs w:val="20"/>
          <w:lang w:val="en-IN"/>
        </w:rPr>
        <w:t>was comprehensive cooperation amongst</w:t>
      </w:r>
      <w:r w:rsidRPr="008C36F5">
        <w:rPr>
          <w:rFonts w:ascii="Times New Roman" w:hAnsi="Times New Roman" w:cs="Times New Roman"/>
          <w:sz w:val="20"/>
          <w:szCs w:val="20"/>
        </w:rPr>
        <w:t xml:space="preserve"> the </w:t>
      </w:r>
      <w:r w:rsidRPr="008C36F5">
        <w:rPr>
          <w:rFonts w:ascii="Times New Roman" w:hAnsi="Times New Roman" w:cs="Times New Roman"/>
          <w:sz w:val="20"/>
          <w:szCs w:val="20"/>
          <w:lang w:val="en-IN"/>
        </w:rPr>
        <w:t>investigational</w:t>
      </w:r>
      <w:r w:rsidRPr="008C36F5">
        <w:rPr>
          <w:rFonts w:ascii="Times New Roman" w:hAnsi="Times New Roman" w:cs="Times New Roman"/>
          <w:sz w:val="20"/>
          <w:szCs w:val="20"/>
        </w:rPr>
        <w:t xml:space="preserve"> and </w:t>
      </w:r>
      <w:r w:rsidRPr="008C36F5">
        <w:rPr>
          <w:rFonts w:ascii="Times New Roman" w:hAnsi="Times New Roman" w:cs="Times New Roman"/>
          <w:sz w:val="20"/>
          <w:szCs w:val="20"/>
          <w:lang w:val="en-IN"/>
        </w:rPr>
        <w:t>simulated</w:t>
      </w:r>
      <w:r w:rsidRPr="008C36F5">
        <w:rPr>
          <w:rFonts w:ascii="Times New Roman" w:hAnsi="Times New Roman" w:cs="Times New Roman"/>
          <w:sz w:val="20"/>
          <w:szCs w:val="20"/>
        </w:rPr>
        <w:t xml:space="preserve"> fuzzy data </w:t>
      </w:r>
      <w:r w:rsidRPr="008C36F5">
        <w:rPr>
          <w:rFonts w:ascii="Times New Roman" w:hAnsi="Times New Roman" w:cs="Times New Roman"/>
          <w:sz w:val="20"/>
          <w:szCs w:val="20"/>
          <w:lang w:val="en-IN"/>
        </w:rPr>
        <w:t>equivalent to 0.915 R</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for HHO rate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{"citationItems":[{"id":"ITEM-1","itemData":{"DOI":"10.1016/j.enconman.2018.11.067","ISSN":"01968904","abstract":"Nowadays the high consumption rates of fossil fuel and pollution of unburned hydrocarbons in exhaust gases are the major problems that face the world. Using HHO dry cell is suggested for solving these problems at the engines. Experimenting with an actual HHO dry cell is more expensive, and consumes more time and effort. So modelling HHO dry cell usage is very important to save costs and efforts. Different parameters were modelled and evaluated for using HHO dry cell. The experimental tests were performed at the Faculty of Engineering, Suez Canal University on a gasoline engine (Chevrolet Lanos 1.5, model 2012). Beta cell was designed, fabricated and connected to said engine. The cell performance can easily be controlled and adjusted using different parameters. Many different factors were taken into consideration, such as; the cell design, the free space in the car engine, and the plates’ overall dimensions. There is a lack in the study of modelling and simulation of hybrid spark-ignition engine using (HHO) dry cell with complete parameters. Therefore, the main objectives of this study are to perform and evaluate the modelling of different parameters that affect the performance of the hybrid spark-ignition engine. Also in this study, two different modelling techniques were used according to the available experimental data; MATLAB code and fuzzy logic modelling. The experimental and modelled results were compared and evaluated according to different statistical methods, such as the coefficient of determination (R2). The results showed that there is strong agreement between the experimental and the modelled fuzzy data, with R2 equaling 0.915 for the hydroxy rate.","author":[{"dropping-particle":"","family":"Ismail","given":"Tamer M.","non-dropping-particle":"","parse-names":false,"suffix":""},{"dropping-particle":"","family":"Ramzy","given":"Khaled","non-dropping-particle":"","parse-names":false,"suffix":""},{"dropping-particle":"","family":"Elnaghi","given":"Basem E.","non-dropping-particle":"","parse-names":false,"suffix":""},{"dropping-particle":"","family":"Mansour","given":"T.","non-dropping-particle":"","parse-names":false,"suffix":""},{"dropping-particle":"","family":"Abelwhab","given":"M. N.","non-dropping-particle":"","parse-names":false,"suffix":""},{"dropping-particle":"","family":"Abd El-Salam","given":"M.","non-dropping-particle":"","parse-names":false,"suffix":""},{"dropping-particle":"","family":"Ismail","given":"M. I.","non-dropping-particle":"","parse-names":false,"suffix":""}],"container-title":"Energy Conversion and Management","id":"ITEM-1","issue":"November 2018","issued":{"date-parts":[["2019"]]},"page":"1-14","publisher":"Elsevier","title":"Modelling and simulation of electrochemical analysis of hybrid spark-ignition engine using hydroxy (HHO) dry cell","type":"article-journal","volume":"181"},"uris":["http://www.mendeley.com/documents/?uuid=1446ba57-779c-4ace-bba2-2b10ef4adb42"]}],"mendeley":{"formattedCitation":"(Ismail &lt;i&gt;et al.&lt;/i&gt;, 2019)","plainTextFormattedCitation":"(Ismail et al., 2019)","previouslyFormattedCitation":"(Ismail &lt;i&gt;et al.&lt;/i&gt;, 2019)"},"properties":{"noteIndex":0},"schema":"https://github.com/citation-style-language/schema/raw/master/csl-citation.json"}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(Ismail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2019)</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rPr>
        <w:t xml:space="preserve">The modification of the electrode Fermi level resulted in stronger Pt-o links in the stable oxidic phase, resulting in excess potential, according to this research. It protects the dynamic working surface's integrity by avoiding the formation of superfluous oxide layers during OER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{"citationItems":[{"id":"ITEM-1","itemData":{"DOI":"10.1002/anie.201304765","ISSN":"14337851","abstract":"Chasing down the active state: Near-ambient-pressure X-ray photoelectron spectroscopy was used to study the surface of a Pt electrode during the oxygen evolution reaction (OER). A hydrated Pt metal phase with dissolved oxygen in the near-surface region is OER-active and considered to be the precursor of the analytically detected PtO2, which is in fact the deactivation product of the electrode. Copyright © 2013 WILEY-VCH Verlag GmbH &amp; Co. KGaA, Weinheim.","author":[{"dropping-particle":"","family":"Arrigo","given":"Rosa","non-dropping-particle":"","parse-names":false,"suffix":""},{"dropping-particle":"","family":"Hävecker","given":"Michael","non-dropping-particle":"","parse-names":false,"suffix":""},{"dropping-particle":"","family":"Schuster","given":"Manfred E","non-dropping-particle":"","parse-names":false,"suffix":""},{"dropping-particle":"","family":"Ranjan","given":"Chinmoy","non-dropping-particle":"","parse-names":false,"suffix":""},{"dropping-particle":"","family":"Stotz","given":"Eugen","non-dropping-particle":"","parse-names":false,"suffix":""},{"dropping-particle":"","family":"Knop-Gericke","given":"Axel","non-dropping-particle":"","parse-names":false,"suffix":""},{"dropping-particle":"","family":"Schlögl","given":"Robert","non-dropping-particle":"","parse-names":false,"suffix":""}],"container-title":"Angewandte Chemie - International Edition","id":"ITEM-1","issue":"44","issued":{"date-parts":[["2013"]]},"page":"11660-11664","title":"In situ study of the gas-phase electrolysis of water on platinum by NAP-XPS","type":"article-journal","volume":"52"},"uris":["http://www.mendeley.com/documents/?uuid=f7bf66b6-19b2-409f-9ce1-cce70fa52311"]}],"mendeley":{"formattedCitation":"(Arrigo &lt;i&gt;et al.&lt;/i&gt;, 2013)","plainTextFormattedCitation":"(Arrigo et al., 2013)","previouslyFormattedCitation":"(Arrigo &lt;i&gt;et al.&lt;/i&gt;, 2013)"},"properties":{"noteIndex":0},"schema":"https://github.com/citation-style-language/schema/raw/master/csl-citation.json"}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(Arrigo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2013)</w:t>
      </w:r>
      <w:r w:rsidR="0063134A" w:rsidRPr="008C36F5">
        <w:rPr>
          <w:rFonts w:ascii="Times New Roman" w:hAnsi="Times New Roman" w:cs="Times New Roman"/>
          <w:sz w:val="20"/>
          <w:szCs w:val="20"/>
        </w:rPr>
        <w:fldChar w:fldCharType="end"/>
      </w:r>
      <w:r w:rsidR="006D67F7">
        <w:rPr>
          <w:rFonts w:ascii="Times New Roman" w:hAnsi="Times New Roman" w:cs="Times New Roman"/>
          <w:sz w:val="20"/>
          <w:szCs w:val="20"/>
        </w:rPr>
        <w:t xml:space="preserve">. </w:t>
      </w:r>
    </w:p>
    <w:p w:rsidR="00A147DF" w:rsidRPr="006D67F7" w:rsidRDefault="00A147DF" w:rsidP="006D67F7">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 xml:space="preserve">The various water electrolysis technologies were covered in this chapter. The main methods used to produce hydrogen were discussed in the first section </w:t>
      </w:r>
      <w:r w:rsidR="0063134A" w:rsidRPr="008C36F5">
        <w:rPr>
          <w:rFonts w:ascii="Times New Roman" w:hAnsi="Times New Roman" w:cs="Times New Roman"/>
          <w:color w:val="00B050"/>
          <w:sz w:val="20"/>
          <w:szCs w:val="20"/>
        </w:rPr>
        <w:fldChar w:fldCharType="begin" w:fldLock="1"/>
      </w:r>
      <w:r w:rsidRPr="008C36F5">
        <w:rPr>
          <w:rFonts w:ascii="Times New Roman" w:hAnsi="Times New Roman" w:cs="Times New Roman"/>
          <w:color w:val="00B050"/>
          <w:sz w:val="20"/>
          <w:szCs w:val="20"/>
        </w:rPr>
        <w:instrText>ADDIN CSL_CITATION {"citationItems":[{"id":"ITEM-1","itemData":{"DOI":"10.1533/9780857097736.2.159","ISBN":"9780857097736","abstract":"An electrolyzer combines an oxidation and a reduction reaction, driven by electricity, to produce separate streams of hydrogen gas and oxygen gas by a process called electrolysis. The hydrogen contains a portion of the electrical energy, and it can be used to generate electricity in a fuel cell by a process that is the reverse of electrolysis. If water electrolysis is driven by renewable electricity, it can be used in fuel-cell electric vehicles to displace petroleum, increase vehicle efficiency, and reduce the environmental impact of vehicles. The fundamental aspects of electrolytic hydrogen and its use as energy carrier are discussed.","author":[{"dropping-particle":"","family":"Grigoriev","given":"Sergey Vladimir N. Fateev","non-dropping-particle":"","parse-names":false,"suffix":""}],"container-title":"Hydrogen Production Technologies","id":"ITEM-1","issued":{"date-parts":[["2017"]]},"page":"231-276","title":"Hydrogen production by water electrolysis","type":"chapter"},"uris":["http://www.mendeley.com/documents/?uuid=10facd0c-6955-4c1c-af15-72b6b1fcc9c2"]}],"mendeley":{"formattedCitation":"(Grigoriev, 2017)","plainTextFormattedCitation":"(Grigoriev, 2017)","previouslyFormattedCitation":"(Grigoriev, 2017)"},"properties":{"noteIndex":0},"schema":"https://github.com/citation-style-language/schema/raw/master/csl-citation.json"}</w:instrText>
      </w:r>
      <w:r w:rsidR="0063134A" w:rsidRPr="008C36F5">
        <w:rPr>
          <w:rFonts w:ascii="Times New Roman" w:hAnsi="Times New Roman" w:cs="Times New Roman"/>
          <w:color w:val="00B050"/>
          <w:sz w:val="20"/>
          <w:szCs w:val="20"/>
        </w:rPr>
        <w:fldChar w:fldCharType="separate"/>
      </w:r>
      <w:r w:rsidRPr="008C36F5">
        <w:rPr>
          <w:rFonts w:ascii="Times New Roman" w:hAnsi="Times New Roman" w:cs="Times New Roman"/>
          <w:noProof/>
          <w:sz w:val="20"/>
          <w:szCs w:val="20"/>
        </w:rPr>
        <w:t>(Grigoriev, 2017)</w:t>
      </w:r>
      <w:r w:rsidR="0063134A" w:rsidRPr="008C36F5">
        <w:rPr>
          <w:rFonts w:ascii="Times New Roman" w:hAnsi="Times New Roman" w:cs="Times New Roman"/>
          <w:color w:val="00B050"/>
          <w:sz w:val="20"/>
          <w:szCs w:val="20"/>
        </w:rPr>
        <w:fldChar w:fldCharType="end"/>
      </w:r>
      <w:r w:rsidRPr="008C36F5">
        <w:rPr>
          <w:rFonts w:ascii="Times New Roman" w:hAnsi="Times New Roman" w:cs="Times New Roman"/>
          <w:color w:val="00B050"/>
          <w:sz w:val="20"/>
          <w:szCs w:val="20"/>
        </w:rPr>
        <w:t xml:space="preserve"> </w:t>
      </w:r>
      <w:r w:rsidRPr="008C36F5">
        <w:rPr>
          <w:rFonts w:ascii="Times New Roman" w:hAnsi="Times New Roman" w:cs="Times New Roman"/>
          <w:sz w:val="20"/>
          <w:szCs w:val="20"/>
        </w:rPr>
        <w:t>.7 mm anode-cathode cell gap; 1.50 percent KOH electrolyte solution concentration and 90.08</w:t>
      </w:r>
      <w:r w:rsidRPr="008C36F5">
        <w:rPr>
          <w:rFonts w:ascii="Times New Roman" w:hAnsi="Times New Roman" w:cs="Times New Roman"/>
          <w:sz w:val="20"/>
          <w:szCs w:val="20"/>
          <w:vertAlign w:val="superscript"/>
        </w:rPr>
        <w:t>o</w:t>
      </w:r>
      <w:r w:rsidRPr="008C36F5">
        <w:rPr>
          <w:rFonts w:ascii="Times New Roman" w:hAnsi="Times New Roman" w:cs="Times New Roman"/>
          <w:sz w:val="20"/>
          <w:szCs w:val="20"/>
        </w:rPr>
        <w:t>C operating temperature 5 mm cell distance, 1.25 percent KOH and 85.08</w:t>
      </w:r>
      <w:r w:rsidRPr="008C36F5">
        <w:rPr>
          <w:rFonts w:ascii="Times New Roman" w:hAnsi="Times New Roman" w:cs="Times New Roman"/>
          <w:sz w:val="20"/>
          <w:szCs w:val="20"/>
          <w:vertAlign w:val="superscript"/>
        </w:rPr>
        <w:t>o</w:t>
      </w:r>
      <w:r w:rsidRPr="008C36F5">
        <w:rPr>
          <w:rFonts w:ascii="Times New Roman" w:hAnsi="Times New Roman" w:cs="Times New Roman"/>
          <w:sz w:val="20"/>
          <w:szCs w:val="20"/>
        </w:rPr>
        <w:t xml:space="preserve">C operating temperature were ideal conditions for cells. The production rates of high-heat activated hydrogen (HOH) were decreased by making the gas bubbles more accessible to the reaction sites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{"citationItems":[{"id":"ITEM-1","itemData":{"DOI":"10.1002/ep.12909","ISSN":"19447450","abstract":"This study focused on determining the optimal conditions for producing by electrolysis HHO that is suitable for use in motor vehicles and in households. The experiments used electrolyte concentrations of 0.50%, 0.75%, 1.00%, 1.25%, and 1.50% w/w KOH (aq.), and 316 L stainless steel 20 × 30 mm electrode plates. The gap between the plates was adjusted to 1, 3, 5, 7, and 9 mm, and experiments were conducted at the steady state temperatures of 40°C, 45°C, 50°C, 55°C, 60°C, 65°C, 70°C, 75°C, 80°C, 85°C, 90°C, and 95°C, for 10 min. It was found that the optimized production conditions for houses or motor vehicles, according to this study, were 7 mm cell gap and 1.50% w/w KOH at 90.0°C ± 1.0°C operating temperature, or 5 mm cell gap and 1.25% w/w KOH at 85.0°C ± 1.0°C operating temperature, respectively. To apply this research to real operation, the methods of real application with vehicles and household appliances were discussed. © 2018 American Institute of Chemical Engineers Environ Prog, 38: 268–277, 2019.","author":[{"dropping-particle":"","family":"Choodum","given":"Nuttaporn","non-dropping-particle":"","parse-names":false,"suffix":""},{"dropping-particle":"","family":"Sangwichien","given":"Chayanoot","non-dropping-particle":"","parse-names":false,"suffix":""},{"dropping-particle":"","family":"Yamsaengsung","given":"Ram","non-dropping-particle":"","parse-names":false,"suffix":""}],"container-title":"Environmental Progress and Sustainable Energy","id":"ITEM-1","issue":"1","issued":{"date-parts":[["2019"]]},"page":"268-277","title":"Optimization of a closed-loop HHO production system for vehicles and houses","type":"article-journal","volume":"38"},"uris":["http://www.mendeley.com/documents/?uuid=30b57903-15a1-49f8-9b8f-417cf02cdf3e"]}],"mendeley":{"formattedCitation":"(Choodum, Sangwichien and Yamsaengsung, 2019)","plainTextFormattedCitation":"(Choodum, Sangwichien and Yamsaengsung, 2019)","previouslyFormattedCitation":"(Choodum, Sangwichien and Yamsaengsung, 2019)"},"properties":{"noteIndex":0},"schema":"https://github.com/citation-style-language/schema/raw/master/csl-citation.json"}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(Choodum, Sangwichien and Yamsaengsung, 2019)</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This project aims to investigate the feasibility of extracting hydrogen-rich gas from water at the point of use to improve fuel consumption and emissions. It was found that the reduction in CO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CO</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 xml:space="preserve">, and HC was caused by the displacement of carbon-based fuel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{"citationItems":[{"id":"ITEM-1","itemData":{"abstract":"There is something of great importance to the world that is being suppressed and hidden, that abundant, clean energy can be derived from water. Water can be cheaply disassociated into Brown Gas (HHO) using efficient electrolyzing techniques which require very little power to operate, or sophistication to build. Brown Gas is a mixture of di-atomic and mono-atomic hydrogen and oxygen. It does not have a set burning temperature It reacts to the substance; it is contact with when being burned.. It when mixed with Diesel or gasoline fuels will increase the burning efficiency of the mixture greatly. When HHO is added to the fuels and ignited, much more of the hydrocarbons are burned completely, creating much cleaner exhaust and more power to the engine. The result is increased gas mileage and smoother running, longer lasting motors that waste much less energy. This gas may take as a mileage Booster. HHO boosters help to reduce pollution and save energy and money all over the world. One aspect of HHO that it shows it's more superior heating phenomenon than any other energy because it has a high-temperature concentration phenomenon.","author":[{"dropping-particle":"","family":"Bhardwaj","given":"Shrikant","non-dropping-particle":"","parse-names":false,"suffix":""},{"dropping-particle":"","family":"Singh Verma","given":"Ajay","non-dropping-particle":"","parse-names":false,"suffix":""},{"dropping-particle":"","family":"Sharma","given":"Subodh Kumar","non-dropping-particle":"","parse-names":false,"suffix":""}],"container-title":"International Journal of Emerging Technology and Advanced Engineering","id":"ITEM-1","issue":"1","issued":{"date-parts":[["2014"]]},"page":"2250-2459","title":"Effect of brown gas on the performance of a four stroke gasoline engine","type":"paper-conference","volume":"4"},"uris":["http://www.mendeley.com/documents/?uuid=2d6fc32c-bbc5-4b58-a288-4c819d3c0562"]}],"mendeley":{"formattedCitation":"(Bhardwaj, Singh Verma and Sharma, 2014)","plainTextFormattedCitation":"(Bhardwaj, Singh Verma and Sharma, 2014)","previouslyFormattedCitation":"(Bhardwaj, Singh Verma and Sharma, 2014)"},"properties":{"noteIndex":0},"schema":"https://github.com/citation-style-language/schema/raw/master/csl-citation.json"}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(Bhardwaj, Singh Verma and Sharma, 2014)</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In this experiment, Oxyhydrogen (HHO) gas was manufactured using a KOH electrolysis process and was used as an additional fuel in a 4-cylinder and 4-stroke C. I engine. The optimal HHO flow rate was determined by the engine speed and was typically between 1.4 and 2.1 L/min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10.18280/ijht.350116","ISSN":"03928764","author":[{"dropping-particle":"","family":"Alrafie","given":"Nizar","non-dropping-particle":"","parse-names":false,"suffix":""},{"dropping-particle":"","family":"Faqes","given":"Fawaz","non-dropping-particle":"","parse-names":false,"suffix":""},{"dropping-particle":"","family":"Al-Hares","given":"Ahmad","non-dropping-particle":"","parse-names":false,"suffix":""},{"dropping-particle":"","family":"Baqain","given":"Adel","non-dropping-particle":"Al","parse-names":false,"suffix":""},{"dropping-particle":"","family":"Sakhrieh","given":"Ahmad","non-dropping-particle":"","parse-names":false,"suffix":""}],"container-title":"International Journal of Heat and Technology","id":"ITEM-1","issue":"1","issued":{"date-parts":[["2017"]]},"page":"116-122","title":"Optimization of oxyhydrogen gas flow rate as a supplementary fuel in compression ignition combustion enginess","type":"article-journal","volume":"35"},"uris":["http://www.mendeley.com/documents/?uuid=8de4948c-ebf6-4060-a36f-7a9e0ce26121"]}],"mendeley":{"formattedCitation":"(Alrafie &lt;i&gt;et al.&lt;/i&gt;, 2017)","plainTextFormattedCitation":"(Alrafie et al., 2017)","previouslyFormattedCitation":"(Alrafie &lt;i&gt;et al.&lt;/i&gt;, 2017)"},"properties":{"noteIndex":0},"schema":"https://github.com/citation-style-language/schema/raw/master/csl-citation.json"}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(Alrafie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2017)</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The study focused on the effects of HHO-air mixture on the performance of automobiles. It revealed that the combination of air and HHO-air can reduce a vehicle's fuel consumption by up to 45%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{"citationItems":[{"id":"ITEM-1","itemData":{"DOI":"10.1080/15435075.2014.890105","ISSN":"15435083","abstract":"The effect of a homemade complete hydroxyl system on automobiles performance under real operation conditions has been investigated on three gasoline-fueled four-stroke four-cylinder engine automobiles. All measured parameters were carried out by using the AVL DiTEST Abgas test and the Lancom 9 gas analyzer. The exhaust gases CO&lt;inf&gt;2&lt;/inf&gt;, O&lt;inf&gt;2&lt;/inf&gt;, CO, NO&lt;inf&gt;x&lt;/inf&gt;, and C&lt;inf&gt;x&lt;/inf&gt;H&lt;inf&gt;y&lt;/inf&gt;, at the exhaust tail pipe and before the catalytic converter were measured. A significant reduction of 35-45% in the specific fuel consumption was observed. An in-cylinder chemical reaction model was developed to understand the impact of hydroxy gas on the combustion chemistry of engine. The in-cylinder pressure results showed about 3-bar increase in pressure peak at 1.2% H&lt;inf&gt;2&lt;/inf&gt; addition to the engine air/fuel mixture. Also, the mixture ignition temperature was reduced from 600 to 560 K. The exhaust gas species showed a 12% increase in H&lt;inf&gt;2&lt;/inf&gt;O. Furthermore, the comparative t-test showed that the average CO volumetric concentration was reduced by 12%, while the average O&lt;inf&gt;2&lt;/inf&gt; was increased by 11%. On the other hand, hydrocarbon concentration was randomly varying with a maximum reduction of 35% at 2420 rpm. The origin of the observed significant influence of introducing H&lt;inf&gt;2&lt;/inf&gt; and O&lt;inf&gt;2&lt;/inf&gt; molecules on the combustion reaction mechanism and flame front stability has been explained.","author":[{"dropping-particle":"","family":"Badr","given":"M. H.","non-dropping-particle":"","parse-names":false,"suffix":""},{"dropping-particle":"","family":"Hassan","given":"M. I.","non-dropping-particle":"","parse-names":false,"suffix":""},{"dropping-particle":"","family":"El-Hamalawy","given":"A. A.","non-dropping-particle":"","parse-names":false,"suffix":""}],"container-title":"International Journal of Green Energy","id":"ITEM-1","issue":"11","issued":{"date-parts":[["2015"]]},"page":"1086-1090","title":"On-demand hydrogen cell for automobile fuel consumption efficiency","type":"article-journal","volume":"12"},"uris":["http://www.mendeley.com/documents/?uuid=b317d38b-cf1d-44c9-ab71-de04b5701d0c"]}],"mendeley":{"formattedCitation":"(Badr, Hassan and El-Hamalawy, 2015)","plainTextFormattedCitation":"(Badr, Hassan and El-Hamalawy, 2015)","previouslyFormattedCitation":"(Badr, Hassan and El-Hamalawy, 2015)"},"properties":{"noteIndex":0},"schema":"https://github.com/citation-style-language/schema/raw/master/csl-citation.json"}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(Badr, Hassan and El-Hamalawy, 2015)</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The </w:t>
      </w:r>
      <w:r w:rsidRPr="008C36F5">
        <w:rPr>
          <w:rFonts w:ascii="Times New Roman" w:hAnsi="Times New Roman" w:cs="Times New Roman"/>
          <w:sz w:val="20"/>
          <w:szCs w:val="20"/>
          <w:lang w:val="en-IN"/>
        </w:rPr>
        <w:t>objective</w:t>
      </w:r>
      <w:r w:rsidRPr="008C36F5">
        <w:rPr>
          <w:rFonts w:ascii="Times New Roman" w:hAnsi="Times New Roman" w:cs="Times New Roman"/>
          <w:sz w:val="20"/>
          <w:szCs w:val="20"/>
        </w:rPr>
        <w:t xml:space="preserve"> of this </w:t>
      </w:r>
      <w:r w:rsidRPr="008C36F5">
        <w:rPr>
          <w:rFonts w:ascii="Times New Roman" w:hAnsi="Times New Roman" w:cs="Times New Roman"/>
          <w:sz w:val="20"/>
          <w:szCs w:val="20"/>
          <w:lang w:val="en-IN"/>
        </w:rPr>
        <w:t>analysis was to evaluate</w:t>
      </w:r>
      <w:r w:rsidRPr="008C36F5">
        <w:rPr>
          <w:rFonts w:ascii="Times New Roman" w:hAnsi="Times New Roman" w:cs="Times New Roman"/>
          <w:sz w:val="20"/>
          <w:szCs w:val="20"/>
        </w:rPr>
        <w:t xml:space="preserve"> the </w:t>
      </w:r>
      <w:r w:rsidRPr="008C36F5">
        <w:rPr>
          <w:rFonts w:ascii="Times New Roman" w:hAnsi="Times New Roman" w:cs="Times New Roman"/>
          <w:sz w:val="20"/>
          <w:szCs w:val="20"/>
          <w:lang w:val="en-IN"/>
        </w:rPr>
        <w:t xml:space="preserve">procedure of electrolysis of water for the manufacture of hydrogen &amp; hydrogen generation problems. It also gathers information on research articles and fuel cell usage within Brazil and around the globe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{"citationItems":[{"id":"ITEM-1","itemData":{"DOI":"10.1016/j.rser.2016.09.128","ISSN":"18790690","abstract":"Hydrogen is a promising fuel, can be obtained from different sources of raw materials, including water. This is a renewable and sustainable source, which can obtain a high hydrogen purity via electrolysis. Among the processes for obtaining hydrogen from the water, the electrolytic conversion is the best known, in which two electrodes are responsible for conducting electricity and production of this gas. However, to promote this segregation, some technological challenges must be overcome, as the efficiency of electrolyzers, efficiency and durability of the main fuel cells and the integration of the electrolysis systems for supply and energy, aiming to reduce production costs. The Brazil stands out worldwide with production of fuels obtained from renewable sources and also seeks to develop the hydrogen production through water electrolysis.","author":[{"dropping-particle":"","family":"Santos","given":"Kenia Gabriela","non-dropping-particle":"dos","parse-names":false,"suffix":""},{"dropping-particle":"","family":"Eckert","given":"Caroline Thaís","non-dropping-particle":"","parse-names":false,"suffix":""},{"dropping-particle":"","family":"Rossi","given":"Eduardo","non-dropping-particle":"De","parse-names":false,"suffix":""},{"dropping-particle":"","family":"Bariccatti","given":"Reinaldo Aparecido","non-dropping-particle":"","parse-names":false,"suffix":""},{"dropping-particle":"","family":"Frigo","given":"Elisandro Pires","non-dropping-particle":"","parse-names":false,"suffix":""},{"dropping-particle":"","family":"Lindino","given":"Cleber Antonio","non-dropping-particle":"","parse-names":false,"suffix":""},{"dropping-particle":"","family":"Alves","given":"Helton José","non-dropping-particle":"","parse-names":false,"suffix":""}],"container-title":"Renewable and Sustainable Energy Reviews","id":"ITEM-1","issue":"September 2016","issued":{"date-parts":[["2017"]]},"page":"563-571","publisher":"Elsevier","title":"Hydrogen production in the electrolysis of water in Brazil, a review","type":"article-journal","volume":"68"},"uris":["http://www.mendeley.com/documents/?uuid=26fbc633-ef5e-4826-8f49-ad85dd4d7f9a"]}],"mendeley":{"formattedCitation":"(dos Santos &lt;i&gt;et al.&lt;/i&gt;, 2017)","plainTextFormattedCitation":"(dos Santos et al., 2017)","previouslyFormattedCitation":"(dos Santos &lt;i&gt;et al.&lt;/i&gt;, 2017)"},"properties":{"noteIndex":0},"schema":"https://github.com/citation-style-language/schema/raw/master/csl-citation.json"}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(dos Santos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2017)</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p>
    <w:p w:rsidR="006D67F7" w:rsidRDefault="00A147DF" w:rsidP="006D67F7">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lang w:val="en-IN"/>
        </w:rPr>
        <w:t xml:space="preserve">This paper delivered an extensive and complete overview of current modelling functions upon the electrolysis system for small temperatures: The membrane interchange innovations of alkaline and proton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{"citationItems":[{"id":"ITEM-1","itemData":{"DOI":"10.1016/j.rser.2017.03.099","ISSN":"18790690","abstract":"This review provides an exhaustive and comprehensive analysis of the existing modelling works about low temperature electrolysis system: alkaline and proton exchange membrane (PEM) technologies. In order to achieve this review, a classification was built, based on different criteria such as physical domains involved or modelling approaches. The proposed methodology allows both exposing an overview of the electrolysis system modelling field and providing a deep analysis of each reviewed model. Actual strengths, weaknesses and lacks in this research field are pointed out and the performed analysis provides ideas for future research in this area.","author":[{"dropping-particle":"","family":"Olivier","given":"Pierre","non-dropping-particle":"","parse-names":false,"suffix":""},{"dropping-particle":"","family":"Bourasseau","given":"Cyril","non-dropping-particle":"","parse-names":false,"suffix":""},{"dropping-particle":"","family":"Bouamama","given":"Pr Belkacem","non-dropping-particle":"","parse-names":false,"suffix":""}],"container-title":"Renewable and Sustainable Energy Reviews","id":"ITEM-1","issue":"January 2016","issued":{"date-parts":[["2017"]]},"page":"280-300","title":"Low-temperature electrolysis system modelling: A review","type":"article-journal","volume":"78"},"uris":["http://www.mendeley.com/documents/?uuid=91cafadb-27a8-4a7c-bc42-a214e132f3c8"]}],"mendeley":{"formattedCitation":"(Olivier, Bourasseau and Bouamama, 2017)","plainTextFormattedCitation":"(Olivier, Bourasseau and Bouamama, 2017)","previouslyFormattedCitation":"(Olivier, Bourasseau and Bouamama, 2017)"},"properties":{"noteIndex":0},"schema":"https://github.com/citation-style-language/schema/raw/master/csl-citation.json"}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(Olivier, Bourasseau and Bouamama, 2017)</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rPr>
        <w:t xml:space="preserve">This </w:t>
      </w:r>
      <w:r w:rsidRPr="008C36F5">
        <w:rPr>
          <w:rFonts w:ascii="Times New Roman" w:hAnsi="Times New Roman" w:cs="Times New Roman"/>
          <w:sz w:val="20"/>
          <w:szCs w:val="20"/>
          <w:lang w:val="en-IN"/>
        </w:rPr>
        <w:t>study offered</w:t>
      </w:r>
      <w:r w:rsidRPr="008C36F5">
        <w:rPr>
          <w:rFonts w:ascii="Times New Roman" w:hAnsi="Times New Roman" w:cs="Times New Roman"/>
          <w:sz w:val="20"/>
          <w:szCs w:val="20"/>
        </w:rPr>
        <w:t xml:space="preserve"> a </w:t>
      </w:r>
      <w:r w:rsidRPr="008C36F5">
        <w:rPr>
          <w:rFonts w:ascii="Times New Roman" w:hAnsi="Times New Roman" w:cs="Times New Roman"/>
          <w:sz w:val="20"/>
          <w:szCs w:val="20"/>
          <w:lang w:val="en-IN"/>
        </w:rPr>
        <w:t>foundation</w:t>
      </w:r>
      <w:r w:rsidRPr="008C36F5">
        <w:rPr>
          <w:rFonts w:ascii="Times New Roman" w:hAnsi="Times New Roman" w:cs="Times New Roman"/>
          <w:sz w:val="20"/>
          <w:szCs w:val="20"/>
        </w:rPr>
        <w:t xml:space="preserve"> of </w:t>
      </w:r>
      <w:r w:rsidRPr="008C36F5">
        <w:rPr>
          <w:rFonts w:ascii="Times New Roman" w:hAnsi="Times New Roman" w:cs="Times New Roman"/>
          <w:sz w:val="20"/>
          <w:szCs w:val="20"/>
          <w:lang w:val="en-IN"/>
        </w:rPr>
        <w:t>essential parameters</w:t>
      </w:r>
      <w:r w:rsidRPr="008C36F5">
        <w:rPr>
          <w:rFonts w:ascii="Times New Roman" w:hAnsi="Times New Roman" w:cs="Times New Roman"/>
          <w:sz w:val="20"/>
          <w:szCs w:val="20"/>
        </w:rPr>
        <w:t xml:space="preserve"> and the </w:t>
      </w:r>
      <w:r w:rsidRPr="008C36F5">
        <w:rPr>
          <w:rFonts w:ascii="Times New Roman" w:hAnsi="Times New Roman" w:cs="Times New Roman"/>
          <w:sz w:val="20"/>
          <w:szCs w:val="20"/>
          <w:lang w:val="en-IN"/>
        </w:rPr>
        <w:t xml:space="preserve">requisite interpretation </w:t>
      </w:r>
      <w:r w:rsidRPr="008C36F5">
        <w:rPr>
          <w:rFonts w:ascii="Times New Roman" w:hAnsi="Times New Roman" w:cs="Times New Roman"/>
          <w:sz w:val="20"/>
          <w:szCs w:val="20"/>
        </w:rPr>
        <w:t xml:space="preserve">of electrolysis </w:t>
      </w:r>
      <w:r w:rsidRPr="008C36F5">
        <w:rPr>
          <w:rFonts w:ascii="Times New Roman" w:hAnsi="Times New Roman" w:cs="Times New Roman"/>
          <w:sz w:val="20"/>
          <w:szCs w:val="20"/>
          <w:lang w:val="en-IN"/>
        </w:rPr>
        <w:t>underlying basics</w:t>
      </w:r>
      <w:r w:rsidRPr="008C36F5">
        <w:rPr>
          <w:rFonts w:ascii="Times New Roman" w:hAnsi="Times New Roman" w:cs="Times New Roman"/>
          <w:sz w:val="20"/>
          <w:szCs w:val="20"/>
        </w:rPr>
        <w:t xml:space="preserve"> and </w:t>
      </w:r>
      <w:r w:rsidRPr="008C36F5">
        <w:rPr>
          <w:rFonts w:ascii="Times New Roman" w:hAnsi="Times New Roman" w:cs="Times New Roman"/>
          <w:sz w:val="20"/>
          <w:szCs w:val="20"/>
          <w:lang w:val="en-IN"/>
        </w:rPr>
        <w:t>innovations</w:t>
      </w:r>
      <w:r w:rsidRPr="008C36F5">
        <w:rPr>
          <w:rFonts w:ascii="Times New Roman" w:hAnsi="Times New Roman" w:cs="Times New Roman"/>
          <w:sz w:val="20"/>
          <w:szCs w:val="20"/>
        </w:rPr>
        <w:t xml:space="preserve"> for a techn</w:t>
      </w:r>
      <w:r w:rsidRPr="008C36F5">
        <w:rPr>
          <w:rFonts w:ascii="Times New Roman" w:hAnsi="Times New Roman" w:cs="Times New Roman"/>
          <w:sz w:val="20"/>
          <w:szCs w:val="20"/>
          <w:lang w:val="en-IN"/>
        </w:rPr>
        <w:t xml:space="preserve">ical and </w:t>
      </w:r>
      <w:r w:rsidRPr="008C36F5">
        <w:rPr>
          <w:rFonts w:ascii="Times New Roman" w:hAnsi="Times New Roman" w:cs="Times New Roman"/>
          <w:sz w:val="20"/>
          <w:szCs w:val="20"/>
        </w:rPr>
        <w:t xml:space="preserve">economic </w:t>
      </w:r>
      <w:r w:rsidRPr="008C36F5">
        <w:rPr>
          <w:rFonts w:ascii="Times New Roman" w:hAnsi="Times New Roman" w:cs="Times New Roman"/>
          <w:sz w:val="20"/>
          <w:szCs w:val="20"/>
          <w:lang w:val="en-IN"/>
        </w:rPr>
        <w:t>assessment</w:t>
      </w:r>
      <w:r w:rsidRPr="008C36F5">
        <w:rPr>
          <w:rFonts w:ascii="Times New Roman" w:hAnsi="Times New Roman" w:cs="Times New Roman"/>
          <w:sz w:val="20"/>
          <w:szCs w:val="20"/>
        </w:rPr>
        <w:t xml:space="preserve"> of </w:t>
      </w:r>
      <w:r w:rsidRPr="008C36F5">
        <w:rPr>
          <w:rFonts w:ascii="Times New Roman" w:hAnsi="Times New Roman" w:cs="Times New Roman"/>
          <w:sz w:val="20"/>
          <w:szCs w:val="20"/>
          <w:lang w:val="en-IN"/>
        </w:rPr>
        <w:t>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O</w:t>
      </w:r>
      <w:r w:rsidRPr="008C36F5">
        <w:rPr>
          <w:rFonts w:ascii="Times New Roman" w:hAnsi="Times New Roman" w:cs="Times New Roman"/>
          <w:sz w:val="20"/>
          <w:szCs w:val="20"/>
        </w:rPr>
        <w:t xml:space="preserve"> electrolysis-</w:t>
      </w:r>
      <w:r w:rsidRPr="008C36F5">
        <w:rPr>
          <w:rFonts w:ascii="Times New Roman" w:hAnsi="Times New Roman" w:cs="Times New Roman"/>
          <w:sz w:val="20"/>
          <w:szCs w:val="20"/>
          <w:lang w:val="en-IN"/>
        </w:rPr>
        <w:t>dependent principles</w:t>
      </w:r>
      <w:r w:rsidRPr="008C36F5">
        <w:rPr>
          <w:rFonts w:ascii="Times New Roman" w:hAnsi="Times New Roman" w:cs="Times New Roman"/>
          <w:sz w:val="20"/>
          <w:szCs w:val="20"/>
        </w:rPr>
        <w:t xml:space="preserve"> and </w:t>
      </w:r>
      <w:r w:rsidRPr="008C36F5">
        <w:rPr>
          <w:rFonts w:ascii="Times New Roman" w:hAnsi="Times New Roman" w:cs="Times New Roman"/>
          <w:sz w:val="20"/>
          <w:szCs w:val="20"/>
          <w:lang w:val="en-IN"/>
        </w:rPr>
        <w:t xml:space="preserve">also </w:t>
      </w:r>
      <w:r w:rsidRPr="008C36F5">
        <w:rPr>
          <w:rFonts w:ascii="Times New Roman" w:hAnsi="Times New Roman" w:cs="Times New Roman"/>
          <w:sz w:val="20"/>
          <w:szCs w:val="20"/>
        </w:rPr>
        <w:t>an</w:t>
      </w:r>
      <w:r w:rsidRPr="008C36F5">
        <w:rPr>
          <w:rFonts w:ascii="Times New Roman" w:hAnsi="Times New Roman" w:cs="Times New Roman"/>
          <w:sz w:val="20"/>
          <w:szCs w:val="20"/>
          <w:lang w:val="en-IN"/>
        </w:rPr>
        <w:t xml:space="preserve"> analysis o</w:t>
      </w:r>
      <w:r w:rsidRPr="008C36F5">
        <w:rPr>
          <w:rFonts w:ascii="Times New Roman" w:hAnsi="Times New Roman" w:cs="Times New Roman"/>
          <w:sz w:val="20"/>
          <w:szCs w:val="20"/>
        </w:rPr>
        <w:t xml:space="preserve">f </w:t>
      </w:r>
      <w:r w:rsidRPr="008C36F5">
        <w:rPr>
          <w:rFonts w:ascii="Times New Roman" w:hAnsi="Times New Roman" w:cs="Times New Roman"/>
          <w:sz w:val="20"/>
          <w:szCs w:val="20"/>
          <w:lang w:val="en-IN"/>
        </w:rPr>
        <w:t>power to gas</w:t>
      </w:r>
      <w:r w:rsidRPr="008C36F5">
        <w:rPr>
          <w:rFonts w:ascii="Times New Roman" w:hAnsi="Times New Roman" w:cs="Times New Roman"/>
          <w:sz w:val="20"/>
          <w:szCs w:val="20"/>
        </w:rPr>
        <w:t xml:space="preserve"> and </w:t>
      </w:r>
      <w:r w:rsidRPr="008C36F5">
        <w:rPr>
          <w:rFonts w:ascii="Times New Roman" w:hAnsi="Times New Roman" w:cs="Times New Roman"/>
          <w:sz w:val="20"/>
          <w:szCs w:val="20"/>
          <w:lang w:val="en-IN"/>
        </w:rPr>
        <w:t xml:space="preserve">liquid investigation of </w:t>
      </w:r>
      <w:r w:rsidRPr="008C36F5">
        <w:rPr>
          <w:rFonts w:ascii="Times New Roman" w:hAnsi="Times New Roman" w:cs="Times New Roman"/>
          <w:sz w:val="20"/>
          <w:szCs w:val="20"/>
        </w:rPr>
        <w:t xml:space="preserve">energy </w:t>
      </w:r>
      <w:r w:rsidRPr="008C36F5">
        <w:rPr>
          <w:rFonts w:ascii="Times New Roman" w:hAnsi="Times New Roman" w:cs="Times New Roman"/>
          <w:sz w:val="20"/>
          <w:szCs w:val="20"/>
          <w:lang w:val="en-IN"/>
        </w:rPr>
        <w:t xml:space="preserve">network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{"citationItems":[{"id":"ITEM-1","itemData":{"DOI":"10.1016/j.rser.2017.09.003","ISBN":"978-1-4577-0165-8","ISSN":"18790690","abstract":"Water electrolysis has the potential to become a key element in coupling the electricity, mobility, heating and chemical sector via Power-to-Liquids (PtL) or Power-to-Gas (PtG) in a future sustainable energy system. Based on an extensive market survey, discussions with manufacturers, project reports and literature, an overview of the current status of alkaline, PEM and solid oxide electrolysis on the way to large-scale flexible energy storage is presented. These main water electrolysis technologies were compared in terms of available capacity, nominal and part-load performance, flexibility (load range, load gradients, start-up time, stand-by losses) lifetime and investment costs. This review provides a basis of the parameters required and the necessary understanding of electrolysis fundamentals and technologies for a techno-economic analysis of water electrolysis-based concepts and an evaluation of PtG and PtL in energy system studies.","author":[{"dropping-particle":"","family":"Buttler","given":"Alexander","non-dropping-particle":"","parse-names":false,"suffix":""},{"dropping-particle":"","family":"Spliethoff","given":"Hartmut","non-dropping-particle":"","parse-names":false,"suffix":""}],"container-title":"Renewable and Sustainable Energy Reviews","id":"ITEM-1","issue":"September","issued":{"date-parts":[["2018"]]},"page":"2440-2454","title":"Current status of water electrolysis for energy storage, grid balancing and sector coupling via power-to-gas and power-to-liquids: A review","type":"article-journal","volume":"82"},"uris":["http://www.mendeley.com/documents/?uuid=95bada66-b0cf-455a-aac8-17ce7dadd9c8"]}],"mendeley":{"formattedCitation":"(Buttler and Spliethoff, 2018)","plainTextFormattedCitation":"(Buttler and Spliethoff, 2018)","previouslyFormattedCitation":"(Buttler and Spliethoff,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(Buttler and Spliethoff,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w:t>
      </w:r>
      <w:r w:rsidRPr="008C36F5">
        <w:rPr>
          <w:rFonts w:ascii="Times New Roman" w:hAnsi="Times New Roman" w:cs="Times New Roman"/>
          <w:sz w:val="20"/>
          <w:szCs w:val="20"/>
          <w:lang w:val="en-IN"/>
        </w:rPr>
        <w:t xml:space="preserve">In this review, a specific system of control that permits the production of Brown gas at the defined volumetric rate of flow with the PWM method was planned and created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{"citationItems":[{"id":"ITEM-1","itemData":{"DOI":"10.1016/j.ijhydene.2018.10.228","ISSN":"03603199","abstract":"Software and hardware advancements on a hydroxy gas (HHO) production system is presented in this experimental study. A unique control system that enables to generate hydroxy gas at the specified volumetric flow rates with pulse width modulation (PWM) technique is developed and manufactured. The novelty of the method is automatic control of the hydroxy production according to the instantaneous demand, in other words, the adaptation of the HHO system to the operating principles of internal combustion engines (ICEs). A stepping motor represented the vehicle engine in order to get variable rotational speed values. The instantaneous rotation speed range of the motor divided into four sections as no rotation, low (1000–2001 rpm), middle (2001–4001 rpm) and high (&gt;4001 rpm). A computer-driven microcontroller (MCU) card managed the entire system. The MCU card received motor speed input parameters and identified the PWM signal. Results of the study which are the electrical current, hydroxy gas flow and dry cell temperature ranges are presented in tables and graphs. The measured experimental data were 0–15 A, 0–1.56 L per minute and 24–48 °C for electrical current, hydroxy gas production and dry cell temperature ranges, respectively.","author":[{"dropping-particle":"","family":"Baltacıoğlu","given":"Mustafa Kaan","non-dropping-particle":"","parse-names":false,"suffix":""}],"container-title":"International Journal of Hydrogen Energy","id":"ITEM-1","issue":"xxxx","issued":{"date-parts":[["2018"]]},"title":"A novel application of pulse width modulation technique on hydroxy gas production","type":"article-journal"},"uris":["http://www.mendeley.com/documents/?uuid=54e0651d-6492-47ee-a63f-b07ce4624535"]}],"mendeley":{"formattedCitation":"(Baltacıoğlu, 2018)","plainTextFormattedCitation":"(Baltacıoğlu, 2018)","previouslyFormattedCitation":"(Baltacıoğlu, 2018)"},"properties":{"noteIndex":0},"schema":"https://github.com/citation-style-language/schema/raw/master/csl-citation.json"}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(Baltacıoğlu, 2018)</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rPr>
        <w:t xml:space="preserve">They worked on </w:t>
      </w:r>
      <w:r w:rsidRPr="008C36F5">
        <w:rPr>
          <w:rFonts w:ascii="Times New Roman" w:hAnsi="Times New Roman" w:cs="Times New Roman"/>
          <w:sz w:val="20"/>
          <w:szCs w:val="20"/>
          <w:lang w:val="en-IN"/>
        </w:rPr>
        <w:t>development</w:t>
      </w:r>
      <w:r w:rsidRPr="008C36F5">
        <w:rPr>
          <w:rFonts w:ascii="Times New Roman" w:hAnsi="Times New Roman" w:cs="Times New Roman"/>
          <w:sz w:val="20"/>
          <w:szCs w:val="20"/>
        </w:rPr>
        <w:t xml:space="preserve"> and us</w:t>
      </w:r>
      <w:r w:rsidRPr="008C36F5">
        <w:rPr>
          <w:rFonts w:ascii="Times New Roman" w:hAnsi="Times New Roman" w:cs="Times New Roman"/>
          <w:sz w:val="20"/>
          <w:szCs w:val="20"/>
          <w:lang w:val="en-IN"/>
        </w:rPr>
        <w:t>age</w:t>
      </w:r>
      <w:r w:rsidRPr="008C36F5">
        <w:rPr>
          <w:rFonts w:ascii="Times New Roman" w:hAnsi="Times New Roman" w:cs="Times New Roman"/>
          <w:sz w:val="20"/>
          <w:szCs w:val="20"/>
        </w:rPr>
        <w:t xml:space="preserve"> of</w:t>
      </w:r>
      <w:r w:rsidRPr="008C36F5">
        <w:rPr>
          <w:rFonts w:ascii="Times New Roman" w:hAnsi="Times New Roman" w:cs="Times New Roman"/>
          <w:sz w:val="20"/>
          <w:szCs w:val="20"/>
          <w:lang w:val="en-IN"/>
        </w:rPr>
        <w:t xml:space="preserve"> B.G</w:t>
      </w:r>
      <w:r w:rsidRPr="008C36F5">
        <w:rPr>
          <w:rFonts w:ascii="Times New Roman" w:hAnsi="Times New Roman" w:cs="Times New Roman"/>
          <w:sz w:val="20"/>
          <w:szCs w:val="20"/>
        </w:rPr>
        <w:t xml:space="preserve"> in </w:t>
      </w:r>
      <w:r w:rsidRPr="008C36F5">
        <w:rPr>
          <w:rFonts w:ascii="Times New Roman" w:hAnsi="Times New Roman" w:cs="Times New Roman"/>
          <w:sz w:val="20"/>
          <w:szCs w:val="20"/>
          <w:lang w:val="en-IN"/>
        </w:rPr>
        <w:t>I.C.E</w:t>
      </w:r>
      <w:r w:rsidRPr="008C36F5">
        <w:rPr>
          <w:rFonts w:ascii="Times New Roman" w:hAnsi="Times New Roman" w:cs="Times New Roman"/>
          <w:sz w:val="20"/>
          <w:szCs w:val="20"/>
        </w:rPr>
        <w:t xml:space="preserve">. The input parameters </w:t>
      </w:r>
      <w:r w:rsidRPr="008C36F5">
        <w:rPr>
          <w:rFonts w:ascii="Times New Roman" w:hAnsi="Times New Roman" w:cs="Times New Roman"/>
          <w:sz w:val="20"/>
          <w:szCs w:val="20"/>
          <w:lang w:val="en-IN"/>
        </w:rPr>
        <w:t>were</w:t>
      </w:r>
      <w:r w:rsidRPr="008C36F5">
        <w:rPr>
          <w:rFonts w:ascii="Times New Roman" w:hAnsi="Times New Roman" w:cs="Times New Roman"/>
          <w:sz w:val="20"/>
          <w:szCs w:val="20"/>
        </w:rPr>
        <w:t xml:space="preserve"> two electrodes, electrolyte and D.C power source. Arrangements of electrodes were used for electrolysis of water with the help which HHO gas was generated. The purpose</w:t>
      </w:r>
      <w:r w:rsidRPr="008C36F5">
        <w:rPr>
          <w:rFonts w:ascii="Times New Roman" w:hAnsi="Times New Roman" w:cs="Times New Roman"/>
          <w:sz w:val="20"/>
          <w:szCs w:val="20"/>
          <w:lang w:val="en-IN"/>
        </w:rPr>
        <w:t xml:space="preserve"> was</w:t>
      </w:r>
      <w:r w:rsidRPr="008C36F5">
        <w:rPr>
          <w:rFonts w:ascii="Times New Roman" w:hAnsi="Times New Roman" w:cs="Times New Roman"/>
          <w:sz w:val="20"/>
          <w:szCs w:val="20"/>
        </w:rPr>
        <w:t xml:space="preserve"> to </w:t>
      </w:r>
      <w:r w:rsidRPr="008C36F5">
        <w:rPr>
          <w:rFonts w:ascii="Times New Roman" w:hAnsi="Times New Roman" w:cs="Times New Roman"/>
          <w:sz w:val="20"/>
          <w:szCs w:val="20"/>
          <w:lang w:val="en-IN"/>
        </w:rPr>
        <w:t>decrease</w:t>
      </w:r>
      <w:r w:rsidRPr="008C36F5">
        <w:rPr>
          <w:rFonts w:ascii="Times New Roman" w:hAnsi="Times New Roman" w:cs="Times New Roman"/>
          <w:sz w:val="20"/>
          <w:szCs w:val="20"/>
        </w:rPr>
        <w:t xml:space="preserve"> the</w:t>
      </w:r>
      <w:r w:rsidRPr="008C36F5">
        <w:rPr>
          <w:rFonts w:ascii="Times New Roman" w:hAnsi="Times New Roman" w:cs="Times New Roman"/>
          <w:sz w:val="20"/>
          <w:szCs w:val="20"/>
          <w:lang w:val="en-IN"/>
        </w:rPr>
        <w:t xml:space="preserve"> fossil fuel consumption</w:t>
      </w:r>
      <w:r w:rsidRPr="008C36F5">
        <w:rPr>
          <w:rFonts w:ascii="Times New Roman" w:hAnsi="Times New Roman" w:cs="Times New Roman"/>
          <w:sz w:val="20"/>
          <w:szCs w:val="20"/>
        </w:rPr>
        <w:t xml:space="preserve"> and </w:t>
      </w:r>
      <w:r w:rsidRPr="008C36F5">
        <w:rPr>
          <w:rFonts w:ascii="Times New Roman" w:hAnsi="Times New Roman" w:cs="Times New Roman"/>
          <w:sz w:val="20"/>
          <w:szCs w:val="20"/>
          <w:lang w:val="en-IN"/>
        </w:rPr>
        <w:t>enhance</w:t>
      </w:r>
      <w:r w:rsidRPr="008C36F5">
        <w:rPr>
          <w:rFonts w:ascii="Times New Roman" w:hAnsi="Times New Roman" w:cs="Times New Roman"/>
          <w:sz w:val="20"/>
          <w:szCs w:val="20"/>
        </w:rPr>
        <w:t xml:space="preserve"> the η</w:t>
      </w:r>
      <w:r w:rsidRPr="008C36F5">
        <w:rPr>
          <w:rFonts w:ascii="Times New Roman" w:hAnsi="Times New Roman" w:cs="Times New Roman"/>
          <w:sz w:val="20"/>
          <w:szCs w:val="20"/>
          <w:vertAlign w:val="subscript"/>
        </w:rPr>
        <w:t>th</w:t>
      </w:r>
      <w:r w:rsidRPr="008C36F5">
        <w:rPr>
          <w:rFonts w:ascii="Times New Roman" w:hAnsi="Times New Roman" w:cs="Times New Roman"/>
          <w:sz w:val="20"/>
          <w:szCs w:val="20"/>
        </w:rPr>
        <w:t xml:space="preserve"> of I.C.E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{"citationItems":[{"id":"ITEM-1","itemData":{"DOI":"10.1016/j.ijhydene.2018.02.120","ISSN":"03603199","abstract":"HHO gas, which is obtained by the electrolysis of water, is a promising alternative fuel. This paper presents a review of important features and techniques used for producing HHO gas. Various aspects of the thermodynamics and chemical kinetics of electrolysis reactions are discussed. Design and operating parameters for improving the gas production rate are identified. Widely different hypotheses regarding the structure and composition of HHO gas are compared in depth. The state of the art on the use of HHO gas in Internal Combustion (IC) engines is presented in the latter part of the paper. It is seen that the introduction of HHO gas increases engine torque, power and thermal efficiency, while simultaneously reducing the formation of NOx, CO, HC and CO2. The major challenges in using HHO gas in engines are identified as system complexity, safety, cost and efficiency of electrolysis.","author":[{"dropping-particle":"","family":"Subramanian","given":"Balaji","non-dropping-particle":"","parse-names":false,"suffix":""},{"dropping-particle":"","family":"Ismail","given":"Saleel","non-dropping-particle":"","parse-names":false,"suffix":""}],"container-title":"International Journal of Hydrogen Energy","id":"ITEM-1","issue":"14","issued":{"date-parts":[["2018"]]},"page":"7140-7154","publisher":"Elsevier Ltd","title":"Production and use of HHO gas in IC engines","type":"article-journal","volume":"43"},"uris":["http://www.mendeley.com/documents/?uuid=4669f9bd-0961-4313-812d-89864fc50ea1"]}],"mendeley":{"formattedCitation":"(Subramanian and Ismail, 2018)","plainTextFormattedCitation":"(Subramanian and Ismail, 2018)","previouslyFormattedCitation":"(Subramanian and Ismail,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(Subramanian and Ismail,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w:t>
      </w:r>
      <w:r w:rsidRPr="008C36F5">
        <w:rPr>
          <w:rFonts w:ascii="Times New Roman" w:hAnsi="Times New Roman" w:cs="Times New Roman"/>
          <w:sz w:val="20"/>
          <w:szCs w:val="20"/>
          <w:lang w:val="en-IN"/>
        </w:rPr>
        <w:t xml:space="preserve">An electrolyzer test was performed to verify the performance of its use in diesel engines. The results indicated that its brown gas production rate was linear </w:t>
      </w:r>
      <w:r w:rsidR="0063134A" w:rsidRPr="008C36F5">
        <w:rPr>
          <w:rFonts w:ascii="Times New Roman" w:hAnsi="Times New Roman" w:cs="Times New Roman"/>
          <w:color w:val="000000" w:themeColor="text1"/>
          <w:sz w:val="20"/>
          <w:szCs w:val="20"/>
          <w:lang w:val="en-IN"/>
        </w:rPr>
        <w:fldChar w:fldCharType="begin" w:fldLock="1"/>
      </w:r>
      <w:r w:rsidRPr="008C36F5">
        <w:rPr>
          <w:rFonts w:ascii="Times New Roman" w:hAnsi="Times New Roman" w:cs="Times New Roman"/>
          <w:color w:val="000000" w:themeColor="text1"/>
          <w:sz w:val="20"/>
          <w:szCs w:val="20"/>
          <w:lang w:val="en-IN"/>
        </w:rPr>
        <w:instrText>ADDIN CSL_CITATION {"citationItems":[{"id":"ITEM-1","itemData":{"DOI":"10.1002/ente.201600222","ISSN":"21944296","abstract":"The infusion of Brown's gas into a diesel engine can create faster, more efficient combustion, which can be produced by using an alkaline electrolyzer. Brown's gas consists of 2/3 hydrogen and 1/3 oxygen by volume, as produced by the alkaline electrolyzer. An experimental test setup for verifying the performance of an electrolyzer provided by Stan Warner was established in the Battery Laboratory at the University of California Davis. A series of tests were performed under constant current and pulse current modes. Analyses of the data indicate that the electrolyzer functions reliably at all current values. The Brown's gas production rate is found to be linear with current and in agreement with Faraday's Law. The electrolyzer meets the developer's claim of 3–4 L min−1 of Brown's gas production at 60 A. The calculated energy efficiency of the electrolyzer based on the high heating value of hydrogen is 61 % at 70 A. The performance and pulse characteristics of the Warner electrolyzer indicate it is well suited for use in diesel truck applications.","author":[{"dropping-particle":"","family":"Wu","given":"Yimin","non-dropping-particle":"","parse-names":false,"suffix":""},{"dropping-particle":"","family":"Xie","given":"Changjun","non-dropping-particle":"","parse-names":false,"suffix":""},{"dropping-particle":"","family":"Burke","given":"Andrew","non-dropping-particle":"","parse-names":false,"suffix":""},{"dropping-particle":"","family":"Zhao","given":"Hengbing","non-dropping-particle":"","parse-names":false,"suffix":""},{"dropping-particle":"","family":"Miller","given":"Marshall","non-dropping-particle":"","parse-names":false,"suffix":""},{"dropping-particle":"","family":"Warner","given":"Stan","non-dropping-particle":"","parse-names":false,"suffix":""}],"container-title":"Energy Technology","id":"ITEM-1","issue":"2","issued":{"date-parts":[["2017"]]},"page":"244-252","title":"Experimental Investigation of Producing Brown's Gas using a Metal-Plate Electrolyzer for Diesel Vehicle Applications","type":"article-journal","volume":"5"},"uris":["http://www.mendeley.com/documents/?uuid=d861845e-8922-4b35-9ee2-e2fc43680655"]}],"mendeley":{"formattedCitation":"(Wu &lt;i&gt;et al.&lt;/i&gt;, 2017)","plainTextFormattedCitation":"(Wu et al., 2017)","previouslyFormattedCitation":"(Wu &lt;i&gt;et al.&lt;/i&gt;, 2017)"},"properties":{"noteIndex":0},"schema":"https://github.com/citation-style-language/schema/raw/master/csl-citation.json"}</w:instrText>
      </w:r>
      <w:r w:rsidR="0063134A" w:rsidRPr="008C36F5">
        <w:rPr>
          <w:rFonts w:ascii="Times New Roman" w:hAnsi="Times New Roman" w:cs="Times New Roman"/>
          <w:color w:val="000000" w:themeColor="text1"/>
          <w:sz w:val="20"/>
          <w:szCs w:val="20"/>
          <w:lang w:val="en-IN"/>
        </w:rPr>
        <w:fldChar w:fldCharType="separate"/>
      </w:r>
      <w:r w:rsidRPr="008C36F5">
        <w:rPr>
          <w:rFonts w:ascii="Times New Roman" w:hAnsi="Times New Roman" w:cs="Times New Roman"/>
          <w:noProof/>
          <w:color w:val="000000" w:themeColor="text1"/>
          <w:sz w:val="20"/>
          <w:szCs w:val="20"/>
          <w:lang w:val="en-IN"/>
        </w:rPr>
        <w:t xml:space="preserve">(Wu </w:t>
      </w:r>
      <w:r w:rsidRPr="008C36F5">
        <w:rPr>
          <w:rFonts w:ascii="Times New Roman" w:hAnsi="Times New Roman" w:cs="Times New Roman"/>
          <w:i/>
          <w:noProof/>
          <w:color w:val="000000" w:themeColor="text1"/>
          <w:sz w:val="20"/>
          <w:szCs w:val="20"/>
          <w:lang w:val="en-IN"/>
        </w:rPr>
        <w:t>et al.</w:t>
      </w:r>
      <w:r w:rsidRPr="008C36F5">
        <w:rPr>
          <w:rFonts w:ascii="Times New Roman" w:hAnsi="Times New Roman" w:cs="Times New Roman"/>
          <w:noProof/>
          <w:color w:val="000000" w:themeColor="text1"/>
          <w:sz w:val="20"/>
          <w:szCs w:val="20"/>
          <w:lang w:val="en-IN"/>
        </w:rPr>
        <w:t>, 2017)</w:t>
      </w:r>
      <w:r w:rsidR="0063134A" w:rsidRPr="008C36F5">
        <w:rPr>
          <w:rFonts w:ascii="Times New Roman" w:hAnsi="Times New Roman" w:cs="Times New Roman"/>
          <w:color w:val="000000" w:themeColor="text1"/>
          <w:sz w:val="20"/>
          <w:szCs w:val="20"/>
          <w:lang w:val="en-IN"/>
        </w:rPr>
        <w:fldChar w:fldCharType="end"/>
      </w:r>
      <w:r w:rsidRPr="008C36F5">
        <w:rPr>
          <w:rFonts w:ascii="Times New Roman" w:hAnsi="Times New Roman" w:cs="Times New Roman"/>
          <w:color w:val="000000" w:themeColor="text1"/>
          <w:sz w:val="20"/>
          <w:szCs w:val="20"/>
          <w:lang w:val="en-IN"/>
        </w:rPr>
        <w:t xml:space="preserve">. </w:t>
      </w:r>
      <w:r w:rsidRPr="008C36F5">
        <w:rPr>
          <w:rFonts w:ascii="Times New Roman" w:hAnsi="Times New Roman" w:cs="Times New Roman"/>
          <w:bCs/>
          <w:sz w:val="20"/>
          <w:szCs w:val="20"/>
        </w:rPr>
        <w:t>This study shows that the evolution of the oxygen and bubble effect plays a crucial role in determining the electrolyzer's performance</w:t>
      </w:r>
      <w:r w:rsidRPr="008C36F5">
        <w:rPr>
          <w:rFonts w:ascii="Times New Roman" w:hAnsi="Times New Roman" w:cs="Times New Roman"/>
          <w:sz w:val="20"/>
          <w:szCs w:val="20"/>
        </w:rPr>
        <w:t xml:space="preserv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{"citationItems":[{"id":"ITEM-1","itemData":{"DOI":"10.1002/er.3806","ISSN":"1099114X","abstract":"A traditional alkaline aqueous electrolyzer is investigated by using a 3-electode structure that enables the reaction resistance of each individual electrode to be accurately monitored. Combining experimental observations with resistance-based model analysis, we establish a quantitative relationship between current density and key voltage losses, including losses due to thermodynamics, kinetics, ohmic, and mass transport. These results demonstrate that the oxygen evolution reaction and bubble effects play crucial roles in determining electrolyzer performance. By varying the distance between electrodes, 2 effective OH−conductivities in 0.4M KOH are found to be 0.1333 and 0.9650 second cm−1, depending on bubble formation and release rate at the electrode interface. Moreover, bubble coverage on electrode surface achieves a steady state of 96% when current density is above 0.1 A cm−2. In the study of various electrolyte concentrations, all the model predictions show good agreement with experimental results, confirming its ability to capture actual cell performance. This newly presented empirical resistance-based model provides a practical framework to simulate complicated electrolysis reactions, serving as a comprehensive guide for continuous improvement of water electrolysis.","author":[{"dropping-particle":"","family":"Chen","given":"Yanan","non-dropping-particle":"","parse-names":false,"suffix":""},{"dropping-particle":"","family":"Mojica","given":"Felipe","non-dropping-particle":"","parse-names":false,"suffix":""},{"dropping-particle":"","family":"Li","given":"Guangfu","non-dropping-particle":"","parse-names":false,"suffix":""},{"dropping-particle":"","family":"Chuang","given":"Po Ya Abel","non-dropping-particle":"","parse-names":false,"suffix":""}],"container-title":"International Journal of Energy Research","id":"ITEM-1","issue":"14","issued":{"date-parts":[["2017"]]},"page":"2365-2373","title":"Experimental study and analytical modeling of an alkaline water electrolysis cell","type":"article-journal","volume":"41"},"uris":["http://www.mendeley.com/documents/?uuid=845019e8-08ef-4339-b49c-d593ca1fdcfd"]}],"mendeley":{"formattedCitation":"(Chen &lt;i&gt;et al.&lt;/i&gt;, 2017)","plainTextFormattedCitation":"(Chen et al., 2017)","previouslyFormattedCitation":"(Chen &lt;i&gt;et al.&lt;/i&gt;, 2017)"},"properties":{"noteIndex":0},"schema":"https://github.com/citation-style-language/schema/raw/master/csl-citation.json"}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(Chen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2017)</w:t>
      </w:r>
      <w:r w:rsidR="0063134A" w:rsidRPr="008C36F5">
        <w:rPr>
          <w:rFonts w:ascii="Times New Roman" w:hAnsi="Times New Roman" w:cs="Times New Roman"/>
          <w:sz w:val="20"/>
          <w:szCs w:val="20"/>
        </w:rPr>
        <w:fldChar w:fldCharType="end"/>
      </w:r>
      <w:r w:rsidR="006D67F7">
        <w:rPr>
          <w:rFonts w:ascii="Times New Roman" w:hAnsi="Times New Roman" w:cs="Times New Roman"/>
          <w:sz w:val="20"/>
          <w:szCs w:val="20"/>
        </w:rPr>
        <w:t xml:space="preserve">. </w:t>
      </w:r>
    </w:p>
    <w:p w:rsidR="00A147DF" w:rsidRPr="008C36F5" w:rsidRDefault="00A147DF" w:rsidP="006D67F7">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The new water desalination system can run all day and has a greater daily distilled water production than the old system, but it is less efficient. Cooking, welding, and cutting are just a few of the home and industrial applications for HHO gas. As a fuel, HHO gas can be used separately or in combination (</w:t>
      </w:r>
      <w:r w:rsidRPr="008C36F5">
        <w:rPr>
          <w:rFonts w:ascii="Times New Roman" w:eastAsia="Times New Roman" w:hAnsi="Times New Roman" w:cs="Times New Roman"/>
          <w:sz w:val="20"/>
          <w:szCs w:val="20"/>
          <w:lang w:eastAsia="en-IN"/>
        </w:rPr>
        <w:t>Nabil et al. 2019).</w:t>
      </w:r>
      <w:r w:rsidRPr="008C36F5">
        <w:rPr>
          <w:rFonts w:ascii="Times New Roman" w:hAnsi="Times New Roman" w:cs="Times New Roman"/>
          <w:sz w:val="20"/>
          <w:szCs w:val="20"/>
        </w:rPr>
        <w:t xml:space="preserve"> This study was focused on studying the possibility of adding additional hydrogen and oxygen gas into air-and-fuel mixtures. This gas used to evaluate the efficiency of fuel system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{"citationItems":[{"id":"ITEM-1","itemData":{"DOI":"10.3846/16486897.2012.679661","ISSN":"1648-6897","abstract":"Hydrogen could become an important element, allowing us to accumulate and transfer energy in a clean way. Hydrogen can be used in cars as a fuel additive which increases the combustion efficiency of the fuel-air mixture. A small amount of hydrogen gas could also be produced in a car by decomposing water by means of electrolysis, using for this purpose the energy produced by the car's electric power generator. The hydrogen and oxygen (HHO) mixture obtained, which is also known as Brown's gaseous mixture, is supplied to the engine's intake manifold. Tests have been performed with 1.6 TD (SB) diesel engine. The automobile was tested on a chassis dynamometer running at a different speed. The engine was tested using fuel-air combustion mixture and fuel-air-HHO gas combustion mixture without additional adjustment of the fuel supply system. The test results have revealed that additional injection of HHO gas into combustion mixture resulted in up increase of fuel consumption, but the CO, the HC, the PM amount has decreased insignificantly. At few engine loads the amount of NOx decreased, however increasing the engine load resulted in a gradual increase. Having analysed test results we came to a conclusion that additional supply of HHO gas into combustion mixture resulted in improvement of the combustion quality of fuel-air mixture and ecological performance of the engine. This is especially relevant for the automobiles which are not equipped with a supplementary exhaust gas toxicity decreasing system. © 2013 Vilnius Gediminas Technical University (VGTU) Press.","author":[{"dropping-particle":"","family":"Rimkus","given":"Alfredas","non-dropping-particle":"","parse-names":false,"suffix":""},{"dropping-particle":"","family":"Pukalskas","given":"Saugirdas","non-dropping-particle":"","parse-names":false,"suffix":""},{"dropping-particle":"","family":"Matijošius","given":"Jonas","non-dropping-particle":"","parse-names":false,"suffix":""},{"dropping-particle":"","family":"Sokolovskij","given":"Edgar","non-dropping-particle":"","parse-names":false,"suffix":""}],"container-title":"Journal of Environmental Engineering and Landscape Management","id":"ITEM-1","issue":"2","issued":{"date-parts":[["2012"]]},"page":"133-140","title":"Betterment of ecological parameters of a diesel engine using Brown‘s gas","type":"article-journal","volume":"21"},"uris":["http://www.mendeley.com/documents/?uuid=7553e9e1-010f-41bc-892e-f44b24a1579c"]}],"mendeley":{"formattedCitation":"(Rimkus &lt;i&gt;et al.&lt;/i&gt;, 2012)","plainTextFormattedCitation":"(Rimkus et al., 2012)","previouslyFormattedCitation":"(Rimkus &lt;i&gt;et al.&lt;/i&gt;, 2012)"},"properties":{"noteIndex":0},"schema":"https://github.com/citation-style-language/schema/raw/master/csl-citation.json"}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(Rimkus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2012)</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The rate at which HHO gas was generated by electrolysis was proportional to voltage and current. With increasing load and HHO injection rate, frictional power rises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{"citationItems":[{"id":"ITEM-1","itemData":{"DOI":"10.24247/ijmperdjun2020937","ISSN":"2249-6890","abstract":"The demand for fossil fuels is increasing regularly; therefore Researchers are facing the challenge of finding promising alternative fuels such as hydrogen, oxyhydrogen, alcohol, biodiesel fuels etc. Some of the adverse effects of the current fuel technology prevailing in internal combustion engines are poor air quality index, increased accumulation of greenhouse gases in the environment. The aim of present research was to generate the oxyhydrogen gas through the process of electrolysis and send the homogeneous mixture of gasoline and oxyhydrogen into the four cylinder four stroke spark ignition engine and then analyse emission and performance parameters. Oxyhydrogen gas was manipulated as a secondary fuel in spark ignited1298 cc engine. Results obtained conclude that by using oxyhydrogen and gasoline mixture the r.p.m increased by 9%, fuel consumption decreased by 10.80%, brake power increased by 8.61%, indicated power increased by 12.63% whereas indicated and brake specific fuel consumption decreased by 21.18% and 18.17% respectively, also the emission of hydrocarbon decreased by 8.25% and carbon monoxide decreased by 6.05%. The drawback of this research setup was the increase in frictional losses due to high heat generation which accompany the reduction in mechanical efficiency by 4.31%. Oxyhydrogen generator and supplying system can be made compatible to the engine without any major modification which approaches towards better results.","author":[{"dropping-particle":"","family":"Shrikant Bhardwaj et al.,","given":"Shrikant Bhardwaj et al.,","non-dropping-particle":"","parse-names":false,"suffix":""},{"dropping-particle":"","family":"Shrikant Bhardwaj et al.,, Shrikant Bhardwaj et al.","given":"","non-dropping-particle":"","parse-names":false,"suffix":""}],"container-title":"International Journal of Mechanical and Production Engineering Research and Development","id":"ITEM-1","issue":"3","issued":{"date-parts":[["2020"]]},"page":"9811-9824","title":"Modelling and Simulation of Gasoline Engine at Different Load Conditions using Oxyhydrogen Blend","type":"article-journal","volume":"10"},"uris":["http://www.mendeley.com/documents/?uuid=6d9d7f96-374c-49e4-a919-485b0eb48044"]}],"mendeley":{"formattedCitation":"(Shrikant Bhardwaj et al., and Shrikant Bhardwaj et al.,, Shrikant Bhardwaj et al., 2020)","manualFormatting":" Shrikant Bhardwaj et al., 2020)","plainTextFormattedCitation":"(Shrikant Bhardwaj et al., and Shrikant Bhardwaj et al.,, Shrikant Bhardwaj et al., 2020)","previouslyFormattedCitation":"(Shrikant Bhardwaj et al., and Shrikant Bhardwaj et al.,, Shrikant Bhardwaj et al., 2020)"},"properties":{"noteIndex":0},"schema":"https://github.com/citation-style-language/schema/raw/master/csl-citation.json"}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Shrikant Bhardwaj et al., 2020)</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The addition of HHO increased combustion duration and peak pressure, and it reduced ignition delay and blood pressure. It also resulted in a drop in emissions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{"citationItems":[{"id":"ITEM-1","itemData":{"DOI":"10.1080/15567036.2020.1817194","ISSN":"15567230","abstract":"The oxides of nitrogen (NO x) and smoke emitted by widely used compression ignition (CI) engines of automobiles are among the major contributor to the environmental pollution. Several attempts are being made to reduce these exhaust emissions from automobiles. Low-temperature combustion (LTC) with homogeneous charge compression ignition (HCCI) is one of the strategies to reduce these engine exhaust emissions. The present work investigates the addition of Brown’s gas (HHO) in the intake manifold of a stationary common rail direct injection CI engine in HCCI mode. In the experiments, electronically assisted fuel injection system was used to maintain the injection pressure to 250 bars. The effect of HHO addition on the combustion and emissions was studied for different loads and injection advance. It was observed that the brake power, brake thermal efficiency, and brake-specific fuel consumption were improved by around 5% due to HHO addition. However, they were found to be decreased with increased injection advance. Moreover, a considerable reduction in NOx emission, i.e., 1–12 ppm was recorded for early injection mode. Thus, Brown’s gas addition with LTC strategy may result in reduced environmental pollution.","author":[{"dropping-particle":"","family":"Bhave","given":"Nikhil Aniruddha","non-dropping-particle":"","parse-names":false,"suffix":""},{"dropping-particle":"","family":"Gupta","given":"Mahendra M.","non-dropping-particle":"","parse-names":false,"suffix":""},{"dropping-particle":"","family":"Joshi","given":"Sandeep S.","non-dropping-particle":"","parse-names":false,"suffix":""}],"container-title":"Energy Sources, Part A: Recovery, Utilization and Environmental Effects","id":"ITEM-1","issue":"x","issued":{"date-parts":[["2020"]]},"title":"Effect of Brown’s gas addition on combustion and emissions of homogeneous charge compression ignition engine","type":"article-journal"},"uris":["http://www.mendeley.com/documents/?uuid=598fb8d9-8638-4783-abd0-1a0b87fd1b3e"]}],"mendeley":{"formattedCitation":"(Bhave, Gupta and Joshi, 2020)","manualFormatting":"(Bhave,et.al 2020)","plainTextFormattedCitation":"(Bhave, Gupta and Joshi, 2020)","previouslyFormattedCitation":"(Bhave, Gupta and Joshi, 2020)"},"properties":{"noteIndex":0},"schema":"https://github.com/citation-style-language/schema/raw/master/csl-citation.json"}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(Bhave, et.al 2020)</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w:t>
      </w:r>
    </w:p>
    <w:p w:rsidR="00A147DF" w:rsidRPr="006D67F7" w:rsidRDefault="00A147DF" w:rsidP="008C36F5">
      <w:pPr>
        <w:spacing w:line="240" w:lineRule="auto"/>
        <w:rPr>
          <w:rFonts w:ascii="Times New Roman" w:hAnsi="Times New Roman" w:cs="Times New Roman"/>
          <w:b/>
          <w:szCs w:val="20"/>
        </w:rPr>
      </w:pPr>
      <w:r w:rsidRPr="006D67F7">
        <w:rPr>
          <w:rFonts w:ascii="Times New Roman" w:hAnsi="Times New Roman" w:cs="Times New Roman"/>
          <w:b/>
          <w:szCs w:val="20"/>
        </w:rPr>
        <w:lastRenderedPageBreak/>
        <w:t>Table: 2</w:t>
      </w:r>
      <w:r w:rsidR="002C77A4" w:rsidRPr="006D67F7">
        <w:rPr>
          <w:rFonts w:ascii="Times New Roman" w:hAnsi="Times New Roman" w:cs="Times New Roman"/>
          <w:b/>
          <w:szCs w:val="20"/>
        </w:rPr>
        <w:t xml:space="preserve"> </w:t>
      </w:r>
      <w:r w:rsidRPr="006D67F7">
        <w:rPr>
          <w:rFonts w:ascii="Times New Roman" w:hAnsi="Times New Roman" w:cs="Times New Roman"/>
          <w:b/>
          <w:szCs w:val="20"/>
        </w:rPr>
        <w:t xml:space="preserve">Research Activities on Generation of Oxyhydrogen Gas (HHO)/ </w:t>
      </w:r>
      <w:r w:rsidRPr="006D67F7">
        <w:rPr>
          <w:rFonts w:ascii="Times New Roman" w:hAnsi="Times New Roman" w:cs="Times New Roman"/>
          <w:b/>
          <w:szCs w:val="20"/>
          <w:lang w:val="en-IN"/>
        </w:rPr>
        <w:t>H</w:t>
      </w:r>
      <w:r w:rsidRPr="006D67F7">
        <w:rPr>
          <w:rFonts w:ascii="Times New Roman" w:hAnsi="Times New Roman" w:cs="Times New Roman"/>
          <w:b/>
          <w:szCs w:val="20"/>
          <w:vertAlign w:val="subscript"/>
          <w:lang w:val="en-IN"/>
        </w:rPr>
        <w:t>2</w:t>
      </w:r>
      <w:r w:rsidRPr="006D67F7">
        <w:rPr>
          <w:rFonts w:ascii="Times New Roman" w:hAnsi="Times New Roman" w:cs="Times New Roman"/>
          <w:b/>
          <w:szCs w:val="20"/>
          <w:lang w:val="en-IN"/>
        </w:rPr>
        <w:t xml:space="preserve"> gas</w:t>
      </w:r>
      <w:r w:rsidRPr="006D67F7">
        <w:rPr>
          <w:rFonts w:ascii="Times New Roman" w:hAnsi="Times New Roman" w:cs="Times New Roman"/>
          <w:b/>
          <w:szCs w:val="20"/>
        </w:rPr>
        <w:t xml:space="preserve"> through Conventional Method of Electrolysis Using Chemical and Salts like: (NaOH, KOH &amp; NaHCO</w:t>
      </w:r>
      <w:r w:rsidRPr="006D67F7">
        <w:rPr>
          <w:rFonts w:ascii="Times New Roman" w:hAnsi="Times New Roman" w:cs="Times New Roman"/>
          <w:b/>
          <w:szCs w:val="20"/>
          <w:vertAlign w:val="subscript"/>
        </w:rPr>
        <w:t>3</w:t>
      </w:r>
      <w:r w:rsidRPr="006D67F7">
        <w:rPr>
          <w:rFonts w:ascii="Times New Roman" w:hAnsi="Times New Roman" w:cs="Times New Roman"/>
          <w:b/>
          <w:szCs w:val="20"/>
        </w:rPr>
        <w:t>).</w:t>
      </w:r>
    </w:p>
    <w:tbl>
      <w:tblPr>
        <w:tblStyle w:val="LightShading"/>
        <w:tblW w:w="5000" w:type="pct"/>
        <w:shd w:val="clear" w:color="auto" w:fill="FFFFFF" w:themeFill="background1"/>
        <w:tblLook w:val="04A0" w:firstRow="1" w:lastRow="0" w:firstColumn="1" w:lastColumn="0" w:noHBand="0" w:noVBand="1"/>
      </w:tblPr>
      <w:tblGrid>
        <w:gridCol w:w="1488"/>
        <w:gridCol w:w="1433"/>
        <w:gridCol w:w="2019"/>
        <w:gridCol w:w="2017"/>
        <w:gridCol w:w="2018"/>
        <w:gridCol w:w="579"/>
        <w:gridCol w:w="22"/>
      </w:tblGrid>
      <w:tr w:rsidR="00A147DF" w:rsidRPr="008C36F5" w:rsidTr="00BA1D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6D67F7" w:rsidRDefault="00A147DF" w:rsidP="006D67F7">
            <w:pPr>
              <w:spacing w:after="100"/>
              <w:jc w:val="center"/>
              <w:rPr>
                <w:rFonts w:ascii="Times New Roman" w:hAnsi="Times New Roman" w:cs="Times New Roman"/>
                <w:szCs w:val="20"/>
                <w:lang w:val="en-IN"/>
              </w:rPr>
            </w:pPr>
            <w:r w:rsidRPr="006D67F7">
              <w:rPr>
                <w:rFonts w:ascii="Times New Roman" w:hAnsi="Times New Roman" w:cs="Times New Roman"/>
                <w:szCs w:val="20"/>
              </w:rPr>
              <w:t>Author &amp; year</w:t>
            </w:r>
          </w:p>
        </w:tc>
        <w:tc>
          <w:tcPr>
            <w:tcW w:w="699" w:type="pct"/>
            <w:shd w:val="clear" w:color="auto" w:fill="FFFFFF" w:themeFill="background1"/>
          </w:tcPr>
          <w:p w:rsidR="00A147DF" w:rsidRPr="006D67F7" w:rsidRDefault="00A147DF" w:rsidP="006D67F7">
            <w:pPr>
              <w:spacing w:after="10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0"/>
                <w:lang w:val="en-IN"/>
              </w:rPr>
            </w:pPr>
            <w:r w:rsidRPr="006D67F7">
              <w:rPr>
                <w:rFonts w:ascii="Times New Roman" w:hAnsi="Times New Roman" w:cs="Times New Roman"/>
                <w:szCs w:val="20"/>
              </w:rPr>
              <w:t>Input</w:t>
            </w:r>
          </w:p>
        </w:tc>
        <w:tc>
          <w:tcPr>
            <w:tcW w:w="1137" w:type="pct"/>
            <w:shd w:val="clear" w:color="auto" w:fill="FFFFFF" w:themeFill="background1"/>
          </w:tcPr>
          <w:p w:rsidR="00A147DF" w:rsidRPr="006D67F7" w:rsidRDefault="00A147DF" w:rsidP="006D67F7">
            <w:pPr>
              <w:spacing w:after="10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0"/>
                <w:lang w:val="en-IN"/>
              </w:rPr>
            </w:pPr>
            <w:r w:rsidRPr="006D67F7">
              <w:rPr>
                <w:rFonts w:ascii="Times New Roman" w:hAnsi="Times New Roman" w:cs="Times New Roman"/>
                <w:szCs w:val="20"/>
              </w:rPr>
              <w:t>Analysis methodology</w:t>
            </w:r>
          </w:p>
        </w:tc>
        <w:tc>
          <w:tcPr>
            <w:tcW w:w="1136" w:type="pct"/>
            <w:shd w:val="clear" w:color="auto" w:fill="FFFFFF" w:themeFill="background1"/>
          </w:tcPr>
          <w:p w:rsidR="00A147DF" w:rsidRPr="006D67F7" w:rsidRDefault="00A147DF" w:rsidP="006D67F7">
            <w:pPr>
              <w:spacing w:after="10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0"/>
                <w:lang w:val="en-IN"/>
              </w:rPr>
            </w:pPr>
            <w:r w:rsidRPr="006D67F7">
              <w:rPr>
                <w:rFonts w:ascii="Times New Roman" w:hAnsi="Times New Roman" w:cs="Times New Roman"/>
                <w:szCs w:val="20"/>
              </w:rPr>
              <w:t>Purpose</w:t>
            </w:r>
          </w:p>
        </w:tc>
        <w:tc>
          <w:tcPr>
            <w:tcW w:w="1136" w:type="pct"/>
            <w:shd w:val="clear" w:color="auto" w:fill="FFFFFF" w:themeFill="background1"/>
          </w:tcPr>
          <w:p w:rsidR="00A147DF" w:rsidRPr="006D67F7" w:rsidRDefault="00A147DF" w:rsidP="006D67F7">
            <w:pPr>
              <w:spacing w:after="10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0"/>
                <w:lang w:val="en-IN"/>
              </w:rPr>
            </w:pPr>
            <w:r w:rsidRPr="006D67F7">
              <w:rPr>
                <w:rFonts w:ascii="Times New Roman" w:hAnsi="Times New Roman" w:cs="Times New Roman"/>
                <w:szCs w:val="20"/>
              </w:rPr>
              <w:t>Result and outcome</w:t>
            </w:r>
          </w:p>
        </w:tc>
        <w:tc>
          <w:tcPr>
            <w:tcW w:w="269" w:type="pct"/>
            <w:gridSpan w:val="2"/>
            <w:shd w:val="clear" w:color="auto" w:fill="FFFFFF" w:themeFill="background1"/>
          </w:tcPr>
          <w:p w:rsidR="00A147DF" w:rsidRPr="006D67F7"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0"/>
                <w:lang w:val="en-IN"/>
              </w:rPr>
            </w:pPr>
            <w:r w:rsidRPr="006D67F7">
              <w:rPr>
                <w:rFonts w:ascii="Times New Roman" w:hAnsi="Times New Roman" w:cs="Times New Roman"/>
                <w:szCs w:val="20"/>
              </w:rPr>
              <w:t>Ref.</w:t>
            </w:r>
          </w:p>
        </w:tc>
      </w:tr>
      <w:tr w:rsidR="00BA1D2E" w:rsidRPr="008C36F5" w:rsidTr="00BA1D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lang w:val="en-IN"/>
              </w:rPr>
            </w:pPr>
            <w:r w:rsidRPr="008C36F5">
              <w:rPr>
                <w:rFonts w:ascii="Times New Roman" w:hAnsi="Times New Roman" w:cs="Times New Roman"/>
                <w:sz w:val="20"/>
                <w:szCs w:val="20"/>
                <w:lang w:val="en-IN"/>
              </w:rPr>
              <w:fldChar w:fldCharType="begin" w:fldLock="1"/>
            </w:r>
            <w:r w:rsidR="00A147DF" w:rsidRPr="008C36F5">
              <w:rPr>
                <w:rFonts w:ascii="Times New Roman" w:hAnsi="Times New Roman" w:cs="Times New Roman"/>
                <w:b w:val="0"/>
                <w:sz w:val="20"/>
                <w:szCs w:val="20"/>
                <w:lang w:val="en-IN"/>
              </w:rPr>
              <w:instrText>ADDIN CSL_CITATION {"citationItems":[{"id":"ITEM-1","itemData":{"DOI":"10.1016/j.enconman.2015.07.054","ISSN":"01968904","abstract":"Abstract Using solar chimney in desert areas like El Paso city in Texas, USA, with high intensity solar radiation is efficient and environmental friendly. However, one of the main challenges in terms of using solar chimneys is poor electricity generation at night. In this paper, a new power plant plan is proposed which simultaneously generates heat and electricity using a solar chimney with solid oxide fuel cells and solid oxide electrolysis cells. In one hand, the solar chimney generates electricity by sunlight and supplies a part of demand. Then, additional electricity is generated through the high temperature electrolysis which produces hydrogen that is stored in tanks and converted into electricity by solid oxide fuel cells. After designing and modeling the cycle components, the economic aspect of this power plant is considered numerically by means of genetic algorithm. The results indicate that, 0.28 kg/s hydrogen is produced at the peak of the radiation. With such a hydrogen production rate, this system supplies 79.26% and 37.04% of the demand in summer and winter respectively in a district of El Paso city.","author":[{"dropping-particle":"","family":"Joneydi Shariatzadeh","given":"O.","non-dropping-particle":"","parse-names":false,"suffix":""},{"dropping-particle":"","family":"Refahi","given":"A. H.","non-dropping-particle":"","parse-names":false,"suffix":""},{"dropping-particle":"","family":"Abolhassani","given":"S. S.","non-dropping-particle":"","parse-names":false,"suffix":""},{"dropping-particle":"","family":"Rahmani","given":"M.","non-dropping-particle":"","parse-names":false,"suffix":""}],"container-title":"Energy Conversion and Management","id":"ITEM-1","issued":{"date-parts":[["2015"]]},"page":"423-432","publisher":"Elsevier Ltd","title":"Modeling and optimization of a novel solar chimney cogeneration power plant combined with solid oxide electrolysis/fuel cell","type":"article-journal","volume":"105"},"uris":["http://www.mendeley.com/documents/?uuid=dd8a822f-2a69-4f83-a6b2-70474eee785e"]}],"mendeley":{"formattedCitation":"(Joneydi Shariatzadeh &lt;i&gt;et al.&lt;/i&gt;, 2015)","plainTextFormattedCitation":"(Joneydi Shariatzadeh et al., 2015)","previouslyFormattedCitation":"(Joneydi Shariatzadeh &lt;i&gt;et al.&lt;/i&gt;, 2015)"},"properties":{"noteIndex":0},"schema":"https://github.com/citation-style-language/schema/raw/master/csl-citation.json"}</w:instrText>
            </w:r>
            <w:r w:rsidRPr="008C36F5">
              <w:rPr>
                <w:rFonts w:ascii="Times New Roman" w:hAnsi="Times New Roman" w:cs="Times New Roman"/>
                <w:sz w:val="20"/>
                <w:szCs w:val="20"/>
                <w:lang w:val="en-IN"/>
              </w:rPr>
              <w:fldChar w:fldCharType="separate"/>
            </w:r>
            <w:r w:rsidR="00A147DF" w:rsidRPr="008C36F5">
              <w:rPr>
                <w:rFonts w:ascii="Times New Roman" w:hAnsi="Times New Roman" w:cs="Times New Roman"/>
                <w:b w:val="0"/>
                <w:noProof/>
                <w:sz w:val="20"/>
                <w:szCs w:val="20"/>
                <w:lang w:val="en-IN"/>
              </w:rPr>
              <w:t xml:space="preserve">(Joneydi Shariatzadeh </w:t>
            </w:r>
            <w:r w:rsidR="00A147DF" w:rsidRPr="008C36F5">
              <w:rPr>
                <w:rFonts w:ascii="Times New Roman" w:hAnsi="Times New Roman" w:cs="Times New Roman"/>
                <w:b w:val="0"/>
                <w:i/>
                <w:noProof/>
                <w:sz w:val="20"/>
                <w:szCs w:val="20"/>
                <w:lang w:val="en-IN"/>
              </w:rPr>
              <w:t>et al.</w:t>
            </w:r>
            <w:r w:rsidR="00A147DF" w:rsidRPr="008C36F5">
              <w:rPr>
                <w:rFonts w:ascii="Times New Roman" w:hAnsi="Times New Roman" w:cs="Times New Roman"/>
                <w:b w:val="0"/>
                <w:noProof/>
                <w:sz w:val="20"/>
                <w:szCs w:val="20"/>
                <w:lang w:val="en-IN"/>
              </w:rPr>
              <w:t>, 2015)</w:t>
            </w:r>
            <w:r w:rsidRPr="008C36F5">
              <w:rPr>
                <w:rFonts w:ascii="Times New Roman" w:hAnsi="Times New Roman" w:cs="Times New Roman"/>
                <w:sz w:val="20"/>
                <w:szCs w:val="20"/>
                <w:lang w:val="en-IN"/>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 xml:space="preserve">Solar radiation &amp; stored hydrogen </w:t>
            </w:r>
          </w:p>
        </w:tc>
        <w:tc>
          <w:tcPr>
            <w:tcW w:w="1137" w:type="pct"/>
            <w:shd w:val="clear" w:color="auto" w:fill="FFFFFF" w:themeFill="background1"/>
          </w:tcPr>
          <w:p w:rsidR="00A147DF" w:rsidRPr="008C36F5" w:rsidRDefault="00A147DF" w:rsidP="008C36F5">
            <w:pPr>
              <w:spacing w:after="100"/>
              <w:ind w:left="300" w:hangingChars="150" w:hanging="3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GA in MATLAB Program</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lang w:val="en-IN"/>
              </w:rPr>
              <w:t>To Propose a novel power plant that uses a solar chimney with SOFC and SOEC to create both heat and electricity at the same time.</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The hydrogen made at maximum radiation was 0.28kg/s. This type of power plant provides a solution to the rising energy crisis.</w:t>
            </w:r>
          </w:p>
        </w:tc>
        <w:tc>
          <w:tcPr>
            <w:tcW w:w="269"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38</w:t>
            </w:r>
          </w:p>
        </w:tc>
      </w:tr>
      <w:tr w:rsidR="00A147DF" w:rsidRPr="008C36F5" w:rsidTr="00BA1D2E">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{"citationItems":[{"id":"ITEM-1","itemData":{"DOI":"10.1016/j.rser.2017.03.099","ISSN":"18790690","abstract":"This review provides an exhaustive and comprehensive analysis of the existing modelling works about low temperature electrolysis system: alkaline and proton exchange membrane (PEM) technologies. In order to achieve this review, a classification was built, based on different criteria such as physical domains involved or modelling approaches. The proposed methodology allows both exposing an overview of the electrolysis system modelling field and providing a deep analysis of each reviewed model. Actual strengths, weaknesses and lacks in this research field are pointed out and the performed analysis provides ideas for future research in this area.","author":[{"dropping-particle":"","family":"Olivier","given":"Pierre","non-dropping-particle":"","parse-names":false,"suffix":""},{"dropping-particle":"","family":"Bourasseau","given":"Cyril","non-dropping-particle":"","parse-names":false,"suffix":""},{"dropping-particle":"","family":"Bouamama","given":"Pr Belkacem","non-dropping-particle":"","parse-names":false,"suffix":""}],"container-title":"Renewable and Sustainable Energy Reviews","id":"ITEM-1","issue":"January 2016","issued":{"date-parts":[["2017"]]},"page":"280-300","title":"Low-temperature electrolysis system modelling: A review","type":"article-journal","volume":"78"},"uris":["http://www.mendeley.com/documents/?uuid=91cafadb-27a8-4a7c-bc42-a214e132f3c8"]}],"mendeley":{"formattedCitation":"(Olivier, Bourasseau and Bouamama, 2017)","plainTextFormattedCitation":"(Olivier, Bourasseau and Bouamama, 2017)","previouslyFormattedCitation":"(Olivier, Bourasseau and Bouamama,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(Olivier, Bourasseau and Bouamama, 2017)</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Membrane Technology for Alkaline </w:t>
            </w:r>
          </w:p>
        </w:tc>
        <w:tc>
          <w:tcPr>
            <w:tcW w:w="113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Involve physical domain, modelling approaches, dynamic behaviour &amp; modelling scales</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Low-temperature electrolysis system modelling</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Complex and non-linear layouts of electrolysis mechanism were outlined.</w:t>
            </w:r>
          </w:p>
        </w:tc>
        <w:tc>
          <w:tcPr>
            <w:tcW w:w="269"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119</w:t>
            </w:r>
          </w:p>
        </w:tc>
      </w:tr>
      <w:tr w:rsidR="00BA1D2E" w:rsidRPr="008C36F5" w:rsidTr="00BA1D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{"citationItems":[{"id":"ITEM-1","itemData":{"DOI":"10.1016/j.ijhydene.2018.08.118","ISSN":"03603199","abstract":"Control emission pollution associated with oil combustion is a major concern of researchers worldwide. A blend of HHO has been introduced to the combustion elements to reduce emission and drive the combustion reaction toward stoichiometric condition. HHO fuel production unit based on an electrolysis process has been designed and built with an ability to alter Anode-Cathode plate's inter-distances and integrated to Honda G 200 (197 cc single cylinder engine). The gap between the plates was adjusted to 3, 5, 7 and 10 mm. Tests reveal that mixing HHO, air, and gasoline cause an enhancement in engine performance and emissions. The emission tests have been done with varying the engine speed and preserve the electrolyte concentration and temperature. The results show that enhancement in combustion characteristics is strongly affected by the gap between cell plates. The maximum produced power and minimum fuel consumption were associated with the case of 10 mm cathode-anode plates distance where hydrocarbons (HCs) and carbon monoxide emissions have been reduced to about 40% at different operating speeds. Whereas, 5 mm gap case has the highest impact on emission reduction.","author":[{"dropping-particle":"","family":"Al-Rousan","given":"Ammar A.","non-dropping-particle":"","parse-names":false,"suffix":""},{"dropping-particle":"","family":"Musmar","given":"Sa'ed A.","non-dropping-particle":"","parse-names":false,"suffix":""}],"container-title":"International Journal of Hydrogen Energy","id":"ITEM-1","issue":"41","issued":{"date-parts":[["2018"]]},"page":"19213-19221","publisher":"Elsevier Ltd","title":"Effect of anodes-cathodes inter-distances of HHO fuel cell on gasoline engine performance operating by a blend of HHO","type":"article-journal","volume":"43"},"uris":["http://www.mendeley.com/documents/?uuid=27382231-646e-4582-bcde-c4ae1ba7917b"]}],"mendeley":{"formattedCitation":"(Al-Rousan and Musmar, 2018)","plainTextFormattedCitation":"(Al-Rousan and Musmar, 2018)","previouslyFormattedCitation":"(Al-Rousan and Musmar,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(Al-Rousan and Musmar, 2018)</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The mixture of HHO, air and Petrol with HHO </w:t>
            </w:r>
          </w:p>
        </w:tc>
        <w:tc>
          <w:tcPr>
            <w:tcW w:w="113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Emission experiments were conducted for various engine speeds.</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Monitor emissions pollution from oil burning. </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eastAsia="SimSun" w:hAnsi="Times New Roman" w:cs="Times New Roman"/>
                <w:bCs/>
                <w:color w:val="000000"/>
                <w:sz w:val="20"/>
                <w:szCs w:val="20"/>
              </w:rPr>
              <w:t>B.T.E</w:t>
            </w:r>
            <w:r w:rsidRPr="008C36F5">
              <w:rPr>
                <w:rFonts w:ascii="Times New Roman" w:hAnsi="Times New Roman" w:cs="Times New Roman"/>
                <w:sz w:val="20"/>
                <w:szCs w:val="20"/>
              </w:rPr>
              <w:t xml:space="preserve"> increases by 17.7% and reduction in SFC, CO &amp; HC by 18.53% (avg.) ,10% &amp; 8%.</w:t>
            </w:r>
          </w:p>
        </w:tc>
        <w:tc>
          <w:tcPr>
            <w:tcW w:w="269"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28</w:t>
            </w:r>
          </w:p>
        </w:tc>
      </w:tr>
      <w:tr w:rsidR="00A147DF" w:rsidRPr="008C36F5" w:rsidTr="00BA1D2E">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{"citationItems":[{"id":"ITEM-1","itemData":{"DOI":"10.1016/j.ijhydene.2018.04.026","ISSN":"03603199","abstract":"Energy security is an important consideration for development of future transport fuels. Among the all gaseous fuels hydrogen or hydroxy (HHO) gas is considered to be one of the clean alternative fuels. Hydrogen is very flammable gas and storing and transporting of hydrogen gas safely is very difficult. Today, vehicles using pure hydrogen as fuel require stations with compressed or liquefied hydrogen stocks at high pressures from hydrogen production centres established with large investments. Different electrode design and different electrolytes have been tested to find the best electrode design and electrolyte for higher amount of HHO production using same electric energy. HHO is used as an additional fuel without storage tanks in the four strokes, 4-cylinder compression ignition engine and two-stroke, one-cylinder spark ignition engine without any structural changes. Later, previously developed commercially available dry cell HHO reactor used as a fuel additive to neat diesel fuel and biodiesel fuel mixtures. HHO gas is used to hydrogenate the compressed natural gas (CNG) and different amounts of HHO-CNG fuel mixtures are used in a pilot injection CI engine. Pure diesel fuel and diesel fuel + biodiesel mixtures with different volumetric flow rates are also used as pilot injection fuel in the test engine. The effects of HHO enrichment on engine performance and emissions in compression-ignition and spark-ignition engines have been examined in detail. It is found from the experiments that plate type reactor with NaOH produced more HHO gas with the same amount of catalyst and electric energy. All experimental results from Gasoline and Diesel Engines show that performance and exhaust emission values have improved with hydroxy gas addition to the fossil fuels except NOx exhaust emissions. The maximum average improvements in terms of performance and emissions of the gasoline and the diesel engine are both graphically and numerically expressed in results and discussions. The maximum average improvements obtained for brake power, brake torque and BSFC values of the gasoline engine were 27%, 32.4% and 16.3%, respectively. Furthermore, maximum improvements in performance data obtained with the use of HHO enriched biodiesel fuel mixture in diesel engine were 8.31% for brake power, 7.1% for brake torque and 10% for BSFC.","author":[{"dropping-particle":"","family":"Aydin","given":"Kadir","non-dropping-particle":"","parse-names":false,"suffix":""},{"dropping-particle":"","family":"Kenanoğlu","given":"Raif","non-dropping-particle":"","parse-names":false,"suffix":""}],"container-title":"International Journal of Hydrogen Energy","id":"ITEM-1","issue":"30","issued":{"date-parts":[["2018"]]},"page":"14047-14058","title":"Effects of hydrogenation of fossil fuels with hydrogen and hydroxy gas on performance and emissions of internal combustion engines","type":"article-journal","volume":"43"},"uris":["http://www.mendeley.com/documents/?uuid=8af4aab8-d9b1-4f04-a4ab-a6a54a2563b1"]}],"mendeley":{"formattedCitation":"(Aydin and Kenanoğlu, 2018)","plainTextFormattedCitation":"(Aydin and Kenanoğlu, 2018)","previouslyFormattedCitation":"(Aydin and Kenanoğlu,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(Aydin and Kenanoğlu, 2018)</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Blending fuels like HHO,CNG Gasoline and bio-fuel </w:t>
            </w:r>
          </w:p>
        </w:tc>
        <w:tc>
          <w:tcPr>
            <w:tcW w:w="113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fuel pump plunger was changed to operate pilot injection mode to ignite CNG.</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To compare reactors and catalysts of unlike types on HHO production </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Usage of HHO with strengthened bio-diesel fuel blend resulted from 8.31% increment for BP &amp;7.1% for torque and 10% reduction in bsfc.</w:t>
            </w:r>
          </w:p>
        </w:tc>
        <w:tc>
          <w:tcPr>
            <w:tcW w:w="269"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55</w:t>
            </w:r>
          </w:p>
        </w:tc>
      </w:tr>
      <w:tr w:rsidR="00BA1D2E" w:rsidRPr="008C36F5" w:rsidTr="00BA1D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{"citationItems":[{"id":"ITEM-1","itemData":{"DOI":"10.1016/j.enconman.2018.09.082","ISSN":"01968904","abstract":"The present study aims at assessing, from a theoretical point of view, the feasibility of on-board production and use of Oxy-Hydrogen (HHO) as fuel additive in internal combustion engines. From the available literature, many works deal with the experimental investigation of the benefits achieved with HHO use in both compression and spark ignition engines in terms of brake thermal efficiency improvement and emissions reduction. Nevertheless, a thorough demonstration of the feasibility of HHO on-board production and use has not been performed yet, also due to the unclear nature of the generated HHO mixture. To bridge this gap, a rigorous analysis of the energetic needs related to HHO production through electrolysis, with the internal combustion engine as unique power supply, is here described in details. An innovative assumption is proposed to achieve a generalized representation of HHO mixture and univocally determine the energetic requirements related to its production. A conventional layout is considered to define realistic restrictions for HHO use and fuel savings achievement. Several case studies, based on works available in the literature, are investigated to prove the validity of the proposed analysis and assess the feasibility of the technological approach.","author":[{"dropping-particle":"","family":"Polverino","given":"Pierpaolo","non-dropping-particle":"","parse-names":false,"suffix":""},{"dropping-particle":"","family":"D'Aniello","given":"Federica","non-dropping-particle":"","parse-names":false,"suffix":""},{"dropping-particle":"","family":"Arsie","given":"Ivan","non-dropping-particle":"","parse-names":false,"suffix":""},{"dropping-particle":"","family":"Pianese","given":"Cesare","non-dropping-particle":"","parse-names":false,"suffix":""}],"container-title":"Energy Conversion and Management","id":"ITEM-1","issue":"September 2018","issued":{"date-parts":[["2019"]]},"page":"114-131","publisher":"Elsevier","title":"Study of the energetic needs for the on-board production of oxy-hydrogen as fuel additive in internal combustion engines","type":"article-journal","volume":"179"},"uris":["http://www.mendeley.com/documents/?uuid=74a278ec-c891-4a9b-8d58-8076497d4c27"]}],"mendeley":{"formattedCitation":"(Polverino &lt;i&gt;et al.&lt;/i&gt;, 2019)","plainTextFormattedCitation":"(Polverino et al., 2019)","previouslyFormattedCitation":"(Polverino &lt;i&gt;et al.&lt;/i&gt;, 2019)"},"properties":{"noteIndex":0},"schema":"https://github.com/citation-style-language/schema/raw/master/csl-citation.json"}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(Polverino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2019)</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Oxy-Hydrogen</w:t>
            </w:r>
          </w:p>
        </w:tc>
        <w:tc>
          <w:tcPr>
            <w:tcW w:w="113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Electrolysis Phenomenon</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Energy requirement review in conjunction with HHO output.</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Smaller engines with BG flows were more compatible to conserve fuel.</w:t>
            </w:r>
          </w:p>
        </w:tc>
        <w:tc>
          <w:tcPr>
            <w:tcW w:w="269"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30</w:t>
            </w:r>
          </w:p>
        </w:tc>
      </w:tr>
      <w:tr w:rsidR="00A147DF" w:rsidRPr="008C36F5" w:rsidTr="00BA1D2E">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{"citationItems":[{"id":"ITEM-1","itemData":{"DOI":"10.1016/j.enconman.2018.11.067","ISSN":"01968904","abstract":"Nowadays the high consumption rates of fossil fuel and pollution of unburned hydrocarbons in exhaust gases are the major problems that face the world. Using HHO dry cell is suggested for solving these problems at the engines. Experimenting with an actual HHO dry cell is more expensive, and consumes more time and effort. So modelling HHO dry cell usage is very important to save costs and efforts. Different parameters were modelled and evaluated for using HHO dry cell. The experimental tests were performed at the Faculty of Engineering, Suez Canal University on a gasoline engine (Chevrolet Lanos 1.5, model 2012). Beta cell was designed, fabricated and connected to said engine. The cell performance can easily be controlled and adjusted using different parameters. Many different factors were taken into consideration, such as; the cell design, the free space in the car engine, and the plates’ overall dimensions. There is a lack in the study of modelling and simulation of hybrid spark-ignition engine using (HHO) dry cell with complete parameters. Therefore, the main objectives of this study are to perform and evaluate the modelling of different parameters that affect the performance of the hybrid spark-ignition engine. Also in this study, two different modelling techniques were used according to the available experimental data; MATLAB code and fuzzy logic modelling. The experimental and modelled results were compared and evaluated according to different statistical methods, such as the coefficient of determination (R2). The results showed that there is strong agreement between the experimental and the modelled fuzzy data, with R2 equaling 0.915 for the hydroxy rate.","author":[{"dropping-particle":"","family":"Ismail","given":"Tamer M.","non-dropping-particle":"","parse-names":false,"suffix":""},{"dropping-particle":"","family":"Ramzy","given":"Khaled","non-dropping-particle":"","parse-names":false,"suffix":""},{"dropping-particle":"","family":"Elnaghi","given":"Basem E.","non-dropping-particle":"","parse-names":false,"suffix":""},{"dropping-particle":"","family":"Mansour","given":"T.","non-dropping-particle":"","parse-names":false,"suffix":""},{"dropping-particle":"","family":"Abelwhab","given":"M. N.","non-dropping-particle":"","parse-names":false,"suffix":""},{"dropping-particle":"","family":"Abd El-Salam","given":"M.","non-dropping-particle":"","parse-names":false,"suffix":""},{"dropping-particle":"","family":"Ismail","given":"M. I.","non-dropping-particle":"","parse-names":false,"suffix":""}],"container-title":"Energy Conversion and Management","id":"ITEM-1","issue":"November 2018","issued":{"date-parts":[["2019"]]},"page":"1-14","publisher":"Elsevier","title":"Modelling and simulation of electrochemical analysis of hybrid spark-ignition engine using hydroxy (HHO) dry cell","type":"article-journal","volume":"181"},"uris":["http://www.mendeley.com/documents/?uuid=1446ba57-779c-4ace-bba2-2b10ef4adb42"]}],"mendeley":{"formattedCitation":"(Ismail &lt;i&gt;et al.&lt;/i&gt;, 2019)","plainTextFormattedCitation":"(Ismail et al., 2019)","previouslyFormattedCitation":"(Ismail &lt;i&gt;et al.&lt;/i&gt;, 2019)"},"properties":{"noteIndex":0},"schema":"https://github.com/citation-style-language/schema/raw/master/csl-citation.json"}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(Ismail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2019)</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Hydroxy gas</w:t>
            </w:r>
          </w:p>
        </w:tc>
        <w:tc>
          <w:tcPr>
            <w:tcW w:w="113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Code of MATLAB and blurred logic simulation</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conduct the simulation of various presets that influence efficiency of hybrid  S.I engine</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There was a clear consensus among observational and formulated fuzzy data including R</w:t>
            </w:r>
            <w:r w:rsidRPr="008C36F5">
              <w:rPr>
                <w:rFonts w:ascii="Times New Roman" w:hAnsi="Times New Roman" w:cs="Times New Roman"/>
                <w:sz w:val="20"/>
                <w:szCs w:val="20"/>
                <w:vertAlign w:val="superscript"/>
              </w:rPr>
              <w:t xml:space="preserve">2 </w:t>
            </w:r>
            <w:r w:rsidRPr="008C36F5">
              <w:rPr>
                <w:rFonts w:ascii="Times New Roman" w:hAnsi="Times New Roman" w:cs="Times New Roman"/>
                <w:sz w:val="20"/>
                <w:szCs w:val="20"/>
              </w:rPr>
              <w:t>equaling (0.915) for the B.G rate.</w:t>
            </w:r>
          </w:p>
        </w:tc>
        <w:tc>
          <w:tcPr>
            <w:tcW w:w="269"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27</w:t>
            </w:r>
          </w:p>
        </w:tc>
      </w:tr>
      <w:tr w:rsidR="00BA1D2E" w:rsidRPr="008C36F5" w:rsidTr="00BA1D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{"citationItems":[{"id":"ITEM-1","itemData":{"DOI":"10.1002/anie.201304765","ISSN":"14337851","abstract":"Chasing down the active state: Near-ambient-pressure X-ray photoelectron spectroscopy was used to study the surface of a Pt electrode during the oxygen evolution reaction (OER). A hydrated Pt metal phase with dissolved oxygen in the near-surface region is OER-active and considered to be the precursor of the analytically detected PtO2, which is in fact the deactivation product of the electrode. Copyright © 2013 WILEY-VCH Verlag GmbH &amp; Co. KGaA, Weinheim.","author":[{"dropping-particle":"","family":"Arrigo","given":"Rosa","non-dropping-particle":"","parse-names":false,"suffix":""},{"dropping-particle":"","family":"Hävecker","given":"Michael","non-dropping-particle":"","parse-names":false,"suffix":""},{"dropping-particle":"","family":"Schuster","given":"Manfred E","non-dropping-particle":"","parse-names":false,"suffix":""},{"dropping-particle":"","family":"Ranjan","given":"Chinmoy","non-dropping-particle":"","parse-names":false,"suffix":""},{"dropping-particle":"","family":"Stotz","given":"Eugen","non-dropping-particle":"","parse-names":false,"suffix":""},{"dropping-particle":"","family":"Knop-Gericke","given":"Axel","non-dropping-particle":"","parse-names":false,"suffix":""},{"dropping-particle":"","family":"Schlögl","given":"Robert","non-dropping-particle":"","parse-names":false,"suffix":""}],"container-title":"Angewandte Chemie - International Edition","id":"ITEM-1","issue":"44","issued":{"date-parts":[["2013"]]},"page":"11660-11664","title":"In situ study of the gas-phase electrolysis of water on platinum by NAP-XPS","type":"article-journal","volume":"52"},"uris":["http://www.mendeley.com/documents/?uuid=f7bf66b6-19b2-409f-9ce1-cce70fa52311"]}],"mendeley":{"formattedCitation":"(Arrigo &lt;i&gt;et al.&lt;/i&gt;, 2013)","plainTextFormattedCitation":"(Arrigo et al., 2013)","previouslyFormattedCitation":"(Arrigo &lt;i&gt;et al.&lt;/i&gt;, 2013)"},"properties":{"noteIndex":0},"schema":"https://github.com/citation-style-language/schema/raw/master/csl-citation.json"}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(Arrigo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2013)</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Under OER for low-temperature steam, chemical reactivity of the electrode surface</w:t>
            </w:r>
          </w:p>
        </w:tc>
        <w:tc>
          <w:tcPr>
            <w:tcW w:w="113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Water  electrolysis on platinum</w:t>
            </w:r>
          </w:p>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Investigation of water electrolysis in the gas phase</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By avoiding excessive oxide overlayers during OER, Pt helped to maintain the integrity of the dynamic working surface.</w:t>
            </w:r>
          </w:p>
        </w:tc>
        <w:tc>
          <w:tcPr>
            <w:tcW w:w="269"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34</w:t>
            </w:r>
          </w:p>
        </w:tc>
      </w:tr>
      <w:tr w:rsidR="00A147DF" w:rsidRPr="008C36F5" w:rsidTr="00BA1D2E">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{"citationItems":[{"id":"ITEM-1","itemData":{"DOI":"10.1533/9780857097736.2.159","ISBN":"9780857097736","abstract":"An electrolyzer combines an oxidation and a reduction reaction, driven by electricity, to produce separate streams of hydrogen gas and oxygen gas by a process called electrolysis. The hydrogen contains a portion of the electrical energy, and it can be used to generate electricity in a fuel cell by a process that is the reverse of electrolysis. If water electrolysis is driven by renewable electricity, it can be used in fuel-cell electric vehicles to displace petroleum, increase vehicle efficiency, and reduce the environmental impact of vehicles. The fundamental aspects of electrolytic hydrogen and its use as energy carrier are discussed.","author":[{"dropping-particle":"","family":"Grigoriev","given":"Sergey Vladimir N. Fateev","non-dropping-particle":"","parse-names":false,"suffix":""}],"container-title":"Hydrogen Production Technologies","id":"ITEM-1","issued":{"date-parts":[["2017"]]},"page":"231-276","title":"Hydrogen production by water electrolysis","type":"chapter"},"uris":["http://www.mendeley.com/documents/?uuid=10facd0c-6955-4c1c-af15-72b6b1fcc9c2"]}],"mendeley":{"formattedCitation":"(Grigoriev, 2017)","plainTextFormattedCitation":"(Grigoriev, 2017)","previouslyFormattedCitation":"(Grigoriev,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(Grigoriev, 2017)</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Different electrolysis technology like Alkaline, PEM, Solid oxide and </w:t>
            </w:r>
            <w:r w:rsidRPr="008C36F5">
              <w:rPr>
                <w:rFonts w:ascii="Times New Roman" w:hAnsi="Times New Roman" w:cs="Times New Roman"/>
                <w:sz w:val="20"/>
                <w:szCs w:val="20"/>
              </w:rPr>
              <w:lastRenderedPageBreak/>
              <w:t>basic procedures to carry out above technology.</w:t>
            </w:r>
          </w:p>
        </w:tc>
        <w:tc>
          <w:tcPr>
            <w:tcW w:w="113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Experimental work with the comparison of different electrolysis technologies.</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To give an outline and current status of different electrolysis innovations such as alkaline electrolysis (AWE), PEM </w:t>
            </w:r>
            <w:r w:rsidRPr="008C36F5">
              <w:rPr>
                <w:rFonts w:ascii="Times New Roman" w:hAnsi="Times New Roman" w:cs="Times New Roman"/>
                <w:sz w:val="20"/>
                <w:szCs w:val="20"/>
              </w:rPr>
              <w:lastRenderedPageBreak/>
              <w:t>electrolysis &amp; steam electrolysis.</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Alkaline water low-temperature electrolysis technologies will be the dominating ones in the current </w:t>
            </w:r>
            <w:r w:rsidRPr="008C36F5">
              <w:rPr>
                <w:rFonts w:ascii="Times New Roman" w:hAnsi="Times New Roman" w:cs="Times New Roman"/>
                <w:sz w:val="20"/>
                <w:szCs w:val="20"/>
              </w:rPr>
              <w:lastRenderedPageBreak/>
              <w:t>scenario.</w:t>
            </w:r>
          </w:p>
        </w:tc>
        <w:tc>
          <w:tcPr>
            <w:tcW w:w="269"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126</w:t>
            </w:r>
          </w:p>
        </w:tc>
      </w:tr>
      <w:tr w:rsidR="00BA1D2E" w:rsidRPr="008C36F5" w:rsidTr="00BA1D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{"citationItems":[{"id":"ITEM-1","itemData":{"DOI":"10.1002/ep.12909","ISSN":"19447450","abstract":"This study focused on determining the optimal conditions for producing by electrolysis HHO that is suitable for use in motor vehicles and in households. The experiments used electrolyte concentrations of 0.50%, 0.75%, 1.00%, 1.25%, and 1.50% w/w KOH (aq.), and 316 L stainless steel 20 × 30 mm electrode plates. The gap between the plates was adjusted to 1, 3, 5, 7, and 9 mm, and experiments were conducted at the steady state temperatures of 40°C, 45°C, 50°C, 55°C, 60°C, 65°C, 70°C, 75°C, 80°C, 85°C, 90°C, and 95°C, for 10 min. It was found that the optimized production conditions for houses or motor vehicles, according to this study, were 7 mm cell gap and 1.50% w/w KOH at 90.0°C ± 1.0°C operating temperature, or 5 mm cell gap and 1.25% w/w KOH at 85.0°C ± 1.0°C operating temperature, respectively. To apply this research to real operation, the methods of real application with vehicles and household appliances were discussed. © 2018 American Institute of Chemical Engineers Environ Prog, 38: 268–277, 2019.","author":[{"dropping-particle":"","family":"Choodum","given":"Nuttaporn","non-dropping-particle":"","parse-names":false,"suffix":""},{"dropping-particle":"","family":"Sangwichien","given":"Chayanoot","non-dropping-particle":"","parse-names":false,"suffix":""},{"dropping-particle":"","family":"Yamsaengsung","given":"Ram","non-dropping-particle":"","parse-names":false,"suffix":""}],"container-title":"Environmental Progress and Sustainable Energy","id":"ITEM-1","issue":"1","issued":{"date-parts":[["2019"]]},"page":"268-277","title":"Optimization of a closed-loop HHO production system for vehicles and houses","type":"article-journal","volume":"38"},"uris":["http://www.mendeley.com/documents/?uuid=30b57903-15a1-49f8-9b8f-417cf02cdf3e"]}],"mendeley":{"formattedCitation":"(Choodum, Sangwichien and Yamsaengsung, 2019)","plainTextFormattedCitation":"(Choodum, Sangwichien and Yamsaengsung, 2019)","previouslyFormattedCitation":"(Choodum, Sangwichien and Yamsaengsung, 2019)"},"properties":{"noteIndex":0},"schema":"https://github.com/citation-style-language/schema/raw/master/csl-citation.json"}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(Choodum, Sangwichien and Yamsaengsung, 2019)</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KOH (aq.) electrolyte concentrations, and 316 L SS</w:t>
            </w:r>
          </w:p>
        </w:tc>
        <w:tc>
          <w:tcPr>
            <w:tcW w:w="113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 locked-loop device used to investigate the necessary conditions for HHO manufacturing.</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Appropriate conditions were determined for generating hydroxy through electrolysis fitted to be used in motor vehicles &amp; domestic cars.</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Hydroxy development rate through large cells distance had been identified to be benefited, accumulation of high electrolytes &amp; higher working temperature.</w:t>
            </w:r>
          </w:p>
        </w:tc>
        <w:tc>
          <w:tcPr>
            <w:tcW w:w="269"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18</w:t>
            </w:r>
          </w:p>
        </w:tc>
      </w:tr>
      <w:tr w:rsidR="00A147DF" w:rsidRPr="008C36F5" w:rsidTr="00BA1D2E">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{"citationItems":[{"id":"ITEM-1","itemData":{"abstract":"There is something of great importance to the world that is being suppressed and hidden, that abundant, clean energy can be derived from water. Water can be cheaply disassociated into Brown Gas (HHO) using efficient electrolyzing techniques which require very little power to operate, or sophistication to build. Brown Gas is a mixture of di-atomic and mono-atomic hydrogen and oxygen. It does not have a set burning temperature It reacts to the substance; it is contact with when being burned.. It when mixed with Diesel or gasoline fuels will increase the burning efficiency of the mixture greatly. When HHO is added to the fuels and ignited, much more of the hydrocarbons are burned completely, creating much cleaner exhaust and more power to the engine. The result is increased gas mileage and smoother running, longer lasting motors that waste much less energy. This gas may take as a mileage Booster. HHO boosters help to reduce pollution and save energy and money all over the world. One aspect of HHO that it shows it's more superior heating phenomenon than any other energy because it has a high-temperature concentration phenomenon.","author":[{"dropping-particle":"","family":"Bhardwaj","given":"Shrikant","non-dropping-particle":"","parse-names":false,"suffix":""},{"dropping-particle":"","family":"Singh Verma","given":"Ajay","non-dropping-particle":"","parse-names":false,"suffix":""},{"dropping-particle":"","family":"Sharma","given":"Subodh Kumar","non-dropping-particle":"","parse-names":false,"suffix":""}],"container-title":"International Journal of Emerging Technology and Advanced Engineering","id":"ITEM-1","issue":"1","issued":{"date-parts":[["2014"]]},"page":"2250-2459","title":"Effect of brown gas on the performance of a four stroke gasoline engine","type":"paper-conference","volume":"4"},"uris":["http://www.mendeley.com/documents/?uuid=2d6fc32c-bbc5-4b58-a288-4c819d3c0562"]}],"mendeley":{"formattedCitation":"(Bhardwaj, Singh Verma and Sharma, 2014)","plainTextFormattedCitation":"(Bhardwaj, Singh Verma and Sharma, 2014)","previouslyFormattedCitation":"(Bhardwaj, Singh Verma and Sharma, 2014)"},"properties":{"noteIndex":0},"schema":"https://github.com/citation-style-language/schema/raw/master/csl-citation.json"}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(Bhardwaj, Singh Verma and Sharma, 2014)</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Brown gas  &amp; gasoline</w:t>
            </w:r>
          </w:p>
        </w:tc>
        <w:tc>
          <w:tcPr>
            <w:tcW w:w="113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Experimental work with a blend of B.G and gasoline</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Improving</w:t>
            </w:r>
          </w:p>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overall efficiency &amp; emission  reduction of S.I engine</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Performance parameters enhancement &amp; Reduction in CO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CO and HC</w:t>
            </w:r>
          </w:p>
        </w:tc>
        <w:tc>
          <w:tcPr>
            <w:tcW w:w="269"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12</w:t>
            </w:r>
          </w:p>
        </w:tc>
      </w:tr>
      <w:tr w:rsidR="00BA1D2E" w:rsidRPr="008C36F5" w:rsidTr="00BA1D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color w:val="00B05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10.18280/ijht.350116","ISSN":"03928764","author":[{"dropping-particle":"","family":"Alrafie","given":"Nizar","non-dropping-particle":"","parse-names":false,"suffix":""},{"dropping-particle":"","family":"Faqes","given":"Fawaz","non-dropping-particle":"","parse-names":false,"suffix":""},{"dropping-particle":"","family":"Al-Hares","given":"Ahmad","non-dropping-particle":"","parse-names":false,"suffix":""},{"dropping-particle":"","family":"Baqain","given":"Adel","non-dropping-particle":"Al","parse-names":false,"suffix":""},{"dropping-particle":"","family":"Sakhrieh","given":"Ahmad","non-dropping-particle":"","parse-names":false,"suffix":""}],"container-title":"International Journal of Heat and Technology","id":"ITEM-1","issue":"1","issued":{"date-parts":[["2017"]]},"page":"116-122","title":"Optimization of oxyhydrogen gas flow rate as a supplementary fuel in compression ignition combustion enginess","type":"article-journal","volume":"35"},"uris":["http://www.mendeley.com/documents/?uuid=8de4948c-ebf6-4060-a36f-7a9e0ce26121"]}],"mendeley":{"formattedCitation":"(Alrafie &lt;i&gt;et al.&lt;/i&gt;, 2017)","plainTextFormattedCitation":"(Alrafie et al., 2017)","previouslyFormattedCitation":"(Alrafie &lt;i&gt;et al.&lt;/i&gt;,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(Alrafie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2017)</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B050"/>
                <w:sz w:val="20"/>
                <w:szCs w:val="20"/>
              </w:rPr>
            </w:pPr>
            <w:r w:rsidRPr="008C36F5">
              <w:rPr>
                <w:rFonts w:ascii="Times New Roman" w:hAnsi="Times New Roman" w:cs="Times New Roman"/>
                <w:sz w:val="20"/>
                <w:szCs w:val="20"/>
              </w:rPr>
              <w:t>HHO, gasoline</w:t>
            </w:r>
          </w:p>
        </w:tc>
        <w:tc>
          <w:tcPr>
            <w:tcW w:w="113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B050"/>
                <w:sz w:val="20"/>
                <w:szCs w:val="20"/>
              </w:rPr>
            </w:pPr>
            <w:r w:rsidRPr="008C36F5">
              <w:rPr>
                <w:rFonts w:ascii="Times New Roman" w:hAnsi="Times New Roman" w:cs="Times New Roman"/>
                <w:sz w:val="20"/>
                <w:szCs w:val="20"/>
              </w:rPr>
              <w:t>Experimental work, HHO gas flow-optimized with C. I engine speed.</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B050"/>
                <w:sz w:val="20"/>
                <w:szCs w:val="20"/>
              </w:rPr>
            </w:pPr>
            <w:r w:rsidRPr="008C36F5">
              <w:rPr>
                <w:rFonts w:ascii="Times New Roman" w:hAnsi="Times New Roman" w:cs="Times New Roman"/>
                <w:sz w:val="20"/>
                <w:szCs w:val="20"/>
              </w:rPr>
              <w:t>Optimization of oxyhydrogen gas flow</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B050"/>
                <w:sz w:val="20"/>
                <w:szCs w:val="20"/>
              </w:rPr>
            </w:pPr>
            <w:r w:rsidRPr="008C36F5">
              <w:rPr>
                <w:rFonts w:ascii="Times New Roman" w:hAnsi="Times New Roman" w:cs="Times New Roman"/>
                <w:sz w:val="20"/>
                <w:szCs w:val="20"/>
              </w:rPr>
              <w:t>By increasing the number of electrolytes, HHO production may be enhanced.</w:t>
            </w:r>
          </w:p>
        </w:tc>
        <w:tc>
          <w:tcPr>
            <w:tcW w:w="269"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B050"/>
                <w:sz w:val="20"/>
                <w:szCs w:val="20"/>
              </w:rPr>
            </w:pPr>
            <w:r w:rsidRPr="008C36F5">
              <w:rPr>
                <w:rFonts w:ascii="Times New Roman" w:hAnsi="Times New Roman" w:cs="Times New Roman"/>
                <w:sz w:val="20"/>
                <w:szCs w:val="20"/>
              </w:rPr>
              <w:t>18</w:t>
            </w:r>
          </w:p>
        </w:tc>
      </w:tr>
      <w:tr w:rsidR="00A147DF" w:rsidRPr="008C36F5" w:rsidTr="00BA1D2E">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{"citationItems":[{"id":"ITEM-1","itemData":{"DOI":"10.1080/15435075.2014.890105","ISSN":"15435083","abstract":"The effect of a homemade complete hydroxyl system on automobiles performance under real operation conditions has been investigated on three gasoline-fueled four-stroke four-cylinder engine automobiles. All measured parameters were carried out by using the AVL DiTEST Abgas test and the Lancom 9 gas analyzer. The exhaust gases CO&lt;inf&gt;2&lt;/inf&gt;, O&lt;inf&gt;2&lt;/inf&gt;, CO, NO&lt;inf&gt;x&lt;/inf&gt;, and C&lt;inf&gt;x&lt;/inf&gt;H&lt;inf&gt;y&lt;/inf&gt;, at the exhaust tail pipe and before the catalytic converter were measured. A significant reduction of 35-45% in the specific fuel consumption was observed. An in-cylinder chemical reaction model was developed to understand the impact of hydroxy gas on the combustion chemistry of engine. The in-cylinder pressure results showed about 3-bar increase in pressure peak at 1.2% H&lt;inf&gt;2&lt;/inf&gt; addition to the engine air/fuel mixture. Also, the mixture ignition temperature was reduced from 600 to 560 K. The exhaust gas species showed a 12% increase in H&lt;inf&gt;2&lt;/inf&gt;O. Furthermore, the comparative t-test showed that the average CO volumetric concentration was reduced by 12%, while the average O&lt;inf&gt;2&lt;/inf&gt; was increased by 11%. On the other hand, hydrocarbon concentration was randomly varying with a maximum reduction of 35% at 2420 rpm. The origin of the observed significant influence of introducing H&lt;inf&gt;2&lt;/inf&gt; and O&lt;inf&gt;2&lt;/inf&gt; molecules on the combustion reaction mechanism and flame front stability has been explained.","author":[{"dropping-particle":"","family":"Badr","given":"M. H.","non-dropping-particle":"","parse-names":false,"suffix":""},{"dropping-particle":"","family":"Hassan","given":"M. I.","non-dropping-particle":"","parse-names":false,"suffix":""},{"dropping-particle":"","family":"El-Hamalawy","given":"A. A.","non-dropping-particle":"","parse-names":false,"suffix":""}],"container-title":"International Journal of Green Energy","id":"ITEM-1","issue":"11","issued":{"date-parts":[["2015"]]},"page":"1086-1090","title":"On-demand hydrogen cell for automobile fuel consumption efficiency","type":"article-journal","volume":"12"},"uris":["http://www.mendeley.com/documents/?uuid=b317d38b-cf1d-44c9-ab71-de04b5701d0c"]}],"mendeley":{"formattedCitation":"(Badr, Hassan and El-Hamalawy, 2015)","plainTextFormattedCitation":"(Badr, Hassan and El-Hamalawy, 2015)","previouslyFormattedCitation":"(Badr, Hassan and El-Hamalawy, 2015)"},"properties":{"noteIndex":0},"schema":"https://github.com/citation-style-language/schema/raw/master/csl-citation.json"}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(Badr, Hassan and El-Hamalawy, 2015)</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Brown gas</w:t>
            </w:r>
          </w:p>
        </w:tc>
        <w:tc>
          <w:tcPr>
            <w:tcW w:w="113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AVL Di-TESTAb gas test and nine gas analyzer (lancom) were used to test the activity conditions.</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Examine the impact of an HHO-air combination on vehicle performance.</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Significant reduction in the SFC about 35-45%</w:t>
            </w:r>
          </w:p>
        </w:tc>
        <w:tc>
          <w:tcPr>
            <w:tcW w:w="269"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13</w:t>
            </w:r>
          </w:p>
        </w:tc>
      </w:tr>
      <w:tr w:rsidR="00BA1D2E" w:rsidRPr="008C36F5" w:rsidTr="00BA1D2E">
        <w:trPr>
          <w:gridAfter w:val="1"/>
          <w:cnfStyle w:val="000000100000" w:firstRow="0" w:lastRow="0" w:firstColumn="0" w:lastColumn="0" w:oddVBand="0" w:evenVBand="0" w:oddHBand="1" w:evenHBand="0" w:firstRowFirstColumn="0" w:firstRowLastColumn="0" w:lastRowFirstColumn="0" w:lastRowLastColumn="0"/>
          <w:wAfter w:w="18" w:type="dxa"/>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color w:val="1D1B11" w:themeColor="background2" w:themeShade="1A"/>
                <w:sz w:val="20"/>
                <w:szCs w:val="20"/>
                <w:lang w:val="en-IN"/>
              </w:rPr>
            </w:pPr>
            <w:r w:rsidRPr="008C36F5">
              <w:rPr>
                <w:rFonts w:ascii="Times New Roman" w:hAnsi="Times New Roman" w:cs="Times New Roman"/>
                <w:color w:val="1D1B11" w:themeColor="background2" w:themeShade="1A"/>
                <w:sz w:val="20"/>
                <w:szCs w:val="20"/>
                <w:lang w:val="en-IN"/>
              </w:rPr>
              <w:fldChar w:fldCharType="begin" w:fldLock="1"/>
            </w:r>
            <w:r w:rsidR="00A147DF" w:rsidRPr="008C36F5">
              <w:rPr>
                <w:rFonts w:ascii="Times New Roman" w:hAnsi="Times New Roman" w:cs="Times New Roman"/>
                <w:b w:val="0"/>
                <w:color w:val="1D1B11" w:themeColor="background2" w:themeShade="1A"/>
                <w:sz w:val="20"/>
                <w:szCs w:val="20"/>
                <w:lang w:val="en-IN"/>
              </w:rPr>
              <w:instrText>ADDIN CSL_CITATION {"citationItems":[{"id":"ITEM-1","itemData":{"DOI":"10.1016/j.rser.2016.09.128","ISSN":"18790690","abstract":"Hydrogen is a promising fuel, can be obtained from different sources of raw materials, including water. This is a renewable and sustainable source, which can obtain a high hydrogen purity via electrolysis. Among the processes for obtaining hydrogen from the water, the electrolytic conversion is the best known, in which two electrodes are responsible for conducting electricity and production of this gas. However, to promote this segregation, some technological challenges must be overcome, as the efficiency of electrolyzers, efficiency and durability of the main fuel cells and the integration of the electrolysis systems for supply and energy, aiming to reduce production costs. The Brazil stands out worldwide with production of fuels obtained from renewable sources and also seeks to develop the hydrogen production through water electrolysis.","author":[{"dropping-particle":"","family":"Santos","given":"Kenia Gabriela","non-dropping-particle":"dos","parse-names":false,"suffix":""},{"dropping-particle":"","family":"Eckert","given":"Caroline Thaís","non-dropping-particle":"","parse-names":false,"suffix":""},{"dropping-particle":"","family":"Rossi","given":"Eduardo","non-dropping-particle":"De","parse-names":false,"suffix":""},{"dropping-particle":"","family":"Bariccatti","given":"Reinaldo Aparecido","non-dropping-particle":"","parse-names":false,"suffix":""},{"dropping-particle":"","family":"Frigo","given":"Elisandro Pires","non-dropping-particle":"","parse-names":false,"suffix":""},{"dropping-particle":"","family":"Lindino","given":"Cleber Antonio","non-dropping-particle":"","parse-names":false,"suffix":""},{"dropping-particle":"","family":"Alves","given":"Helton José","non-dropping-particle":"","parse-names":false,"suffix":""}],"container-title":"Renewable and Sustainable Energy Reviews","id":"ITEM-1","issue":"September 2016","issued":{"date-parts":[["2017"]]},"page":"563-571","publisher":"Elsevier","title":"Hydrogen production in the electrolysis of water in Brazil, a review","type":"article-journal","volume":"68"},"uris":["http://www.mendeley.com/documents/?uuid=26fbc633-ef5e-4826-8f49-ad85dd4d7f9a"]}],"mendeley":{"formattedCitation":"(dos Santos &lt;i&gt;et al.&lt;/i&gt;, 2017)","plainTextFormattedCitation":"(dos Santos et al., 2017)","previouslyFormattedCitation":"(dos Santos &lt;i&gt;et al.&lt;/i&gt;, 2017)"},"properties":{"noteIndex":0},"schema":"https://github.com/citation-style-language/schema/raw/master/csl-citation.json"}</w:instrText>
            </w:r>
            <w:r w:rsidRPr="008C36F5">
              <w:rPr>
                <w:rFonts w:ascii="Times New Roman" w:hAnsi="Times New Roman" w:cs="Times New Roman"/>
                <w:color w:val="1D1B11" w:themeColor="background2" w:themeShade="1A"/>
                <w:sz w:val="20"/>
                <w:szCs w:val="20"/>
                <w:lang w:val="en-IN"/>
              </w:rPr>
              <w:fldChar w:fldCharType="separate"/>
            </w:r>
            <w:r w:rsidR="00A147DF" w:rsidRPr="008C36F5">
              <w:rPr>
                <w:rFonts w:ascii="Times New Roman" w:hAnsi="Times New Roman" w:cs="Times New Roman"/>
                <w:b w:val="0"/>
                <w:noProof/>
                <w:color w:val="1D1B11" w:themeColor="background2" w:themeShade="1A"/>
                <w:sz w:val="20"/>
                <w:szCs w:val="20"/>
                <w:lang w:val="en-IN"/>
              </w:rPr>
              <w:t xml:space="preserve">(dos Santos </w:t>
            </w:r>
            <w:r w:rsidR="00A147DF" w:rsidRPr="008C36F5">
              <w:rPr>
                <w:rFonts w:ascii="Times New Roman" w:hAnsi="Times New Roman" w:cs="Times New Roman"/>
                <w:b w:val="0"/>
                <w:i/>
                <w:noProof/>
                <w:color w:val="1D1B11" w:themeColor="background2" w:themeShade="1A"/>
                <w:sz w:val="20"/>
                <w:szCs w:val="20"/>
                <w:lang w:val="en-IN"/>
              </w:rPr>
              <w:t>et al.</w:t>
            </w:r>
            <w:r w:rsidR="00A147DF" w:rsidRPr="008C36F5">
              <w:rPr>
                <w:rFonts w:ascii="Times New Roman" w:hAnsi="Times New Roman" w:cs="Times New Roman"/>
                <w:b w:val="0"/>
                <w:noProof/>
                <w:color w:val="1D1B11" w:themeColor="background2" w:themeShade="1A"/>
                <w:sz w:val="20"/>
                <w:szCs w:val="20"/>
                <w:lang w:val="en-IN"/>
              </w:rPr>
              <w:t>, 2017)</w:t>
            </w:r>
            <w:r w:rsidRPr="008C36F5">
              <w:rPr>
                <w:rFonts w:ascii="Times New Roman" w:hAnsi="Times New Roman" w:cs="Times New Roman"/>
                <w:color w:val="1D1B11" w:themeColor="background2" w:themeShade="1A"/>
                <w:sz w:val="20"/>
                <w:szCs w:val="20"/>
                <w:lang w:val="en-IN"/>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1D1B11" w:themeColor="background2" w:themeShade="1A"/>
                <w:sz w:val="20"/>
                <w:szCs w:val="20"/>
              </w:rPr>
            </w:pPr>
            <w:r w:rsidRPr="008C36F5">
              <w:rPr>
                <w:rFonts w:ascii="Times New Roman" w:hAnsi="Times New Roman" w:cs="Times New Roman"/>
                <w:color w:val="1D1B11" w:themeColor="background2" w:themeShade="1A"/>
                <w:sz w:val="20"/>
                <w:szCs w:val="20"/>
              </w:rPr>
              <w:t>Hydrogen fuel</w:t>
            </w:r>
          </w:p>
        </w:tc>
        <w:tc>
          <w:tcPr>
            <w:tcW w:w="113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1D1B11" w:themeColor="background2" w:themeShade="1A"/>
                <w:sz w:val="20"/>
                <w:szCs w:val="20"/>
              </w:rPr>
            </w:pPr>
            <w:r w:rsidRPr="008C36F5">
              <w:rPr>
                <w:rFonts w:ascii="Times New Roman" w:hAnsi="Times New Roman" w:cs="Times New Roman"/>
                <w:color w:val="1D1B11" w:themeColor="background2" w:themeShade="1A"/>
                <w:sz w:val="20"/>
                <w:szCs w:val="20"/>
              </w:rPr>
              <w:t>Electrolysis</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1D1B11" w:themeColor="background2" w:themeShade="1A"/>
                <w:sz w:val="20"/>
                <w:szCs w:val="20"/>
              </w:rPr>
            </w:pPr>
            <w:r w:rsidRPr="008C36F5">
              <w:rPr>
                <w:rFonts w:ascii="Times New Roman" w:hAnsi="Times New Roman" w:cs="Times New Roman"/>
                <w:color w:val="1D1B11" w:themeColor="background2" w:themeShade="1A"/>
                <w:sz w:val="20"/>
                <w:szCs w:val="20"/>
              </w:rPr>
              <w:t>To study the possible ways of producing hydrogen in Brazil and futuristic concerns related to it and its technology</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1D1B11" w:themeColor="background2" w:themeShade="1A"/>
                <w:sz w:val="20"/>
                <w:szCs w:val="20"/>
                <w:lang w:val="en-IN"/>
              </w:rPr>
            </w:pPr>
            <w:r w:rsidRPr="008C36F5">
              <w:rPr>
                <w:rFonts w:ascii="Times New Roman" w:hAnsi="Times New Roman" w:cs="Times New Roman"/>
                <w:color w:val="1D1B11" w:themeColor="background2" w:themeShade="1A"/>
                <w:sz w:val="20"/>
                <w:szCs w:val="20"/>
                <w:lang w:val="en-IN"/>
              </w:rPr>
              <w:t>Hydrogen should be produced using electricity from Non- conventional means like Wind and solar</w:t>
            </w:r>
          </w:p>
        </w:tc>
        <w:tc>
          <w:tcPr>
            <w:tcW w:w="25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0"/>
                <w:szCs w:val="20"/>
                <w:lang w:val="en-IN"/>
              </w:rPr>
            </w:pPr>
            <w:r w:rsidRPr="008C36F5">
              <w:rPr>
                <w:rFonts w:ascii="Times New Roman" w:hAnsi="Times New Roman" w:cs="Times New Roman"/>
                <w:color w:val="1D1B11" w:themeColor="background2" w:themeShade="1A"/>
                <w:sz w:val="20"/>
                <w:szCs w:val="20"/>
              </w:rPr>
              <w:t>81</w:t>
            </w:r>
          </w:p>
        </w:tc>
      </w:tr>
      <w:tr w:rsidR="00A147DF" w:rsidRPr="008C36F5" w:rsidTr="00BA1D2E">
        <w:trPr>
          <w:gridAfter w:val="1"/>
          <w:wAfter w:w="18" w:type="dxa"/>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{"citationItems":[{"id":"ITEM-1","itemData":{"DOI":"10.1016/j.rser.2017.09.003","ISBN":"978-1-4577-0165-8","ISSN":"18790690","abstract":"Water electrolysis has the potential to become a key element in coupling the electricity, mobility, heating and chemical sector via Power-to-Liquids (PtL) or Power-to-Gas (PtG) in a future sustainable energy system. Based on an extensive market survey, discussions with manufacturers, project reports and literature, an overview of the current status of alkaline, PEM and solid oxide electrolysis on the way to large-scale flexible energy storage is presented. These main water electrolysis technologies were compared in terms of available capacity, nominal and part-load performance, flexibility (load range, load gradients, start-up time, stand-by losses) lifetime and investment costs. This review provides a basis of the parameters required and the necessary understanding of electrolysis fundamentals and technologies for a techno-economic analysis of water electrolysis-based concepts and an evaluation of PtG and PtL in energy system studies.","author":[{"dropping-particle":"","family":"Buttler","given":"Alexander","non-dropping-particle":"","parse-names":false,"suffix":""},{"dropping-particle":"","family":"Spliethoff","given":"Hartmut","non-dropping-particle":"","parse-names":false,"suffix":""}],"container-title":"Renewable and Sustainable Energy Reviews","id":"ITEM-1","issue":"September","issued":{"date-parts":[["2018"]]},"page":"2440-2454","title":"Current status of water electrolysis for energy storage, grid balancing and sector coupling via power-to-gas and power-to-liquids: A review","type":"article-journal","volume":"82"},"uris":["http://www.mendeley.com/documents/?uuid=95bada66-b0cf-455a-aac8-17ce7dadd9c8"]}],"mendeley":{"formattedCitation":"(Buttler and Spliethoff, 2018)","plainTextFormattedCitation":"(Buttler and Spliethoff, 2018)","previouslyFormattedCitation":"(Buttler and Spliethoff,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(Buttler and Spliethoff, 2018)</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Data of various Water electrolysis techniques</w:t>
            </w:r>
          </w:p>
        </w:tc>
        <w:tc>
          <w:tcPr>
            <w:tcW w:w="113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On the present state of alkaline, PEM, and SOEC, a market survey, conversations with manufacturers, project reports, and a literature review were conducted.</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study and compare the feasibility of various water electrolysis techniques</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Unlike AEL and PEMEL, SOEL has the potential to improve hydrogen generation efficiency and has unique features such as reversible operation and syngas production via co-electrolysis.</w:t>
            </w:r>
          </w:p>
        </w:tc>
        <w:tc>
          <w:tcPr>
            <w:tcW w:w="25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169</w:t>
            </w:r>
          </w:p>
        </w:tc>
      </w:tr>
      <w:tr w:rsidR="00BA1D2E" w:rsidRPr="008C36F5" w:rsidTr="00BA1D2E">
        <w:trPr>
          <w:gridAfter w:val="1"/>
          <w:cnfStyle w:val="000000100000" w:firstRow="0" w:lastRow="0" w:firstColumn="0" w:lastColumn="0" w:oddVBand="0" w:evenVBand="0" w:oddHBand="1" w:evenHBand="0" w:firstRowFirstColumn="0" w:firstRowLastColumn="0" w:lastRowFirstColumn="0" w:lastRowLastColumn="0"/>
          <w:wAfter w:w="18" w:type="dxa"/>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{"citationItems":[{"id":"ITEM-1","itemData":{"DOI":"10.1016/j.ijhydene.2018.10.228","ISSN":"03603199","abstract":"Software and hardware advancements on a hydroxy gas (HHO) production system is presented in this experimental study. A unique control system that enables to generate hydroxy gas at the specified volumetric flow rates with pulse width modulation (PWM) technique is developed and manufactured. The novelty of the method is automatic control of the hydroxy production according to the instantaneous demand, in other words, the adaptation of the HHO system to the operating principles of internal combustion engines (ICEs). A stepping motor represented the vehicle engine in order to get variable rotational speed values. The instantaneous rotation speed range of the motor divided into four sections as no rotation, low (1000–2001 rpm), middle (2001–4001 rpm) and high (&gt;4001 rpm). A computer-driven microcontroller (MCU) card managed the entire system. The MCU card received motor speed input parameters and identified the PWM signal. Results of the study which are the electrical current, hydroxy gas flow and dry cell temperature ranges are presented in tables and graphs. The measured experimental data were 0–15 A, 0–1.56 L per minute and 24–48 °C for electrical current, hydroxy gas production and dry cell temperature ranges, respectively.","author":[{"dropping-particle":"","family":"Baltacıoğlu","given":"Mustafa Kaan","non-dropping-particle":"","parse-names":false,"suffix":""}],"container-title":"International Journal of Hydrogen Energy","id":"ITEM-1","issue":"xxxx","issued":{"date-parts":[["2018"]]},"title":"A novel application of pulse width modulation technique on hydroxy gas production","type":"article-journal"},"uris":["http://www.mendeley.com/documents/?uuid=54e0651d-6492-47ee-a63f-b07ce4624535"]}],"mendeley":{"formattedCitation":"(Baltacıoğlu, 2018)","plainTextFormattedCitation":"(Baltacıoğlu, 2018)","previouslyFormattedCitation":"(Baltacıoğlu,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(Baltacıoğlu, 2018)</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Hydroxy gas</w:t>
            </w:r>
          </w:p>
        </w:tc>
        <w:tc>
          <w:tcPr>
            <w:tcW w:w="113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Experimental data with the use of PWM technique and auto control in generation rate of Hydroxy gas</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Monitor the output rate of hydroxyl in compliance with the system instantaneous state.</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For ICEs up to</w:t>
            </w:r>
          </w:p>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2000cc the hydroxy gas output rate was satisfactory.</w:t>
            </w:r>
          </w:p>
        </w:tc>
        <w:tc>
          <w:tcPr>
            <w:tcW w:w="25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41</w:t>
            </w:r>
          </w:p>
        </w:tc>
      </w:tr>
      <w:tr w:rsidR="00A147DF" w:rsidRPr="008C36F5" w:rsidTr="00BA1D2E">
        <w:trPr>
          <w:gridAfter w:val="1"/>
          <w:wAfter w:w="18" w:type="dxa"/>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{"citationItems":[{"id":"ITEM-1","itemData":{"DOI":"10.1016/j.ijhydene.2018.02.120","ISSN":"03603199","abstract":"HHO gas, which is obtained by the electrolysis of water, is a promising alternative fuel. This paper presents a review of important features and techniques used for producing HHO gas. Various aspects of the thermodynamics and chemical kinetics of electrolysis reactions are discussed. Design and operating parameters for improving the gas production rate are identified. Widely different hypotheses regarding the structure and composition of HHO gas are compared in depth. The state of the art on the use of HHO gas in Internal Combustion (IC) engines is presented in the latter part of the paper. It is seen that the introduction of HHO gas increases engine torque, power and thermal efficiency, while simultaneously reducing the formation of NOx, CO, HC and CO2. The major challenges in using HHO gas in engines are identified as system complexity, safety, cost and efficiency of electrolysis.","author":[{"dropping-particle":"","family":"Subramanian","given":"Balaji","non-dropping-particle":"","parse-names":false,"suffix":""},{"dropping-particle":"","family":"Ismail","given":"Saleel","non-dropping-particle":"","parse-names":false,"suffix":""}],"container-title":"International Journal of Hydrogen Energy","id":"ITEM-1","issue":"14","issued":{"date-parts":[["2018"]]},"page":"7140-7154","publisher":"Elsevier Ltd","title":"Production and use of HHO gas in IC engines","type":"article-journal","volume":"43"},"uris":["http://www.mendeley.com/documents/?uuid=4669f9bd-0961-4313-812d-89864fc50ea1"]}],"mendeley":{"formattedCitation":"(Subramanian and Ismail, 2018)","plainTextFormattedCitation":"(Subramanian and Ismail, 2018)","previouslyFormattedCitation":"(Subramanian and Ismail,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(Subramanian and Ismail, 2018)</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Two electrodes, electrolyte, DC power source</w:t>
            </w:r>
          </w:p>
        </w:tc>
        <w:tc>
          <w:tcPr>
            <w:tcW w:w="113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An arrangement of electrodes used for electrolysis of water </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minify dependency on carbon fossil as fuel.</w:t>
            </w:r>
          </w:p>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To boost the thermal </w:t>
            </w:r>
            <w:r w:rsidRPr="008C36F5">
              <w:rPr>
                <w:rFonts w:ascii="Times New Roman" w:hAnsi="Times New Roman" w:cs="Times New Roman"/>
                <w:sz w:val="20"/>
                <w:szCs w:val="20"/>
              </w:rPr>
              <w:lastRenderedPageBreak/>
              <w:t>effectiveness of the IC engine.</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With HHO gas consumption dependence of fossil fuel was reduced and eco-friendly to nature</w:t>
            </w:r>
          </w:p>
        </w:tc>
        <w:tc>
          <w:tcPr>
            <w:tcW w:w="25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55</w:t>
            </w:r>
          </w:p>
        </w:tc>
      </w:tr>
      <w:tr w:rsidR="00BA1D2E" w:rsidRPr="008C36F5" w:rsidTr="00BA1D2E">
        <w:trPr>
          <w:gridAfter w:val="1"/>
          <w:cnfStyle w:val="000000100000" w:firstRow="0" w:lastRow="0" w:firstColumn="0" w:lastColumn="0" w:oddVBand="0" w:evenVBand="0" w:oddHBand="1" w:evenHBand="0" w:firstRowFirstColumn="0" w:firstRowLastColumn="0" w:lastRowFirstColumn="0" w:lastRowLastColumn="0"/>
          <w:wAfter w:w="18" w:type="dxa"/>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{"citationItems":[{"id":"ITEM-1","itemData":{"DOI":"10.1002/9783527674268","ISBN":"9783527674268","abstract":"Authored by 50 top academic, government and industry researchers, this handbook explores mature, evolving technologies for a clean, economically viable alternative to non-renewable energy. In so doing, it also discusses such broader topics as the environmental impact, education, safety and regulatory developments. The text is all-encompassing, covering a wide range that includes hydrogen as an energy carrier, hydrogen for storage of renewable energy, and incorporating hydrogen technologies into existing technologies.","author":[{"dropping-particle":"","family":"Zhang and Zeng Kai","given":"","non-dropping-particle":"","parse-names":false,"suffix":""}],"container-title":"Hydrogen Science and Engineering: Materials, Processes, Systems and Technology","id":"ITEM-1","issued":{"date-parts":[["2016"]]},"number-of-pages":"1-1138","title":"Hydrogen Science and Engineering: Materials, Processes, Systems and Technology","type":"book","volume":"1-2"},"uris":["http://www.mendeley.com/documents/?uuid=b1f77046-4d64-4087-8c3d-f6007ff6cea0"]}],"mendeley":{"formattedCitation":"(Zhang and Zeng Kai, 2016)","plainTextFormattedCitation":"(Zhang and Zeng Kai, 2016)","previouslyFormattedCitation":"(Zhang and Zeng Kai, 2016)"},"properties":{"noteIndex":0},"schema":"https://github.com/citation-style-language/schema/raw/master/csl-citation.json"}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(Zhang and Zeng Kai, 2016)</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AWE technique for the generation of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w:t>
            </w:r>
          </w:p>
        </w:tc>
        <w:tc>
          <w:tcPr>
            <w:tcW w:w="113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 force balance study was conducted over an electrolytic bubble on the model of the evolution of electrolytic gas.</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This experimental investigation aimed to explore water electrolysis and utilizing it for the generation of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AWE incorporated with sustainable energy can be combined into a shared energy grid through generating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for final usage &amp; used as the power storage medium.</w:t>
            </w:r>
          </w:p>
        </w:tc>
        <w:tc>
          <w:tcPr>
            <w:tcW w:w="25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102</w:t>
            </w:r>
          </w:p>
        </w:tc>
      </w:tr>
      <w:tr w:rsidR="00A147DF" w:rsidRPr="008C36F5" w:rsidTr="00BA1D2E">
        <w:trPr>
          <w:gridAfter w:val="1"/>
          <w:wAfter w:w="18" w:type="dxa"/>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{"citationItems":[{"id":"ITEM-1","itemData":{"DOI":"10.1002/ente.201600222","ISSN":"21944296","abstract":"The infusion of Brown's gas into a diesel engine can create faster, more efficient combustion, which can be produced by using an alkaline electrolyzer. Brown's gas consists of 2/3 hydrogen and 1/3 oxygen by volume, as produced by the alkaline electrolyzer. An experimental test setup for verifying the performance of an electrolyzer provided by Stan Warner was established in the Battery Laboratory at the University of California Davis. A series of tests were performed under constant current and pulse current modes. Analyses of the data indicate that the electrolyzer functions reliably at all current values. The Brown's gas production rate is found to be linear with current and in agreement with Faraday's Law. The electrolyzer meets the developer's claim of 3–4 L min−1 of Brown's gas production at 60 A. The calculated energy efficiency of the electrolyzer based on the high heating value of hydrogen is 61 % at 70 A. The performance and pulse characteristics of the Warner electrolyzer indicate it is well suited for use in diesel truck applications.","author":[{"dropping-particle":"","family":"Wu","given":"Yimin","non-dropping-particle":"","parse-names":false,"suffix":""},{"dropping-particle":"","family":"Xie","given":"Changjun","non-dropping-particle":"","parse-names":false,"suffix":""},{"dropping-particle":"","family":"Burke","given":"Andrew","non-dropping-particle":"","parse-names":false,"suffix":""},{"dropping-particle":"","family":"Zhao","given":"Hengbing","non-dropping-particle":"","parse-names":false,"suffix":""},{"dropping-particle":"","family":"Miller","given":"Marshall","non-dropping-particle":"","parse-names":false,"suffix":""},{"dropping-particle":"","family":"Warner","given":"Stan","non-dropping-particle":"","parse-names":false,"suffix":""}],"container-title":"Energy Technology","id":"ITEM-1","issue":"2","issued":{"date-parts":[["2017"]]},"page":"244-252","title":"Experimental Investigation of Producing Brown's Gas using a Metal-Plate Electrolyzer for Diesel Vehicle Applications","type":"article-journal","volume":"5"},"uris":["http://www.mendeley.com/documents/?uuid=d861845e-8922-4b35-9ee2-e2fc43680655"]}],"mendeley":{"formattedCitation":"(Wu &lt;i&gt;et al.&lt;/i&gt;, 2017)","plainTextFormattedCitation":"(Wu et al., 2017)","previouslyFormattedCitation":"(Wu &lt;i&gt;et al.&lt;/i&gt;,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(Wu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2017)</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Brown gas generated from metal pate electrolyzer</w:t>
            </w:r>
          </w:p>
        </w:tc>
        <w:tc>
          <w:tcPr>
            <w:tcW w:w="113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Electrolyzer efficiency was tested using an experimental test rig.</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Analysis of production of B.G (up to 100A)</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B.G production rate on current was almost linear.</w:t>
            </w:r>
          </w:p>
        </w:tc>
        <w:tc>
          <w:tcPr>
            <w:tcW w:w="25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42</w:t>
            </w:r>
          </w:p>
        </w:tc>
      </w:tr>
      <w:tr w:rsidR="00BA1D2E" w:rsidRPr="008C36F5" w:rsidTr="00BA1D2E">
        <w:trPr>
          <w:gridAfter w:val="1"/>
          <w:cnfStyle w:val="000000100000" w:firstRow="0" w:lastRow="0" w:firstColumn="0" w:lastColumn="0" w:oddVBand="0" w:evenVBand="0" w:oddHBand="1" w:evenHBand="0" w:firstRowFirstColumn="0" w:firstRowLastColumn="0" w:lastRowFirstColumn="0" w:lastRowLastColumn="0"/>
          <w:wAfter w:w="18" w:type="dxa"/>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{"citationItems":[{"id":"ITEM-1","itemData":{"DOI":"10.1002/er.3806","ISSN":"1099114X","abstract":"A traditional alkaline aqueous electrolyzer is investigated by using a 3-electode structure that enables the reaction resistance of each individual electrode to be accurately monitored. Combining experimental observations with resistance-based model analysis, we establish a quantitative relationship between current density and key voltage losses, including losses due to thermodynamics, kinetics, ohmic, and mass transport. These results demonstrate that the oxygen evolution reaction and bubble effects play crucial roles in determining electrolyzer performance. By varying the distance between electrodes, 2 effective OH−conductivities in 0.4M KOH are found to be 0.1333 and 0.9650 second cm−1, depending on bubble formation and release rate at the electrode interface. Moreover, bubble coverage on electrode surface achieves a steady state of 96% when current density is above 0.1 A cm−2. In the study of various electrolyte concentrations, all the model predictions show good agreement with experimental results, confirming its ability to capture actual cell performance. This newly presented empirical resistance-based model provides a practical framework to simulate complicated electrolysis reactions, serving as a comprehensive guide for continuous improvement of water electrolysis.","author":[{"dropping-particle":"","family":"Chen","given":"Yanan","non-dropping-particle":"","parse-names":false,"suffix":""},{"dropping-particle":"","family":"Mojica","given":"Felipe","non-dropping-particle":"","parse-names":false,"suffix":""},{"dropping-particle":"","family":"Li","given":"Guangfu","non-dropping-particle":"","parse-names":false,"suffix":""},{"dropping-particle":"","family":"Chuang","given":"Po Ya Abel","non-dropping-particle":"","parse-names":false,"suffix":""}],"container-title":"International Journal of Energy Research","id":"ITEM-1","issue":"14","issued":{"date-parts":[["2017"]]},"page":"2365-2373","title":"Experimental study and analytical modeling of an alkaline water electrolysis cell","type":"article-journal","volume":"41"},"uris":["http://www.mendeley.com/documents/?uuid=845019e8-08ef-4339-b49c-d593ca1fdcfd"]}],"mendeley":{"formattedCitation":"(Chen &lt;i&gt;et al.&lt;/i&gt;, 2017)","plainTextFormattedCitation":"(Chen et al., 2017)","previouslyFormattedCitation":"(Chen &lt;i&gt;et al.&lt;/i&gt;,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(Chen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2017)</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Alkaline aqueous electrolyzer</w:t>
            </w:r>
          </w:p>
        </w:tc>
        <w:tc>
          <w:tcPr>
            <w:tcW w:w="113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Analytical modelling</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Improve water electrolysis</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Establish a framework for evaluating alternative electrolyzer designs and reducing energy losses.</w:t>
            </w:r>
          </w:p>
        </w:tc>
        <w:tc>
          <w:tcPr>
            <w:tcW w:w="25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29</w:t>
            </w:r>
          </w:p>
        </w:tc>
      </w:tr>
      <w:tr w:rsidR="00A147DF" w:rsidRPr="008C36F5" w:rsidTr="00BA1D2E">
        <w:trPr>
          <w:gridAfter w:val="1"/>
          <w:wAfter w:w="18" w:type="dxa"/>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A147DF" w:rsidP="008C36F5">
            <w:pPr>
              <w:spacing w:after="100"/>
              <w:rPr>
                <w:rFonts w:ascii="Times New Roman" w:hAnsi="Times New Roman" w:cs="Times New Roman"/>
                <w:b w:val="0"/>
                <w:sz w:val="20"/>
                <w:szCs w:val="20"/>
              </w:rPr>
            </w:pPr>
            <w:r w:rsidRPr="008C36F5">
              <w:rPr>
                <w:rFonts w:ascii="Times New Roman" w:hAnsi="Times New Roman" w:cs="Times New Roman"/>
                <w:b w:val="0"/>
                <w:sz w:val="20"/>
                <w:szCs w:val="20"/>
              </w:rPr>
              <w:t>(</w:t>
            </w:r>
            <w:r w:rsidRPr="008C36F5">
              <w:rPr>
                <w:rFonts w:ascii="Times New Roman" w:eastAsia="Times New Roman" w:hAnsi="Times New Roman" w:cs="Times New Roman"/>
                <w:b w:val="0"/>
                <w:sz w:val="20"/>
                <w:szCs w:val="20"/>
                <w:lang w:eastAsia="en-IN"/>
              </w:rPr>
              <w:t>Nabil. et al., 2019)</w:t>
            </w:r>
          </w:p>
        </w:tc>
        <w:tc>
          <w:tcPr>
            <w:tcW w:w="69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HHO gas, hybrid solar and water desalination</w:t>
            </w:r>
          </w:p>
        </w:tc>
        <w:tc>
          <w:tcPr>
            <w:tcW w:w="113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Different designed HHO generators with hybrid solar systems </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To compare the  effect of using hydrogen in different cc I.C engines and also to check the feasibility of HHO generator with Solar system </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major benefits of utilising HHO gas was lower fuel usage and fewer pollutants.</w:t>
            </w:r>
          </w:p>
        </w:tc>
        <w:tc>
          <w:tcPr>
            <w:tcW w:w="25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60</w:t>
            </w:r>
          </w:p>
        </w:tc>
      </w:tr>
      <w:tr w:rsidR="00BA1D2E" w:rsidRPr="008C36F5" w:rsidTr="00BA1D2E">
        <w:trPr>
          <w:gridAfter w:val="1"/>
          <w:cnfStyle w:val="000000100000" w:firstRow="0" w:lastRow="0" w:firstColumn="0" w:lastColumn="0" w:oddVBand="0" w:evenVBand="0" w:oddHBand="1" w:evenHBand="0" w:firstRowFirstColumn="0" w:firstRowLastColumn="0" w:lastRowFirstColumn="0" w:lastRowLastColumn="0"/>
          <w:wAfter w:w="18" w:type="dxa"/>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{"citationItems":[{"id":"ITEM-1","itemData":{"DOI":"10.3846/16486897.2012.679661","ISSN":"1648-6897","abstract":"Hydrogen could become an important element, allowing us to accumulate and transfer energy in a clean way. Hydrogen can be used in cars as a fuel additive which increases the combustion efficiency of the fuel-air mixture. A small amount of hydrogen gas could also be produced in a car by decomposing water by means of electrolysis, using for this purpose the energy produced by the car's electric power generator. The hydrogen and oxygen (HHO) mixture obtained, which is also known as Brown's gaseous mixture, is supplied to the engine's intake manifold. Tests have been performed with 1.6 TD (SB) diesel engine. The automobile was tested on a chassis dynamometer running at a different speed. The engine was tested using fuel-air combustion mixture and fuel-air-HHO gas combustion mixture without additional adjustment of the fuel supply system. The test results have revealed that additional injection of HHO gas into combustion mixture resulted in up increase of fuel consumption, but the CO, the HC, the PM amount has decreased insignificantly. At few engine loads the amount of NOx decreased, however increasing the engine load resulted in a gradual increase. Having analysed test results we came to a conclusion that additional supply of HHO gas into combustion mixture resulted in improvement of the combustion quality of fuel-air mixture and ecological performance of the engine. This is especially relevant for the automobiles which are not equipped with a supplementary exhaust gas toxicity decreasing system. © 2013 Vilnius Gediminas Technical University (VGTU) Press.","author":[{"dropping-particle":"","family":"Rimkus","given":"Alfredas","non-dropping-particle":"","parse-names":false,"suffix":""},{"dropping-particle":"","family":"Pukalskas","given":"Saugirdas","non-dropping-particle":"","parse-names":false,"suffix":""},{"dropping-particle":"","family":"Matijošius","given":"Jonas","non-dropping-particle":"","parse-names":false,"suffix":""},{"dropping-particle":"","family":"Sokolovskij","given":"Edgar","non-dropping-particle":"","parse-names":false,"suffix":""}],"container-title":"Journal of Environmental Engineering and Landscape Management","id":"ITEM-1","issue":"2","issued":{"date-parts":[["2012"]]},"page":"133-140","title":"Betterment of ecological parameters of a diesel engine using Brown‘s gas","type":"article-journal","volume":"21"},"uris":["http://www.mendeley.com/documents/?uuid=7553e9e1-010f-41bc-892e-f44b24a1579c"]}],"mendeley":{"formattedCitation":"(Rimkus &lt;i&gt;et al.&lt;/i&gt;, 2012)","plainTextFormattedCitation":"(Rimkus et al., 2012)","previouslyFormattedCitation":"(Rimkus &lt;i&gt;et al.&lt;/i&gt;, 2012)"},"properties":{"noteIndex":0},"schema":"https://github.com/citation-style-language/schema/raw/master/csl-citation.json"}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(Rimkus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2012)</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lang w:val="en-IN"/>
              </w:rPr>
              <w:t>HHO</w:t>
            </w:r>
          </w:p>
        </w:tc>
        <w:tc>
          <w:tcPr>
            <w:tcW w:w="113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lang w:val="en-IN"/>
              </w:rPr>
              <w:t>A 1.6 TD (SB) diesel engine was used in the testing.</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lang w:val="en-IN"/>
              </w:rPr>
              <w:t>To analyse peculiarities of generation of HHO in a vehicle utilizing electrolysis &amp; to test the performance of engine utilizing hydroxy gas.</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lang w:val="en-IN"/>
              </w:rPr>
              <w:t>Engine profitable efficiency variables could be enhanced through the more effective output of HHO and also through the exact configuration of an optimal moment of fuel intake.</w:t>
            </w:r>
          </w:p>
        </w:tc>
        <w:tc>
          <w:tcPr>
            <w:tcW w:w="25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22</w:t>
            </w:r>
          </w:p>
        </w:tc>
      </w:tr>
      <w:tr w:rsidR="00A147DF" w:rsidRPr="008C36F5" w:rsidTr="00BA1D2E">
        <w:trPr>
          <w:gridAfter w:val="1"/>
          <w:wAfter w:w="18" w:type="dxa"/>
          <w:trHeight w:val="260"/>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{"citationItems":[{"id":"ITEM-1","itemData":{"DOI":"10.24247/ijmperdjun2020937","ISSN":"2249-6890","abstract":"The demand for fossil fuels is increasing regularly; therefore Researchers are facing the challenge of finding promising alternative fuels such as hydrogen, oxyhydrogen, alcohol, biodiesel fuels etc. Some of the adverse effects of the current fuel technology prevailing in internal combustion engines are poor air quality index, increased accumulation of greenhouse gases in the environment. The aim of present research was to generate the oxyhydrogen gas through the process of electrolysis and send the homogeneous mixture of gasoline and oxyhydrogen into the four cylinder four stroke spark ignition engine and then analyse emission and performance parameters. Oxyhydrogen gas was manipulated as a secondary fuel in spark ignited1298 cc engine. Results obtained conclude that by using oxyhydrogen and gasoline mixture the r.p.m increased by 9%, fuel consumption decreased by 10.80%, brake power increased by 8.61%, indicated power increased by 12.63% whereas indicated and brake specific fuel consumption decreased by 21.18% and 18.17% respectively, also the emission of hydrocarbon decreased by 8.25% and carbon monoxide decreased by 6.05%. The drawback of this research setup was the increase in frictional losses due to high heat generation which accompany the reduction in mechanical efficiency by 4.31%. Oxyhydrogen generator and supplying system can be made compatible to the engine without any major modification which approaches towards better results.","author":[{"dropping-particle":"","family":"Shrikant Bhardwaj et al.,","given":"Shrikant Bhardwaj et al.,","non-dropping-particle":"","parse-names":false,"suffix":""},{"dropping-particle":"","family":"Shrikant Bhardwaj et al.,, Shrikant Bhardwaj et al.","given":"","non-dropping-particle":"","parse-names":false,"suffix":""}],"container-title":"International Journal of Mechanical and Production Engineering Research and Development","id":"ITEM-1","issue":"3","issued":{"date-parts":[["2020"]]},"page":"9811-9824","title":"Modelling and Simulation of Gasoline Engine at Different Load Conditions using Oxyhydrogen Blend","type":"article-journal","volume":"10"},"uris":["http://www.mendeley.com/documents/?uuid=6d9d7f96-374c-49e4-a919-485b0eb48044"]}],"mendeley":{"formattedCitation":"(Shrikant Bhardwaj et al., and Shrikant Bhardwaj et al.,, Shrikant Bhardwaj et al., 2020)","manualFormatting":"(Shrikant Bhardwaj et al., 2020)","plainTextFormattedCitation":"(Shrikant Bhardwaj et al., and Shrikant Bhardwaj et al.,, Shrikant Bhardwaj et al., 2020)","previouslyFormattedCitation":"(Shrikant Bhardwaj et al., and Shrikant Bhardwaj et al.,, Shrikant Bhardwaj et al., 2020)"},"properties":{"noteIndex":0},"schema":"https://github.com/citation-style-language/schema/raw/master/csl-citation.json"}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(Shrikant Bhardwaj et al., 2020)</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 blended mixture of HHO &amp; Fuel</w:t>
            </w:r>
          </w:p>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13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Experimental analysis using modelling and simulation technique.</w:t>
            </w:r>
          </w:p>
        </w:tc>
        <w:tc>
          <w:tcPr>
            <w:tcW w:w="1136" w:type="pct"/>
            <w:shd w:val="clear" w:color="auto" w:fill="FFFFFF" w:themeFill="background1"/>
          </w:tcPr>
          <w:p w:rsidR="00A147DF" w:rsidRPr="008C36F5" w:rsidRDefault="00A147DF" w:rsidP="0026178A">
            <w:pPr>
              <w:spacing w:after="1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enhance decrement of emission and consumption of fuel in S.I engine and increase other performance parameters</w:t>
            </w:r>
          </w:p>
        </w:tc>
        <w:tc>
          <w:tcPr>
            <w:tcW w:w="11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results showed that a combination of oxy-hydrogen and gasoline enhances the r.p.m., F.C., IP, B.P and decreases ISFC and BSFC also decrease the emission of hydrocarbon and carbon monoxide. The reduction in mechanical efficiency.</w:t>
            </w:r>
          </w:p>
        </w:tc>
        <w:tc>
          <w:tcPr>
            <w:tcW w:w="259"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BA1D2E" w:rsidRPr="008C36F5" w:rsidTr="00BA1D2E">
        <w:trPr>
          <w:gridAfter w:val="1"/>
          <w:cnfStyle w:val="000000100000" w:firstRow="0" w:lastRow="0" w:firstColumn="0" w:lastColumn="0" w:oddVBand="0" w:evenVBand="0" w:oddHBand="1" w:evenHBand="0" w:firstRowFirstColumn="0" w:firstRowLastColumn="0" w:lastRowFirstColumn="0" w:lastRowLastColumn="0"/>
          <w:wAfter w:w="18" w:type="dxa"/>
        </w:trPr>
        <w:tc>
          <w:tcPr>
            <w:cnfStyle w:val="001000000000" w:firstRow="0" w:lastRow="0" w:firstColumn="1" w:lastColumn="0" w:oddVBand="0" w:evenVBand="0" w:oddHBand="0" w:evenHBand="0" w:firstRowFirstColumn="0" w:firstRowLastColumn="0" w:lastRowFirstColumn="0" w:lastRowLastColumn="0"/>
            <w:tcW w:w="624"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{"citationItems":[{"id":"ITEM-1","itemData":{"DOI":"10.1080/15567036.2020.1817194","ISSN":"15567230","abstract":"The oxides of nitrogen (NO x) and smoke emitted by widely used compression ignition (CI) engines of automobiles are among the major contributor to the environmental pollution. Several attempts are being made to reduce these exhaust emissions from automobiles. Low-temperature combustion (LTC) with homogeneous charge compression ignition (HCCI) is one of the strategies to reduce these engine exhaust emissions. The present work investigates the addition of Brown’s gas (HHO) in the intake manifold of a stationary common rail direct injection CI engine in HCCI mode. In the experiments, electronically assisted fuel injection system was used to maintain the injection pressure to 250 bars. The effect of HHO addition on the combustion and emissions was studied for different loads and injection advance. It was observed that the brake power, brake thermal efficiency, and brake-specific fuel consumption were improved by around 5% due to HHO addition. However, they were found to be decreased with increased injection advance. Moreover, a considerable reduction in NOx emission, i.e., 1–12 ppm was recorded for early injection mode. Thus, Brown’s gas addition with LTC strategy may result in reduced environmental pollution.","author":[{"dropping-particle":"","family":"Bhave","given":"Nikhil Aniruddha","non-dropping-particle":"","parse-names":false,"suffix":""},{"dropping-particle":"","family":"Gupta","given":"Mahendra M.","non-dropping-particle":"","parse-names":false,"suffix":""},{"dropping-particle":"","family":"Joshi","given":"Sandeep S.","non-dropping-particle":"","parse-names":false,"suffix":""}],"container-title":"Energy Sources, Part A: Recovery, Utilization and Environmental Effects","id":"ITEM-1","issue":"x","issued":{"date-parts":[["2020"]]},"title":"Effect of Brown’s gas addition on combustion and emissions of homogeneous charge compression ignition engine","type":"article-journal"},"uris":["http://www.mendeley.com/documents/?uuid=598fb8d9-8638-4783-abd0-1a0b87fd1b3e"]}],"mendeley":{"formattedCitation":"(Bhave, Gupta and Joshi, 2020)","plainTextFormattedCitation":"(Bhave, Gupta and Joshi, 2020)","previouslyFormattedCitation":"(Bhave, Gupta and Joshi, 2020)"},"properties":{"noteIndex":0},"schema":"https://github.com/citation-style-language/schema/raw/master/csl-citation.json"}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(Bhave, Gupta and Joshi, 2020)</w:t>
            </w:r>
            <w:r w:rsidRPr="008C36F5">
              <w:rPr>
                <w:rFonts w:ascii="Times New Roman" w:hAnsi="Times New Roman" w:cs="Times New Roman"/>
                <w:sz w:val="20"/>
                <w:szCs w:val="20"/>
              </w:rPr>
              <w:fldChar w:fldCharType="end"/>
            </w:r>
          </w:p>
        </w:tc>
        <w:tc>
          <w:tcPr>
            <w:tcW w:w="69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Brown’s gas production using KOH as the electrolyte </w:t>
            </w:r>
            <w:r w:rsidRPr="008C36F5">
              <w:rPr>
                <w:rFonts w:ascii="Times New Roman" w:hAnsi="Times New Roman" w:cs="Times New Roman"/>
                <w:sz w:val="20"/>
                <w:szCs w:val="20"/>
              </w:rPr>
              <w:lastRenderedPageBreak/>
              <w:t>&amp;  direct injection HCCI engine</w:t>
            </w:r>
          </w:p>
        </w:tc>
        <w:tc>
          <w:tcPr>
            <w:tcW w:w="113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AVL gas analyzer was utilised in the tests using an electronically assisted </w:t>
            </w:r>
            <w:r w:rsidRPr="008C36F5">
              <w:rPr>
                <w:rFonts w:ascii="Times New Roman" w:hAnsi="Times New Roman" w:cs="Times New Roman"/>
                <w:sz w:val="20"/>
                <w:szCs w:val="20"/>
              </w:rPr>
              <w:lastRenderedPageBreak/>
              <w:t>fuel injection system.</w:t>
            </w:r>
          </w:p>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136" w:type="pct"/>
            <w:shd w:val="clear" w:color="auto" w:fill="FFFFFF" w:themeFill="background1"/>
          </w:tcPr>
          <w:p w:rsidR="00A147DF" w:rsidRPr="008C36F5" w:rsidRDefault="0026178A"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lastRenderedPageBreak/>
              <w:t>E</w:t>
            </w:r>
            <w:r w:rsidR="00A147DF" w:rsidRPr="008C36F5">
              <w:rPr>
                <w:rFonts w:ascii="Times New Roman" w:hAnsi="Times New Roman" w:cs="Times New Roman"/>
                <w:sz w:val="20"/>
                <w:szCs w:val="20"/>
              </w:rPr>
              <w:t xml:space="preserve">lectrically assisted fuel injection system was employed in the tests, along with an </w:t>
            </w:r>
            <w:r w:rsidR="00A147DF" w:rsidRPr="008C36F5">
              <w:rPr>
                <w:rFonts w:ascii="Times New Roman" w:hAnsi="Times New Roman" w:cs="Times New Roman"/>
                <w:sz w:val="20"/>
                <w:szCs w:val="20"/>
              </w:rPr>
              <w:lastRenderedPageBreak/>
              <w:t>AVL gas analyzer.</w:t>
            </w:r>
          </w:p>
        </w:tc>
        <w:tc>
          <w:tcPr>
            <w:tcW w:w="11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Use of HHO enhanced peak pressure and NHRR. Decrease in BP, BTE, </w:t>
            </w:r>
            <w:r w:rsidRPr="008C36F5">
              <w:rPr>
                <w:rFonts w:ascii="Times New Roman" w:hAnsi="Times New Roman" w:cs="Times New Roman"/>
                <w:sz w:val="20"/>
                <w:szCs w:val="20"/>
              </w:rPr>
              <w:lastRenderedPageBreak/>
              <w:t>and BSFC was roughly 15%. The inclusion of HHO also resulted in a reduction in all emissions.</w:t>
            </w:r>
          </w:p>
        </w:tc>
        <w:tc>
          <w:tcPr>
            <w:tcW w:w="259"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52</w:t>
            </w:r>
          </w:p>
        </w:tc>
      </w:tr>
    </w:tbl>
    <w:p w:rsidR="00A147DF" w:rsidRDefault="00A147DF" w:rsidP="008C36F5">
      <w:pPr>
        <w:spacing w:line="240" w:lineRule="auto"/>
        <w:rPr>
          <w:rFonts w:ascii="Times New Roman" w:hAnsi="Times New Roman" w:cs="Times New Roman"/>
          <w:sz w:val="20"/>
          <w:szCs w:val="20"/>
        </w:rPr>
      </w:pPr>
      <w:r w:rsidRPr="00C05FB0">
        <w:rPr>
          <w:rFonts w:ascii="Times New Roman" w:hAnsi="Times New Roman" w:cs="Times New Roman"/>
          <w:b/>
          <w:szCs w:val="20"/>
        </w:rPr>
        <w:t>Comment:</w:t>
      </w:r>
      <w:r w:rsidRPr="008C36F5">
        <w:rPr>
          <w:rFonts w:ascii="Times New Roman" w:hAnsi="Times New Roman" w:cs="Times New Roman"/>
          <w:sz w:val="20"/>
          <w:szCs w:val="20"/>
          <w:lang w:val="en-IN"/>
        </w:rPr>
        <w:t xml:space="preserve"> In the generation of Oxyhydrogen/Hydrogen, the distance between the cell plates is very critical. It has been discovered that a distance of 5-6 mm between the cell plates is optimal for maximum gas production while consuming the least amount of energy. Experiments have shown that the electrolysis process can be aided by the use of KOH and NaOH as catalysts. When KOH is used as a catalyst, it produces more Hydroxy gases than other catalysts, resulting in improved cell performance. Apart from NOx emissions, every experimental finding from S.I. and C.I. engines showed that brown gas supplementation to the non-renewable energy supply improved performance and exhaust discharge values. </w:t>
      </w:r>
      <w:r w:rsidRPr="008C36F5">
        <w:rPr>
          <w:rFonts w:ascii="Times New Roman" w:hAnsi="Times New Roman" w:cs="Times New Roman"/>
          <w:sz w:val="20"/>
          <w:szCs w:val="20"/>
        </w:rPr>
        <w:t>Electrolysis of chlorine is briefly discussed as a potential alternate source of hydrogen. Due to the blockage of active reaction sites on the surfaces of plate electrodes by generated HHO gas bubbles, narrower electrolyte cell gaps (1 and 3 mm) resulted in decreased HHO output rates at high electrolyte temperatures. The rate of brown gas generation is shown to be linear with current, confirming faraday's law.</w:t>
      </w:r>
    </w:p>
    <w:p w:rsidR="00A147DF" w:rsidRPr="00455B6B" w:rsidRDefault="00A147DF" w:rsidP="008C36F5">
      <w:pPr>
        <w:spacing w:line="240" w:lineRule="auto"/>
        <w:rPr>
          <w:rFonts w:ascii="Times New Roman" w:hAnsi="Times New Roman" w:cs="Times New Roman"/>
          <w:sz w:val="20"/>
          <w:szCs w:val="20"/>
        </w:rPr>
      </w:pPr>
      <w:r w:rsidRPr="008C36F5">
        <w:rPr>
          <w:rFonts w:ascii="Times New Roman" w:hAnsi="Times New Roman" w:cs="Times New Roman"/>
          <w:b/>
          <w:sz w:val="20"/>
          <w:szCs w:val="20"/>
        </w:rPr>
        <w:t>4. Generation of Oxyhydrogen Gas (HHO)/H</w:t>
      </w:r>
      <w:r w:rsidRPr="008C36F5">
        <w:rPr>
          <w:rFonts w:ascii="Times New Roman" w:hAnsi="Times New Roman" w:cs="Times New Roman"/>
          <w:b/>
          <w:sz w:val="20"/>
          <w:szCs w:val="20"/>
          <w:vertAlign w:val="subscript"/>
        </w:rPr>
        <w:t>2</w:t>
      </w:r>
      <w:r w:rsidRPr="008C36F5">
        <w:rPr>
          <w:rFonts w:ascii="Times New Roman" w:hAnsi="Times New Roman" w:cs="Times New Roman"/>
          <w:b/>
          <w:sz w:val="20"/>
          <w:szCs w:val="20"/>
        </w:rPr>
        <w:t xml:space="preserve"> Using Membrane Exchange Method like Proton Exchange Membrane/Anion Exchange Method:</w:t>
      </w:r>
      <w:r w:rsidR="00455B6B" w:rsidRPr="00455B6B">
        <w:rPr>
          <w:rFonts w:ascii="Times New Roman" w:hAnsi="Times New Roman" w:cs="Times New Roman"/>
          <w:sz w:val="20"/>
          <w:szCs w:val="20"/>
        </w:rPr>
        <w:t xml:space="preserve"> </w:t>
      </w:r>
      <w:r w:rsidR="00455B6B" w:rsidRPr="008C36F5">
        <w:rPr>
          <w:rFonts w:ascii="Times New Roman" w:hAnsi="Times New Roman" w:cs="Times New Roman"/>
          <w:sz w:val="20"/>
          <w:szCs w:val="20"/>
        </w:rPr>
        <w:t xml:space="preserve">Pierre Millet observed that the most mature method of AWE technology is PEM technology; it is gaining popularity because of its intrinsic benefits, such as increased safety and efficiency. In the long run, high-temperature water electrolysis was explored for large-scale hydrogen generation </w:t>
      </w:r>
      <w:r w:rsidR="00455B6B" w:rsidRPr="008C36F5">
        <w:rPr>
          <w:rFonts w:ascii="Times New Roman" w:hAnsi="Times New Roman" w:cs="Times New Roman"/>
          <w:sz w:val="20"/>
          <w:szCs w:val="20"/>
        </w:rPr>
        <w:fldChar w:fldCharType="begin" w:fldLock="1"/>
      </w:r>
      <w:r w:rsidR="00455B6B" w:rsidRPr="008C36F5">
        <w:rPr>
          <w:rFonts w:ascii="Times New Roman" w:hAnsi="Times New Roman" w:cs="Times New Roman"/>
          <w:sz w:val="20"/>
          <w:szCs w:val="20"/>
        </w:rPr>
        <w:instrText>ADDIN CSL_CITATION {"citationItems":[{"id":"ITEM-1","itemData":{"DOI":"10.1002/9783527676507.ch3","ISBN":"9783527676507","abstract":"© 2015 Wiley-VCH Verlag GmbH &amp; Co. KGaA. All rights reserved. The purpose of this chapter is to provide an overview of the so-called 'polymer electrolyte membrane' (PEM) water electrolysis for the production of hydrogen and oxygen of electrolytic grade. After a brief introduction to the historical background (Section 3.1.1), and a general description of the technology (Section 3.1.2), unit PEM cells are described in Section 3.1.3. Electrochemical performances of unit PEM cells are described in Section 3.1.4. The techniques used for stacking individual electrolysis cell into electrolysers of larger capacity and the performance and characteristics of these stacks are described in Section 3.1.5. Details about process flowsheet, ancillary equipment and balance of plant are provided in Section 3.1.6. Current technological developments and applications are presented in Section 3.1.7. Finally, existing limitations, challenges and future perspectives are discussed in Section 3.1.8.","author":[{"dropping-particle":"","family":"Millet","given":"Pierre","non-dropping-particle":"","parse-names":false,"suffix":""}],"container-title":"Hydrogen Production: By Electrolysis","id":"ITEM-1","issued":{"date-parts":[["2015"]]},"page":"63-116","title":"PEM water electrolysis","type":"chapter"},"uris":["http://www.mendeley.com/documents/?uuid=0d0d703f-5566-450b-81b2-21dc261524ca"]}],"mendeley":{"formattedCitation":"(Millet, 2015)","plainTextFormattedCitation":"(Millet, 2015)","previouslyFormattedCitation":"(Millet, 2015)"},"properties":{"noteIndex":0},"schema":"https://github.com/citation-style-language/schema/raw/master/csl-citation.json"}</w:instrText>
      </w:r>
      <w:r w:rsidR="00455B6B" w:rsidRPr="008C36F5">
        <w:rPr>
          <w:rFonts w:ascii="Times New Roman" w:hAnsi="Times New Roman" w:cs="Times New Roman"/>
          <w:sz w:val="20"/>
          <w:szCs w:val="20"/>
        </w:rPr>
        <w:fldChar w:fldCharType="separate"/>
      </w:r>
      <w:r w:rsidR="00455B6B" w:rsidRPr="008C36F5">
        <w:rPr>
          <w:rFonts w:ascii="Times New Roman" w:hAnsi="Times New Roman" w:cs="Times New Roman"/>
          <w:noProof/>
          <w:sz w:val="20"/>
          <w:szCs w:val="20"/>
        </w:rPr>
        <w:t>(Millet, 2015)</w:t>
      </w:r>
      <w:r w:rsidR="00455B6B" w:rsidRPr="008C36F5">
        <w:rPr>
          <w:rFonts w:ascii="Times New Roman" w:hAnsi="Times New Roman" w:cs="Times New Roman"/>
          <w:sz w:val="20"/>
          <w:szCs w:val="20"/>
        </w:rPr>
        <w:fldChar w:fldCharType="end"/>
      </w:r>
      <w:r w:rsidR="00455B6B" w:rsidRPr="008C36F5">
        <w:rPr>
          <w:rFonts w:ascii="Times New Roman" w:hAnsi="Times New Roman" w:cs="Times New Roman"/>
          <w:sz w:val="20"/>
          <w:szCs w:val="20"/>
        </w:rPr>
        <w:t xml:space="preserve">. </w:t>
      </w:r>
      <w:r w:rsidR="00455B6B" w:rsidRPr="008C36F5">
        <w:rPr>
          <w:rFonts w:ascii="Times New Roman" w:hAnsi="Times New Roman" w:cs="Times New Roman"/>
          <w:bCs/>
          <w:sz w:val="20"/>
          <w:szCs w:val="20"/>
        </w:rPr>
        <w:t xml:space="preserve">This paper </w:t>
      </w:r>
      <w:r w:rsidR="00455B6B" w:rsidRPr="008C36F5">
        <w:rPr>
          <w:rFonts w:ascii="Times New Roman" w:hAnsi="Times New Roman" w:cs="Times New Roman"/>
          <w:bCs/>
          <w:sz w:val="20"/>
          <w:szCs w:val="20"/>
          <w:lang w:val="en-IN"/>
        </w:rPr>
        <w:t>discussed</w:t>
      </w:r>
      <w:r w:rsidR="00455B6B" w:rsidRPr="008C36F5">
        <w:rPr>
          <w:rFonts w:ascii="Times New Roman" w:hAnsi="Times New Roman" w:cs="Times New Roman"/>
          <w:bCs/>
          <w:sz w:val="20"/>
          <w:szCs w:val="20"/>
        </w:rPr>
        <w:t xml:space="preserve"> the pub</w:t>
      </w:r>
      <w:r w:rsidR="00455B6B" w:rsidRPr="008C36F5">
        <w:rPr>
          <w:rFonts w:ascii="Times New Roman" w:hAnsi="Times New Roman" w:cs="Times New Roman"/>
          <w:bCs/>
          <w:sz w:val="20"/>
          <w:szCs w:val="20"/>
          <w:lang w:val="en-IN"/>
        </w:rPr>
        <w:t xml:space="preserve">lications on PEMWE’s efficiency deterioration and mitigation techniques. Degradation sources were presented for individual elements. The analysis highlighted viable solutions to reduce degradation of components with degradation factors addressed and processes explored </w:t>
      </w:r>
      <w:r w:rsidR="00455B6B" w:rsidRPr="008C36F5">
        <w:rPr>
          <w:rFonts w:ascii="Times New Roman" w:hAnsi="Times New Roman" w:cs="Times New Roman"/>
          <w:bCs/>
          <w:sz w:val="20"/>
          <w:szCs w:val="20"/>
          <w:lang w:val="en-IN"/>
        </w:rPr>
        <w:fldChar w:fldCharType="begin" w:fldLock="1"/>
      </w:r>
      <w:r w:rsidR="00455B6B" w:rsidRPr="008C36F5">
        <w:rPr>
          <w:rFonts w:ascii="Times New Roman" w:hAnsi="Times New Roman" w:cs="Times New Roman"/>
          <w:bCs/>
          <w:sz w:val="20"/>
          <w:szCs w:val="20"/>
          <w:lang w:val="en-IN"/>
        </w:rPr>
        <w:instrText>ADDIN CSL_CITATION {"citationItems":[{"id":"ITEM-1","itemData":{"DOI":"10.1016/j.jpowsour.2017.09.006","ISBN":"03787753","ISSN":"03787753","abstract":"Proton exchange membrane water electrolysis (PEMWE) is an advanced and effective solution to the primary energy storage technologies. A better understanding of performance and durability of PEMWE is critical for the engineers and researchers to further advance this technology for its market penetration, and for the manufacturers of PEM water electrolyzers to implement quality control procedures for the production line or on-site process monitoring/diagnosis. This paper reviews the published works on performance degradations and mitigation strategies for PEMWE. Sources of degradation for individual components are introduced. With degradation causes discussed and degradation mechanisms examined, the review emphasizes on feasible strategies to mitigate the components degradation. To avoid lengthy real lifetime degradation tests and their high costs, the importance of accelerated stress tests and protocols is highlighted for various components. In the end, R&amp;D directions are proposed to move the PEMWE technology forward to become a key element in future energy scenarios.","author":[{"dropping-particle":"","family":"Feng","given":"Qi","non-dropping-particle":"","parse-names":false,"suffix":""},{"dropping-particle":"","family":"Yuan","given":"Xiao Zi","non-dropping-particle":"","parse-names":false,"suffix":""},{"dropping-particle":"","family":"Liu","given":"Gaoyang","non-dropping-particle":"","parse-names":false,"suffix":""},{"dropping-particle":"","family":"Wei","given":"Bing","non-dropping-particle":"","parse-names":false,"suffix":""},{"dropping-particle":"","family":"Zhang","given":"Zhen","non-dropping-particle":"","parse-names":false,"suffix":""},{"dropping-particle":"","family":"Li","given":"Hui","non-dropping-particle":"","parse-names":false,"suffix":""},{"dropping-particle":"","family":"Wang","given":"Haijiang","non-dropping-particle":"","parse-names":false,"suffix":""}],"container-title":"Journal of Power Sources","id":"ITEM-1","issued":{"date-parts":[["2017"]]},"page":"33-55","publisher":"Elsevier B.V","title":"A review of proton exchange membrane water electrolysis on degradation mechanisms and mitigation strategies","type":"article-journal","volume":"366"},"uris":["http://www.mendeley.com/documents/?uuid=c656bf1f-b052-4270-962c-89efa52174f9"]}],"mendeley":{"formattedCitation":"(Feng &lt;i&gt;et al.&lt;/i&gt;, 2017)","plainTextFormattedCitation":"(Feng et al., 2017)","previouslyFormattedCitation":"(Feng &lt;i&gt;et al.&lt;/i&gt;, 2017)"},"properties":{"noteIndex":0},"schema":"https://github.com/citation-style-language/schema/raw/master/csl-citation.json"}</w:instrText>
      </w:r>
      <w:r w:rsidR="00455B6B" w:rsidRPr="008C36F5">
        <w:rPr>
          <w:rFonts w:ascii="Times New Roman" w:hAnsi="Times New Roman" w:cs="Times New Roman"/>
          <w:bCs/>
          <w:sz w:val="20"/>
          <w:szCs w:val="20"/>
          <w:lang w:val="en-IN"/>
        </w:rPr>
        <w:fldChar w:fldCharType="separate"/>
      </w:r>
      <w:r w:rsidR="00455B6B" w:rsidRPr="008C36F5">
        <w:rPr>
          <w:rFonts w:ascii="Times New Roman" w:hAnsi="Times New Roman" w:cs="Times New Roman"/>
          <w:bCs/>
          <w:noProof/>
          <w:sz w:val="20"/>
          <w:szCs w:val="20"/>
          <w:lang w:val="en-IN"/>
        </w:rPr>
        <w:t xml:space="preserve">(Feng </w:t>
      </w:r>
      <w:r w:rsidR="00455B6B" w:rsidRPr="008C36F5">
        <w:rPr>
          <w:rFonts w:ascii="Times New Roman" w:hAnsi="Times New Roman" w:cs="Times New Roman"/>
          <w:bCs/>
          <w:i/>
          <w:noProof/>
          <w:sz w:val="20"/>
          <w:szCs w:val="20"/>
          <w:lang w:val="en-IN"/>
        </w:rPr>
        <w:t>et al.</w:t>
      </w:r>
      <w:r w:rsidR="00455B6B" w:rsidRPr="008C36F5">
        <w:rPr>
          <w:rFonts w:ascii="Times New Roman" w:hAnsi="Times New Roman" w:cs="Times New Roman"/>
          <w:bCs/>
          <w:noProof/>
          <w:sz w:val="20"/>
          <w:szCs w:val="20"/>
          <w:lang w:val="en-IN"/>
        </w:rPr>
        <w:t>, 2017)</w:t>
      </w:r>
      <w:r w:rsidR="00455B6B" w:rsidRPr="008C36F5">
        <w:rPr>
          <w:rFonts w:ascii="Times New Roman" w:hAnsi="Times New Roman" w:cs="Times New Roman"/>
          <w:bCs/>
          <w:sz w:val="20"/>
          <w:szCs w:val="20"/>
          <w:lang w:val="en-IN"/>
        </w:rPr>
        <w:fldChar w:fldCharType="end"/>
      </w:r>
      <w:r w:rsidR="00455B6B" w:rsidRPr="008C36F5">
        <w:rPr>
          <w:rFonts w:ascii="Times New Roman" w:hAnsi="Times New Roman" w:cs="Times New Roman"/>
          <w:bCs/>
          <w:sz w:val="20"/>
          <w:szCs w:val="20"/>
          <w:lang w:val="en-IN"/>
        </w:rPr>
        <w:t xml:space="preserve">. </w:t>
      </w:r>
      <w:r w:rsidR="00455B6B" w:rsidRPr="008C36F5">
        <w:rPr>
          <w:rFonts w:ascii="Times New Roman" w:hAnsi="Times New Roman" w:cs="Times New Roman"/>
          <w:sz w:val="20"/>
          <w:szCs w:val="20"/>
          <w:lang w:val="en-IN"/>
        </w:rPr>
        <w:t xml:space="preserve">The study discusses published literature on PEMWE output deterioration and mitigation approaches. A deterioration source was provided for the individual portion. The study focused on practical solutions to minimise component deterioration, with deterioration factors addressed and degradation mechanisms considered </w:t>
      </w:r>
      <w:r w:rsidR="00455B6B" w:rsidRPr="008C36F5">
        <w:rPr>
          <w:rFonts w:ascii="Times New Roman" w:hAnsi="Times New Roman" w:cs="Times New Roman"/>
          <w:sz w:val="20"/>
          <w:szCs w:val="20"/>
          <w:lang w:val="en-IN"/>
        </w:rPr>
        <w:fldChar w:fldCharType="begin" w:fldLock="1"/>
      </w:r>
      <w:r w:rsidR="00455B6B" w:rsidRPr="008C36F5">
        <w:rPr>
          <w:rFonts w:ascii="Times New Roman" w:hAnsi="Times New Roman" w:cs="Times New Roman"/>
          <w:sz w:val="20"/>
          <w:szCs w:val="20"/>
          <w:lang w:val="en-IN"/>
        </w:rPr>
        <w:instrText>ADDIN CSL_CITATION {"citationItems":[{"id":"ITEM-1","itemData":{"DOI":"10.1016/j.rser.2017.05.258","ISSN":"18790690","abstract":"Anion exchange membrane (AEM) water electrolysis is a hydrogen production method that is achieved with an AEM, using electricity. One of the major advantages of AEM water electrolysis is the replacement of conventional noble metal electrocatalysts with low cost transition metal catalysts. AEM electrolysis is still a developing technology; therefore, with a view to using it to eventually achieve commercially viable hydrogen production, AEM electrolysis requires further investigation and improvements, specifically regarding its power efficiency, membrane stability, robustness, ease of handling, and cost reduction. This review addresses state of the art technology of AEM electrolysis for hydrogen production. It also provides a summary of important research that has been carried out on membranes, electrocatalysts, and ionomers used in AEM electrolyzers, and the performance of such electrolyzers. The aim of this review is to identify gaps in AEM water electrolysis research and to make recommendations for future directions in AEM water electrolysis research.","author":[{"dropping-particle":"","family":"Vincent","given":"Immanuel","non-dropping-particle":"","parse-names":false,"suffix":""},{"dropping-particle":"","family":"Bessarabov","given":"Dmitri","non-dropping-particle":"","parse-names":false,"suffix":""}],"container-title":"Renewable and Sustainable Energy Reviews","id":"ITEM-1","issue":"May","issued":{"date-parts":[["2018"]]},"page":"1690-1704","publisher":"Elsevier Ltd","title":"Low cost hydrogen production by anion exchange membrane electrolysis: A review","type":"article-journal","volume":"81"},"uris":["http://www.mendeley.com/documents/?uuid=fc522de1-18d4-428c-868a-6105c4c7de2a"]}],"mendeley":{"formattedCitation":"(Vincent and Bessarabov, 2018)","plainTextFormattedCitation":"(Vincent and Bessarabov, 2018)","previouslyFormattedCitation":"(Vincent and Bessarabov, 2018)"},"properties":{"noteIndex":0},"schema":"https://github.com/citation-style-language/schema/raw/master/csl-citation.json"}</w:instrText>
      </w:r>
      <w:r w:rsidR="00455B6B" w:rsidRPr="008C36F5">
        <w:rPr>
          <w:rFonts w:ascii="Times New Roman" w:hAnsi="Times New Roman" w:cs="Times New Roman"/>
          <w:sz w:val="20"/>
          <w:szCs w:val="20"/>
          <w:lang w:val="en-IN"/>
        </w:rPr>
        <w:fldChar w:fldCharType="separate"/>
      </w:r>
      <w:r w:rsidR="00455B6B" w:rsidRPr="008C36F5">
        <w:rPr>
          <w:rFonts w:ascii="Times New Roman" w:hAnsi="Times New Roman" w:cs="Times New Roman"/>
          <w:noProof/>
          <w:sz w:val="20"/>
          <w:szCs w:val="20"/>
          <w:lang w:val="en-IN"/>
        </w:rPr>
        <w:t>(Vincent and Bessarabov, 2018)</w:t>
      </w:r>
      <w:r w:rsidR="00455B6B" w:rsidRPr="008C36F5">
        <w:rPr>
          <w:rFonts w:ascii="Times New Roman" w:hAnsi="Times New Roman" w:cs="Times New Roman"/>
          <w:sz w:val="20"/>
          <w:szCs w:val="20"/>
          <w:lang w:val="en-IN"/>
        </w:rPr>
        <w:fldChar w:fldCharType="end"/>
      </w:r>
      <w:r w:rsidR="00455B6B" w:rsidRPr="008C36F5">
        <w:rPr>
          <w:rFonts w:ascii="Times New Roman" w:hAnsi="Times New Roman" w:cs="Times New Roman"/>
          <w:sz w:val="20"/>
          <w:szCs w:val="20"/>
          <w:lang w:val="en-IN"/>
        </w:rPr>
        <w:t xml:space="preserve">. </w:t>
      </w:r>
      <w:r w:rsidR="00455B6B" w:rsidRPr="008C36F5">
        <w:rPr>
          <w:rFonts w:ascii="Times New Roman" w:hAnsi="Times New Roman" w:cs="Times New Roman"/>
          <w:sz w:val="20"/>
          <w:szCs w:val="20"/>
        </w:rPr>
        <w:t xml:space="preserve">By reducing catalyst loading and providing a simple way to fabricating electrodes based on direct calculations of noble metals, precious catalytic materials may be used more efficiently in PEM water electrolysis </w:t>
      </w:r>
      <w:r w:rsidR="00455B6B" w:rsidRPr="008C36F5">
        <w:rPr>
          <w:rFonts w:ascii="Times New Roman" w:hAnsi="Times New Roman" w:cs="Times New Roman"/>
          <w:sz w:val="20"/>
          <w:szCs w:val="20"/>
        </w:rPr>
        <w:fldChar w:fldCharType="begin" w:fldLock="1"/>
      </w:r>
      <w:r w:rsidR="00455B6B" w:rsidRPr="008C36F5">
        <w:rPr>
          <w:rFonts w:ascii="Times New Roman" w:hAnsi="Times New Roman" w:cs="Times New Roman"/>
          <w:sz w:val="20"/>
          <w:szCs w:val="20"/>
        </w:rPr>
        <w:instrText>ADDIN CSL_CITATION {"citationItems":[{"id":"ITEM-1","itemData":{"DOI":"10.1002/apj","ISBN":"978-1-4244-7460-8","ISSN":"19322135","abstract":"This paper reports on the application of Wigner-Ville Distribution (WVD) method in leak detection of gas transport pipelines. WVD of the acoustic signal inside a pipeline is used to detect the change of the signal caused by leak. In order to reduce the influence of cross term disturbances, the time average of WVD results is calculated and used as the residual to detect leak faults. Experimental results based on real data show that the method can detect the leak faults of long gas transport pipelines effectively.","author":[{"dropping-particle":"","family":"Ye","given":"Feng","non-dropping-particle":"","parse-names":false,"suffix":""}],"container-title":"Asia-Pacific Journal of Chemical Engineering","id":"ITEM-1","issued":{"date-parts":[["2011"]]},"page":"01-07","title":"Pt-IrO2 nanorod array electrode for oxygen evolution in PEM water electrolysis cell","type":"article-journal","volume":"8"},"uris":["http://www.mendeley.com/documents/?uuid=08372c87-716b-45b0-8da8-b4740795e836"]}],"mendeley":{"formattedCitation":"(Ye, 2011)","plainTextFormattedCitation":"(Ye, 2011)","previouslyFormattedCitation":"(Ye, 2011)"},"properties":{"noteIndex":0},"schema":"https://github.com/citation-style-language/schema/raw/master/csl-citation.json"}</w:instrText>
      </w:r>
      <w:r w:rsidR="00455B6B" w:rsidRPr="008C36F5">
        <w:rPr>
          <w:rFonts w:ascii="Times New Roman" w:hAnsi="Times New Roman" w:cs="Times New Roman"/>
          <w:sz w:val="20"/>
          <w:szCs w:val="20"/>
        </w:rPr>
        <w:fldChar w:fldCharType="separate"/>
      </w:r>
      <w:r w:rsidR="00455B6B" w:rsidRPr="008C36F5">
        <w:rPr>
          <w:rFonts w:ascii="Times New Roman" w:hAnsi="Times New Roman" w:cs="Times New Roman"/>
          <w:noProof/>
          <w:sz w:val="20"/>
          <w:szCs w:val="20"/>
        </w:rPr>
        <w:t>(Ye, 2011)</w:t>
      </w:r>
      <w:r w:rsidR="00455B6B" w:rsidRPr="008C36F5">
        <w:rPr>
          <w:rFonts w:ascii="Times New Roman" w:hAnsi="Times New Roman" w:cs="Times New Roman"/>
          <w:sz w:val="20"/>
          <w:szCs w:val="20"/>
        </w:rPr>
        <w:fldChar w:fldCharType="end"/>
      </w:r>
      <w:r w:rsidR="00455B6B" w:rsidRPr="008C36F5">
        <w:rPr>
          <w:rFonts w:ascii="Times New Roman" w:hAnsi="Times New Roman" w:cs="Times New Roman"/>
          <w:sz w:val="20"/>
          <w:szCs w:val="20"/>
        </w:rPr>
        <w:t xml:space="preserve">. The goal of this paper was to offer full life cycle inventories and then use comparative life cycle assessment to reliably analyse the environmental consequences of two types of high-temperature PEM fuel cells. One fuel cell employed multiwalled carbon nanotubes as a substrate for the catalytically active platinum nanoparticles, whereas the reference products used carbon black. The components of the HT PEM cell were changed such that the model resembled an automobile (low temperature) PEM FC with the same platinum savings </w:t>
      </w:r>
      <w:r w:rsidR="00455B6B" w:rsidRPr="008C36F5">
        <w:rPr>
          <w:rFonts w:ascii="Times New Roman" w:hAnsi="Times New Roman" w:cs="Times New Roman"/>
          <w:sz w:val="20"/>
          <w:szCs w:val="20"/>
        </w:rPr>
        <w:fldChar w:fldCharType="begin" w:fldLock="1"/>
      </w:r>
      <w:r w:rsidR="00455B6B" w:rsidRPr="008C36F5">
        <w:rPr>
          <w:rFonts w:ascii="Times New Roman" w:hAnsi="Times New Roman" w:cs="Times New Roman"/>
          <w:sz w:val="20"/>
          <w:szCs w:val="20"/>
        </w:rPr>
        <w:instrText>ADDIN CSL_CITATION {"citationItems":[{"id":"ITEM-1","itemData":{"DOI":"10.1039/c5ee01082a","ISSN":"17545706","abstract":"This work presents a life cycle assessment of a cutting edge PEM FC for transportation and stationary applications. Polymer electrolyte membrane fuel cells (PEM FCs) are seen as a suitable technology supporting the transformation towards decarbonised societies. Decision makers face the problem that there is no sound basis of the environmental performance of cutting edge technology available. We developed a comprehensive product system for two types of high temperature (HT) PEM FCs and conducted a life cycle assessment. One system utilizes functionalized multiwalled carbon nanotubes (MWCNTs) as carbon support materials for platinum. The reference product applies carbon black. MWCNTs render possible platinum savings of 27% simultaneously retaining equal performance parameters as for the reference FC. The inventories include all components of a FC starting with the production of the carbon support material, the catalyst powder with platinum nanoparticles, a membrane, a gas diffusion layer, bipolar flow plates up to the FC stack and the FC unit including end of life treatment. Our analysis shows that platinum is the key material in HT PEM FCs and the benefits from platinum savings outweigh by far the impacts on the MWCNT production. The HT PEM FC was adjusted such that it typifies (1) a PEM FC for an electric vehicle (FCEV) allowing comparison with internal combustion engine vehicles (ICVs) and battery electric vehicles (BEVs) or (2) a PEM FC suitable for micro-combined heat and power (μ-CHP) to be compared with a Stirling engine. We found an environmental advantage of a FCEV vis-à-vis the ICV, but only if hydrogen is produced with renewable electricity. We found similar environmental impacts for the FCEV and the BEV when both vehicles are propelled with renewable energy. Both μ-CHP plants produce similar amounts of useful energy and have comparable environmental performance. Nonetheless, the PEM FC produces more electricity (less heat) than the Stirling engine. System expansion such that both systems deliver equal amounts of electricity and heat resulting in an advantage of nearly 20% for the PEM FC powered system. Thus, the PEM FC technology offers great potential to reduce a personal environmental (and carbon) footprint – a prerequisite on the way of a transformation to more sustainable societies. ","author":[{"dropping-particle":"","family":"Notter","given":"Dominic A.","non-dropping-particle":"","parse-names":false,"suffix":""},{"dropping-particle":"","family":"Kouravelou","given":"Katerina","non-dropping-particle":"","parse-names":false,"suffix":""},{"dropping-particle":"","family":"Karachalios","given":"Theodoros","non-dropping-particle":"","parse-names":false,"suffix":""},{"dropping-particle":"","family":"Daletou","given":"Maria K.","non-dropping-particle":"","parse-names":false,"suffix":""},{"dropping-particle":"","family":"Haberland","given":"Nara Tudela","non-dropping-particle":"","parse-names":false,"suffix":""}],"container-title":"Energy and Environmental Science","id":"ITEM-1","issue":"7","issued":{"date-parts":[["2015"]]},"page":"1969-1985","publisher":"Royal Society of Chemistry","title":"Life cycle assessment of PEM FC applications: Electric mobility and μ-CHP","type":"article-journal","volume":"8"},"uris":["http://www.mendeley.com/documents/?uuid=280410a7-db1f-4870-9c9b-97f55a33f112"]}],"mendeley":{"formattedCitation":"(Notter &lt;i&gt;et al.&lt;/i&gt;, 2015)","plainTextFormattedCitation":"(Notter et al., 2015)","previouslyFormattedCitation":"(Notter &lt;i&gt;et al.&lt;/i&gt;, 2015)"},"properties":{"noteIndex":0},"schema":"https://github.com/citation-style-language/schema/raw/master/csl-citation.json"}</w:instrText>
      </w:r>
      <w:r w:rsidR="00455B6B" w:rsidRPr="008C36F5">
        <w:rPr>
          <w:rFonts w:ascii="Times New Roman" w:hAnsi="Times New Roman" w:cs="Times New Roman"/>
          <w:sz w:val="20"/>
          <w:szCs w:val="20"/>
        </w:rPr>
        <w:fldChar w:fldCharType="separate"/>
      </w:r>
      <w:r w:rsidR="00455B6B" w:rsidRPr="008C36F5">
        <w:rPr>
          <w:rFonts w:ascii="Times New Roman" w:hAnsi="Times New Roman" w:cs="Times New Roman"/>
          <w:noProof/>
          <w:sz w:val="20"/>
          <w:szCs w:val="20"/>
        </w:rPr>
        <w:t xml:space="preserve">(Notter </w:t>
      </w:r>
      <w:r w:rsidR="00455B6B" w:rsidRPr="008C36F5">
        <w:rPr>
          <w:rFonts w:ascii="Times New Roman" w:hAnsi="Times New Roman" w:cs="Times New Roman"/>
          <w:i/>
          <w:noProof/>
          <w:sz w:val="20"/>
          <w:szCs w:val="20"/>
        </w:rPr>
        <w:t>et al.</w:t>
      </w:r>
      <w:r w:rsidR="00455B6B" w:rsidRPr="008C36F5">
        <w:rPr>
          <w:rFonts w:ascii="Times New Roman" w:hAnsi="Times New Roman" w:cs="Times New Roman"/>
          <w:noProof/>
          <w:sz w:val="20"/>
          <w:szCs w:val="20"/>
        </w:rPr>
        <w:t>, 2015)</w:t>
      </w:r>
      <w:r w:rsidR="00455B6B" w:rsidRPr="008C36F5">
        <w:rPr>
          <w:rFonts w:ascii="Times New Roman" w:hAnsi="Times New Roman" w:cs="Times New Roman"/>
          <w:sz w:val="20"/>
          <w:szCs w:val="20"/>
        </w:rPr>
        <w:fldChar w:fldCharType="end"/>
      </w:r>
      <w:r w:rsidR="00455B6B">
        <w:rPr>
          <w:rFonts w:ascii="Times New Roman" w:hAnsi="Times New Roman" w:cs="Times New Roman"/>
          <w:sz w:val="20"/>
          <w:szCs w:val="20"/>
        </w:rPr>
        <w:t xml:space="preserve">. </w:t>
      </w:r>
    </w:p>
    <w:p w:rsidR="00A147DF" w:rsidRPr="008C36F5" w:rsidRDefault="00A147DF" w:rsidP="008C36F5">
      <w:pPr>
        <w:spacing w:line="240" w:lineRule="auto"/>
        <w:rPr>
          <w:rFonts w:ascii="Times New Roman" w:hAnsi="Times New Roman" w:cs="Times New Roman"/>
          <w:b/>
          <w:sz w:val="20"/>
          <w:szCs w:val="20"/>
        </w:rPr>
      </w:pPr>
      <w:r w:rsidRPr="008C36F5">
        <w:rPr>
          <w:rFonts w:ascii="Times New Roman" w:hAnsi="Times New Roman" w:cs="Times New Roman"/>
          <w:b/>
          <w:noProof/>
          <w:sz w:val="20"/>
          <w:szCs w:val="20"/>
        </w:rPr>
        <w:drawing>
          <wp:inline distT="0" distB="0" distL="0" distR="0">
            <wp:extent cx="6393943" cy="2389734"/>
            <wp:effectExtent l="19050" t="0" r="6857"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noChangeArrowheads="1"/>
                    </pic:cNvPicPr>
                  </pic:nvPicPr>
                  <pic:blipFill>
                    <a:blip r:embed="rId10" cstate="print"/>
                    <a:stretch>
                      <a:fillRect/>
                    </a:stretch>
                  </pic:blipFill>
                  <pic:spPr bwMode="auto">
                    <a:xfrm>
                      <a:off x="0" y="0"/>
                      <a:ext cx="6400800" cy="2392297"/>
                    </a:xfrm>
                    <a:prstGeom prst="rect">
                      <a:avLst/>
                    </a:prstGeom>
                    <a:noFill/>
                    <a:ln w="9525">
                      <a:noFill/>
                      <a:miter lim="800000"/>
                      <a:headEnd/>
                      <a:tailEnd/>
                    </a:ln>
                  </pic:spPr>
                </pic:pic>
              </a:graphicData>
            </a:graphic>
          </wp:inline>
        </w:drawing>
      </w:r>
    </w:p>
    <w:p w:rsidR="00A147DF" w:rsidRPr="008C36F5" w:rsidRDefault="00641691" w:rsidP="008C36F5">
      <w:pPr>
        <w:spacing w:line="240" w:lineRule="auto"/>
        <w:jc w:val="center"/>
        <w:rPr>
          <w:rFonts w:ascii="Times New Roman" w:hAnsi="Times New Roman" w:cs="Times New Roman"/>
          <w:b/>
          <w:sz w:val="20"/>
          <w:szCs w:val="20"/>
        </w:rPr>
      </w:pPr>
      <w:r>
        <w:rPr>
          <w:rFonts w:ascii="Times New Roman" w:hAnsi="Times New Roman" w:cs="Times New Roman"/>
          <w:b/>
          <w:sz w:val="20"/>
          <w:szCs w:val="20"/>
        </w:rPr>
        <w:t>Fig: 2</w:t>
      </w:r>
      <w:r w:rsidR="00A147DF" w:rsidRPr="008C36F5">
        <w:rPr>
          <w:rFonts w:ascii="Times New Roman" w:hAnsi="Times New Roman" w:cs="Times New Roman"/>
          <w:b/>
          <w:sz w:val="20"/>
          <w:szCs w:val="20"/>
        </w:rPr>
        <w:t xml:space="preserve"> </w:t>
      </w:r>
      <w:r w:rsidR="00A147DF" w:rsidRPr="008C36F5">
        <w:rPr>
          <w:rFonts w:ascii="Times New Roman" w:hAnsi="Times New Roman" w:cs="Times New Roman"/>
          <w:sz w:val="20"/>
          <w:szCs w:val="20"/>
        </w:rPr>
        <w:t>Working of PEM Fuel Cell</w:t>
      </w:r>
    </w:p>
    <w:p w:rsidR="00A147DF" w:rsidRPr="008C36F5" w:rsidRDefault="00A147DF" w:rsidP="0059256C">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lang w:val="en-IN"/>
        </w:rPr>
        <w:lastRenderedPageBreak/>
        <w:t>In this research, AEM electrolysis technology for hydrogen generation was studied. AEM electrolysis with non-noble metal catalyst reduces the whole system’s capital expense. This study compared various mechanisms of water Electrolysis, e.g. PEMWE, alkaline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O electrolysis,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O electrolysis in solid oxides and AEMWE. The ion shift processes, operational properties, power usage, and industrial product of various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O electrolysis equipment were also studied</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{"citationItems":[{"id":"ITEM-1","itemData":{"DOI":"10.1016/S1872-2067(17)62949-8","ISBN":"2011009111","ISSN":"18722067","abstract":"As an energy storage medium, hydrogen has drawn the attention of research institutions and industry over the past decade, motivated in part by developments in renewable energy, which have led to unused surplus wind and photovoltaic power. Hydrogen production from water electrolysis is a good option to make full use of the surplus renewable energy. Among various technologies for producing hydrogen, water electrolysis using electricity from renewable power sources shows great promise. To investigate the prospects of water electrolysis for hydrogen production, this review compares different water electrolysis processes, i.e., alkaline water electrolysis, proton exchange membrane water electrolysis, solid oxide water electrolysis, and alkaline anion exchange membrane water electrolysis. The ion transfer mechanisms, operating characteristics, energy consumption, and industrial products of different water electrolysis apparatus are introduced in this review. Prospects for new water electrolysis technologies are discussed.","author":[{"dropping-particle":"","family":"Chi","given":"Jun","non-dropping-particle":"","parse-names":false,"suffix":""},{"dropping-particle":"","family":"Yu","given":"Hongmei","non-dropping-particle":"","parse-names":false,"suffix":""}],"container-title":"Chinese Journal of Catalysis","id":"ITEM-1","issue":"3","issued":{"date-parts":[["2018"]]},"page":"390-394","publisher":"Dalian Institute of Chemical Physics, the Chinese Academy of Sciences","title":"Water electrolysis based on renewable energy for hydrogen production","type":"article-journal","volume":"39"},"uris":["http://www.mendeley.com/documents/?uuid=00aa89cf-dcc5-4467-9a8d-7c5b1c54c059"]}],"mendeley":{"formattedCitation":"(Chi and Yu, 2018)","plainTextFormattedCitation":"(Chi and Yu, 2018)","previouslyFormattedCitation":"(Chi and Yu, 2018)"},"properties":{"noteIndex":0},"schema":"https://github.com/citation-style-language/schema/raw/master/csl-citation.json"}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(Chi and Yu, 2018)</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rPr>
        <w:t xml:space="preserve">In this study, hydrogen was employed as a transportation fuel to power internal combustion engines (ICEs) or electric cars. Fuel cells can also be used to generate power. Because its prone structure can be chemically modified, microporous metal-organic framework compounds were utilised for hydrogen storage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{"citationItems":[{"id":"ITEM-1","itemData":{"ISBN":"9783527325405","author":[{"dropping-particle":"","family":"Ellison","given":"Harlan","non-dropping-particle":"","parse-names":false,"suffix":""}],"container-title":"Energy for a Sustainable World: From the Oil Age to a Sun-Powered Future.","id":"ITEM-1","issued":{"date-parts":[["2011"]]},"page":"279-299","title":"Hydrogen","type":"chapter"},"uris":["http://www.mendeley.com/documents/?uuid=7fc1cb4d-833d-4597-8f2f-83c63c8c52e3"]}],"mendeley":{"formattedCitation":"(Ellison, 2011)","plainTextFormattedCitation":"(Ellison, 2011)","previouslyFormattedCitation":"(Ellison, 2011)"},"properties":{"noteIndex":0},"schema":"https://github.com/citation-style-language/schema/raw/master/csl-citation.json"}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(Ellison, 2011)</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This chapter concluded that AWE is the most mature process</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{"citationItems":[{"id":"ITEM-1","itemData":{"DOI":"10.1002/9783527639496.ch9","abstract":"This chapter contains sections titled: * Introduction to Water Electrolysis * Thermodynamics * Kinetics * Alkaline Water Electrolysis * PEM Water Electrolysis * High Temperature Water Electrolysis * Conclusion * List of Symbols and Abbreviations * References","author":[{"dropping-particle":"","family":"Millet","given":"Pierre","non-dropping-particle":"","parse-names":false,"suffix":""}],"container-title":"Electrochemical Technologies for Energy Storage and Conversion","id":"ITEM-1","issued":{"date-parts":[["2012"]]},"page":"383-423","title":"Water electrolysis for hydrogen generation","type":"chapter"},"uris":["http://www.mendeley.com/documents/?uuid=c3ed388f-eed0-4e55-a75f-72204b2e4b91"]}],"mendeley":{"formattedCitation":"(Millet, 2012)","plainTextFormattedCitation":"(Millet, 2012)","previouslyFormattedCitation":"(Millet, 2012)"},"properties":{"noteIndex":0},"schema":"https://github.com/citation-style-language/schema/raw/master/csl-citation.json"}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(Millet, 2012)</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rPr>
        <w:t xml:space="preserve">This article investigated the electrochemical performance of polymer electrolyte membranes made by combining SPSF with </w:t>
      </w:r>
      <w:r w:rsidR="00ED289A" w:rsidRPr="008C36F5">
        <w:rPr>
          <w:rFonts w:ascii="Times New Roman" w:hAnsi="Times New Roman" w:cs="Times New Roman"/>
          <w:sz w:val="20"/>
          <w:szCs w:val="20"/>
        </w:rPr>
        <w:t>polythersulfone</w:t>
      </w:r>
      <w:r w:rsidRPr="008C36F5">
        <w:rPr>
          <w:rFonts w:ascii="Times New Roman" w:hAnsi="Times New Roman" w:cs="Times New Roman"/>
          <w:sz w:val="20"/>
          <w:szCs w:val="20"/>
        </w:rPr>
        <w:t xml:space="preserve"> having PEO sides of various lengths. The amorphous SPSF (Na)/PES-g-PEO blends developed have a high glass transition temperature, excellent thermal stability, and strong water absorption. The molecular weight of hydrated membranes influences proton conductivity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{"citationItems":[{"id":"ITEM-1","itemData":{"DOI":"10.1002/app.39922","ISSN":"00218995","abstract":"Polymer electrolyte membranes based on blends consisting of polyethylene oxide (PEO) grafted polyether sulfone (PES-g-PEO) and sulfonated polysulfone (SPSF(Na)) are prepared and their electrochemical and mechanical properties are investigated with respect to water electrolysis operation. The prepared blends are amorphous; they exhibit high glass transition temperatures and high thermal stability, thus ensuring the dimensional stability under electrolysis cell operation. Because of the presence of the water soluble constituent PES-g-PEO, the prepared blend membranes show very high water uptakes, reaching up to 370 wt %. Membrane electrode assemblies are fabricated and evaluated in single cells demonstrating that proton conductivity depends on the PEO-g-PES content as well as the PEO molecular weight. Namely, the increased concentration of PES-g-PEO leads to increased number of charge carriers, thus result in enhanced ionic conductivity. The use of longer PEO units (MW 5000), due to their improved chain mobility, facilitates the fast proton conduction as well. The maximum proton conductivity value is achieved (1.4 × 10-2 S cm-1, 80°C) for the blend with the higher PEO-g-PES content (20 wt %) and the higher PEO molecular weight (5000). Under electrolysis cell operation, the above-mentioned membrane with the lower ohmic resistance shows the best performance, although it is still poor mainly due to the use of Pt as anode. © 2013 Wiley Periodicals, Inc.","author":[{"dropping-particle":"","family":"Deimede","given":"Valadoula","non-dropping-particle":"","parse-names":false,"suffix":""},{"dropping-particle":"","family":"Labou","given":"Diamadoula","non-dropping-particle":"","parse-names":false,"suffix":""},{"dropping-particle":"","family":"Neophytides","given":"Stylianos G","non-dropping-particle":"","parse-names":false,"suffix":""}],"container-title":"Journal of Applied Polymer Science","id":"ITEM-1","issue":"4","issued":{"date-parts":[["2014"]]},"page":"1-8","title":"Polymer electrolyte membranes based on blends of sulfonated polysulfone and PEO-grafted polyethersulfone for low temperature water electrolysis","type":"article-journal","volume":"131"},"uris":["http://www.mendeley.com/documents/?uuid=1d82d159-a58e-4bdd-9a5c-03a686e4fa01"]}],"mendeley":{"formattedCitation":"(Deimede, Labou and Neophytides, 2014)","plainTextFormattedCitation":"(Deimede, Labou and Neophytides, 2014)","previouslyFormattedCitation":"(Deimede, Labou and Neophytides, 2014)"},"properties":{"noteIndex":0},"schema":"https://github.com/citation-style-language/schema/raw/master/csl-citation.json"}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(Deimede, Labou and Neophytides, 2014)</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The model considers physical dependencies, and the parameters involved were physical in nature. MATLAB/Simulink was used to construct this model. A parameter calibration technique based on numerical calibration of each polarisation curve and followed by a downhill simplex optimization method was also devised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{"citationItems":[{"id":"ITEM-1","itemData":{"DOI":"10.1002/cite.201800041","ISSN":"15222640","abstract":"This paper presents a numeric model for proton exchange membrane electrolysis, which describes the current-voltage dependency. Besides physical constants and parameters characterizing material properties, it also contains parameters that cannot be measured ex situ, e.g., charge transfer coefficients and exchange current densities. To determine these parameters , the model includes an automated parameter calibration procedure that is able to find the best parameter combinations. An exemplary integration of the model in MATLAB/Simulink is presented, including a validation with dynamic measurement data.","author":[{"dropping-particle":"","family":"Gößling","given":"Sönke","non-dropping-particle":"","parse-names":false,"suffix":""},{"dropping-particle":"","family":"Stypka","given":"Sebastian","non-dropping-particle":"","parse-names":false,"suffix":""},{"dropping-particle":"","family":"Bahr","given":"Matthias","non-dropping-particle":"","parse-names":false,"suffix":""},{"dropping-particle":"","family":"Oberschachtsiek","given":"Bernd","non-dropping-particle":"","parse-names":false,"suffix":""},{"dropping-particle":"","family":"Heinzel","given":"Angelika","non-dropping-particle":"","parse-names":false,"suffix":""}],"container-title":"Chemie-Ingenieur-Technik","id":"ITEM-1","issue":"10","issued":{"date-parts":[["2018"]]},"page":"1437-1442","title":"Proton exchange membrane water electrolysis modeling for system simulation and degradation analysis","type":"article-journal","volume":"90"},"uris":["http://www.mendeley.com/documents/?uuid=0024cd6b-c56b-4bdb-b50d-3d93821efe6e"]}],"mendeley":{"formattedCitation":"(Gößling &lt;i&gt;et al.&lt;/i&gt;, 2018)","plainTextFormattedCitation":"(Gößling et al., 2018)","previouslyFormattedCitation":"(Gößling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(Gößling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The electrochemical characteristics of the composite/Cs-TSiA/CeO2 have improved noticeably. These composites have greater proton conductivities than any other CL-SPEEK/HPA/CeO2 system composite, and Nafion117.6–8 MEA II has a higher voltage efficiency and ESA than any other MEA in any other system membrane. As a consequence, the TSiA-containing composite was predicted to be a water electrolysis polymer electrolyte membrane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bkcs.11591","ISSN":"12295949","author":[{"dropping-particle":"","family":"Kim","given":"Boyoung","non-dropping-particle":"","parse-names":false,"suffix":""},{"dropping-particle":"","family":"Song","given":"Yuri","non-dropping-particle":"","parse-names":false,"suffix":""},{"dropping-particle":"","family":"Seo","given":"Hyeon","non-dropping-particle":"","parse-names":false,"suffix":""},{"dropping-particle":"","family":"Lee","given":"Yaeeun","non-dropping-particle":"","parse-names":false,"suffix":""},{"dropping-particle":"","family":"Cha","given":"Jinsan","non-dropping-particle":"","parse-names":false,"suffix":""},{"dropping-particle":"","family":"Chung","given":"Jang Hoon","non-dropping-particle":"","parse-names":false,"suffix":""}],"container-title":"Bulletin of the Korean Chemical Society","id":"ITEM-1","issue":"11","issued":{"date-parts":[["2018"]]},"page":"1332-1335","title":"Development and Electrochemical Characterization of Polyether Ether Ketone Composites Including Polyoxometal Tungstosilicic Acid for Water Electrolysis","type":"article","volume":"39"},"uris":["http://www.mendeley.com/documents/?uuid=fe0665ca-8c6e-4d88-9e01-340fb215fd58"]}],"mendeley":{"formattedCitation":"(Kim &lt;i&gt;et al.&lt;/i&gt;, 2018)","plainTextFormattedCitation":"(Kim et al., 2018)","previouslyFormattedCitation":"(Kim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(Kim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w:t>
      </w:r>
    </w:p>
    <w:p w:rsidR="00A147DF" w:rsidRPr="0059256C" w:rsidRDefault="00A147DF" w:rsidP="0059256C">
      <w:pPr>
        <w:spacing w:before="0" w:beforeAutospacing="0" w:after="0" w:afterAutospacing="0" w:line="240" w:lineRule="auto"/>
        <w:rPr>
          <w:rFonts w:ascii="Times New Roman" w:hAnsi="Times New Roman" w:cs="Times New Roman"/>
          <w:b/>
          <w:szCs w:val="20"/>
          <w:lang w:val="en-IN"/>
        </w:rPr>
      </w:pPr>
      <w:r w:rsidRPr="0059256C">
        <w:rPr>
          <w:rFonts w:ascii="Times New Roman" w:hAnsi="Times New Roman" w:cs="Times New Roman"/>
          <w:b/>
          <w:szCs w:val="20"/>
          <w:lang w:val="en-IN"/>
        </w:rPr>
        <w:t>Table: 3</w:t>
      </w:r>
      <w:r w:rsidR="00DD0058" w:rsidRPr="0059256C">
        <w:rPr>
          <w:rFonts w:ascii="Times New Roman" w:hAnsi="Times New Roman" w:cs="Times New Roman"/>
          <w:b/>
          <w:szCs w:val="20"/>
          <w:lang w:val="en-IN"/>
        </w:rPr>
        <w:t xml:space="preserve"> </w:t>
      </w:r>
      <w:r w:rsidRPr="0059256C">
        <w:rPr>
          <w:rFonts w:ascii="Times New Roman" w:hAnsi="Times New Roman" w:cs="Times New Roman"/>
          <w:b/>
          <w:szCs w:val="20"/>
          <w:lang w:val="en-IN"/>
        </w:rPr>
        <w:t xml:space="preserve">Research Activities on </w:t>
      </w:r>
      <w:r w:rsidRPr="0059256C">
        <w:rPr>
          <w:rFonts w:ascii="Times New Roman" w:hAnsi="Times New Roman" w:cs="Times New Roman"/>
          <w:b/>
          <w:szCs w:val="20"/>
        </w:rPr>
        <w:t>Generation of Oxyhydrogen Gas (HHO)/H</w:t>
      </w:r>
      <w:r w:rsidRPr="0059256C">
        <w:rPr>
          <w:rFonts w:ascii="Times New Roman" w:hAnsi="Times New Roman" w:cs="Times New Roman"/>
          <w:b/>
          <w:szCs w:val="20"/>
          <w:vertAlign w:val="subscript"/>
        </w:rPr>
        <w:t>2</w:t>
      </w:r>
      <w:r w:rsidRPr="0059256C">
        <w:rPr>
          <w:rFonts w:ascii="Times New Roman" w:hAnsi="Times New Roman" w:cs="Times New Roman"/>
          <w:b/>
          <w:szCs w:val="20"/>
        </w:rPr>
        <w:t xml:space="preserve"> Using Membrane Exchange Method like Proton Exchange Membrane/Anion Exchange Method</w:t>
      </w:r>
    </w:p>
    <w:tbl>
      <w:tblPr>
        <w:tblStyle w:val="LightShading"/>
        <w:tblW w:w="5000" w:type="pct"/>
        <w:shd w:val="clear" w:color="auto" w:fill="FFFFFF" w:themeFill="background1"/>
        <w:tblLook w:val="04A0" w:firstRow="1" w:lastRow="0" w:firstColumn="1" w:lastColumn="0" w:noHBand="0" w:noVBand="1"/>
      </w:tblPr>
      <w:tblGrid>
        <w:gridCol w:w="1277"/>
        <w:gridCol w:w="1305"/>
        <w:gridCol w:w="1971"/>
        <w:gridCol w:w="2061"/>
        <w:gridCol w:w="2396"/>
        <w:gridCol w:w="566"/>
      </w:tblGrid>
      <w:tr w:rsidR="00A147DF" w:rsidRPr="008C36F5" w:rsidTr="00F21F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A147DF" w:rsidP="008C36F5">
            <w:pPr>
              <w:spacing w:after="100"/>
              <w:rPr>
                <w:rFonts w:ascii="Times New Roman" w:hAnsi="Times New Roman" w:cs="Times New Roman"/>
                <w:sz w:val="20"/>
                <w:szCs w:val="20"/>
                <w:lang w:val="en-IN"/>
              </w:rPr>
            </w:pPr>
            <w:r w:rsidRPr="008C36F5">
              <w:rPr>
                <w:rFonts w:ascii="Times New Roman" w:hAnsi="Times New Roman" w:cs="Times New Roman"/>
                <w:sz w:val="20"/>
                <w:szCs w:val="20"/>
              </w:rPr>
              <w:t>Author &amp; year</w:t>
            </w:r>
          </w:p>
        </w:tc>
        <w:tc>
          <w:tcPr>
            <w:tcW w:w="698"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Input</w:t>
            </w:r>
          </w:p>
        </w:tc>
        <w:tc>
          <w:tcPr>
            <w:tcW w:w="1046"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Analysis Methodology</w:t>
            </w:r>
          </w:p>
        </w:tc>
        <w:tc>
          <w:tcPr>
            <w:tcW w:w="1093"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Purpose</w:t>
            </w:r>
          </w:p>
        </w:tc>
        <w:tc>
          <w:tcPr>
            <w:tcW w:w="1267"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Result and outcome</w:t>
            </w:r>
          </w:p>
        </w:tc>
        <w:tc>
          <w:tcPr>
            <w:tcW w:w="271"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Ref.</w:t>
            </w:r>
          </w:p>
        </w:tc>
      </w:tr>
      <w:tr w:rsidR="00A147DF" w:rsidRPr="008C36F5" w:rsidTr="00F21F2C">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{"citationItems":[{"id":"ITEM-1","itemData":{"DOI":"10.1002/9783527676507.ch3","ISBN":"9783527676507","abstract":"© 2015 Wiley-VCH Verlag GmbH &amp; Co. KGaA. All rights reserved. The purpose of this chapter is to provide an overview of the so-called 'polymer electrolyte membrane' (PEM) water electrolysis for the production of hydrogen and oxygen of electrolytic grade. After a brief introduction to the historical background (Section 3.1.1), and a general description of the technology (Section 3.1.2), unit PEM cells are described in Section 3.1.3. Electrochemical performances of unit PEM cells are described in Section 3.1.4. The techniques used for stacking individual electrolysis cell into electrolysers of larger capacity and the performance and characteristics of these stacks are described in Section 3.1.5. Details about process flowsheet, ancillary equipment and balance of plant are provided in Section 3.1.6. Current technological developments and applications are presented in Section 3.1.7. Finally, existing limitations, challenges and future perspectives are discussed in Section 3.1.8.","author":[{"dropping-particle":"","family":"Millet","given":"Pierre","non-dropping-particle":"","parse-names":false,"suffix":""}],"container-title":"Hydrogen Production: By Electrolysis","id":"ITEM-1","issued":{"date-parts":[["2015"]]},"page":"63-116","title":"PEM water electrolysis","type":"chapter"},"uris":["http://www.mendeley.com/documents/?uuid=0d0d703f-5566-450b-81b2-21dc261524ca"]}],"mendeley":{"formattedCitation":"(Millet, 2015)","plainTextFormattedCitation":"(Millet, 2015)","previouslyFormattedCitation":"(Millet, 2015)"},"properties":{"noteIndex":0},"schema":"https://github.com/citation-style-language/schema/raw/master/csl-citation.json"}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(Millet, 2015)</w:t>
            </w:r>
            <w:r w:rsidRPr="008C36F5">
              <w:rPr>
                <w:rFonts w:ascii="Times New Roman" w:hAnsi="Times New Roman" w:cs="Times New Roman"/>
                <w:sz w:val="20"/>
                <w:szCs w:val="20"/>
              </w:rPr>
              <w:fldChar w:fldCharType="end"/>
            </w:r>
          </w:p>
        </w:tc>
        <w:tc>
          <w:tcPr>
            <w:tcW w:w="69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PEM cells, Solid Polymer Electrolyte Cell</w:t>
            </w:r>
          </w:p>
        </w:tc>
        <w:tc>
          <w:tcPr>
            <w:tcW w:w="104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Theoretical Analysis</w:t>
            </w:r>
          </w:p>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of PEM </w:t>
            </w:r>
          </w:p>
        </w:tc>
        <w:tc>
          <w:tcPr>
            <w:tcW w:w="109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development through PEM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 electrolysis.</w:t>
            </w:r>
          </w:p>
        </w:tc>
        <w:tc>
          <w:tcPr>
            <w:tcW w:w="126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Proton exchange membrane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 electrolysis was reliable, resilient and quite versatile innovation.</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39</w:t>
            </w:r>
          </w:p>
        </w:tc>
      </w:tr>
      <w:tr w:rsidR="00A147DF" w:rsidRPr="008C36F5" w:rsidTr="00F21F2C">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lang w:val="en-IN"/>
              </w:rPr>
            </w:pPr>
            <w:r w:rsidRPr="008C36F5">
              <w:rPr>
                <w:rFonts w:ascii="Times New Roman" w:hAnsi="Times New Roman" w:cs="Times New Roman"/>
                <w:sz w:val="20"/>
                <w:szCs w:val="20"/>
                <w:lang w:val="en-IN"/>
              </w:rPr>
              <w:fldChar w:fldCharType="begin" w:fldLock="1"/>
            </w:r>
            <w:r w:rsidR="00A147DF" w:rsidRPr="008C36F5">
              <w:rPr>
                <w:rFonts w:ascii="Times New Roman" w:hAnsi="Times New Roman" w:cs="Times New Roman"/>
                <w:b w:val="0"/>
                <w:sz w:val="20"/>
                <w:szCs w:val="20"/>
                <w:lang w:val="en-IN"/>
              </w:rPr>
              <w:instrText>ADDIN CSL_CITATION {"citationItems":[{"id":"ITEM-1","itemData":{"DOI":"10.1016/j.jpowsour.2017.09.006","ISBN":"03787753","ISSN":"03787753","abstract":"Proton exchange membrane water electrolysis (PEMWE) is an advanced and effective solution to the primary energy storage technologies. A better understanding of performance and durability of PEMWE is critical for the engineers and researchers to further advance this technology for its market penetration, and for the manufacturers of PEM water electrolyzers to implement quality control procedures for the production line or on-site process monitoring/diagnosis. This paper reviews the published works on performance degradations and mitigation strategies for PEMWE. Sources of degradation for individual components are introduced. With degradation causes discussed and degradation mechanisms examined, the review emphasizes on feasible strategies to mitigate the components degradation. To avoid lengthy real lifetime degradation tests and their high costs, the importance of accelerated stress tests and protocols is highlighted for various components. In the end, R&amp;D directions are proposed to move the PEMWE technology forward to become a key element in future energy scenarios.","author":[{"dropping-particle":"","family":"Feng","given":"Qi","non-dropping-particle":"","parse-names":false,"suffix":""},{"dropping-particle":"","family":"Yuan","given":"Xiao Zi","non-dropping-particle":"","parse-names":false,"suffix":""},{"dropping-particle":"","family":"Liu","given":"Gaoyang","non-dropping-particle":"","parse-names":false,"suffix":""},{"dropping-particle":"","family":"Wei","given":"Bing","non-dropping-particle":"","parse-names":false,"suffix":""},{"dropping-particle":"","family":"Zhang","given":"Zhen","non-dropping-particle":"","parse-names":false,"suffix":""},{"dropping-particle":"","family":"Li","given":"Hui","non-dropping-particle":"","parse-names":false,"suffix":""},{"dropping-particle":"","family":"Wang","given":"Haijiang","non-dropping-particle":"","parse-names":false,"suffix":""}],"container-title":"Journal of Power Sources","id":"ITEM-1","issued":{"date-parts":[["2017"]]},"page":"33-55","publisher":"Elsevier B.V","title":"A review of proton exchange membrane water electrolysis on degradation mechanisms and mitigation strategies","type":"article-journal","volume":"366"},"uris":["http://www.mendeley.com/documents/?uuid=c656bf1f-b052-4270-962c-89efa52174f9"]}],"mendeley":{"formattedCitation":"(Feng &lt;i&gt;et al.&lt;/i&gt;, 2017)","plainTextFormattedCitation":"(Feng et al., 2017)","previouslyFormattedCitation":"(Feng &lt;i&gt;et al.&lt;/i&gt;, 2017)"},"properties":{"noteIndex":0},"schema":"https://github.com/citation-style-language/schema/raw/master/csl-citation.json"}</w:instrText>
            </w:r>
            <w:r w:rsidRPr="008C36F5">
              <w:rPr>
                <w:rFonts w:ascii="Times New Roman" w:hAnsi="Times New Roman" w:cs="Times New Roman"/>
                <w:sz w:val="20"/>
                <w:szCs w:val="20"/>
                <w:lang w:val="en-IN"/>
              </w:rPr>
              <w:fldChar w:fldCharType="separate"/>
            </w:r>
            <w:r w:rsidR="00A147DF" w:rsidRPr="008C36F5">
              <w:rPr>
                <w:rFonts w:ascii="Times New Roman" w:hAnsi="Times New Roman" w:cs="Times New Roman"/>
                <w:b w:val="0"/>
                <w:noProof/>
                <w:sz w:val="20"/>
                <w:szCs w:val="20"/>
                <w:lang w:val="en-IN"/>
              </w:rPr>
              <w:t xml:space="preserve">(Feng </w:t>
            </w:r>
            <w:r w:rsidR="00A147DF" w:rsidRPr="008C36F5">
              <w:rPr>
                <w:rFonts w:ascii="Times New Roman" w:hAnsi="Times New Roman" w:cs="Times New Roman"/>
                <w:b w:val="0"/>
                <w:i/>
                <w:noProof/>
                <w:sz w:val="20"/>
                <w:szCs w:val="20"/>
                <w:lang w:val="en-IN"/>
              </w:rPr>
              <w:t>et al.</w:t>
            </w:r>
            <w:r w:rsidR="00A147DF" w:rsidRPr="008C36F5">
              <w:rPr>
                <w:rFonts w:ascii="Times New Roman" w:hAnsi="Times New Roman" w:cs="Times New Roman"/>
                <w:b w:val="0"/>
                <w:noProof/>
                <w:sz w:val="20"/>
                <w:szCs w:val="20"/>
                <w:lang w:val="en-IN"/>
              </w:rPr>
              <w:t>, 2017)</w:t>
            </w:r>
            <w:r w:rsidRPr="008C36F5">
              <w:rPr>
                <w:rFonts w:ascii="Times New Roman" w:hAnsi="Times New Roman" w:cs="Times New Roman"/>
                <w:sz w:val="20"/>
                <w:szCs w:val="20"/>
                <w:lang w:val="en-IN"/>
              </w:rPr>
              <w:fldChar w:fldCharType="end"/>
            </w:r>
          </w:p>
        </w:tc>
        <w:tc>
          <w:tcPr>
            <w:tcW w:w="69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PEM electrolysis of water.</w:t>
            </w:r>
          </w:p>
        </w:tc>
        <w:tc>
          <w:tcPr>
            <w:tcW w:w="104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Mechanisms and prevention methods for depletion.</w:t>
            </w:r>
          </w:p>
        </w:tc>
        <w:tc>
          <w:tcPr>
            <w:tcW w:w="109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To commercialize the PEMWE technology</w:t>
            </w:r>
          </w:p>
        </w:tc>
        <w:tc>
          <w:tcPr>
            <w:tcW w:w="126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lang w:val="en-IN"/>
              </w:rPr>
              <w:t>It focused on accelerated tests and opposes the long degradation test.</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0"/>
                <w:szCs w:val="20"/>
                <w:lang w:val="en-IN"/>
              </w:rPr>
            </w:pPr>
            <w:r w:rsidRPr="008C36F5">
              <w:rPr>
                <w:rFonts w:ascii="Times New Roman" w:hAnsi="Times New Roman" w:cs="Times New Roman"/>
                <w:sz w:val="20"/>
                <w:szCs w:val="20"/>
              </w:rPr>
              <w:t>260</w:t>
            </w:r>
          </w:p>
        </w:tc>
      </w:tr>
      <w:tr w:rsidR="00A147DF" w:rsidRPr="008C36F5" w:rsidTr="00F21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{"citationItems":[{"id":"ITEM-1","itemData":{"DOI":"10.1016/j.rser.2017.05.258","ISSN":"18790690","abstract":"Anion exchange membrane (AEM) water electrolysis is a hydrogen production method that is achieved with an AEM, using electricity. One of the major advantages of AEM water electrolysis is the replacement of conventional noble metal electrocatalysts with low cost transition metal catalysts. AEM electrolysis is still a developing technology; therefore, with a view to using it to eventually achieve commercially viable hydrogen production, AEM electrolysis requires further investigation and improvements, specifically regarding its power efficiency, membrane stability, robustness, ease of handling, and cost reduction. This review addresses state of the art technology of AEM electrolysis for hydrogen production. It also provides a summary of important research that has been carried out on membranes, electrocatalysts, and ionomers used in AEM electrolyzers, and the performance of such electrolyzers. The aim of this review is to identify gaps in AEM water electrolysis research and to make recommendations for future directions in AEM water electrolysis research.","author":[{"dropping-particle":"","family":"Vincent","given":"Immanuel","non-dropping-particle":"","parse-names":false,"suffix":""},{"dropping-particle":"","family":"Bessarabov","given":"Dmitri","non-dropping-particle":"","parse-names":false,"suffix":""}],"container-title":"Renewable and Sustainable Energy Reviews","id":"ITEM-1","issue":"May","issued":{"date-parts":[["2018"]]},"page":"1690-1704","publisher":"Elsevier Ltd","title":"Low cost hydrogen production by anion exchange membrane electrolysis: A review","type":"article-journal","volume":"81"},"uris":["http://www.mendeley.com/documents/?uuid=fc522de1-18d4-428c-868a-6105c4c7de2a"]}],"mendeley":{"formattedCitation":"(Vincent and Bessarabov, 2018)","plainTextFormattedCitation":"(Vincent and Bessarabov, 2018)","previouslyFormattedCitation":"(Vincent and Bessarabov,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(Vincent and Bessarabov, 2018)</w:t>
            </w:r>
            <w:r w:rsidRPr="008C36F5">
              <w:rPr>
                <w:rFonts w:ascii="Times New Roman" w:hAnsi="Times New Roman" w:cs="Times New Roman"/>
                <w:sz w:val="20"/>
                <w:szCs w:val="20"/>
              </w:rPr>
              <w:fldChar w:fldCharType="end"/>
            </w:r>
          </w:p>
        </w:tc>
        <w:tc>
          <w:tcPr>
            <w:tcW w:w="69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Hydrogen</w:t>
            </w:r>
          </w:p>
        </w:tc>
        <w:tc>
          <w:tcPr>
            <w:tcW w:w="104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Electrolysis of anion Interchange membrane.</w:t>
            </w:r>
          </w:p>
        </w:tc>
        <w:tc>
          <w:tcPr>
            <w:tcW w:w="1093" w:type="pct"/>
            <w:shd w:val="clear" w:color="auto" w:fill="FFFFFF" w:themeFill="background1"/>
          </w:tcPr>
          <w:p w:rsidR="00A147DF" w:rsidRPr="008C36F5" w:rsidRDefault="00A147DF" w:rsidP="008C36F5">
            <w:pPr>
              <w:spacing w:after="100"/>
              <w:ind w:left="200" w:hangingChars="100" w:hanging="2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Low cost</w:t>
            </w:r>
          </w:p>
          <w:p w:rsidR="00A147DF" w:rsidRPr="008C36F5" w:rsidRDefault="00A147DF" w:rsidP="008C36F5">
            <w:pPr>
              <w:spacing w:after="100"/>
              <w:ind w:left="200" w:hangingChars="100" w:hanging="2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w:t>
            </w:r>
            <w:r w:rsidRPr="008C36F5">
              <w:rPr>
                <w:rFonts w:ascii="Times New Roman" w:hAnsi="Times New Roman" w:cs="Times New Roman"/>
                <w:sz w:val="20"/>
                <w:szCs w:val="20"/>
                <w:vertAlign w:val="subscript"/>
              </w:rPr>
              <w:t xml:space="preserve">2  </w:t>
            </w:r>
            <w:r w:rsidRPr="008C36F5">
              <w:rPr>
                <w:rFonts w:ascii="Times New Roman" w:hAnsi="Times New Roman" w:cs="Times New Roman"/>
                <w:sz w:val="20"/>
                <w:szCs w:val="20"/>
              </w:rPr>
              <w:t>production</w:t>
            </w:r>
          </w:p>
        </w:tc>
        <w:tc>
          <w:tcPr>
            <w:tcW w:w="126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capital cost of the complete system is reduced by using AEM electrolysis with non-noble metal catalysts.</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92</w:t>
            </w:r>
          </w:p>
        </w:tc>
      </w:tr>
      <w:tr w:rsidR="00A147DF" w:rsidRPr="008C36F5" w:rsidTr="00F21F2C">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{"citationItems":[{"id":"ITEM-1","itemData":{"DOI":"10.1016/S1872-2067(17)62949-8","ISBN":"2011009111","ISSN":"18722067","abstract":"As an energy storage medium, hydrogen has drawn the attention of research institutions and industry over the past decade, motivated in part by developments in renewable energy, which have led to unused surplus wind and photovoltaic power. Hydrogen production from water electrolysis is a good option to make full use of the surplus renewable energy. Among various technologies for producing hydrogen, water electrolysis using electricity from renewable power sources shows great promise. To investigate the prospects of water electrolysis for hydrogen production, this review compares different water electrolysis processes, i.e., alkaline water electrolysis, proton exchange membrane water electrolysis, solid oxide water electrolysis, and alkaline anion exchange membrane water electrolysis. The ion transfer mechanisms, operating characteristics, energy consumption, and industrial products of different water electrolysis apparatus are introduced in this review. Prospects for new water electrolysis technologies are discussed.","author":[{"dropping-particle":"","family":"Chi","given":"Jun","non-dropping-particle":"","parse-names":false,"suffix":""},{"dropping-particle":"","family":"Yu","given":"Hongmei","non-dropping-particle":"","parse-names":false,"suffix":""}],"container-title":"Chinese Journal of Catalysis","id":"ITEM-1","issue":"3","issued":{"date-parts":[["2018"]]},"page":"390-394","publisher":"Dalian Institute of Chemical Physics, the Chinese Academy of Sciences","title":"Water electrolysis based on renewable energy for hydrogen production","type":"article-journal","volume":"39"},"uris":["http://www.mendeley.com/documents/?uuid=00aa89cf-dcc5-4467-9a8d-7c5b1c54c059"]}],"mendeley":{"formattedCitation":"(Chi and Yu, 2018)","plainTextFormattedCitation":"(Chi and Yu, 2018)","previouslyFormattedCitation":"(Chi and Yu,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(Chi and Yu, 2018)</w:t>
            </w:r>
            <w:r w:rsidRPr="008C36F5">
              <w:rPr>
                <w:rFonts w:ascii="Times New Roman" w:hAnsi="Times New Roman" w:cs="Times New Roman"/>
                <w:sz w:val="20"/>
                <w:szCs w:val="20"/>
              </w:rPr>
              <w:fldChar w:fldCharType="end"/>
            </w:r>
          </w:p>
        </w:tc>
        <w:tc>
          <w:tcPr>
            <w:tcW w:w="69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Different Types of  water electrolysis techniques published in several publications</w:t>
            </w:r>
          </w:p>
        </w:tc>
        <w:tc>
          <w:tcPr>
            <w:tcW w:w="104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Various water electrolysis processes &amp; different ion transfer methods, operational characteristics, energy consumption were analysed</w:t>
            </w:r>
          </w:p>
        </w:tc>
        <w:tc>
          <w:tcPr>
            <w:tcW w:w="109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Compared different electrolysis process</w:t>
            </w:r>
          </w:p>
        </w:tc>
        <w:tc>
          <w:tcPr>
            <w:tcW w:w="126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Onboard generation of H</w:t>
            </w:r>
            <w:r w:rsidRPr="008C36F5">
              <w:rPr>
                <w:rFonts w:ascii="Times New Roman" w:hAnsi="Times New Roman" w:cs="Times New Roman"/>
                <w:sz w:val="20"/>
                <w:szCs w:val="20"/>
                <w:vertAlign w:val="subscript"/>
              </w:rPr>
              <w:t xml:space="preserve">2 </w:t>
            </w:r>
            <w:r w:rsidRPr="008C36F5">
              <w:rPr>
                <w:rFonts w:ascii="Times New Roman" w:hAnsi="Times New Roman" w:cs="Times New Roman"/>
                <w:sz w:val="20"/>
                <w:szCs w:val="20"/>
              </w:rPr>
              <w:t>and its use in ICE is the future.</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21</w:t>
            </w:r>
          </w:p>
        </w:tc>
      </w:tr>
      <w:tr w:rsidR="00A147DF" w:rsidRPr="008C36F5" w:rsidTr="00F21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{"citationItems":[{"id":"ITEM-1","itemData":{"ISBN":"9783527325405","author":[{"dropping-particle":"","family":"Ellison","given":"Harlan","non-dropping-particle":"","parse-names":false,"suffix":""}],"container-title":"Energy for a Sustainable World: From the Oil Age to a Sun-Powered Future.","id":"ITEM-1","issued":{"date-parts":[["2011"]]},"page":"279-299","title":"Hydrogen","type":"chapter"},"uris":["http://www.mendeley.com/documents/?uuid=7fc1cb4d-833d-4597-8f2f-83c63c8c52e3"]}],"mendeley":{"formattedCitation":"(Ellison, 2011)","plainTextFormattedCitation":"(Ellison, 2011)","previouslyFormattedCitation":"(Ellison, 2011)"},"properties":{"noteIndex":0},"schema":"https://github.com/citation-style-language/schema/raw/master/csl-citation.json"}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(Ellison, 2011)</w:t>
            </w:r>
            <w:r w:rsidRPr="008C36F5">
              <w:rPr>
                <w:rFonts w:ascii="Times New Roman" w:hAnsi="Times New Roman" w:cs="Times New Roman"/>
                <w:sz w:val="20"/>
                <w:szCs w:val="20"/>
              </w:rPr>
              <w:fldChar w:fldCharType="end"/>
            </w:r>
          </w:p>
        </w:tc>
        <w:tc>
          <w:tcPr>
            <w:tcW w:w="69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Hydrogen</w:t>
            </w:r>
          </w:p>
        </w:tc>
        <w:tc>
          <w:tcPr>
            <w:tcW w:w="104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Biomass, water electrolysis, hydroelectric power</w:t>
            </w:r>
          </w:p>
        </w:tc>
        <w:tc>
          <w:tcPr>
            <w:tcW w:w="109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Study hydrogen storage and its uses</w:t>
            </w:r>
          </w:p>
        </w:tc>
        <w:tc>
          <w:tcPr>
            <w:tcW w:w="126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8C36F5">
              <w:rPr>
                <w:rFonts w:ascii="Times New Roman" w:hAnsi="Times New Roman" w:cs="Times New Roman"/>
                <w:bCs/>
                <w:sz w:val="20"/>
                <w:szCs w:val="20"/>
              </w:rPr>
              <w:t>Hydrogen utilised as a fuel as well as a source of power in fuel cells.</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8C36F5">
              <w:rPr>
                <w:rFonts w:ascii="Times New Roman" w:hAnsi="Times New Roman" w:cs="Times New Roman"/>
                <w:bCs/>
                <w:sz w:val="20"/>
                <w:szCs w:val="20"/>
              </w:rPr>
              <w:t>-</w:t>
            </w:r>
          </w:p>
        </w:tc>
      </w:tr>
      <w:tr w:rsidR="00A147DF" w:rsidRPr="008C36F5" w:rsidTr="00F21F2C">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{"citationItems":[{"id":"ITEM-1","itemData":{"DOI":"10.1002/apj","ISBN":"978-1-4244-7460-8","ISSN":"19322135","abstract":"This paper reports on the application of Wigner-Ville Distribution (WVD) method in leak detection of gas transport pipelines. WVD of the acoustic signal inside a pipeline is used to detect the change of the signal caused by leak. In order to reduce the influence of cross term disturbances, the time average of WVD results is calculated and used as the residual to detect leak faults. Experimental results based on real data show that the method can detect the leak faults of long gas transport pipelines effectively.","author":[{"dropping-particle":"","family":"Ye","given":"Feng","non-dropping-particle":"","parse-names":false,"suffix":""}],"container-title":"Asia-Pacific Journal of Chemical Engineering","id":"ITEM-1","issued":{"date-parts":[["2011"]]},"page":"01-07","title":"Pt-IrO2 nanorod array electrode for oxygen evolution in PEM water electrolysis cell","type":"article-journal","volume":"8"},"uris":["http://www.mendeley.com/documents/?uuid=08372c87-716b-45b0-8da8-b4740795e836"]}],"mendeley":{"formattedCitation":"(Ye, 2011)","plainTextFormattedCitation":"(Ye, 2011)","previouslyFormattedCitation":"(Ye, 2011)"},"properties":{"noteIndex":0},"schema":"https://github.com/citation-style-language/schema/raw/master/csl-citation.json"}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(Ye, 2011)</w:t>
            </w:r>
            <w:r w:rsidRPr="008C36F5">
              <w:rPr>
                <w:rFonts w:ascii="Times New Roman" w:hAnsi="Times New Roman" w:cs="Times New Roman"/>
                <w:sz w:val="20"/>
                <w:szCs w:val="20"/>
              </w:rPr>
              <w:fldChar w:fldCharType="end"/>
            </w:r>
          </w:p>
        </w:tc>
        <w:tc>
          <w:tcPr>
            <w:tcW w:w="69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Pt-IrO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nanorod array electrode</w:t>
            </w:r>
          </w:p>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04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Dip coating/calcination method</w:t>
            </w:r>
          </w:p>
        </w:tc>
        <w:tc>
          <w:tcPr>
            <w:tcW w:w="109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optimize the use of catalyst material in PEM</w:t>
            </w:r>
          </w:p>
        </w:tc>
        <w:tc>
          <w:tcPr>
            <w:tcW w:w="126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8C36F5">
              <w:rPr>
                <w:rFonts w:ascii="Times New Roman" w:hAnsi="Times New Roman" w:cs="Times New Roman"/>
                <w:bCs/>
                <w:sz w:val="20"/>
                <w:szCs w:val="20"/>
              </w:rPr>
              <w:t>Reduced catalyst loading allows for more efficient use of precious catalytic material in PEMWE.</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8C36F5">
              <w:rPr>
                <w:rFonts w:ascii="Times New Roman" w:hAnsi="Times New Roman" w:cs="Times New Roman"/>
                <w:bCs/>
                <w:sz w:val="20"/>
                <w:szCs w:val="20"/>
              </w:rPr>
              <w:t>30</w:t>
            </w:r>
          </w:p>
        </w:tc>
      </w:tr>
      <w:tr w:rsidR="00A147DF" w:rsidRPr="008C36F5" w:rsidTr="00F21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{"citationItems":[{"id":"ITEM-1","itemData":{"DOI":"10.1002/9783527639496.ch9","abstract":"This chapter contains sections titled: * Introduction to Water Electrolysis * Thermodynamics * Kinetics * Alkaline Water Electrolysis * PEM Water Electrolysis * High Temperature Water Electrolysis * Conclusion * List of Symbols and Abbreviations * References","author":[{"dropping-particle":"","family":"Millet","given":"Pierre","non-dropping-particle":"","parse-names":false,"suffix":""}],"container-title":"Electrochemical Technologies for Energy Storage and Conversion","id":"ITEM-1","issued":{"date-parts":[["2012"]]},"page":"383-423","title":"Water electrolysis for hydrogen generation","type":"chapter"},"uris":["http://www.mendeley.com/documents/?uuid=c3ed388f-eed0-4e55-a75f-72204b2e4b91"]}],"mendeley":{"formattedCitation":"(Millet, 2012)","plainTextFormattedCitation":"(Millet, 2012)","previouslyFormattedCitation":"(Millet, 2012)"},"properties":{"noteIndex":0},"schema":"https://github.com/citation-style-language/schema/raw/master/csl-citation.json"}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(Millet, </w:t>
            </w:r>
            <w:r w:rsidR="00A147DF" w:rsidRPr="008C36F5">
              <w:rPr>
                <w:rFonts w:ascii="Times New Roman" w:hAnsi="Times New Roman" w:cs="Times New Roman"/>
                <w:b w:val="0"/>
                <w:noProof/>
                <w:sz w:val="20"/>
                <w:szCs w:val="20"/>
              </w:rPr>
              <w:lastRenderedPageBreak/>
              <w:t>2012)</w:t>
            </w:r>
            <w:r w:rsidRPr="008C36F5">
              <w:rPr>
                <w:rFonts w:ascii="Times New Roman" w:hAnsi="Times New Roman" w:cs="Times New Roman"/>
                <w:sz w:val="20"/>
                <w:szCs w:val="20"/>
              </w:rPr>
              <w:fldChar w:fldCharType="end"/>
            </w:r>
          </w:p>
        </w:tc>
        <w:tc>
          <w:tcPr>
            <w:tcW w:w="69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Hydrogen </w:t>
            </w:r>
            <w:r w:rsidRPr="008C36F5">
              <w:rPr>
                <w:rFonts w:ascii="Times New Roman" w:hAnsi="Times New Roman" w:cs="Times New Roman"/>
                <w:sz w:val="20"/>
                <w:szCs w:val="20"/>
              </w:rPr>
              <w:lastRenderedPageBreak/>
              <w:t>and its production technologies</w:t>
            </w:r>
          </w:p>
        </w:tc>
        <w:tc>
          <w:tcPr>
            <w:tcW w:w="104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Water electrolysis for </w:t>
            </w:r>
            <w:r w:rsidRPr="008C36F5">
              <w:rPr>
                <w:rFonts w:ascii="Times New Roman" w:hAnsi="Times New Roman" w:cs="Times New Roman"/>
                <w:sz w:val="20"/>
                <w:szCs w:val="20"/>
              </w:rPr>
              <w:lastRenderedPageBreak/>
              <w:t>hydrogen generation</w:t>
            </w:r>
          </w:p>
        </w:tc>
        <w:tc>
          <w:tcPr>
            <w:tcW w:w="109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Economical &amp; </w:t>
            </w:r>
            <w:r w:rsidRPr="008C36F5">
              <w:rPr>
                <w:rFonts w:ascii="Times New Roman" w:hAnsi="Times New Roman" w:cs="Times New Roman"/>
                <w:sz w:val="20"/>
                <w:szCs w:val="20"/>
              </w:rPr>
              <w:lastRenderedPageBreak/>
              <w:t>compatible Hydrogen generation</w:t>
            </w:r>
          </w:p>
        </w:tc>
        <w:tc>
          <w:tcPr>
            <w:tcW w:w="126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PEM is the future </w:t>
            </w:r>
            <w:r w:rsidRPr="008C36F5">
              <w:rPr>
                <w:rFonts w:ascii="Times New Roman" w:hAnsi="Times New Roman" w:cs="Times New Roman"/>
                <w:sz w:val="20"/>
                <w:szCs w:val="20"/>
              </w:rPr>
              <w:lastRenderedPageBreak/>
              <w:t>technology for the generation of Hydrogen and HHO.</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18</w:t>
            </w:r>
          </w:p>
        </w:tc>
      </w:tr>
      <w:tr w:rsidR="00A147DF" w:rsidRPr="008C36F5" w:rsidTr="00F21F2C">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{"citationItems":[{"id":"ITEM-1","itemData":{"DOI":"10.1002/app.39922","ISSN":"00218995","abstract":"Polymer electrolyte membranes based on blends consisting of polyethylene oxide (PEO) grafted polyether sulfone (PES-g-PEO) and sulfonated polysulfone (SPSF(Na)) are prepared and their electrochemical and mechanical properties are investigated with respect to water electrolysis operation. The prepared blends are amorphous; they exhibit high glass transition temperatures and high thermal stability, thus ensuring the dimensional stability under electrolysis cell operation. Because of the presence of the water soluble constituent PES-g-PEO, the prepared blend membranes show very high water uptakes, reaching up to 370 wt %. Membrane electrode assemblies are fabricated and evaluated in single cells demonstrating that proton conductivity depends on the PEO-g-PES content as well as the PEO molecular weight. Namely, the increased concentration of PES-g-PEO leads to increased number of charge carriers, thus result in enhanced ionic conductivity. The use of longer PEO units (MW 5000), due to their improved chain mobility, facilitates the fast proton conduction as well. The maximum proton conductivity value is achieved (1.4 × 10-2 S cm-1, 80°C) for the blend with the higher PEO-g-PES content (20 wt %) and the higher PEO molecular weight (5000). Under electrolysis cell operation, the above-mentioned membrane with the lower ohmic resistance shows the best performance, although it is still poor mainly due to the use of Pt as anode. © 2013 Wiley Periodicals, Inc.","author":[{"dropping-particle":"","family":"Deimede","given":"Valadoula","non-dropping-particle":"","parse-names":false,"suffix":""},{"dropping-particle":"","family":"Labou","given":"Diamadoula","non-dropping-particle":"","parse-names":false,"suffix":""},{"dropping-particle":"","family":"Neophytides","given":"Stylianos G","non-dropping-particle":"","parse-names":false,"suffix":""}],"container-title":"Journal of Applied Polymer Science","id":"ITEM-1","issue":"4","issued":{"date-parts":[["2014"]]},"page":"1-8","title":"Polymer electrolyte membranes based on blends of sulfonated polysulfone and PEO-grafted polyethersulfone for low temperature water electrolysis","type":"article-journal","volume":"131"},"uris":["http://www.mendeley.com/documents/?uuid=1d82d159-a58e-4bdd-9a5c-03a686e4fa01"]}],"mendeley":{"formattedCitation":"(Deimede, Labou and Neophytides, 2014)","plainTextFormattedCitation":"(Deimede, Labou and Neophytides, 2014)","previouslyFormattedCitation":"(Deimede, Labou and Neophytides, 2014)"},"properties":{"noteIndex":0},"schema":"https://github.com/citation-style-language/schema/raw/master/csl-citation.json"}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(Deimede, Labou and Neophytides, 2014)</w:t>
            </w:r>
            <w:r w:rsidRPr="008C36F5">
              <w:rPr>
                <w:rFonts w:ascii="Times New Roman" w:hAnsi="Times New Roman" w:cs="Times New Roman"/>
                <w:sz w:val="20"/>
                <w:szCs w:val="20"/>
              </w:rPr>
              <w:fldChar w:fldCharType="end"/>
            </w:r>
          </w:p>
        </w:tc>
        <w:tc>
          <w:tcPr>
            <w:tcW w:w="69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Polythene oxide grafted polyether sulfone and sulfonated polysulfone</w:t>
            </w:r>
          </w:p>
        </w:tc>
        <w:tc>
          <w:tcPr>
            <w:tcW w:w="104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Dynamic mechanical analysis at 10 Hz and thermogravimetric analysis Q50 from TA Instruments were performed using a solid-analyser RSA II from Rheometrics Scientific.</w:t>
            </w:r>
          </w:p>
        </w:tc>
        <w:tc>
          <w:tcPr>
            <w:tcW w:w="109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Focused on mixtures of SPSf &amp; PEO-moulded PESU for small temperature electrolysis of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w:t>
            </w:r>
          </w:p>
        </w:tc>
        <w:tc>
          <w:tcPr>
            <w:tcW w:w="126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The amorphous </w:t>
            </w:r>
            <w:r w:rsidR="00ED289A" w:rsidRPr="008C36F5">
              <w:rPr>
                <w:rFonts w:ascii="Times New Roman" w:hAnsi="Times New Roman" w:cs="Times New Roman"/>
                <w:sz w:val="20"/>
                <w:szCs w:val="20"/>
              </w:rPr>
              <w:t>SPSF (</w:t>
            </w:r>
            <w:r w:rsidRPr="008C36F5">
              <w:rPr>
                <w:rFonts w:ascii="Times New Roman" w:hAnsi="Times New Roman" w:cs="Times New Roman"/>
                <w:sz w:val="20"/>
                <w:szCs w:val="20"/>
              </w:rPr>
              <w:t>Na)/PES-g-PEO blends developed have a high glass transition temperature, good thermal stability, and strong water absorption.</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47</w:t>
            </w:r>
          </w:p>
        </w:tc>
      </w:tr>
      <w:tr w:rsidR="00A147DF" w:rsidRPr="008C36F5" w:rsidTr="00F21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{"citationItems":[{"id":"ITEM-1","itemData":{"DOI":"10.1002/cite.201800041","ISSN":"15222640","abstract":"This paper presents a numeric model for proton exchange membrane electrolysis, which describes the current-voltage dependency. Besides physical constants and parameters characterizing material properties, it also contains parameters that cannot be measured ex situ, e.g., charge transfer coefficients and exchange current densities. To determine these parameters , the model includes an automated parameter calibration procedure that is able to find the best parameter combinations. An exemplary integration of the model in MATLAB/Simulink is presented, including a validation with dynamic measurement data.","author":[{"dropping-particle":"","family":"Gößling","given":"Sönke","non-dropping-particle":"","parse-names":false,"suffix":""},{"dropping-particle":"","family":"Stypka","given":"Sebastian","non-dropping-particle":"","parse-names":false,"suffix":""},{"dropping-particle":"","family":"Bahr","given":"Matthias","non-dropping-particle":"","parse-names":false,"suffix":""},{"dropping-particle":"","family":"Oberschachtsiek","given":"Bernd","non-dropping-particle":"","parse-names":false,"suffix":""},{"dropping-particle":"","family":"Heinzel","given":"Angelika","non-dropping-particle":"","parse-names":false,"suffix":""}],"container-title":"Chemie-Ingenieur-Technik","id":"ITEM-1","issue":"10","issued":{"date-parts":[["2018"]]},"page":"1437-1442","title":"Proton exchange membrane water electrolysis modeling for system simulation and degradation analysis","type":"article-journal","volume":"90"},"uris":["http://www.mendeley.com/documents/?uuid=0024cd6b-c56b-4bdb-b50d-3d93821efe6e"]}],"mendeley":{"formattedCitation":"(Gößling &lt;i&gt;et al.&lt;/i&gt;, 2018)","plainTextFormattedCitation":"(Gößling et al., 2018)","previouslyFormattedCitation":"(Gößling &lt;i&gt;et al.&lt;/i&gt;,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(Gößling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2018)</w:t>
            </w:r>
            <w:r w:rsidRPr="008C36F5">
              <w:rPr>
                <w:rFonts w:ascii="Times New Roman" w:hAnsi="Times New Roman" w:cs="Times New Roman"/>
                <w:sz w:val="20"/>
                <w:szCs w:val="20"/>
              </w:rPr>
              <w:fldChar w:fldCharType="end"/>
            </w:r>
          </w:p>
        </w:tc>
        <w:tc>
          <w:tcPr>
            <w:tcW w:w="69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Current-voltage dependency in PEM</w:t>
            </w:r>
          </w:p>
        </w:tc>
        <w:tc>
          <w:tcPr>
            <w:tcW w:w="104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Automated parameter calibration, MATLAB/</w:t>
            </w:r>
          </w:p>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Simulink.</w:t>
            </w:r>
          </w:p>
        </w:tc>
        <w:tc>
          <w:tcPr>
            <w:tcW w:w="109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introduce a statistical method for PME electrolysis, representing current-voltage reliance.</w:t>
            </w:r>
          </w:p>
        </w:tc>
        <w:tc>
          <w:tcPr>
            <w:tcW w:w="126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An extensive experimental system was formulated for electrolysis voltage simulation.</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8</w:t>
            </w:r>
          </w:p>
        </w:tc>
      </w:tr>
      <w:tr w:rsidR="00A147DF" w:rsidRPr="008C36F5" w:rsidTr="00F21F2C">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bkcs.11591","ISSN":"12295949","author":[{"dropping-particle":"","family":"Kim","given":"Boyoung","non-dropping-particle":"","parse-names":false,"suffix":""},{"dropping-particle":"","family":"Song","given":"Yuri","non-dropping-particle":"","parse-names":false,"suffix":""},{"dropping-particle":"","family":"Seo","given":"Hyeon","non-dropping-particle":"","parse-names":false,"suffix":""},{"dropping-particle":"","family":"Lee","given":"Yaeeun","non-dropping-particle":"","parse-names":false,"suffix":""},{"dropping-particle":"","family":"Cha","given":"Jinsan","non-dropping-particle":"","parse-names":false,"suffix":""},{"dropping-particle":"","family":"Chung","given":"Jang Hoon","non-dropping-particle":"","parse-names":false,"suffix":""}],"container-title":"Bulletin of the Korean Chemical Society","id":"ITEM-1","issue":"11","issued":{"date-parts":[["2018"]]},"page":"1332-1335","title":"Development and Electrochemical Characterization of Polyether Ether Ketone Composites Including Polyoxometal Tungstosilicic Acid for Water Electrolysis","type":"article","volume":"39"},"uris":["http://www.mendeley.com/documents/?uuid=fe0665ca-8c6e-4d88-9e01-340fb215fd58"]}],"mendeley":{"formattedCitation":"(Kim &lt;i&gt;et al.&lt;/i&gt;, 2018)","plainTextFormattedCitation":"(Kim et al., 2018)","previouslyFormattedCitation":"(Kim &lt;i&gt;et al.&lt;/i&gt;,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(Kim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2018)</w:t>
            </w:r>
            <w:r w:rsidRPr="008C36F5">
              <w:rPr>
                <w:rFonts w:ascii="Times New Roman" w:hAnsi="Times New Roman" w:cs="Times New Roman"/>
                <w:sz w:val="20"/>
                <w:szCs w:val="20"/>
              </w:rPr>
              <w:fldChar w:fldCharType="end"/>
            </w:r>
          </w:p>
        </w:tc>
        <w:tc>
          <w:tcPr>
            <w:tcW w:w="69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Sulfonic acid, TSiA,CeO</w:t>
            </w:r>
            <w:r w:rsidRPr="008C36F5">
              <w:rPr>
                <w:rFonts w:ascii="Times New Roman" w:hAnsi="Times New Roman" w:cs="Times New Roman"/>
                <w:sz w:val="20"/>
                <w:szCs w:val="20"/>
                <w:vertAlign w:val="subscript"/>
              </w:rPr>
              <w:t>2</w:t>
            </w:r>
            <w:r w:rsidR="00ED289A" w:rsidRPr="008C36F5">
              <w:rPr>
                <w:rFonts w:ascii="Times New Roman" w:hAnsi="Times New Roman" w:cs="Times New Roman"/>
                <w:sz w:val="20"/>
                <w:szCs w:val="20"/>
              </w:rPr>
              <w:t>, Cs+</w:t>
            </w:r>
            <w:r w:rsidRPr="008C36F5">
              <w:rPr>
                <w:rFonts w:ascii="Times New Roman" w:hAnsi="Times New Roman" w:cs="Times New Roman"/>
                <w:sz w:val="20"/>
                <w:szCs w:val="20"/>
              </w:rPr>
              <w:t>HPAs</w:t>
            </w:r>
          </w:p>
        </w:tc>
        <w:tc>
          <w:tcPr>
            <w:tcW w:w="104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AC impedance spectroscopy &amp; Fenton test </w:t>
            </w:r>
          </w:p>
        </w:tc>
        <w:tc>
          <w:tcPr>
            <w:tcW w:w="109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goal was to finish the processing of a range of HPAs and cerium oxide for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 electrolysis.</w:t>
            </w:r>
          </w:p>
        </w:tc>
        <w:tc>
          <w:tcPr>
            <w:tcW w:w="1267"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Significant enhancements to composites electrochemical behaviour were made.</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22</w:t>
            </w:r>
          </w:p>
        </w:tc>
      </w:tr>
      <w:tr w:rsidR="00A147DF" w:rsidRPr="008C36F5" w:rsidTr="00F21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{"citationItems":[{"id":"ITEM-1","itemData":{"DOI":"10.1039/c5ee01082a","ISSN":"17545706","abstract":"This work presents a life cycle assessment of a cutting edge PEM FC for transportation and stationary applications. Polymer electrolyte membrane fuel cells (PEM FCs) are seen as a suitable technology supporting the transformation towards decarbonised societies. Decision makers face the problem that there is no sound basis of the environmental performance of cutting edge technology available. We developed a comprehensive product system for two types of high temperature (HT) PEM FCs and conducted a life cycle assessment. One system utilizes functionalized multiwalled carbon nanotubes (MWCNTs) as carbon support materials for platinum. The reference product applies carbon black. MWCNTs render possible platinum savings of 27% simultaneously retaining equal performance parameters as for the reference FC. The inventories include all components of a FC starting with the production of the carbon support material, the catalyst powder with platinum nanoparticles, a membrane, a gas diffusion layer, bipolar flow plates up to the FC stack and the FC unit including end of life treatment. Our analysis shows that platinum is the key material in HT PEM FCs and the benefits from platinum savings outweigh by far the impacts on the MWCNT production. The HT PEM FC was adjusted such that it typifies (1) a PEM FC for an electric vehicle (FCEV) allowing comparison with internal combustion engine vehicles (ICVs) and battery electric vehicles (BEVs) or (2) a PEM FC suitable for micro-combined heat and power (μ-CHP) to be compared with a Stirling engine. We found an environmental advantage of a FCEV vis-à-vis the ICV, but only if hydrogen is produced with renewable electricity. We found similar environmental impacts for the FCEV and the BEV when both vehicles are propelled with renewable energy. Both μ-CHP plants produce similar amounts of useful energy and have comparable environmental performance. Nonetheless, the PEM FC produces more electricity (less heat) than the Stirling engine. System expansion such that both systems deliver equal amounts of electricity and heat resulting in an advantage of nearly 20% for the PEM FC powered system. Thus, the PEM FC technology offers great potential to reduce a personal environmental (and carbon) footprint – a prerequisite on the way of a transformation to more sustainable societies. ","author":[{"dropping-particle":"","family":"Notter","given":"Dominic A.","non-dropping-particle":"","parse-names":false,"suffix":""},{"dropping-particle":"","family":"Kouravelou","given":"Katerina","non-dropping-particle":"","parse-names":false,"suffix":""},{"dropping-particle":"","family":"Karachalios","given":"Theodoros","non-dropping-particle":"","parse-names":false,"suffix":""},{"dropping-particle":"","family":"Daletou","given":"Maria K.","non-dropping-particle":"","parse-names":false,"suffix":""},{"dropping-particle":"","family":"Haberland","given":"Nara Tudela","non-dropping-particle":"","parse-names":false,"suffix":""}],"container-title":"Energy and Environmental Science","id":"ITEM-1","issue":"7","issued":{"date-parts":[["2015"]]},"page":"1969-1985","publisher":"Royal Society of Chemistry","title":"Life cycle assessment of PEM FC applications: Electric mobility and μ-CHP","type":"article-journal","volume":"8"},"uris":["http://www.mendeley.com/documents/?uuid=280410a7-db1f-4870-9c9b-97f55a33f112"]}],"mendeley":{"formattedCitation":"(Notter &lt;i&gt;et al.&lt;/i&gt;, 2015)","plainTextFormattedCitation":"(Notter et al., 2015)","previouslyFormattedCitation":"(Notter &lt;i&gt;et al.&lt;/i&gt;, 2015)"},"properties":{"noteIndex":0},"schema":"https://github.com/citation-style-language/schema/raw/master/csl-citation.json"}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(Notter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2015)</w:t>
            </w:r>
            <w:r w:rsidRPr="008C36F5">
              <w:rPr>
                <w:rFonts w:ascii="Times New Roman" w:hAnsi="Times New Roman" w:cs="Times New Roman"/>
                <w:sz w:val="20"/>
                <w:szCs w:val="20"/>
              </w:rPr>
              <w:fldChar w:fldCharType="end"/>
            </w:r>
          </w:p>
        </w:tc>
        <w:tc>
          <w:tcPr>
            <w:tcW w:w="69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Catalyst powder with platinum nanoparticles</w:t>
            </w:r>
          </w:p>
        </w:tc>
        <w:tc>
          <w:tcPr>
            <w:tcW w:w="104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Product systems for an HT PEM fuel cell, a product system for CHP, and production systems for mobility are all included in the life cycle evaluation.</w:t>
            </w:r>
          </w:p>
        </w:tc>
        <w:tc>
          <w:tcPr>
            <w:tcW w:w="109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purpose of this study was to compare the environmental performance of the two types of HT PEM FCs.</w:t>
            </w:r>
          </w:p>
        </w:tc>
        <w:tc>
          <w:tcPr>
            <w:tcW w:w="1267"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In high-temperature PEM FCs, platinum is the most important component. The FCEV ha</w:t>
            </w:r>
            <w:r w:rsidRPr="008C36F5">
              <w:rPr>
                <w:rFonts w:ascii="Times New Roman" w:hAnsi="Times New Roman" w:cs="Times New Roman"/>
                <w:sz w:val="20"/>
                <w:szCs w:val="20"/>
                <w:lang w:val="en-IN"/>
              </w:rPr>
              <w:t>ve the</w:t>
            </w:r>
            <w:r w:rsidRPr="008C36F5">
              <w:rPr>
                <w:rFonts w:ascii="Times New Roman" w:hAnsi="Times New Roman" w:cs="Times New Roman"/>
                <w:sz w:val="20"/>
                <w:szCs w:val="20"/>
              </w:rPr>
              <w:t xml:space="preserve"> environmental advantage </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116</w:t>
            </w:r>
          </w:p>
        </w:tc>
      </w:tr>
    </w:tbl>
    <w:p w:rsidR="00FA249C" w:rsidRPr="0059256C" w:rsidRDefault="00A147DF" w:rsidP="008C36F5">
      <w:pPr>
        <w:spacing w:line="240" w:lineRule="auto"/>
        <w:rPr>
          <w:rFonts w:ascii="Times New Roman" w:hAnsi="Times New Roman" w:cs="Times New Roman"/>
          <w:sz w:val="20"/>
          <w:szCs w:val="20"/>
        </w:rPr>
      </w:pPr>
      <w:r w:rsidRPr="0059256C">
        <w:rPr>
          <w:rFonts w:ascii="Times New Roman" w:hAnsi="Times New Roman" w:cs="Times New Roman"/>
          <w:b/>
          <w:szCs w:val="20"/>
        </w:rPr>
        <w:t xml:space="preserve">Comment: </w:t>
      </w:r>
      <w:r w:rsidRPr="008C36F5">
        <w:rPr>
          <w:rFonts w:ascii="Times New Roman" w:hAnsi="Times New Roman" w:cs="Times New Roman"/>
          <w:sz w:val="20"/>
          <w:szCs w:val="20"/>
        </w:rPr>
        <w:t>PEM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 electrolysis is a dependable, durable, and adaptable technology. PEM is the hydrogen and HHO generating technology of the future. It is gaining popularity due to its intrinsic benefits, such as in</w:t>
      </w:r>
      <w:r w:rsidR="0059256C">
        <w:rPr>
          <w:rFonts w:ascii="Times New Roman" w:hAnsi="Times New Roman" w:cs="Times New Roman"/>
          <w:sz w:val="20"/>
          <w:szCs w:val="20"/>
        </w:rPr>
        <w:t xml:space="preserve">creased safety and efficiency. </w:t>
      </w:r>
      <w:r w:rsidRPr="008C36F5">
        <w:rPr>
          <w:rFonts w:ascii="Times New Roman" w:hAnsi="Times New Roman" w:cs="Times New Roman"/>
          <w:sz w:val="20"/>
          <w:szCs w:val="20"/>
        </w:rPr>
        <w:t>Using AEM electrolysis with a non-noble metal catalyst lowers the capital cost of the complete system. PEM and AEM technologies create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and HHO, which can be used to power internal combustion engines (ICEs) and as a fuel for electric vehicles. Fuel cells can also be used to generate power. </w:t>
      </w:r>
      <w:r w:rsidRPr="008C36F5">
        <w:rPr>
          <w:rFonts w:ascii="Times New Roman" w:hAnsi="Times New Roman" w:cs="Times New Roman"/>
          <w:sz w:val="20"/>
          <w:szCs w:val="20"/>
          <w:lang w:val="en-IN"/>
        </w:rPr>
        <w:t>Microporous metal-organic frameworks can be used to store the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/HHO generated. The glass transition temperature, temperature stability and water up taking ability of the amorphous SPSF (Na)/PES-g-PEO blends developed are all high. In high-temperature PEM FCs, platinum is the most important component. The FCEV is better for the environment. The capital cost of the complete system is reduced by using AEM electrolysis with non-noble metal catalysts.</w:t>
      </w:r>
    </w:p>
    <w:p w:rsidR="00A147DF" w:rsidRPr="009200F5" w:rsidRDefault="00A147DF" w:rsidP="00397C1A">
      <w:pPr>
        <w:spacing w:line="240" w:lineRule="auto"/>
        <w:rPr>
          <w:rFonts w:ascii="Times New Roman" w:hAnsi="Times New Roman" w:cs="Times New Roman"/>
          <w:b/>
          <w:szCs w:val="20"/>
        </w:rPr>
      </w:pPr>
      <w:r w:rsidRPr="009200F5">
        <w:rPr>
          <w:rFonts w:ascii="Times New Roman" w:hAnsi="Times New Roman" w:cs="Times New Roman"/>
          <w:b/>
          <w:szCs w:val="20"/>
        </w:rPr>
        <w:t>5. Generation of Oxyhydrogen Gas (HHO)/H</w:t>
      </w:r>
      <w:r w:rsidRPr="009200F5">
        <w:rPr>
          <w:rFonts w:ascii="Times New Roman" w:hAnsi="Times New Roman" w:cs="Times New Roman"/>
          <w:b/>
          <w:szCs w:val="20"/>
          <w:vertAlign w:val="subscript"/>
        </w:rPr>
        <w:t xml:space="preserve">2 </w:t>
      </w:r>
      <w:r w:rsidRPr="009200F5">
        <w:rPr>
          <w:rFonts w:ascii="Times New Roman" w:hAnsi="Times New Roman" w:cs="Times New Roman"/>
          <w:b/>
          <w:szCs w:val="20"/>
        </w:rPr>
        <w:t>Using Non- Conventional Catalysts/ Advanced Material for cell formation/Sulfonated Polyether ether ketone/CL-SPEEK/Cs-MoPA/CeO</w:t>
      </w:r>
      <w:r w:rsidRPr="009200F5">
        <w:rPr>
          <w:rFonts w:ascii="Times New Roman" w:hAnsi="Times New Roman" w:cs="Times New Roman"/>
          <w:b/>
          <w:szCs w:val="20"/>
          <w:vertAlign w:val="subscript"/>
        </w:rPr>
        <w:t>2</w:t>
      </w:r>
      <w:r w:rsidR="009200F5">
        <w:rPr>
          <w:rFonts w:ascii="Times New Roman" w:hAnsi="Times New Roman" w:cs="Times New Roman"/>
          <w:b/>
          <w:szCs w:val="20"/>
        </w:rPr>
        <w:t xml:space="preserve">/ Graphene etc: </w:t>
      </w:r>
      <w:r w:rsidRPr="008C36F5">
        <w:rPr>
          <w:rFonts w:ascii="Times New Roman" w:hAnsi="Times New Roman" w:cs="Times New Roman"/>
          <w:sz w:val="20"/>
          <w:szCs w:val="20"/>
        </w:rPr>
        <w:t xml:space="preserve">In a fuel cell, research of sulfonated Poly (ether ether ketone) based membrane electrode assembly and dimethyl formamide as solvent was used as an input parameter. The work was carried out on the fabrication of a solid polymer electrolyte water electrolyzer using a solvent. The purpose was to optimize the performance of MEA. The result showed that it has a great effect on cell performance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{"citationItems":[{"id":"ITEM-1","itemData":{"DOI":"10.1002/fuce.201400019","ISSN":"16156854","abstract":"A novel solvent induced fabrication technique is developed for the prepn. of the sulfonated poly (ether ether ketone) (sPEEK) based water electrolysis membrane electrode assembly (MEA). The solvent, DMF (DMF), instead of the high pressure and temp., is used to induce the softening of the membrane and better integration of the MEA with excellent interface compatibility. The influence of hot pressing period, the amt. of polymer used in the electrode, and the temp. are investigated to optimize the performance of the MEA. The single cell performance for the water electrolysis is evaluated to optimize the fabrication parameters. It is found out that all three factors have great influences on the final cell performance and the tradeoff effects are obsd. due to the various states of the catalyst efficiency, TPBs, the cond., and cell resistance. As a result, the cell performance is optimized with the MEA fabricated at 120 °C, using the catalysts to polymer wt. ratio of 5:1 and a 60s hot pressing period. [on SciFinder(R)]","author":[{"dropping-particle":"","family":"Xiang","given":"Z","non-dropping-particle":"","parse-names":false,"suffix":""},{"dropping-particle":"","family":"Bu","given":"F","non-dropping-particle":"","parse-names":false,"suffix":""},{"dropping-particle":"","family":"Xing","given":"W","non-dropping-particle":"","parse-names":false,"suffix":""},{"dropping-particle":"","family":"Na","given":"H","non-dropping-particle":"","parse-names":false,"suffix":""},{"dropping-particle":"","family":"Zhang","given":"Y","non-dropping-particle":"","parse-names":false,"suffix":""}],"container-title":"Fuel Cells","id":"ITEM-1","issue":"1","issued":{"date-parts":[["2015"]]},"page":"246-250","title":"Solvent induced fabrication of solid polymer electrolyte water electrolyzer: A study in sulfonated poly(ether ether ketone) based membrane electrode assembly","type":"article-journal","volume":"15"},"uris":["http://www.mendeley.com/documents/?uuid=558fa88f-ba88-4ab0-a9f9-a665530d4771"]}],"mendeley":{"formattedCitation":"(Xiang &lt;i&gt;et al.&lt;/i&gt;, 2015)","plainTextFormattedCitation":"(Xiang et al., 2015)","previouslyFormattedCitation":"(Xiang &lt;i&gt;et al.&lt;/i&gt;, 2015)"},"properties":{"noteIndex":0},"schema":"https://github.com/citation-style-language/schema/raw/master/csl-citation.json"}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(Xiang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2015)</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w:t>
      </w:r>
      <w:r w:rsidRPr="008C36F5">
        <w:rPr>
          <w:rFonts w:ascii="Times New Roman" w:hAnsi="Times New Roman" w:cs="Times New Roman"/>
          <w:sz w:val="20"/>
          <w:szCs w:val="20"/>
          <w:lang w:val="en-IN"/>
        </w:rPr>
        <w:t>It generates extremely pure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reacts quickly and adapts effectively to dynamic load conditions, and is technologically straightforward.</w:t>
      </w:r>
    </w:p>
    <w:p w:rsidR="00A147DF" w:rsidRPr="008C36F5" w:rsidRDefault="00CF73CB" w:rsidP="00397C1A">
      <w:pPr>
        <w:spacing w:line="240" w:lineRule="auto"/>
        <w:rPr>
          <w:rFonts w:ascii="Times New Roman" w:hAnsi="Times New Roman" w:cs="Times New Roman"/>
          <w:sz w:val="20"/>
          <w:szCs w:val="20"/>
          <w:lang w:val="en-IN"/>
        </w:rPr>
      </w:pPr>
      <w:r>
        <w:rPr>
          <w:rFonts w:ascii="Times New Roman" w:hAnsi="Times New Roman" w:cs="Times New Roman"/>
          <w:noProof/>
          <w:sz w:val="20"/>
          <w:szCs w:val="20"/>
        </w:rPr>
        <w:pict>
          <v:shape id="_x0000_s1060" type="#_x0000_t32" style="position:absolute;left:0;text-align:left;margin-left:66.55pt;margin-top:3.7pt;width:34.05pt;height:0;z-index:251669504" o:connectortype="straight">
            <v:stroke endarrow="block"/>
          </v:shape>
        </w:pict>
      </w:r>
      <w:r w:rsidR="00A147DF" w:rsidRPr="008C36F5">
        <w:rPr>
          <w:rFonts w:ascii="Times New Roman" w:hAnsi="Times New Roman" w:cs="Times New Roman"/>
          <w:sz w:val="20"/>
          <w:szCs w:val="20"/>
          <w:lang w:val="en-IN"/>
        </w:rPr>
        <w:t>WO</w:t>
      </w:r>
      <w:r w:rsidR="00A147DF" w:rsidRPr="008C36F5">
        <w:rPr>
          <w:rFonts w:ascii="Times New Roman" w:hAnsi="Times New Roman" w:cs="Times New Roman"/>
          <w:sz w:val="20"/>
          <w:szCs w:val="20"/>
          <w:vertAlign w:val="subscript"/>
          <w:lang w:val="en-IN"/>
        </w:rPr>
        <w:t>3</w:t>
      </w:r>
      <w:r w:rsidR="00A147DF" w:rsidRPr="008C36F5">
        <w:rPr>
          <w:rFonts w:ascii="Times New Roman" w:hAnsi="Times New Roman" w:cs="Times New Roman"/>
          <w:sz w:val="20"/>
          <w:szCs w:val="20"/>
          <w:lang w:val="en-IN"/>
        </w:rPr>
        <w:t xml:space="preserve"> + 2NaOH </w:t>
      </w:r>
      <w:r w:rsidR="00A147DF" w:rsidRPr="008C36F5">
        <w:rPr>
          <w:rFonts w:ascii="Times New Roman" w:hAnsi="Times New Roman" w:cs="Times New Roman"/>
          <w:sz w:val="20"/>
          <w:szCs w:val="20"/>
          <w:lang w:val="en-IN"/>
        </w:rPr>
        <w:tab/>
        <w:t xml:space="preserve">           Na</w:t>
      </w:r>
      <w:r w:rsidR="00A147DF" w:rsidRPr="008C36F5">
        <w:rPr>
          <w:rFonts w:ascii="Times New Roman" w:hAnsi="Times New Roman" w:cs="Times New Roman"/>
          <w:sz w:val="20"/>
          <w:szCs w:val="20"/>
          <w:vertAlign w:val="subscript"/>
          <w:lang w:val="en-IN"/>
        </w:rPr>
        <w:t>2</w:t>
      </w:r>
      <w:r w:rsidR="00A147DF" w:rsidRPr="008C36F5">
        <w:rPr>
          <w:rFonts w:ascii="Times New Roman" w:hAnsi="Times New Roman" w:cs="Times New Roman"/>
          <w:sz w:val="20"/>
          <w:szCs w:val="20"/>
          <w:lang w:val="en-IN"/>
        </w:rPr>
        <w:t>WO</w:t>
      </w:r>
      <w:r w:rsidR="00A147DF" w:rsidRPr="008C36F5">
        <w:rPr>
          <w:rFonts w:ascii="Times New Roman" w:hAnsi="Times New Roman" w:cs="Times New Roman"/>
          <w:sz w:val="20"/>
          <w:szCs w:val="20"/>
          <w:vertAlign w:val="subscript"/>
          <w:lang w:val="en-IN"/>
        </w:rPr>
        <w:t>4</w:t>
      </w:r>
      <w:r w:rsidR="00A147DF" w:rsidRPr="008C36F5">
        <w:rPr>
          <w:rFonts w:ascii="Times New Roman" w:hAnsi="Times New Roman" w:cs="Times New Roman"/>
          <w:sz w:val="20"/>
          <w:szCs w:val="20"/>
          <w:lang w:val="en-IN"/>
        </w:rPr>
        <w:t xml:space="preserve"> + H</w:t>
      </w:r>
      <w:r w:rsidR="00A147DF" w:rsidRPr="008C36F5">
        <w:rPr>
          <w:rFonts w:ascii="Times New Roman" w:hAnsi="Times New Roman" w:cs="Times New Roman"/>
          <w:sz w:val="20"/>
          <w:szCs w:val="20"/>
          <w:vertAlign w:val="subscript"/>
          <w:lang w:val="en-IN"/>
        </w:rPr>
        <w:t>2</w:t>
      </w:r>
      <w:r w:rsidR="00A147DF" w:rsidRPr="008C36F5">
        <w:rPr>
          <w:rFonts w:ascii="Times New Roman" w:hAnsi="Times New Roman" w:cs="Times New Roman"/>
          <w:sz w:val="20"/>
          <w:szCs w:val="20"/>
          <w:lang w:val="en-IN"/>
        </w:rPr>
        <w:t xml:space="preserve">O </w:t>
      </w:r>
    </w:p>
    <w:p w:rsidR="0048625E" w:rsidRPr="008C36F5" w:rsidRDefault="00A147DF" w:rsidP="00397C1A">
      <w:pPr>
        <w:spacing w:line="240" w:lineRule="auto"/>
        <w:rPr>
          <w:rFonts w:ascii="Times New Roman" w:hAnsi="Times New Roman" w:cs="Times New Roman"/>
          <w:sz w:val="20"/>
          <w:szCs w:val="20"/>
        </w:rPr>
      </w:pPr>
      <w:r w:rsidRPr="008C36F5">
        <w:rPr>
          <w:rFonts w:ascii="Times New Roman" w:hAnsi="Times New Roman" w:cs="Times New Roman"/>
          <w:sz w:val="20"/>
          <w:szCs w:val="20"/>
          <w:lang w:val="en-IN"/>
        </w:rPr>
        <w:t xml:space="preserve">The support for Adam's fusion and hydrolysis routes at various phases of synthesis, as well as the mechanical mixing catalyst (IRO), were examined and compared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{"citationItems":[{"id":"ITEM-1","itemData":{"DOI":"10.1002/fuce.201500212","ISSN":"16156854","abstract":"Since PEM-water electrolysis (PEMWE) produces very pure H&lt;inf&gt;2&lt;/inf&gt;, reacts fast and well to dynamic load conditions and is technologically simple, it could play a large role in a future hydrogen economy. One way to alleviate the drawback of expensive noble metal catalysts is to disperse the active component on a support. Tungsten oxide and tungsten carbide were investigated here comparing different synthesis routes. Adam's fusion and hydrolysis route with the addition of support during different stages of the synthesis and mechanical mixing of catalyst and support were investigated and compared. Rotating Disk Electrode (RDE) measurements show high currents for mechanically mixed samples and samples obtained via hydrolysis with a WO&lt;inf&gt;3&lt;/inf&gt;precursor. Single cell tests confirm catalyst activity and stability. Further studies are needed to completely understand catalyst behavior, especially fast activity loss during RDE. &amp;copy; 2017 WILEY-VCH Verlag GmbH &amp; Co. KGaA, Weinheim","author":[{"dropping-particle":"","family":"Baumann","given":"N","non-dropping-particle":"","parse-names":false,"suffix":""},{"dropping-particle":"","family":"Cremers","given":"C","non-dropping-particle":"","parse-names":false,"suffix":""},{"dropping-particle":"","family":"Pinkwart","given":"K","non-dropping-particle":"","parse-names":false,"suffix":""},{"dropping-particle":"","family":"Tübke","given":"J.","non-dropping-particle":"","parse-names":false,"suffix":""}],"container-title":"Fuel Cells","id":"ITEM-1","issue":"2","issued":{"date-parts":[["2016"]]},"page":"259-267","title":"Supported IrxRu1–xO2 Anode Catalysts for PEM-Water Electrolysis","type":"article-journal","volume":"17"},"uris":["http://www.mendeley.com/documents/?uuid=d37670e7-ffe0-44b4-8add-60521924d42e"]}],"mendeley":{"formattedCitation":"(Baumann &lt;i&gt;et al.&lt;/i&gt;, 2016)","plainTextFormattedCitation":"(Baumann et al., 2016)","previouslyFormattedCitation":"(Baumann &lt;i&gt;et al.&lt;/i&gt;, 2016)"},"properties":{"noteIndex":0},"schema":"https://github.com/citation-style-language/schema/raw/master/csl-citation.json"}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(Baumann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2016)</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w:t>
      </w:r>
      <w:r w:rsidRPr="008C36F5">
        <w:rPr>
          <w:rFonts w:ascii="Times New Roman" w:hAnsi="Times New Roman" w:cs="Times New Roman"/>
          <w:sz w:val="20"/>
          <w:szCs w:val="20"/>
        </w:rPr>
        <w:t xml:space="preserve"> Pt(NH</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Cl</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(0.004 M) was used for the Pt cathode, whereas Pd(NH</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Cl</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 was used for the Pd cathode (0.004 M). The Pt–Pd anode was made using Pt(NH</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Cl</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whereas the Pt anode was made with Pt(NH</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Cl</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O (0.002 M). The Pt and Pd cations were </w:t>
      </w:r>
      <w:r w:rsidRPr="008C36F5">
        <w:rPr>
          <w:rFonts w:ascii="Times New Roman" w:hAnsi="Times New Roman" w:cs="Times New Roman"/>
          <w:sz w:val="20"/>
          <w:szCs w:val="20"/>
        </w:rPr>
        <w:lastRenderedPageBreak/>
        <w:t xml:space="preserve">impregnated into the composite membranes after they were submerged in the solutions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{"citationItems":[{"id":"ITEM-1","itemData":{"DOI":"10.1002/bkcs.11322","ISSN":"12295949","author":[{"dropping-particle":"","family":"Kim","given":"Minjin","non-dropping-particle":"","parse-names":false,"suffix":""},{"dropping-particle":"","family":"Park","given":"Dae Young","non-dropping-particle":"","parse-names":false,"suffix":""},{"dropping-particle":"","family":"Song","given":"Yu Ri","non-dropping-particle":"","parse-names":false,"suffix":""},{"dropping-particle":"","family":"Kim","given":"Boyoung","non-dropping-particle":"","parse-names":false,"suffix":""},{"dropping-particle":"","family":"Moon","given":"Sang Bong","non-dropping-particle":"","parse-names":false,"suffix":""},{"dropping-particle":"","family":"Chung","given":"Jang Hoon","non-dropping-particle":"","parse-names":false,"suffix":""}],"container-title":"Bulletin of the Korean Chemical Society","id":"ITEM-1","issue":"12","issued":{"date-parts":[["2017"]]},"page":"1523-1526","title":"Preparation and electrochemical characterization of polyoxometal molybdophosphoric acid included polyether ether ketone composite for water electrolysis","type":"article-journal","volume":"38"},"uris":["http://www.mendeley.com/documents/?uuid=4a83f0b0-48ed-4810-81c4-c2064e5cbce3"]}],"mendeley":{"formattedCitation":"(Kim &lt;i&gt;et al.&lt;/i&gt;, 2017)","plainTextFormattedCitation":"(Kim et al., 2017)","previouslyFormattedCitation":"(Kim &lt;i&gt;et al.&lt;/i&gt;, 2017)"},"properties":{"noteIndex":0},"schema":"https://github.com/citation-style-language/schema/raw/master/csl-citation.json"}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(Kim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2017)</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In this paper, for both the anode and cathode reactions, complete AWE cells were created using new porous catalysts. This discovery paves the way for the development of lightweight water electrolysis cells that do not rely on commercially available valuable catalysts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{"citationItems":[{"id":"ITEM-1","itemData":{"DOI":"10.1002/cctc.201701018","ISSN":"18673899","abstract":"The development of strategies for water-electrolysis half-cell-reaction catalysts without the use of precious metals/metal oxides and the synergistic compilation of catalysts for the full-cell fabrication are receiving tremendous scientific attention. Here, alkaline water-electrolysis full cells are developed with novel spongy catalysts for both anode and cathode reactions, such as Co3O4 nitrogen-doped reduced graphene oxide (Co3O4/NrGO) composite sponge for oxygen evolution reaction (OER) and nickel nitrogen-doped reduced graphene oxide (NiNrGO) for hydrogen evolution reaction (HER). The performance of the developed OER catalyst, Co3O4/NrGO, is compared with that of the commercial one (IrO2) in alkaline medium with a common benchmark cathode catalyst (Pt) and an augmented full-cell performance is shown from this novel combination (320 mAcm−2 at an operating voltage of 1.9 V for Co3O4/NrGO, with 199 mA cm−2 for IrO2). A water-electrolysis full cell is developed without the use of HER catalyst Pt, but rather using a porous spongy catalyst, NiNrGO, having a low operating potential with a high stability (270 mA cm−2 at an operating voltage of 1.9 V with a stability tested for more than 9 h). This work opens up the possibilities of designing lightweight water-electrolysis cells without the use of commercial benchmark precious-metal catalysts.","author":[{"dropping-particle":"","family":"Vineesh","given":"Thazhe Veettil","non-dropping-particle":"","parse-names":false,"suffix":""},{"dropping-particle":"","family":"Sekar","given":"Archana","non-dropping-particle":"","parse-names":false,"suffix":""},{"dropping-particle":"","family":"Rajappa","given":"Sivamathini","non-dropping-particle":"","parse-names":false,"suffix":""},{"dropping-particle":"","family":"Pal","given":"Shubhadeep","non-dropping-particle":"","parse-names":false,"suffix":""},{"dropping-particle":"","family":"Alwarappan","given":"Subbiah","non-dropping-particle":"","parse-names":false,"suffix":""},{"dropping-particle":"","family":"Narayanan","given":"Tharangattu N.","non-dropping-particle":"","parse-names":false,"suffix":""}],"container-title":"ChemCatChem","id":"ITEM-1","issue":"22","issued":{"date-parts":[["2017"]]},"page":"4295-4300","title":"Non-Precious Metal/Metal Oxides and Nitrogen-Doped Reduced Graphene Oxide based Alkaline Water-Electrolysis Cell","type":"article-journal","volume":"9"},"uris":["http://www.mendeley.com/documents/?uuid=7389aec3-92a3-45e4-86c7-f8035ac1c2f7"]}],"mendeley":{"formattedCitation":"(Vineesh &lt;i&gt;et al.&lt;/i&gt;, 2017)","plainTextFormattedCitation":"(Vineesh et al., 2017)","previouslyFormattedCitation":"(Vineesh &lt;i&gt;et al.&lt;/i&gt;, 2017)"},"properties":{"noteIndex":0},"schema":"https://github.com/citation-style-language/schema/raw/master/csl-citation.json"}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(Vineesh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2017)</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Recorded the formation of heterostructure crystalline CoP nanoclusters were placed inside an amorphous CoOx matrix in the CoP@a-CoOx plate, resulting in strong OER and HER operation in an alkaline media. Such impressive bifunctional activities were accompanied by excellent operational stability, suggesting that it may be employed in a realistic AWE system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{"citationItems":[{"id":"ITEM-1","itemData":{"DOI":"10.1002/advs.201800514","ISSN":"21983844","abstract":"Hydrogen production from renewable electricity relies upon the development of an efficient alkaline water electrolysis device and, ultimately, upon the availability of low cost and stable electrocatalysts that can promote oxygen evolution reaction (OER) and hydrogen evolution reaction (HER). Normally, different electrocatalysts are applied for HER and OER because of their different reaction intermediates and mechanisms. Here, the synthesis of a heterostructured CoP@a-CoOx plate, which constitutes the embedded crystalline cobalt phosphide (CoP) nanoclusters and amorphous cobalt oxides (CoOx) nanoplates matrix, via a combined solvothermal and low temperature phosphidation route is reported. Due to the presence of synergistic effect between CoP nanoclusters and amorphous CoOx nanoplates in the catalyst, created from the strong nanointerfaces electronic interactions between CoP and CoOx phases in its heterostructure, this composite displays very high OER activity in addition to favorable HER activity that is comparable to the performance of the IrO2 OER benchmark and approached that of the Pt/C HER benchmark. More importantly, an efficient and stable alkaline water electrolysis operation is achieved using CoP@a-CoOx plate as both cathode and anode as evidenced by the obtainment of a relatively low potential of 1.660 V at a 10 mA cm−2 current density and its marginal increase above 1.660 V over 30 h continuous operation.","author":[{"dropping-particle":"","family":"Yu","given":"Jie","non-dropping-particle":"","parse-names":false,"suffix":""},{"dropping-particle":"","family":"Zhong","given":"Yijun","non-dropping-particle":"","parse-names":false,"suffix":""},{"dropping-particle":"","family":"Wu","given":"Xinhao","non-dropping-particle":"","parse-names":false,"suffix":""},{"dropping-particle":"","family":"Sunarso","given":"Jaka","non-dropping-particle":"","parse-names":false,"suffix":""},{"dropping-particle":"","family":"Ni","given":"Meng","non-dropping-particle":"","parse-names":false,"suffix":""},{"dropping-particle":"","family":"Zhou","given":"Wei","non-dropping-particle":"","parse-names":false,"suffix":""},{"dropping-particle":"","family":"Shao","given":"Zongping","non-dropping-particle":"","parse-names":false,"suffix":""}],"container-title":"Advanced Science","id":"ITEM-1","issue":"9","issued":{"date-parts":[["2018"]]},"page":"1800514","title":"Bifunctionality from Synergy: CoP Nanoparticles Embedded in Amorphous CoOx Nanoplates with Heterostructures for Highly Efficient Water Electrolysis","type":"article-journal","volume":"5"},"uris":["http://www.mendeley.com/documents/?uuid=f251d488-3eeb-42d5-b269-729f0136fbcf"]}],"mendeley":{"formattedCitation":"(Yu &lt;i&gt;et al.&lt;/i&gt;, 2018)","plainTextFormattedCitation":"(Yu et al., 2018)","previouslyFormattedCitation":"(Yu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(Yu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w:t>
      </w:r>
    </w:p>
    <w:p w:rsidR="007308B9" w:rsidRPr="008C36F5" w:rsidRDefault="00A147DF" w:rsidP="00876F00">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In alkaline media, Ni</w:t>
      </w:r>
      <w:r w:rsidRPr="008C36F5">
        <w:rPr>
          <w:rFonts w:ascii="Times New Roman" w:hAnsi="Times New Roman" w:cs="Times New Roman"/>
          <w:sz w:val="20"/>
          <w:szCs w:val="20"/>
          <w:vertAlign w:val="subscript"/>
        </w:rPr>
        <w:t>5</w:t>
      </w:r>
      <w:r w:rsidRPr="008C36F5">
        <w:rPr>
          <w:rFonts w:ascii="Times New Roman" w:hAnsi="Times New Roman" w:cs="Times New Roman"/>
          <w:sz w:val="20"/>
          <w:szCs w:val="20"/>
        </w:rPr>
        <w:t>P</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@NiCo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 xml:space="preserve"> was discovered to convert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 into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with The approach has </w:t>
      </w:r>
      <w:r w:rsidR="00B57088" w:rsidRPr="008C36F5">
        <w:rPr>
          <w:rFonts w:ascii="Times New Roman" w:hAnsi="Times New Roman" w:cs="Times New Roman"/>
          <w:sz w:val="20"/>
          <w:szCs w:val="20"/>
        </w:rPr>
        <w:t>low</w:t>
      </w:r>
      <w:r w:rsidRPr="008C36F5">
        <w:rPr>
          <w:rFonts w:ascii="Times New Roman" w:hAnsi="Times New Roman" w:cs="Times New Roman"/>
          <w:sz w:val="20"/>
          <w:szCs w:val="20"/>
        </w:rPr>
        <w:t xml:space="preserve"> onset overpotential and a low Tafel slope, which is superior to other methods documented in the literature. The Tafel slope of 27 mV dec1 demonstrates that H*-H* coupling is a quick step once water electrolysis starts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{"citationItems":[{"id":"ITEM-1","itemData":{"DOI":"10.1002/aenm.201801690","ISSN":"16146840","abstract":"A number of non-noble catalysts are developed for hydrogen production via acidic water electrolysis. Nevertheless, for the more economical alkaline hydrogen generation, the restricted kinetics of the water dissociation Volmer step along with its following proton recombination Tafel step for these non-noble electrocatalysts generally lead to sluggish hydrogen-production process. Here, a facile method is designed to nest nanometric Ni5P4 clusters on NiCo2O4 (achieving Ni5P4@NiCo2O4) by a phosphating process of NiO clusters on NiCo2O4. Acting as a high-efficiency electrode for alkaline water electrolysis, the Ni5P4@NiCo2O4 can efficiently and preferentially convert H2O to H2 with a low overpotential of 27 mV at 10 mA cm−2 and the Tafel slope of 27 mV dec−1, which are comparable to the results for platinum and superior than those of the state-of-the-art platinum-free electrocatalysts. Density functional theory calculations confirm that NiCo2O4 species exhibit a higher ability to electrolyze water into H* intermediate and then Ni5P4 clusters facilitate the subsequent desorption of the H2 products. Profiting from the promoted kinetic steps, the Ni5P4@NiCo2O4 electrocatalyst is promising for scalable alkaline hydrogen production.","author":[{"dropping-particle":"","family":"Zhang","given":"Tao","non-dropping-particle":"","parse-names":false,"suffix":""},{"dropping-particle":"","family":"Yang","given":"Kena","non-dropping-particle":"","parse-names":false,"suffix":""},{"dropping-particle":"","family":"Wang","given":"Cheng","non-dropping-particle":"","parse-names":false,"suffix":""},{"dropping-particle":"","family":"Li","given":"Shanyu","non-dropping-particle":"","parse-names":false,"suffix":""},{"dropping-particle":"","family":"Zhang","given":"Qiqi","non-dropping-particle":"","parse-names":false,"suffix":""},{"dropping-particle":"","family":"Chang","given":"Xuejiao","non-dropping-particle":"","parse-names":false,"suffix":""},{"dropping-particle":"","family":"Li","given":"Juntao","non-dropping-particle":"","parse-names":false,"suffix":""},{"dropping-particle":"","family":"Li","given":"Simo","non-dropping-particle":"","parse-names":false,"suffix":""},{"dropping-particle":"","family":"Jia","given":"Shuangfeng","non-dropping-particle":"","parse-names":false,"suffix":""},{"dropping-particle":"","family":"Wang","given":"Jianbo","non-dropping-particle":"","parse-names":false,"suffix":""},{"dropping-particle":"","family":"Fu","given":"Lei","non-dropping-particle":"","parse-names":false,"suffix":""}],"container-title":"Advanced Energy Materials","id":"ITEM-1","issue":"29","issued":{"date-parts":[["2018"]]},"page":"2-7","title":"Nanometric Ni5P4 Clusters Nested on NiCo2O4 for Efficient Hydrogen Production via Alkaline Water Electrolysis","type":"article-journal","volume":"8"},"uris":["http://www.mendeley.com/documents/?uuid=9c4cc952-7e36-4c3a-be7f-9ca045230b8c"]}],"mendeley":{"formattedCitation":"(Zhang &lt;i&gt;et al.&lt;/i&gt;, 2018)","plainTextFormattedCitation":"(Zhang et al., 2018)","previouslyFormattedCitation":"(Zhang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(Zhang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A thin carbon film encapsulating a cobalt metal-rich (core-shell Co@NC) catalyst was employed as an effective and stable oxygen electrocatalyst in a water electrolyzer. The high electrocatalytic activity and durability of the resultant core-shell Co@NC catalyst, as well as the effective usage of additional active sites on metallic cobalt, were revealed to be due to the structural and chemical compositions of the catalyst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{"citationItems":[{"id":"ITEM-1","itemData":{"DOI":"10.1002/aenm.201702838","ISSN":"16146840","abstract":"The oxygen electrode plays a vital role in the successful commercialization of renewable energy technologies, such as fuel cells and water electrolyzers. In this study, the Prussian blue analogue-derived nitrogen-doped nanocarbon (NC) layer-trapped, cobalt-rich, core–shell nanostructured electrocatalysts (core–shell Co@NC) are reported. The electrode exhibits an improved oxygen evolution activity and stability compared to that of the commercial noble electrodes. The core–shell Co@NC-loaded nickel foam exhibits a lower overpotential of 330 mV than that of IrO2 on nickel foam at 10 mA cm−2 and has a durability of over 400 h. The commercial Pt/C cathode-assisted, core–shell Co@NC–anode water electrolyzer delivers 10 mA cm−2 at a cell voltage of 1.59 V, which is 70 mV lower than that of the IrO2–anode water electrolyzer. Over the long-term chronopotentiometry durability testing, the IrO2–anode water electrolyzer shows a cell voltage loss of 230 mV (14%) at 95 h, but the loss of the core–shell Co@NC–anode electrolyzer is only 60 mV (4%) even after 350 h cell-operation. The findings indicate that the Prussian blue analogue is a class of inorganic nanoporous materials that can be used to derive metal-rich, core–shell electrocatalysts with enriched active centers.","author":[{"dropping-particle":"","family":"Sivanantham","given":"Arumugam","non-dropping-particle":"","parse-names":false,"suffix":""},{"dropping-particle":"","family":"Ganesan","given":"Pandian","non-dropping-particle":"","parse-names":false,"suffix":""},{"dropping-particle":"","family":"Estevez","given":"Luis","non-dropping-particle":"","parse-names":false,"suffix":""},{"dropping-particle":"","family":"McGrail","given":"B. Peter","non-dropping-particle":"","parse-names":false,"suffix":""},{"dropping-particle":"","family":"Motkuri","given":"Radha Kishan","non-dropping-particle":"","parse-names":false,"suffix":""},{"dropping-particle":"","family":"Shanmugam","given":"Sangaraju","non-dropping-particle":"","parse-names":false,"suffix":""}],"container-title":"Advanced Energy Materials","id":"ITEM-1","issue":"14","issued":{"date-parts":[["2018"]]},"page":"1-13","title":"A Stable Graphitic, Nanocarbon-Encapsulated, Cobalt-Rich Core–Shell Electrocatalyst as an Oxygen Electrode in a Water Electrolyzer","type":"article-journal","volume":"8"},"uris":["http://www.mendeley.com/documents/?uuid=75b0a469-4cc5-4cfa-ac06-b8fc5bf6c8bd"]}],"mendeley":{"formattedCitation":"(Sivanantham &lt;i&gt;et al.&lt;/i&gt;, 2018)","plainTextFormattedCitation":"(Sivanantham et al., 2018)","previouslyFormattedCitation":"(Sivanantham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(Sivanantham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Depending on the potential and surface composition of the anode, direct dissolution of Ir metal, a route via the Irv–IrIII transition, or the production of IrO</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 xml:space="preserve"> at high potentials were all feasible. The electrode material has an impact on the ratio of different step rates as well as the stability at a particular current density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{"citationItems":[{"id":"ITEM-1","itemData":{"DOI":"10.1002/anie.201709652","ISSN":"15213773","PMID":"29219237","abstract":"Understanding the pathways of catalyst degradation during the oxygen evolution reaction is a cornerstone in the development of efficient and stable electrolyzers, since even for the most promising Ir based anodes the harsh reaction conditions are detrimental. The dissolution mechanism is complex and the correlation to the oxygen evolution reaction itself is still poorly understood. Here, by coupling a scanning flow cell with inductively coupled plasma and online electrochemical mass spectrometers, we monitor the oxygen evolution and degradation products of Ir and Ir oxides in situ. It is shown that at high anodic potentials several dissolution routes become possible, including formation of gaseous IrO3. On the basis of experimental data, possible pathways are proposed for the oxygen-evolution-triggered dissolution of Ir and the role of common intermediates for these reactions is discussed.","author":[{"dropping-particle":"","family":"Kasian","given":"Olga","non-dropping-particle":"","parse-names":false,"suffix":""},{"dropping-particle":"","family":"Grote","given":"Jan Philipp","non-dropping-particle":"","parse-names":false,"suffix":""},{"dropping-particle":"","family":"Geiger","given":"Simon","non-dropping-particle":"","parse-names":false,"suffix":""},{"dropping-particle":"","family":"Cherevko","given":"Serhiy","non-dropping-particle":"","parse-names":false,"suffix":""},{"dropping-particle":"","family":"Mayrhofer","given":"Karl J.J.","non-dropping-particle":"","parse-names":false,"suffix":""}],"container-title":"Angewandte Chemie - International Edition","id":"ITEM-1","issue":"9","issued":{"date-parts":[["2018"]]},"page":"2488-2491","title":"The Common Intermediates of Oxygen Evolution and Dissolution Reactions during Water Electrolysis on Iridium","type":"article-journal","volume":"57"},"uris":["http://www.mendeley.com/documents/?uuid=dd4a72b7-cbf6-40f8-809e-61536026f937"]}],"mendeley":{"formattedCitation":"(Kasian &lt;i&gt;et al.&lt;/i&gt;, 2018)","manualFormatting":"(Kasian etal.,2018)","plainTextFormattedCitation":"(Kasian et al., 2018)","previouslyFormattedCitation":"(Kasian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0048625E" w:rsidRPr="008C36F5">
        <w:rPr>
          <w:rFonts w:ascii="Times New Roman" w:hAnsi="Times New Roman" w:cs="Times New Roman"/>
          <w:noProof/>
          <w:sz w:val="20"/>
          <w:szCs w:val="20"/>
        </w:rPr>
        <w:t>(Kasianet</w:t>
      </w:r>
      <w:r w:rsidRPr="008C36F5">
        <w:rPr>
          <w:rFonts w:ascii="Times New Roman" w:hAnsi="Times New Roman" w:cs="Times New Roman"/>
          <w:noProof/>
          <w:sz w:val="20"/>
          <w:szCs w:val="20"/>
        </w:rPr>
        <w:t>al</w:t>
      </w:r>
      <w:r w:rsidRPr="008C36F5">
        <w:rPr>
          <w:rFonts w:ascii="Times New Roman" w:hAnsi="Times New Roman" w:cs="Times New Roman"/>
          <w:i/>
          <w:noProof/>
          <w:sz w:val="20"/>
          <w:szCs w:val="20"/>
        </w:rPr>
        <w:t>.</w:t>
      </w:r>
      <w:r w:rsidRPr="008C36F5">
        <w:rPr>
          <w:rFonts w:ascii="Times New Roman" w:hAnsi="Times New Roman" w:cs="Times New Roman"/>
          <w:noProof/>
          <w:sz w:val="20"/>
          <w:szCs w:val="20"/>
        </w:rPr>
        <w:t>,2018)</w:t>
      </w:r>
      <w:r w:rsidR="0063134A" w:rsidRPr="008C36F5">
        <w:rPr>
          <w:rFonts w:ascii="Times New Roman" w:hAnsi="Times New Roman" w:cs="Times New Roman"/>
          <w:sz w:val="20"/>
          <w:szCs w:val="20"/>
        </w:rPr>
        <w:fldChar w:fldCharType="end"/>
      </w:r>
    </w:p>
    <w:p w:rsidR="00A147DF" w:rsidRPr="00876F00" w:rsidRDefault="00A147DF" w:rsidP="008C36F5">
      <w:pPr>
        <w:spacing w:line="240" w:lineRule="auto"/>
        <w:rPr>
          <w:rFonts w:ascii="Times New Roman" w:hAnsi="Times New Roman" w:cs="Times New Roman"/>
          <w:b/>
          <w:szCs w:val="20"/>
        </w:rPr>
      </w:pPr>
      <w:r w:rsidRPr="00876F00">
        <w:rPr>
          <w:rFonts w:ascii="Times New Roman" w:hAnsi="Times New Roman" w:cs="Times New Roman"/>
          <w:b/>
          <w:szCs w:val="20"/>
        </w:rPr>
        <w:t>Table: 4</w:t>
      </w:r>
      <w:r w:rsidR="00DD0058" w:rsidRPr="00876F00">
        <w:rPr>
          <w:rFonts w:ascii="Times New Roman" w:hAnsi="Times New Roman" w:cs="Times New Roman"/>
          <w:b/>
          <w:szCs w:val="20"/>
        </w:rPr>
        <w:t xml:space="preserve"> </w:t>
      </w:r>
      <w:r w:rsidRPr="00876F00">
        <w:rPr>
          <w:rFonts w:ascii="Times New Roman" w:hAnsi="Times New Roman" w:cs="Times New Roman"/>
          <w:b/>
          <w:szCs w:val="20"/>
        </w:rPr>
        <w:t>Research Activities on Generation of Oxyhydrogen Gas (HHO)/H</w:t>
      </w:r>
      <w:r w:rsidRPr="00876F00">
        <w:rPr>
          <w:rFonts w:ascii="Times New Roman" w:hAnsi="Times New Roman" w:cs="Times New Roman"/>
          <w:b/>
          <w:szCs w:val="20"/>
          <w:vertAlign w:val="subscript"/>
        </w:rPr>
        <w:t xml:space="preserve">2 </w:t>
      </w:r>
      <w:r w:rsidRPr="00876F00">
        <w:rPr>
          <w:rFonts w:ascii="Times New Roman" w:hAnsi="Times New Roman" w:cs="Times New Roman"/>
          <w:b/>
          <w:szCs w:val="20"/>
        </w:rPr>
        <w:t>Using Non- Conventional Catalysts/ Advanced Material for cell formation/ Sulfonated Polyether ether ketone /CL-SPEEK/Cs-MoPA/CeO</w:t>
      </w:r>
      <w:r w:rsidRPr="00876F00">
        <w:rPr>
          <w:rFonts w:ascii="Times New Roman" w:hAnsi="Times New Roman" w:cs="Times New Roman"/>
          <w:b/>
          <w:szCs w:val="20"/>
          <w:vertAlign w:val="subscript"/>
        </w:rPr>
        <w:t>2</w:t>
      </w:r>
      <w:r w:rsidRPr="00876F00">
        <w:rPr>
          <w:rFonts w:ascii="Times New Roman" w:hAnsi="Times New Roman" w:cs="Times New Roman"/>
          <w:b/>
          <w:szCs w:val="20"/>
        </w:rPr>
        <w:t>/ Graphene etc.</w:t>
      </w:r>
    </w:p>
    <w:tbl>
      <w:tblPr>
        <w:tblStyle w:val="LightShading"/>
        <w:tblW w:w="5132" w:type="pct"/>
        <w:shd w:val="clear" w:color="auto" w:fill="FFFFFF" w:themeFill="background1"/>
        <w:tblLook w:val="04A0" w:firstRow="1" w:lastRow="0" w:firstColumn="1" w:lastColumn="0" w:noHBand="0" w:noVBand="1"/>
      </w:tblPr>
      <w:tblGrid>
        <w:gridCol w:w="1327"/>
        <w:gridCol w:w="1533"/>
        <w:gridCol w:w="2150"/>
        <w:gridCol w:w="1821"/>
        <w:gridCol w:w="2415"/>
        <w:gridCol w:w="583"/>
      </w:tblGrid>
      <w:tr w:rsidR="00A147DF" w:rsidRPr="008C36F5" w:rsidTr="00F21F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pct"/>
            <w:shd w:val="clear" w:color="auto" w:fill="FFFFFF" w:themeFill="background1"/>
          </w:tcPr>
          <w:p w:rsidR="00A147DF" w:rsidRPr="008C36F5" w:rsidRDefault="00A147DF" w:rsidP="008C36F5">
            <w:pPr>
              <w:spacing w:after="100"/>
              <w:rPr>
                <w:rFonts w:ascii="Times New Roman" w:hAnsi="Times New Roman" w:cs="Times New Roman"/>
                <w:sz w:val="20"/>
                <w:szCs w:val="20"/>
              </w:rPr>
            </w:pPr>
            <w:r w:rsidRPr="008C36F5">
              <w:rPr>
                <w:rFonts w:ascii="Times New Roman" w:hAnsi="Times New Roman" w:cs="Times New Roman"/>
                <w:sz w:val="20"/>
                <w:szCs w:val="20"/>
              </w:rPr>
              <w:t>Author &amp; year</w:t>
            </w:r>
          </w:p>
        </w:tc>
        <w:tc>
          <w:tcPr>
            <w:tcW w:w="788"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Input</w:t>
            </w:r>
          </w:p>
        </w:tc>
        <w:tc>
          <w:tcPr>
            <w:tcW w:w="1102"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Analysis methodology</w:t>
            </w:r>
          </w:p>
        </w:tc>
        <w:tc>
          <w:tcPr>
            <w:tcW w:w="934"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Purpose</w:t>
            </w:r>
          </w:p>
        </w:tc>
        <w:tc>
          <w:tcPr>
            <w:tcW w:w="1236"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Result and outcome</w:t>
            </w:r>
          </w:p>
        </w:tc>
        <w:tc>
          <w:tcPr>
            <w:tcW w:w="304"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Ref.</w:t>
            </w:r>
          </w:p>
        </w:tc>
      </w:tr>
      <w:tr w:rsidR="00F21F2C" w:rsidRPr="008C36F5" w:rsidTr="00F21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{"citationItems":[{"id":"ITEM-1","itemData":{"DOI":"10.1002/fuce.201400019","ISSN":"16156854","abstract":"A novel solvent induced fabrication technique is developed for the prepn. of the sulfonated poly (ether ether ketone) (sPEEK) based water electrolysis membrane electrode assembly (MEA). The solvent, DMF (DMF), instead of the high pressure and temp., is used to induce the softening of the membrane and better integration of the MEA with excellent interface compatibility. The influence of hot pressing period, the amt. of polymer used in the electrode, and the temp. are investigated to optimize the performance of the MEA. The single cell performance for the water electrolysis is evaluated to optimize the fabrication parameters. It is found out that all three factors have great influences on the final cell performance and the tradeoff effects are obsd. due to the various states of the catalyst efficiency, TPBs, the cond., and cell resistance. As a result, the cell performance is optimized with the MEA fabricated at 120 °C, using the catalysts to polymer wt. ratio of 5:1 and a 60s hot pressing period. [on SciFinder(R)]","author":[{"dropping-particle":"","family":"Xiang","given":"Z","non-dropping-particle":"","parse-names":false,"suffix":""},{"dropping-particle":"","family":"Bu","given":"F","non-dropping-particle":"","parse-names":false,"suffix":""},{"dropping-particle":"","family":"Xing","given":"W","non-dropping-particle":"","parse-names":false,"suffix":""},{"dropping-particle":"","family":"Na","given":"H","non-dropping-particle":"","parse-names":false,"suffix":""},{"dropping-particle":"","family":"Zhang","given":"Y","non-dropping-particle":"","parse-names":false,"suffix":""}],"container-title":"Fuel Cells","id":"ITEM-1","issue":"1","issued":{"date-parts":[["2015"]]},"page":"246-250","title":"Solvent induced fabrication of solid polymer electrolyte water electrolyzer: A study in sulfonated poly(ether ether ketone) based membrane electrode assembly","type":"article-journal","volume":"15"},"uris":["http://www.mendeley.com/documents/?uuid=558fa88f-ba88-4ab0-a9f9-a665530d4771"]}],"mendeley":{"formattedCitation":"(Xiang &lt;i&gt;et al.&lt;/i&gt;, 2015)","plainTextFormattedCitation":"(Xiang et al., 2015)","previouslyFormattedCitation":"(Xiang &lt;i&gt;et al.&lt;/i&gt;, 2015)"},"properties":{"noteIndex":0},"schema":"https://github.com/citation-style-language/schema/raw/master/csl-citation.json"}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(Xiang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2015)</w:t>
            </w:r>
            <w:r w:rsidRPr="008C36F5">
              <w:rPr>
                <w:rFonts w:ascii="Times New Roman" w:hAnsi="Times New Roman" w:cs="Times New Roman"/>
                <w:sz w:val="20"/>
                <w:szCs w:val="20"/>
              </w:rPr>
              <w:fldChar w:fldCharType="end"/>
            </w:r>
          </w:p>
        </w:tc>
        <w:tc>
          <w:tcPr>
            <w:tcW w:w="78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Dimethyl formamide as the solvent </w:t>
            </w:r>
          </w:p>
        </w:tc>
        <w:tc>
          <w:tcPr>
            <w:tcW w:w="110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Fabrication Technique Induced by Solvents</w:t>
            </w:r>
          </w:p>
        </w:tc>
        <w:tc>
          <w:tcPr>
            <w:tcW w:w="93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optimize the performance of MEA</w:t>
            </w:r>
          </w:p>
        </w:tc>
        <w:tc>
          <w:tcPr>
            <w:tcW w:w="12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This technique has a great effect on cell performance and is optimized.</w:t>
            </w:r>
          </w:p>
        </w:tc>
        <w:tc>
          <w:tcPr>
            <w:tcW w:w="30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17</w:t>
            </w:r>
          </w:p>
        </w:tc>
      </w:tr>
      <w:tr w:rsidR="00A147DF" w:rsidRPr="008C36F5" w:rsidTr="00F21F2C">
        <w:tc>
          <w:tcPr>
            <w:cnfStyle w:val="001000000000" w:firstRow="0" w:lastRow="0" w:firstColumn="1" w:lastColumn="0" w:oddVBand="0" w:evenVBand="0" w:oddHBand="0" w:evenHBand="0" w:firstRowFirstColumn="0" w:firstRowLastColumn="0" w:lastRowFirstColumn="0" w:lastRowLastColumn="0"/>
            <w:tcW w:w="63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{"citationItems":[{"id":"ITEM-1","itemData":{"DOI":"10.1002/fuce.201500212","ISSN":"16156854","abstract":"Since PEM-water electrolysis (PEMWE) produces very pure H&lt;inf&gt;2&lt;/inf&gt;, reacts fast and well to dynamic load conditions and is technologically simple, it could play a large role in a future hydrogen economy. One way to alleviate the drawback of expensive noble metal catalysts is to disperse the active component on a support. Tungsten oxide and tungsten carbide were investigated here comparing different synthesis routes. Adam's fusion and hydrolysis route with the addition of support during different stages of the synthesis and mechanical mixing of catalyst and support were investigated and compared. Rotating Disk Electrode (RDE) measurements show high currents for mechanically mixed samples and samples obtained via hydrolysis with a WO&lt;inf&gt;3&lt;/inf&gt;precursor. Single cell tests confirm catalyst activity and stability. Further studies are needed to completely understand catalyst behavior, especially fast activity loss during RDE. &amp;copy; 2017 WILEY-VCH Verlag GmbH &amp; Co. KGaA, Weinheim","author":[{"dropping-particle":"","family":"Baumann","given":"N","non-dropping-particle":"","parse-names":false,"suffix":""},{"dropping-particle":"","family":"Cremers","given":"C","non-dropping-particle":"","parse-names":false,"suffix":""},{"dropping-particle":"","family":"Pinkwart","given":"K","non-dropping-particle":"","parse-names":false,"suffix":""},{"dropping-particle":"","family":"Tübke","given":"J.","non-dropping-particle":"","parse-names":false,"suffix":""}],"container-title":"Fuel Cells","id":"ITEM-1","issue":"2","issued":{"date-parts":[["2016"]]},"page":"259-267","title":"Supported IrxRu1–xO2 Anode Catalysts for PEM-Water Electrolysis","type":"article-journal","volume":"17"},"uris":["http://www.mendeley.com/documents/?uuid=d37670e7-ffe0-44b4-8add-60521924d42e"]}],"mendeley":{"formattedCitation":"(Baumann &lt;i&gt;et al.&lt;/i&gt;, 2016)","plainTextFormattedCitation":"(Baumann et al., 2016)","previouslyFormattedCitation":"(Baumann &lt;i&gt;et al.&lt;/i&gt;, 2016)"},"properties":{"noteIndex":0},"schema":"https://github.com/citation-style-language/schema/raw/master/csl-citation.json"}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(Baumann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2016)</w:t>
            </w:r>
            <w:r w:rsidRPr="008C36F5">
              <w:rPr>
                <w:rFonts w:ascii="Times New Roman" w:hAnsi="Times New Roman" w:cs="Times New Roman"/>
                <w:sz w:val="20"/>
                <w:szCs w:val="20"/>
              </w:rPr>
              <w:fldChar w:fldCharType="end"/>
            </w:r>
          </w:p>
        </w:tc>
        <w:tc>
          <w:tcPr>
            <w:tcW w:w="78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Ir</w:t>
            </w:r>
            <w:r w:rsidRPr="008C36F5">
              <w:rPr>
                <w:rFonts w:ascii="Times New Roman" w:hAnsi="Times New Roman" w:cs="Times New Roman"/>
                <w:sz w:val="20"/>
                <w:szCs w:val="20"/>
                <w:vertAlign w:val="subscript"/>
              </w:rPr>
              <w:t>x</w:t>
            </w:r>
            <w:r w:rsidRPr="008C36F5">
              <w:rPr>
                <w:rFonts w:ascii="Times New Roman" w:hAnsi="Times New Roman" w:cs="Times New Roman"/>
                <w:sz w:val="20"/>
                <w:szCs w:val="20"/>
              </w:rPr>
              <w:t>Ru</w:t>
            </w:r>
            <w:r w:rsidRPr="008C36F5">
              <w:rPr>
                <w:rFonts w:ascii="Times New Roman" w:hAnsi="Times New Roman" w:cs="Times New Roman"/>
                <w:sz w:val="20"/>
                <w:szCs w:val="20"/>
                <w:vertAlign w:val="subscript"/>
              </w:rPr>
              <w:t>1-x</w:t>
            </w:r>
            <w:r w:rsidRPr="008C36F5">
              <w:rPr>
                <w:rFonts w:ascii="Times New Roman" w:hAnsi="Times New Roman" w:cs="Times New Roman"/>
                <w:sz w:val="20"/>
                <w:szCs w:val="20"/>
              </w:rPr>
              <w:t>O</w:t>
            </w:r>
            <w:r w:rsidRPr="008C36F5">
              <w:rPr>
                <w:rFonts w:ascii="Times New Roman" w:hAnsi="Times New Roman" w:cs="Times New Roman"/>
                <w:sz w:val="20"/>
                <w:szCs w:val="20"/>
                <w:vertAlign w:val="subscript"/>
              </w:rPr>
              <w:t xml:space="preserve">2 </w:t>
            </w:r>
            <w:r w:rsidRPr="008C36F5">
              <w:rPr>
                <w:rFonts w:ascii="Times New Roman" w:hAnsi="Times New Roman" w:cs="Times New Roman"/>
                <w:sz w:val="20"/>
                <w:szCs w:val="20"/>
              </w:rPr>
              <w:t xml:space="preserve"> Anode Catalysts</w:t>
            </w:r>
          </w:p>
        </w:tc>
        <w:tc>
          <w:tcPr>
            <w:tcW w:w="110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PEM-Water Electrolysis</w:t>
            </w:r>
          </w:p>
        </w:tc>
        <w:tc>
          <w:tcPr>
            <w:tcW w:w="93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Support IrxRu1–XO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anode catalysts</w:t>
            </w:r>
          </w:p>
        </w:tc>
        <w:tc>
          <w:tcPr>
            <w:tcW w:w="12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Ir</w:t>
            </w:r>
            <w:r w:rsidRPr="008C36F5">
              <w:rPr>
                <w:rFonts w:ascii="Times New Roman" w:hAnsi="Times New Roman" w:cs="Times New Roman"/>
                <w:sz w:val="20"/>
                <w:szCs w:val="20"/>
                <w:vertAlign w:val="subscript"/>
              </w:rPr>
              <w:t>0.5</w:t>
            </w:r>
            <w:r w:rsidRPr="008C36F5">
              <w:rPr>
                <w:rFonts w:ascii="Times New Roman" w:hAnsi="Times New Roman" w:cs="Times New Roman"/>
                <w:sz w:val="20"/>
                <w:szCs w:val="20"/>
              </w:rPr>
              <w:t>Ru</w:t>
            </w:r>
            <w:r w:rsidRPr="008C36F5">
              <w:rPr>
                <w:rFonts w:ascii="Times New Roman" w:hAnsi="Times New Roman" w:cs="Times New Roman"/>
                <w:sz w:val="20"/>
                <w:szCs w:val="20"/>
                <w:vertAlign w:val="subscript"/>
              </w:rPr>
              <w:t>0.5</w:t>
            </w:r>
            <w:r w:rsidRPr="008C36F5">
              <w:rPr>
                <w:rFonts w:ascii="Times New Roman" w:hAnsi="Times New Roman" w:cs="Times New Roman"/>
                <w:sz w:val="20"/>
                <w:szCs w:val="20"/>
              </w:rPr>
              <w:t>O</w:t>
            </w:r>
            <w:r w:rsidRPr="008C36F5">
              <w:rPr>
                <w:rFonts w:ascii="Times New Roman" w:hAnsi="Times New Roman" w:cs="Times New Roman"/>
                <w:sz w:val="20"/>
                <w:szCs w:val="20"/>
                <w:vertAlign w:val="subscript"/>
              </w:rPr>
              <w:t xml:space="preserve">2 and </w:t>
            </w:r>
            <w:r w:rsidRPr="008C36F5">
              <w:rPr>
                <w:rFonts w:ascii="Times New Roman" w:hAnsi="Times New Roman" w:cs="Times New Roman"/>
                <w:sz w:val="20"/>
                <w:szCs w:val="20"/>
              </w:rPr>
              <w:t>IRO/WO</w:t>
            </w:r>
            <w:r w:rsidRPr="008C36F5">
              <w:rPr>
                <w:rFonts w:ascii="Times New Roman" w:hAnsi="Times New Roman" w:cs="Times New Roman"/>
                <w:sz w:val="20"/>
                <w:szCs w:val="20"/>
                <w:vertAlign w:val="subscript"/>
              </w:rPr>
              <w:t xml:space="preserve">3 </w:t>
            </w:r>
            <w:r w:rsidRPr="008C36F5">
              <w:rPr>
                <w:rFonts w:ascii="Times New Roman" w:hAnsi="Times New Roman" w:cs="Times New Roman"/>
                <w:sz w:val="20"/>
                <w:szCs w:val="20"/>
              </w:rPr>
              <w:t>give a minimum degradation rate.</w:t>
            </w:r>
          </w:p>
        </w:tc>
        <w:tc>
          <w:tcPr>
            <w:tcW w:w="30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31</w:t>
            </w:r>
          </w:p>
        </w:tc>
      </w:tr>
      <w:tr w:rsidR="00F21F2C" w:rsidRPr="008C36F5" w:rsidTr="00F21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{"citationItems":[{"id":"ITEM-1","itemData":{"DOI":"10.1002/bkcs.11322","ISSN":"12295949","author":[{"dropping-particle":"","family":"Kim","given":"Minjin","non-dropping-particle":"","parse-names":false,"suffix":""},{"dropping-particle":"","family":"Park","given":"Dae Young","non-dropping-particle":"","parse-names":false,"suffix":""},{"dropping-particle":"","family":"Song","given":"Yu Ri","non-dropping-particle":"","parse-names":false,"suffix":""},{"dropping-particle":"","family":"Kim","given":"Boyoung","non-dropping-particle":"","parse-names":false,"suffix":""},{"dropping-particle":"","family":"Moon","given":"Sang Bong","non-dropping-particle":"","parse-names":false,"suffix":""},{"dropping-particle":"","family":"Chung","given":"Jang Hoon","non-dropping-particle":"","parse-names":false,"suffix":""}],"container-title":"Bulletin of the Korean Chemical Society","id":"ITEM-1","issue":"12","issued":{"date-parts":[["2017"]]},"page":"1523-1526","title":"Preparation and electrochemical characterization of polyoxometal molybdophosphoric acid included polyether ether ketone composite for water electrolysis","type":"article-journal","volume":"38"},"uris":["http://www.mendeley.com/documents/?uuid=4a83f0b0-48ed-4810-81c4-c2064e5cbce3"]}],"mendeley":{"formattedCitation":"(Kim &lt;i&gt;et al.&lt;/i&gt;, 2017)","plainTextFormattedCitation":"(Kim et al., 2017)","previouslyFormattedCitation":"(Kim &lt;i&gt;et al.&lt;/i&gt;,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(Kim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2017)</w:t>
            </w:r>
            <w:r w:rsidRPr="008C36F5">
              <w:rPr>
                <w:rFonts w:ascii="Times New Roman" w:hAnsi="Times New Roman" w:cs="Times New Roman"/>
                <w:sz w:val="20"/>
                <w:szCs w:val="20"/>
              </w:rPr>
              <w:fldChar w:fldCharType="end"/>
            </w:r>
          </w:p>
        </w:tc>
        <w:tc>
          <w:tcPr>
            <w:tcW w:w="78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MoPA, SPEEK, CeO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Pt cathode &amp; anode.</w:t>
            </w:r>
          </w:p>
        </w:tc>
        <w:tc>
          <w:tcPr>
            <w:tcW w:w="110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The experimental section includes an investigation by TGA 2950 </w:t>
            </w:r>
          </w:p>
        </w:tc>
        <w:tc>
          <w:tcPr>
            <w:tcW w:w="93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investigate the thermal stability of membrane</w:t>
            </w:r>
          </w:p>
        </w:tc>
        <w:tc>
          <w:tcPr>
            <w:tcW w:w="12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Electrochemical properties of PEEK polymer were improved by MoPA and it could be used for water electrolysis.</w:t>
            </w:r>
          </w:p>
        </w:tc>
        <w:tc>
          <w:tcPr>
            <w:tcW w:w="30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20</w:t>
            </w:r>
          </w:p>
        </w:tc>
      </w:tr>
      <w:tr w:rsidR="00A147DF" w:rsidRPr="008C36F5" w:rsidTr="00F21F2C">
        <w:tc>
          <w:tcPr>
            <w:cnfStyle w:val="001000000000" w:firstRow="0" w:lastRow="0" w:firstColumn="1" w:lastColumn="0" w:oddVBand="0" w:evenVBand="0" w:oddHBand="0" w:evenHBand="0" w:firstRowFirstColumn="0" w:firstRowLastColumn="0" w:lastRowFirstColumn="0" w:lastRowLastColumn="0"/>
            <w:tcW w:w="63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{"citationItems":[{"id":"ITEM-1","itemData":{"DOI":"10.1002/cctc.201701018","ISSN":"18673899","abstract":"The development of strategies for water-electrolysis half-cell-reaction catalysts without the use of precious metals/metal oxides and the synergistic compilation of catalysts for the full-cell fabrication are receiving tremendous scientific attention. Here, alkaline water-electrolysis full cells are developed with novel spongy catalysts for both anode and cathode reactions, such as Co3O4 nitrogen-doped reduced graphene oxide (Co3O4/NrGO) composite sponge for oxygen evolution reaction (OER) and nickel nitrogen-doped reduced graphene oxide (NiNrGO) for hydrogen evolution reaction (HER). The performance of the developed OER catalyst, Co3O4/NrGO, is compared with that of the commercial one (IrO2) in alkaline medium with a common benchmark cathode catalyst (Pt) and an augmented full-cell performance is shown from this novel combination (320 mAcm−2 at an operating voltage of 1.9 V for Co3O4/NrGO, with 199 mA cm−2 for IrO2). A water-electrolysis full cell is developed without the use of HER catalyst Pt, but rather using a porous spongy catalyst, NiNrGO, having a low operating potential with a high stability (270 mA cm−2 at an operating voltage of 1.9 V with a stability tested for more than 9 h). This work opens up the possibilities of designing lightweight water-electrolysis cells without the use of commercial benchmark precious-metal catalysts.","author":[{"dropping-particle":"","family":"Vineesh","given":"Thazhe Veettil","non-dropping-particle":"","parse-names":false,"suffix":""},{"dropping-particle":"","family":"Sekar","given":"Archana","non-dropping-particle":"","parse-names":false,"suffix":""},{"dropping-particle":"","family":"Rajappa","given":"Sivamathini","non-dropping-particle":"","parse-names":false,"suffix":""},{"dropping-particle":"","family":"Pal","given":"Shubhadeep","non-dropping-particle":"","parse-names":false,"suffix":""},{"dropping-particle":"","family":"Alwarappan","given":"Subbiah","non-dropping-particle":"","parse-names":false,"suffix":""},{"dropping-particle":"","family":"Narayanan","given":"Tharangattu N.","non-dropping-particle":"","parse-names":false,"suffix":""}],"container-title":"ChemCatChem","id":"ITEM-1","issue":"22","issued":{"date-parts":[["2017"]]},"page":"4295-4300","title":"Non-Precious Metal/Metal Oxides and Nitrogen-Doped Reduced Graphene Oxide based Alkaline Water-Electrolysis Cell","type":"article-journal","volume":"9"},"uris":["http://www.mendeley.com/documents/?uuid=7389aec3-92a3-45e4-86c7-f8035ac1c2f7"]}],"mendeley":{"formattedCitation":"(Vineesh &lt;i&gt;et al.&lt;/i&gt;, 2017)","plainTextFormattedCitation":"(Vineesh et al., 2017)","previouslyFormattedCitation":"(Vineesh &lt;i&gt;et al.&lt;/i&gt;,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(Vineesh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2017)</w:t>
            </w:r>
            <w:r w:rsidRPr="008C36F5">
              <w:rPr>
                <w:rFonts w:ascii="Times New Roman" w:hAnsi="Times New Roman" w:cs="Times New Roman"/>
                <w:sz w:val="20"/>
                <w:szCs w:val="20"/>
              </w:rPr>
              <w:fldChar w:fldCharType="end"/>
            </w:r>
          </w:p>
        </w:tc>
        <w:tc>
          <w:tcPr>
            <w:tcW w:w="78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Catalyst CO</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O</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/\NrGO</w:t>
            </w:r>
          </w:p>
        </w:tc>
        <w:tc>
          <w:tcPr>
            <w:tcW w:w="110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Construction of water electrolysis full cell using MEA method.</w:t>
            </w:r>
          </w:p>
        </w:tc>
        <w:tc>
          <w:tcPr>
            <w:tcW w:w="93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create a lightweight water electrolysis cell that does not rely on commercially available precious metal catalysts.</w:t>
            </w:r>
          </w:p>
        </w:tc>
        <w:tc>
          <w:tcPr>
            <w:tcW w:w="12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NiNrGO porous spongy catalyst, which has a low working potential and good stability at an operating voltage, was used to create a WEFC.</w:t>
            </w:r>
          </w:p>
        </w:tc>
        <w:tc>
          <w:tcPr>
            <w:tcW w:w="30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28</w:t>
            </w:r>
          </w:p>
        </w:tc>
      </w:tr>
      <w:tr w:rsidR="00F21F2C" w:rsidRPr="008C36F5" w:rsidTr="00F21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{"citationItems":[{"id":"ITEM-1","itemData":{"DOI":"10.1002/advs.201800514","ISSN":"21983844","abstract":"Hydrogen production from renewable electricity relies upon the development of an efficient alkaline water electrolysis device and, ultimately, upon the availability of low cost and stable electrocatalysts that can promote oxygen evolution reaction (OER) and hydrogen evolution reaction (HER). Normally, different electrocatalysts are applied for HER and OER because of their different reaction intermediates and mechanisms. Here, the synthesis of a heterostructured CoP@a-CoOx plate, which constitutes the embedded crystalline cobalt phosphide (CoP) nanoclusters and amorphous cobalt oxides (CoOx) nanoplates matrix, via a combined solvothermal and low temperature phosphidation route is reported. Due to the presence of synergistic effect between CoP nanoclusters and amorphous CoOx nanoplates in the catalyst, created from the strong nanointerfaces electronic interactions between CoP and CoOx phases in its heterostructure, this composite displays very high OER activity in addition to favorable HER activity that is comparable to the performance of the IrO2 OER benchmark and approached that of the Pt/C HER benchmark. More importantly, an efficient and stable alkaline water electrolysis operation is achieved using CoP@a-CoOx plate as both cathode and anode as evidenced by the obtainment of a relatively low potential of 1.660 V at a 10 mA cm−2 current density and its marginal increase above 1.660 V over 30 h continuous operation.","author":[{"dropping-particle":"","family":"Yu","given":"Jie","non-dropping-particle":"","parse-names":false,"suffix":""},{"dropping-particle":"","family":"Zhong","given":"Yijun","non-dropping-particle":"","parse-names":false,"suffix":""},{"dropping-particle":"","family":"Wu","given":"Xinhao","non-dropping-particle":"","parse-names":false,"suffix":""},{"dropping-particle":"","family":"Sunarso","given":"Jaka","non-dropping-particle":"","parse-names":false,"suffix":""},{"dropping-particle":"","family":"Ni","given":"Meng","non-dropping-particle":"","parse-names":false,"suffix":""},{"dropping-particle":"","family":"Zhou","given":"Wei","non-dropping-particle":"","parse-names":false,"suffix":""},{"dropping-particle":"","family":"Shao","given":"Zongping","non-dropping-particle":"","parse-names":false,"suffix":""}],"container-title":"Advanced Science","id":"ITEM-1","issue":"9","issued":{"date-parts":[["2018"]]},"page":"1800514","title":"Bifunctionality from Synergy: CoP Nanoparticles Embedded in Amorphous CoOx Nanoplates with Heterostructures for Highly Efficient Water Electrolysis","type":"article-journal","volume":"5"},"uris":["http://www.mendeley.com/documents/?uuid=f251d488-3eeb-42d5-b269-729f0136fbcf"]}],"mendeley":{"formattedCitation":"(Yu &lt;i&gt;et al.&lt;/i&gt;, 2018)","plainTextFormattedCitation":"(Yu et al., 2018)","previouslyFormattedCitation":"(Yu &lt;i&gt;et al.&lt;/i&gt;,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(Yu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2018)</w:t>
            </w:r>
            <w:r w:rsidRPr="008C36F5">
              <w:rPr>
                <w:rFonts w:ascii="Times New Roman" w:hAnsi="Times New Roman" w:cs="Times New Roman"/>
                <w:sz w:val="20"/>
                <w:szCs w:val="20"/>
              </w:rPr>
              <w:fldChar w:fldCharType="end"/>
            </w:r>
          </w:p>
        </w:tc>
        <w:tc>
          <w:tcPr>
            <w:tcW w:w="78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Cobalt phosphide nanoparticles with a hetero-junction-like structure covered in amorphous cobalt oxides (CoOx) nanoplates</w:t>
            </w:r>
          </w:p>
        </w:tc>
        <w:tc>
          <w:tcPr>
            <w:tcW w:w="110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SEM and transmission electron microscopy were used to study morphology.</w:t>
            </w:r>
          </w:p>
        </w:tc>
        <w:tc>
          <w:tcPr>
            <w:tcW w:w="93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Development of a bi-functional catalyst capable of offering higher Hydrogen Evolution.</w:t>
            </w:r>
          </w:p>
        </w:tc>
        <w:tc>
          <w:tcPr>
            <w:tcW w:w="12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CoP@a-CoOx plate used as cathode &amp; anode components, an effective and stable AWE was created.</w:t>
            </w:r>
          </w:p>
        </w:tc>
        <w:tc>
          <w:tcPr>
            <w:tcW w:w="30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13</w:t>
            </w:r>
          </w:p>
        </w:tc>
      </w:tr>
      <w:tr w:rsidR="00A147DF" w:rsidRPr="008C36F5" w:rsidTr="00F21F2C">
        <w:tc>
          <w:tcPr>
            <w:cnfStyle w:val="001000000000" w:firstRow="0" w:lastRow="0" w:firstColumn="1" w:lastColumn="0" w:oddVBand="0" w:evenVBand="0" w:oddHBand="0" w:evenHBand="0" w:firstRowFirstColumn="0" w:firstRowLastColumn="0" w:lastRowFirstColumn="0" w:lastRowLastColumn="0"/>
            <w:tcW w:w="63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{"citationItems":[{"id":"ITEM-1","itemData":{"DOI":"10.1002/aenm.201801690","ISSN":"16146840","abstract":"A number of non-noble catalysts are developed for hydrogen production via acidic water electrolysis. Nevertheless, for the more economical alkaline hydrogen generation, the restricted kinetics of the water dissociation Volmer step along with its following proton recombination Tafel step for these non-noble electrocatalysts generally lead to sluggish hydrogen-production process. Here, a facile method is designed to nest nanometric Ni5P4 clusters on NiCo2O4 (achieving Ni5P4@NiCo2O4) by a phosphating process of NiO clusters on NiCo2O4. Acting as a high-efficiency electrode for alkaline water electrolysis, the Ni5P4@NiCo2O4 can efficiently and preferentially convert H2O to H2 with a low overpotential of 27 mV at 10 mA cm−2 and the Tafel slope of 27 mV dec−1, which are comparable to the results for platinum and superior than those of the state-of-the-art platinum-free electrocatalysts. Density functional theory calculations confirm that NiCo2O4 species exhibit a higher ability to electrolyze water into H* intermediate and then Ni5P4 clusters facilitate the subsequent desorption of the H2 products. Profiting from the promoted kinetic steps, the Ni5P4@NiCo2O4 electrocatalyst is promising for scalable alkaline hydrogen production.","author":[{"dropping-particle":"","family":"Zhang","given":"Tao","non-dropping-particle":"","parse-names":false,"suffix":""},{"dropping-particle":"","family":"Yang","given":"Kena","non-dropping-particle":"","parse-names":false,"suffix":""},{"dropping-particle":"","family":"Wang","given":"Cheng","non-dropping-particle":"","parse-names":false,"suffix":""},{"dropping-particle":"","family":"Li","given":"Shanyu","non-dropping-particle":"","parse-names":false,"suffix":""},{"dropping-particle":"","family":"Zhang","given":"Qiqi","non-dropping-particle":"","parse-names":false,"suffix":""},{"dropping-particle":"","family":"Chang","given":"Xuejiao","non-dropping-particle":"","parse-names":false,"suffix":""},{"dropping-particle":"","family":"Li","given":"Juntao","non-dropping-particle":"","parse-names":false,"suffix":""},{"dropping-particle":"","family":"Li","given":"Simo","non-dropping-particle":"","parse-names":false,"suffix":""},{"dropping-particle":"","family":"Jia","given":"Shuangfeng","non-dropping-particle":"","parse-names":false,"suffix":""},{"dropping-particle":"","family":"Wang","given":"Jianbo","non-dropping-particle":"","parse-names":false,"suffix":""},{"dropping-particle":"","family":"Fu","given":"Lei","non-dropping-particle":"","parse-names":false,"suffix":""}],"container-title":"Advanced Energy Materials","id":"ITEM-1","issue":"29","issued":{"date-parts":[["2018"]]},"page":"2-7","title":"Nanometric Ni5P4 Clusters Nested on NiCo2O4 for Efficient Hydrogen Production via Alkaline Water Electrolysis","type":"article-journal","volume":"8"},"uris":["http://www.mendeley.com/documents/?uuid=9c4cc952-7e36-4c3a-be7f-9ca045230b8c"]}],"mendeley":{"formattedCitation":"(Zhang &lt;i&gt;et al.&lt;/i&gt;, 2018)","plainTextFormattedCitation":"(Zhang et al., 2018)","previouslyFormattedCitation":"(Zhang &lt;i&gt;et al.&lt;/i&gt;,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(Zhang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xml:space="preserve">, </w:t>
            </w:r>
            <w:r w:rsidR="00A147DF" w:rsidRPr="008C36F5">
              <w:rPr>
                <w:rFonts w:ascii="Times New Roman" w:hAnsi="Times New Roman" w:cs="Times New Roman"/>
                <w:b w:val="0"/>
                <w:noProof/>
                <w:sz w:val="20"/>
                <w:szCs w:val="20"/>
              </w:rPr>
              <w:lastRenderedPageBreak/>
              <w:t>2018)</w:t>
            </w:r>
            <w:r w:rsidRPr="008C36F5">
              <w:rPr>
                <w:rFonts w:ascii="Times New Roman" w:hAnsi="Times New Roman" w:cs="Times New Roman"/>
                <w:sz w:val="20"/>
                <w:szCs w:val="20"/>
              </w:rPr>
              <w:fldChar w:fldCharType="end"/>
            </w:r>
          </w:p>
        </w:tc>
        <w:tc>
          <w:tcPr>
            <w:tcW w:w="78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Clusters of </w:t>
            </w:r>
            <w:r w:rsidRPr="008C36F5">
              <w:rPr>
                <w:rFonts w:ascii="Times New Roman" w:hAnsi="Times New Roman" w:cs="Times New Roman"/>
                <w:sz w:val="20"/>
                <w:szCs w:val="20"/>
              </w:rPr>
              <w:lastRenderedPageBreak/>
              <w:t>Ni</w:t>
            </w:r>
            <w:r w:rsidRPr="008C36F5">
              <w:rPr>
                <w:rFonts w:ascii="Times New Roman" w:hAnsi="Times New Roman" w:cs="Times New Roman"/>
                <w:sz w:val="20"/>
                <w:szCs w:val="20"/>
                <w:vertAlign w:val="subscript"/>
              </w:rPr>
              <w:t>5</w:t>
            </w:r>
            <w:r w:rsidRPr="008C36F5">
              <w:rPr>
                <w:rFonts w:ascii="Times New Roman" w:hAnsi="Times New Roman" w:cs="Times New Roman"/>
                <w:sz w:val="20"/>
                <w:szCs w:val="20"/>
              </w:rPr>
              <w:t>P</w:t>
            </w:r>
            <w:r w:rsidRPr="008C36F5">
              <w:rPr>
                <w:rFonts w:ascii="Times New Roman" w:hAnsi="Times New Roman" w:cs="Times New Roman"/>
                <w:sz w:val="20"/>
                <w:szCs w:val="20"/>
                <w:vertAlign w:val="subscript"/>
              </w:rPr>
              <w:t xml:space="preserve">4 </w:t>
            </w:r>
            <w:r w:rsidRPr="008C36F5">
              <w:rPr>
                <w:rFonts w:ascii="Times New Roman" w:hAnsi="Times New Roman" w:cs="Times New Roman"/>
                <w:sz w:val="20"/>
                <w:szCs w:val="20"/>
              </w:rPr>
              <w:t>&amp; NiCo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w:t>
            </w:r>
            <w:r w:rsidRPr="008C36F5">
              <w:rPr>
                <w:rFonts w:ascii="Times New Roman" w:hAnsi="Times New Roman" w:cs="Times New Roman"/>
                <w:sz w:val="20"/>
                <w:szCs w:val="20"/>
                <w:vertAlign w:val="subscript"/>
              </w:rPr>
              <w:t>4</w:t>
            </w:r>
          </w:p>
        </w:tc>
        <w:tc>
          <w:tcPr>
            <w:tcW w:w="110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A phosphating </w:t>
            </w:r>
            <w:r w:rsidRPr="008C36F5">
              <w:rPr>
                <w:rFonts w:ascii="Times New Roman" w:hAnsi="Times New Roman" w:cs="Times New Roman"/>
                <w:sz w:val="20"/>
                <w:szCs w:val="20"/>
              </w:rPr>
              <w:lastRenderedPageBreak/>
              <w:t>mechanism of NiO, which resulted in a slew of subsequent targeting clusters on NiCo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w:t>
            </w:r>
          </w:p>
        </w:tc>
        <w:tc>
          <w:tcPr>
            <w:tcW w:w="93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To build a nesting </w:t>
            </w:r>
            <w:r w:rsidRPr="008C36F5">
              <w:rPr>
                <w:rFonts w:ascii="Times New Roman" w:hAnsi="Times New Roman" w:cs="Times New Roman"/>
                <w:sz w:val="20"/>
                <w:szCs w:val="20"/>
              </w:rPr>
              <w:lastRenderedPageBreak/>
              <w:t>system for the Ni</w:t>
            </w:r>
            <w:r w:rsidRPr="008C36F5">
              <w:rPr>
                <w:rFonts w:ascii="Times New Roman" w:hAnsi="Times New Roman" w:cs="Times New Roman"/>
                <w:sz w:val="20"/>
                <w:szCs w:val="20"/>
                <w:vertAlign w:val="subscript"/>
              </w:rPr>
              <w:t>5</w:t>
            </w:r>
            <w:r w:rsidRPr="008C36F5">
              <w:rPr>
                <w:rFonts w:ascii="Times New Roman" w:hAnsi="Times New Roman" w:cs="Times New Roman"/>
                <w:sz w:val="20"/>
                <w:szCs w:val="20"/>
              </w:rPr>
              <w:t>P</w:t>
            </w:r>
            <w:r w:rsidRPr="008C36F5">
              <w:rPr>
                <w:rFonts w:ascii="Times New Roman" w:hAnsi="Times New Roman" w:cs="Times New Roman"/>
                <w:sz w:val="20"/>
                <w:szCs w:val="20"/>
                <w:vertAlign w:val="subscript"/>
              </w:rPr>
              <w:t xml:space="preserve">4 </w:t>
            </w:r>
            <w:r w:rsidRPr="008C36F5">
              <w:rPr>
                <w:rFonts w:ascii="Times New Roman" w:hAnsi="Times New Roman" w:cs="Times New Roman"/>
                <w:sz w:val="20"/>
                <w:szCs w:val="20"/>
              </w:rPr>
              <w:t>Nano-sized colonies through a phosphating procedure of Nickel oxide clusters on nickel cobaltite.</w:t>
            </w:r>
          </w:p>
        </w:tc>
        <w:tc>
          <w:tcPr>
            <w:tcW w:w="12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Nickel cobaltite species </w:t>
            </w:r>
            <w:r w:rsidRPr="008C36F5">
              <w:rPr>
                <w:rFonts w:ascii="Times New Roman" w:hAnsi="Times New Roman" w:cs="Times New Roman"/>
                <w:sz w:val="20"/>
                <w:szCs w:val="20"/>
              </w:rPr>
              <w:lastRenderedPageBreak/>
              <w:t>had a higher electrolyzing potential for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 and after that, Ni</w:t>
            </w:r>
            <w:r w:rsidRPr="008C36F5">
              <w:rPr>
                <w:rFonts w:ascii="Times New Roman" w:hAnsi="Times New Roman" w:cs="Times New Roman"/>
                <w:sz w:val="20"/>
                <w:szCs w:val="20"/>
                <w:vertAlign w:val="subscript"/>
              </w:rPr>
              <w:t>5</w:t>
            </w:r>
            <w:r w:rsidRPr="008C36F5">
              <w:rPr>
                <w:rFonts w:ascii="Times New Roman" w:hAnsi="Times New Roman" w:cs="Times New Roman"/>
                <w:sz w:val="20"/>
                <w:szCs w:val="20"/>
              </w:rPr>
              <w:t>P</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 xml:space="preserve"> groups cause hydrogen products to become desorption.</w:t>
            </w:r>
          </w:p>
        </w:tc>
        <w:tc>
          <w:tcPr>
            <w:tcW w:w="30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47</w:t>
            </w:r>
          </w:p>
        </w:tc>
      </w:tr>
      <w:tr w:rsidR="00F21F2C" w:rsidRPr="008C36F5" w:rsidTr="00F21F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{"citationItems":[{"id":"ITEM-1","itemData":{"DOI":"10.1002/aenm.201702838","ISSN":"16146840","abstract":"The oxygen electrode plays a vital role in the successful commercialization of renewable energy technologies, such as fuel cells and water electrolyzers. In this study, the Prussian blue analogue-derived nitrogen-doped nanocarbon (NC) layer-trapped, cobalt-rich, core–shell nanostructured electrocatalysts (core–shell Co@NC) are reported. The electrode exhibits an improved oxygen evolution activity and stability compared to that of the commercial noble electrodes. The core–shell Co@NC-loaded nickel foam exhibits a lower overpotential of 330 mV than that of IrO2 on nickel foam at 10 mA cm−2 and has a durability of over 400 h. The commercial Pt/C cathode-assisted, core–shell Co@NC–anode water electrolyzer delivers 10 mA cm−2 at a cell voltage of 1.59 V, which is 70 mV lower than that of the IrO2–anode water electrolyzer. Over the long-term chronopotentiometry durability testing, the IrO2–anode water electrolyzer shows a cell voltage loss of 230 mV (14%) at 95 h, but the loss of the core–shell Co@NC–anode electrolyzer is only 60 mV (4%) even after 350 h cell-operation. The findings indicate that the Prussian blue analogue is a class of inorganic nanoporous materials that can be used to derive metal-rich, core–shell electrocatalysts with enriched active centers.","author":[{"dropping-particle":"","family":"Sivanantham","given":"Arumugam","non-dropping-particle":"","parse-names":false,"suffix":""},{"dropping-particle":"","family":"Ganesan","given":"Pandian","non-dropping-particle":"","parse-names":false,"suffix":""},{"dropping-particle":"","family":"Estevez","given":"Luis","non-dropping-particle":"","parse-names":false,"suffix":""},{"dropping-particle":"","family":"McGrail","given":"B. Peter","non-dropping-particle":"","parse-names":false,"suffix":""},{"dropping-particle":"","family":"Motkuri","given":"Radha Kishan","non-dropping-particle":"","parse-names":false,"suffix":""},{"dropping-particle":"","family":"Shanmugam","given":"Sangaraju","non-dropping-particle":"","parse-names":false,"suffix":""}],"container-title":"Advanced Energy Materials","id":"ITEM-1","issue":"14","issued":{"date-parts":[["2018"]]},"page":"1-13","title":"A Stable Graphitic, Nanocarbon-Encapsulated, Cobalt-Rich Core–Shell Electrocatalyst as an Oxygen Electrode in a Water Electrolyzer","type":"article-journal","volume":"8"},"uris":["http://www.mendeley.com/documents/?uuid=75b0a469-4cc5-4cfa-ac06-b8fc5bf6c8bd"]}],"mendeley":{"formattedCitation":"(Sivanantham &lt;i&gt;et al.&lt;/i&gt;, 2018)","plainTextFormattedCitation":"(Sivanantham et al., 2018)","previouslyFormattedCitation":"(Sivanantham &lt;i&gt;et al.&lt;/i&gt;,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(Sivanantham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2018)</w:t>
            </w:r>
            <w:r w:rsidRPr="008C36F5">
              <w:rPr>
                <w:rFonts w:ascii="Times New Roman" w:hAnsi="Times New Roman" w:cs="Times New Roman"/>
                <w:sz w:val="20"/>
                <w:szCs w:val="20"/>
              </w:rPr>
              <w:fldChar w:fldCharType="end"/>
            </w:r>
          </w:p>
        </w:tc>
        <w:tc>
          <w:tcPr>
            <w:tcW w:w="78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Electrolyzer,  Nickel foam-backed core-membrane Co@NC catalyst </w:t>
            </w:r>
          </w:p>
        </w:tc>
        <w:tc>
          <w:tcPr>
            <w:tcW w:w="110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Electrocatalysts were formed with annealing technology &amp; a biologic potentiostat analyzer was used for electrochemical analyses.</w:t>
            </w:r>
          </w:p>
        </w:tc>
        <w:tc>
          <w:tcPr>
            <w:tcW w:w="93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Formulation and evaluation of core-membrane catalyst of Co@NC. Assessment of electro-catalyst operations &amp; reliability.</w:t>
            </w:r>
          </w:p>
        </w:tc>
        <w:tc>
          <w:tcPr>
            <w:tcW w:w="123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Metal-rich core-shell electrocatalysts may be made from inorganic nonporous materials like Prussian blue equivalents.</w:t>
            </w:r>
          </w:p>
        </w:tc>
        <w:tc>
          <w:tcPr>
            <w:tcW w:w="30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74</w:t>
            </w:r>
          </w:p>
        </w:tc>
      </w:tr>
      <w:tr w:rsidR="00A147DF" w:rsidRPr="008C36F5" w:rsidTr="00F21F2C">
        <w:tc>
          <w:tcPr>
            <w:cnfStyle w:val="001000000000" w:firstRow="0" w:lastRow="0" w:firstColumn="1" w:lastColumn="0" w:oddVBand="0" w:evenVBand="0" w:oddHBand="0" w:evenHBand="0" w:firstRowFirstColumn="0" w:firstRowLastColumn="0" w:lastRowFirstColumn="0" w:lastRowLastColumn="0"/>
            <w:tcW w:w="63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{"citationItems":[{"id":"ITEM-1","itemData":{"DOI":"10.1002/anie.201709652","ISSN":"15213773","PMID":"29219237","abstract":"Understanding the pathways of catalyst degradation during the oxygen evolution reaction is a cornerstone in the development of efficient and stable electrolyzers, since even for the most promising Ir based anodes the harsh reaction conditions are detrimental. The dissolution mechanism is complex and the correlation to the oxygen evolution reaction itself is still poorly understood. Here, by coupling a scanning flow cell with inductively coupled plasma and online electrochemical mass spectrometers, we monitor the oxygen evolution and degradation products of Ir and Ir oxides in situ. It is shown that at high anodic potentials several dissolution routes become possible, including formation of gaseous IrO3. On the basis of experimental data, possible pathways are proposed for the oxygen-evolution-triggered dissolution of Ir and the role of common intermediates for these reactions is discussed.","author":[{"dropping-particle":"","family":"Kasian","given":"Olga","non-dropping-particle":"","parse-names":false,"suffix":""},{"dropping-particle":"","family":"Grote","given":"Jan Philipp","non-dropping-particle":"","parse-names":false,"suffix":""},{"dropping-particle":"","family":"Geiger","given":"Simon","non-dropping-particle":"","parse-names":false,"suffix":""},{"dropping-particle":"","family":"Cherevko","given":"Serhiy","non-dropping-particle":"","parse-names":false,"suffix":""},{"dropping-particle":"","family":"Mayrhofer","given":"Karl J.J.","non-dropping-particle":"","parse-names":false,"suffix":""}],"container-title":"Angewandte Chemie - International Edition","id":"ITEM-1","issue":"9","issued":{"date-parts":[["2018"]]},"page":"2488-2491","title":"The Common Intermediates of Oxygen Evolution and Dissolution Reactions during Water Electrolysis on Iridium","type":"article-journal","volume":"57"},"uris":["http://www.mendeley.com/documents/?uuid=dd4a72b7-cbf6-40f8-809e-61536026f937"]}],"mendeley":{"formattedCitation":"(Kasian &lt;i&gt;et al.&lt;/i&gt;, 2018)","plainTextFormattedCitation":"(Kasian et al., 2018)","previouslyFormattedCitation":"(Kasian &lt;i&gt;et al.&lt;/i&gt;,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(Kasian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2018)</w:t>
            </w:r>
            <w:r w:rsidRPr="008C36F5">
              <w:rPr>
                <w:rFonts w:ascii="Times New Roman" w:hAnsi="Times New Roman" w:cs="Times New Roman"/>
                <w:sz w:val="20"/>
                <w:szCs w:val="20"/>
              </w:rPr>
              <w:fldChar w:fldCharType="end"/>
            </w:r>
          </w:p>
        </w:tc>
        <w:tc>
          <w:tcPr>
            <w:tcW w:w="78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scanning flow cell coupled with</w:t>
            </w:r>
          </w:p>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OLEMS and metallic Ir Anodes</w:t>
            </w:r>
          </w:p>
        </w:tc>
        <w:tc>
          <w:tcPr>
            <w:tcW w:w="110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OER, XAS and XPS methodologies, DEMS and OLEMS driven methods.</w:t>
            </w:r>
          </w:p>
        </w:tc>
        <w:tc>
          <w:tcPr>
            <w:tcW w:w="93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Knowing how catalysts degrade during the oxygen evolution reaction.</w:t>
            </w:r>
          </w:p>
        </w:tc>
        <w:tc>
          <w:tcPr>
            <w:tcW w:w="123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OER was an important element in the production of effective electrolyzers for power transformation and stocking.</w:t>
            </w:r>
          </w:p>
        </w:tc>
        <w:tc>
          <w:tcPr>
            <w:tcW w:w="30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23</w:t>
            </w:r>
          </w:p>
        </w:tc>
      </w:tr>
    </w:tbl>
    <w:p w:rsidR="00A147DF" w:rsidRPr="008C36F5" w:rsidRDefault="00A147DF" w:rsidP="008C36F5">
      <w:pPr>
        <w:spacing w:line="240" w:lineRule="auto"/>
        <w:rPr>
          <w:rFonts w:ascii="Times New Roman" w:hAnsi="Times New Roman" w:cs="Times New Roman"/>
          <w:sz w:val="20"/>
          <w:szCs w:val="20"/>
        </w:rPr>
      </w:pPr>
      <w:r w:rsidRPr="00876F00">
        <w:rPr>
          <w:rFonts w:ascii="Times New Roman" w:hAnsi="Times New Roman" w:cs="Times New Roman"/>
          <w:b/>
          <w:szCs w:val="20"/>
        </w:rPr>
        <w:t xml:space="preserve">Comment: </w:t>
      </w:r>
      <w:r w:rsidRPr="008C36F5">
        <w:rPr>
          <w:rFonts w:ascii="Times New Roman" w:hAnsi="Times New Roman" w:cs="Times New Roman"/>
          <w:sz w:val="20"/>
          <w:szCs w:val="20"/>
        </w:rPr>
        <w:t>The processing of HHO/H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is successfully optimised using a sulfonated poly-based membrane electrode, which has a significant impact on cell efficiency. The degradation rate of Ir0.5Ru0.5O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and IRO/WO</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 xml:space="preserve"> is the lowest. NiNrGO is a porous spongy catalyst with a low working potential and good stability that is used to create a complete water-electrolysis cell. The CoP@a-CoOx plate is used as the cathode and anode components to achieve efficient and safe AWE. Nickel cobaltite species have a higher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 electrolyzing capability, and Ni</w:t>
      </w:r>
      <w:r w:rsidRPr="008C36F5">
        <w:rPr>
          <w:rFonts w:ascii="Times New Roman" w:hAnsi="Times New Roman" w:cs="Times New Roman"/>
          <w:sz w:val="20"/>
          <w:szCs w:val="20"/>
          <w:vertAlign w:val="subscript"/>
        </w:rPr>
        <w:t>5</w:t>
      </w:r>
      <w:r w:rsidRPr="008C36F5">
        <w:rPr>
          <w:rFonts w:ascii="Times New Roman" w:hAnsi="Times New Roman" w:cs="Times New Roman"/>
          <w:sz w:val="20"/>
          <w:szCs w:val="20"/>
        </w:rPr>
        <w:t>P</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 xml:space="preserve"> groups allow hydrogen products to become adsorptive. Metal-rich core-shell electrocatalysts can be made from inorganic nonporous materials such as Prussian blue analogues. The OER played a key in the development of high-efficiency electrolyzers for energy conversion and storage.</w:t>
      </w:r>
    </w:p>
    <w:p w:rsidR="00A147DF" w:rsidRPr="00876F00" w:rsidRDefault="00A147DF" w:rsidP="008C36F5">
      <w:pPr>
        <w:spacing w:line="240" w:lineRule="auto"/>
        <w:rPr>
          <w:rFonts w:ascii="Times New Roman" w:hAnsi="Times New Roman" w:cs="Times New Roman"/>
          <w:b/>
          <w:szCs w:val="20"/>
        </w:rPr>
      </w:pPr>
      <w:r w:rsidRPr="00876F00">
        <w:rPr>
          <w:rFonts w:ascii="Times New Roman" w:hAnsi="Times New Roman" w:cs="Times New Roman"/>
          <w:b/>
          <w:szCs w:val="20"/>
        </w:rPr>
        <w:t>6. Generation of Oxyhydrogen Gas (HHO)/H</w:t>
      </w:r>
      <w:r w:rsidRPr="00876F00">
        <w:rPr>
          <w:rFonts w:ascii="Times New Roman" w:hAnsi="Times New Roman" w:cs="Times New Roman"/>
          <w:b/>
          <w:szCs w:val="20"/>
          <w:vertAlign w:val="subscript"/>
        </w:rPr>
        <w:t>2</w:t>
      </w:r>
      <w:r w:rsidRPr="00876F00">
        <w:rPr>
          <w:rFonts w:ascii="Times New Roman" w:hAnsi="Times New Roman" w:cs="Times New Roman"/>
          <w:b/>
          <w:szCs w:val="20"/>
        </w:rPr>
        <w:t xml:space="preserve"> Using Renewable Energy (Solar/Wind):</w:t>
      </w:r>
    </w:p>
    <w:p w:rsidR="00A147DF" w:rsidRPr="008C36F5" w:rsidRDefault="00A147DF" w:rsidP="00876F00">
      <w:pPr>
        <w:spacing w:before="0" w:beforeAutospacing="0" w:after="0" w:afterAutospacing="0" w:line="240" w:lineRule="auto"/>
        <w:rPr>
          <w:rFonts w:ascii="Times New Roman" w:hAnsi="Times New Roman" w:cs="Times New Roman"/>
          <w:sz w:val="20"/>
          <w:szCs w:val="20"/>
          <w:lang w:val="en-IN"/>
        </w:rPr>
      </w:pPr>
      <w:r w:rsidRPr="008C36F5">
        <w:rPr>
          <w:rFonts w:ascii="Times New Roman" w:hAnsi="Times New Roman" w:cs="Times New Roman"/>
          <w:sz w:val="20"/>
          <w:szCs w:val="20"/>
          <w:lang w:val="en-IN"/>
        </w:rPr>
        <w:t>This work presented a versatile simulation structure of a solar-operated electrolysis system of high temperature that enables the evaluation of competing approaches of solar integration and directing the operating conditions by optimising performance and minimising costs and provides the road to refining sustainable solar fuel. It includes three approaches: (i) heat methodologies utilizing solar-centric technology to yield heat and electricity generation via thermodynamic cycles (ii) photovoltaic methodologies utilizing photovoltaic technology to supply power and produce heat via electric heaters, and (iii) fusion methodologies using solar concentrated technology &amp; PV’s to supply heat and power. The third approach was highly effective in producing hydrogen (ƞ</w:t>
      </w:r>
      <w:r w:rsidRPr="008C36F5">
        <w:rPr>
          <w:rFonts w:ascii="Times New Roman" w:hAnsi="Times New Roman" w:cs="Times New Roman"/>
          <w:sz w:val="20"/>
          <w:szCs w:val="20"/>
          <w:vertAlign w:val="subscript"/>
          <w:lang w:val="en-IN"/>
        </w:rPr>
        <w:t>STF</w:t>
      </w:r>
      <w:r w:rsidRPr="008C36F5">
        <w:rPr>
          <w:rFonts w:ascii="Times New Roman" w:hAnsi="Times New Roman" w:cs="Times New Roman"/>
          <w:sz w:val="20"/>
          <w:szCs w:val="20"/>
          <w:lang w:val="en-IN"/>
        </w:rPr>
        <w:t xml:space="preserve"> = 9.9 percent) with a minimum expense, C</w:t>
      </w:r>
      <w:r w:rsidRPr="008C36F5">
        <w:rPr>
          <w:rFonts w:ascii="Times New Roman" w:hAnsi="Times New Roman" w:cs="Times New Roman"/>
          <w:sz w:val="20"/>
          <w:szCs w:val="20"/>
          <w:vertAlign w:val="subscript"/>
          <w:lang w:val="en-IN"/>
        </w:rPr>
        <w:t>fuel</w:t>
      </w:r>
      <w:r w:rsidRPr="008C36F5">
        <w:rPr>
          <w:rFonts w:ascii="Times New Roman" w:hAnsi="Times New Roman" w:cs="Times New Roman"/>
          <w:sz w:val="20"/>
          <w:szCs w:val="20"/>
          <w:lang w:val="en-IN"/>
        </w:rPr>
        <w:t xml:space="preserve"> = $4.90 per kg, all 3 frameworks have the cheapest costs</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{"citationItems":[{"id":"ITEM-1","itemData":{"DOI":"10.1016/j.solener.2017.07.077","ISSN":"0038092X","abstract":"We present a techno-economic analysis of solar-driven high-temperature electrolysis systems used for the production of hydrogen and synthesis gas. We consider different strategies for the incorporation of solar energy, distinguished by the use of differing technologies to provide solar power and heat: (i) thermal approaches (system 1) using concentrated solar technologies to provide heat and to generate electricity through thermodynamic cycles, (ii) electrical approaches (system 2) using photovoltaic technologies to provide electricity and to generate heat through electrical heaters, and (iii) hybrid approaches (system 3) utilizing concentrated solar technologies and photovoltaics to provide heat and electricity, respectively. We find that system 3 generates hydrogen at a high efficiency (ηSTF = 9.9%, slightly lower than the best performing system 1 with 10.6%) and at a low cost (Cfuel = $4.9/kg, lowest cost of all three systems) at reference conditions, providing evidence for the competitiveness of this hybrid approach for scaled solar hydrogen generation. Sensitivity analysis indicates an optimal working temperature for system 3 of 1350 K, which balances the increased thermal receiver losses with the reduced electrolysis cell potential when increasing the temperature. Lower working pressure always favors high system efficiency and low cost. The working current densities for thermoneutral voltage were determined for various temperature and pressure combinations, and trends for efficient and cost-effective thermoneutral operation were identified. The water conversion extent was optimized to avoid mass transport limitations in the electrodes while ensuring large fuel generation rates. For synthesis gas production, a H2/CO molar ratio of 2 can be achieved by tuning the inlet feeding molar ratio of CO2/H2O, temperature, and pressure. This study introduces a flexible simulation framework of solar-driven high-temperature electrolysis systems allowing for the assessment of competing solar integration approaches and for the guidance of the operational conditions maximizing efficiency and minimizing cost, providing pathways for scalable solar fuel processing.","author":[{"dropping-particle":"","family":"Lin","given":"Meng","non-dropping-particle":"","parse-names":false,"suffix":""},{"dropping-particle":"","family":"Haussener","given":"Sophia","non-dropping-particle":"","parse-names":false,"suffix":""}],"container-title":"Solar Energy","id":"ITEM-1","issued":{"date-parts":[["2017"]]},"page":"1389-1402","publisher":"Elsevier Ltd","title":"Techno-economic modeling and optimization of solar-driven high-temperature electrolysis systems","type":"article-journal","volume":"155"},"uris":["http://www.mendeley.com/documents/?uuid=b210096e-ca18-4ac2-973b-f3d505eaae7d"]}],"mendeley":{"formattedCitation":"(Lin and Haussener, 2017)","plainTextFormattedCitation":"(Lin and Haussener, 2017)","previouslyFormattedCitation":"(Lin and Haussener, 2017)"},"properties":{"noteIndex":0},"schema":"https://github.com/citation-style-language/schema/raw/master/csl-citation.json"}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(Lin and Haussener, 2017)</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In this review, the author utilizes element learning slopes of curves to analyze the impacts of supportive policies on the forthcoming capacity of 2-hydrogen generating approaches utilizing solar power: solar thermo-chemicals &amp; solar photovoltaic electrolysis (SPV)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{"citationItems":[{"id":"ITEM-1","itemData":{"DOI":"10.1016/j.enpol.2018.04.072","ISSN":"03014215","abstract":"This analysis uses component learning curves to investigate the effect of policy support on the future potential of two methods of producing hydrogen using solar energy: solar thermochemical cycles and electrolysis with solar photovoltaics. The impact of policy support for photovoltaics, electrolysis, concentrated solar power, and thermochemical reactors is assessed. The rates of growth of the four technologies are taken as proxies for the degree of policy support. Key assumptions are identified and results are considered over the range of reasonable assumptions. Initially, electrolysis with PV will be the less expensive way to produce solar hydrogen. However, though it is initially more expensive, the thermochemical cycle has greater long-term potential for cost reductions from learning, and it is the faster route to $2/kg hydrogen. Cost reductions in hydrogen from the thermochemical cycles are primarily driven by improvements in the thermochemical reactors, which, due to initially high costs, will only see growth through government support. Thus, policymakers must support the thermochemical cycles through their research, development, and early implementation stages in order to achieve these cost reductions. Though the details change when key parameters are varied over their range of reasonable values, the broad conclusions are unaffected.","author":[{"dropping-particle":"","family":"Nicodemus","given":"Julia Haltiwanger","non-dropping-particle":"","parse-names":false,"suffix":""}],"container-title":"Energy Policy","id":"ITEM-1","issue":"November 2017","issued":{"date-parts":[["2018"]]},"page":"100-109","publisher":"Elsevier Ltd","title":"Technological learning and the future of solar H2: A component learning comparison of solar thermochemical cycles and electrolysis with solar PV","type":"article-journal","volume":"120"},"uris":["http://www.mendeley.com/documents/?uuid=b6a8033f-3216-432f-8556-35cb2011b8d6"]}],"mendeley":{"formattedCitation":"(Nicodemus, 2018)","plainTextFormattedCitation":"(Nicodemus, 2018)","previouslyFormattedCitation":"(Nicodemus, 2018)"},"properties":{"noteIndex":0},"schema":"https://github.com/citation-style-language/schema/raw/master/csl-citation.json"}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(Nicodemus, 2018)</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w:t>
      </w:r>
    </w:p>
    <w:p w:rsidR="00876F00" w:rsidRDefault="00A147DF" w:rsidP="00876F00">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They worked on solar-</w:t>
      </w:r>
      <w:r w:rsidRPr="008C36F5">
        <w:rPr>
          <w:rFonts w:ascii="Times New Roman" w:hAnsi="Times New Roman" w:cs="Times New Roman"/>
          <w:sz w:val="20"/>
          <w:szCs w:val="20"/>
          <w:lang w:val="en-IN"/>
        </w:rPr>
        <w:t>operated</w:t>
      </w:r>
      <w:r w:rsidRPr="008C36F5">
        <w:rPr>
          <w:rFonts w:ascii="Times New Roman" w:hAnsi="Times New Roman" w:cs="Times New Roman"/>
          <w:sz w:val="20"/>
          <w:szCs w:val="20"/>
        </w:rPr>
        <w:t xml:space="preserve"> high-temperature </w:t>
      </w:r>
      <w:r w:rsidRPr="008C36F5">
        <w:rPr>
          <w:rFonts w:ascii="Times New Roman" w:hAnsi="Times New Roman" w:cs="Times New Roman"/>
          <w:sz w:val="20"/>
          <w:szCs w:val="20"/>
          <w:lang w:val="en-IN"/>
        </w:rPr>
        <w:t>H</w:t>
      </w:r>
      <w:r w:rsidRPr="008C36F5">
        <w:rPr>
          <w:rFonts w:ascii="Times New Roman" w:hAnsi="Times New Roman" w:cs="Times New Roman"/>
          <w:sz w:val="20"/>
          <w:szCs w:val="20"/>
          <w:vertAlign w:val="subscript"/>
          <w:lang w:val="en-IN"/>
        </w:rPr>
        <w:t xml:space="preserve">2 </w:t>
      </w:r>
      <w:r w:rsidRPr="008C36F5">
        <w:rPr>
          <w:rFonts w:ascii="Times New Roman" w:hAnsi="Times New Roman" w:cs="Times New Roman"/>
          <w:sz w:val="20"/>
          <w:szCs w:val="20"/>
          <w:lang w:val="en-IN"/>
        </w:rPr>
        <w:t>generation</w:t>
      </w:r>
      <w:r w:rsidRPr="008C36F5">
        <w:rPr>
          <w:rFonts w:ascii="Times New Roman" w:hAnsi="Times New Roman" w:cs="Times New Roman"/>
          <w:sz w:val="20"/>
          <w:szCs w:val="20"/>
        </w:rPr>
        <w:t xml:space="preserve"> via SSCPV </w:t>
      </w:r>
      <w:r w:rsidRPr="008C36F5">
        <w:rPr>
          <w:rFonts w:ascii="Times New Roman" w:hAnsi="Times New Roman" w:cs="Times New Roman"/>
          <w:sz w:val="20"/>
          <w:szCs w:val="20"/>
          <w:lang w:val="en-IN"/>
        </w:rPr>
        <w:t>a</w:t>
      </w:r>
      <w:r w:rsidRPr="008C36F5">
        <w:rPr>
          <w:rFonts w:ascii="Times New Roman" w:hAnsi="Times New Roman" w:cs="Times New Roman"/>
          <w:sz w:val="20"/>
          <w:szCs w:val="20"/>
        </w:rPr>
        <w:t>nd solar power used as input and analyzed</w:t>
      </w:r>
      <w:r w:rsidRPr="008C36F5">
        <w:rPr>
          <w:rFonts w:ascii="Times New Roman" w:hAnsi="Times New Roman" w:cs="Times New Roman"/>
          <w:sz w:val="20"/>
          <w:szCs w:val="20"/>
          <w:lang w:val="en-IN"/>
        </w:rPr>
        <w:t xml:space="preserve"> from integrated concentrated solar and PV capacity</w:t>
      </w:r>
      <w:r w:rsidRPr="008C36F5">
        <w:rPr>
          <w:rFonts w:ascii="Times New Roman" w:hAnsi="Times New Roman" w:cs="Times New Roman"/>
          <w:sz w:val="20"/>
          <w:szCs w:val="20"/>
        </w:rPr>
        <w:t>. This propose</w:t>
      </w:r>
      <w:r w:rsidRPr="008C36F5">
        <w:rPr>
          <w:rFonts w:ascii="Times New Roman" w:hAnsi="Times New Roman" w:cs="Times New Roman"/>
          <w:sz w:val="20"/>
          <w:szCs w:val="20"/>
          <w:lang w:val="en-IN"/>
        </w:rPr>
        <w:t>d</w:t>
      </w:r>
      <w:r w:rsidRPr="008C36F5">
        <w:rPr>
          <w:rFonts w:ascii="Times New Roman" w:hAnsi="Times New Roman" w:cs="Times New Roman"/>
          <w:sz w:val="20"/>
          <w:szCs w:val="20"/>
        </w:rPr>
        <w:t xml:space="preserve"> the </w:t>
      </w:r>
      <w:r w:rsidRPr="008C36F5">
        <w:rPr>
          <w:rFonts w:ascii="Times New Roman" w:hAnsi="Times New Roman" w:cs="Times New Roman"/>
          <w:sz w:val="20"/>
          <w:szCs w:val="20"/>
          <w:lang w:val="en-IN"/>
        </w:rPr>
        <w:t>advanced</w:t>
      </w:r>
      <w:r w:rsidRPr="008C36F5">
        <w:rPr>
          <w:rFonts w:ascii="Times New Roman" w:hAnsi="Times New Roman" w:cs="Times New Roman"/>
          <w:sz w:val="20"/>
          <w:szCs w:val="20"/>
        </w:rPr>
        <w:t xml:space="preserve"> solar process </w:t>
      </w:r>
      <w:r w:rsidRPr="008C36F5">
        <w:rPr>
          <w:rFonts w:ascii="Times New Roman" w:hAnsi="Times New Roman" w:cs="Times New Roman"/>
          <w:sz w:val="20"/>
          <w:szCs w:val="20"/>
          <w:lang w:val="en-IN"/>
        </w:rPr>
        <w:t>layout</w:t>
      </w:r>
      <w:r w:rsidRPr="008C36F5">
        <w:rPr>
          <w:rFonts w:ascii="Times New Roman" w:hAnsi="Times New Roman" w:cs="Times New Roman"/>
          <w:sz w:val="20"/>
          <w:szCs w:val="20"/>
        </w:rPr>
        <w:t xml:space="preserve"> in</w:t>
      </w:r>
      <w:r w:rsidRPr="008C36F5">
        <w:rPr>
          <w:rFonts w:ascii="Times New Roman" w:hAnsi="Times New Roman" w:cs="Times New Roman"/>
          <w:sz w:val="20"/>
          <w:szCs w:val="20"/>
          <w:lang w:val="en-IN"/>
        </w:rPr>
        <w:t>corporating</w:t>
      </w:r>
      <w:r w:rsidRPr="008C36F5">
        <w:rPr>
          <w:rFonts w:ascii="Times New Roman" w:hAnsi="Times New Roman" w:cs="Times New Roman"/>
          <w:sz w:val="20"/>
          <w:szCs w:val="20"/>
        </w:rPr>
        <w:t xml:space="preserve"> both </w:t>
      </w:r>
      <w:r w:rsidRPr="008C36F5">
        <w:rPr>
          <w:rFonts w:ascii="Times New Roman" w:hAnsi="Times New Roman" w:cs="Times New Roman"/>
          <w:sz w:val="20"/>
          <w:szCs w:val="20"/>
          <w:lang w:val="en-IN"/>
        </w:rPr>
        <w:t>heat &amp;</w:t>
      </w:r>
      <w:r w:rsidRPr="008C36F5">
        <w:rPr>
          <w:rFonts w:ascii="Times New Roman" w:hAnsi="Times New Roman" w:cs="Times New Roman"/>
          <w:sz w:val="20"/>
          <w:szCs w:val="20"/>
        </w:rPr>
        <w:t xml:space="preserve"> quantum </w:t>
      </w:r>
      <w:r w:rsidRPr="008C36F5">
        <w:rPr>
          <w:rFonts w:ascii="Times New Roman" w:hAnsi="Times New Roman" w:cs="Times New Roman"/>
          <w:sz w:val="20"/>
          <w:szCs w:val="20"/>
          <w:lang w:val="en-IN"/>
        </w:rPr>
        <w:t>modules</w:t>
      </w:r>
      <w:r w:rsidRPr="008C36F5">
        <w:rPr>
          <w:rFonts w:ascii="Times New Roman" w:hAnsi="Times New Roman" w:cs="Times New Roman"/>
          <w:sz w:val="20"/>
          <w:szCs w:val="20"/>
        </w:rPr>
        <w:t xml:space="preserve"> of solar </w:t>
      </w:r>
      <w:r w:rsidRPr="008C36F5">
        <w:rPr>
          <w:rFonts w:ascii="Times New Roman" w:hAnsi="Times New Roman" w:cs="Times New Roman"/>
          <w:sz w:val="20"/>
          <w:szCs w:val="20"/>
          <w:lang w:val="en-IN"/>
        </w:rPr>
        <w:t>power</w:t>
      </w:r>
      <w:r w:rsidRPr="008C36F5">
        <w:rPr>
          <w:rFonts w:ascii="Times New Roman" w:hAnsi="Times New Roman" w:cs="Times New Roman"/>
          <w:sz w:val="20"/>
          <w:szCs w:val="20"/>
        </w:rPr>
        <w:t xml:space="preserve">. This work </w:t>
      </w:r>
      <w:r w:rsidRPr="008C36F5">
        <w:rPr>
          <w:rFonts w:ascii="Times New Roman" w:hAnsi="Times New Roman" w:cs="Times New Roman"/>
          <w:sz w:val="20"/>
          <w:szCs w:val="20"/>
          <w:lang w:val="en-IN"/>
        </w:rPr>
        <w:t>offered an understanding of the entire</w:t>
      </w:r>
      <w:r w:rsidRPr="008C36F5">
        <w:rPr>
          <w:rFonts w:ascii="Times New Roman" w:hAnsi="Times New Roman" w:cs="Times New Roman"/>
          <w:sz w:val="20"/>
          <w:szCs w:val="20"/>
        </w:rPr>
        <w:t xml:space="preserve"> system </w:t>
      </w:r>
      <w:r w:rsidRPr="008C36F5">
        <w:rPr>
          <w:rFonts w:ascii="Times New Roman" w:hAnsi="Times New Roman" w:cs="Times New Roman"/>
          <w:sz w:val="20"/>
          <w:szCs w:val="20"/>
          <w:lang w:val="en-IN"/>
        </w:rPr>
        <w:t xml:space="preserve">efficiency </w:t>
      </w:r>
      <w:r w:rsidRPr="008C36F5">
        <w:rPr>
          <w:rFonts w:ascii="Times New Roman" w:hAnsi="Times New Roman" w:cs="Times New Roman"/>
          <w:sz w:val="20"/>
          <w:szCs w:val="20"/>
        </w:rPr>
        <w:t xml:space="preserve">of a </w:t>
      </w:r>
      <w:r w:rsidRPr="008C36F5">
        <w:rPr>
          <w:rFonts w:ascii="Times New Roman" w:hAnsi="Times New Roman" w:cs="Times New Roman"/>
          <w:sz w:val="20"/>
          <w:szCs w:val="20"/>
          <w:lang w:val="en-IN"/>
        </w:rPr>
        <w:t>versatile</w:t>
      </w:r>
      <w:r w:rsidRPr="008C36F5">
        <w:rPr>
          <w:rFonts w:ascii="Times New Roman" w:hAnsi="Times New Roman" w:cs="Times New Roman"/>
          <w:sz w:val="20"/>
          <w:szCs w:val="20"/>
        </w:rPr>
        <w:t xml:space="preserve"> and </w:t>
      </w:r>
      <w:r w:rsidRPr="008C36F5">
        <w:rPr>
          <w:rFonts w:ascii="Times New Roman" w:hAnsi="Times New Roman" w:cs="Times New Roman"/>
          <w:sz w:val="20"/>
          <w:szCs w:val="20"/>
          <w:lang w:val="en-IN"/>
        </w:rPr>
        <w:t>measurable</w:t>
      </w:r>
      <w:r w:rsidRPr="008C36F5">
        <w:rPr>
          <w:rFonts w:ascii="Times New Roman" w:hAnsi="Times New Roman" w:cs="Times New Roman"/>
          <w:sz w:val="20"/>
          <w:szCs w:val="20"/>
        </w:rPr>
        <w:t xml:space="preserve"> solar process </w:t>
      </w:r>
      <w:r w:rsidRPr="008C36F5">
        <w:rPr>
          <w:rFonts w:ascii="Times New Roman" w:hAnsi="Times New Roman" w:cs="Times New Roman"/>
          <w:sz w:val="20"/>
          <w:szCs w:val="20"/>
          <w:lang w:val="en-IN"/>
        </w:rPr>
        <w:t>layout</w:t>
      </w:r>
      <w:r w:rsidRPr="008C36F5">
        <w:rPr>
          <w:rFonts w:ascii="Times New Roman" w:hAnsi="Times New Roman" w:cs="Times New Roman"/>
          <w:sz w:val="20"/>
          <w:szCs w:val="20"/>
        </w:rPr>
        <w:t xml:space="preserve"> for </w:t>
      </w:r>
      <w:r w:rsidRPr="008C36F5">
        <w:rPr>
          <w:rFonts w:ascii="Times New Roman" w:hAnsi="Times New Roman" w:cs="Times New Roman"/>
          <w:sz w:val="20"/>
          <w:szCs w:val="20"/>
          <w:lang w:val="en-IN"/>
        </w:rPr>
        <w:t>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generation</w:t>
      </w:r>
      <w:r w:rsidRPr="008C36F5">
        <w:rPr>
          <w:rFonts w:ascii="Times New Roman" w:hAnsi="Times New Roman" w:cs="Times New Roman"/>
          <w:sz w:val="20"/>
          <w:szCs w:val="20"/>
        </w:rPr>
        <w:t xml:space="preserve"> from </w:t>
      </w:r>
      <w:r w:rsidRPr="008C36F5">
        <w:rPr>
          <w:rFonts w:ascii="Times New Roman" w:hAnsi="Times New Roman" w:cs="Times New Roman"/>
          <w:sz w:val="20"/>
          <w:szCs w:val="20"/>
          <w:lang w:val="en-IN"/>
        </w:rPr>
        <w:t>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O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{"citationItems":[{"id":"ITEM-1","itemData":{"DOI":"10.1016/j.ijhydene.2018.12.039","ISSN":"03603199","abstract":"Hydrogen production can be achieved via combined concentrated photovoltaic (CPV) and concentrated solar power (CSP) in which concentrated radiation is spectrally split and then converted in a photovoltaic receiver and a thermal absorber. This study thus proposes an innovative solar process design integrating both thermal and quantum components of solar energy while providing a complete assessment of its global performance to demonstrate its practical interest. A stand-alone solar-to-hydrogen path was modeled and numerically simulated, which was both electrically and thermally supplied by a solar power generation unit to feed the electrolyzer power utilization unit with enhanced solar-to-hydrogen conversion efficiency. Following balance of plant (BoP), the heliostat field and cavity receiver were designed to match the entire system in which the receiver only intercepts a definite range of infrared wavelength while the rest is converted by separately insulated PV cells. Moreover, dichroic reflectors and optimum cutoff wavelength were applied to fulfill separate optimization and heat load reduction of each solar cell. Finally, the solid oxide electrolysis cell (SOEC) was designed to utilize the generated thermal and electrical power appropriately. In best case scenario, a solar-to-hydrogen conversion efficiency of 36.5% was achieved under 899 W/m2 direct normal irradiance (DNI) and 1000 suns concentration. The solar plant outputs at this operating point were 850 g/h H2 and 6754 g/h O2. Further improvement in efficiency can be achieved through alignment in regard to the site location and annual insolation variation.","author":[{"dropping-particle":"","family":"Shafiei Kaleibari","given":"Saeed","non-dropping-particle":"","parse-names":false,"suffix":""},{"dropping-particle":"","family":"Yanping","given":"Zhang","non-dropping-particle":"","parse-names":false,"suffix":""},{"dropping-particle":"","family":"Abanades","given":"Stéphane","non-dropping-particle":"","parse-names":false,"suffix":""}],"container-title":"International Journal of Hydrogen Energy","id":"ITEM-1","issue":"5","issued":{"date-parts":[["2019"]]},"page":"2519-2532","title":"Solar-driven high temperature hydrogen production via integrated spectrally split concentrated photovoltaics (SSCPV) and solar power tower","type":"article-journal","volume":"44"},"uris":["http://www.mendeley.com/documents/?uuid=8a96c9e2-4014-4dd9-85ac-2b1bcde07d14"]}],"mendeley":{"formattedCitation":"(Shafiei Kaleibari, Yanping and Abanades, 2019)","plainTextFormattedCitation":"(Shafiei Kaleibari, Yanping and Abanades, 2019)","previouslyFormattedCitation":"(Shafiei Kaleibari, Yanping and Abanades, 2019)"},"properties":{"noteIndex":0},"schema":"https://github.com/citation-style-language/schema/raw/master/csl-citation.json"}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(Shafiei Kaleibari, Yanping and Abanades, 2019)</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The cell was shown to use homogeneous and heterogeneous catalysis in parallel in this study, with the use of a dye-sensitized solar cell. The cell's anticipated hydrogen generation efficiency was about 4%, with a solar light consumption of 20%. For heat cogeneration, the cell can recover about 60% of solar radiation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{"citationItems":[{"id":"ITEM-1","itemData":{"DOI":"10.1002/er","ISBN":"1099-114X","ISSN":"0363907X","PMID":"19566191","abstract":"A zeolite-water adsorption module, which has been originally constructed for an adsorption heat pump, has been experimentally investigated as an adsorptive thermal energy storage unit. The adsorber/desorber heat exchanger contains 13.2 kg of zeolite 13X and is connected to an evaporator/condenser heat exchanger via a butterfly valve. The flow rate of the heat transfer fluid in the adsorber/desorber unit has been changed between 0.5 and 2.0 l min?1, the inlet temperature to the evaporator between 10 and 408C. It turned out that the higher the flow rate inside the adsorber/desorber unit the faster and more effective is the discharge of heat. However, at lower flow rates higher discharge temperatures are obtained. Storage capacities of 2.7 and 3.1kWh have been measured at the evaporator inlet temperatures of 10 and 408C, respectively, corresponding to thermal energy storage densities of 80 and 92kWhm?3 based on the volume of the adsorber unit. The measured maximum power density increases from 144 to 165kWhm?3 as the flow rate in the adsorber increases from 0.5 to 2 l min?1. An internal insulation in form of a radiation shield around the adsorber heat exchanger is recommended to reduce the thermal losses of the adsorptive storage. Copyright","author":[{"dropping-particle":"","family":"Zamfirescu.C","given":"Naterer .G.F and Dincer .I","non-dropping-particle":"","parse-names":false,"suffix":""}],"container-title":"International journal of energy research","id":"ITEM-1","issue":"August 2007","issued":{"date-parts":[["2012"]]},"page":"135-147","title":"Water splitting with a dual photo-electrochemical cell and hybrid catalysis for enhanced solar energy utilization","type":"article-journal","volume":"31"},"uris":["http://www.mendeley.com/documents/?uuid=96f2c3bf-872a-4729-89f0-2258462ed6b0"]}],"mendeley":{"formattedCitation":"(Zamfirescu.C, 2012)","plainTextFormattedCitation":"(Zamfirescu.C, 2012)","previouslyFormattedCitation":"(Zamfirescu.C, 2012)"},"properties":{"noteIndex":0},"schema":"https://github.com/citation-style-language/schema/raw/master/csl-citation.json"}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(Zamfirescu. C, 2012)</w:t>
      </w:r>
      <w:r w:rsidR="0063134A" w:rsidRPr="008C36F5">
        <w:rPr>
          <w:rFonts w:ascii="Times New Roman" w:hAnsi="Times New Roman" w:cs="Times New Roman"/>
          <w:sz w:val="20"/>
          <w:szCs w:val="20"/>
        </w:rPr>
        <w:fldChar w:fldCharType="end"/>
      </w:r>
      <w:r w:rsidR="007308B9" w:rsidRPr="008C36F5">
        <w:rPr>
          <w:rFonts w:ascii="Times New Roman" w:hAnsi="Times New Roman" w:cs="Times New Roman"/>
          <w:sz w:val="20"/>
          <w:szCs w:val="20"/>
        </w:rPr>
        <w:t>.</w:t>
      </w:r>
    </w:p>
    <w:p w:rsidR="00A147DF" w:rsidRPr="00876F00" w:rsidRDefault="00A147DF" w:rsidP="00876F00">
      <w:pPr>
        <w:spacing w:before="0" w:beforeAutospacing="0" w:after="0" w:afterAutospacing="0" w:line="240" w:lineRule="auto"/>
        <w:rPr>
          <w:rStyle w:val="contribdegrees"/>
          <w:rFonts w:ascii="Times New Roman" w:hAnsi="Times New Roman" w:cs="Times New Roman"/>
          <w:sz w:val="20"/>
          <w:szCs w:val="20"/>
        </w:rPr>
      </w:pPr>
      <w:r w:rsidRPr="008C36F5">
        <w:rPr>
          <w:rFonts w:ascii="Times New Roman" w:hAnsi="Times New Roman" w:cs="Times New Roman"/>
          <w:sz w:val="20"/>
          <w:szCs w:val="20"/>
        </w:rPr>
        <w:t xml:space="preserve">In a series circuit, the number of OSC unit cells defines voltage and electric power. For electrolyzing water, it was discovered that six OSC unit cells were optimal. A PtC anode and a Ni cathode electrolysis cell performs similarly </w:t>
      </w:r>
      <w:r w:rsidRPr="008C36F5">
        <w:rPr>
          <w:rFonts w:ascii="Times New Roman" w:hAnsi="Times New Roman" w:cs="Times New Roman"/>
          <w:sz w:val="20"/>
          <w:szCs w:val="20"/>
        </w:rPr>
        <w:lastRenderedPageBreak/>
        <w:t xml:space="preserve">to one with two Pt electrodes.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{"citationItems":[{"id":"ITEM-1","itemData":{"DOI":"10.1002/cphc.201300114","ISSN":"14394235","abstract":"A series circuit of bulk hetero-junction (BHJ) organic thin-film solar cells (OSCs) is investigated for electrolyzing water to gaseous hydrogen and oxygen. The BHJ OSCs applied consist of poly(3-hexylthiophene) as a donor and [6,6]-phenyl C61 butyric acid methyl ester as an acceptor. A series circuit of six such OSC units has an open circuit voltage (V(oc)) of 3.4 V, which is enough to electrolyze water. The short circuit current (J(sc)), fill factor (FF), and energy conversion efficiency (η) are independent of the number of unit cells. A maximum electric power of 8.86 mW cm(-2) is obtained at the voltage of 2.35 V. By combining a water electrolysis cell with the series circuit solar cells, the electrolyzing current and voltage obtained are 1.09 mA and 2.3 V under a simulated solar light irradiation (100 mW cm(-2), AM1.5G), and in one hour 0.65 mL hydrogen is generated.","author":[{"dropping-particle":"","family":"Aoki","given":"Atsushi","non-dropping-particle":"","parse-names":false,"suffix":""},{"dropping-particle":"","family":"Naruse","given":"Mitsuru","non-dropping-particle":"","parse-names":false,"suffix":""},{"dropping-particle":"","family":"Abe","given":"Takayuki","non-dropping-particle":"","parse-names":false,"suffix":""}],"container-title":"ChemPhysChem","id":"ITEM-1","issue":"10","issued":{"date-parts":[["2013"]]},"page":"2317-2320","title":"Series circuit of organic thin-film solar cells for conversion of water into hydrogen","type":"article-journal","volume":"14"},"uris":["http://www.mendeley.com/documents/?uuid=08e0474e-9502-4c75-8c60-b8a129650527"]}],"mendeley":{"formattedCitation":"(Aoki, Naruse and Abe, 2013)","plainTextFormattedCitation":"(Aoki, Naruse and Abe, 2013)","previouslyFormattedCitation":"(Aoki, Naruse and Abe, 2013)"},"properties":{"noteIndex":0},"schema":"https://github.com/citation-style-language/schema/raw/master/csl-citation.json"}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(Aoki, Naruse and Abe, 2013)</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Zhang et.al worked on water electrolysis-based distributed energy systems powered by renewable electricity. Renewable electricity was used as input parameters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9781118991978.hces008","ISBN":"9781118991978","author":[{"dropping-particle":"","family":"Zhang","given":"Dongke","non-dropping-particle":"","parse-names":false,"suffix":""},{"dropping-particle":"","family":"Zeng","given":"Kai","non-dropping-particle":"","parse-names":false,"suffix":""}],"container-title":"Handbook of Clean Energy Systems","id":"ITEM-1","issued":{"date-parts":[["2015"]]},"page":"1-12","title":"Distributed energy systems based on water electrolysis driven by renewable electricity","type":"chapter"},"uris":["http://www.mendeley.com/documents/?uuid=fd72fb82-89f6-40a1-8b32-f04da45ebd1e"]}],"mendeley":{"formattedCitation":"(Zhang and Zeng, 2015)","plainTextFormattedCitation":"(Zhang and Zeng, 2015)","previouslyFormattedCitation":"(Zhang and Zeng, 2015)"},"properties":{"noteIndex":0},"schema":"https://github.com/citation-style-language/schema/raw/master/csl-citation.json"}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(Zhang and Zeng, 2015)</w:t>
      </w:r>
      <w:r w:rsidR="0063134A" w:rsidRPr="008C36F5">
        <w:rPr>
          <w:rFonts w:ascii="Times New Roman" w:hAnsi="Times New Roman" w:cs="Times New Roman"/>
          <w:sz w:val="20"/>
          <w:szCs w:val="20"/>
        </w:rPr>
        <w:fldChar w:fldCharType="end"/>
      </w:r>
      <w:r w:rsidR="00876F00">
        <w:rPr>
          <w:rFonts w:ascii="Times New Roman" w:hAnsi="Times New Roman" w:cs="Times New Roman"/>
          <w:sz w:val="20"/>
          <w:szCs w:val="20"/>
        </w:rPr>
        <w:t>.T</w:t>
      </w:r>
      <w:r w:rsidRPr="008C36F5">
        <w:rPr>
          <w:rFonts w:ascii="Times New Roman" w:hAnsi="Times New Roman" w:cs="Times New Roman"/>
          <w:sz w:val="20"/>
          <w:szCs w:val="20"/>
          <w:lang w:val="en-IN"/>
        </w:rPr>
        <w:t>his thesis proposed a novel green energy scheme focused on multi-production energy devices, &amp; solar power, utilized to generate power for a multiple-unit construction using the cycle of Kalina</w:t>
      </w:r>
      <w:r w:rsidRPr="008C36F5">
        <w:rPr>
          <w:rFonts w:ascii="Times New Roman" w:hAnsi="Times New Roman" w:cs="Times New Roman"/>
          <w:sz w:val="20"/>
          <w:szCs w:val="20"/>
        </w:rPr>
        <w:t xml:space="preserve">. An electrolyzer </w:t>
      </w:r>
      <w:r w:rsidRPr="008C36F5">
        <w:rPr>
          <w:rFonts w:ascii="Times New Roman" w:hAnsi="Times New Roman" w:cs="Times New Roman"/>
          <w:sz w:val="20"/>
          <w:szCs w:val="20"/>
          <w:lang w:val="en-IN"/>
        </w:rPr>
        <w:t>was occupied</w:t>
      </w:r>
      <w:r w:rsidRPr="008C36F5">
        <w:rPr>
          <w:rFonts w:ascii="Times New Roman" w:hAnsi="Times New Roman" w:cs="Times New Roman"/>
          <w:sz w:val="20"/>
          <w:szCs w:val="20"/>
        </w:rPr>
        <w:t xml:space="preserve"> to </w:t>
      </w:r>
      <w:r w:rsidRPr="008C36F5">
        <w:rPr>
          <w:rFonts w:ascii="Times New Roman" w:hAnsi="Times New Roman" w:cs="Times New Roman"/>
          <w:sz w:val="20"/>
          <w:szCs w:val="20"/>
          <w:lang w:val="en-IN"/>
        </w:rPr>
        <w:t>generate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rPr>
        <w:t xml:space="preserve"> from the </w:t>
      </w:r>
      <w:r w:rsidRPr="008C36F5">
        <w:rPr>
          <w:rFonts w:ascii="Times New Roman" w:hAnsi="Times New Roman" w:cs="Times New Roman"/>
          <w:sz w:val="20"/>
          <w:szCs w:val="20"/>
          <w:lang w:val="en-IN"/>
        </w:rPr>
        <w:t xml:space="preserve">remaining part </w:t>
      </w:r>
      <w:r w:rsidRPr="008C36F5">
        <w:rPr>
          <w:rFonts w:ascii="Times New Roman" w:hAnsi="Times New Roman" w:cs="Times New Roman"/>
          <w:sz w:val="20"/>
          <w:szCs w:val="20"/>
        </w:rPr>
        <w:t xml:space="preserve">of </w:t>
      </w:r>
      <w:r w:rsidRPr="008C36F5">
        <w:rPr>
          <w:rFonts w:ascii="Times New Roman" w:hAnsi="Times New Roman" w:cs="Times New Roman"/>
          <w:sz w:val="20"/>
          <w:szCs w:val="20"/>
          <w:lang w:val="en-IN"/>
        </w:rPr>
        <w:t xml:space="preserve">energy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{"citationItems":[{"id":"ITEM-1","itemData":{"DOI":"10.1002/er","ISBN":"1099-114X","ISSN":"12310956","PMID":"19566191","abstract":"In this study, a novel, renewable energy based, multigeneration energy system is introduced, and solar energy is, in this regard, used to produce electricity for a multi-unit building utilizing a Kalina cycle. For cooling a four-stage absorption chiller running on excessive or recovered heat is used. An electrolyzer is employed to produce hydrogen from the unused portion of electricity. In addition, domestic hot water is obtained from the system. In the analysis, a comprehensive thermodynamic model of the system is developed; the exergy efficiencies of the overall system and its components are determined; and the effects of varying configurations and operating conditions on the system performance are investigated. The number of suites that the system can satisfactory meet the demands is determined. Finally, an environmental impact assessment is conducted to determine the reductions in the amount of greenhouse gases, which can easily be achieved here by this solar energy based multigeneration system. The highest energy efficiency of the system is 57%, while the maximum exergy efficiency is 36%. It produces a maximum power of 92kW and has a maximum cooling effect of 128 kW. It saves 1398 t of CO2 per year compared with a conventional system to produce the same amounts of outputs, which can sufficiently meet the demand of 94 suites, respectively. Copyright © 2016 John Wiley &amp; Sons, Ltd.","author":[{"dropping-particle":"","family":"Ozlu Sinan","given":"Dincer Ibrahim","non-dropping-particle":"","parse-names":false,"suffix":""}],"container-title":"International Journal of Energy Research","id":"ITEM-1","issue":"4","issued":{"date-parts":[["2016"]]},"page":"23-40","title":"Analysis and evaluation of a new solar energy-based multigeneration system","type":"article-journal","volume":"33"},"uris":["http://www.mendeley.com/documents/?uuid=533db7b4-bfd2-4371-86f0-36669c943107"]}],"mendeley":{"formattedCitation":"(Ozlu Sinan, 2016)","plainTextFormattedCitation":"(Ozlu Sinan, 2016)","previouslyFormattedCitation":"(Ozlu Sinan, 2016)"},"properties":{"noteIndex":0},"schema":"https://github.com/citation-style-language/schema/raw/master/csl-citation.json"}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(Ozlu Sinan, 2016)</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w:t>
      </w:r>
      <w:r w:rsidRPr="008C36F5">
        <w:rPr>
          <w:rFonts w:ascii="Times New Roman" w:hAnsi="Times New Roman" w:cs="Times New Roman"/>
          <w:sz w:val="20"/>
          <w:szCs w:val="20"/>
        </w:rPr>
        <w:t xml:space="preserve"> </w:t>
      </w:r>
      <w:r w:rsidRPr="008C36F5">
        <w:rPr>
          <w:rFonts w:ascii="Times New Roman" w:hAnsi="Times New Roman" w:cs="Times New Roman"/>
          <w:sz w:val="20"/>
          <w:szCs w:val="20"/>
          <w:lang w:val="en-IN"/>
        </w:rPr>
        <w:t>They used a modified photoanode to generate solar hydrogen from saltwater. Solar hydrogen was taken as input and analyzed by multimetal oxide BIVO</w:t>
      </w:r>
      <w:r w:rsidRPr="008C36F5">
        <w:rPr>
          <w:rFonts w:ascii="Times New Roman" w:hAnsi="Times New Roman" w:cs="Times New Roman"/>
          <w:sz w:val="20"/>
          <w:szCs w:val="20"/>
          <w:vertAlign w:val="subscript"/>
          <w:lang w:val="en-IN"/>
        </w:rPr>
        <w:t>4</w:t>
      </w:r>
      <w:r w:rsidRPr="008C36F5">
        <w:rPr>
          <w:rFonts w:ascii="Times New Roman" w:hAnsi="Times New Roman" w:cs="Times New Roman"/>
          <w:sz w:val="20"/>
          <w:szCs w:val="20"/>
          <w:lang w:val="en-IN"/>
        </w:rPr>
        <w:t xml:space="preserve">. The purpose was to study the world's most plentiful natural resource and renewable energy source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{"citationItems":[{"id":"ITEM-1","itemData":{"DOI":"10.1039/c1ee01812d","ISBN":"1754-5692\r1754-5706","ISSN":"17545692","abstract":"Hydrogen is a very promising candidate as a future energy carrier. It is attractive to produce hydrogen from solar energy and seawater, the most abundant renewable energy source and the most abundant natural resource on the earth. To date, there is no report on a stable photoelectrode with a high incident photon conversion efficiency (IPCE) in seawater splitting under irradiation by visible light. Herein, we report an efficient and stable system for seawater splitting based on a multi-metal oxide BiVO4 after modification. The results indicated that modified BiVO4 had a photocurrent density of 2.16 mA cm-2 at 1.0 VRHE in natural seawater under AM 1.5G sunlight (1000 W m-2) and exhibited the highest IPCE at 1.0 VRHE in the visible light region of 440-480 nm among all known oxide photoanodes.","author":[{"dropping-particle":"","family":"Luo","given":"Wenjun","non-dropping-particle":"","parse-names":false,"suffix":""},{"dropping-particle":"","family":"Yang","given":"Zaisan","non-dropping-particle":"","parse-names":false,"suffix":""},{"dropping-particle":"","family":"Li","given":"Zhaosheng","non-dropping-particle":"","parse-names":false,"suffix":""},{"dropping-particle":"","family":"Zhang","given":"Jiyuan","non-dropping-particle":"","parse-names":false,"suffix":""},{"dropping-particle":"","family":"Liu","given":"Jianguo","non-dropping-particle":"","parse-names":false,"suffix":""},{"dropping-particle":"","family":"Zhao","given":"Zongyan","non-dropping-particle":"","parse-names":false,"suffix":""},{"dropping-particle":"","family":"Wang","given":"Zhiqiang","non-dropping-particle":"","parse-names":false,"suffix":""},{"dropping-particle":"","family":"Yan","given":"Shicheng","non-dropping-particle":"","parse-names":false,"suffix":""},{"dropping-particle":"","family":"Yu","given":"Tao","non-dropping-particle":"","parse-names":false,"suffix":""},{"dropping-particle":"","family":"Zou","given":"Zhigang","non-dropping-particle":"","parse-names":false,"suffix":""}],"container-title":"Energy and Environmental Science","id":"ITEM-1","issue":"10","issued":{"date-parts":[["2011"]]},"page":"4046-4051","title":"Solar hydrogen generation from seawater with a modified BiVO 4 photoanode","type":"article-journal","volume":"4"},"uris":["http://www.mendeley.com/documents/?uuid=1be3dd97-6d9f-4140-ae6a-d84edde64e0c"]}],"mendeley":{"formattedCitation":"(Luo &lt;i&gt;et al.&lt;/i&gt;, 2011)","plainTextFormattedCitation":"(Luo et al., 2011)","previouslyFormattedCitation":"(Luo &lt;i&gt;et al.&lt;/i&gt;, 2011)"},"properties":{"noteIndex":0},"schema":"https://github.com/citation-style-language/schema/raw/master/csl-citation.json"}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(Luo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2011)</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w:t>
      </w:r>
      <w:r w:rsidRPr="008C36F5">
        <w:rPr>
          <w:rFonts w:ascii="Times New Roman" w:hAnsi="Times New Roman" w:cs="Times New Roman"/>
          <w:sz w:val="20"/>
          <w:szCs w:val="20"/>
        </w:rPr>
        <w:t xml:space="preserve"> </w:t>
      </w:r>
      <w:r w:rsidRPr="008C36F5">
        <w:rPr>
          <w:rFonts w:ascii="Times New Roman" w:hAnsi="Times New Roman" w:cs="Times New Roman"/>
          <w:sz w:val="20"/>
          <w:szCs w:val="20"/>
          <w:lang w:val="en-IN"/>
        </w:rPr>
        <w:t xml:space="preserve">The evaluation framework for solar fuels technology in general and solar fuel was analysed with a catalytic converter. The purpose was solar energy gathering technology and results at the cutting edge was that solar refinery was contingent upon significant technological improvement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{"citationItems":[{"id":"ITEM-1","itemData":{"DOI":"10.1039/c4ee01958j","ISBN":"1754-5692","ISSN":"17545706","abstract":"We utilize process modeling to assess the energy and economic feasibility of a generic solar refinery which converts carbon dioxide and water into fuels. The conversion of carbon dioxide and water into fuels in a solar refinery presents a potential solution for reducing greenhouse gas emissions, while providing a sustainable source of fuels and chemicals. Towards realizing such a solar refinery, there are many technological advances that must be met in terms of capturing and sourcing the feedstocks (namely CO 2 , H 2 O, and solar energy) and in catalytically converting CO 2 and H 2 O. In the first part of this paper, we review the state-of-the-art in solar energy collection and conversion to solar utilities (heat, electricity, and as a photon source for photo-chemical reactions), CO 2 capture and separation technology, and non-biological methods for converting CO 2 and H 2 O to fuels. The two principal methods for CO 2 conversion include (1) catalytic conversion using solar-derived hydrogen and (2) direct reduction of CO 2 using H 2 O and solar energy. Both hydrogen production and direct CO 2 reduction can be performed electro-catalytically, photo-electrochemically, photo-catalytically, and thermochemically. All four of these methods are discussed. In the second part of this paper, we utilize process modeling to assess the energy efficiency and economic feasibility of a generic solar refinery. The analysis demonstrates that the realization of a solar refinery is contingent upon significant technological improvements in all areas described above (solar energy capture and conversion, CO 2 capture, and catalytic conversion processes). ","author":[{"dropping-particle":"","family":"Herron","given":"Jeffrey A.","non-dropping-particle":"","parse-names":false,"suffix":""},{"dropping-particle":"","family":"Kim","given":"Jiyong","non-dropping-particle":"","parse-names":false,"suffix":""},{"dropping-particle":"","family":"Upadhye","given":"Aniruddha A.","non-dropping-particle":"","parse-names":false,"suffix":""},{"dropping-particle":"","family":"Huber","given":"George W.","non-dropping-particle":"","parse-names":false,"suffix":""},{"dropping-particle":"","family":"Maravelias","given":"Christos T.","non-dropping-particle":"","parse-names":false,"suffix":""}],"container-title":"Energy and Environmental Science","id":"ITEM-1","issue":"1","issued":{"date-parts":[["2015"]]},"page":"126-157","title":"A general framework for the assessment of solar fuel technologies","type":"article-journal","volume":"8"},"uris":["http://www.mendeley.com/documents/?uuid=3b55eb58-5b93-4ceb-b11f-d760596fdcd2"]}],"mendeley":{"formattedCitation":"(Herron &lt;i&gt;et al.&lt;/i&gt;, 2015)","plainTextFormattedCitation":"(Herron et al., 2015)","previouslyFormattedCitation":"(Herron &lt;i&gt;et al.&lt;/i&gt;, 2015)"},"properties":{"noteIndex":0},"schema":"https://github.com/citation-style-language/schema/raw/master/csl-citation.json"}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(Herron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2015)</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Pr="008C36F5">
        <w:rPr>
          <w:rStyle w:val="contribdegrees"/>
          <w:rFonts w:ascii="Times New Roman" w:hAnsi="Times New Roman" w:cs="Times New Roman"/>
          <w:color w:val="000000"/>
          <w:sz w:val="20"/>
          <w:szCs w:val="20"/>
        </w:rPr>
        <w:t xml:space="preserve">A comparison of photovoltaic-electrolytic and photovoltaic-electrochemical solar hydrogen production systems was conducted to this end. In comparison to existing technology, electrolytic hydrogen prices were projected to be significantly cheaper than solar hydrogen pricing, necessitating innovative ways to solar hydrogen generation </w:t>
      </w:r>
      <w:r w:rsidR="0063134A" w:rsidRPr="008C36F5">
        <w:rPr>
          <w:rStyle w:val="contribdegrees"/>
          <w:rFonts w:ascii="Times New Roman" w:hAnsi="Times New Roman" w:cs="Times New Roman"/>
          <w:color w:val="000000"/>
          <w:sz w:val="20"/>
          <w:szCs w:val="20"/>
        </w:rPr>
        <w:fldChar w:fldCharType="begin" w:fldLock="1"/>
      </w:r>
      <w:r w:rsidRPr="008C36F5">
        <w:rPr>
          <w:rStyle w:val="contribdegrees"/>
          <w:rFonts w:ascii="Times New Roman" w:hAnsi="Times New Roman" w:cs="Times New Roman"/>
          <w:color w:val="000000"/>
          <w:sz w:val="20"/>
          <w:szCs w:val="20"/>
        </w:rPr>
        <w:instrText>ADDIN CSL_CITATION {"citationItems":[{"id":"ITEM-1","itemData":{"DOI":"10.1039/c5ee02573g","ISBN":"1754-5692","ISSN":"17545706","abstract":" Solar H 2 production cost ($ kg −1 ) techno-economic landscape for photoelectrochemical (PEC) and photovoltaic-electrolysis (PV-E). References include conventional H 2 production, robust outdoor material (artificial grass) and solar cell.  A technoeconomic analysis of photoelectrochemical (PEC) and photovoltaic-electrolytic (PV-E) solar-hydrogen production of 10 000 kg H 2 day −1 (3.65 kilotons per year) was performed to assess the economics of each technology, and to provide a basis for comparison between these technologies as well as within the broader energy landscape. Two PEC systems, differentiated primarily by the extent of solar concentration (unconcentrated and 10× concentrated) and two PV-E systems, differentiated by the degree of grid connectivity (unconnected and grid supplemented), were analyzed. In each case, a base-case system that used established designs and materials was compared to prospective systems that might be envisioned and developed in the future with the goal of achieving substantially lower overall system costs. With identical overall plant efficiencies of 9.8%, the unconcentrated PEC and non-grid connected PV-E system base-case capital expenses for the rated capacity of 3.65 kilotons H 2 per year were $205 MM ($293 per m 2 of solar collection area (m S −2 ), $14.7 W H2,P −1 ) and $260 MM ($371 m S −2 , $18.8 W H2,P −1 ), respectively. The untaxed, plant-gate levelized costs for the hydrogen product (LCH) were $11.4 kg −1 and $12.1 kg −1 for the base-case PEC and PV-E systems, respectively. The 10× concentrated PEC base-case system capital cost was $160 MM ($428 m S −2 , $11.5 W H2,P −1 ) and for an efficiency of 20% the LCH was $9.2 kg −1 . Likewise, the grid supplemented base-case PV-E system capital cost was $66 MM ($441 m S −2 , $11.5 W H2,P −1 ), and with solar-to-hydrogen and grid electrolysis system efficiencies of 9.8% and 61%, respectively, the LCH was $6.1 kg −1 . As a benchmark, a proton-exchange membrane (PEM) based grid-connected electrolysis system was analyzed. Assuming a system efficiency of 61% and a grid electricity cost of $0.07 kWh −1 , the LCH was $5.5 kg −1 . A sensitivity analysis indicated that, relative to the base-case, increases in the system efficiency could effect the greatest cost reductions for all systems, due to the areal dependencies of many of the components. The balance-of-systems (BoS) costs were the largest factor in differentiating the PEC and PV-E systems. No single or combination of te…","author":[{"dropping-particle":"","family":"Shaner","given":"Matthew R.","non-dropping-particle":"","parse-names":false,"suffix":""},{"dropping-particle":"","family":"Atwater","given":"Harry A.","non-dropping-particle":"","parse-names":false,"suffix":""},{"dropping-particle":"","family":"Lewis","given":"Nathan S.","non-dropping-particle":"","parse-names":false,"suffix":""},{"dropping-particle":"","family":"McFarland","given":"Eric W.","non-dropping-particle":"","parse-names":false,"suffix":""}],"container-title":"Energy and Environmental Science","id":"ITEM-1","issue":"7","issued":{"date-parts":[["2016"]]},"page":"2354-2371","publisher":"Royal Society of Chemistry","title":"A comparative technoeconomic analysis of renewable hydrogen production using solar energy","type":"article-journal","volume":"9"},"uris":["http://www.mendeley.com/documents/?uuid=5d22cedb-c150-442c-8f8c-d9e8b14e4298"]}],"mendeley":{"formattedCitation":"(Shaner &lt;i&gt;et al.&lt;/i&gt;, 2016)","plainTextFormattedCitation":"(Shaner et al., 2016)","previouslyFormattedCitation":"(Shaner &lt;i&gt;et al.&lt;/i&gt;, 2016)"},"properties":{"noteIndex":0},"schema":"https://github.com/citation-style-language/schema/raw/master/csl-citation.json"}</w:instrText>
      </w:r>
      <w:r w:rsidR="0063134A" w:rsidRPr="008C36F5">
        <w:rPr>
          <w:rStyle w:val="contribdegrees"/>
          <w:rFonts w:ascii="Times New Roman" w:hAnsi="Times New Roman" w:cs="Times New Roman"/>
          <w:color w:val="000000"/>
          <w:sz w:val="20"/>
          <w:szCs w:val="20"/>
        </w:rPr>
        <w:fldChar w:fldCharType="separate"/>
      </w:r>
      <w:r w:rsidRPr="008C36F5">
        <w:rPr>
          <w:rStyle w:val="contribdegrees"/>
          <w:rFonts w:ascii="Times New Roman" w:hAnsi="Times New Roman" w:cs="Times New Roman"/>
          <w:noProof/>
          <w:color w:val="000000"/>
          <w:sz w:val="20"/>
          <w:szCs w:val="20"/>
        </w:rPr>
        <w:t xml:space="preserve">(Shaner </w:t>
      </w:r>
      <w:r w:rsidRPr="008C36F5">
        <w:rPr>
          <w:rStyle w:val="contribdegrees"/>
          <w:rFonts w:ascii="Times New Roman" w:hAnsi="Times New Roman" w:cs="Times New Roman"/>
          <w:i/>
          <w:noProof/>
          <w:color w:val="000000"/>
          <w:sz w:val="20"/>
          <w:szCs w:val="20"/>
        </w:rPr>
        <w:t>et al.</w:t>
      </w:r>
      <w:r w:rsidRPr="008C36F5">
        <w:rPr>
          <w:rStyle w:val="contribdegrees"/>
          <w:rFonts w:ascii="Times New Roman" w:hAnsi="Times New Roman" w:cs="Times New Roman"/>
          <w:noProof/>
          <w:color w:val="000000"/>
          <w:sz w:val="20"/>
          <w:szCs w:val="20"/>
        </w:rPr>
        <w:t>, 2016)</w:t>
      </w:r>
      <w:r w:rsidR="0063134A" w:rsidRPr="008C36F5">
        <w:rPr>
          <w:rStyle w:val="contribdegrees"/>
          <w:rFonts w:ascii="Times New Roman" w:hAnsi="Times New Roman" w:cs="Times New Roman"/>
          <w:color w:val="000000"/>
          <w:sz w:val="20"/>
          <w:szCs w:val="20"/>
        </w:rPr>
        <w:fldChar w:fldCharType="end"/>
      </w:r>
      <w:r w:rsidRPr="008C36F5">
        <w:rPr>
          <w:rStyle w:val="contribdegrees"/>
          <w:rFonts w:ascii="Times New Roman" w:hAnsi="Times New Roman" w:cs="Times New Roman"/>
          <w:color w:val="000000"/>
          <w:sz w:val="20"/>
          <w:szCs w:val="20"/>
        </w:rPr>
        <w:t xml:space="preserve">. </w:t>
      </w:r>
    </w:p>
    <w:p w:rsidR="004A6810" w:rsidRDefault="00A147DF" w:rsidP="004A6810">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 xml:space="preserve">Zhang and colleagues investigated distributed energy systems based on water electrolysis and renewable power. The goal was to tackle the renewable energy intermittency problem. The findings revealed that AWE and FC were critical in achieving hydrogen's potential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{"citationItems":[{"id":"ITEM-1","itemData":{"DOI":"10.1002/9783527674268","ISBN":"9783527674268","abstract":"Authored by 50 top academic, government and industry researchers, this handbook explores mature, evolving technologies for a clean, economically viable alternative to non-renewable energy. In so doing, it also discusses such broader topics as the environmental impact, education, safety and regulatory developments. The text is all-encompassing, covering a wide range that includes hydrogen as an energy carrier, hydrogen for storage of renewable energy, and incorporating hydrogen technologies into existing technologies.","author":[{"dropping-particle":"","family":"Zhang and Zeng Kai","given":"","non-dropping-particle":"","parse-names":false,"suffix":""}],"container-title":"Hydrogen Science and Engineering: Materials, Processes, Systems and Technology","id":"ITEM-1","issued":{"date-parts":[["2016"]]},"number-of-pages":"1-1138","title":"Hydrogen Science and Engineering: Materials, Processes, Systems and Technology","type":"book","volume":"1-2"},"uris":["http://www.mendeley.com/documents/?uuid=b1f77046-4d64-4087-8c3d-f6007ff6cea0"]}],"mendeley":{"formattedCitation":"(Zhang and Zeng Kai, 2016)","plainTextFormattedCitation":"(Zhang and Zeng Kai, 2016)","previouslyFormattedCitation":"(Zhang and Zeng Kai, 2016)"},"properties":{"noteIndex":0},"schema":"https://github.com/citation-style-language/schema/raw/master/csl-citation.json"}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(Zhang and Zeng Kai, 2016)</w:t>
      </w:r>
      <w:r w:rsidR="0063134A" w:rsidRPr="008C36F5">
        <w:rPr>
          <w:rFonts w:ascii="Times New Roman" w:hAnsi="Times New Roman" w:cs="Times New Roman"/>
          <w:sz w:val="20"/>
          <w:szCs w:val="20"/>
        </w:rPr>
        <w:fldChar w:fldCharType="end"/>
      </w:r>
      <w:r w:rsidR="0013639E">
        <w:rPr>
          <w:rFonts w:ascii="Times New Roman" w:hAnsi="Times New Roman" w:cs="Times New Roman"/>
          <w:sz w:val="20"/>
          <w:szCs w:val="20"/>
        </w:rPr>
        <w:t>.</w:t>
      </w:r>
      <w:r w:rsidRPr="008C36F5">
        <w:rPr>
          <w:rFonts w:ascii="Times New Roman" w:hAnsi="Times New Roman" w:cs="Times New Roman"/>
          <w:sz w:val="20"/>
          <w:szCs w:val="20"/>
        </w:rPr>
        <w:t xml:space="preserve"> focused on electrochemical solar-hydrogen generating mass transport issues. Solar energy </w:t>
      </w:r>
      <w:r w:rsidRPr="008C36F5">
        <w:rPr>
          <w:rFonts w:ascii="Times New Roman" w:hAnsi="Times New Roman" w:cs="Times New Roman"/>
          <w:sz w:val="20"/>
          <w:szCs w:val="20"/>
          <w:lang w:val="en-IN"/>
        </w:rPr>
        <w:t>was</w:t>
      </w:r>
      <w:r w:rsidRPr="008C36F5">
        <w:rPr>
          <w:rFonts w:ascii="Times New Roman" w:hAnsi="Times New Roman" w:cs="Times New Roman"/>
          <w:sz w:val="20"/>
          <w:szCs w:val="20"/>
        </w:rPr>
        <w:t xml:space="preserve"> used as input parameters by a solar hydrogen generator. The goal was to use the results which revealed that engineering design factors, as well as techno-economic and environmental feasibility studies, should be incorporated in the solar-hydrogen generating design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{"citationItems":[{"id":"ITEM-1","itemData":{"DOI":"10.1039/c5ee03698d","ISBN":"1754-5692\\r1754-5706","ISSN":"17545706","abstract":"The conception of practical solar-hydrogen generators requires the implementation of engineering design principles that allow photo-electrochemical material systems to operate efficiently, continuously and stably over their lifetime.The conception of practical solar-hydrogen generators requires the implementation of engineering design principles that allow photo-electrochemical material systems to operate efficiently, continuously and stably over their lifetime. At the heart of these engineering aspects lie the mass transport of reactants, intermediates and products throughout the device. This review comprehensively covers these aspects and ties together all of the processes required for the efficient production of pure streams of solar-hydrogen. In order to do so, the article describes the fundamental physical processes that occur at different locations of a generalized device topology and presents the state-of-the-art advances in materials and engineering approaches to mitigate mass-transport challenges. Processes that take place in the light absorber and electrocatalyst components are only briefly described, while the main focus is given to mass transport processes in the boundary-layer and bulk liquid or solid electrolytes. Lastly, a perspective on how engineering approaches can enable more efficient solar-fuel generators is presented.","author":[{"dropping-particle":"","family":"Modestino","given":"Miguel A.","non-dropping-particle":"","parse-names":false,"suffix":""},{"dropping-particle":"","family":"Hashemi","given":"S. Mohammad H.","non-dropping-particle":"","parse-names":false,"suffix":""},{"dropping-particle":"","family":"Haussener","given":"Sophia","non-dropping-particle":"","parse-names":false,"suffix":""}],"container-title":"Energy and Environmental Science","id":"ITEM-1","issue":"5","issued":{"date-parts":[["2016"]]},"page":"1533-1551","title":"Mass transport aspects of electrochemical solar-hydrogen generation","type":"article-journal","volume":"9"},"uris":["http://www.mendeley.com/documents/?uuid=48abdb86-bdb7-4348-b692-3a54306ba5b6"]}],"mendeley":{"formattedCitation":"(Modestino, Hashemi and Haussener, 2016)","plainTextFormattedCitation":"(Modestino, Hashemi and Haussener, 2016)","previouslyFormattedCitation":"(Modestino, Hashemi and Haussener, 2016)"},"properties":{"noteIndex":0},"schema":"https://github.com/citation-style-language/schema/raw/master/csl-citation.json"}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(Modestino, Hashemi and Haussener, 2016)</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Photonic nanostructure </w:t>
      </w:r>
      <w:r w:rsidRPr="008C36F5">
        <w:rPr>
          <w:rFonts w:ascii="Times New Roman" w:hAnsi="Times New Roman" w:cs="Times New Roman"/>
          <w:sz w:val="20"/>
          <w:szCs w:val="20"/>
          <w:lang w:val="en-IN"/>
        </w:rPr>
        <w:t>was</w:t>
      </w:r>
      <w:r w:rsidRPr="008C36F5">
        <w:rPr>
          <w:rFonts w:ascii="Times New Roman" w:hAnsi="Times New Roman" w:cs="Times New Roman"/>
          <w:sz w:val="20"/>
          <w:szCs w:val="20"/>
        </w:rPr>
        <w:t xml:space="preserve"> used as an input parameter by photocatalytic degradation and solar water splitting method. The goal was to combine various types of photonic nanostructures to develop a more efficient solar energy conversion system. The findings revealed that understanding charge generation, separation, and transport processes in photonic nanostructures was required for designing more efficient photonic nanostructures for solar energy conversion applications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{"citationItems":[{"id":"ITEM-1","itemData":{"DOI":"10.1039/c6ee01182a","ISSN":"17545706","abstract":"This review article provides a comprehensive review of recent progress in photonic nanostructures for efficient solar energy conversion. Photonic nanostructures, manipulating and confining light on the nanometer scale, provide new opportunities to improve the efficiency of solar energy conversion. Optical microcavities confine light to small volumes by resonant recirculation. Plasmonic metal nanostructures with surface plasmon resonances can act as antennas to localize optical energy and control the location of charge carrier generation. Photonic crystals can enhance the interaction of light with a semiconductor. Integrated photonic crystals and the plasmonic effects of micro-structural materials may have a superposition effect in controlling light. Some applications and practical examples with respect to improving the efficiency of solar energy conversion with photonic nanostructures have been reviewed, demonstrating how such structures can enhance light absorption and improve the generation and separation of photoexcited charge carriers in photocatalytic degradation, solar water splitting, photovoltaic devices and CO 2 photoreduction. Distinct from other published reviews, we simultaneously discuss several different types of photonic nanostructures in order to show the similarities and differences of photonic structures for solar energy conversion. Furthermore, the combination of different types of photonic nanostructures for developing more efficient solar energy conversion systems is discussed and explored. ","author":[{"dropping-particle":"","family":"Zheng","given":"Xiuzhen","non-dropping-particle":"","parse-names":false,"suffix":""},{"dropping-particle":"","family":"Zhang","given":"Liwu","non-dropping-particle":"","parse-names":false,"suffix":""}],"container-title":"Energy and Environmental Science","id":"ITEM-1","issue":"8","issued":{"date-parts":[["2016"]]},"page":"2511-2532","title":"Photonic nanostructures for solar energy conversion","type":"article-journal","volume":"9"},"uris":["http://www.mendeley.com/documents/?uuid=6a48a747-1f85-477e-b894-942c4afc52e6"]}],"mendeley":{"formattedCitation":"(Zheng and Zhang, 2016)","plainTextFormattedCitation":"(Zheng and Zhang, 2016)","previouslyFormattedCitation":"(Zheng and Zhang, 2016)"},"properties":{"noteIndex":0},"schema":"https://github.com/citation-style-language/schema/raw/master/csl-citation.json"}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(Zheng and Zhang, 2016)</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They investigated the feasibility of a hybrid system that combines solar water heating with molecular solar thermal energy storage. The goal was to increase the quantum yield of light isomerization, quadricyclane half-life, and build a solvent-free, liquid MOST system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{"citationItems":[{"id":"ITEM-1","itemData":{"DOI":"10.1039/c6ee01952h","ISSN":"17545706","abstract":"A hybrid solar energy system consisting of a molecular solar thermal energy storage system (MOST) combined with a solar water heating system (SWH) is presented. A hybrid solar energy system consisting of a molecular solar thermal energy storage system (MOST) combined with a solar water heating system (SWH) is presented. The MOST chemical energy storage system is based on norbornadiene–quadricyclane derivatives allowing for conversion of solar energy into stored chemical energy at up to 103 kJ mol −1 (396 kJ kg −1 ). It is demonstrated that 1.1% of incoming solar energy can be stored in the chemical system without significantly compromising the efficiency of the solar water heating system, leading to efficiencies of combined solar water heating and solar energy storage of up to 80%. Moreover, prospects for future improvement and possible applications are discussed.","author":[{"dropping-particle":"","family":"Dreos","given":"Ambra","non-dropping-particle":"","parse-names":false,"suffix":""},{"dropping-particle":"","family":"Börjesson","given":"Karl","non-dropping-particle":"","parse-names":false,"suffix":""},{"dropping-particle":"","family":"Wang","given":"Zhihang","non-dropping-particle":"","parse-names":false,"suffix":""},{"dropping-particle":"","family":"Roffey","given":"Anna","non-dropping-particle":"","parse-names":false,"suffix":""},{"dropping-particle":"","family":"Norwood","given":"Zack","non-dropping-particle":"","parse-names":false,"suffix":""},{"dropping-particle":"","family":"Kushnir","given":"Duncan","non-dropping-particle":"","parse-names":false,"suffix":""},{"dropping-particle":"","family":"Moth-Poulsen","given":"Kasper","non-dropping-particle":"","parse-names":false,"suffix":""}],"container-title":"Energy and Environmental Science","id":"ITEM-1","issue":"3","issued":{"date-parts":[["2016"]]},"page":"728-734","publisher":"Royal Society of Chemistry","title":"Exploring the potential of a hybrid device combining solar water heating and molecular solar thermal energy storage","type":"article-journal","volume":"10"},"uris":["http://www.mendeley.com/documents/?uuid=7e8cfcd7-ea76-4a87-bf73-6f4e3dbbb874"]}],"mendeley":{"formattedCitation":"(Dreos &lt;i&gt;et al.&lt;/i&gt;, 2016)","plainTextFormattedCitation":"(Dreos et al., 2016)","previouslyFormattedCitation":"(Dreos &lt;i&gt;et al.&lt;/i&gt;, 2016)"},"properties":{"noteIndex":0},"schema":"https://github.com/citation-style-language/schema/raw/master/csl-citation.json"}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(Dreos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2016)</w:t>
      </w:r>
      <w:r w:rsidR="0063134A" w:rsidRPr="008C36F5">
        <w:rPr>
          <w:rFonts w:ascii="Times New Roman" w:hAnsi="Times New Roman" w:cs="Times New Roman"/>
          <w:sz w:val="20"/>
          <w:szCs w:val="20"/>
        </w:rPr>
        <w:fldChar w:fldCharType="end"/>
      </w:r>
      <w:r w:rsidR="004A6810">
        <w:rPr>
          <w:rFonts w:ascii="Times New Roman" w:hAnsi="Times New Roman" w:cs="Times New Roman"/>
          <w:sz w:val="20"/>
          <w:szCs w:val="20"/>
        </w:rPr>
        <w:t xml:space="preserve">. </w:t>
      </w:r>
    </w:p>
    <w:p w:rsidR="0082157E" w:rsidRDefault="00A147DF" w:rsidP="0082157E">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 xml:space="preserve">Yang et.al experimented with solar-powered simultaneous steam and electricity generation from salt. Solar energy and seawater were employed as inputs, and solar-driven interfacial water evaporation was used to extract them. The goal was to create energy using a hybrid system that included carbon </w:t>
      </w:r>
      <w:r w:rsidR="006C02E6" w:rsidRPr="008C36F5">
        <w:rPr>
          <w:rFonts w:ascii="Times New Roman" w:hAnsi="Times New Roman" w:cs="Times New Roman"/>
          <w:sz w:val="20"/>
          <w:szCs w:val="20"/>
        </w:rPr>
        <w:t>nanotubes</w:t>
      </w:r>
      <w:r w:rsidRPr="008C36F5">
        <w:rPr>
          <w:rFonts w:ascii="Times New Roman" w:hAnsi="Times New Roman" w:cs="Times New Roman"/>
          <w:sz w:val="20"/>
          <w:szCs w:val="20"/>
        </w:rPr>
        <w:t xml:space="preserve">-modified filter paper and a commercial nafion membrane. The results revealed that sun desalination and salinity power collecting may be done directly on the sea, resulting in a significant volume of fresh water and free energy on a wide scale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 xml:space="preserve">ADDIN CSL_CITATION {"citationItems":[{"id":"ITEM-1","itemData":{"DOI":"10.1039/c7ee01804e","ISBN":"1754-5692","ISSN":"17545706","abstract":"A hybrid energy utilization technology using solar energy for desalination and extracting electricity from an evaporation induced salinity gradient is presented. Solar-driven interfacial water evaporation, which concentrates solar heating at the water surface, has attracted increasing interest in pursuing highly efficient solar desalination. The rapid evaporation of water at the light absorber surface would induce a high concentration comparable with that of brine underlying the interface, which however has been paid much less attention and has never been proposed to produce electricity. Here in this work, we proved that, the theoretical real-time salinity power generated between the surface water and bulk seawater could be 12.5 W m −2 during steam production under one sun illumination. By employing a hybrid system based on a piece of carbon nanotube modified filter paper and a commercial Nafion membrane, we achieved a maximum solar thermal efficiency of up to 75% and derived extra electricity power of </w:instrText>
      </w:r>
      <w:r w:rsidRPr="008C36F5">
        <w:rPr>
          <w:rFonts w:ascii="Cambria Math" w:hAnsi="Cambria Math" w:cs="Cambria Math"/>
          <w:sz w:val="20"/>
          <w:szCs w:val="20"/>
        </w:rPr>
        <w:instrText>∼</w:instrText>
      </w:r>
      <w:r w:rsidRPr="008C36F5">
        <w:rPr>
          <w:rFonts w:ascii="Times New Roman" w:hAnsi="Times New Roman" w:cs="Times New Roman"/>
          <w:sz w:val="20"/>
          <w:szCs w:val="20"/>
        </w:rPr>
        <w:instrText>1 W m −2 under one sun illumination. These results provide a novel avenue for blue energy utilization, demonstrating the potential for solar desalination and electricity generation under natural sunlight simultaneously. ","author":[{"dropping-particle":"","family":"Yang","given":"Peihua","non-dropping-particle":"","parse-names":false,"suffix":""},{"dropping-particle":"","family":"Liu","given":"Kang","non-dropping-particle":"","parse-names":false,"suffix":""},{"dropping-particle":"","family":"Chen","given":"Qian","non-dropping-particle":"","parse-names":false,"suffix":""},{"dropping-particle":"","family":"Li","given":"Jia","non-dropping-particle":"","parse-names":false,"suffix":""},{"dropping-particle":"","family":"Duan","given":"Jiangjiang","non-dropping-particle":"","parse-names":false,"suffix":""},{"dropping-particle":"","family":"Xue","given":"Guobin","non-dropping-particle":"","parse-names":false,"suffix":""},{"dropping-particle":"","family":"Xu","given":"Zisheng","non-dropping-particle":"","parse-names":false,"suffix":""},{"dropping-particle":"","family":"Xie","given":"Wenke","non-dropping-particle":"","parse-names":false,"suffix":""},{"dropping-particle":"","family":"Zhou","given":"Jun","non-dropping-particle":"","parse-names":false,"suffix":""}],"container-title":"Energy and Environmental Science","id":"ITEM-1","issue":"9","issued":{"date-parts":[["2017"]]},"page":"1923-1927","title":"Solar-driven simultaneous steam production and electricity generation from salinity","type":"article-journal","volume":"10"},"uris":["http://www.mendeley.com/documents/?uuid=e438547a-c134-4d1a-8798-9d6f577762cd"]}],"mendeley":{"formattedCitation":"(Yang &lt;i&gt;et al.&lt;/i&gt;, 2017)","plainTextFormattedCitation":"(Yang et al., 2017)","previouslyFormattedCitation":"(Yang &lt;i&gt;et al.&lt;/i&gt;, 2017)"},"properties":{"noteIndex":0},"schema":"https://github.com/citation-style-language/schema/raw/master/csl-citation.json"}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(Yang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2017)</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Plasmonic nanoparticles were used as antennas in this study to focus light for photocatalysis and photovoltaic, making it easier to transform solar energy into chemical energy and power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{"citationItems":[{"id":"ITEM-1","itemData":{"DOI":"10.1039/c6tc04847a","ISSN":"20507526","abstract":"This review outlines the recent progress on the integration of plasmonic nanostructures with photocatalysis and photovoltaics toward solar energy conversion.Photocatalysis and photovoltaics are two major approaches sharing similar processes (including light absorption, and charge generation and separation) for solar energy conversion with semiconductors. Various strategies have been proposed to improve the efficiency of solar energy conversion due to limited light absorption and rapid charge recombination in semiconductors. Integrating semiconductors with plasmonic nanostructures has been proven as an effective way to greatly enhance the performance in photocatalysis and photovoltaic devices. This review outlines the fundamental mechanisms, including hot electron injection, local electromagnetic field enhancement and resonant energy transfer, which are responsible for both plasmonics-enhanced photocatalysis and photovoltaics. Furthermore, we review some recent progress in practical applications such as photocatalytic water splitting, artificial photosynthesis, photodegradation of organic pollutants and solar cells integrated with plasmonic nanostructures. In specific cases, the possible working mechanisms for the enhancement of photocatalytic or photovoltaic performance by plasmonics are clarified together with materials design. Finally, the existing challenges and future prospects for the utilization of plasmonics in solar energy conversion are discussed.","author":[{"dropping-particle":"","family":"Ye","given":"Wei","non-dropping-particle":"","parse-names":false,"suffix":""},{"dropping-particle":"","family":"Long","given":"Ran","non-dropping-particle":"","parse-names":false,"suffix":""},{"dropping-particle":"","family":"Huang","given":"Hao","non-dropping-particle":"","parse-names":false,"suffix":""},{"dropping-particle":"","family":"Xiong","given":"Yujie","non-dropping-particle":"","parse-names":false,"suffix":""}],"container-title":"Journal of Materials Chemistry C","id":"ITEM-1","issue":"5","issued":{"date-parts":[["2017"]]},"page":"1008-1021","title":"Plasmonic nanostructures in solar energy conversion","type":"article-journal","volume":"5"},"uris":["http://www.mendeley.com/documents/?uuid=39c8e0ad-8615-4d96-8d7a-ae404fbc2b7d"]}],"mendeley":{"formattedCitation":"(Ye &lt;i&gt;et al.&lt;/i&gt;, 2017)","plainTextFormattedCitation":"(Ye et al., 2017)","previouslyFormattedCitation":"(Ye &lt;i&gt;et al.&lt;/i&gt;, 2017)"},"properties":{"noteIndex":0},"schema":"https://github.com/citation-style-language/schema/raw/master/csl-citation.json"}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(Ye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2017)</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w:t>
      </w:r>
      <w:r w:rsidRPr="008C36F5">
        <w:rPr>
          <w:rFonts w:ascii="Times New Roman" w:hAnsi="Times New Roman" w:cs="Times New Roman"/>
          <w:sz w:val="20"/>
          <w:szCs w:val="20"/>
          <w:lang w:val="en-IN"/>
        </w:rPr>
        <w:t>This study highlighted new advances in the use of metal-complex chromophores, such as metal complex photosensitizers and supramolecular photocatalysts, in solar to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conversion. The essential concepts of photocatalytic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generation were reviewed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{"citationItems":[{"id":"ITEM-1","itemData":{"DOI":"10.1039/c6cs00436a","ISSN":"14604744","abstract":"Photoactive metal-complexes with applications in solar energy harvesting have been receiving profound research interest. We present in this exciting area the recent development of metal-complex chromophores as sensitizers and supramolecular photocatalysts to facilitate the conversion of solar energy into chemical hydrogen fuel. Solar H 2 generation from water has been intensively investigated as a clean method to convert solar energy into hydrogen fuel. During the past few decades, many studies have demonstrated that metal complexes can act as efficient photoactive materials for photocatalytic H 2 production. Here, we review the recent progress in the application of metal-complex chromophores to solar-to-H 2 conversion, including metal-complex photosensitizers and supramolecular photocatalysts. A brief overview of the fundamental principles of photocatalytic H 2 production is given. Then, different metal-complex photosensitizers and supramolecular photocatalysts are introduced in detail, and the most important factors that strictly determine their photocatalytic performance are also discussed. Finally, we illustrate some challenges and opportunities for future research in this promising area. ","author":[{"dropping-particle":"","family":"Yuan","given":"Yong Jun","non-dropping-particle":"","parse-names":false,"suffix":""},{"dropping-particle":"","family":"Yu","given":"Zhen Tao","non-dropping-particle":"","parse-names":false,"suffix":""},{"dropping-particle":"","family":"Chen","given":"Da Qin","non-dropping-particle":"","parse-names":false,"suffix":""},{"dropping-particle":"","family":"Zou","given":"Zhi Gang","non-dropping-particle":"","parse-names":false,"suffix":""}],"container-title":"Chemical Society Reviews","id":"ITEM-1","issue":"3","issued":{"date-parts":[["2017"]]},"page":"603-631","publisher":"Royal Society of Chemistry","title":"Metal-complex chromophores for solar hydrogen generation","type":"article-journal","volume":"46"},"uris":["http://www.mendeley.com/documents/?uuid=54cf93b9-0e70-4f95-90bf-dcdad699f466"]}],"mendeley":{"formattedCitation":"(Yuan &lt;i&gt;et al.&lt;/i&gt;, 2017)","plainTextFormattedCitation":"(Yuan et al., 2017)","previouslyFormattedCitation":"(Yuan &lt;i&gt;et al.&lt;/i&gt;, 2017)"},"properties":{"noteIndex":0},"schema":"https://github.com/citation-style-language/schema/raw/master/csl-citation.json"}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(Yuan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2017)</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rPr>
        <w:t xml:space="preserve">The performance of OME1 in the vicinity of a perfect blending component was investigated in this work. It decreases both global warming and fossil fuel depletion in proportion to the amount of diesel fuel substituted. LCA of OME1 blends vs. fossil diesel also reveals that OME1 blends can minimise environmental effects from cradle to grave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{"citationItems":[{"id":"ITEM-1","itemData":{"DOI":"10.1039/c7ee01657c","ISSN":"17545706","abstract":" A well-to-wheel LCA shows that OME 1 could serve as an almost carbon-neutral blending component in diesel while even also strongly reducing the NOx and soot emissions.  The combustion of fossil fuels within the transportation sector is a key driver of global warming (GW) and leads to harmful emissions of nitrogen oxides (NOx) and particulates (soot). To reduce these negative impacts of the transportation sector, synthetic fuels are currently being developed, which are produced from renewable energy stored via catalytic conversion of hydrogen (H 2 ) and carbon dioxide (CO 2 ). A promising class of synthetic fuels are oxymethylene ethers (OMEs). This study conducts a prospective environmental assessment of an OME-based fuel using Life Cycle Assessment (LCA). We investigate an OME 1 -diesel-blend (OME 1 -blend), where OME 1 replaces 24 mass% of diesel fuel. Such an OME 1 -blend could be a first step towards an OME transition. For the production of OME 1 from CO 2 -based methanol, we consider both the established route via condensation with formaldehyde and a novel direct pathway based on catalytic combination with CO 2 and hydrogen. To close the carbon loop, CO 2 supply via biogas and direct air capture is considered. In a best-case scenario, hydrogen is produced by water electrolysis using electricity from wind power in the European Union as an input. The direct pathway reduces the required process steps from three to two and is shown to allow for an improved utilization of the energy provided by hydrogen: the exergy efficiency is increased from 74% to 86%. For combustion, we conducted experiments in a single cylinder engine to determine the full spectrum of engine-related emissions. The engine data provide the input for simulations of the cumulative raw emissions over the Worldwide Harmonized Light Vehicles Test Procedures (WLTP) cycle for a mid-size passenger vehicle. Our well-to-wheel LCA shows that OME 1 has the potential to serve as an almost carbon-neutral blending component: replacing 24 mass% of diesel by OME 1 could reduce the GW impact by 22% and the emissions of NOx and soot even by 43% and 75%, respectively. The key to achieving these benefits is the integration of renewable energy in hydrogen production. The cumulative energy demand (CED) over the life cycle is doubled compared to fossil diesel. With sufficient renewable electricity available, OME 1 -blends may serve as a promising first step towards a more sustainable transportation sector. ","author":[{"dropping-particle":"","family":"Deutz","given":"Sarah","non-dropping-particle":"","parse-names":false,"suffix":""},{"dropping-particle":"","family":"Bongartz","given":"Dominik","non-dropping-particle":"","parse-names":false,"suffix":""},{"dropping-particle":"","family":"Heuser","given":"Benedikt","non-dropping-particle":"","parse-names":false,"suffix":""},{"dropping-particle":"","family":"Kätelhön","given":"Arne","non-dropping-particle":"","parse-names":false,"suffix":""},{"dropping-particle":"","family":"Schulze Langenhorst","given":"Luisa","non-dropping-particle":"","parse-names":false,"suffix":""},{"dropping-particle":"","family":"Omari","given":"Ahmad","non-dropping-particle":"","parse-names":false,"suffix":""},{"dropping-particle":"","family":"Walters","given":"Marius","non-dropping-particle":"","parse-names":false,"suffix":""},{"dropping-particle":"","family":"Klankermayer","given":"Jürgen","non-dropping-particle":"","parse-names":false,"suffix":""},{"dropping-particle":"","family":"Leitner","given":"Walter","non-dropping-particle":"","parse-names":false,"suffix":""},{"dropping-particle":"","family":"Mitsos","given":"Alexander","non-dropping-particle":"","parse-names":false,"suffix":""},{"dropping-particle":"","family":"Pischinger","given":"Stefan","non-dropping-particle":"","parse-names":false,"suffix":""},{"dropping-particle":"","family":"Bardow","given":"André","non-dropping-particle":"","parse-names":false,"suffix":""}],"container-title":"Energy and Environmental Science","id":"ITEM-1","issue":"2","issued":{"date-parts":[["2018"]]},"page":"331-343","title":"Cleaner production of cleaner fuels: Wind-to-wheel-environmental assessment of CO2-based oxymethylene ether as a drop-in fuel","type":"article-journal","volume":"11"},"uris":["http://www.mendeley.com/documents/?uuid=6d98ec42-ff9d-4318-b34e-6b575963f17c"]}],"mendeley":{"formattedCitation":"(Deutz &lt;i&gt;et al.&lt;/i&gt;, 2018)","manualFormatting":"(Deutzet al., 2018)","plainTextFormattedCitation":"(Deutz et al., 2018)","previouslyFormattedCitation":"(Deutz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(Deutz</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Solar energy and water are used as input and analyzed by photo-electrochemical or photovoltaic-driven electrolysis devices. The purpose </w:t>
      </w:r>
      <w:r w:rsidRPr="008C36F5">
        <w:rPr>
          <w:rFonts w:ascii="Times New Roman" w:hAnsi="Times New Roman" w:cs="Times New Roman"/>
          <w:sz w:val="20"/>
          <w:szCs w:val="20"/>
          <w:lang w:val="en-IN"/>
        </w:rPr>
        <w:t>was</w:t>
      </w:r>
      <w:r w:rsidRPr="008C36F5">
        <w:rPr>
          <w:rFonts w:ascii="Times New Roman" w:hAnsi="Times New Roman" w:cs="Times New Roman"/>
          <w:sz w:val="20"/>
          <w:szCs w:val="20"/>
        </w:rPr>
        <w:t xml:space="preserve"> to employ a PV electrolysis system for economical production of hydrogen which </w:t>
      </w:r>
      <w:r w:rsidRPr="008C36F5">
        <w:rPr>
          <w:rFonts w:ascii="Times New Roman" w:hAnsi="Times New Roman" w:cs="Times New Roman"/>
          <w:sz w:val="20"/>
          <w:szCs w:val="20"/>
          <w:lang w:val="en-IN"/>
        </w:rPr>
        <w:t>was</w:t>
      </w:r>
      <w:r w:rsidRPr="008C36F5">
        <w:rPr>
          <w:rFonts w:ascii="Times New Roman" w:hAnsi="Times New Roman" w:cs="Times New Roman"/>
          <w:sz w:val="20"/>
          <w:szCs w:val="20"/>
        </w:rPr>
        <w:t xml:space="preserve"> to be utilized by solar hydrogen technologies and the results show</w:t>
      </w:r>
      <w:r w:rsidRPr="008C36F5">
        <w:rPr>
          <w:rFonts w:ascii="Times New Roman" w:hAnsi="Times New Roman" w:cs="Times New Roman"/>
          <w:sz w:val="20"/>
          <w:szCs w:val="20"/>
          <w:lang w:val="en-IN"/>
        </w:rPr>
        <w:t>ed</w:t>
      </w:r>
      <w:r w:rsidRPr="008C36F5">
        <w:rPr>
          <w:rFonts w:ascii="Times New Roman" w:hAnsi="Times New Roman" w:cs="Times New Roman"/>
          <w:sz w:val="20"/>
          <w:szCs w:val="20"/>
        </w:rPr>
        <w:t xml:space="preserve"> the creativity of the science community's capacity to pivot into new viable application areas, which will have a significant influence on future social and environmental consequences of solar-hydrogen technologies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{"citationItems":[{"id":"ITEM-1","itemData":{"DOI":"10.1039/c7ee03639f","ISBN":"8415683111","ISSN":"17545706","abstract":" Several application fields can benefit from solar-hydrogen technologies via specific short-term and long-term pathways. Solar-powered electrochemical production of hydrogen through water electrolysis is an active and important research endeavor. However, technologies and roadmaps for implementation of this process do not exist. In this perspective paper, we describe potential pathways for solar-hydrogen technologies into the marketplace in the form of photoelectrochemical or photovoltaic-driven electrolysis devices and systems. We detail technical approaches for device and system architectures, economic drivers, societal perceptions, political impacts, technological challenges, and research opportunities. Implementation scenarios are broken down into short-term and long-term markets, and a specific technology roadmap is defined. In the short term, the only plausible economical option will be photovoltaic-driven electrolysis systems for niche applications. In the long term, electrochemical solar-hydrogen technologies could be deployed more broadly in energy markets but will require advances in the technology, significant cost reductions, and/or policy changes. Ultimately, a transition to a society that significantly relies on solar-hydrogen technologies will benefit from continued creativity and influence from the scientific community.","author":[{"dropping-particle":"","family":"Ardo","given":"Shane","non-dropping-particle":"","parse-names":false,"suffix":""},{"dropping-particle":"","family":"Fernandez Rivas","given":"David","non-dropping-particle":"","parse-names":false,"suffix":""},{"dropping-particle":"","family":"Modestino","given":"Miguel A.","non-dropping-particle":"","parse-names":false,"suffix":""},{"dropping-particle":"","family":"Schulze Greiving","given":"Verena","non-dropping-particle":"","parse-names":false,"suffix":""},{"dropping-particle":"","family":"Abdi","given":"Fatwa F.","non-dropping-particle":"","parse-names":false,"suffix":""},{"dropping-particle":"","family":"Alarcon Llado","given":"Esther","non-dropping-particle":"","parse-names":false,"suffix":""},{"dropping-particle":"","family":"Artero","given":"Vincent","non-dropping-particle":"","parse-names":false,"suffix":""},{"dropping-particle":"","family":"Ayers","given":"Katherine","non-dropping-particle":"","parse-names":false,"suffix":""},{"dropping-particle":"","family":"Battaglia","given":"Corsin","non-dropping-particle":"","parse-names":false,"suffix":""},{"dropping-particle":"","family":"Becker","given":"Jan Philipp","non-dropping-particle":"","parse-names":false,"suffix":""},{"dropping-particle":"","family":"Bederak","given":"Dmytro","non-dropping-particle":"","parse-names":false,"suffix":""},{"dropping-particle":"","family":"Berger","given":"Alan","non-dropping-particle":"","parse-names":false,"suffix":""},{"dropping-particle":"","family":"Buda","given":"Francesco","non-dropping-particle":"","parse-names":false,"suffix":""},{"dropping-particle":"","family":"Chinello","given":"Enrico","non-dropping-particle":"","parse-names":false,"suffix":""},{"dropping-particle":"","family":"Dam","given":"Bernard","non-dropping-particle":"","parse-names":false,"suffix":""},{"dropping-particle":"","family":"Palma","given":"Valerio","non-dropping-particle":"Di","parse-names":false,"suffix":""},{"dropping-particle":"","family":"Edvinsson","given":"Tomas","non-dropping-particle":"","parse-names":false,"suffix":""},{"dropping-particle":"","family":"Fujii","given":"Katsushi","non-dropping-particle":"","parse-names":false,"suffix":""},{"dropping-particle":"","family":"Gardeniers","given":"Han","non-dropping-particle":"","parse-names":false,"suffix":""},{"dropping-particle":"","family":"Geerlings","given":"Hans","non-dropping-particle":"","parse-names":false,"suffix":""},{"dropping-particle":"","family":"Hashemi","given":"S. Mohammad","non-dropping-particle":"","parse-names":false,"suffix":""},{"dropping-particle":"","family":"Haussener","given":"Sophia","non-dropping-particle":"","parse-names":false,"suffix":""},{"dropping-particle":"","family":"Houle","given":"Frances","non-dropping-particle":"","parse-names":false,"suffix":""},{"dropping-particle":"","family":"Huskens","given":"Jurriaan","non-dropping-particle":"","parse-names":false,"suffix":""},{"dropping-particle":"","family":"James","given":"Brian D.","non-dropping-particle":"","parse-names":false,"suffix":""},{"dropping-particle":"","family":"Konrad","given":"Kornelia","non-dropping-particle":"","parse-names":false,"suffix":""},{"dropping-particle":"","family":"Kudo","given":"Akihiko","non-dropping-particle":"","parse-names":false,"suffix":""},{"dropping-particle":"","family":"Kunturu","given":"Pramod Patil","non-dropping-particle":"","parse-names":false,"suffix":""},{"dropping-particle":"","family":"Lohse","given":"Detlef","non-dropping-particle":"","parse-names":false,"suffix":""},{"dropping-particle":"","family":"Mei","given":"Bastian","non-dropping-particle":"","parse-names":false,"suffix":""},{"dropping-particle":"","family":"Miller","given":"Eric L.","non-dropping-particle":"","parse-names":false,"suffix":""},{"dropping-particle":"","family":"Moore","given":"Gary F.","non-dropping-particle":"","parse-names":false,"suffix":""},{"dropping-particle":"","family":"Muller","given":"Jiri","non-dropping-particle":"","parse-names":false,"suffix":""},{"dropping-particle":"","family":"Orchard","given":"Katherine L.","non-dropping-particle":"","parse-names":false,"suffix":""},{"dropping-particle":"","family":"Rosser","given":"Timothy E.","non-dropping-particle":"","parse-names":false,"suffix":""},{"dropping-particle":"","family":"Saadi","given":"Fadl H.","non-dropping-particle":"","parse-names":false,"suffix":""},{"dropping-particle":"","family":"Schüttauf","given":"Jan Willem","non-dropping-particle":"","parse-names":false,"suffix":""},{"dropping-particle":"","family":"Seger","given":"Brian","non-dropping-particle":"","parse-names":false,"suffix":""},{"dropping-particle":"","family":"Sheehan","given":"Stafford W.","non-dropping-particle":"","parse-names":false,"suffix":""},{"dropping-particle":"","family":"Smith","given":"Wilson A.","non-dropping-particle":"","parse-names":false,"suffix":""},{"dropping-particle":"","family":"Spurgeon","given":"Joshua","non-dropping-particle":"","parse-names":false,"suffix":""},{"dropping-particle":"","family":"Tang","given":"Maureen H.","non-dropping-particle":"","parse-names":false,"suffix":""},{"dropping-particle":"","family":"Krol","given":"Roel","non-dropping-particle":"Van De","parse-names":false,"suffix":""},{"dropping-particle":"","family":"Vesborg","given":"Peter C.K.","non-dropping-particle":"","parse-names":false,"suffix":""},{"dropping-particle":"","family":"Westerik","given":"Pieter","non-dropping-particle":"","parse-names":false,"suffix":""}],"container-title":"Energy and Environmental Science","id":"ITEM-1","issue":"10","issued":{"date-parts":[["2018"]]},"page":"2768-2783","title":"Pathways to electrochemical solar-hydrogen technologies","type":"article-journal","volume":"11"},"uris":["http://www.mendeley.com/documents/?uuid=192b74ae-2636-4782-9460-3f07aba25088"]}],"mendeley":{"formattedCitation":"(Ardo &lt;i&gt;et al.&lt;/i&gt;, 2018)","plainTextFormattedCitation":"(Ardo et al., 2018)","previouslyFormattedCitation":"(Ardo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(Ardo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They work</w:t>
      </w:r>
      <w:r w:rsidRPr="008C36F5">
        <w:rPr>
          <w:rFonts w:ascii="Times New Roman" w:hAnsi="Times New Roman" w:cs="Times New Roman"/>
          <w:sz w:val="20"/>
          <w:szCs w:val="20"/>
          <w:lang w:val="en-IN"/>
        </w:rPr>
        <w:t>ed</w:t>
      </w:r>
      <w:r w:rsidRPr="008C36F5">
        <w:rPr>
          <w:rFonts w:ascii="Times New Roman" w:hAnsi="Times New Roman" w:cs="Times New Roman"/>
          <w:sz w:val="20"/>
          <w:szCs w:val="20"/>
        </w:rPr>
        <w:t xml:space="preserve"> on Plastic waste as a fuel for solar-powered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production. Polylactic acid with other parameters was used as input and </w:t>
      </w:r>
      <w:r w:rsidRPr="008C36F5">
        <w:rPr>
          <w:rFonts w:ascii="Times New Roman" w:hAnsi="Times New Roman" w:cs="Times New Roman"/>
          <w:sz w:val="20"/>
          <w:szCs w:val="20"/>
          <w:lang w:val="en-IN"/>
        </w:rPr>
        <w:t>wa</w:t>
      </w:r>
      <w:r w:rsidRPr="008C36F5">
        <w:rPr>
          <w:rFonts w:ascii="Times New Roman" w:hAnsi="Times New Roman" w:cs="Times New Roman"/>
          <w:sz w:val="20"/>
          <w:szCs w:val="20"/>
        </w:rPr>
        <w:t xml:space="preserve">s analyzed by solar-driven reforming of plastic. The purpose </w:t>
      </w:r>
      <w:r w:rsidRPr="008C36F5">
        <w:rPr>
          <w:rFonts w:ascii="Times New Roman" w:hAnsi="Times New Roman" w:cs="Times New Roman"/>
          <w:sz w:val="20"/>
          <w:szCs w:val="20"/>
          <w:lang w:val="en-IN"/>
        </w:rPr>
        <w:t>wa</w:t>
      </w:r>
      <w:r w:rsidRPr="008C36F5">
        <w:rPr>
          <w:rFonts w:ascii="Times New Roman" w:hAnsi="Times New Roman" w:cs="Times New Roman"/>
          <w:sz w:val="20"/>
          <w:szCs w:val="20"/>
        </w:rPr>
        <w:t xml:space="preserve">s to convert plastic waste into formate, acetate, and pyruvates were formed from pure hydrogen and waste polymer. This approach was able to solve the worldwide problem of plastic deterioration while also addressing other issues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{"citationItems":[{"id":"ITEM-1","itemData":{"DOI":"10.1039/c8ee01408f","ISBN":"1754-5692\r1754-5706","ISSN":"17545706","abstract":"Plastic waste is recycled to hydrogen using sunlight and a CdS photocatalyst. Solar-driven reforming of plastics offers a simple and low-energy means to turn waste into H 2 . Here, we report the efficient photoreforming of three commonly produced polymers – polylactic acid, polyethylene terephthalate (PET) and polyurethane – using inexpensive CdS/CdO x quantum dots in alkaline aqueous solution. This process operates under ambient temperature and pressure, generates pure H 2 and converts the waste polymer into organic products such as formate, acetate and pyruvate. We further validate the real-world applicability of the system by converting a PET water bottle into H 2 . This is the first demonstration of visible light-driven, noble metal-free photoreforming of plastic. ","author":[{"dropping-particle":"","family":"Uekert","given":"Taylor","non-dropping-particle":"","parse-names":false,"suffix":""},{"dropping-particle":"","family":"Kuehnel","given":"Moritz F.","non-dropping-particle":"","parse-names":false,"suffix":""},{"dropping-particle":"","family":"Wakerley","given":"David W.","non-dropping-particle":"","parse-names":false,"suffix":""},{"dropping-particle":"","family":"Reisner","given":"Erwin","non-dropping-particle":"","parse-names":false,"suffix":""}],"container-title":"Energy and Environmental Science","id":"ITEM-1","issue":"10","issued":{"date-parts":[["2018"]]},"page":"2853-2857","publisher":"Royal Society of Chemistry","title":"Plastic waste as a feedstock for solar-driven H2 generation","type":"article-journal","volume":"11"},"uris":["http://www.mendeley.com/documents/?uuid=7960e224-8621-4500-90d4-42d3ec6da5ad"]}],"mendeley":{"formattedCitation":"(Uekert &lt;i&gt;et al.&lt;/i&gt;, 2018)","plainTextFormattedCitation":"(Uekert et al., 2018)","previouslyFormattedCitation":"(Uekert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(Uekert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2018)</w:t>
      </w:r>
      <w:r w:rsidR="0063134A" w:rsidRPr="008C36F5">
        <w:rPr>
          <w:rFonts w:ascii="Times New Roman" w:hAnsi="Times New Roman" w:cs="Times New Roman"/>
          <w:sz w:val="20"/>
          <w:szCs w:val="20"/>
        </w:rPr>
        <w:fldChar w:fldCharType="end"/>
      </w:r>
      <w:r w:rsidR="0082157E">
        <w:rPr>
          <w:rFonts w:ascii="Times New Roman" w:hAnsi="Times New Roman" w:cs="Times New Roman"/>
          <w:sz w:val="20"/>
          <w:szCs w:val="20"/>
        </w:rPr>
        <w:t xml:space="preserve">. </w:t>
      </w:r>
    </w:p>
    <w:p w:rsidR="00A147DF" w:rsidRPr="008C36F5" w:rsidRDefault="00A147DF" w:rsidP="0082157E">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 xml:space="preserve">In this work, the P&amp;O MPPT algorithm was utilised in conjunction with the PI controller to more effectively detect PV energy and convert it to the necessary electrolysis process's voltage level. MATLAB/ Simulink software was used to model the photo voltaic-powered DC buck converter for electrolysis load in greater detail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{"citationItems":[{"id":"ITEM-1","itemData":{"DOI":"10.1016/j.ijhydene.2020.01.162","ISSN":"03603199","abstract":"One of the main problems for renewable and other innovative energy sources is the storage of energy for sustainability. This study focuses on two different scenarios to benefit from solar energy more efficiently. Photovoltaic (PV) energy is converted to the desired voltage level using a buck converter for generating hydrogen with electrolysis process. A maximum power point tracking (MPPT) algorithm is used to benefit from the photovoltaic sources more efficiently. The basic electrolysis load for hydrogen production needs low voltage and high current and controlled sensitively to supply these conditions. The photovoltaic powered buck converter for electrolysis load was simulated in MATLAB/Simulink software using a perturb and observe (P and O) MPPT algorithm and PI controller. The simulation results show that in normal, short circuit and open circuit working conditions the PV and load voltages are stabilized. The efficiency of the proposed system is reached more than 90% for high irradiance levels.","author":[{"dropping-particle":"","family":"Ergin Şahin","given":"Mustafa","non-dropping-particle":"","parse-names":false,"suffix":""}],"container-title":"International Journal of Hydrogen Energy","id":"ITEM-1","issue":"16","issued":{"date-parts":[["2020"]]},"page":"9293-9304","title":"A photovoltaic powered electrolysis converter system with maximum power point tracking control","type":"article-journal","volume":"45"},"uris":["http://www.mendeley.com/documents/?uuid=6364eea6-8b5c-4876-b636-9a9e456fd512"]}],"mendeley":{"formattedCitation":"(Ergin Şahin, 2020)","plainTextFormattedCitation":"(Ergin Şahin, 2020)","previouslyFormattedCitation":"(Ergin Şahin, 2020)"},"properties":{"noteIndex":0},"schema":"https://github.com/citation-style-language/schema/raw/master/csl-citation.json"}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(Ergin Şahin, 2020)</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The efficiency for biomass gasification-based hydrogen production is 53.6 percent and 49.8%, respectively, but the efficiencies for geothermal power generation-based hydrogen production are 10.4 percent and 10.2 percent. </w:t>
      </w:r>
      <w:r w:rsidRPr="008C36F5">
        <w:rPr>
          <w:rFonts w:ascii="Times New Roman" w:hAnsi="Times New Roman" w:cs="Times New Roman"/>
          <w:sz w:val="20"/>
          <w:szCs w:val="20"/>
        </w:rPr>
        <w:lastRenderedPageBreak/>
        <w:t xml:space="preserve">Exergetic and energy efficiency of hydrogen generation systems using solar PV systems were discovered to be 17.45 percent and 16.95 percent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{"citationItems":[{"id":"ITEM-1","itemData":{"DOI":"10.1016/j.rser.2020.110192","ISSN":"18790690","abstract":"Hydrogen is acknowledged as a potential fuel as it can be used as an energy carrier, a storage medium, in fuel cells and as a fuel as well and offers carbon-free solutions. This paper investigates three renewable energy based configurations for hydrogen production. The renewable energy sources considered in this study are solar PV, geothermal power generation and biomass gasification. The proposed study also presents a novel configuration of biomass gasification for hydrogen production via multistage water gas shift reactors. The solar PV and geothermal energy based hydrogen production systems are analysed employing the EES software while the hydrogen production system employing biomass gasification is simulated employing Aspen Plus. All three designed configurations are proceeded through numerous parametric analyses to investigate the system behavior and effect on system efficiencies. The hydrogen production using biomass gasification technique provides with the energetic and exergetic efficiencies of 53.6% and 49.8% and the efficiencies for the geothermal power generation based hydrogen production system are found to be 10.4% and 10.2% respectively. The exergetic and energetic efficiencies of hydrogen production system employing solar PV system are found to be 17.45% and 16.95%, respectively and the system is designed to produce 1.13 mol/s of hydrogen. Furthermore, the results of the parametric studies and sensitivity analyses are presented and discussed.","author":[{"dropping-particle":"","family":"Ishaq","given":"H.","non-dropping-particle":"","parse-names":false,"suffix":""},{"dropping-particle":"","family":"Dincer","given":"I.","non-dropping-particle":"","parse-names":false,"suffix":""}],"container-title":"Renewable and Sustainable Energy Reviews","id":"ITEM-1","issue":"July 2020","issued":{"date-parts":[["2021"]]},"page":"110192","publisher":"Elsevier Ltd","title":"Comparative assessment of renewable energy-based hydrogen production methods","type":"article-journal","volume":"135"},"uris":["http://www.mendeley.com/documents/?uuid=e2501faa-5fef-4501-9be5-de8e84466e50"]}],"mendeley":{"formattedCitation":"(Ishaq and Dincer, 2021)","plainTextFormattedCitation":"(Ishaq and Dincer, 2021)","previouslyFormattedCitation":"(Ishaq and Dincer, 2021)"},"properties":{"noteIndex":0},"schema":"https://github.com/citation-style-language/schema/raw/master/csl-citation.json"}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(Ishaq and Dincer, 2021)</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w:t>
      </w:r>
    </w:p>
    <w:p w:rsidR="00A147DF" w:rsidRPr="008C36F5" w:rsidRDefault="00A147DF" w:rsidP="008C36F5">
      <w:pPr>
        <w:spacing w:line="240" w:lineRule="auto"/>
        <w:rPr>
          <w:rFonts w:ascii="Times New Roman" w:hAnsi="Times New Roman" w:cs="Times New Roman"/>
          <w:sz w:val="20"/>
          <w:szCs w:val="20"/>
        </w:rPr>
      </w:pPr>
      <w:r w:rsidRPr="0082157E">
        <w:rPr>
          <w:rFonts w:ascii="Times New Roman" w:hAnsi="Times New Roman" w:cs="Times New Roman"/>
          <w:b/>
          <w:szCs w:val="20"/>
        </w:rPr>
        <w:t xml:space="preserve">Available Solar Energy: </w:t>
      </w:r>
      <w:r w:rsidRPr="008C36F5">
        <w:rPr>
          <w:rFonts w:ascii="Times New Roman" w:hAnsi="Times New Roman" w:cs="Times New Roman"/>
          <w:sz w:val="20"/>
          <w:szCs w:val="20"/>
        </w:rPr>
        <w:t>The following calculation is based on daily average solar irradiation and used to determine available solar energy:</w:t>
      </w:r>
    </w:p>
    <w:p w:rsidR="00A147DF" w:rsidRPr="0071597E" w:rsidRDefault="00A147DF" w:rsidP="0082157E">
      <w:pPr>
        <w:spacing w:before="0" w:beforeAutospacing="0" w:after="0" w:afterAutospacing="0" w:line="240" w:lineRule="auto"/>
        <w:rPr>
          <w:rFonts w:ascii="Times New Roman" w:hAnsi="Times New Roman" w:cs="Times New Roman"/>
          <w:sz w:val="20"/>
          <w:szCs w:val="20"/>
        </w:rPr>
      </w:pPr>
      <w:r w:rsidRPr="0071597E">
        <w:rPr>
          <w:rFonts w:ascii="Times New Roman" w:hAnsi="Times New Roman" w:cs="Times New Roman"/>
          <w:sz w:val="20"/>
          <w:szCs w:val="20"/>
        </w:rPr>
        <w:t>Q</w:t>
      </w:r>
      <w:r w:rsidRPr="0071597E">
        <w:rPr>
          <w:rFonts w:ascii="Times New Roman" w:hAnsi="Times New Roman" w:cs="Times New Roman"/>
          <w:sz w:val="20"/>
          <w:szCs w:val="20"/>
          <w:vertAlign w:val="superscript"/>
        </w:rPr>
        <w:t>.</w:t>
      </w:r>
      <w:r w:rsidRPr="0071597E">
        <w:rPr>
          <w:rFonts w:ascii="Times New Roman" w:hAnsi="Times New Roman" w:cs="Times New Roman"/>
          <w:sz w:val="20"/>
          <w:szCs w:val="20"/>
          <w:vertAlign w:val="subscript"/>
        </w:rPr>
        <w:t>solar available</w:t>
      </w:r>
      <w:r w:rsidRPr="0071597E">
        <w:rPr>
          <w:rFonts w:ascii="Times New Roman" w:hAnsi="Times New Roman" w:cs="Times New Roman"/>
          <w:sz w:val="20"/>
          <w:szCs w:val="20"/>
        </w:rPr>
        <w:t xml:space="preserve"> = I</w:t>
      </w:r>
      <w:r w:rsidRPr="0071597E">
        <w:rPr>
          <w:rFonts w:ascii="Times New Roman" w:hAnsi="Times New Roman" w:cs="Times New Roman"/>
          <w:sz w:val="20"/>
          <w:szCs w:val="20"/>
          <w:vertAlign w:val="subscript"/>
        </w:rPr>
        <w:t>solar</w:t>
      </w:r>
      <w:r w:rsidRPr="0071597E">
        <w:rPr>
          <w:rFonts w:ascii="Times New Roman" w:hAnsi="Times New Roman" w:cs="Times New Roman"/>
          <w:sz w:val="20"/>
          <w:szCs w:val="20"/>
        </w:rPr>
        <w:t>. A</w:t>
      </w:r>
      <w:r w:rsidRPr="0071597E">
        <w:rPr>
          <w:rFonts w:ascii="Times New Roman" w:hAnsi="Times New Roman" w:cs="Times New Roman"/>
          <w:sz w:val="20"/>
          <w:szCs w:val="20"/>
          <w:vertAlign w:val="subscript"/>
        </w:rPr>
        <w:t>PTC’s</w:t>
      </w:r>
    </w:p>
    <w:p w:rsidR="00A147DF" w:rsidRPr="0071597E" w:rsidRDefault="00A147DF" w:rsidP="0082157E">
      <w:pPr>
        <w:spacing w:before="0" w:beforeAutospacing="0" w:after="0" w:afterAutospacing="0" w:line="240" w:lineRule="auto"/>
        <w:rPr>
          <w:rFonts w:ascii="Times New Roman" w:hAnsi="Times New Roman" w:cs="Times New Roman"/>
          <w:sz w:val="20"/>
          <w:szCs w:val="20"/>
        </w:rPr>
      </w:pPr>
      <w:r w:rsidRPr="0071597E">
        <w:rPr>
          <w:rFonts w:ascii="Times New Roman" w:hAnsi="Times New Roman" w:cs="Times New Roman"/>
          <w:sz w:val="20"/>
          <w:szCs w:val="20"/>
        </w:rPr>
        <w:t>I</w:t>
      </w:r>
      <w:r w:rsidRPr="0071597E">
        <w:rPr>
          <w:rFonts w:ascii="Times New Roman" w:hAnsi="Times New Roman" w:cs="Times New Roman"/>
          <w:sz w:val="20"/>
          <w:szCs w:val="20"/>
          <w:vertAlign w:val="subscript"/>
        </w:rPr>
        <w:t xml:space="preserve">solar </w:t>
      </w:r>
      <w:r w:rsidRPr="0071597E">
        <w:rPr>
          <w:rFonts w:ascii="Times New Roman" w:hAnsi="Times New Roman" w:cs="Times New Roman"/>
          <w:sz w:val="20"/>
          <w:szCs w:val="20"/>
        </w:rPr>
        <w:t>= Solar Irradiation</w:t>
      </w:r>
    </w:p>
    <w:p w:rsidR="00A147DF" w:rsidRPr="0071597E" w:rsidRDefault="00A147DF" w:rsidP="0082157E">
      <w:pPr>
        <w:spacing w:before="0" w:beforeAutospacing="0" w:after="0" w:afterAutospacing="0" w:line="240" w:lineRule="auto"/>
        <w:rPr>
          <w:rFonts w:ascii="Times New Roman" w:hAnsi="Times New Roman" w:cs="Times New Roman"/>
          <w:sz w:val="20"/>
          <w:szCs w:val="20"/>
        </w:rPr>
      </w:pPr>
      <w:r w:rsidRPr="0071597E">
        <w:rPr>
          <w:rFonts w:ascii="Times New Roman" w:hAnsi="Times New Roman" w:cs="Times New Roman"/>
          <w:sz w:val="20"/>
          <w:szCs w:val="20"/>
        </w:rPr>
        <w:t>A</w:t>
      </w:r>
      <w:r w:rsidRPr="0071597E">
        <w:rPr>
          <w:rFonts w:ascii="Times New Roman" w:hAnsi="Times New Roman" w:cs="Times New Roman"/>
          <w:sz w:val="20"/>
          <w:szCs w:val="20"/>
          <w:vertAlign w:val="subscript"/>
        </w:rPr>
        <w:t>PTC’s</w:t>
      </w:r>
      <w:r w:rsidRPr="0071597E">
        <w:rPr>
          <w:rFonts w:ascii="Times New Roman" w:hAnsi="Times New Roman" w:cs="Times New Roman"/>
          <w:sz w:val="20"/>
          <w:szCs w:val="20"/>
        </w:rPr>
        <w:t xml:space="preserve"> = Cumulative area of PTCs</w:t>
      </w:r>
    </w:p>
    <w:p w:rsidR="00A147DF" w:rsidRPr="008C36F5" w:rsidRDefault="00A147DF" w:rsidP="008C36F5">
      <w:pPr>
        <w:spacing w:line="240" w:lineRule="auto"/>
        <w:rPr>
          <w:rFonts w:ascii="Times New Roman" w:hAnsi="Times New Roman" w:cs="Times New Roman"/>
          <w:sz w:val="20"/>
          <w:szCs w:val="20"/>
        </w:rPr>
      </w:pPr>
      <w:r w:rsidRPr="0071597E">
        <w:rPr>
          <w:rFonts w:ascii="Times New Roman" w:hAnsi="Times New Roman" w:cs="Times New Roman"/>
          <w:b/>
          <w:szCs w:val="20"/>
        </w:rPr>
        <w:t xml:space="preserve">Available Wind Energy: </w:t>
      </w:r>
      <w:r w:rsidRPr="008C36F5">
        <w:rPr>
          <w:rFonts w:ascii="Times New Roman" w:hAnsi="Times New Roman" w:cs="Times New Roman"/>
          <w:sz w:val="20"/>
          <w:szCs w:val="20"/>
        </w:rPr>
        <w:t>The area of the wind turbine blades, wind velocity and density of the air all contribute to wind energy. As a result, the following equation is used to determine average available wind energy:</w:t>
      </w:r>
    </w:p>
    <w:p w:rsidR="00A147DF" w:rsidRPr="008C36F5" w:rsidRDefault="00A147DF" w:rsidP="0071597E">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W</w:t>
      </w:r>
      <w:r w:rsidRPr="008C36F5">
        <w:rPr>
          <w:rFonts w:ascii="Times New Roman" w:hAnsi="Times New Roman" w:cs="Times New Roman"/>
          <w:sz w:val="20"/>
          <w:szCs w:val="20"/>
          <w:vertAlign w:val="superscript"/>
        </w:rPr>
        <w:t>.</w:t>
      </w:r>
      <w:r w:rsidRPr="008C36F5">
        <w:rPr>
          <w:rFonts w:ascii="Times New Roman" w:hAnsi="Times New Roman" w:cs="Times New Roman"/>
          <w:sz w:val="20"/>
          <w:szCs w:val="20"/>
          <w:vertAlign w:val="subscript"/>
        </w:rPr>
        <w:t>wind; available</w:t>
      </w:r>
      <w:r w:rsidRPr="008C36F5">
        <w:rPr>
          <w:rFonts w:ascii="Times New Roman" w:hAnsi="Times New Roman" w:cs="Times New Roman"/>
          <w:sz w:val="20"/>
          <w:szCs w:val="20"/>
        </w:rPr>
        <w:t xml:space="preserve"> = N</w:t>
      </w:r>
      <w:r w:rsidRPr="008C36F5">
        <w:rPr>
          <w:rFonts w:ascii="Times New Roman" w:hAnsi="Times New Roman" w:cs="Times New Roman"/>
          <w:sz w:val="20"/>
          <w:szCs w:val="20"/>
          <w:vertAlign w:val="subscript"/>
        </w:rPr>
        <w:t>t</w:t>
      </w:r>
      <w:r w:rsidRPr="008C36F5">
        <w:rPr>
          <w:rFonts w:ascii="Times New Roman" w:hAnsi="Times New Roman" w:cs="Times New Roman"/>
          <w:sz w:val="20"/>
          <w:szCs w:val="20"/>
        </w:rPr>
        <w:t>.(1/2)ρ</w:t>
      </w:r>
      <w:r w:rsidRPr="008C36F5">
        <w:rPr>
          <w:rFonts w:ascii="Times New Roman" w:hAnsi="Times New Roman" w:cs="Times New Roman"/>
          <w:sz w:val="20"/>
          <w:szCs w:val="20"/>
          <w:vertAlign w:val="subscript"/>
        </w:rPr>
        <w:t>air</w:t>
      </w:r>
      <w:r w:rsidRPr="008C36F5">
        <w:rPr>
          <w:rFonts w:ascii="Times New Roman" w:hAnsi="Times New Roman" w:cs="Times New Roman"/>
          <w:sz w:val="20"/>
          <w:szCs w:val="20"/>
        </w:rPr>
        <w:t>.A</w:t>
      </w:r>
      <w:r w:rsidRPr="008C36F5">
        <w:rPr>
          <w:rFonts w:ascii="Times New Roman" w:hAnsi="Times New Roman" w:cs="Times New Roman"/>
          <w:sz w:val="20"/>
          <w:szCs w:val="20"/>
          <w:vertAlign w:val="subscript"/>
        </w:rPr>
        <w:t>r</w:t>
      </w:r>
      <w:r w:rsidRPr="008C36F5">
        <w:rPr>
          <w:rFonts w:ascii="Times New Roman" w:hAnsi="Times New Roman" w:cs="Times New Roman"/>
          <w:sz w:val="20"/>
          <w:szCs w:val="20"/>
        </w:rPr>
        <w:t>v</w:t>
      </w:r>
      <w:r w:rsidRPr="008C36F5">
        <w:rPr>
          <w:rFonts w:ascii="Times New Roman" w:hAnsi="Times New Roman" w:cs="Times New Roman"/>
          <w:sz w:val="20"/>
          <w:szCs w:val="20"/>
          <w:vertAlign w:val="superscript"/>
        </w:rPr>
        <w:t>3</w:t>
      </w:r>
      <w:r w:rsidRPr="008C36F5">
        <w:rPr>
          <w:rFonts w:ascii="Times New Roman" w:hAnsi="Times New Roman" w:cs="Times New Roman"/>
          <w:sz w:val="20"/>
          <w:szCs w:val="20"/>
        </w:rPr>
        <w:t xml:space="preserve"> </w:t>
      </w:r>
      <w:r w:rsidRPr="008C36F5">
        <w:rPr>
          <w:rFonts w:ascii="Times New Roman" w:hAnsi="Times New Roman" w:cs="Times New Roman"/>
          <w:sz w:val="20"/>
          <w:szCs w:val="20"/>
          <w:vertAlign w:val="subscript"/>
        </w:rPr>
        <w:t>upstream</w:t>
      </w:r>
    </w:p>
    <w:p w:rsidR="00A147DF" w:rsidRPr="008C36F5" w:rsidRDefault="00A147DF" w:rsidP="0071597E">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N</w:t>
      </w:r>
      <w:r w:rsidRPr="008C36F5">
        <w:rPr>
          <w:rFonts w:ascii="Times New Roman" w:hAnsi="Times New Roman" w:cs="Times New Roman"/>
          <w:sz w:val="20"/>
          <w:szCs w:val="20"/>
          <w:vertAlign w:val="subscript"/>
        </w:rPr>
        <w:t xml:space="preserve">t </w:t>
      </w:r>
      <w:r w:rsidRPr="008C36F5">
        <w:rPr>
          <w:rFonts w:ascii="Times New Roman" w:hAnsi="Times New Roman" w:cs="Times New Roman"/>
          <w:sz w:val="20"/>
          <w:szCs w:val="20"/>
        </w:rPr>
        <w:t>= No. of Turbines</w:t>
      </w:r>
    </w:p>
    <w:p w:rsidR="00A147DF" w:rsidRPr="008C36F5" w:rsidRDefault="00A147DF" w:rsidP="0071597E">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ρ</w:t>
      </w:r>
      <w:r w:rsidRPr="008C36F5">
        <w:rPr>
          <w:rFonts w:ascii="Times New Roman" w:hAnsi="Times New Roman" w:cs="Times New Roman"/>
          <w:sz w:val="20"/>
          <w:szCs w:val="20"/>
          <w:vertAlign w:val="subscript"/>
        </w:rPr>
        <w:t xml:space="preserve">air </w:t>
      </w:r>
      <w:r w:rsidRPr="008C36F5">
        <w:rPr>
          <w:rFonts w:ascii="Times New Roman" w:hAnsi="Times New Roman" w:cs="Times New Roman"/>
          <w:sz w:val="20"/>
          <w:szCs w:val="20"/>
        </w:rPr>
        <w:t>= Air density</w:t>
      </w:r>
    </w:p>
    <w:p w:rsidR="00A147DF" w:rsidRPr="008C36F5" w:rsidRDefault="00A147DF" w:rsidP="0071597E">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A</w:t>
      </w:r>
      <w:r w:rsidRPr="008C36F5">
        <w:rPr>
          <w:rFonts w:ascii="Times New Roman" w:hAnsi="Times New Roman" w:cs="Times New Roman"/>
          <w:sz w:val="20"/>
          <w:szCs w:val="20"/>
          <w:vertAlign w:val="subscript"/>
        </w:rPr>
        <w:t>r</w:t>
      </w:r>
      <w:r w:rsidRPr="008C36F5">
        <w:rPr>
          <w:rFonts w:ascii="Times New Roman" w:hAnsi="Times New Roman" w:cs="Times New Roman"/>
          <w:sz w:val="20"/>
          <w:szCs w:val="20"/>
        </w:rPr>
        <w:t xml:space="preserve"> = Wind Turbine Area</w:t>
      </w:r>
    </w:p>
    <w:p w:rsidR="00FA249C" w:rsidRPr="008C36F5" w:rsidRDefault="00A147DF" w:rsidP="0071597E">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v</w:t>
      </w:r>
      <w:r w:rsidRPr="008C36F5">
        <w:rPr>
          <w:rFonts w:ascii="Times New Roman" w:hAnsi="Times New Roman" w:cs="Times New Roman"/>
          <w:sz w:val="20"/>
          <w:szCs w:val="20"/>
          <w:vertAlign w:val="superscript"/>
        </w:rPr>
        <w:t>3</w:t>
      </w:r>
      <w:r w:rsidRPr="008C36F5">
        <w:rPr>
          <w:rFonts w:ascii="Times New Roman" w:hAnsi="Times New Roman" w:cs="Times New Roman"/>
          <w:sz w:val="20"/>
          <w:szCs w:val="20"/>
        </w:rPr>
        <w:t xml:space="preserve"> </w:t>
      </w:r>
      <w:r w:rsidRPr="008C36F5">
        <w:rPr>
          <w:rFonts w:ascii="Times New Roman" w:hAnsi="Times New Roman" w:cs="Times New Roman"/>
          <w:sz w:val="20"/>
          <w:szCs w:val="20"/>
          <w:vertAlign w:val="subscript"/>
        </w:rPr>
        <w:t>upstream</w:t>
      </w:r>
      <w:r w:rsidRPr="008C36F5">
        <w:rPr>
          <w:rFonts w:ascii="Times New Roman" w:hAnsi="Times New Roman" w:cs="Times New Roman"/>
          <w:sz w:val="20"/>
          <w:szCs w:val="20"/>
        </w:rPr>
        <w:t xml:space="preserve"> = Upstream wind velocity</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{"citationItems":[{"id":"ITEM-1","itemData":{"DOI":"10.1016/j.ijhydene.2018.12.191","ISSN":"03603199","abstract":"In this study, a solar and wind energy-based system integrated with H2–O2 combustor is developed to produce fresh water from sea-water desalination, electricity, cooling, hydrogen, and oxygen as well as to provide food drying and domestic water heating. The main components of the proposed system contains concentrated solar power (CSP), wind turbine, Rankine cycle, multi stage flash (MSF) desalination unit, water electrolyzer, a refrigeration unit, a food drying system, oxy-hydrogen combustor, domestic water heater, as well as hydrogen and oxygen storage units. Furthermore, for continuous operation of the system during night time and in cloudy weather conditions, a thermal energy storage (TES) unit and oxy-hydrogen combustion unit are integrated to the system. Based on energy and exergy balances, performance assessment of the proposed system is conducted. Moreover, effects of various parameters such as solar irradiation, wind speed and ambient temperature on some of the outputs of the system are investigated. The results illustrate that the proposed system fulfills most of the remote community requirements in an efficient, environmentally benign and uninterrupted way. The obtained results for the reference case show that with installation of parabolic trough concentrators (PTCs) on an area of 111,728 m2, the plant produces net electrical power of approximately 11.4 MW, approximately 828 m3/day of freshwater, about 36 kg/s of hot air for food drying, about 31 kg/s of heated domestic water, approximately 920 kg/day of H2 and about 2.26 MW of cooling. The overall energy efficiency of the system is found to be 50%, while the exergy efficiency of the system is 34%. In addition, the energy and exergy efficiencies of single generation in which there is only electrical power output are approximately 15% and 16%, respectively.","author":[{"dropping-particle":"","family":"Luqman","given":"Muhammad","non-dropping-particle":"","parse-names":false,"suffix":""},{"dropping-particle":"","family":"Bicer","given":"Yusuf","non-dropping-particle":"","parse-names":false,"suffix":""},{"dropping-particle":"","family":"Al-Ansari","given":"Tareq","non-dropping-particle":"","parse-names":false,"suffix":""}],"container-title":"International Journal of Hydrogen Energy","id":"ITEM-1","issued":{"date-parts":[["2019"]]},"page":"01-14","publisher":"Elsevier Ltd","title":"Thermodynamic analysis of an oxy-hydrogen combustor supported solar and wind energy-based sustainable polygeneration system for remote locations","type":"article-newspaper"},"uris":["http://www.mendeley.com/documents/?uuid=c70ff29e-1fec-4567-9db4-9189001931b4"]}],"mendeley":{"formattedCitation":"(Luqman, Bicer and Al-Ansari, 2019)","manualFormatting":"( Luqman, Bicer and Al-Ansari, 2019)","plainTextFormattedCitation":"(Luqman, Bicer and Al-Ansari, 2019)","previouslyFormattedCitation":"(Luqman, Bicer and Al-Ansari, 2019)"},"properties":{"noteIndex":0},"schema":"https://github.com/citation-style-language/schema/raw/master/csl-citation.json"}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Luqman, Bicer and Al-Ansari, 2019)</w:t>
      </w:r>
      <w:r w:rsidR="0063134A" w:rsidRPr="008C36F5">
        <w:rPr>
          <w:rFonts w:ascii="Times New Roman" w:hAnsi="Times New Roman" w:cs="Times New Roman"/>
          <w:sz w:val="20"/>
          <w:szCs w:val="20"/>
        </w:rPr>
        <w:fldChar w:fldCharType="end"/>
      </w:r>
    </w:p>
    <w:p w:rsidR="00A147DF" w:rsidRPr="0071597E" w:rsidRDefault="00A147DF" w:rsidP="008C36F5">
      <w:pPr>
        <w:spacing w:line="240" w:lineRule="auto"/>
        <w:rPr>
          <w:rFonts w:ascii="Times New Roman" w:hAnsi="Times New Roman" w:cs="Times New Roman"/>
          <w:b/>
          <w:szCs w:val="20"/>
        </w:rPr>
      </w:pPr>
      <w:r w:rsidRPr="0071597E">
        <w:rPr>
          <w:rFonts w:ascii="Times New Roman" w:hAnsi="Times New Roman" w:cs="Times New Roman"/>
          <w:b/>
          <w:szCs w:val="20"/>
        </w:rPr>
        <w:t>Table: 5</w:t>
      </w:r>
      <w:r w:rsidR="00DD0058" w:rsidRPr="0071597E">
        <w:rPr>
          <w:rFonts w:ascii="Times New Roman" w:hAnsi="Times New Roman" w:cs="Times New Roman"/>
          <w:b/>
          <w:szCs w:val="20"/>
        </w:rPr>
        <w:t xml:space="preserve"> </w:t>
      </w:r>
      <w:r w:rsidRPr="0071597E">
        <w:rPr>
          <w:rFonts w:ascii="Times New Roman" w:hAnsi="Times New Roman" w:cs="Times New Roman"/>
          <w:b/>
          <w:szCs w:val="20"/>
        </w:rPr>
        <w:t>Research Activities on Generation of Oxyhydrogen Gas (HHO)/ H</w:t>
      </w:r>
      <w:r w:rsidRPr="0071597E">
        <w:rPr>
          <w:rFonts w:ascii="Times New Roman" w:hAnsi="Times New Roman" w:cs="Times New Roman"/>
          <w:b/>
          <w:szCs w:val="20"/>
          <w:vertAlign w:val="subscript"/>
        </w:rPr>
        <w:t>2</w:t>
      </w:r>
      <w:r w:rsidRPr="0071597E">
        <w:rPr>
          <w:rFonts w:ascii="Times New Roman" w:hAnsi="Times New Roman" w:cs="Times New Roman"/>
          <w:b/>
          <w:szCs w:val="20"/>
        </w:rPr>
        <w:t xml:space="preserve"> Using Renewable Energy (Solar/Wind)</w:t>
      </w:r>
    </w:p>
    <w:tbl>
      <w:tblPr>
        <w:tblStyle w:val="LightShading"/>
        <w:tblW w:w="5000" w:type="pct"/>
        <w:shd w:val="clear" w:color="auto" w:fill="FFFFFF" w:themeFill="background1"/>
        <w:tblLook w:val="04A0" w:firstRow="1" w:lastRow="0" w:firstColumn="1" w:lastColumn="0" w:noHBand="0" w:noVBand="1"/>
      </w:tblPr>
      <w:tblGrid>
        <w:gridCol w:w="1244"/>
        <w:gridCol w:w="1461"/>
        <w:gridCol w:w="1956"/>
        <w:gridCol w:w="1805"/>
        <w:gridCol w:w="2544"/>
        <w:gridCol w:w="566"/>
      </w:tblGrid>
      <w:tr w:rsidR="00A147DF" w:rsidRPr="008C36F5" w:rsidTr="001623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A147DF" w:rsidP="008C36F5">
            <w:pPr>
              <w:spacing w:after="100"/>
              <w:ind w:right="-96"/>
              <w:rPr>
                <w:rFonts w:ascii="Times New Roman" w:hAnsi="Times New Roman" w:cs="Times New Roman"/>
                <w:sz w:val="20"/>
                <w:szCs w:val="20"/>
                <w:lang w:val="en-IN"/>
              </w:rPr>
            </w:pPr>
            <w:r w:rsidRPr="008C36F5">
              <w:rPr>
                <w:rFonts w:ascii="Times New Roman" w:hAnsi="Times New Roman" w:cs="Times New Roman"/>
                <w:sz w:val="20"/>
                <w:szCs w:val="20"/>
              </w:rPr>
              <w:t>Author &amp; year</w:t>
            </w:r>
          </w:p>
        </w:tc>
        <w:tc>
          <w:tcPr>
            <w:tcW w:w="744"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Input</w:t>
            </w:r>
          </w:p>
        </w:tc>
        <w:tc>
          <w:tcPr>
            <w:tcW w:w="1044"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Analysis methodology</w:t>
            </w:r>
          </w:p>
        </w:tc>
        <w:tc>
          <w:tcPr>
            <w:tcW w:w="965"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Purpose</w:t>
            </w:r>
          </w:p>
        </w:tc>
        <w:tc>
          <w:tcPr>
            <w:tcW w:w="1351"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Result and outcome</w:t>
            </w:r>
          </w:p>
        </w:tc>
        <w:tc>
          <w:tcPr>
            <w:tcW w:w="271"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Ref.</w:t>
            </w:r>
          </w:p>
        </w:tc>
      </w:tr>
      <w:tr w:rsidR="00A147DF" w:rsidRPr="008C36F5" w:rsidTr="00162329">
        <w:trPr>
          <w:cnfStyle w:val="000000100000" w:firstRow="0" w:lastRow="0" w:firstColumn="0" w:lastColumn="0" w:oddVBand="0" w:evenVBand="0" w:oddHBand="1" w:evenHBand="0" w:firstRowFirstColumn="0" w:firstRowLastColumn="0" w:lastRowFirstColumn="0" w:lastRowLastColumn="0"/>
          <w:trHeight w:val="1574"/>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{"citationItems":[{"id":"ITEM-1","itemData":{"DOI":"10.1016/j.solener.2017.07.077","ISSN":"0038092X","abstract":"We present a techno-economic analysis of solar-driven high-temperature electrolysis systems used for the production of hydrogen and synthesis gas. We consider different strategies for the incorporation of solar energy, distinguished by the use of differing technologies to provide solar power and heat: (i) thermal approaches (system 1) using concentrated solar technologies to provide heat and to generate electricity through thermodynamic cycles, (ii) electrical approaches (system 2) using photovoltaic technologies to provide electricity and to generate heat through electrical heaters, and (iii) hybrid approaches (system 3) utilizing concentrated solar technologies and photovoltaics to provide heat and electricity, respectively. We find that system 3 generates hydrogen at a high efficiency (ηSTF = 9.9%, slightly lower than the best performing system 1 with 10.6%) and at a low cost (Cfuel = $4.9/kg, lowest cost of all three systems) at reference conditions, providing evidence for the competitiveness of this hybrid approach for scaled solar hydrogen generation. Sensitivity analysis indicates an optimal working temperature for system 3 of 1350 K, which balances the increased thermal receiver losses with the reduced electrolysis cell potential when increasing the temperature. Lower working pressure always favors high system efficiency and low cost. The working current densities for thermoneutral voltage were determined for various temperature and pressure combinations, and trends for efficient and cost-effective thermoneutral operation were identified. The water conversion extent was optimized to avoid mass transport limitations in the electrodes while ensuring large fuel generation rates. For synthesis gas production, a H2/CO molar ratio of 2 can be achieved by tuning the inlet feeding molar ratio of CO2/H2O, temperature, and pressure. This study introduces a flexible simulation framework of solar-driven high-temperature electrolysis systems allowing for the assessment of competing solar integration approaches and for the guidance of the operational conditions maximizing efficiency and minimizing cost, providing pathways for scalable solar fuel processing.","author":[{"dropping-particle":"","family":"Lin","given":"Meng","non-dropping-particle":"","parse-names":false,"suffix":""},{"dropping-particle":"","family":"Haussener","given":"Sophia","non-dropping-particle":"","parse-names":false,"suffix":""}],"container-title":"Solar Energy","id":"ITEM-1","issued":{"date-parts":[["2017"]]},"page":"1389-1402","publisher":"Elsevier Ltd","title":"Techno-economic modeling and optimization of solar-driven high-temperature electrolysis systems","type":"article-journal","volume":"155"},"uris":["http://www.mendeley.com/documents/?uuid=b210096e-ca18-4ac2-973b-f3d505eaae7d"]}],"mendeley":{"formattedCitation":"(Lin and Haussener, 2017)","plainTextFormattedCitation":"(Lin and Haussener, 2017)","previouslyFormattedCitation":"(Lin and Haussener,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(Lin and Haussener, 2017)</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CSP and photovoltaic cells, and elevated-temperature electrolysis device.</w:t>
            </w:r>
          </w:p>
        </w:tc>
        <w:tc>
          <w:tcPr>
            <w:tcW w:w="10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Evaluation of solar operated elevated temperature electrolysis of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w:t>
            </w:r>
          </w:p>
        </w:tc>
        <w:tc>
          <w:tcPr>
            <w:tcW w:w="96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Analysis of high-temperature solar-driven electrolysis devices used in Hydrogen and syngas manufacturing.</w:t>
            </w:r>
          </w:p>
        </w:tc>
        <w:tc>
          <w:tcPr>
            <w:tcW w:w="135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Hybrid methods using unadulterated solar and photovoltaic technology create hydrogen at 10.6 percent efficiency</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52</w:t>
            </w:r>
          </w:p>
        </w:tc>
      </w:tr>
      <w:tr w:rsidR="00A147DF" w:rsidRPr="008C36F5" w:rsidTr="00162329">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{"citationItems":[{"id":"ITEM-1","itemData":{"DOI":"10.1016/j.enpol.2018.04.072","ISSN":"03014215","abstract":"This analysis uses component learning curves to investigate the effect of policy support on the future potential of two methods of producing hydrogen using solar energy: solar thermochemical cycles and electrolysis with solar photovoltaics. The impact of policy support for photovoltaics, electrolysis, concentrated solar power, and thermochemical reactors is assessed. The rates of growth of the four technologies are taken as proxies for the degree of policy support. Key assumptions are identified and results are considered over the range of reasonable assumptions. Initially, electrolysis with PV will be the less expensive way to produce solar hydrogen. However, though it is initially more expensive, the thermochemical cycle has greater long-term potential for cost reductions from learning, and it is the faster route to $2/kg hydrogen. Cost reductions in hydrogen from the thermochemical cycles are primarily driven by improvements in the thermochemical reactors, which, due to initially high costs, will only see growth through government support. Thus, policymakers must support the thermochemical cycles through their research, development, and early implementation stages in order to achieve these cost reductions. Though the details change when key parameters are varied over their range of reasonable values, the broad conclusions are unaffected.","author":[{"dropping-particle":"","family":"Nicodemus","given":"Julia Haltiwanger","non-dropping-particle":"","parse-names":false,"suffix":""}],"container-title":"Energy Policy","id":"ITEM-1","issue":"November 2017","issued":{"date-parts":[["2018"]]},"page":"100-109","publisher":"Elsevier Ltd","title":"Technological learning and the future of solar H2: A component learning comparison of solar thermochemical cycles and electrolysis with solar PV","type":"article-journal","volume":"120"},"uris":["http://www.mendeley.com/documents/?uuid=b6a8033f-3216-432f-8556-35cb2011b8d6"]}],"mendeley":{"formattedCitation":"(Nicodemus, 2018)","plainTextFormattedCitation":"(Nicodemus, 2018)","previouslyFormattedCitation":"(Nicodemus,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(Nicodemus, 2018)</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w:t>
            </w:r>
            <w:r w:rsidRPr="008C36F5">
              <w:rPr>
                <w:rFonts w:ascii="Times New Roman" w:hAnsi="Times New Roman" w:cs="Times New Roman"/>
                <w:sz w:val="20"/>
                <w:szCs w:val="20"/>
                <w:vertAlign w:val="subscript"/>
              </w:rPr>
              <w:t xml:space="preserve">2 </w:t>
            </w:r>
            <w:r w:rsidRPr="008C36F5">
              <w:rPr>
                <w:rFonts w:ascii="Times New Roman" w:hAnsi="Times New Roman" w:cs="Times New Roman"/>
                <w:sz w:val="20"/>
                <w:szCs w:val="20"/>
              </w:rPr>
              <w:t>generated from Solar power</w:t>
            </w:r>
          </w:p>
        </w:tc>
        <w:tc>
          <w:tcPr>
            <w:tcW w:w="10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Solar thermochemical cycles, PV &amp; electrolysis</w:t>
            </w:r>
          </w:p>
        </w:tc>
        <w:tc>
          <w:tcPr>
            <w:tcW w:w="96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study possible prospects of hydrogen development using solar power.</w:t>
            </w:r>
          </w:p>
        </w:tc>
        <w:tc>
          <w:tcPr>
            <w:tcW w:w="135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solar thermochemical cycle has superior long-term ability to minimise costs from acquiring, and it's the quickest way to hydrogen production.</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62</w:t>
            </w:r>
          </w:p>
        </w:tc>
      </w:tr>
      <w:tr w:rsidR="00A147DF" w:rsidRPr="008C36F5" w:rsidTr="0016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{"citationItems":[{"id":"ITEM-1","itemData":{"DOI":"10.1016/j.ijhydene.2018.12.039","ISSN":"03603199","abstract":"Hydrogen production can be achieved via combined concentrated photovoltaic (CPV) and concentrated solar power (CSP) in which concentrated radiation is spectrally split and then converted in a photovoltaic receiver and a thermal absorber. This study thus proposes an innovative solar process design integrating both thermal and quantum components of solar energy while providing a complete assessment of its global performance to demonstrate its practical interest. A stand-alone solar-to-hydrogen path was modeled and numerically simulated, which was both electrically and thermally supplied by a solar power generation unit to feed the electrolyzer power utilization unit with enhanced solar-to-hydrogen conversion efficiency. Following balance of plant (BoP), the heliostat field and cavity receiver were designed to match the entire system in which the receiver only intercepts a definite range of infrared wavelength while the rest is converted by separately insulated PV cells. Moreover, dichroic reflectors and optimum cutoff wavelength were applied to fulfill separate optimization and heat load reduction of each solar cell. Finally, the solid oxide electrolysis cell (SOEC) was designed to utilize the generated thermal and electrical power appropriately. In best case scenario, a solar-to-hydrogen conversion efficiency of 36.5% was achieved under 899 W/m2 direct normal irradiance (DNI) and 1000 suns concentration. The solar plant outputs at this operating point were 850 g/h H2 and 6754 g/h O2. Further improvement in efficiency can be achieved through alignment in regard to the site location and annual insolation variation.","author":[{"dropping-particle":"","family":"Shafiei Kaleibari","given":"Saeed","non-dropping-particle":"","parse-names":false,"suffix":""},{"dropping-particle":"","family":"Yanping","given":"Zhang","non-dropping-particle":"","parse-names":false,"suffix":""},{"dropping-particle":"","family":"Abanades","given":"Stéphane","non-dropping-particle":"","parse-names":false,"suffix":""}],"container-title":"International Journal of Hydrogen Energy","id":"ITEM-1","issue":"5","issued":{"date-parts":[["2019"]]},"page":"2519-2532","title":"Solar-driven high temperature hydrogen production via integrated spectrally split concentrated photovoltaics (SSCPV) and solar power tower","type":"article-journal","volume":"44"},"uris":["http://www.mendeley.com/documents/?uuid=8a96c9e2-4014-4dd9-85ac-2b1bcde07d14"]}],"mendeley":{"formattedCitation":"(Shafiei Kaleibari, Yanping and Abanades, 2019)","plainTextFormattedCitation":"(Shafiei Kaleibari, Yanping and Abanades, 2019)","previouslyFormattedCitation":"(Shafiei Kaleibari, Yanping and Abanades, 2019)"},"properties":{"noteIndex":0},"schema":"https://github.com/citation-style-language/schema/raw/master/csl-citation.json"}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(Shafiei Kaleibari, Yanping and Abanades, 2019)</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Photovoltaic concentrating power and solar concentrating electricity</w:t>
            </w:r>
          </w:p>
        </w:tc>
        <w:tc>
          <w:tcPr>
            <w:tcW w:w="10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With the creation of the SOC, Modeling and numerical simulations of the solar-to-hydrogen conversion process were carried out.</w:t>
            </w:r>
          </w:p>
        </w:tc>
        <w:tc>
          <w:tcPr>
            <w:tcW w:w="96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produce the H</w:t>
            </w:r>
            <w:r w:rsidRPr="008C36F5">
              <w:rPr>
                <w:rFonts w:ascii="Times New Roman" w:hAnsi="Times New Roman" w:cs="Times New Roman"/>
                <w:sz w:val="20"/>
                <w:szCs w:val="20"/>
                <w:vertAlign w:val="subscript"/>
              </w:rPr>
              <w:t xml:space="preserve">2 </w:t>
            </w:r>
            <w:r w:rsidRPr="008C36F5">
              <w:rPr>
                <w:rFonts w:ascii="Times New Roman" w:hAnsi="Times New Roman" w:cs="Times New Roman"/>
                <w:sz w:val="20"/>
                <w:szCs w:val="20"/>
              </w:rPr>
              <w:t>effectively using both components of Solar energy (Thermal &amp; Quantum)</w:t>
            </w:r>
          </w:p>
        </w:tc>
        <w:tc>
          <w:tcPr>
            <w:tcW w:w="135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It is possible to reduce the expense of a solar thermal photo-electrochemical hydrogen generation device while increasing overall performance.</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62</w:t>
            </w:r>
          </w:p>
        </w:tc>
      </w:tr>
      <w:tr w:rsidR="00A147DF" w:rsidRPr="008C36F5" w:rsidTr="00162329">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{"citationItems":[{"id":"ITEM-1","itemData":{"DOI":"10.1002/er","ISBN":"1099-114X","ISSN":"0363907X","PMID":"19566191","abstract":"A zeolite-water adsorption module, which has been originally constructed for an adsorption heat pump, has been experimentally investigated as an adsorptive thermal energy storage unit. The adsorber/desorber heat exchanger contains 13.2 kg of zeolite 13X and is connected to an evaporator/condenser heat exchanger via a butterfly valve. The flow rate of the heat transfer fluid in the adsorber/desorber unit has been changed between 0.5 and 2.0 l min?1, the inlet temperature to the evaporator between 10 and 408C. It turned out that the higher the flow rate inside the adsorber/desorber unit the faster and more effective is the discharge of heat. However, at lower flow rates higher discharge temperatures are obtained. Storage capacities of 2.7 and 3.1kWh have been measured at the evaporator inlet temperatures of 10 and 408C, respectively, corresponding to thermal energy storage densities of 80 and 92kWhm?3 based on the volume of the adsorber unit. The measured maximum power density increases from 144 to 165kWhm?3 as the flow rate in the adsorber increases from 0.5 to 2 l min?1. An internal insulation in form of a radiation shield around the adsorber heat exchanger is recommended to reduce the thermal losses of the adsorptive storage. Copyright","author":[{"dropping-particle":"","family":"Zamfirescu.C","given":"Naterer .G.F and Dincer .I","non-dropping-particle":"","parse-names":false,"suffix":""}],"container-title":"International journal of energy research","id":"ITEM-1","issue":"August 2007","issued":{"date-parts":[["2012"]]},"page":"135-147","title":"Water splitting with a dual photo-electrochemical cell and hybrid catalysis for enhanced solar energy utilization","type":"article-journal","volume":"31"},"uris":["http://www.mendeley.com/documents/?uuid=96f2c3bf-872a-4729-89f0-2258462ed6b0"]}],"mendeley":{"formattedCitation":"(Zamfirescu.C, 2012)","plainTextFormattedCitation":"(Zamfirescu.C, 2012)","previouslyFormattedCitation":"(Zamfirescu.C, 2012)"},"properties":{"noteIndex":0},"schema":"https://github.com/citation-style-language/schema/raw/master/csl-citation.json"}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(Zamfirescu. C, 2012)</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Hybrid Photo-Catalysis</w:t>
            </w:r>
          </w:p>
        </w:tc>
        <w:tc>
          <w:tcPr>
            <w:tcW w:w="10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Experiments were conducted with a photo-electrolysis cell subjected to solar radiation and a dye-sensitized solar cell.</w:t>
            </w:r>
          </w:p>
        </w:tc>
        <w:tc>
          <w:tcPr>
            <w:tcW w:w="96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Photo-electrochemical system design idea Cell that divides water</w:t>
            </w:r>
          </w:p>
        </w:tc>
        <w:tc>
          <w:tcPr>
            <w:tcW w:w="135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As compared to other solar electrolysis cells, the reaction rate tends to be faster.</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29</w:t>
            </w:r>
          </w:p>
        </w:tc>
      </w:tr>
      <w:tr w:rsidR="00A147DF" w:rsidRPr="008C36F5" w:rsidTr="0016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{"citationItems":[{"id":"ITEM-1","itemData":{"DOI":"10.1002/cphc.201300114","ISSN":"14394235","abstract":"A series circuit of bulk hetero-junction (BHJ) organic thin-film solar cells (OSCs) is investigated for electrolyzing water to gaseous hydrogen and oxygen. The BHJ OSCs applied consist of poly(3-hexylthiophene) as a donor and [6,6]-phenyl C61 butyric acid methyl ester as an acceptor. A series circuit of six such OSC units has an open circuit voltage (V(oc)) of 3.4 V, which is enough to electrolyze water. The short circuit current (J(sc)), fill factor (FF), and energy conversion efficiency (η) are independent of the number of unit cells. A maximum electric power of 8.86 mW cm(-2) is obtained at the voltage of 2.35 V. By combining a water electrolysis cell with the series circuit solar cells, the electrolyzing current and voltage obtained are 1.09 mA and 2.3 V under a simulated solar light irradiation (100 mW cm(-2), AM1.5G), and in one hour 0.65 mL hydrogen is generated.","author":[{"dropping-particle":"","family":"Aoki","given":"Atsushi","non-dropping-particle":"","parse-names":false,"suffix":""},{"dropping-particle":"","family":"Naruse","given":"Mitsuru","non-dropping-particle":"","parse-names":false,"suffix":""},{"dropping-particle":"","family":"Abe","given":"Takayuki","non-dropping-particle":"","parse-names":false,"suffix":""}],"container-title":"ChemPhysChem","id":"ITEM-1","issue":"10","issued":{"date-parts":[["2013"]]},"page":"2317-2320","title":"Series circuit of organic thin-film solar cells for conversion of water into hydrogen","type":"article-journal","volume":"14"},"uris":["http://www.mendeley.com/documents/?uuid=08e0474e-9502-4c75-8c60-b8a129650527"]}],"mendeley":{"formattedCitation":"(Aoki, Naruse and Abe, 2013)","plainTextFormattedCitation":"(Aoki, Naruse and Abe, 2013)","previouslyFormattedCitation":"(Aoki, Naruse and Abe, 2013)"},"properties":{"noteIndex":0},"schema":"https://github.com/citation-style-language/schema/raw/master/csl-citation.json"}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(Aoki, Naruse and Abe, 2013)</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Thin-film solar cells</w:t>
            </w:r>
          </w:p>
        </w:tc>
        <w:tc>
          <w:tcPr>
            <w:tcW w:w="10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Photolithography and chemical etching</w:t>
            </w:r>
          </w:p>
        </w:tc>
        <w:tc>
          <w:tcPr>
            <w:tcW w:w="96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Hydrogen and oxygen are produced via the electrolysis of </w:t>
            </w:r>
            <w:r w:rsidRPr="008C36F5">
              <w:rPr>
                <w:rFonts w:ascii="Times New Roman" w:hAnsi="Times New Roman" w:cs="Times New Roman"/>
                <w:sz w:val="20"/>
                <w:szCs w:val="20"/>
              </w:rPr>
              <w:lastRenderedPageBreak/>
              <w:t>water.</w:t>
            </w:r>
          </w:p>
        </w:tc>
        <w:tc>
          <w:tcPr>
            <w:tcW w:w="135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For electrolyzing water, a total of six OSC unit cells is optimal. The efficiency of a PtC and Ni cathode </w:t>
            </w:r>
            <w:r w:rsidRPr="008C36F5">
              <w:rPr>
                <w:rFonts w:ascii="Times New Roman" w:hAnsi="Times New Roman" w:cs="Times New Roman"/>
                <w:sz w:val="20"/>
                <w:szCs w:val="20"/>
              </w:rPr>
              <w:lastRenderedPageBreak/>
              <w:t>electrolyzing cell is comparable to that of two Pt electrodes.</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13</w:t>
            </w:r>
          </w:p>
        </w:tc>
      </w:tr>
      <w:tr w:rsidR="00A147DF" w:rsidRPr="008C36F5" w:rsidTr="00162329">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9781118991978.hces008","ISBN":"9781118991978","author":[{"dropping-particle":"","family":"Zhang","given":"Dongke","non-dropping-particle":"","parse-names":false,"suffix":""},{"dropping-particle":"","family":"Zeng","given":"Kai","non-dropping-particle":"","parse-names":false,"suffix":""}],"container-title":"Handbook of Clean Energy Systems","id":"ITEM-1","issued":{"date-parts":[["2015"]]},"page":"1-12","title":"Distributed energy systems based on water electrolysis driven by renewable electricity","type":"chapter"},"uris":["http://www.mendeley.com/documents/?uuid=fd72fb82-89f6-40a1-8b32-f04da45ebd1e"]}],"mendeley":{"formattedCitation":"(Zhang and Zeng, 2015)","plainTextFormattedCitation":"(Zhang and Zeng, 2015)","previouslyFormattedCitation":"(Zhang and Zeng, 2015)"},"properties":{"noteIndex":0},"schema":"https://github.com/citation-style-language/schema/raw/master/csl-citation.json"}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(Zhang and Zeng, 2015)</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Renewable electricity</w:t>
            </w:r>
          </w:p>
        </w:tc>
        <w:tc>
          <w:tcPr>
            <w:tcW w:w="10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Hydrogen was used and introduced as an energy carrier by electrolysis of alkaline water.</w:t>
            </w:r>
          </w:p>
        </w:tc>
        <w:tc>
          <w:tcPr>
            <w:tcW w:w="96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Solving the renewable energy intermittency challenge</w:t>
            </w:r>
          </w:p>
        </w:tc>
        <w:tc>
          <w:tcPr>
            <w:tcW w:w="135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AWE and FC are critical components in realizing hydrogen's ability.</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40</w:t>
            </w:r>
          </w:p>
        </w:tc>
      </w:tr>
      <w:tr w:rsidR="00A147DF" w:rsidRPr="008C36F5" w:rsidTr="0016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{"citationItems":[{"id":"ITEM-1","itemData":{"DOI":"10.1002/er","ISBN":"1099-114X","ISSN":"12310956","PMID":"19566191","abstract":"In this study, a novel, renewable energy based, multigeneration energy system is introduced, and solar energy is, in this regard, used to produce electricity for a multi-unit building utilizing a Kalina cycle. For cooling a four-stage absorption chiller running on excessive or recovered heat is used. An electrolyzer is employed to produce hydrogen from the unused portion of electricity. In addition, domestic hot water is obtained from the system. In the analysis, a comprehensive thermodynamic model of the system is developed; the exergy efficiencies of the overall system and its components are determined; and the effects of varying configurations and operating conditions on the system performance are investigated. The number of suites that the system can satisfactory meet the demands is determined. Finally, an environmental impact assessment is conducted to determine the reductions in the amount of greenhouse gases, which can easily be achieved here by this solar energy based multigeneration system. The highest energy efficiency of the system is 57%, while the maximum exergy efficiency is 36%. It produces a maximum power of 92kW and has a maximum cooling effect of 128 kW. It saves 1398 t of CO2 per year compared with a conventional system to produce the same amounts of outputs, which can sufficiently meet the demand of 94 suites, respectively. Copyright © 2016 John Wiley &amp; Sons, Ltd.","author":[{"dropping-particle":"","family":"Ozlu Sinan","given":"Dincer Ibrahim","non-dropping-particle":"","parse-names":false,"suffix":""}],"container-title":"International Journal of Energy Research","id":"ITEM-1","issue":"4","issued":{"date-parts":[["2016"]]},"page":"23-40","title":"Analysis and evaluation of a new solar energy-based multigeneration system","type":"article-journal","volume":"33"},"uris":["http://www.mendeley.com/documents/?uuid=533db7b4-bfd2-4371-86f0-36669c943107"]}],"mendeley":{"formattedCitation":"(Ozlu Sinan, 2016)","plainTextFormattedCitation":"(Ozlu Sinan, 2016)","previouslyFormattedCitation":"(Ozlu Sinan, 2016)"},"properties":{"noteIndex":0},"schema":"https://github.com/citation-style-language/schema/raw/master/csl-citation.json"}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(Ozlu Sinan, 2016)</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Solar energy</w:t>
            </w:r>
          </w:p>
        </w:tc>
        <w:tc>
          <w:tcPr>
            <w:tcW w:w="10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Multigeneration  system</w:t>
            </w:r>
          </w:p>
        </w:tc>
        <w:tc>
          <w:tcPr>
            <w:tcW w:w="96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Solar energy is used for heating, cooling, power, and hydrogen production.</w:t>
            </w:r>
          </w:p>
        </w:tc>
        <w:tc>
          <w:tcPr>
            <w:tcW w:w="135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It saves 1398 t of CO2 per year as compared to a traditional method, which was enough to satisfy the demand of 94 suites.</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28</w:t>
            </w:r>
          </w:p>
        </w:tc>
      </w:tr>
      <w:tr w:rsidR="00A147DF" w:rsidRPr="008C36F5" w:rsidTr="00162329">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lang w:val="en-IN"/>
              </w:rPr>
            </w:pPr>
            <w:r w:rsidRPr="008C36F5">
              <w:rPr>
                <w:rFonts w:ascii="Times New Roman" w:hAnsi="Times New Roman" w:cs="Times New Roman"/>
                <w:sz w:val="20"/>
                <w:szCs w:val="20"/>
                <w:lang w:val="en-IN"/>
              </w:rPr>
              <w:fldChar w:fldCharType="begin" w:fldLock="1"/>
            </w:r>
            <w:r w:rsidR="00A147DF" w:rsidRPr="008C36F5">
              <w:rPr>
                <w:rFonts w:ascii="Times New Roman" w:hAnsi="Times New Roman" w:cs="Times New Roman"/>
                <w:b w:val="0"/>
                <w:sz w:val="20"/>
                <w:szCs w:val="20"/>
                <w:lang w:val="en-IN"/>
              </w:rPr>
              <w:instrText>ADDIN CSL_CITATION {"citationItems":[{"id":"ITEM-1","itemData":{"DOI":"10.1039/c1ee01812d","ISBN":"1754-5692\r1754-5706","ISSN":"17545692","abstract":"Hydrogen is a very promising candidate as a future energy carrier. It is attractive to produce hydrogen from solar energy and seawater, the most abundant renewable energy source and the most abundant natural resource on the earth. To date, there is no report on a stable photoelectrode with a high incident photon conversion efficiency (IPCE) in seawater splitting under irradiation by visible light. Herein, we report an efficient and stable system for seawater splitting based on a multi-metal oxide BiVO4 after modification. The results indicated that modified BiVO4 had a photocurrent density of 2.16 mA cm-2 at 1.0 VRHE in natural seawater under AM 1.5G sunlight (1000 W m-2) and exhibited the highest IPCE at 1.0 VRHE in the visible light region of 440-480 nm among all known oxide photoanodes.","author":[{"dropping-particle":"","family":"Luo","given":"Wenjun","non-dropping-particle":"","parse-names":false,"suffix":""},{"dropping-particle":"","family":"Yang","given":"Zaisan","non-dropping-particle":"","parse-names":false,"suffix":""},{"dropping-particle":"","family":"Li","given":"Zhaosheng","non-dropping-particle":"","parse-names":false,"suffix":""},{"dropping-particle":"","family":"Zhang","given":"Jiyuan","non-dropping-particle":"","parse-names":false,"suffix":""},{"dropping-particle":"","family":"Liu","given":"Jianguo","non-dropping-particle":"","parse-names":false,"suffix":""},{"dropping-particle":"","family":"Zhao","given":"Zongyan","non-dropping-particle":"","parse-names":false,"suffix":""},{"dropping-particle":"","family":"Wang","given":"Zhiqiang","non-dropping-particle":"","parse-names":false,"suffix":""},{"dropping-particle":"","family":"Yan","given":"Shicheng","non-dropping-particle":"","parse-names":false,"suffix":""},{"dropping-particle":"","family":"Yu","given":"Tao","non-dropping-particle":"","parse-names":false,"suffix":""},{"dropping-particle":"","family":"Zou","given":"Zhigang","non-dropping-particle":"","parse-names":false,"suffix":""}],"container-title":"Energy and Environmental Science","id":"ITEM-1","issue":"10","issued":{"date-parts":[["2011"]]},"page":"4046-4051","title":"Solar hydrogen generation from seawater with a modified BiVO 4 photoanode","type":"article-journal","volume":"4"},"uris":["http://www.mendeley.com/documents/?uuid=1be3dd97-6d9f-4140-ae6a-d84edde64e0c"]}],"mendeley":{"formattedCitation":"(Luo &lt;i&gt;et al.&lt;/i&gt;, 2011)","plainTextFormattedCitation":"(Luo et al., 2011)","previouslyFormattedCitation":"(Luo &lt;i&gt;et al.&lt;/i&gt;, 2011)"},"properties":{"noteIndex":0},"schema":"https://github.com/citation-style-language/schema/raw/master/csl-citation.json"}</w:instrText>
            </w:r>
            <w:r w:rsidRPr="008C36F5">
              <w:rPr>
                <w:rFonts w:ascii="Times New Roman" w:hAnsi="Times New Roman" w:cs="Times New Roman"/>
                <w:sz w:val="20"/>
                <w:szCs w:val="20"/>
                <w:lang w:val="en-IN"/>
              </w:rPr>
              <w:fldChar w:fldCharType="separate"/>
            </w:r>
            <w:r w:rsidR="00A147DF" w:rsidRPr="008C36F5">
              <w:rPr>
                <w:rFonts w:ascii="Times New Roman" w:hAnsi="Times New Roman" w:cs="Times New Roman"/>
                <w:b w:val="0"/>
                <w:noProof/>
                <w:sz w:val="20"/>
                <w:szCs w:val="20"/>
                <w:lang w:val="en-IN"/>
              </w:rPr>
              <w:t xml:space="preserve">(Luo </w:t>
            </w:r>
            <w:r w:rsidR="00A147DF" w:rsidRPr="008C36F5">
              <w:rPr>
                <w:rFonts w:ascii="Times New Roman" w:hAnsi="Times New Roman" w:cs="Times New Roman"/>
                <w:b w:val="0"/>
                <w:i/>
                <w:noProof/>
                <w:sz w:val="20"/>
                <w:szCs w:val="20"/>
                <w:lang w:val="en-IN"/>
              </w:rPr>
              <w:t>et al.</w:t>
            </w:r>
            <w:r w:rsidR="00A147DF" w:rsidRPr="008C36F5">
              <w:rPr>
                <w:rFonts w:ascii="Times New Roman" w:hAnsi="Times New Roman" w:cs="Times New Roman"/>
                <w:b w:val="0"/>
                <w:noProof/>
                <w:sz w:val="20"/>
                <w:szCs w:val="20"/>
                <w:lang w:val="en-IN"/>
              </w:rPr>
              <w:t>, 2011)</w:t>
            </w:r>
            <w:r w:rsidRPr="008C36F5">
              <w:rPr>
                <w:rFonts w:ascii="Times New Roman" w:hAnsi="Times New Roman" w:cs="Times New Roman"/>
                <w:sz w:val="20"/>
                <w:szCs w:val="20"/>
                <w:lang w:val="en-IN"/>
              </w:rPr>
              <w:fldChar w:fldCharType="end"/>
            </w:r>
          </w:p>
        </w:tc>
        <w:tc>
          <w:tcPr>
            <w:tcW w:w="7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Hydrogen, BIVO4 (photoanode).</w:t>
            </w:r>
          </w:p>
        </w:tc>
        <w:tc>
          <w:tcPr>
            <w:tcW w:w="10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A multi-metal oxide is used to separate seawater.</w:t>
            </w:r>
          </w:p>
        </w:tc>
        <w:tc>
          <w:tcPr>
            <w:tcW w:w="96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lang w:val="en-IN"/>
              </w:rPr>
              <w:t>A porous Mo-doped BiVO4 photoelectrode was the goal.</w:t>
            </w:r>
          </w:p>
        </w:tc>
        <w:tc>
          <w:tcPr>
            <w:tcW w:w="135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Photocurrent can be greatly improved by MO doping.</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IN"/>
              </w:rPr>
            </w:pPr>
            <w:r w:rsidRPr="008C36F5">
              <w:rPr>
                <w:rFonts w:ascii="Times New Roman" w:hAnsi="Times New Roman" w:cs="Times New Roman"/>
                <w:sz w:val="20"/>
                <w:szCs w:val="20"/>
              </w:rPr>
              <w:t>28</w:t>
            </w:r>
          </w:p>
        </w:tc>
      </w:tr>
      <w:tr w:rsidR="00A147DF" w:rsidRPr="008C36F5" w:rsidTr="0016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{"citationItems":[{"id":"ITEM-1","itemData":{"DOI":"10.1039/c4ee01958j","ISBN":"1754-5692","ISSN":"17545706","abstract":"We utilize process modeling to assess the energy and economic feasibility of a generic solar refinery which converts carbon dioxide and water into fuels. The conversion of carbon dioxide and water into fuels in a solar refinery presents a potential solution for reducing greenhouse gas emissions, while providing a sustainable source of fuels and chemicals. Towards realizing such a solar refinery, there are many technological advances that must be met in terms of capturing and sourcing the feedstocks (namely CO 2 , H 2 O, and solar energy) and in catalytically converting CO 2 and H 2 O. In the first part of this paper, we review the state-of-the-art in solar energy collection and conversion to solar utilities (heat, electricity, and as a photon source for photo-chemical reactions), CO 2 capture and separation technology, and non-biological methods for converting CO 2 and H 2 O to fuels. The two principal methods for CO 2 conversion include (1) catalytic conversion using solar-derived hydrogen and (2) direct reduction of CO 2 using H 2 O and solar energy. Both hydrogen production and direct CO 2 reduction can be performed electro-catalytically, photo-electrochemically, photo-catalytically, and thermochemically. All four of these methods are discussed. In the second part of this paper, we utilize process modeling to assess the energy efficiency and economic feasibility of a generic solar refinery. The analysis demonstrates that the realization of a solar refinery is contingent upon significant technological improvements in all areas described above (solar energy capture and conversion, CO 2 capture, and catalytic conversion processes). ","author":[{"dropping-particle":"","family":"Herron","given":"Jeffrey A.","non-dropping-particle":"","parse-names":false,"suffix":""},{"dropping-particle":"","family":"Kim","given":"Jiyong","non-dropping-particle":"","parse-names":false,"suffix":""},{"dropping-particle":"","family":"Upadhye","given":"Aniruddha A.","non-dropping-particle":"","parse-names":false,"suffix":""},{"dropping-particle":"","family":"Huber","given":"George W.","non-dropping-particle":"","parse-names":false,"suffix":""},{"dropping-particle":"","family":"Maravelias","given":"Christos T.","non-dropping-particle":"","parse-names":false,"suffix":""}],"container-title":"Energy and Environmental Science","id":"ITEM-1","issue":"1","issued":{"date-parts":[["2015"]]},"page":"126-157","title":"A general framework for the assessment of solar fuel technologies","type":"article-journal","volume":"8"},"uris":["http://www.mendeley.com/documents/?uuid=3b55eb58-5b93-4ceb-b11f-d760596fdcd2"]}],"mendeley":{"formattedCitation":"(Herron &lt;i&gt;et al.&lt;/i&gt;, 2015)","plainTextFormattedCitation":"(Herron et al., 2015)","previouslyFormattedCitation":"(Herron &lt;i&gt;et al.&lt;/i&gt;, 2015)"},"properties":{"noteIndex":0},"schema":"https://github.com/citation-style-language/schema/raw/master/csl-citation.json"}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(Herron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2015)</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Framework and solar fuels</w:t>
            </w:r>
          </w:p>
        </w:tc>
        <w:tc>
          <w:tcPr>
            <w:tcW w:w="10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Direct CO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reduction utilising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 and solar energy, as well as catalytic conversion using solar-derived hydrogen.</w:t>
            </w:r>
          </w:p>
        </w:tc>
        <w:tc>
          <w:tcPr>
            <w:tcW w:w="96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Examine the current state of solar energy collecting and conversion to solar power.</w:t>
            </w:r>
          </w:p>
        </w:tc>
        <w:tc>
          <w:tcPr>
            <w:tcW w:w="135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continuation of the solar refinery was contingent on substantial technological advancements.</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312</w:t>
            </w:r>
          </w:p>
        </w:tc>
      </w:tr>
      <w:tr w:rsidR="00A147DF" w:rsidRPr="008C36F5" w:rsidTr="00162329">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{"citationItems":[{"id":"ITEM-1","itemData":{"DOI":"10.1039/c5ee02573g","ISBN":"1754-5692","ISSN":"17545706","abstract":" Solar H 2 production cost ($ kg −1 ) techno-economic landscape for photoelectrochemical (PEC) and photovoltaic-electrolysis (PV-E). References include conventional H 2 production, robust outdoor material (artificial grass) and solar cell.  A technoeconomic analysis of photoelectrochemical (PEC) and photovoltaic-electrolytic (PV-E) solar-hydrogen production of 10 000 kg H 2 day −1 (3.65 kilotons per year) was performed to assess the economics of each technology, and to provide a basis for comparison between these technologies as well as within the broader energy landscape. Two PEC systems, differentiated primarily by the extent of solar concentration (unconcentrated and 10× concentrated) and two PV-E systems, differentiated by the degree of grid connectivity (unconnected and grid supplemented), were analyzed. In each case, a base-case system that used established designs and materials was compared to prospective systems that might be envisioned and developed in the future with the goal of achieving substantially lower overall system costs. With identical overall plant efficiencies of 9.8%, the unconcentrated PEC and non-grid connected PV-E system base-case capital expenses for the rated capacity of 3.65 kilotons H 2 per year were $205 MM ($293 per m 2 of solar collection area (m S −2 ), $14.7 W H2,P −1 ) and $260 MM ($371 m S −2 , $18.8 W H2,P −1 ), respectively. The untaxed, plant-gate levelized costs for the hydrogen product (LCH) were $11.4 kg −1 and $12.1 kg −1 for the base-case PEC and PV-E systems, respectively. The 10× concentrated PEC base-case system capital cost was $160 MM ($428 m S −2 , $11.5 W H2,P −1 ) and for an efficiency of 20% the LCH was $9.2 kg −1 . Likewise, the grid supplemented base-case PV-E system capital cost was $66 MM ($441 m S −2 , $11.5 W H2,P −1 ), and with solar-to-hydrogen and grid electrolysis system efficiencies of 9.8% and 61%, respectively, the LCH was $6.1 kg −1 . As a benchmark, a proton-exchange membrane (PEM) based grid-connected electrolysis system was analyzed. Assuming a system efficiency of 61% and a grid electricity cost of $0.07 kWh −1 , the LCH was $5.5 kg −1 . A sensitivity analysis indicated that, relative to the base-case, increases in the system efficiency could effect the greatest cost reductions for all systems, due to the areal dependencies of many of the components. The balance-of-systems (BoS) costs were the largest factor in differentiating the PEC and PV-E systems. No single or combination of te…","author":[{"dropping-particle":"","family":"Shaner","given":"Matthew R.","non-dropping-particle":"","parse-names":false,"suffix":""},{"dropping-particle":"","family":"Atwater","given":"Harry A.","non-dropping-particle":"","parse-names":false,"suffix":""},{"dropping-particle":"","family":"Lewis","given":"Nathan S.","non-dropping-particle":"","parse-names":false,"suffix":""},{"dropping-particle":"","family":"McFarland","given":"Eric W.","non-dropping-particle":"","parse-names":false,"suffix":""}],"container-title":"Energy and Environmental Science","id":"ITEM-1","issue":"7","issued":{"date-parts":[["2016"]]},"page":"2354-2371","publisher":"Royal Society of Chemistry","title":"A comparative technoeconomic analysis of renewable hydrogen production using solar energy","type":"article-journal","volume":"9"},"uris":["http://www.mendeley.com/documents/?uuid=5d22cedb-c150-442c-8f8c-d9e8b14e4298"]}],"mendeley":{"formattedCitation":"(Shaner &lt;i&gt;et al.&lt;/i&gt;, 2016)","plainTextFormattedCitation":"(Shaner et al., 2016)","previouslyFormattedCitation":"(Shaner &lt;i&gt;et al.&lt;/i&gt;, 2016)"},"properties":{"noteIndex":0},"schema":"https://github.com/citation-style-language/schema/raw/master/csl-citation.json"}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(Shaner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2016)</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Photo-electro chemical  and photovoltaic-electrolytic approach</w:t>
            </w:r>
          </w:p>
        </w:tc>
        <w:tc>
          <w:tcPr>
            <w:tcW w:w="10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Solar-hydrogen output by photo-electrochemical (PEC) and photovoltaic-electrolytic (PV-E) methods were compared.</w:t>
            </w:r>
          </w:p>
        </w:tc>
        <w:tc>
          <w:tcPr>
            <w:tcW w:w="96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 relative techno-economic evaluation of PEC &amp; PV-electrolytic solar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generation.</w:t>
            </w:r>
          </w:p>
        </w:tc>
        <w:tc>
          <w:tcPr>
            <w:tcW w:w="135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Base case photo-electrochemical mechanisms were beneficial as compared to base case photovoltaic-E mechanism.</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83</w:t>
            </w:r>
          </w:p>
        </w:tc>
      </w:tr>
      <w:tr w:rsidR="00A147DF" w:rsidRPr="008C36F5" w:rsidTr="0016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{"citationItems":[{"id":"ITEM-1","itemData":{"DOI":"10.1039/c5ee03698d","ISBN":"1754-5692\\r1754-5706","ISSN":"17545706","abstract":"The conception of practical solar-hydrogen generators requires the implementation of engineering design principles that allow photo-electrochemical material systems to operate efficiently, continuously and stably over their lifetime.The conception of practical solar-hydrogen generators requires the implementation of engineering design principles that allow photo-electrochemical material systems to operate efficiently, continuously and stably over their lifetime. At the heart of these engineering aspects lie the mass transport of reactants, intermediates and products throughout the device. This review comprehensively covers these aspects and ties together all of the processes required for the efficient production of pure streams of solar-hydrogen. In order to do so, the article describes the fundamental physical processes that occur at different locations of a generalized device topology and presents the state-of-the-art advances in materials and engineering approaches to mitigate mass-transport challenges. Processes that take place in the light absorber and electrocatalyst components are only briefly described, while the main focus is given to mass transport processes in the boundary-layer and bulk liquid or solid electrolytes. Lastly, a perspective on how engineering approaches can enable more efficient solar-fuel generators is presented.","author":[{"dropping-particle":"","family":"Modestino","given":"Miguel A.","non-dropping-particle":"","parse-names":false,"suffix":""},{"dropping-particle":"","family":"Hashemi","given":"S. Mohammad H.","non-dropping-particle":"","parse-names":false,"suffix":""},{"dropping-particle":"","family":"Haussener","given":"Sophia","non-dropping-particle":"","parse-names":false,"suffix":""}],"container-title":"Energy and Environmental Science","id":"ITEM-1","issue":"5","issued":{"date-parts":[["2016"]]},"page":"1533-1551","title":"Mass transport aspects of electrochemical solar-hydrogen generation","type":"article-journal","volume":"9"},"uris":["http://www.mendeley.com/documents/?uuid=48abdb86-bdb7-4348-b692-3a54306ba5b6"]}],"mendeley":{"formattedCitation":"(Modestino, Hashemi and Haussener, 2016)","plainTextFormattedCitation":"(Modestino, Hashemi and Haussener, 2016)","previouslyFormattedCitation":"(Modestino, Hashemi and Haussener, 2016)"},"properties":{"noteIndex":0},"schema":"https://github.com/citation-style-language/schema/raw/master/csl-citation.json"}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(Modestino, Hashemi and Haussener, 2016)</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Solar energy and different membranes</w:t>
            </w:r>
          </w:p>
        </w:tc>
        <w:tc>
          <w:tcPr>
            <w:tcW w:w="10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researchers looked at mass transfer processes in boundary layers, bulk liquids, and solid electrolytes.</w:t>
            </w:r>
          </w:p>
        </w:tc>
        <w:tc>
          <w:tcPr>
            <w:tcW w:w="96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goal was to strike a compromise between the membrane's strong ionic conductivity and low gas permeability.</w:t>
            </w:r>
          </w:p>
        </w:tc>
        <w:tc>
          <w:tcPr>
            <w:tcW w:w="135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boundary layer needs to be paid more respect. Polymer mixer, in which balanced transport, conductive and gas-impermeable textiles are employed, may also be an interesting choice.</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204</w:t>
            </w:r>
          </w:p>
        </w:tc>
      </w:tr>
      <w:tr w:rsidR="00A147DF" w:rsidRPr="008C36F5" w:rsidTr="00162329">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{"citationItems":[{"id":"ITEM-1","itemData":{"DOI":"10.1039/c6ee01182a","ISSN":"17545706","abstract":"This review article provides a comprehensive review of recent progress in photonic nanostructures for efficient solar energy conversion. Photonic nanostructures, manipulating and confining light on the nanometer scale, provide new opportunities to improve the efficiency of solar energy conversion. Optical microcavities confine light to small volumes by resonant recirculation. Plasmonic metal nanostructures with surface plasmon resonances can act as antennas to localize optical energy and control the location of charge carrier generation. Photonic crystals can enhance the interaction of light with a semiconductor. Integrated photonic crystals and the plasmonic effects of micro-structural materials may have a superposition effect in controlling light. Some applications and practical examples with respect to improving the efficiency of solar energy conversion with photonic nanostructures have been reviewed, demonstrating how such structures can enhance light absorption and improve the generation and separation of photoexcited charge carriers in photocatalytic degradation, solar water splitting, photovoltaic devices and CO 2 photoreduction. Distinct from other published reviews, we simultaneously discuss several different types of photonic nanostructures in order to show the similarities and differences of photonic structures for solar energy conversion. Furthermore, the combination of different types of photonic nanostructures for developing more efficient solar energy conversion systems is discussed and explored. ","author":[{"dropping-particle":"","family":"Zheng","given":"Xiuzhen","non-dropping-particle":"","parse-names":false,"suffix":""},{"dropping-particle":"","family":"Zhang","given":"Liwu","non-dropping-particle":"","parse-names":false,"suffix":""}],"container-title":"Energy and Environmental Science","id":"ITEM-1","issue":"8","issued":{"date-parts":[["2016"]]},"page":"2511-2532","title":"Photonic nanostructures for solar energy conversion","type":"article-journal","volume":"9"},"uris":["http://www.mendeley.com/documents/?uuid=6a48a747-1f85-477e-b894-942c4afc52e6"]}],"mendeley":{"formattedCitation":"(Zheng and Zhang, 2016)","plainTextFormattedCitation":"(Zheng and Zhang, 2016)","previouslyFormattedCitation":"(Zheng and Zhang, 2016)"},"properties":{"noteIndex":0},"schema":"https://github.com/citation-style-language/schema/raw/master/csl-citation.json"}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(Zheng and Zhang, 2016)</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Photonic nanostructure</w:t>
            </w:r>
          </w:p>
        </w:tc>
        <w:tc>
          <w:tcPr>
            <w:tcW w:w="10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Photo-catalytic degradation and solar water splitting method</w:t>
            </w:r>
          </w:p>
        </w:tc>
        <w:tc>
          <w:tcPr>
            <w:tcW w:w="96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build a more efficient solar energy conversion system by combining several types of a photonic nanostructure.</w:t>
            </w:r>
          </w:p>
        </w:tc>
        <w:tc>
          <w:tcPr>
            <w:tcW w:w="135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Photonic nanostructures have the potential to improve photocatalytic degradation, photovoltaic cells, and solar water splitting by confining and modulating light.</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166</w:t>
            </w:r>
          </w:p>
        </w:tc>
      </w:tr>
      <w:tr w:rsidR="00A147DF" w:rsidRPr="008C36F5" w:rsidTr="0016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{"citationItems":[{"id":"ITEM-1","itemData":{"DOI":"10.1039/c6ee01952h","ISSN":"17545706","abstract":"A hybrid solar energy system consisting of a molecular solar thermal energy storage system (MOST) combined with a solar water heating system (SWH) is presented. A hybrid solar energy system consisting of a molecular solar thermal energy storage system (MOST) combined with a solar water heating system (SWH) is presented. The MOST chemical energy storage system is based on norbornadiene–quadricyclane derivatives allowing for conversion of solar energy into stored chemical energy at up to 103 kJ mol −1 (396 kJ kg −1 ). It is demonstrated that 1.1% of incoming solar energy can be stored in the chemical system without significantly compromising the efficiency of the solar water heating system, leading to efficiencies of combined solar water heating and solar energy storage of up to 80%. Moreover, prospects for future improvement and possible applications are discussed.","author":[{"dropping-particle":"","family":"Dreos","given":"Ambra","non-dropping-particle":"","parse-names":false,"suffix":""},{"dropping-particle":"","family":"Börjesson","given":"Karl","non-dropping-particle":"","parse-names":false,"suffix":""},{"dropping-particle":"","family":"Wang","given":"Zhihang","non-dropping-particle":"","parse-names":false,"suffix":""},{"dropping-particle":"","family":"Roffey","given":"Anna","non-dropping-particle":"","parse-names":false,"suffix":""},{"dropping-particle":"","family":"Norwood","given":"Zack","non-dropping-particle":"","parse-names":false,"suffix":""},{"dropping-particle":"","family":"Kushnir","given":"Duncan","non-dropping-particle":"","parse-names":false,"suffix":""},{"dropping-particle":"","family":"Moth-Poulsen","given":"Kasper","non-dropping-particle":"","parse-names":false,"suffix":""}],"container-title":"Energy and Environmental Science","id":"ITEM-1","issue":"3","issued":{"date-parts":[["2016"]]},"page":"728-734","publisher":"Royal Society of Chemistry","title":"Exploring the potential of a hybrid device combining solar water heating and molecular solar thermal energy storage","type":"article-journal","volume":"10"},"uris":["http://www.mendeley.com/documents/?uuid=7e8cfcd7-ea76-4a87-bf73-6f4e3dbbb874"]}],"mendeley":{"formattedCitation":"(Dreos &lt;i&gt;et al.&lt;/i&gt;, 2016)","plainTextFormattedCitation":"(Dreos et al., 2016)","previouslyFormattedCitation":"(Dreos &lt;i&gt;et al.&lt;/i&gt;, 2016)"},"properties":{"noteIndex":0},"schema":"https://github.com/citation-style-language/schema/raw/master/csl-citation.json"}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(Dreos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2016)</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Solar energy and water</w:t>
            </w:r>
          </w:p>
        </w:tc>
        <w:tc>
          <w:tcPr>
            <w:tcW w:w="10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Hybrid technology</w:t>
            </w:r>
          </w:p>
        </w:tc>
        <w:tc>
          <w:tcPr>
            <w:tcW w:w="96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obtain an energy storage efficiency of up to 80% for solar water heating.</w:t>
            </w:r>
          </w:p>
        </w:tc>
        <w:tc>
          <w:tcPr>
            <w:tcW w:w="135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Photoisomerization quantum yield and quadricyclane half-life have both improved.</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51</w:t>
            </w:r>
          </w:p>
        </w:tc>
      </w:tr>
      <w:tr w:rsidR="00A147DF" w:rsidRPr="008C36F5" w:rsidTr="00162329">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 xml:space="preserve">ADDIN CSL_CITATION {"citationItems":[{"id":"ITEM-1","itemData":{"DOI":"10.1039/c7ee01804e","ISBN":"1754-5692","ISSN":"17545706","abstract":"A hybrid energy utilization technology using solar energy for desalination and extracting electricity from an evaporation induced salinity gradient is presented. Solar-driven interfacial water evaporation, which concentrates solar heating at the water surface, has attracted increasing interest in pursuing highly efficient solar desalination. The rapid evaporation of water at the light absorber surface would induce a high concentration comparable with that of brine underlying the interface, which however has been paid much less attention and has never been proposed to produce electricity. Here in this work, we proved that, the theoretical real-time salinity power generated between the surface water and bulk seawater could be 12.5 W m −2 during steam production under one sun illumination. By employing a hybrid system based on a piece of carbon nanotube modified filter paper and a commercial Nafion membrane, we achieved a maximum solar thermal efficiency of up to 75% and derived extra electricity power of </w:instrText>
            </w:r>
            <w:r w:rsidR="00A147DF" w:rsidRPr="008C36F5">
              <w:rPr>
                <w:rFonts w:ascii="Cambria Math" w:hAnsi="Cambria Math" w:cs="Cambria Math"/>
                <w:b w:val="0"/>
                <w:sz w:val="20"/>
                <w:szCs w:val="20"/>
              </w:rPr>
              <w:instrText>∼</w:instrText>
            </w:r>
            <w:r w:rsidR="00A147DF" w:rsidRPr="008C36F5">
              <w:rPr>
                <w:rFonts w:ascii="Times New Roman" w:hAnsi="Times New Roman" w:cs="Times New Roman"/>
                <w:b w:val="0"/>
                <w:sz w:val="20"/>
                <w:szCs w:val="20"/>
              </w:rPr>
              <w:instrText>1 W m −2 under one sun illumination. These results provide a novel avenue for blue energy utilization, demonstrating the potential for solar desalination and electricity generation under natural sunlight simultaneously. ","author":[{"dropping-particle":"","family":"Yang","given":"Peihua","non-dropping-particle":"","parse-names":false,"suffix":""},{"dropping-particle":"","family":"Liu","given":"Kang","non-dropping-particle":"","parse-names":false,"suffix":""},{"dropping-particle":"","family":"Chen","given":"Qian","non-dropping-particle":"","parse-names":false,"suffix":""},{"dropping-particle":"","family":"Li","given":"Jia","non-dropping-particle":"","parse-names":false,"suffix":""},{"dropping-particle":"","family":"Duan","given":"Jiangjiang","non-dropping-particle":"","parse-names":false,"suffix":""},{"dropping-particle":"","family":"Xue","given":"Guobin","non-dropping-particle":"","parse-names":false,"suffix":""},{"dropping-particle":"","family":"Xu","given":"Zisheng","non-dropping-particle":"","parse-names":false,"suffix":""},{"dropping-particle":"","family":"Xie","given":"Wenke","non-dropping-particle":"","parse-names":false,"suffix":""},{"dropping-particle":"","family":"Zhou","given":"Jun","non-dropping-particle":"","parse-names":false,"suffix":""}],"container-title":"Energy and Environmental Science","id":"ITEM-1","issue":"9","issued":{"date-parts":[["2017"]]},"page":"1923-1927","title":"Solar-driven simultaneous steam production and electricity generation from salinity","type":"article-journal","volume":"10"},"uris":["http://www.mendeley.com/documents/?uuid=e438547a-c134-4d1a-8798-9d6f577762cd"]}],"mendeley":{"formattedCitation":"(Yang &lt;i&gt;et al.&lt;/i&gt;, 2017)","plainTextFormattedCitation":"(Yang et al., 2017)","previouslyFormattedCitation":"(Yang &lt;i&gt;et al.&lt;/i&gt;,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(Yang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2017)</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Solar energy and seawater</w:t>
            </w:r>
          </w:p>
        </w:tc>
        <w:tc>
          <w:tcPr>
            <w:tcW w:w="10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Solar energy is used for desalination, and power is extracted from the </w:t>
            </w:r>
            <w:r w:rsidRPr="008C36F5">
              <w:rPr>
                <w:rFonts w:ascii="Times New Roman" w:hAnsi="Times New Roman" w:cs="Times New Roman"/>
                <w:sz w:val="20"/>
                <w:szCs w:val="20"/>
              </w:rPr>
              <w:lastRenderedPageBreak/>
              <w:t>evaporation-induced salinity gradient.</w:t>
            </w:r>
          </w:p>
        </w:tc>
        <w:tc>
          <w:tcPr>
            <w:tcW w:w="96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To generate energy, a hybrid device based on carbon nanotubes-</w:t>
            </w:r>
            <w:r w:rsidRPr="008C36F5">
              <w:rPr>
                <w:rFonts w:ascii="Times New Roman" w:hAnsi="Times New Roman" w:cs="Times New Roman"/>
                <w:sz w:val="20"/>
                <w:szCs w:val="20"/>
              </w:rPr>
              <w:lastRenderedPageBreak/>
              <w:t>modified filter paper and a commercial nafion membrane would be utilised.</w:t>
            </w:r>
          </w:p>
        </w:tc>
        <w:tc>
          <w:tcPr>
            <w:tcW w:w="135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The sun desalination and salinity power collecting processes are likely to take place immediately on the </w:t>
            </w:r>
            <w:r w:rsidRPr="008C36F5">
              <w:rPr>
                <w:rFonts w:ascii="Times New Roman" w:hAnsi="Times New Roman" w:cs="Times New Roman"/>
                <w:sz w:val="20"/>
                <w:szCs w:val="20"/>
              </w:rPr>
              <w:lastRenderedPageBreak/>
              <w:t>seabed. Obtaining a massive amount of fresh water and large-scale blue energies.</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29</w:t>
            </w:r>
          </w:p>
        </w:tc>
      </w:tr>
      <w:tr w:rsidR="00A147DF" w:rsidRPr="008C36F5" w:rsidTr="0016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{"citationItems":[{"id":"ITEM-1","itemData":{"DOI":"10.1039/c6tc04847a","ISSN":"20507526","abstract":"This review outlines the recent progress on the integration of plasmonic nanostructures with photocatalysis and photovoltaics toward solar energy conversion.Photocatalysis and photovoltaics are two major approaches sharing similar processes (including light absorption, and charge generation and separation) for solar energy conversion with semiconductors. Various strategies have been proposed to improve the efficiency of solar energy conversion due to limited light absorption and rapid charge recombination in semiconductors. Integrating semiconductors with plasmonic nanostructures has been proven as an effective way to greatly enhance the performance in photocatalysis and photovoltaic devices. This review outlines the fundamental mechanisms, including hot electron injection, local electromagnetic field enhancement and resonant energy transfer, which are responsible for both plasmonics-enhanced photocatalysis and photovoltaics. Furthermore, we review some recent progress in practical applications such as photocatalytic water splitting, artificial photosynthesis, photodegradation of organic pollutants and solar cells integrated with plasmonic nanostructures. In specific cases, the possible working mechanisms for the enhancement of photocatalytic or photovoltaic performance by plasmonics are clarified together with materials design. Finally, the existing challenges and future prospects for the utilization of plasmonics in solar energy conversion are discussed.","author":[{"dropping-particle":"","family":"Ye","given":"Wei","non-dropping-particle":"","parse-names":false,"suffix":""},{"dropping-particle":"","family":"Long","given":"Ran","non-dropping-particle":"","parse-names":false,"suffix":""},{"dropping-particle":"","family":"Huang","given":"Hao","non-dropping-particle":"","parse-names":false,"suffix":""},{"dropping-particle":"","family":"Xiong","given":"Yujie","non-dropping-particle":"","parse-names":false,"suffix":""}],"container-title":"Journal of Materials Chemistry C","id":"ITEM-1","issue":"5","issued":{"date-parts":[["2017"]]},"page":"1008-1021","title":"Plasmonic nanostructures in solar energy conversion","type":"article-journal","volume":"5"},"uris":["http://www.mendeley.com/documents/?uuid=39c8e0ad-8615-4d96-8d7a-ae404fbc2b7d"]}],"mendeley":{"formattedCitation":"(Ye &lt;i&gt;et al.&lt;/i&gt;, 2017)","plainTextFormattedCitation":"(Ye et al., 2017)","previouslyFormattedCitation":"(Ye &lt;i&gt;et al.&lt;/i&gt;,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(Ye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2017)</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Plasmonic nano-structures.</w:t>
            </w:r>
          </w:p>
        </w:tc>
        <w:tc>
          <w:tcPr>
            <w:tcW w:w="10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Photo-catalysis &amp; PV’s</w:t>
            </w:r>
          </w:p>
        </w:tc>
        <w:tc>
          <w:tcPr>
            <w:tcW w:w="96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Plasmonic Nano-structures could be utilized like antennas to focus light during photo-catalysis &amp; PV’s.</w:t>
            </w:r>
          </w:p>
        </w:tc>
        <w:tc>
          <w:tcPr>
            <w:tcW w:w="135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Surface Plasmon utilized during photo-catalysis &amp; PV’s overlaps most operating processes but demonstrates little variance because of their distinct comprehensive systems &amp; drawbacks.</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101</w:t>
            </w:r>
          </w:p>
        </w:tc>
      </w:tr>
      <w:tr w:rsidR="00A147DF" w:rsidRPr="008C36F5" w:rsidTr="00162329">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{"citationItems":[{"id":"ITEM-1","itemData":{"DOI":"10.1039/c6cs00436a","ISSN":"14604744","abstract":"Photoactive metal-complexes with applications in solar energy harvesting have been receiving profound research interest. We present in this exciting area the recent development of metal-complex chromophores as sensitizers and supramolecular photocatalysts to facilitate the conversion of solar energy into chemical hydrogen fuel. Solar H 2 generation from water has been intensively investigated as a clean method to convert solar energy into hydrogen fuel. During the past few decades, many studies have demonstrated that metal complexes can act as efficient photoactive materials for photocatalytic H 2 production. Here, we review the recent progress in the application of metal-complex chromophores to solar-to-H 2 conversion, including metal-complex photosensitizers and supramolecular photocatalysts. A brief overview of the fundamental principles of photocatalytic H 2 production is given. Then, different metal-complex photosensitizers and supramolecular photocatalysts are introduced in detail, and the most important factors that strictly determine their photocatalytic performance are also discussed. Finally, we illustrate some challenges and opportunities for future research in this promising area. ","author":[{"dropping-particle":"","family":"Yuan","given":"Yong Jun","non-dropping-particle":"","parse-names":false,"suffix":""},{"dropping-particle":"","family":"Yu","given":"Zhen Tao","non-dropping-particle":"","parse-names":false,"suffix":""},{"dropping-particle":"","family":"Chen","given":"Da Qin","non-dropping-particle":"","parse-names":false,"suffix":""},{"dropping-particle":"","family":"Zou","given":"Zhi Gang","non-dropping-particle":"","parse-names":false,"suffix":""}],"container-title":"Chemical Society Reviews","id":"ITEM-1","issue":"3","issued":{"date-parts":[["2017"]]},"page":"603-631","publisher":"Royal Society of Chemistry","title":"Metal-complex chromophores for solar hydrogen generation","type":"article-journal","volume":"46"},"uris":["http://www.mendeley.com/documents/?uuid=54cf93b9-0e70-4f95-90bf-dcdad699f466"]}],"mendeley":{"formattedCitation":"(Yuan &lt;i&gt;et al.&lt;/i&gt;, 2017)","plainTextFormattedCitation":"(Yuan et al., 2017)","previouslyFormattedCitation":"(Yuan &lt;i&gt;et al.&lt;/i&gt;,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(Yuan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2017)</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Photoactive materials.</w:t>
            </w:r>
          </w:p>
        </w:tc>
        <w:tc>
          <w:tcPr>
            <w:tcW w:w="10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Investigate c</w:t>
            </w:r>
            <w:r w:rsidR="009B5462">
              <w:rPr>
                <w:rFonts w:ascii="Times New Roman" w:hAnsi="Times New Roman" w:cs="Times New Roman"/>
                <w:sz w:val="20"/>
                <w:szCs w:val="20"/>
              </w:rPr>
              <w:t>urrent advances</w:t>
            </w:r>
            <w:r w:rsidRPr="008C36F5">
              <w:rPr>
                <w:rFonts w:ascii="Times New Roman" w:hAnsi="Times New Roman" w:cs="Times New Roman"/>
                <w:sz w:val="20"/>
                <w:szCs w:val="20"/>
              </w:rPr>
              <w:t xml:space="preserve"> for solar-to-H2 conversions, such as metal-complex photosensitizes and supramolecular photocatalysts.</w:t>
            </w:r>
          </w:p>
        </w:tc>
        <w:tc>
          <w:tcPr>
            <w:tcW w:w="96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Solar-to-Hydrogen production.</w:t>
            </w:r>
          </w:p>
        </w:tc>
        <w:tc>
          <w:tcPr>
            <w:tcW w:w="135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For a PEC water-splitting cell, Cu</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 is a desirable p-type oxide, but it showed photo-electrochemical stability. PEC water splitting cell, a new technique must be developed.</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250</w:t>
            </w:r>
          </w:p>
        </w:tc>
      </w:tr>
      <w:tr w:rsidR="00A147DF" w:rsidRPr="008C36F5" w:rsidTr="0016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{"citationItems":[{"id":"ITEM-1","itemData":{"DOI":"10.1039/c7ee01657c","ISSN":"17545706","abstract":" A well-to-wheel LCA shows that OME 1 could serve as an almost carbon-neutral blending component in diesel while even also strongly reducing the NOx and soot emissions.  The combustion of fossil fuels within the transportation sector is a key driver of global warming (GW) and leads to harmful emissions of nitrogen oxides (NOx) and particulates (soot). To reduce these negative impacts of the transportation sector, synthetic fuels are currently being developed, which are produced from renewable energy stored via catalytic conversion of hydrogen (H 2 ) and carbon dioxide (CO 2 ). A promising class of synthetic fuels are oxymethylene ethers (OMEs). This study conducts a prospective environmental assessment of an OME-based fuel using Life Cycle Assessment (LCA). We investigate an OME 1 -diesel-blend (OME 1 -blend), where OME 1 replaces 24 mass% of diesel fuel. Such an OME 1 -blend could be a first step towards an OME transition. For the production of OME 1 from CO 2 -based methanol, we consider both the established route via condensation with formaldehyde and a novel direct pathway based on catalytic combination with CO 2 and hydrogen. To close the carbon loop, CO 2 supply via biogas and direct air capture is considered. In a best-case scenario, hydrogen is produced by water electrolysis using electricity from wind power in the European Union as an input. The direct pathway reduces the required process steps from three to two and is shown to allow for an improved utilization of the energy provided by hydrogen: the exergy efficiency is increased from 74% to 86%. For combustion, we conducted experiments in a single cylinder engine to determine the full spectrum of engine-related emissions. The engine data provide the input for simulations of the cumulative raw emissions over the Worldwide Harmonized Light Vehicles Test Procedures (WLTP) cycle for a mid-size passenger vehicle. Our well-to-wheel LCA shows that OME 1 has the potential to serve as an almost carbon-neutral blending component: replacing 24 mass% of diesel by OME 1 could reduce the GW impact by 22% and the emissions of NOx and soot even by 43% and 75%, respectively. The key to achieving these benefits is the integration of renewable energy in hydrogen production. The cumulative energy demand (CED) over the life cycle is doubled compared to fossil diesel. With sufficient renewable electricity available, OME 1 -blends may serve as a promising first step towards a more sustainable transportation sector. ","author":[{"dropping-particle":"","family":"Deutz","given":"Sarah","non-dropping-particle":"","parse-names":false,"suffix":""},{"dropping-particle":"","family":"Bongartz","given":"Dominik","non-dropping-particle":"","parse-names":false,"suffix":""},{"dropping-particle":"","family":"Heuser","given":"Benedikt","non-dropping-particle":"","parse-names":false,"suffix":""},{"dropping-particle":"","family":"Kätelhön","given":"Arne","non-dropping-particle":"","parse-names":false,"suffix":""},{"dropping-particle":"","family":"Schulze Langenhorst","given":"Luisa","non-dropping-particle":"","parse-names":false,"suffix":""},{"dropping-particle":"","family":"Omari","given":"Ahmad","non-dropping-particle":"","parse-names":false,"suffix":""},{"dropping-particle":"","family":"Walters","given":"Marius","non-dropping-particle":"","parse-names":false,"suffix":""},{"dropping-particle":"","family":"Klankermayer","given":"Jürgen","non-dropping-particle":"","parse-names":false,"suffix":""},{"dropping-particle":"","family":"Leitner","given":"Walter","non-dropping-particle":"","parse-names":false,"suffix":""},{"dropping-particle":"","family":"Mitsos","given":"Alexander","non-dropping-particle":"","parse-names":false,"suffix":""},{"dropping-particle":"","family":"Pischinger","given":"Stefan","non-dropping-particle":"","parse-names":false,"suffix":""},{"dropping-particle":"","family":"Bardow","given":"André","non-dropping-particle":"","parse-names":false,"suffix":""}],"container-title":"Energy and Environmental Science","id":"ITEM-1","issue":"2","issued":{"date-parts":[["2018"]]},"page":"331-343","title":"Cleaner production of cleaner fuels: Wind-to-wheel-environmental assessment of CO2-based oxymethylene ether as a drop-in fuel","type":"article-journal","volume":"11"},"uris":["http://www.mendeley.com/documents/?uuid=6d98ec42-ff9d-4318-b34e-6b575963f17c"]}],"mendeley":{"formattedCitation":"(Deutz &lt;i&gt;et al.&lt;/i&gt;, 2018)","plainTextFormattedCitation":"(Deutz et al., 2018)","previouslyFormattedCitation":"(Deutz &lt;i&gt;et al.&lt;/i&gt;,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(Deutz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2018)</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Synthetic fuels (Oxymethylene ethers)</w:t>
            </w:r>
          </w:p>
        </w:tc>
        <w:tc>
          <w:tcPr>
            <w:tcW w:w="10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Life Cycle Testing was used to measure the environmental impact of OME-based petrol.</w:t>
            </w:r>
          </w:p>
        </w:tc>
        <w:tc>
          <w:tcPr>
            <w:tcW w:w="96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lessen the detrimental impact of the transportation industry on the climate</w:t>
            </w:r>
          </w:p>
        </w:tc>
        <w:tc>
          <w:tcPr>
            <w:tcW w:w="135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OME1 can be nearly carbon-neutral in blending: Diesel was being replaced at a rate of 24 percent.</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62</w:t>
            </w:r>
          </w:p>
        </w:tc>
      </w:tr>
      <w:tr w:rsidR="00A147DF" w:rsidRPr="008C36F5" w:rsidTr="00162329">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{"citationItems":[{"id":"ITEM-1","itemData":{"DOI":"10.1039/c7ee03639f","ISBN":"8415683111","ISSN":"17545706","abstract":" Several application fields can benefit from solar-hydrogen technologies via specific short-term and long-term pathways. Solar-powered electrochemical production of hydrogen through water electrolysis is an active and important research endeavor. However, technologies and roadmaps for implementation of this process do not exist. In this perspective paper, we describe potential pathways for solar-hydrogen technologies into the marketplace in the form of photoelectrochemical or photovoltaic-driven electrolysis devices and systems. We detail technical approaches for device and system architectures, economic drivers, societal perceptions, political impacts, technological challenges, and research opportunities. Implementation scenarios are broken down into short-term and long-term markets, and a specific technology roadmap is defined. In the short term, the only plausible economical option will be photovoltaic-driven electrolysis systems for niche applications. In the long term, electrochemical solar-hydrogen technologies could be deployed more broadly in energy markets but will require advances in the technology, significant cost reductions, and/or policy changes. Ultimately, a transition to a society that significantly relies on solar-hydrogen technologies will benefit from continued creativity and influence from the scientific community.","author":[{"dropping-particle":"","family":"Ardo","given":"Shane","non-dropping-particle":"","parse-names":false,"suffix":""},{"dropping-particle":"","family":"Fernandez Rivas","given":"David","non-dropping-particle":"","parse-names":false,"suffix":""},{"dropping-particle":"","family":"Modestino","given":"Miguel A.","non-dropping-particle":"","parse-names":false,"suffix":""},{"dropping-particle":"","family":"Schulze Greiving","given":"Verena","non-dropping-particle":"","parse-names":false,"suffix":""},{"dropping-particle":"","family":"Abdi","given":"Fatwa F.","non-dropping-particle":"","parse-names":false,"suffix":""},{"dropping-particle":"","family":"Alarcon Llado","given":"Esther","non-dropping-particle":"","parse-names":false,"suffix":""},{"dropping-particle":"","family":"Artero","given":"Vincent","non-dropping-particle":"","parse-names":false,"suffix":""},{"dropping-particle":"","family":"Ayers","given":"Katherine","non-dropping-particle":"","parse-names":false,"suffix":""},{"dropping-particle":"","family":"Battaglia","given":"Corsin","non-dropping-particle":"","parse-names":false,"suffix":""},{"dropping-particle":"","family":"Becker","given":"Jan Philipp","non-dropping-particle":"","parse-names":false,"suffix":""},{"dropping-particle":"","family":"Bederak","given":"Dmytro","non-dropping-particle":"","parse-names":false,"suffix":""},{"dropping-particle":"","family":"Berger","given":"Alan","non-dropping-particle":"","parse-names":false,"suffix":""},{"dropping-particle":"","family":"Buda","given":"Francesco","non-dropping-particle":"","parse-names":false,"suffix":""},{"dropping-particle":"","family":"Chinello","given":"Enrico","non-dropping-particle":"","parse-names":false,"suffix":""},{"dropping-particle":"","family":"Dam","given":"Bernard","non-dropping-particle":"","parse-names":false,"suffix":""},{"dropping-particle":"","family":"Palma","given":"Valerio","non-dropping-particle":"Di","parse-names":false,"suffix":""},{"dropping-particle":"","family":"Edvinsson","given":"Tomas","non-dropping-particle":"","parse-names":false,"suffix":""},{"dropping-particle":"","family":"Fujii","given":"Katsushi","non-dropping-particle":"","parse-names":false,"suffix":""},{"dropping-particle":"","family":"Gardeniers","given":"Han","non-dropping-particle":"","parse-names":false,"suffix":""},{"dropping-particle":"","family":"Geerlings","given":"Hans","non-dropping-particle":"","parse-names":false,"suffix":""},{"dropping-particle":"","family":"Hashemi","given":"S. Mohammad","non-dropping-particle":"","parse-names":false,"suffix":""},{"dropping-particle":"","family":"Haussener","given":"Sophia","non-dropping-particle":"","parse-names":false,"suffix":""},{"dropping-particle":"","family":"Houle","given":"Frances","non-dropping-particle":"","parse-names":false,"suffix":""},{"dropping-particle":"","family":"Huskens","given":"Jurriaan","non-dropping-particle":"","parse-names":false,"suffix":""},{"dropping-particle":"","family":"James","given":"Brian D.","non-dropping-particle":"","parse-names":false,"suffix":""},{"dropping-particle":"","family":"Konrad","given":"Kornelia","non-dropping-particle":"","parse-names":false,"suffix":""},{"dropping-particle":"","family":"Kudo","given":"Akihiko","non-dropping-particle":"","parse-names":false,"suffix":""},{"dropping-particle":"","family":"Kunturu","given":"Pramod Patil","non-dropping-particle":"","parse-names":false,"suffix":""},{"dropping-particle":"","family":"Lohse","given":"Detlef","non-dropping-particle":"","parse-names":false,"suffix":""},{"dropping-particle":"","family":"Mei","given":"Bastian","non-dropping-particle":"","parse-names":false,"suffix":""},{"dropping-particle":"","family":"Miller","given":"Eric L.","non-dropping-particle":"","parse-names":false,"suffix":""},{"dropping-particle":"","family":"Moore","given":"Gary F.","non-dropping-particle":"","parse-names":false,"suffix":""},{"dropping-particle":"","family":"Muller","given":"Jiri","non-dropping-particle":"","parse-names":false,"suffix":""},{"dropping-particle":"","family":"Orchard","given":"Katherine L.","non-dropping-particle":"","parse-names":false,"suffix":""},{"dropping-particle":"","family":"Rosser","given":"Timothy E.","non-dropping-particle":"","parse-names":false,"suffix":""},{"dropping-particle":"","family":"Saadi","given":"Fadl H.","non-dropping-particle":"","parse-names":false,"suffix":""},{"dropping-particle":"","family":"Schüttauf","given":"Jan Willem","non-dropping-particle":"","parse-names":false,"suffix":""},{"dropping-particle":"","family":"Seger","given":"Brian","non-dropping-particle":"","parse-names":false,"suffix":""},{"dropping-particle":"","family":"Sheehan","given":"Stafford W.","non-dropping-particle":"","parse-names":false,"suffix":""},{"dropping-particle":"","family":"Smith","given":"Wilson A.","non-dropping-particle":"","parse-names":false,"suffix":""},{"dropping-particle":"","family":"Spurgeon","given":"Joshua","non-dropping-particle":"","parse-names":false,"suffix":""},{"dropping-particle":"","family":"Tang","given":"Maureen H.","non-dropping-particle":"","parse-names":false,"suffix":""},{"dropping-particle":"","family":"Krol","given":"Roel","non-dropping-particle":"Van De","parse-names":false,"suffix":""},{"dropping-particle":"","family":"Vesborg","given":"Peter C.K.","non-dropping-particle":"","parse-names":false,"suffix":""},{"dropping-particle":"","family":"Westerik","given":"Pieter","non-dropping-particle":"","parse-names":false,"suffix":""}],"container-title":"Energy and Environmental Science","id":"ITEM-1","issue":"10","issued":{"date-parts":[["2018"]]},"page":"2768-2783","title":"Pathways to electrochemical solar-hydrogen technologies","type":"article-journal","volume":"11"},"uris":["http://www.mendeley.com/documents/?uuid=192b74ae-2636-4782-9460-3f07aba25088"]}],"mendeley":{"formattedCitation":"(Ardo &lt;i&gt;et al.&lt;/i&gt;, 2018)","plainTextFormattedCitation":"(Ardo et al., 2018)","previouslyFormattedCitation":"(Ardo &lt;i&gt;et al.&lt;/i&gt;,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(Ardo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2018)</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Solar energy and water for hydrogen</w:t>
            </w:r>
          </w:p>
        </w:tc>
        <w:tc>
          <w:tcPr>
            <w:tcW w:w="10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Photo-electrochemical or photovoltaic-driven electrolysis device and system</w:t>
            </w:r>
          </w:p>
        </w:tc>
        <w:tc>
          <w:tcPr>
            <w:tcW w:w="96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employ PV electrolysis system for economical production of hydrogen which was to be utilized by solar-hydrogen technologies</w:t>
            </w:r>
          </w:p>
        </w:tc>
        <w:tc>
          <w:tcPr>
            <w:tcW w:w="135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In short term, photovoltaic-driven electrolysis systems would be a cost-effective alternative, however, electrochemical solar-hydrogen technologies may become more commonly used in the energy industry in the long term.</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121</w:t>
            </w:r>
          </w:p>
        </w:tc>
      </w:tr>
      <w:tr w:rsidR="00A147DF" w:rsidRPr="008C36F5" w:rsidTr="0016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{"citationItems":[{"id":"ITEM-1","itemData":{"DOI":"10.1039/c8ee01408f","ISBN":"1754-5692\r1754-5706","ISSN":"17545706","abstract":"Plastic waste is recycled to hydrogen using sunlight and a CdS photocatalyst. Solar-driven reforming of plastics offers a simple and low-energy means to turn waste into H 2 . Here, we report the efficient photoreforming of three commonly produced polymers – polylactic acid, polyethylene terephthalate (PET) and polyurethane – using inexpensive CdS/CdO x quantum dots in alkaline aqueous solution. This process operates under ambient temperature and pressure, generates pure H 2 and converts the waste polymer into organic products such as formate, acetate and pyruvate. We further validate the real-world applicability of the system by converting a PET water bottle into H 2 . This is the first demonstration of visible light-driven, noble metal-free photoreforming of plastic. ","author":[{"dropping-particle":"","family":"Uekert","given":"Taylor","non-dropping-particle":"","parse-names":false,"suffix":""},{"dropping-particle":"","family":"Kuehnel","given":"Moritz F.","non-dropping-particle":"","parse-names":false,"suffix":""},{"dropping-particle":"","family":"Wakerley","given":"David W.","non-dropping-particle":"","parse-names":false,"suffix":""},{"dropping-particle":"","family":"Reisner","given":"Erwin","non-dropping-particle":"","parse-names":false,"suffix":""}],"container-title":"Energy and Environmental Science","id":"ITEM-1","issue":"10","issued":{"date-parts":[["2018"]]},"page":"2853-2857","publisher":"Royal Society of Chemistry","title":"Plastic waste as a feedstock for solar-driven H2 generation","type":"article-journal","volume":"11"},"uris":["http://www.mendeley.com/documents/?uuid=7960e224-8621-4500-90d4-42d3ec6da5ad"]}],"mendeley":{"formattedCitation":"(Uekert &lt;i&gt;et al.&lt;/i&gt;, 2018)","plainTextFormattedCitation":"(Uekert et al., 2018)","previouslyFormattedCitation":"(Uekert &lt;i&gt;et al.&lt;/i&gt;,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(Uekert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2018)</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Polyactic acid, PET and polyurethane</w:t>
            </w:r>
          </w:p>
        </w:tc>
        <w:tc>
          <w:tcPr>
            <w:tcW w:w="10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Solar driven reforming of plastic</w:t>
            </w:r>
          </w:p>
        </w:tc>
        <w:tc>
          <w:tcPr>
            <w:tcW w:w="96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Converting plastic trash into pure hydrogen and waste polymers into organic products like formate, acetate, and pyruvate.</w:t>
            </w:r>
          </w:p>
        </w:tc>
        <w:tc>
          <w:tcPr>
            <w:tcW w:w="135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Photo reforming has the potential to address both the worldwide problem of plastic pollution and the implementation of renewable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production at the same time.</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42</w:t>
            </w:r>
          </w:p>
        </w:tc>
      </w:tr>
      <w:tr w:rsidR="00A147DF" w:rsidRPr="008C36F5" w:rsidTr="00162329">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{"citationItems":[{"id":"ITEM-1","itemData":{"DOI":"10.1016/j.ijhydene.2020.01.162","ISSN":"03603199","abstract":"One of the main problems for renewable and other innovative energy sources is the storage of energy for sustainability. This study focuses on two different scenarios to benefit from solar energy more efficiently. Photovoltaic (PV) energy is converted to the desired voltage level using a buck converter for generating hydrogen with electrolysis process. A maximum power point tracking (MPPT) algorithm is used to benefit from the photovoltaic sources more efficiently. The basic electrolysis load for hydrogen production needs low voltage and high current and controlled sensitively to supply these conditions. The photovoltaic powered buck converter for electrolysis load was simulated in MATLAB/Simulink software using a perturb and observe (P and O) MPPT algorithm and PI controller. The simulation results show that in normal, short circuit and open circuit working conditions the PV and load voltages are stabilized. The efficiency of the proposed system is reached more than 90% for high irradiance levels.","author":[{"dropping-particle":"","family":"Ergin Şahin","given":"Mustafa","non-dropping-particle":"","parse-names":false,"suffix":""}],"container-title":"International Journal of Hydrogen Energy","id":"ITEM-1","issue":"16","issued":{"date-parts":[["2020"]]},"page":"9293-9304","title":"A photovoltaic powered electrolysis converter system with maximum power point tracking control","type":"article-journal","volume":"45"},"uris":["http://www.mendeley.com/documents/?uuid=6364eea6-8b5c-4876-b636-9a9e456fd512"]}],"mendeley":{"formattedCitation":"(Ergin Şahin, 2020)","plainTextFormattedCitation":"(Ergin Şahin, 2020)","previouslyFormattedCitation":"(Ergin Şahin, 2020)"},"properties":{"noteIndex":0},"schema":"https://github.com/citation-style-language/schema/raw/master/csl-citation.json"}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(Ergin Şahin, 2020)</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Solar energy/PV energy, DC-DC buck converter,</w:t>
            </w:r>
          </w:p>
        </w:tc>
        <w:tc>
          <w:tcPr>
            <w:tcW w:w="1044"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MPPT method and a PI controller were used in MATLAB/Simulink programme.</w:t>
            </w:r>
          </w:p>
        </w:tc>
        <w:tc>
          <w:tcPr>
            <w:tcW w:w="96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Hydrogen energy generation from PV</w:t>
            </w:r>
          </w:p>
        </w:tc>
        <w:tc>
          <w:tcPr>
            <w:tcW w:w="135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In MATLAB/ Simulink programme, the PV-powered DC-DC buck converter for electrolysis load was modelled. With PV sources, the simulation results for load voltage, current, and power are studied.</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45</w:t>
            </w:r>
          </w:p>
        </w:tc>
      </w:tr>
      <w:tr w:rsidR="00A147DF" w:rsidRPr="008C36F5" w:rsidTr="0016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{"citationItems":[{"id":"ITEM-1","itemData":{"DOI":"10.1016/j.rser.2020.110192","ISSN":"18790690","abstract":"Hydrogen is acknowledged as a potential fuel as it can be used as an energy carrier, a storage medium, in fuel cells and as a fuel as well and offers carbon-free solutions. This paper investigates three renewable energy based configurations for hydrogen production. The renewable energy sources considered in this study are solar PV, geothermal power generation and biomass gasification. The proposed study also presents a novel configuration of biomass gasification for hydrogen production via multistage water gas shift reactors. The solar PV and geothermal energy based hydrogen production systems are analysed employing the EES software while the hydrogen production system employing biomass gasification is simulated employing Aspen Plus. All three designed configurations are proceeded through numerous parametric analyses to investigate the system behavior and effect on system efficiencies. The hydrogen production using biomass gasification technique provides with the energetic and exergetic efficiencies of 53.6% and 49.8% and the efficiencies for the geothermal power generation based hydrogen production system are found to be 10.4% and 10.2% respectively. The exergetic and energetic efficiencies of hydrogen production system employing solar PV system are found to be 17.45% and 16.95%, respectively and the system is designed to produce 1.13 mol/s of hydrogen. Furthermore, the results of the parametric studies and sensitivity analyses are presented and discussed.","author":[{"dropping-particle":"","family":"Ishaq","given":"H.","non-dropping-particle":"","parse-names":false,"suffix":""},{"dropping-particle":"","family":"Dincer","given":"I.","non-dropping-particle":"","parse-names":false,"suffix":""}],"container-title":"Renewable and Sustainable Energy Reviews","id":"ITEM-1","issue":"July 2020","issued":{"date-parts":[["2021"]]},"page":"110192","publisher":"Elsevier Ltd","title":"Comparative assessment of renewable energy-based hydrogen production methods","type":"article-journal","volume":"135"},"uris":["http://www.mendeley.com/documents/?uuid=e2501faa-5fef-4501-9be5-de8e84466e50"]}],"mendeley":{"formattedCitation":"(Ishaq and Dincer, 2021)","plainTextFormattedCitation":"(Ishaq and Dincer, 2021)","previouslyFormattedCitation":"(Ishaq and Dincer, 2021)"},"properties":{"noteIndex":0},"schema":"https://github.com/citation-style-language/schema/raw/master/csl-citation.json"}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(Ishaq and Dincer, 2021)</w:t>
            </w:r>
            <w:r w:rsidRPr="008C36F5">
              <w:rPr>
                <w:rFonts w:ascii="Times New Roman" w:hAnsi="Times New Roman" w:cs="Times New Roman"/>
                <w:sz w:val="20"/>
                <w:szCs w:val="20"/>
              </w:rPr>
              <w:fldChar w:fldCharType="end"/>
            </w:r>
          </w:p>
        </w:tc>
        <w:tc>
          <w:tcPr>
            <w:tcW w:w="7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Biomass, Solar,</w:t>
            </w:r>
          </w:p>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Geothermal, Renewable hydrogen.</w:t>
            </w:r>
          </w:p>
        </w:tc>
        <w:tc>
          <w:tcPr>
            <w:tcW w:w="1044"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A comparative study using EES software, whereas Aspen Plus is used to model a </w:t>
            </w:r>
            <w:r w:rsidRPr="008C36F5">
              <w:rPr>
                <w:rFonts w:ascii="Times New Roman" w:hAnsi="Times New Roman" w:cs="Times New Roman"/>
                <w:sz w:val="20"/>
                <w:szCs w:val="20"/>
              </w:rPr>
              <w:lastRenderedPageBreak/>
              <w:t>hydrogen generation system based on biomass gasification.</w:t>
            </w:r>
          </w:p>
        </w:tc>
        <w:tc>
          <w:tcPr>
            <w:tcW w:w="96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To investigate hydrogen manufacturing devices using solar </w:t>
            </w:r>
            <w:r w:rsidRPr="008C36F5">
              <w:rPr>
                <w:rFonts w:ascii="Times New Roman" w:hAnsi="Times New Roman" w:cs="Times New Roman"/>
                <w:sz w:val="20"/>
                <w:szCs w:val="20"/>
              </w:rPr>
              <w:lastRenderedPageBreak/>
              <w:t>PV and geothermal energy.</w:t>
            </w:r>
          </w:p>
        </w:tc>
        <w:tc>
          <w:tcPr>
            <w:tcW w:w="135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The maximum percentage of energy and exergetic efficiency is achieved when hydrogen is produced </w:t>
            </w:r>
            <w:r w:rsidR="00FB2523" w:rsidRPr="008C36F5">
              <w:rPr>
                <w:rFonts w:ascii="Times New Roman" w:hAnsi="Times New Roman" w:cs="Times New Roman"/>
                <w:sz w:val="20"/>
                <w:szCs w:val="20"/>
              </w:rPr>
              <w:lastRenderedPageBreak/>
              <w:t>utilizing</w:t>
            </w:r>
            <w:r w:rsidRPr="008C36F5">
              <w:rPr>
                <w:rFonts w:ascii="Times New Roman" w:hAnsi="Times New Roman" w:cs="Times New Roman"/>
                <w:sz w:val="20"/>
                <w:szCs w:val="20"/>
              </w:rPr>
              <w:t xml:space="preserve"> the biomass gasification process.</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29</w:t>
            </w:r>
          </w:p>
        </w:tc>
      </w:tr>
    </w:tbl>
    <w:p w:rsidR="00A147DF" w:rsidRPr="008C36F5" w:rsidRDefault="00A147DF" w:rsidP="008C36F5">
      <w:pPr>
        <w:spacing w:line="240" w:lineRule="auto"/>
        <w:rPr>
          <w:rFonts w:ascii="Times New Roman" w:hAnsi="Times New Roman" w:cs="Times New Roman"/>
          <w:b/>
          <w:sz w:val="20"/>
          <w:szCs w:val="20"/>
        </w:rPr>
        <w:sectPr w:rsidR="00A147DF" w:rsidRPr="008C36F5" w:rsidSect="00706571">
          <w:type w:val="continuous"/>
          <w:pgSz w:w="12240" w:h="15840"/>
          <w:pgMar w:top="1440" w:right="1440" w:bottom="1440" w:left="1440" w:header="0" w:footer="0" w:gutter="0"/>
          <w:lnNumType w:countBy="1" w:restart="continuous"/>
          <w:cols w:space="720"/>
          <w:docGrid w:linePitch="360"/>
        </w:sectPr>
      </w:pPr>
    </w:p>
    <w:p w:rsidR="00A147DF" w:rsidRPr="008C36F5" w:rsidRDefault="00A147DF" w:rsidP="008C36F5">
      <w:pPr>
        <w:spacing w:line="240" w:lineRule="auto"/>
        <w:rPr>
          <w:rFonts w:ascii="Times New Roman" w:hAnsi="Times New Roman" w:cs="Times New Roman"/>
          <w:sz w:val="20"/>
          <w:szCs w:val="20"/>
          <w:lang w:val="en-IN"/>
        </w:rPr>
      </w:pPr>
      <w:r w:rsidRPr="00BB1C42">
        <w:rPr>
          <w:rFonts w:ascii="Times New Roman" w:hAnsi="Times New Roman" w:cs="Times New Roman"/>
          <w:b/>
          <w:szCs w:val="20"/>
        </w:rPr>
        <w:t xml:space="preserve">Comment: </w:t>
      </w:r>
      <w:r w:rsidRPr="008C36F5">
        <w:rPr>
          <w:rFonts w:ascii="Times New Roman" w:hAnsi="Times New Roman" w:cs="Times New Roman"/>
          <w:sz w:val="20"/>
          <w:szCs w:val="20"/>
          <w:lang w:val="en-IN"/>
        </w:rPr>
        <w:t xml:space="preserve">Solar concentrated and photovoltaic technology is used to provide heat and electricity infusion methodologies. It produces hydrogen efficiently and at a low cost. The solar light consumption rate of 20% is observed, projected cell hydrogen output efficiency is about 4%. Around 60% of the solar radiation can be recovered for cogeneration of heat in the cell. Six OSC unit cells were found to be the most effective for electrolyzing the water. The findings revealed that AWE and FC are critical in realizing hydrogen's potential. The processes of charge formation, separation, and transport in photonic nanostructures are critical for developing a more effective conversion of solar energy. When solar desalination and salinity power harvesting were carried out at sea, a significant volume of fresh water and free energy was collected. </w:t>
      </w:r>
    </w:p>
    <w:p w:rsidR="00FA249C" w:rsidRPr="008C36F5" w:rsidRDefault="00A147DF" w:rsidP="008C36F5">
      <w:pPr>
        <w:spacing w:line="240" w:lineRule="auto"/>
        <w:rPr>
          <w:rFonts w:ascii="Times New Roman" w:hAnsi="Times New Roman" w:cs="Times New Roman"/>
          <w:sz w:val="20"/>
          <w:szCs w:val="20"/>
        </w:rPr>
      </w:pPr>
      <w:r w:rsidRPr="008C36F5">
        <w:rPr>
          <w:rFonts w:ascii="Times New Roman" w:hAnsi="Times New Roman" w:cs="Times New Roman"/>
          <w:sz w:val="20"/>
          <w:szCs w:val="20"/>
        </w:rPr>
        <w:t>The use of OME eliminates both carbon warming and fossil fuel depletion concerning the volume of diesel fuel substitutes. In addition, the life cycle assessment of OME mixes and fossil diesel reveals that OME blends can minimize environmental effects. The process of transforming plastic waste into formate, acetate, and pyruvate are organic compounds made from pure hydrogen and waste polymer. It will solve the global problem of plastic depletion while also reducing reliance on fossil fuels. The solar thermochemical cycle has a better long-term potential to reduce acquisition costs and is a faster path to hydrogen output. MO doping can significantly increase photocurrent. Although Cu</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O is a desirable P-type oxide for usage in a PEC water-splitting cell, it is photo-electrochemically unstable. The PEC water splitting cell will require a new method.</w:t>
      </w:r>
    </w:p>
    <w:p w:rsidR="00A147DF" w:rsidRPr="00FA2D2E" w:rsidRDefault="00CF73CB" w:rsidP="008C36F5">
      <w:pPr>
        <w:spacing w:line="240" w:lineRule="auto"/>
        <w:rPr>
          <w:rFonts w:ascii="Times New Roman" w:hAnsi="Times New Roman" w:cs="Times New Roman"/>
          <w:b/>
          <w:szCs w:val="20"/>
          <w:vertAlign w:val="superscript"/>
        </w:rPr>
      </w:pPr>
      <w:r>
        <w:rPr>
          <w:rFonts w:ascii="Times New Roman" w:hAnsi="Times New Roman" w:cs="Times New Roman"/>
          <w:b/>
          <w:noProof/>
          <w:sz w:val="20"/>
          <w:szCs w:val="20"/>
        </w:rPr>
        <w:pict>
          <v:shape id="_x0000_s1084" type="#_x0000_t32" style="position:absolute;left:0;text-align:left;margin-left:283.25pt;margin-top:35.55pt;width:.55pt;height:18.7pt;flip:x;z-index:251693056" o:connectortype="straight"/>
        </w:pict>
      </w:r>
      <w:r w:rsidR="00A147DF" w:rsidRPr="00BB1C42">
        <w:rPr>
          <w:rFonts w:ascii="Times New Roman" w:hAnsi="Times New Roman" w:cs="Times New Roman"/>
          <w:b/>
          <w:szCs w:val="20"/>
        </w:rPr>
        <w:t>7. Generation of HHO/H</w:t>
      </w:r>
      <w:r w:rsidR="00A147DF" w:rsidRPr="00BB1C42">
        <w:rPr>
          <w:rFonts w:ascii="Times New Roman" w:hAnsi="Times New Roman" w:cs="Times New Roman"/>
          <w:b/>
          <w:szCs w:val="20"/>
          <w:vertAlign w:val="subscript"/>
        </w:rPr>
        <w:t>2</w:t>
      </w:r>
      <w:r w:rsidR="00A147DF" w:rsidRPr="00BB1C42">
        <w:rPr>
          <w:rFonts w:ascii="Times New Roman" w:hAnsi="Times New Roman" w:cs="Times New Roman"/>
          <w:b/>
          <w:szCs w:val="20"/>
        </w:rPr>
        <w:t xml:space="preserve"> Using </w:t>
      </w:r>
      <w:r w:rsidR="00A147DF" w:rsidRPr="00BB1C42">
        <w:rPr>
          <w:rFonts w:ascii="Times New Roman" w:hAnsi="Times New Roman" w:cs="Times New Roman"/>
          <w:b/>
          <w:szCs w:val="20"/>
          <w:shd w:val="clear" w:color="auto" w:fill="FFFFFF"/>
        </w:rPr>
        <w:t>Microbial Electrolysis Cell Technology for Biological and Glycerol Hydrogen Production</w:t>
      </w:r>
      <w:r w:rsidR="00A147DF" w:rsidRPr="00BB1C42">
        <w:rPr>
          <w:rFonts w:ascii="Times New Roman" w:hAnsi="Times New Roman" w:cs="Times New Roman"/>
          <w:b/>
          <w:szCs w:val="20"/>
        </w:rPr>
        <w:t>:</w:t>
      </w:r>
      <w:r w:rsidR="00FA2D2E">
        <w:rPr>
          <w:rFonts w:ascii="Times New Roman" w:hAnsi="Times New Roman" w:cs="Times New Roman"/>
          <w:b/>
          <w:szCs w:val="20"/>
        </w:rPr>
        <w:t xml:space="preserve">  </w:t>
      </w:r>
    </w:p>
    <w:p w:rsidR="00350B1F" w:rsidRDefault="00CF73CB" w:rsidP="00EC20A8">
      <w:pPr>
        <w:tabs>
          <w:tab w:val="left" w:pos="4121"/>
        </w:tabs>
        <w:spacing w:before="0" w:beforeAutospacing="0" w:after="0" w:afterAutospacing="0" w:line="240" w:lineRule="auto"/>
        <w:jc w:val="left"/>
        <w:rPr>
          <w:rFonts w:ascii="Times New Roman" w:hAnsi="Times New Roman" w:cs="Times New Roman"/>
          <w:b/>
          <w:sz w:val="20"/>
          <w:szCs w:val="20"/>
        </w:rPr>
      </w:pPr>
      <w:r>
        <w:rPr>
          <w:rFonts w:ascii="Times New Roman" w:hAnsi="Times New Roman" w:cs="Times New Roman"/>
          <w:b/>
          <w:noProof/>
          <w:sz w:val="20"/>
          <w:szCs w:val="20"/>
        </w:rPr>
        <w:pict>
          <v:shapetype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_x0000_s1107" type="#_x0000_t41" style="position:absolute;margin-left:375.6pt;margin-top:103.65pt;width:52.55pt;height:15.45pt;z-index:251709440" adj="-36315,14750,-2466,12583,-39049,8528,-36315,14750">
            <v:textbox>
              <w:txbxContent>
                <w:p w:rsidR="00FE7CDF" w:rsidRPr="00791534" w:rsidRDefault="00FE7CDF">
                  <w:pPr>
                    <w:rPr>
                      <w:sz w:val="16"/>
                    </w:rPr>
                  </w:pPr>
                  <w:r w:rsidRPr="00791534">
                    <w:rPr>
                      <w:sz w:val="16"/>
                    </w:rPr>
                    <w:t>Membrane</w:t>
                  </w:r>
                </w:p>
              </w:txbxContent>
            </v:textbox>
            <o:callout v:ext="edit" minusy="t"/>
          </v:shape>
        </w:pict>
      </w:r>
      <w:r>
        <w:rPr>
          <w:rFonts w:ascii="Times New Roman" w:hAnsi="Times New Roman" w:cs="Times New Roman"/>
          <w:b/>
          <w:noProof/>
          <w:sz w:val="20"/>
          <w:szCs w:val="20"/>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101" type="#_x0000_t103" style="position:absolute;margin-left:236.1pt;margin-top:48.7pt;width:15.15pt;height:47.85pt;z-index:251705344" adj="13292"/>
        </w:pict>
      </w:r>
      <w:r>
        <w:rPr>
          <w:noProof/>
        </w:rPr>
        <w:pict>
          <v:shapetype id="_x0000_t202" coordsize="21600,21600" o:spt="202" path="m,l,21600r21600,l21600,xe">
            <v:stroke joinstyle="miter"/>
            <v:path gradientshapeok="t" o:connecttype="rect"/>
          </v:shapetype>
          <v:shape id="_x0000_s1104" type="#_x0000_t202" style="position:absolute;margin-left:275.75pt;margin-top:52.05pt;width:23.4pt;height:14.25pt;z-index:251708416">
            <v:textbox style="mso-next-textbox:#_x0000_s1104">
              <w:txbxContent>
                <w:p w:rsidR="00FE7CDF" w:rsidRPr="0041292A" w:rsidRDefault="00FE7CDF">
                  <w:pPr>
                    <w:rPr>
                      <w:sz w:val="12"/>
                      <w:vertAlign w:val="superscript"/>
                    </w:rPr>
                  </w:pPr>
                  <w:r w:rsidRPr="0041292A">
                    <w:rPr>
                      <w:sz w:val="12"/>
                    </w:rPr>
                    <w:t>H</w:t>
                  </w:r>
                  <w:r w:rsidRPr="0041292A">
                    <w:rPr>
                      <w:sz w:val="12"/>
                      <w:vertAlign w:val="superscript"/>
                    </w:rPr>
                    <w:t>+</w:t>
                  </w:r>
                </w:p>
              </w:txbxContent>
            </v:textbox>
          </v:shape>
        </w:pict>
      </w:r>
      <w:r w:rsidR="00FA2D2E">
        <w:rPr>
          <w:noProof/>
        </w:rPr>
        <w:drawing>
          <wp:anchor distT="0" distB="0" distL="114300" distR="114300" simplePos="0" relativeHeight="251658240" behindDoc="1" locked="0" layoutInCell="1" allowOverlap="1">
            <wp:simplePos x="0" y="0"/>
            <wp:positionH relativeFrom="column">
              <wp:posOffset>3491230</wp:posOffset>
            </wp:positionH>
            <wp:positionV relativeFrom="paragraph">
              <wp:posOffset>685800</wp:posOffset>
            </wp:positionV>
            <wp:extent cx="178435" cy="155575"/>
            <wp:effectExtent l="0" t="0" r="0" b="0"/>
            <wp:wrapTight wrapText="bothSides">
              <wp:wrapPolygon edited="0">
                <wp:start x="0" y="0"/>
                <wp:lineTo x="0" y="18514"/>
                <wp:lineTo x="18448" y="18514"/>
                <wp:lineTo x="1844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8435" cy="155575"/>
                    </a:xfrm>
                    <a:prstGeom prst="rect">
                      <a:avLst/>
                    </a:prstGeom>
                  </pic:spPr>
                </pic:pic>
              </a:graphicData>
            </a:graphic>
          </wp:anchor>
        </w:drawing>
      </w:r>
      <w:r>
        <w:rPr>
          <w:rFonts w:ascii="Times New Roman" w:hAnsi="Times New Roman" w:cs="Times New Roman"/>
          <w:b/>
          <w:noProof/>
          <w:sz w:val="20"/>
          <w:szCs w:val="2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02" type="#_x0000_t13" style="position:absolute;margin-left:271.15pt;margin-top:66.3pt;width:29.5pt;height:7.15pt;z-index:251706368;mso-position-horizontal-relative:text;mso-position-vertical-relative:text"/>
        </w:pict>
      </w:r>
      <w:r>
        <w:rPr>
          <w:rFonts w:ascii="Times New Roman" w:hAnsi="Times New Roman" w:cs="Times New Roman"/>
          <w:b/>
          <w:noProof/>
          <w:sz w:val="20"/>
          <w:szCs w:val="20"/>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100" type="#_x0000_t102" style="position:absolute;margin-left:322.1pt;margin-top:48.7pt;width:11.1pt;height:44.4pt;z-index:251704320;mso-position-horizontal-relative:text;mso-position-vertical-relative:text" fillcolor="white [3201]" strokecolor="#4f81bd [3204]" strokeweight="2.5pt">
            <v:shadow color="#868686"/>
          </v:shape>
        </w:pict>
      </w:r>
      <w:r>
        <w:rPr>
          <w:rFonts w:ascii="Times New Roman" w:hAnsi="Times New Roman" w:cs="Times New Roman"/>
          <w:b/>
          <w:noProof/>
          <w:sz w:val="20"/>
          <w:szCs w:val="20"/>
        </w:rPr>
        <w:pict>
          <v:rect id="_x0000_s1080" style="position:absolute;margin-left:221.2pt;margin-top:21.9pt;width:120.95pt;height:95.8pt;z-index:251688960;mso-position-horizontal-relative:text;mso-position-vertical-relative:text"/>
        </w:pict>
      </w:r>
      <w:r>
        <w:rPr>
          <w:rFonts w:ascii="Times New Roman" w:hAnsi="Times New Roman" w:cs="Times New Roman"/>
          <w:b/>
          <w:noProof/>
          <w:sz w:val="20"/>
          <w:szCs w:val="20"/>
        </w:rPr>
        <w:pict>
          <v:rect id="_x0000_s1081" style="position:absolute;margin-left:283.2pt;margin-top:23pt;width:7.15pt;height:94.7pt;z-index:251689984;mso-position-horizontal-relative:text;mso-position-vertical-relative:text"/>
        </w:pict>
      </w:r>
      <w:r>
        <w:rPr>
          <w:rFonts w:ascii="Times New Roman" w:hAnsi="Times New Roman" w:cs="Times New Roman"/>
          <w:b/>
          <w:noProof/>
          <w:sz w:val="20"/>
          <w:szCs w:val="20"/>
        </w:rPr>
        <w:pict>
          <v:shape id="_x0000_s1086" type="#_x0000_t202" style="position:absolute;margin-left:252.9pt;margin-top:32.25pt;width:14.45pt;height:70.6pt;z-index:251695104;mso-position-horizontal-relative:text;mso-position-vertical-relative:text">
            <v:textbox style="mso-next-textbox:#_x0000_s1086">
              <w:txbxContent>
                <w:p w:rsidR="00FE7CDF" w:rsidRPr="00F5310D" w:rsidRDefault="00FE7CDF" w:rsidP="00F5310D">
                  <w:pPr>
                    <w:spacing w:line="240" w:lineRule="auto"/>
                    <w:jc w:val="left"/>
                    <w:rPr>
                      <w:rFonts w:ascii="Arial" w:hAnsi="Arial" w:cs="Arial"/>
                      <w:sz w:val="16"/>
                    </w:rPr>
                  </w:pPr>
                  <w:r w:rsidRPr="00F5310D">
                    <w:rPr>
                      <w:rFonts w:ascii="Arial" w:hAnsi="Arial" w:cs="Arial"/>
                      <w:sz w:val="16"/>
                    </w:rPr>
                    <w:t>Anode</w:t>
                  </w:r>
                </w:p>
              </w:txbxContent>
            </v:textbox>
          </v:shape>
        </w:pict>
      </w:r>
      <w:r>
        <w:rPr>
          <w:rFonts w:ascii="Times New Roman" w:hAnsi="Times New Roman" w:cs="Times New Roman"/>
          <w:b/>
          <w:noProof/>
          <w:sz w:val="20"/>
          <w:szCs w:val="20"/>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88" type="#_x0000_t34" style="position:absolute;margin-left:258.5pt;margin-top:8.05pt;width:25.6pt;height:22.8pt;rotation:270;z-index:251697152;mso-position-horizontal-relative:text;mso-position-vertical-relative:text" o:connectortype="elbow" adj="21473,-568563,-280041"/>
        </w:pict>
      </w:r>
      <w:r>
        <w:rPr>
          <w:rFonts w:ascii="Times New Roman" w:hAnsi="Times New Roman" w:cs="Times New Roman"/>
          <w:b/>
          <w:noProof/>
          <w:sz w:val="20"/>
          <w:szCs w:val="20"/>
        </w:rPr>
        <w:pict>
          <v:shape id="_x0000_s1089" type="#_x0000_t34" style="position:absolute;margin-left:288.35pt;margin-top:8.2pt;width:27.6pt;height:19.7pt;rotation:270;flip:x;z-index:251698176;mso-position-horizontal-relative:text;mso-position-vertical-relative:text" o:connectortype="elbow" adj="20386,657594,-300522"/>
        </w:pict>
      </w:r>
      <w:r>
        <w:rPr>
          <w:rFonts w:ascii="Times New Roman" w:hAnsi="Times New Roman" w:cs="Times New Roman"/>
          <w:b/>
          <w:noProof/>
          <w:sz w:val="20"/>
          <w:szCs w:val="20"/>
        </w:rPr>
        <w:pict>
          <v:shape id="_x0000_s1087" type="#_x0000_t202" style="position:absolute;margin-left:304.25pt;margin-top:31.85pt;width:14.45pt;height:73.2pt;z-index:251696128;mso-position-horizontal-relative:text;mso-position-vertical-relative:text">
            <v:textbox style="mso-next-textbox:#_x0000_s1087">
              <w:txbxContent>
                <w:p w:rsidR="00FE7CDF" w:rsidRPr="00F5310D" w:rsidRDefault="00FE7CDF" w:rsidP="00F5310D">
                  <w:pPr>
                    <w:spacing w:line="240" w:lineRule="auto"/>
                    <w:jc w:val="left"/>
                    <w:rPr>
                      <w:rFonts w:ascii="Arial" w:hAnsi="Arial" w:cs="Arial"/>
                      <w:sz w:val="16"/>
                    </w:rPr>
                  </w:pPr>
                  <w:r w:rsidRPr="00F5310D">
                    <w:rPr>
                      <w:rFonts w:ascii="Arial" w:hAnsi="Arial" w:cs="Arial"/>
                      <w:sz w:val="16"/>
                    </w:rPr>
                    <w:t>Cathod</w:t>
                  </w:r>
                  <w:r>
                    <w:rPr>
                      <w:rFonts w:ascii="Arial" w:hAnsi="Arial" w:cs="Arial"/>
                      <w:sz w:val="16"/>
                    </w:rPr>
                    <w:t>e</w:t>
                  </w:r>
                  <w:r w:rsidRPr="00F5310D">
                    <w:rPr>
                      <w:rFonts w:ascii="Arial" w:hAnsi="Arial" w:cs="Arial"/>
                      <w:sz w:val="16"/>
                    </w:rPr>
                    <w:t>e</w:t>
                  </w:r>
                </w:p>
              </w:txbxContent>
            </v:textbox>
          </v:shape>
        </w:pict>
      </w:r>
      <w:r>
        <w:rPr>
          <w:rFonts w:ascii="Times New Roman" w:hAnsi="Times New Roman" w:cs="Times New Roman"/>
          <w:b/>
          <w:noProof/>
          <w:sz w:val="20"/>
          <w:szCs w:val="20"/>
        </w:rPr>
        <w:pict>
          <v:shape id="_x0000_s1097" type="#_x0000_t202" style="position:absolute;margin-left:334.4pt;margin-top:78.2pt;width:32.85pt;height:14.15pt;z-index:251703296;mso-position-horizontal-relative:text;mso-position-vertical-relative:text">
            <v:textbox style="mso-next-textbox:#_x0000_s1097">
              <w:txbxContent>
                <w:p w:rsidR="00FE7CDF" w:rsidRPr="00F30F26" w:rsidRDefault="00FE7CDF" w:rsidP="00F30F26">
                  <w:pPr>
                    <w:spacing w:line="240" w:lineRule="auto"/>
                    <w:jc w:val="center"/>
                    <w:rPr>
                      <w:rFonts w:ascii="Arial" w:hAnsi="Arial" w:cs="Arial"/>
                      <w:sz w:val="14"/>
                      <w:vertAlign w:val="subscript"/>
                    </w:rPr>
                  </w:pPr>
                  <w:r>
                    <w:rPr>
                      <w:rFonts w:ascii="Arial" w:hAnsi="Arial" w:cs="Arial"/>
                      <w:sz w:val="14"/>
                    </w:rPr>
                    <w:t>H</w:t>
                  </w:r>
                  <w:r>
                    <w:rPr>
                      <w:rFonts w:ascii="Arial" w:hAnsi="Arial" w:cs="Arial"/>
                      <w:sz w:val="14"/>
                      <w:vertAlign w:val="subscript"/>
                    </w:rPr>
                    <w:t>2</w:t>
                  </w:r>
                </w:p>
              </w:txbxContent>
            </v:textbox>
          </v:shape>
        </w:pict>
      </w:r>
      <w:r>
        <w:rPr>
          <w:rFonts w:ascii="Times New Roman" w:hAnsi="Times New Roman" w:cs="Times New Roman"/>
          <w:b/>
          <w:noProof/>
          <w:sz w:val="20"/>
          <w:szCs w:val="20"/>
        </w:rPr>
        <w:pict>
          <v:shape id="_x0000_s1096" type="#_x0000_t202" style="position:absolute;margin-left:333.65pt;margin-top:45.25pt;width:43.95pt;height:13.4pt;z-index:251702272;mso-position-horizontal-relative:text;mso-position-vertical-relative:text">
            <v:textbox style="mso-next-textbox:#_x0000_s1096">
              <w:txbxContent>
                <w:p w:rsidR="00FE7CDF" w:rsidRPr="00EC20A8" w:rsidRDefault="00FE7CDF" w:rsidP="00EC20A8">
                  <w:pPr>
                    <w:spacing w:line="240" w:lineRule="auto"/>
                    <w:jc w:val="center"/>
                    <w:rPr>
                      <w:rFonts w:ascii="Arial" w:hAnsi="Arial" w:cs="Arial"/>
                      <w:sz w:val="14"/>
                      <w:vertAlign w:val="superscript"/>
                    </w:rPr>
                  </w:pPr>
                  <w:r>
                    <w:rPr>
                      <w:rFonts w:ascii="Arial" w:hAnsi="Arial" w:cs="Arial"/>
                      <w:sz w:val="14"/>
                    </w:rPr>
                    <w:t>2H</w:t>
                  </w:r>
                  <w:r>
                    <w:rPr>
                      <w:rFonts w:ascii="Arial" w:hAnsi="Arial" w:cs="Arial"/>
                      <w:sz w:val="14"/>
                      <w:vertAlign w:val="superscript"/>
                    </w:rPr>
                    <w:t>+</w:t>
                  </w:r>
                  <w:r>
                    <w:rPr>
                      <w:rFonts w:ascii="Arial" w:hAnsi="Arial" w:cs="Arial"/>
                      <w:sz w:val="14"/>
                    </w:rPr>
                    <w:t>+2e</w:t>
                  </w:r>
                  <w:r>
                    <w:rPr>
                      <w:rFonts w:ascii="Arial" w:hAnsi="Arial" w:cs="Arial"/>
                      <w:sz w:val="14"/>
                      <w:vertAlign w:val="superscript"/>
                    </w:rPr>
                    <w:t>-</w:t>
                  </w:r>
                </w:p>
              </w:txbxContent>
            </v:textbox>
          </v:shape>
        </w:pict>
      </w:r>
      <w:r>
        <w:rPr>
          <w:rFonts w:ascii="Times New Roman" w:hAnsi="Times New Roman" w:cs="Times New Roman"/>
          <w:b/>
          <w:noProof/>
          <w:sz w:val="20"/>
          <w:szCs w:val="20"/>
        </w:rPr>
        <w:pict>
          <v:shape id="_x0000_s1095" type="#_x0000_t202" style="position:absolute;margin-left:181.9pt;margin-top:78.95pt;width:56.3pt;height:16.9pt;z-index:251701248;mso-position-horizontal-relative:text;mso-position-vertical-relative:text">
            <v:textbox style="mso-next-textbox:#_x0000_s1095">
              <w:txbxContent>
                <w:p w:rsidR="00FE7CDF" w:rsidRPr="00EC20A8" w:rsidRDefault="00FE7CDF" w:rsidP="00EC20A8">
                  <w:pPr>
                    <w:spacing w:line="240" w:lineRule="auto"/>
                    <w:jc w:val="center"/>
                    <w:rPr>
                      <w:rFonts w:ascii="Arial" w:hAnsi="Arial" w:cs="Arial"/>
                      <w:sz w:val="14"/>
                      <w:vertAlign w:val="superscript"/>
                    </w:rPr>
                  </w:pPr>
                  <w:r>
                    <w:rPr>
                      <w:rFonts w:ascii="Arial" w:hAnsi="Arial" w:cs="Arial"/>
                      <w:sz w:val="14"/>
                    </w:rPr>
                    <w:t>CO</w:t>
                  </w:r>
                  <w:r>
                    <w:rPr>
                      <w:rFonts w:ascii="Arial" w:hAnsi="Arial" w:cs="Arial"/>
                      <w:sz w:val="14"/>
                      <w:vertAlign w:val="subscript"/>
                    </w:rPr>
                    <w:t>2</w:t>
                  </w:r>
                  <w:r>
                    <w:rPr>
                      <w:rFonts w:ascii="Arial" w:hAnsi="Arial" w:cs="Arial"/>
                      <w:sz w:val="14"/>
                    </w:rPr>
                    <w:t xml:space="preserve"> +H</w:t>
                  </w:r>
                  <w:r>
                    <w:rPr>
                      <w:rFonts w:ascii="Arial" w:hAnsi="Arial" w:cs="Arial"/>
                      <w:sz w:val="14"/>
                      <w:vertAlign w:val="superscript"/>
                    </w:rPr>
                    <w:t>+</w:t>
                  </w:r>
                  <w:r>
                    <w:rPr>
                      <w:rFonts w:ascii="Arial" w:hAnsi="Arial" w:cs="Arial"/>
                      <w:sz w:val="14"/>
                    </w:rPr>
                    <w:t>+e</w:t>
                  </w:r>
                  <w:r>
                    <w:rPr>
                      <w:rFonts w:ascii="Arial" w:hAnsi="Arial" w:cs="Arial"/>
                      <w:sz w:val="14"/>
                      <w:vertAlign w:val="superscript"/>
                    </w:rPr>
                    <w:t>-</w:t>
                  </w:r>
                </w:p>
              </w:txbxContent>
            </v:textbox>
          </v:shape>
        </w:pict>
      </w:r>
      <w:r>
        <w:rPr>
          <w:rFonts w:ascii="Times New Roman" w:hAnsi="Times New Roman" w:cs="Times New Roman"/>
          <w:b/>
          <w:noProof/>
          <w:sz w:val="20"/>
          <w:szCs w:val="20"/>
        </w:rPr>
        <w:pict>
          <v:shape id="_x0000_s1091" type="#_x0000_t202" style="position:absolute;margin-left:190.55pt;margin-top:40.6pt;width:45.55pt;height:23.6pt;z-index:251700224;mso-position-horizontal-relative:text;mso-position-vertical-relative:text">
            <v:textbox style="mso-next-textbox:#_x0000_s1091">
              <w:txbxContent>
                <w:p w:rsidR="00FE7CDF" w:rsidRPr="006824B7" w:rsidRDefault="00FE7CDF" w:rsidP="006824B7">
                  <w:pPr>
                    <w:spacing w:line="240" w:lineRule="auto"/>
                    <w:rPr>
                      <w:rFonts w:ascii="Arial" w:hAnsi="Arial" w:cs="Arial"/>
                      <w:sz w:val="14"/>
                    </w:rPr>
                  </w:pPr>
                  <w:r w:rsidRPr="006824B7">
                    <w:rPr>
                      <w:rFonts w:ascii="Arial" w:hAnsi="Arial" w:cs="Arial"/>
                      <w:sz w:val="14"/>
                    </w:rPr>
                    <w:t>Biogenic Material</w:t>
                  </w:r>
                </w:p>
              </w:txbxContent>
            </v:textbox>
          </v:shape>
        </w:pict>
      </w:r>
      <w:r>
        <w:rPr>
          <w:rFonts w:ascii="Times New Roman" w:hAnsi="Times New Roman" w:cs="Times New Roman"/>
          <w:b/>
          <w:noProof/>
          <w:sz w:val="20"/>
          <w:szCs w:val="20"/>
        </w:rPr>
        <w:pict>
          <v:shape id="_x0000_s1085" type="#_x0000_t32" style="position:absolute;margin-left:292.3pt;margin-top:.85pt;width:0;height:11.05pt;z-index:251694080;mso-position-horizontal-relative:text;mso-position-vertical-relative:text" o:connectortype="straight"/>
        </w:pict>
      </w:r>
      <w:r w:rsidR="00EC20A8">
        <w:rPr>
          <w:rFonts w:ascii="Times New Roman" w:hAnsi="Times New Roman" w:cs="Times New Roman"/>
          <w:b/>
          <w:sz w:val="20"/>
          <w:szCs w:val="20"/>
        </w:rPr>
        <w:tab/>
      </w:r>
    </w:p>
    <w:p w:rsidR="00293B07" w:rsidRDefault="00FC251E" w:rsidP="00293B07">
      <w:pPr>
        <w:spacing w:before="0" w:beforeAutospacing="0" w:after="0" w:afterAutospacing="0" w:line="240" w:lineRule="auto"/>
        <w:ind w:left="1440" w:firstLine="720"/>
        <w:jc w:val="center"/>
        <w:rPr>
          <w:rFonts w:ascii="Times New Roman" w:hAnsi="Times New Roman" w:cs="Times New Roman"/>
          <w:b/>
          <w:sz w:val="20"/>
          <w:szCs w:val="20"/>
        </w:rPr>
      </w:pPr>
      <w:r>
        <w:rPr>
          <w:rFonts w:ascii="Arial" w:hAnsi="Arial" w:cs="Arial"/>
          <w:sz w:val="14"/>
        </w:rPr>
        <w:t>e</w:t>
      </w:r>
      <w:r>
        <w:rPr>
          <w:rFonts w:ascii="Arial" w:hAnsi="Arial" w:cs="Arial"/>
          <w:sz w:val="14"/>
          <w:vertAlign w:val="superscript"/>
        </w:rPr>
        <w:t>-</w:t>
      </w:r>
      <w:r w:rsidR="00293B07">
        <w:rPr>
          <w:rFonts w:ascii="Arial" w:hAnsi="Arial" w:cs="Arial"/>
          <w:sz w:val="14"/>
        </w:rPr>
        <w:t xml:space="preserve">                             </w:t>
      </w:r>
      <w:r w:rsidR="00293B07" w:rsidRPr="00293B07">
        <w:rPr>
          <w:rFonts w:ascii="Arial" w:hAnsi="Arial" w:cs="Arial"/>
          <w:sz w:val="14"/>
        </w:rPr>
        <w:t xml:space="preserve"> </w:t>
      </w:r>
      <w:r w:rsidR="00293B07">
        <w:rPr>
          <w:rFonts w:ascii="Arial" w:hAnsi="Arial" w:cs="Arial"/>
          <w:sz w:val="14"/>
        </w:rPr>
        <w:t>e</w:t>
      </w:r>
      <w:r w:rsidR="00293B07">
        <w:rPr>
          <w:rFonts w:ascii="Arial" w:hAnsi="Arial" w:cs="Arial"/>
          <w:sz w:val="14"/>
          <w:vertAlign w:val="superscript"/>
        </w:rPr>
        <w:t>-</w:t>
      </w:r>
    </w:p>
    <w:p w:rsidR="00523DF2" w:rsidRDefault="00523DF2" w:rsidP="00FC251E">
      <w:pPr>
        <w:spacing w:before="0" w:beforeAutospacing="0" w:after="0" w:afterAutospacing="0" w:line="240" w:lineRule="auto"/>
        <w:ind w:firstLine="720"/>
        <w:jc w:val="center"/>
        <w:rPr>
          <w:rFonts w:ascii="Times New Roman" w:hAnsi="Times New Roman" w:cs="Times New Roman"/>
          <w:b/>
          <w:sz w:val="20"/>
          <w:szCs w:val="20"/>
        </w:rPr>
      </w:pPr>
    </w:p>
    <w:p w:rsidR="00523DF2" w:rsidRDefault="00523DF2" w:rsidP="00350B1F">
      <w:pPr>
        <w:spacing w:before="0" w:beforeAutospacing="0" w:after="0" w:afterAutospacing="0" w:line="240" w:lineRule="auto"/>
        <w:jc w:val="center"/>
        <w:rPr>
          <w:rFonts w:ascii="Times New Roman" w:hAnsi="Times New Roman" w:cs="Times New Roman"/>
          <w:b/>
          <w:sz w:val="20"/>
          <w:szCs w:val="20"/>
        </w:rPr>
      </w:pPr>
    </w:p>
    <w:p w:rsidR="00523DF2" w:rsidRDefault="00523DF2" w:rsidP="00350B1F">
      <w:pPr>
        <w:spacing w:before="0" w:beforeAutospacing="0" w:after="0" w:afterAutospacing="0" w:line="240" w:lineRule="auto"/>
        <w:jc w:val="center"/>
        <w:rPr>
          <w:rFonts w:ascii="Times New Roman" w:hAnsi="Times New Roman" w:cs="Times New Roman"/>
          <w:b/>
          <w:sz w:val="20"/>
          <w:szCs w:val="20"/>
        </w:rPr>
      </w:pPr>
    </w:p>
    <w:p w:rsidR="00523DF2" w:rsidRDefault="00523DF2" w:rsidP="00350B1F">
      <w:pPr>
        <w:spacing w:before="0" w:beforeAutospacing="0" w:after="0" w:afterAutospacing="0" w:line="240" w:lineRule="auto"/>
        <w:jc w:val="center"/>
        <w:rPr>
          <w:rFonts w:ascii="Times New Roman" w:hAnsi="Times New Roman" w:cs="Times New Roman"/>
          <w:b/>
          <w:sz w:val="20"/>
          <w:szCs w:val="20"/>
        </w:rPr>
      </w:pPr>
    </w:p>
    <w:p w:rsidR="00523DF2" w:rsidRDefault="00523DF2" w:rsidP="00350B1F">
      <w:pPr>
        <w:spacing w:before="0" w:beforeAutospacing="0" w:after="0" w:afterAutospacing="0" w:line="240" w:lineRule="auto"/>
        <w:jc w:val="center"/>
        <w:rPr>
          <w:rFonts w:ascii="Times New Roman" w:hAnsi="Times New Roman" w:cs="Times New Roman"/>
          <w:b/>
          <w:sz w:val="20"/>
          <w:szCs w:val="20"/>
        </w:rPr>
      </w:pPr>
    </w:p>
    <w:p w:rsidR="00523DF2" w:rsidRDefault="00523DF2" w:rsidP="00350B1F">
      <w:pPr>
        <w:spacing w:before="0" w:beforeAutospacing="0" w:after="0" w:afterAutospacing="0" w:line="240" w:lineRule="auto"/>
        <w:jc w:val="center"/>
        <w:rPr>
          <w:rFonts w:ascii="Times New Roman" w:hAnsi="Times New Roman" w:cs="Times New Roman"/>
          <w:b/>
          <w:sz w:val="20"/>
          <w:szCs w:val="20"/>
        </w:rPr>
      </w:pPr>
    </w:p>
    <w:p w:rsidR="00523DF2" w:rsidRDefault="00523DF2" w:rsidP="00350B1F">
      <w:pPr>
        <w:spacing w:before="0" w:beforeAutospacing="0" w:after="0" w:afterAutospacing="0" w:line="240" w:lineRule="auto"/>
        <w:jc w:val="center"/>
        <w:rPr>
          <w:rFonts w:ascii="Times New Roman" w:hAnsi="Times New Roman" w:cs="Times New Roman"/>
          <w:b/>
          <w:sz w:val="20"/>
          <w:szCs w:val="20"/>
        </w:rPr>
      </w:pPr>
    </w:p>
    <w:p w:rsidR="00523DF2" w:rsidRDefault="00523DF2" w:rsidP="00350B1F">
      <w:pPr>
        <w:spacing w:before="0" w:beforeAutospacing="0" w:after="0" w:afterAutospacing="0" w:line="240" w:lineRule="auto"/>
        <w:jc w:val="center"/>
        <w:rPr>
          <w:rFonts w:ascii="Times New Roman" w:hAnsi="Times New Roman" w:cs="Times New Roman"/>
          <w:b/>
          <w:sz w:val="20"/>
          <w:szCs w:val="20"/>
        </w:rPr>
      </w:pPr>
    </w:p>
    <w:p w:rsidR="00523DF2" w:rsidRDefault="00523DF2" w:rsidP="00350B1F">
      <w:pPr>
        <w:spacing w:before="0" w:beforeAutospacing="0" w:after="0" w:afterAutospacing="0" w:line="240" w:lineRule="auto"/>
        <w:jc w:val="center"/>
        <w:rPr>
          <w:rFonts w:ascii="Times New Roman" w:hAnsi="Times New Roman" w:cs="Times New Roman"/>
          <w:b/>
          <w:sz w:val="20"/>
          <w:szCs w:val="20"/>
        </w:rPr>
      </w:pPr>
    </w:p>
    <w:p w:rsidR="00523DF2" w:rsidRDefault="00523DF2" w:rsidP="00350B1F">
      <w:pPr>
        <w:spacing w:before="0" w:beforeAutospacing="0" w:after="0" w:afterAutospacing="0" w:line="240" w:lineRule="auto"/>
        <w:jc w:val="center"/>
        <w:rPr>
          <w:rFonts w:ascii="Times New Roman" w:hAnsi="Times New Roman" w:cs="Times New Roman"/>
          <w:b/>
          <w:sz w:val="20"/>
          <w:szCs w:val="20"/>
        </w:rPr>
      </w:pPr>
    </w:p>
    <w:p w:rsidR="006B2533" w:rsidRPr="007349A3" w:rsidRDefault="00A147DF" w:rsidP="007349A3">
      <w:pPr>
        <w:spacing w:before="0" w:beforeAutospacing="0" w:after="0" w:afterAutospacing="0" w:line="240" w:lineRule="auto"/>
        <w:jc w:val="center"/>
        <w:rPr>
          <w:rFonts w:ascii="Times New Roman" w:hAnsi="Times New Roman" w:cs="Times New Roman"/>
          <w:sz w:val="20"/>
          <w:szCs w:val="20"/>
        </w:rPr>
      </w:pPr>
      <w:r w:rsidRPr="008C36F5">
        <w:rPr>
          <w:rFonts w:ascii="Times New Roman" w:hAnsi="Times New Roman" w:cs="Times New Roman"/>
          <w:b/>
          <w:sz w:val="20"/>
          <w:szCs w:val="20"/>
        </w:rPr>
        <w:t xml:space="preserve">Fig: </w:t>
      </w:r>
      <w:r w:rsidR="004B5BAE">
        <w:rPr>
          <w:rFonts w:ascii="Times New Roman" w:hAnsi="Times New Roman" w:cs="Times New Roman"/>
          <w:b/>
          <w:sz w:val="20"/>
          <w:szCs w:val="20"/>
        </w:rPr>
        <w:t xml:space="preserve">3 </w:t>
      </w:r>
      <w:r w:rsidRPr="008C36F5">
        <w:rPr>
          <w:rFonts w:ascii="Times New Roman" w:hAnsi="Times New Roman" w:cs="Times New Roman"/>
          <w:sz w:val="20"/>
          <w:szCs w:val="20"/>
        </w:rPr>
        <w:t>Schematic Diagram showing construction &amp; wo</w:t>
      </w:r>
      <w:r w:rsidR="009B5462">
        <w:rPr>
          <w:rFonts w:ascii="Times New Roman" w:hAnsi="Times New Roman" w:cs="Times New Roman"/>
          <w:sz w:val="20"/>
          <w:szCs w:val="20"/>
        </w:rPr>
        <w:t>rking in two chambered MEC Cell.</w:t>
      </w:r>
    </w:p>
    <w:p w:rsidR="00A147DF" w:rsidRPr="008C36F5" w:rsidRDefault="00A147DF" w:rsidP="006B2533">
      <w:pPr>
        <w:spacing w:before="0" w:beforeAutospacing="0" w:after="0" w:afterAutospacing="0" w:line="240" w:lineRule="auto"/>
        <w:rPr>
          <w:rFonts w:ascii="Times New Roman" w:hAnsi="Times New Roman" w:cs="Times New Roman"/>
          <w:b/>
          <w:sz w:val="20"/>
          <w:szCs w:val="20"/>
        </w:rPr>
      </w:pPr>
      <w:r w:rsidRPr="008C36F5">
        <w:rPr>
          <w:rFonts w:ascii="Times New Roman" w:hAnsi="Times New Roman" w:cs="Times New Roman"/>
          <w:b/>
          <w:sz w:val="20"/>
          <w:szCs w:val="20"/>
        </w:rPr>
        <w:t xml:space="preserve">Chemical Reaction: </w:t>
      </w:r>
    </w:p>
    <w:p w:rsidR="00A147DF" w:rsidRPr="008C36F5" w:rsidRDefault="00CF73CB" w:rsidP="006B2533">
      <w:pPr>
        <w:spacing w:before="0" w:beforeAutospacing="0" w:after="0" w:afterAutospacing="0" w:line="240" w:lineRule="auto"/>
        <w:rPr>
          <w:rFonts w:ascii="Times New Roman" w:hAnsi="Times New Roman" w:cs="Times New Roman"/>
          <w:sz w:val="20"/>
          <w:szCs w:val="20"/>
          <w:vertAlign w:val="superscript"/>
        </w:rPr>
      </w:pPr>
      <w:r>
        <w:rPr>
          <w:rFonts w:ascii="Times New Roman" w:hAnsi="Times New Roman" w:cs="Times New Roman"/>
          <w:b/>
          <w:noProof/>
          <w:color w:val="595959" w:themeColor="text1" w:themeTint="A6"/>
          <w:sz w:val="20"/>
          <w:szCs w:val="20"/>
        </w:rPr>
        <w:pict>
          <v:shape id="_x0000_s1061" type="#_x0000_t32" style="position:absolute;left:0;text-align:left;margin-left:106.7pt;margin-top:4.75pt;width:30.85pt;height:0;z-index:251670528" o:connectortype="straight">
            <v:stroke endarrow="block"/>
          </v:shape>
        </w:pict>
      </w:r>
      <w:r w:rsidR="00A147DF" w:rsidRPr="008C36F5">
        <w:rPr>
          <w:rFonts w:ascii="Times New Roman" w:hAnsi="Times New Roman" w:cs="Times New Roman"/>
          <w:b/>
          <w:sz w:val="20"/>
          <w:szCs w:val="20"/>
        </w:rPr>
        <w:t>Anode (+):</w:t>
      </w:r>
      <w:r w:rsidR="00A147DF" w:rsidRPr="008C36F5">
        <w:rPr>
          <w:rFonts w:ascii="Times New Roman" w:hAnsi="Times New Roman" w:cs="Times New Roman"/>
          <w:sz w:val="20"/>
          <w:szCs w:val="20"/>
        </w:rPr>
        <w:t>C</w:t>
      </w:r>
      <w:r w:rsidR="00A147DF" w:rsidRPr="008C36F5">
        <w:rPr>
          <w:rFonts w:ascii="Times New Roman" w:hAnsi="Times New Roman" w:cs="Times New Roman"/>
          <w:sz w:val="20"/>
          <w:szCs w:val="20"/>
          <w:vertAlign w:val="subscript"/>
        </w:rPr>
        <w:t>2</w:t>
      </w:r>
      <w:r w:rsidR="00A147DF" w:rsidRPr="008C36F5">
        <w:rPr>
          <w:rFonts w:ascii="Times New Roman" w:hAnsi="Times New Roman" w:cs="Times New Roman"/>
          <w:sz w:val="20"/>
          <w:szCs w:val="20"/>
        </w:rPr>
        <w:t>H</w:t>
      </w:r>
      <w:r w:rsidR="00A147DF" w:rsidRPr="008C36F5">
        <w:rPr>
          <w:rFonts w:ascii="Times New Roman" w:hAnsi="Times New Roman" w:cs="Times New Roman"/>
          <w:sz w:val="20"/>
          <w:szCs w:val="20"/>
          <w:vertAlign w:val="subscript"/>
        </w:rPr>
        <w:t>4</w:t>
      </w:r>
      <w:r w:rsidR="00A147DF" w:rsidRPr="008C36F5">
        <w:rPr>
          <w:rFonts w:ascii="Times New Roman" w:hAnsi="Times New Roman" w:cs="Times New Roman"/>
          <w:sz w:val="20"/>
          <w:szCs w:val="20"/>
        </w:rPr>
        <w:t>O</w:t>
      </w:r>
      <w:r w:rsidR="00A147DF" w:rsidRPr="008C36F5">
        <w:rPr>
          <w:rFonts w:ascii="Times New Roman" w:hAnsi="Times New Roman" w:cs="Times New Roman"/>
          <w:sz w:val="20"/>
          <w:szCs w:val="20"/>
          <w:vertAlign w:val="subscript"/>
        </w:rPr>
        <w:t>2</w:t>
      </w:r>
      <w:r w:rsidR="00A147DF" w:rsidRPr="008C36F5">
        <w:rPr>
          <w:rFonts w:ascii="Times New Roman" w:hAnsi="Times New Roman" w:cs="Times New Roman"/>
          <w:sz w:val="20"/>
          <w:szCs w:val="20"/>
        </w:rPr>
        <w:t>+ H</w:t>
      </w:r>
      <w:r w:rsidR="00A147DF" w:rsidRPr="008C36F5">
        <w:rPr>
          <w:rFonts w:ascii="Times New Roman" w:hAnsi="Times New Roman" w:cs="Times New Roman"/>
          <w:sz w:val="20"/>
          <w:szCs w:val="20"/>
          <w:vertAlign w:val="subscript"/>
        </w:rPr>
        <w:t>2</w:t>
      </w:r>
      <w:r w:rsidR="00A147DF" w:rsidRPr="008C36F5">
        <w:rPr>
          <w:rFonts w:ascii="Times New Roman" w:hAnsi="Times New Roman" w:cs="Times New Roman"/>
          <w:sz w:val="20"/>
          <w:szCs w:val="20"/>
        </w:rPr>
        <w:t xml:space="preserve">O           </w:t>
      </w:r>
      <w:r w:rsidR="00A147DF" w:rsidRPr="008C36F5">
        <w:rPr>
          <w:rFonts w:ascii="Times New Roman" w:hAnsi="Times New Roman" w:cs="Times New Roman"/>
          <w:sz w:val="20"/>
          <w:szCs w:val="20"/>
        </w:rPr>
        <w:tab/>
        <w:t>CO</w:t>
      </w:r>
      <w:r w:rsidR="00A147DF" w:rsidRPr="008C36F5">
        <w:rPr>
          <w:rFonts w:ascii="Times New Roman" w:hAnsi="Times New Roman" w:cs="Times New Roman"/>
          <w:sz w:val="20"/>
          <w:szCs w:val="20"/>
          <w:vertAlign w:val="subscript"/>
        </w:rPr>
        <w:t>2</w:t>
      </w:r>
      <w:r w:rsidR="00A147DF" w:rsidRPr="008C36F5">
        <w:rPr>
          <w:rFonts w:ascii="Times New Roman" w:hAnsi="Times New Roman" w:cs="Times New Roman"/>
          <w:sz w:val="20"/>
          <w:szCs w:val="20"/>
        </w:rPr>
        <w:t xml:space="preserve"> + 8 e</w:t>
      </w:r>
      <w:r w:rsidR="00A147DF" w:rsidRPr="008C36F5">
        <w:rPr>
          <w:rFonts w:ascii="Times New Roman" w:hAnsi="Times New Roman" w:cs="Times New Roman"/>
          <w:sz w:val="20"/>
          <w:szCs w:val="20"/>
          <w:vertAlign w:val="superscript"/>
        </w:rPr>
        <w:t>-</w:t>
      </w:r>
      <w:r w:rsidR="00A147DF" w:rsidRPr="008C36F5">
        <w:rPr>
          <w:rFonts w:ascii="Times New Roman" w:hAnsi="Times New Roman" w:cs="Times New Roman"/>
          <w:sz w:val="20"/>
          <w:szCs w:val="20"/>
        </w:rPr>
        <w:t xml:space="preserve"> + 8 H</w:t>
      </w:r>
      <w:r w:rsidR="00A147DF" w:rsidRPr="008C36F5">
        <w:rPr>
          <w:rFonts w:ascii="Times New Roman" w:hAnsi="Times New Roman" w:cs="Times New Roman"/>
          <w:sz w:val="20"/>
          <w:szCs w:val="20"/>
          <w:vertAlign w:val="superscript"/>
        </w:rPr>
        <w:t>+</w:t>
      </w:r>
    </w:p>
    <w:p w:rsidR="00A147DF" w:rsidRDefault="00CF73CB" w:rsidP="006B2533">
      <w:pPr>
        <w:spacing w:before="0" w:beforeAutospacing="0" w:after="0" w:afterAutospacing="0" w:line="240" w:lineRule="auto"/>
        <w:rPr>
          <w:rFonts w:ascii="Times New Roman" w:hAnsi="Times New Roman" w:cs="Times New Roman"/>
          <w:sz w:val="20"/>
          <w:szCs w:val="20"/>
          <w:vertAlign w:val="subscript"/>
        </w:rPr>
      </w:pPr>
      <w:r>
        <w:rPr>
          <w:rFonts w:ascii="Times New Roman" w:hAnsi="Times New Roman" w:cs="Times New Roman"/>
          <w:b/>
          <w:noProof/>
          <w:sz w:val="20"/>
          <w:szCs w:val="20"/>
        </w:rPr>
        <w:pict>
          <v:shape id="_x0000_s1062" type="#_x0000_t32" style="position:absolute;left:0;text-align:left;margin-left:96.4pt;margin-top:5.25pt;width:28.05pt;height:0;z-index:251671552" o:connectortype="straight">
            <v:stroke endarrow="block"/>
          </v:shape>
        </w:pict>
      </w:r>
      <w:r w:rsidR="00A147DF" w:rsidRPr="008C36F5">
        <w:rPr>
          <w:rFonts w:ascii="Times New Roman" w:hAnsi="Times New Roman" w:cs="Times New Roman"/>
          <w:b/>
          <w:sz w:val="20"/>
          <w:szCs w:val="20"/>
        </w:rPr>
        <w:t>Cathode (-):</w:t>
      </w:r>
      <w:r w:rsidR="00A147DF" w:rsidRPr="008C36F5">
        <w:rPr>
          <w:rFonts w:ascii="Times New Roman" w:hAnsi="Times New Roman" w:cs="Times New Roman"/>
          <w:sz w:val="20"/>
          <w:szCs w:val="20"/>
        </w:rPr>
        <w:t>8 e</w:t>
      </w:r>
      <w:r w:rsidR="00A147DF" w:rsidRPr="008C36F5">
        <w:rPr>
          <w:rFonts w:ascii="Times New Roman" w:hAnsi="Times New Roman" w:cs="Times New Roman"/>
          <w:sz w:val="20"/>
          <w:szCs w:val="20"/>
          <w:vertAlign w:val="superscript"/>
        </w:rPr>
        <w:t>-</w:t>
      </w:r>
      <w:r w:rsidR="00A147DF" w:rsidRPr="008C36F5">
        <w:rPr>
          <w:rFonts w:ascii="Times New Roman" w:hAnsi="Times New Roman" w:cs="Times New Roman"/>
          <w:sz w:val="20"/>
          <w:szCs w:val="20"/>
        </w:rPr>
        <w:t xml:space="preserve"> + 8 H</w:t>
      </w:r>
      <w:r w:rsidR="00A147DF" w:rsidRPr="008C36F5">
        <w:rPr>
          <w:rFonts w:ascii="Times New Roman" w:hAnsi="Times New Roman" w:cs="Times New Roman"/>
          <w:sz w:val="20"/>
          <w:szCs w:val="20"/>
          <w:vertAlign w:val="superscript"/>
        </w:rPr>
        <w:t>+</w:t>
      </w:r>
      <w:r w:rsidR="00A147DF" w:rsidRPr="008C36F5">
        <w:rPr>
          <w:rFonts w:ascii="Times New Roman" w:hAnsi="Times New Roman" w:cs="Times New Roman"/>
          <w:sz w:val="20"/>
          <w:szCs w:val="20"/>
        </w:rPr>
        <w:tab/>
        <w:t xml:space="preserve">    </w:t>
      </w:r>
      <w:r w:rsidR="00326F6F" w:rsidRPr="008C36F5">
        <w:rPr>
          <w:rFonts w:ascii="Times New Roman" w:hAnsi="Times New Roman" w:cs="Times New Roman"/>
          <w:sz w:val="20"/>
          <w:szCs w:val="20"/>
        </w:rPr>
        <w:t xml:space="preserve">     </w:t>
      </w:r>
      <w:r w:rsidR="00A147DF" w:rsidRPr="008C36F5">
        <w:rPr>
          <w:rFonts w:ascii="Times New Roman" w:hAnsi="Times New Roman" w:cs="Times New Roman"/>
          <w:sz w:val="20"/>
          <w:szCs w:val="20"/>
        </w:rPr>
        <w:t>4H</w:t>
      </w:r>
      <w:r w:rsidR="00A147DF" w:rsidRPr="008C36F5">
        <w:rPr>
          <w:rFonts w:ascii="Times New Roman" w:hAnsi="Times New Roman" w:cs="Times New Roman"/>
          <w:sz w:val="20"/>
          <w:szCs w:val="20"/>
          <w:vertAlign w:val="subscript"/>
        </w:rPr>
        <w:t xml:space="preserve">2 </w:t>
      </w:r>
    </w:p>
    <w:p w:rsidR="006B2533" w:rsidRPr="008C36F5" w:rsidRDefault="006B2533" w:rsidP="006B2533">
      <w:pPr>
        <w:spacing w:before="0" w:beforeAutospacing="0" w:after="0" w:afterAutospacing="0" w:line="240" w:lineRule="auto"/>
        <w:rPr>
          <w:rFonts w:ascii="Times New Roman" w:hAnsi="Times New Roman" w:cs="Times New Roman"/>
          <w:sz w:val="20"/>
          <w:szCs w:val="20"/>
          <w:vertAlign w:val="subscript"/>
        </w:rPr>
      </w:pPr>
    </w:p>
    <w:p w:rsidR="00350B1F" w:rsidRDefault="00A147DF" w:rsidP="00350B1F">
      <w:pPr>
        <w:spacing w:before="0" w:beforeAutospacing="0" w:after="0" w:afterAutospacing="0" w:line="240" w:lineRule="auto"/>
        <w:rPr>
          <w:rFonts w:ascii="Times New Roman" w:hAnsi="Times New Roman" w:cs="Times New Roman"/>
          <w:sz w:val="20"/>
          <w:szCs w:val="20"/>
          <w:lang w:val="en-IN"/>
        </w:rPr>
      </w:pPr>
      <w:r w:rsidRPr="008C36F5">
        <w:rPr>
          <w:rFonts w:ascii="Times New Roman" w:hAnsi="Times New Roman" w:cs="Times New Roman"/>
          <w:sz w:val="20"/>
          <w:szCs w:val="20"/>
          <w:lang w:val="en-IN"/>
        </w:rPr>
        <w:t>In this paper, MECs were generating biological HHO/H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and discussed methanogenesis suppression techniques that are now accessible. The MEC emphasise the use of chemical methanogenic inhibitors, with an emphasis on the enzymatic mechanisms that support them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{"citationItems":[{"id":"ITEM-1","itemData":{"DOI":"10.1016/j.biotechadv.2017.07.004","ISBN":"0734-9750","ISSN":"07349750","PMID":"21875792","abstract":"Microbial electrolysis cells (MECs) are a promising technology for biological hydrogen production. Compared to abiotic water electrolysis, a much lower electrical voltage (~ 0.2 V) is required for hydrogen production in MECs. It is also an attractive waste treatment technology as a variety of biodegradable substances can be used as the process feedstock. Underpinning this technology is a recently discovered bioelectrochemical pathway known as “bioelectrohydrogenesis”. However, little is known about the mechanism of this pathway, and numerous hurdles are yet to be addressed to maximize hydrogen yield and purity. Here, we review various aspects including reactor configurations, microorganisms, substrates, electrode materials, and inhibitors of methanogenesis in order to improve hydrogen generation in MECs.","author":[{"dropping-particle":"","family":"Karthikeyan","given":"Rengasamy","non-dropping-particle":"","parse-names":false,"suffix":""},{"dropping-particle":"","family":"Cheng","given":"Ka Yu","non-dropping-particle":"","parse-names":false,"suffix":""},{"dropping-particle":"","family":"Selvam","given":"Ammaiyappan","non-dropping-particle":"","parse-names":false,"suffix":""},{"dropping-particle":"","family":"Bose","given":"Arpita","non-dropping-particle":"","parse-names":false,"suffix":""},{"dropping-particle":"","family":"Wong","given":"Jonathan W.C.","non-dropping-particle":"","parse-names":false,"suffix":""}],"container-title":"Biotechnology Advances","id":"ITEM-1","issue":"6","issued":{"date-parts":[["2017"]]},"page":"758-771","publisher":"Elsevier Inc","title":"Bioelectrohydrogenesis and inhibition of methanogenic activity in microbial electrolysis cells - A review","type":"article-journal","volume":"35"},"uris":["http://www.mendeley.com/documents/?uuid=83cab70f-cefb-4d31-bf12-6c9d84259f7d"]}],"mendeley":{"formattedCitation":"(Karthikeyan &lt;i&gt;et al.&lt;/i&gt;, 2017)","plainTextFormattedCitation":"(Karthikeyan et al., 2017)","previouslyFormattedCitation":"(Karthikeyan &lt;i&gt;et al.&lt;/i&gt;, 2017)"},"properties":{"noteIndex":0},"schema":"https://github.com/citation-style-language/schema/raw/master/csl-citation.json"}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(Karthikeyan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2017)</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MEC offers an appealing option for energy-efficient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production as well as wastewater treatment, as they can transform organic materials into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using microbial electrocatalysis. The expensive cost of electrode materials is a major stumbling block to MECs' widespread use, platinum has been considered as the best catalyst for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generation. However, due to strong catalytic activity, it is not a practical catalyst for scaled use in MEC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{"citationItems":[{"id":"ITEM-1","itemData":{"DOI":"10.1063/1674-0068/cjcp2005075","ISSN":"23272244","abstract":"Microbial electrolysis cells (MECs) present an attractive route for energy-saving hydrogen (H2) production along with treatment of various wastewaters, which can convert organic matter into H2 with the assistance of microbial electrocatalysis. However, the development of such renewable technologies for H2 production still faces considerable challenges regarding how to enhance the H2 production rate and to lower the energy and the system cost. In this review, we will focus on the recent research progress of MEC for H2 production. First, we present a brief introduction of MEC technology and the operating mechanism for H2 production. Then, the electrode materials including some typical electrocatalysts for hydrogen production are summarized and discussed. We also highlight how various substrates used in MEC affect the associated performance of hydrogen generation. Finally we presents several key scientific challenges and our perspectives on how to enhance the electrochemical performance.","author":[{"dropping-particle":"","family":"Xiang","given":"Li Juan","non-dropping-particle":"","parse-names":false,"suffix":""},{"dropping-particle":"","family":"Dai","given":"Ling","non-dropping-particle":"","parse-names":false,"suffix":""},{"dropping-particle":"","family":"Guo","given":"Ke Xin","non-dropping-particle":"","parse-names":false,"suffix":""},{"dropping-particle":"","family":"Wen","given":"Zhen Hai","non-dropping-particle":"","parse-names":false,"suffix":""},{"dropping-particle":"","family":"Ci","given":"Su Qin","non-dropping-particle":"","parse-names":false,"suffix":""},{"dropping-particle":"","family":"Li","given":"Jing Hong","non-dropping-particle":"","parse-names":false,"suffix":""}],"container-title":"Chinese Journal of Chemical Physics","id":"ITEM-1","issue":"3","issued":{"date-parts":[["2020"]]},"page":"263-284","title":"Microbial electrolysis cells for hydrogen production","type":"article-journal","volume":"33"},"uris":["http://www.mendeley.com/documents/?uuid=6b2319ef-6cf0-4337-8219-67a8149243cc"]}],"mendeley":{"formattedCitation":"(Xiang &lt;i&gt;et al.&lt;/i&gt;, 2020)","plainTextFormattedCitation":"(Xiang et al., 2020)","previouslyFormattedCitation":"(Xiang &lt;i&gt;et al.&lt;/i&gt;, 2020)"},"properties":{"noteIndex":0},"schema":"https://github.com/citation-style-language/schema/raw/master/csl-citation.json"}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(Xiang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2020)</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A cutting-edge device known as microbial electrolysis can produce clean, sustainable hydrogen from a variety of renewable biomass and wastewaters. The key problems of MEC technology were to increase the hydrogen generation rate and reducing energy input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{"citationItems":[{"id":"ITEM-1","itemData":{"DOI":"10.1016/j.aej.2015.10.008","ISBN":"1110-0168","ISSN":"11100168","PMID":"21796980","abstract":"Hydrogen gas has tremendous potential as an environmentally acceptable energy carrier for vehicles. A cutting edge technology called a microbial electrolysis cell (MEC) can achieve sustainable and clean hydrogen production from a wide range of renewable biomass and wastewaters. Enhancing the hydrogen production rate and lowering the energy input are the main challenges of MEC technology. MEC reactor design is one of the crucial factors which directly influence on hydrogen and current production rate in MECs. The rector design is also a key factor to up-scaling. Traditional MEC designs incorporated membranes, but it was recently shown that membrane-free designs can lead to both high hydrogen recoveries and production rates. Since then multiple studies have developed reactors that operate without membranes. This review provides a brief overview of recent advances in research on scalable MEC reactor design and configurations.","author":[{"dropping-particle":"","family":"Kadier","given":"Abudukeremu","non-dropping-particle":"","parse-names":false,"suffix":""},{"dropping-particle":"","family":"Simayi","given":"Yibadatihan","non-dropping-particle":"","parse-names":false,"suffix":""},{"dropping-particle":"","family":"Abdeshahian","given":"Peyman","non-dropping-particle":"","parse-names":false,"suffix":""},{"dropping-particle":"","family":"Azman","given":"Nadia Farhana","non-dropping-particle":"","parse-names":false,"suffix":""},{"dropping-particle":"","family":"Chandrasekhar","given":"K.","non-dropping-particle":"","parse-names":false,"suffix":""},{"dropping-particle":"","family":"Kalil","given":"Mohd Sahaid","non-dropping-particle":"","parse-names":false,"suffix":""}],"container-title":"Alexandria Engineering Journal","id":"ITEM-1","issue":"1","issued":{"date-parts":[["2015"]]},"page":"427-443","publisher":"Faculty of Engineering, Alexandria University","title":"A comprehensive review of microbial electrolysis cells (MEC) reactor designs and configurations for sustainable hydrogen gas production","type":"article-journal","volume":"55"},"uris":["http://www.mendeley.com/documents/?uuid=1a32a48b-075d-414b-a194-fa46015a27e4"]}],"mendeley":{"formattedCitation":"(Kadier &lt;i&gt;et al.&lt;/i&gt;, 2015)","plainTextFormattedCitation":"(Kadier et al., 2015)","previouslyFormattedCitation":"(Kadier &lt;i&gt;et al.&lt;/i&gt;, 2015)"},"properties":{"noteIndex":0},"schema":"https://github.com/citation-style-language/schema/raw/master/csl-citation.json"}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(Kadier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2015)</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Unlike classic biological techniques, MECs can overcome thermodynamic constraints and create high-yield hydrogen from a wide range of organic materials under relatively mild conditions. This approach considerably reduces the cost of electric energy for hydrogen production as compared to direct water electrolysis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{"citationItems":[{"id":"ITEM-1","itemData":{"DOI":"10.1002/jctb.5898","ISSN":"10974660","abstract":"Microbial electrolysis cells (MECs) have been studied in a wide range of potential applications such as recalcitrant pollutants removal, chemicals synthesis, resources recovery and biosensors. However, MEC technology is still in its infancy and poses serious challenges for practical large-scale applications. To understand the diversified applications of MEC, this review aims to explore MEC applications in the following contexts: an overview of MEC for energy generation and recycling such as hydrogen, methane, formic acid and hydrogen peroxide; contaminant removal, specifically complex organic pollutants and inorganic pollutants; as a sensor; as well as resource recovery. New concepts of MEC technology; configuration optimization; electron transfer pathways in biocathodes, and coupling with other technologies for value-added applications such as MEC-anaerobic digestion, MEC-MFC, MEC-MDC and bio-E-Fenton system are discussed. Finally, challenges and outlooks are suggested. The review aims to assist researchers and engineers to understand the latest trends in MEC technologies and applications.","author":[{"dropping-particle":"","family":"Hua","given":"Tao","non-dropping-particle":"","parse-names":false,"suffix":""},{"dropping-particle":"","family":"Li","given":"Shengnan","non-dropping-particle":"","parse-names":false,"suffix":""},{"dropping-particle":"","family":"Li","given":"Fengxiang","non-dropping-particle":"","parse-names":false,"suffix":""},{"dropping-particle":"","family":"Zhou","given":"Qixing","non-dropping-particle":"","parse-names":false,"suffix":""},{"dropping-particle":"","family":"Ondon","given":"Brim Stevy","non-dropping-particle":"","parse-names":false,"suffix":""}],"container-title":"Journal of Chemical Technology and Biotechnology","id":"ITEM-1","issue":"6","issued":{"date-parts":[["2019"]]},"page":"1697-1711","title":"Microbial electrolysis cell as an emerging versatile technology: a review on its potential application, advance and challenge","type":"article-journal","volume":"94"},"uris":["http://www.mendeley.com/documents/?uuid=efa10b2b-0271-4ad2-bab3-a1e6c3a36da9"]}],"mendeley":{"formattedCitation":"(Hua &lt;i&gt;et al.&lt;/i&gt;, 2019)","plainTextFormattedCitation":"(Hua et al., 2019)","previouslyFormattedCitation":"(Hua &lt;i&gt;et al.&lt;/i&gt;, 2019)"},"properties":{"noteIndex":0},"schema":"https://github.com/citation-style-language/schema/raw/master/csl-citation.json"}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(Hua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2019)</w:t>
      </w:r>
      <w:r w:rsidR="0063134A" w:rsidRPr="008C36F5">
        <w:rPr>
          <w:rFonts w:ascii="Times New Roman" w:hAnsi="Times New Roman" w:cs="Times New Roman"/>
          <w:sz w:val="20"/>
          <w:szCs w:val="20"/>
          <w:lang w:val="en-IN"/>
        </w:rPr>
        <w:fldChar w:fldCharType="end"/>
      </w:r>
      <w:r w:rsidR="00350B1F">
        <w:rPr>
          <w:rFonts w:ascii="Times New Roman" w:hAnsi="Times New Roman" w:cs="Times New Roman"/>
          <w:sz w:val="20"/>
          <w:szCs w:val="20"/>
          <w:lang w:val="en-IN"/>
        </w:rPr>
        <w:t>.</w:t>
      </w:r>
    </w:p>
    <w:p w:rsidR="00A6341D" w:rsidRDefault="00A147DF" w:rsidP="00A6341D">
      <w:pPr>
        <w:spacing w:before="0" w:beforeAutospacing="0" w:after="0" w:afterAutospacing="0" w:line="240" w:lineRule="auto"/>
        <w:rPr>
          <w:rFonts w:ascii="Times New Roman" w:hAnsi="Times New Roman" w:cs="Times New Roman"/>
          <w:sz w:val="20"/>
          <w:szCs w:val="20"/>
          <w:lang w:val="en-IN"/>
        </w:rPr>
      </w:pPr>
      <w:r w:rsidRPr="008C36F5">
        <w:rPr>
          <w:rFonts w:ascii="Times New Roman" w:hAnsi="Times New Roman" w:cs="Times New Roman"/>
          <w:sz w:val="20"/>
          <w:szCs w:val="20"/>
          <w:lang w:val="en-IN"/>
        </w:rPr>
        <w:lastRenderedPageBreak/>
        <w:t xml:space="preserve">For MCE the NFR-PEM based and SPEEK was created and tested as a proton conductor. By favouring selective proton transfer over competing cations, the NFR-enhanced PEM's proton selectivity significantly alleviated the anodic pH reduction damaging to anode bacteria, resulting in overall better hydrogen gas output in the MEC when the NFR-PEM system was set up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{"citationItems":[{"id":"ITEM-1","itemData":{"DOI":"10.1016/j.cej.2014.05.145","ISSN":"13858947","abstract":"A nanofiber-reinforced composite proton exchange membrane (NFR-PEM), based on sulfonated polyether ether ketone (SPEEK) as a proton conductor, was prepared and studied for microbial electrolysis cells (MECs). The poor dimensional stability of conventional SPEEK membrane was overcome by embedding a polyimide nanofiber substrate in the centre of the polymer matrix, without sacrificing proton conductivity. This novel membrane showed lower gas and fuel crossovers, with higher proton conductivity, compared to a Nafion membrane. The installation of NFR-PEM into MECs improved hydrogen gas production at the cathode, with an overall hydrogen efficiency (e- to hydrogen) of 86.4±14.7%, as compared to 77.2±10.3% of Nafion. In particular, higher proton selectivity of the NFR-PEM remarkably mitigated the anodic pH decrease harmful for anode bacteria, by facilitating selective proton transfer rather than other competing cations, which led to overall improved hydrogen gas yield in the MEC as the NFR-PEM was installed. © 2014 Elsevier B.V.","author":[{"dropping-particle":"","family":"Chae","given":"Kyu Jung","non-dropping-particle":"","parse-names":false,"suffix":""},{"dropping-particle":"","family":"Kim","given":"Kyoung Yeol","non-dropping-particle":"","parse-names":false,"suffix":""},{"dropping-particle":"","family":"Choi","given":"Mi Jin","non-dropping-particle":"","parse-names":false,"suffix":""},{"dropping-particle":"","family":"Yang","given":"Euntae","non-dropping-particle":"","parse-names":false,"suffix":""},{"dropping-particle":"","family":"Kim","given":"In S.","non-dropping-particle":"","parse-names":false,"suffix":""},{"dropping-particle":"","family":"Ren","given":"Xianghao","non-dropping-particle":"","parse-names":false,"suffix":""},{"dropping-particle":"","family":"Lee","given":"Mooseok","non-dropping-particle":"","parse-names":false,"suffix":""}],"container-title":"Chemical Engineering Journal","id":"ITEM-1","issued":{"date-parts":[["2014"]]},"page":"393-398","publisher":"Elsevier B.V.","title":"Sulfonated polyether ether ketone (SPEEK)-based composite proton exchange membrane reinforced with nanofibers for microbial electrolysis cells","type":"article-journal","volume":"254"},"uris":["http://www.mendeley.com/documents/?uuid=5061056a-68c2-44fb-a6cb-c09be0318875"]}],"mendeley":{"formattedCitation":"(Chae &lt;i&gt;et al.&lt;/i&gt;, 2014)","plainTextFormattedCitation":"(Chae et al., 2014)","previouslyFormattedCitation":"(Chae &lt;i&gt;et al.&lt;/i&gt;, 2014)"},"properties":{"noteIndex":0},"schema":"https://github.com/citation-style-language/schema/raw/master/csl-citation.json"}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(Chae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2014)</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Single chamber MECs were used to successfully create hydrogen in the presence of four antibiotics. This study's recent application offers a unique method for inhibiting methanogenesis in MECs. Methanogenesis was prevented for the long term using a new sophisticated microbial inoculum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{"citationItems":[{"id":"ITEM-1","itemData":{"DOI":"10.1016/j.biortech.2015.03.099","ISSN":"18732976","PMID":"25841185","abstract":"Methanogens can utilize the hydrogen produced in microbial electrolysis cells (MECs), thereby decreasing the hydrogen generation efficiency. However, various antibiotics have previously been shown to inhibit methanogenesis. In the present study antibiotics, including neomycin sulfate, 2-bromoethane sulfonate, 2-chloroethane sulfonate, 8-aza-hypoxanthine, were examined to determine if hydrogen production could be improved through inhibition of methanogenesis but not hydrogen production in MECs. 1.1. mM neomycin sulfate inhibited both methane and hydrogen production while 2-chloroethane sulfonate (20. mM), 2-bromoethane sulfonate (20. mM), and 8-aza-hypoxanthine (3.6. mM) can inhibited methane generation and with concurrent increases in hydrogen production. Our results indicated that adding select antibiotics to the mixed species community in MECs could be a suitable method to enhance hydrogen production efficiency.","author":[{"dropping-particle":"","family":"Catal","given":"Tunc","non-dropping-particle":"","parse-names":false,"suffix":""},{"dropping-particle":"","family":"Lesnik","given":"Keaton Larson","non-dropping-particle":"","parse-names":false,"suffix":""},{"dropping-particle":"","family":"Liu","given":"Hong","non-dropping-particle":"","parse-names":false,"suffix":""}],"container-title":"Bioresource Technology","id":"ITEM-1","issued":{"date-parts":[["2015"]]},"page":"77-83","publisher":"Elsevier Ltd","title":"Suppression of methanogenesis for hydrogen production in single-chamber microbial electrolysis cells using various antibiotics","type":"article-journal","volume":"187"},"uris":["http://www.mendeley.com/documents/?uuid=fc45f4f5-5395-43ff-91a3-0822ce57b246"]}],"mendeley":{"formattedCitation":"(Catal, Lesnik and Liu, 2015)","plainTextFormattedCitation":"(Catal, Lesnik and Liu, 2015)","previouslyFormattedCitation":"(Catal, Lesnik and Liu, 2015)"},"properties":{"noteIndex":0},"schema":"https://github.com/citation-style-language/schema/raw/master/csl-citation.json"}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(Catal, Lesnik and Liu, 2015)</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The performance evaluation's findings demonstrate that the technique for determining a combined performance factor for a BES provides a complete comparison of traditional and BES-based technologies. According to the model, overall performance increased by a factor of 1.89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{"citationItems":[{"id":"ITEM-1","itemData":{"DOI":"10.1016/j.biortech.2014.04.044","ISSN":"18732976","PMID":"24813389","abstract":"This study focuses on the challenges of the scaling up process of bioelectrochemical systems on the example of a technical scale microbial electrolysis cell referred to as the \"prototype\". Anodically treating real wastewater and operated in continuous mode at a hydraulic retention time of 1.23d with an average chemical oxygen demand (COD)-loading rate of 0.5gO2d-1LReactor-1 the prototype on average showed COD removal efficiency of 67% with effluent concentrations of 210mgO2L-1 and an ammonium elimination rate of 17.8±3.9mgNd-1LReactor-1 resulting in effluent concentrations of 30.7±3.7mgNL-1 with a removal efficiency of 40% at a current generation of 72μAcm-2 and Coulomb efficiency of 11%. A model is described as a method for comparing conventional and BES based technology using the above mentioned criteria and balancing them against the respective loading rates. © 2014 Elsevier Ltd.","author":[{"dropping-particle":"","family":"Brown","given":"Robert Keith","non-dropping-particle":"","parse-names":false,"suffix":""},{"dropping-particle":"","family":"Harnisch","given":"Falk","non-dropping-particle":"","parse-names":false,"suffix":""},{"dropping-particle":"","family":"Wirth","given":"Sebastian","non-dropping-particle":"","parse-names":false,"suffix":""},{"dropping-particle":"","family":"Wahlandt","given":"Helge","non-dropping-particle":"","parse-names":false,"suffix":""},{"dropping-particle":"","family":"Dockhorn","given":"Thomas","non-dropping-particle":"","parse-names":false,"suffix":""},{"dropping-particle":"","family":"Dichtl","given":"Norbert","non-dropping-particle":"","parse-names":false,"suffix":""},{"dropping-particle":"","family":"Schröder","given":"Uwe","non-dropping-particle":"","parse-names":false,"suffix":""}],"container-title":"Bioresource Technology","id":"ITEM-1","issued":{"date-parts":[["2014"]]},"page":"206-213","publisher":"Elsevier Ltd","title":"Evaluating the effects of scaling up on the performance of bioelectrochemical systems using a technical scale microbial electrolysis cell","type":"article-journal","volume":"163"},"uris":["http://www.mendeley.com/documents/?uuid=f4f1837a-a25a-4c67-954a-0178e33aac51"]}],"mendeley":{"formattedCitation":"(Brown &lt;i&gt;et al.&lt;/i&gt;, 2014)","plainTextFormattedCitation":"(Brown et al., 2014)","previouslyFormattedCitation":"(Brown &lt;i&gt;et al.&lt;/i&gt;, 2014)"},"properties":{"noteIndex":0},"schema":"https://github.com/citation-style-language/schema/raw/master/csl-citation.json"}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(Brown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2014)</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With a twin anode arrangement in single-chamber MECs, the hydrogen generation from glucose was enhanced by repressing the activity of methanogens using a particular methane inhibitor (such as chloroform)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{"citationItems":[{"id":"ITEM-1","itemData":{"DOI":"10.1016/j.jbiosc.2016.03.016","ISSN":"13474421","PMID":"27094956","abstract":"Improved hydrogen production from glucose was achieved by adding a specific methane inhibitor (such as chloroform) to repress the activity of methanogens in a single-chamber microbial electrolysis cells (MECs) with a double anode arrangement. A maximum hydrogen production of 8.4 ± 0.2 mol H2/mol-G (G represents glucose), a hydrogen production rate of 2.39 ± 0.3 m3 H2/m3/d and a high energy efficiency (relative to the electrical input) of ηE = 165 ± 5% had been recorded from 1 g/L glucose at a low dosage of chloroform (5‰, v:v) and an applied voltage of 0.8 V. Almost all of the glucose was removed within 4 h, with 66% of the electrons in intermediates (mainly including acetate and ethanol), and methane gas was not detected in the MECs through 11 batch cycles. The experimental results confirmed that chloroform was an effective methane inhibitor that improved hydrogen production from glucose in the MECs. In addition, the cyclic voltammetry tests demonstrated that the electron transfer in the MECs was mainly due to the biofilm-bound redox compounds rather than soluble electron shuttles.","author":[{"dropping-particle":"","family":"Zhang","given":"Jingnan","non-dropping-particle":"","parse-names":false,"suffix":""},{"dropping-particle":"","family":"Bai","given":"Yanxia","non-dropping-particle":"","parse-names":false,"suffix":""},{"dropping-particle":"","family":"Fan","given":"Yaoting","non-dropping-particle":"","parse-names":false,"suffix":""},{"dropping-particle":"","family":"Hou","given":"Hongwei","non-dropping-particle":"","parse-names":false,"suffix":""}],"container-title":"Journal of Bioscience and Bioengineering","id":"ITEM-1","issued":{"date-parts":[["2016"]]},"page":"1-6","publisher":"Elsevier Ltd","title":"Improved bio-hydrogen production from glucose by adding a specific methane inhibitor to microbial electrolysis cells with a double anode arrangement","type":"article-journal","volume":"122"},"uris":["http://www.mendeley.com/documents/?uuid=5b9cbec8-22b1-40c8-a0b8-1d93f28bef3a"]}],"mendeley":{"formattedCitation":"(Zhang &lt;i&gt;et al.&lt;/i&gt;, 2016)","plainTextFormattedCitation":"(Zhang et al., 2016)","previouslyFormattedCitation":"(Zhang &lt;i&gt;et al.&lt;/i&gt;, 2016)"},"properties":{"noteIndex":0},"schema":"https://github.com/citation-style-language/schema/raw/master/csl-citation.json"}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(Zhang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2016)</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At relatively moderate temperatures, MECs may overcome thermodynamic constraints and generate high-yield hydrogen from a variety of organic compounds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{"citationItems":[{"id":"ITEM-1","itemData":{"DOI":"10.1016/j.watres.2014.02.031","ISSN":"18792448","PMID":"24631941","abstract":"Microbial electrolysis cells (MECs) are an electricity-mediated microbial bioelectrochemical technology, which is originally developed for high-efficiency biological hydrogen production from waste streams. Compared to traditional biological technologies, MECs can overcome thermodynamic limitations and achieve high-yield hydrogen production from wide range of organic matters at relatively mild conditions. This approach greatly reduces the electric energy cost for hydrogen production in contrast to direct water electrolysis. In addition to hydrogen production, MECs may also support several energetically unfavorable biological/chemical reactions. This unique advantage of MECs has led to several alternative applications such as chemicals synthesis, recalcitrant pollutants removal, resources recovery, bioelectrochemical research platform and biosensors, which have greatly broaden the application scopes of MECs. MECs are becoming a versatile platform technology and offer a new solution for emerging environmental issues related to waste streams treatment and energy and resource recovery. Different from previous reviews that mainly focus on hydrogen production, this paper provides an up-to-date review of all the new applications of MECs and their resulting performance, current challenges and prospects of future. © 2014 Elsevier Ltd.","author":[{"dropping-particle":"","family":"Zhang","given":"Yifeng","non-dropping-particle":"","parse-names":false,"suffix":""},{"dropping-particle":"","family":"Angelidaki","given":"Irini","non-dropping-particle":"","parse-names":false,"suffix":""}],"container-title":"Water Research","id":"ITEM-1","issued":{"date-parts":[["2014"]]},"page":"11-25","publisher":"Elsevier Ltd","title":"Microbial electrolysis cells turning to be versatile technology: Recent advances and future challenges","type":"article-journal","volume":"56"},"uris":["http://www.mendeley.com/documents/?uuid=52eea3aa-b76c-44b1-8cd1-4b930759d00e"]}],"mendeley":{"formattedCitation":"(Zhang and Angelidaki, 2014)","plainTextFormattedCitation":"(Zhang and Angelidaki, 2014)","previouslyFormattedCitation":"(Zhang and Angelidaki, 2014)"},"properties":{"noteIndex":0},"schema":"https://github.com/citation-style-language/schema/raw/master/csl-citation.json"}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(Zhang and Angelidaki, 2014)</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Different electrodes behaved differently, indicating that electrode change was a viable option for improving MFC performance. The integration/combination of MFCs with current wastewater treatment technologies appears to be more promising, cost-effective, and practicable in terms of wastewater treatment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{"citationItems":[{"id":"ITEM-1","itemData":{"DOI":"10.1016/j.jpowsour.2011.01.012","ISSN":"03787753","abstract":"Electrode materials play an important role in the performance (e.g., power output) and cost of microbial fuel cells (MFCs), which use bacteria as the catalysts to oxidize organic (inorganic) matter and convert chemical energy into electricity. In this paper, the recent progress of anode/cathode materials and filling materials as three-dimensional electrodes for MFCs has been systematically reviewed, resulting in comprehensive insights into the characteristics, options, modifications, and evaluations of the electrode materials and their effects on different actual wastewater treatment. Some existing problems of electrode materials in current MFCs are summarized, and outlooks for future development are also suggested. © 2011 Elsevier B.V. All rights reserved.","author":[{"dropping-particle":"","family":"Zhou","given":"Minghua","non-dropping-particle":"","parse-names":false,"suffix":""},{"dropping-particle":"","family":"Chi","given":"Meiling","non-dropping-particle":"","parse-names":false,"suffix":""},{"dropping-particle":"","family":"Luo","given":"Jianmei","non-dropping-particle":"","parse-names":false,"suffix":""},{"dropping-particle":"","family":"He","given":"Huanhuan","non-dropping-particle":"","parse-names":false,"suffix":""},{"dropping-particle":"","family":"Jin","given":"Tao","non-dropping-particle":"","parse-names":false,"suffix":""}],"container-title":"Journal of Power Sources","id":"ITEM-1","issue":"10","issued":{"date-parts":[["2011"]]},"page":"4427-4435","publisher":"Elsevier B.V.","title":"An overview of electrode materials in microbial fuel cells","type":"article-journal","volume":"196"},"uris":["http://www.mendeley.com/documents/?uuid=3a385870-fdc3-4e46-9a69-07fe87360872"]}],"mendeley":{"formattedCitation":"(Zhou &lt;i&gt;et al.&lt;/i&gt;, 2011)","plainTextFormattedCitation":"(Zhou et al., 2011)","previouslyFormattedCitation":"(Zhou &lt;i&gt;et al.&lt;/i&gt;, 2011)"},"properties":{"noteIndex":0},"schema":"https://github.com/citation-style-language/schema/raw/master/csl-citation.json"}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(Zhou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2011)</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It may be possible to save a lot of energy by employing MFCs for wastewater treatment. Aside from biohydrogen, breakthroughs in MFC research have discovered that MFCs in the composition of MECs may be used to make biomaterials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{"citationItems":[{"id":"ITEM-1","itemData":{"DOI":"10.1002/jctb.4004","ISSN":"02682575","abstract":"Bioenergy is a renewable energy that plays an indispensable role in meeting today's ever increasing energy needs. Unlike biofuels, microbial fuel cells (MFCs) convert energy harvested from redox reactions directly into bioelectricity. MFCs can utilize low-grade organic carbons (fuels) in waste streams. The oxidation of the fuel molecules requires biofilm catalysis. In recent years, MFCs have also been used in the electrolysis mode to produce bioproducts in laboratory tests. MFCs research has intensified in the past decade and the maximum MFCs power density output has been increased greatly and many types of waste streams have been tested. However, new breakthroughs are needed for MFCs to be practical in wastewater treatment and power generation beyond powering small sensor devices. To reduce capital and operational costs, simple and robust membrane-less MFCs reactors are desired, but these reactors require highly efficient biofilms. Newly discovered conductive cell aggregates, improved electron transport through hyperpilation via mutation or genetic recombination and other advances in biofilm engineering present opportunities. This review is an update on the recent advances on MFCs designs and operations. © 2012 Society of Chemical Industry.","author":[{"dropping-particle":"","family":"Zhou","given":"Minghua","non-dropping-particle":"","parse-names":false,"suffix":""},{"dropping-particle":"","family":"Wang","given":"Hongyu","non-dropping-particle":"","parse-names":false,"suffix":""},{"dropping-particle":"","family":"Hassett","given":"Daniel J.","non-dropping-particle":"","parse-names":false,"suffix":""},{"dropping-particle":"","family":"Gu","given":"Tingyue","non-dropping-particle":"","parse-names":false,"suffix":""}],"container-title":"Journal of Chemical Technology and Biotechnology","id":"ITEM-1","issue":"4","issued":{"date-parts":[["2013"]]},"page":"508-518","title":"Recent advances in microbial fuel cells (MFCs) and microbial electrolysis cells (MECs) for wastewater treatment, bioenergy and bioproducts","type":"article-journal","volume":"88"},"uris":["http://www.mendeley.com/documents/?uuid=f7aaf2c3-4094-4713-81ab-40c4258e3e65"]}],"mendeley":{"formattedCitation":"(Zhou &lt;i&gt;et al.&lt;/i&gt;, 2013)","plainTextFormattedCitation":"(Zhou et al., 2013)","previouslyFormattedCitation":"(Zhou &lt;i&gt;et al.&lt;/i&gt;, 2013)"},"properties":{"noteIndex":0},"schema":"https://github.com/citation-style-language/schema/raw/master/csl-citation.json"}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(Zhou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2013)</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Inhibiting methanogenesis by adding peptaibol alamethicin to MEC solutions changes the microbial populations in these bioelectrochemical reactors significantly. Alamethicin was more effective in inactivating methanogens than other methanogenesis inhibitors like BES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{"citationItems":[{"id":"ITEM-1","itemData":{"DOI":"10.1128/AEM.00594-15","ISSN":"10985336","PMID":"25819972","abstract":"Microbial electrosynthesis (MES) systems with mixed cultures often generate a variety of gaseous and soluble chemicals. Methane is the primary end product in mixed-culture MES because it is the thermodynamically most favorable reduction product of CO&lt;inf&gt;2&lt;/inf&gt;. Here, we show that the peptaibol alamethicin selectively suppressed the growth of methanogens in mixed-culture MES systems, resulting in a shift of the solution and cathode communities to an acetate-producing system dominated by Sporomusa, a known acetogenic genus in MES systems. Archaea in the methane-producing control were dominated by Methanobrevibacter species, but no Archaea were detected in the alamethicin-treated reactors. No methane was detected in the mixed-culture reactors treated with alamethicin over 10 cycles (~3 days each). Instead, acetate was produced at an average rate of 115 nmol ml&lt;sup&gt;-1&lt;/sup&gt; day&lt;sup&gt;-1&lt;/sup&gt;, similar to the rate reported previously for pure cultures of Sporomusa ovata on biocathodes. Mixed-culture control reactors without alamethicin generated methane at nearly 100% coulombic recovery, and no acetate was detected. These results show that alamethicin is effective for the suppression of methanogen growth in MES systems and that its use enables the production of industrially relevant organic compounds by the inhibition of methanogenesis.","author":[{"dropping-particle":"","family":"Zhu","given":"Xiuping","non-dropping-particle":"","parse-names":false,"suffix":""},{"dropping-particle":"","family":"Siegert","given":"Michael","non-dropping-particle":"","parse-names":false,"suffix":""},{"dropping-particle":"","family":"Yates","given":"Matthew D.","non-dropping-particle":"","parse-names":false,"suffix":""},{"dropping-particle":"","family":"Logan","given":"Bruce E.","non-dropping-particle":"","parse-names":false,"suffix":""}],"container-title":"Applied and Environmental Microbiology","id":"ITEM-1","issue":"11","issued":{"date-parts":[["2015"]]},"page":"3863-3868","title":"Alamethicin suppresses methanogenesis and promotes acetogenesis in bioelectrochemical systems","type":"article-journal","volume":"81"},"uris":["http://www.mendeley.com/documents/?uuid=bcd60623-a3de-4750-b7d6-011bd8f33b5a"]}],"mendeley":{"formattedCitation":"(X. Zhu &lt;i&gt;et al.&lt;/i&gt;, 2015)","plainTextFormattedCitation":"(X. Zhu et al., 2015)","previouslyFormattedCitation":"(X. Zhu &lt;i&gt;et al.&lt;/i&gt;, 2015)"},"properties":{"noteIndex":0},"schema":"https://github.com/citation-style-language/schema/raw/master/csl-citation.json"}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(X. Zhu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2015)</w:t>
      </w:r>
      <w:r w:rsidR="0063134A" w:rsidRPr="008C36F5">
        <w:rPr>
          <w:rFonts w:ascii="Times New Roman" w:hAnsi="Times New Roman" w:cs="Times New Roman"/>
          <w:sz w:val="20"/>
          <w:szCs w:val="20"/>
          <w:lang w:val="en-IN"/>
        </w:rPr>
        <w:fldChar w:fldCharType="end"/>
      </w:r>
      <w:r w:rsidR="00A6341D">
        <w:rPr>
          <w:rFonts w:ascii="Times New Roman" w:hAnsi="Times New Roman" w:cs="Times New Roman"/>
          <w:sz w:val="20"/>
          <w:szCs w:val="20"/>
          <w:lang w:val="en-IN"/>
        </w:rPr>
        <w:t xml:space="preserve">. </w:t>
      </w:r>
    </w:p>
    <w:p w:rsidR="00A147DF" w:rsidRPr="008C36F5" w:rsidRDefault="00A147DF" w:rsidP="00A6341D">
      <w:pPr>
        <w:spacing w:before="0" w:beforeAutospacing="0" w:after="0" w:afterAutospacing="0" w:line="240" w:lineRule="auto"/>
        <w:rPr>
          <w:rFonts w:ascii="Times New Roman" w:hAnsi="Times New Roman" w:cs="Times New Roman"/>
          <w:sz w:val="20"/>
          <w:szCs w:val="20"/>
          <w:lang w:val="en-IN"/>
        </w:rPr>
      </w:pPr>
      <w:r w:rsidRPr="008C36F5">
        <w:rPr>
          <w:rFonts w:ascii="Times New Roman" w:hAnsi="Times New Roman" w:cs="Times New Roman"/>
          <w:sz w:val="20"/>
          <w:szCs w:val="20"/>
          <w:lang w:val="en-IN"/>
        </w:rPr>
        <w:t xml:space="preserve">The wastewater might be a good source of biohydrogen, potentially converting an energy-consuming industry into an energy-generating one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{"citationItems":[{"id":"ITEM-1","itemData":{"DOI":"10.3390/cleantechnol3010010","abstract":"Billions of litres of wastewater are produced daily from domestic and industrial areas, and whilst wastewater is often perceived as a problem, it has the potential to be viewed as a rich source for resources and energy. Wastewater contains between four and five times more energy than is required to treat it, and is a potential source of bio-hydrogen—a clean energy vector, a feedstock chemical and a fuel, widely recognised to have a role in the decarbonisation of the future energy system. This paper investigates sustainable, low-energy intensive routes for hydrogen production from wastewater, critically analysing five technologies, namely photo-fermentation, dark fermentation, photocatalysis, microbial photo electrochemical processes and microbial electrolysis cells (MECs). The paper compares key parameters influencing H2 production yield, such as pH, temperature and reactor design, summarises the state of the art in each area, and highlights the scale-up technical challenges. In addition to H2 production, these processes can be used for partial wastewater remediation, providing at least 45% reduction in chemical oxygen demand (COD), and are suitable for integration into existing wastewater treatment plants. Key advancements in lab-based research are included, highlighting the potential for each technology to contribute to the development of clean energy. Whilst there have been efforts to scale dark fermentation, electro and photo chemical technologies are still at the early stages of development (Technology Readiness Levels below 4); therefore, pilot plants and demonstrators sited at wastewater treatment facilities are needed to assess commercial viability. As such, a multidisciplinary approach is needed to overcome the current barriers to implementation, integrating expertise in engineering, chemistry and microbiology with the commercial experience of both water and energy sectors. The review concludes by highlighting MECs as a promising technology, due to excellent system modularity, good hydrogen yield (3.6–7.9 L/L/d from synthetic wastewater) and the potential to remove up to 80% COD from influent streams.","author":[{"dropping-particle":"","family":"Islam","given":"A K M Khabirul","non-dropping-particle":"","parse-names":false,"suffix":""},{"dropping-particle":"","family":"Dunlop","given":"Patrick S. M.","non-dropping-particle":"","parse-names":false,"suffix":""},{"dropping-particle":"","family":"Hewitt","given":"Neil J.","non-dropping-particle":"","parse-names":false,"suffix":""},{"dropping-particle":"","family":"Lenihan","given":"Rose","non-dropping-particle":"","parse-names":false,"suffix":""},{"dropping-particle":"","family":"Brandoni","given":"Caterina","non-dropping-particle":"","parse-names":false,"suffix":""}],"container-title":"Clean Technologies","id":"ITEM-1","issue":"1","issued":{"date-parts":[["2021"]]},"page":"156-182","title":"Bio-Hydrogen Production from Wastewater: A Comparative Study of Low Energy Intensive Production Processes","type":"article-journal","volume":"3"},"uris":["http://www.mendeley.com/documents/?uuid=0510ff56-f4bb-4b1f-9fd2-ff9175de7d58"]}],"mendeley":{"formattedCitation":"(Islam &lt;i&gt;et al.&lt;/i&gt;, 2021)","plainTextFormattedCitation":"(Islam et al., 2021)","previouslyFormattedCitation":"(Islam &lt;i&gt;et al.&lt;/i&gt;, 2021)"},"properties":{"noteIndex":0},"schema":"https://github.com/citation-style-language/schema/raw/master/csl-citation.json"}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(Islam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2021)</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Optimization of operating conditions was required to increase the economic feasibility of Bio-hydrogen generation. The biohydrogen generation technique has two major drawbacks: limited substrate conversion and low productivity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{"citationItems":[{"id":"ITEM-1","itemData":{"DOI":"10.1016/j.biteb.2019.100287","ISSN":"2589014X","abstract":"Biohydrogen production from industrial wastewater has been a focus of interest in recent years. The in depth knowledge in lab scale parameters and emerging strategies are needed to be investigated in order to implement the biohydrogen production process at large scale. The operating parameters have great influence on biohydrogen productivity. With the aim to gain major insight into biohydrogen production process, this review summarizes recent updates on dark fermentation, inoculum pretreatment methods, operating parameters (hydraulic retention time, organic loading rate, pH, temperature, volatile fatty acids, bioreactor configuration, nutrient availability, partial pressure etc.). The challenges and limitations associated with the biohydrogen production are lack of biohydrogen producers, biomass washout and accumulation of metabolites are discussed in detail. The advancement strategies to overcome these limitations are also briefly discussed.","author":[{"dropping-particle":"","family":"Preethi","given":"","non-dropping-particle":"","parse-names":false,"suffix":""},{"dropping-particle":"","family":"Usman","given":"T. M.Mohamed","non-dropping-particle":"","parse-names":false,"suffix":""},{"dropping-particle":"","family":"Rajesh Banu","given":"J.","non-dropping-particle":"","parse-names":false,"suffix":""},{"dropping-particle":"","family":"Gunasekaran","given":"M.","non-dropping-particle":"","parse-names":false,"suffix":""},{"dropping-particle":"","family":"Kumar","given":"Gopalakrishnan","non-dropping-particle":"","parse-names":false,"suffix":""}],"container-title":"Bioresource Technology Reports","id":"ITEM-1","issue":"April","issued":{"date-parts":[["2019"]]},"page":"100287","publisher":"Elsevier","title":"Biohydrogen production from industrial wastewater: An overview","type":"article-journal","volume":"7"},"uris":["http://www.mendeley.com/documents/?uuid=a7b644b5-3ee1-492a-b30c-1fb7e758b197"]}],"mendeley":{"formattedCitation":"(Preethi &lt;i&gt;et al.&lt;/i&gt;, 2019)","plainTextFormattedCitation":"(Preethi et al., 2019)","previouslyFormattedCitation":"(Preethi &lt;i&gt;et al.&lt;/i&gt;, 2019)"},"properties":{"noteIndex":0},"schema":"https://github.com/citation-style-language/schema/raw/master/csl-citation.json"}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(Preethi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2019)</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Dark fermentative biohydrogen synthesis has the capability of becoming a significant technology for sustainable energy generation. The "Thauer limit" for H</w:t>
      </w:r>
      <w:r w:rsidRPr="008C36F5">
        <w:rPr>
          <w:rFonts w:ascii="Times New Roman" w:hAnsi="Times New Roman" w:cs="Times New Roman"/>
          <w:sz w:val="20"/>
          <w:szCs w:val="20"/>
          <w:vertAlign w:val="subscript"/>
          <w:lang w:val="en-IN"/>
        </w:rPr>
        <w:t xml:space="preserve">2 </w:t>
      </w:r>
      <w:r w:rsidRPr="008C36F5">
        <w:rPr>
          <w:rFonts w:ascii="Times New Roman" w:hAnsi="Times New Roman" w:cs="Times New Roman"/>
          <w:sz w:val="20"/>
          <w:szCs w:val="20"/>
          <w:lang w:val="en-IN"/>
        </w:rPr>
        <w:t>production was set at 4 moles of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per mole of glucose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{"citationItems":[{"id":"ITEM-1","itemData":{"DOI":"10.1038/s42003-020-01159-x","ISSN":"23993642","PMID":"32796915","abstract":"Dark fermentative biohydrogen (H2) production could become a key technology for providing renewable energy. Until now, the H2 yield is restricted to 4 moles of H2 per mole of glucose, referred to as the “Thauer limit”. Here we show, that precision design of artificial microbial consortia increased the H2 yield to 5.6 mol mol−1 glucose, 40% higher than the Thauer limit. In addition, the volumetric H2 production rates of our defined artificial consortia are superior compared to any mono-, co- or multi-culture system reported to date. We hope this study to be a major leap forward in the engineering of artificial microbial consortia through precision design and provide a breakthrough in energy science, biotechnology and ecology. Constructing artificial consortia with this drawing-board approach could in future increase volumetric production rates and yields of other bioprocesses. Our artificial consortia engineering blueprint might pave the way for the development of a H2 production bioindustry.","author":[{"dropping-particle":"","family":"Ergal","given":"İpek","non-dropping-particle":"","parse-names":false,"suffix":""},{"dropping-particle":"","family":"Gräf","given":"Oliver","non-dropping-particle":"","parse-names":false,"suffix":""},{"dropping-particle":"","family":"Hasibar","given":"Benedikt","non-dropping-particle":"","parse-names":false,"suffix":""},{"dropping-particle":"","family":"Steiner","given":"Michael","non-dropping-particle":"","parse-names":false,"suffix":""},{"dropping-particle":"","family":"Vukotić","given":"Sonja","non-dropping-particle":"","parse-names":false,"suffix":""},{"dropping-particle":"","family":"Bochmann","given":"Günther","non-dropping-particle":"","parse-names":false,"suffix":""},{"dropping-particle":"","family":"Fuchs","given":"Werner","non-dropping-particle":"","parse-names":false,"suffix":""},{"dropping-particle":"","family":"Rittmann","given":"Simon K.M.R.","non-dropping-particle":"","parse-names":false,"suffix":""}],"container-title":"Communications Biology","id":"ITEM-1","issue":"1","issued":{"date-parts":[["2020"]]},"page":"1-12","title":"Biohydrogen production beyond the Thauer limit by precision design of artificial microbial consortia","type":"article-journal","volume":"3"},"uris":["http://www.mendeley.com/documents/?uuid=00831ca3-363d-4599-a33a-7b3868215e8c"]}],"mendeley":{"formattedCitation":"(Ergal &lt;i&gt;et al.&lt;/i&gt;, 2020)","plainTextFormattedCitation":"(Ergal et al., 2020)","previouslyFormattedCitation":"(Ergal &lt;i&gt;et al.&lt;/i&gt;, 2020)"},"properties":{"noteIndex":0},"schema":"https://github.com/citation-style-language/schema/raw/master/csl-citation.json"}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(Ergal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2020)</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Using a synergistic combination of aerobic respiration and hypoxic photosynthesis, researchers were able to produce hydrogen from a spatially organised microbial community at rates much beyond those reported in Nature for instantaneous biomass-to-fuel yields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{"citationItems":[{"id":"ITEM-1","itemData":{"DOI":"10.1038/s41467-020-19823-5","ISSN":"20411723","PMID":"33239636","abstract":"The spontaneous self-assembly of multicellular ensembles into living materials with synergistic structure and function remains a considerable challenge in biotechnology and synthetic biology. Here, we exploit the aqueous two-phase separation of dextran-in-PEG emulsion micro-droplets for the capture, spatial organization and immobilization of algal cells or algal/bacterial cell communities to produce discrete multicellular spheroids capable of both aerobic (oxygen producing) and hypoxic (hydrogen producing) photosynthesis in daylight under air. We show that localized oxygen depletion results in hydrogen production from the core of the algal microscale reactor, and demonstrate that enhanced levels of hydrogen evolution can be achieved synergistically by spontaneously enclosing the photosynthetic cells within a shell of bacterial cells undergoing aerobic respiration. Our results highlight a promising droplet-based environmentally benign approach to dispersible photosynthetic microbial micro-reactors comprising segregated cellular micro-niches with dual functionality, and provide a step towards photobiological hydrogen production under aerobic conditions.","author":[{"dropping-particle":"","family":"Xu","given":"Zhijun","non-dropping-particle":"","parse-names":false,"suffix":""},{"dropping-particle":"","family":"Wang","given":"Shengliang","non-dropping-particle":"","parse-names":false,"suffix":""},{"dropping-particle":"","family":"Zhao","given":"Chunyu","non-dropping-particle":"","parse-names":false,"suffix":""},{"dropping-particle":"","family":"Li","given":"Shangsong","non-dropping-particle":"","parse-names":false,"suffix":""},{"dropping-particle":"","family":"Liu","given":"Xiaoman","non-dropping-particle":"","parse-names":false,"suffix":""},{"dropping-particle":"","family":"Wang","given":"Lei","non-dropping-particle":"","parse-names":false,"suffix":""},{"dropping-particle":"","family":"Li","given":"Mei","non-dropping-particle":"","parse-names":false,"suffix":""},{"dropping-particle":"","family":"Huang","given":"Xin","non-dropping-particle":"","parse-names":false,"suffix":""},{"dropping-particle":"","family":"Mann","given":"Stephen","non-dropping-particle":"","parse-names":false,"suffix":""}],"container-title":"Nature Communications","id":"ITEM-1","issue":"1","issued":{"date-parts":[["2020"]]},"page":"1-10","publisher":"Springer US","title":"Photosynthetic hydrogen production by droplet-based microbial micro-reactors under aerobic conditions","type":"article-journal","volume":"11"},"uris":["http://www.mendeley.com/documents/?uuid=e2929ccf-1238-4ca3-9c35-ba48285f5121"]}],"mendeley":{"formattedCitation":"(Xu &lt;i&gt;et al.&lt;/i&gt;, 2020)","plainTextFormattedCitation":"(Xu et al., 2020)","previouslyFormattedCitation":"(Xu &lt;i&gt;et al.&lt;/i&gt;, 2020)"},"properties":{"noteIndex":0},"schema":"https://github.com/citation-style-language/schema/raw/master/csl-citation.json"}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 xml:space="preserve">(Xu </w:t>
      </w:r>
      <w:r w:rsidRPr="008C36F5">
        <w:rPr>
          <w:rFonts w:ascii="Times New Roman" w:hAnsi="Times New Roman" w:cs="Times New Roman"/>
          <w:i/>
          <w:noProof/>
          <w:sz w:val="20"/>
          <w:szCs w:val="20"/>
          <w:lang w:val="en-IN"/>
        </w:rPr>
        <w:t>et al.</w:t>
      </w:r>
      <w:r w:rsidRPr="008C36F5">
        <w:rPr>
          <w:rFonts w:ascii="Times New Roman" w:hAnsi="Times New Roman" w:cs="Times New Roman"/>
          <w:noProof/>
          <w:sz w:val="20"/>
          <w:szCs w:val="20"/>
          <w:lang w:val="en-IN"/>
        </w:rPr>
        <w:t>, 2020)</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To boost hydrogen generation, researchers looked at photo-fermentation, MEC, cell-free enzymatic systems, and metabolic engineering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{"citationItems":[{"id":"ITEM-1","itemData":{"DOI":"10.1016/B978-0-08-100455-5.00011-4","ISBN":"9780081004562","abstract":"Hydrogen gas is an attractive alternative sustainable energy due to its high energy density and zero greenhouse gas emission after combustion. Biological production of hydrogen by bacteria or algae operates under mild conditions and does not rely on fossil fuels or electricity. This chapter focuses on discussing the principles of hydrogen production by biological processes, including dark fermentation, biophotolysis by both algae and cyanobacteria, photofermentation, microbial electrolysis cell (MEC), cell-free enzymatic systems, as well as metabolic engineering strategies to improve hydrogen production. Additionally, the authors compare the available techniques using the most representative production indicators such as rate and efficiency. Due to the vast heterogeneity in resources available around the world, there is no absolute judgment on which technique is superior to another. The most appropriate technique should always be chosen based on whether it fits the local circumstances.","author":[{"dropping-particle":"","family":"Ding","given":"C.","non-dropping-particle":"","parse-names":false,"suffix":""},{"dropping-particle":"","family":"Yang","given":"K. L.","non-dropping-particle":"","parse-names":false,"suffix":""},{"dropping-particle":"","family":"He","given":"J.","non-dropping-particle":"","parse-names":false,"suffix":""}],"container-title":"Handbook of Biofuels Production: Processes and Technologies: Second Edition","id":"ITEM-1","issued":{"date-parts":[["2016"]]},"number-of-pages":"303-333","title":"Biological and fermentative production of hydrogen","type":"book"},"uris":["http://www.mendeley.com/documents/?uuid=d54bac53-b079-4fdb-932d-5f67cc77320e"]}],"mendeley":{"formattedCitation":"(Ding, Yang and He, 2016)","plainTextFormattedCitation":"(Ding, Yang and He, 2016)","previouslyFormattedCitation":"(Ding, Yang and He, 2016)"},"properties":{"noteIndex":0},"schema":"https://github.com/citation-style-language/schema/raw/master/csl-citation.json"}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(Ding, Yang and He, 2016)</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Nguyen H. Tran and G. S Kamali kannangara worked on glycerol to hydrogen-rich gas conversion. Glycerol was taken as input and was analyzed by a non-catalytic pyrolysis process. The goal was to lessen our reliance on hydrogen-rich fossil fuels. It aimed to protect our environment from harmful exhaust emissions </w:t>
      </w:r>
      <w:r w:rsidR="0063134A" w:rsidRPr="008C36F5">
        <w:rPr>
          <w:rFonts w:ascii="Times New Roman" w:hAnsi="Times New Roman" w:cs="Times New Roman"/>
          <w:sz w:val="20"/>
          <w:szCs w:val="20"/>
          <w:lang w:val="en-IN"/>
        </w:rPr>
        <w:fldChar w:fldCharType="begin" w:fldLock="1"/>
      </w:r>
      <w:r w:rsidRPr="008C36F5">
        <w:rPr>
          <w:rFonts w:ascii="Times New Roman" w:hAnsi="Times New Roman" w:cs="Times New Roman"/>
          <w:sz w:val="20"/>
          <w:szCs w:val="20"/>
          <w:lang w:val="en-IN"/>
        </w:rPr>
        <w:instrText>ADDIN CSL_CITATION {"citationItems":[{"id":"ITEM-1","itemData":{"DOI":"10.1039/c3cs60227c","ISSN":"03060012","abstract":"Presently there is a glut of glycerol as the by-product of biofuel production and it will grow as production increases. The conundrum is how we can consume this material and convert it into a more useful product. One potential route is to reform glycerol to hydrogen rich gas including synthesis gas (CO + H2) and hydrogen. However, there is recent literature on various reforming techniques which may have a bearing on the efficiency of such a process. Hence in this review reforming of glycerol at room temperature (normally photo-catalytic), catalysis at moderate and high temperature and a non-catalytic pyrolysis process are presented. The high temperature processes allow the generation of synthesis gas with the hydrogen to carbon monoxide ratios being suitable for synthesis of dimethyl ether, methanol and for the Fischer-Tropsch process using established catalysts. Efficient conversion of synthesis gas to hydrogen involves additional catalysts that assist the water gas shift reaction, or involves in situ capture of carbon dioxide and hydrogen. Reforming at reduced temperatures including photo-reforming offers the opportunity of producing synthesis gas or hydrogen using single catalysts. Together, these processes will assist in overcoming the worldwide glut of glycerol, increasing the competitiveness of the biofuel production and reducing our dependency on the fossil based, hydrogen rich gas.","author":[{"dropping-particle":"","family":"Tran","given":"Nguyen H.","non-dropping-particle":"","parse-names":false,"suffix":""},{"dropping-particle":"","family":"Kannangara","given":"G. S.Kamali","non-dropping-particle":"","parse-names":false,"suffix":""}],"container-title":"The Royal Society of Chemistry","id":"ITEM-1","issue":"24","issued":{"date-parts":[["2013"]]},"page":"9454-9479","title":"Conversion of glycerol to hydrogen rich gas","type":"article-journal","volume":"42"},"uris":["http://www.mendeley.com/documents/?uuid=955f37b6-c146-47e0-b7f3-378e25fd220c"]}],"mendeley":{"formattedCitation":"(Tran and Kannangara, 2013)","plainTextFormattedCitation":"(Tran and Kannangara, 2013)","previouslyFormattedCitation":"(Tran and Kannangara, 2013)"},"properties":{"noteIndex":0},"schema":"https://github.com/citation-style-language/schema/raw/master/csl-citation.json"}</w:instrText>
      </w:r>
      <w:r w:rsidR="0063134A" w:rsidRPr="008C36F5">
        <w:rPr>
          <w:rFonts w:ascii="Times New Roman" w:hAnsi="Times New Roman" w:cs="Times New Roman"/>
          <w:sz w:val="20"/>
          <w:szCs w:val="20"/>
          <w:lang w:val="en-IN"/>
        </w:rPr>
        <w:fldChar w:fldCharType="separate"/>
      </w:r>
      <w:r w:rsidRPr="008C36F5">
        <w:rPr>
          <w:rFonts w:ascii="Times New Roman" w:hAnsi="Times New Roman" w:cs="Times New Roman"/>
          <w:noProof/>
          <w:sz w:val="20"/>
          <w:szCs w:val="20"/>
          <w:lang w:val="en-IN"/>
        </w:rPr>
        <w:t>(Tran and Kannangara, 2013)</w:t>
      </w:r>
      <w:r w:rsidR="0063134A" w:rsidRPr="008C36F5">
        <w:rPr>
          <w:rFonts w:ascii="Times New Roman" w:hAnsi="Times New Roman" w:cs="Times New Roman"/>
          <w:sz w:val="20"/>
          <w:szCs w:val="20"/>
          <w:lang w:val="en-IN"/>
        </w:rPr>
        <w:fldChar w:fldCharType="end"/>
      </w:r>
      <w:r w:rsidRPr="008C36F5">
        <w:rPr>
          <w:rFonts w:ascii="Times New Roman" w:hAnsi="Times New Roman" w:cs="Times New Roman"/>
          <w:sz w:val="20"/>
          <w:szCs w:val="20"/>
          <w:lang w:val="en-IN"/>
        </w:rPr>
        <w:t xml:space="preserve">. </w:t>
      </w:r>
    </w:p>
    <w:p w:rsidR="0081325E" w:rsidRDefault="0081325E" w:rsidP="008C36F5">
      <w:pPr>
        <w:spacing w:line="240" w:lineRule="auto"/>
        <w:rPr>
          <w:rFonts w:ascii="Times New Roman" w:hAnsi="Times New Roman" w:cs="Times New Roman"/>
          <w:b/>
          <w:szCs w:val="20"/>
        </w:rPr>
      </w:pPr>
    </w:p>
    <w:p w:rsidR="00A147DF" w:rsidRPr="00A6341D" w:rsidRDefault="00A147DF" w:rsidP="008C36F5">
      <w:pPr>
        <w:spacing w:line="240" w:lineRule="auto"/>
        <w:rPr>
          <w:rFonts w:ascii="Times New Roman" w:hAnsi="Times New Roman" w:cs="Times New Roman"/>
          <w:b/>
          <w:szCs w:val="20"/>
        </w:rPr>
      </w:pPr>
      <w:r w:rsidRPr="00A6341D">
        <w:rPr>
          <w:rFonts w:ascii="Times New Roman" w:hAnsi="Times New Roman" w:cs="Times New Roman"/>
          <w:b/>
          <w:szCs w:val="20"/>
        </w:rPr>
        <w:t>Table: 6</w:t>
      </w:r>
      <w:r w:rsidR="00572601" w:rsidRPr="00A6341D">
        <w:rPr>
          <w:rFonts w:ascii="Times New Roman" w:hAnsi="Times New Roman" w:cs="Times New Roman"/>
          <w:b/>
          <w:szCs w:val="20"/>
        </w:rPr>
        <w:t xml:space="preserve"> </w:t>
      </w:r>
      <w:r w:rsidRPr="00A6341D">
        <w:rPr>
          <w:rFonts w:ascii="Times New Roman" w:hAnsi="Times New Roman" w:cs="Times New Roman"/>
          <w:b/>
          <w:szCs w:val="20"/>
        </w:rPr>
        <w:t>Research Activities on Generation of HHO/H</w:t>
      </w:r>
      <w:r w:rsidRPr="00A6341D">
        <w:rPr>
          <w:rFonts w:ascii="Times New Roman" w:hAnsi="Times New Roman" w:cs="Times New Roman"/>
          <w:b/>
          <w:szCs w:val="20"/>
          <w:vertAlign w:val="subscript"/>
        </w:rPr>
        <w:t>2</w:t>
      </w:r>
      <w:r w:rsidRPr="00A6341D">
        <w:rPr>
          <w:rFonts w:ascii="Times New Roman" w:hAnsi="Times New Roman" w:cs="Times New Roman"/>
          <w:b/>
          <w:szCs w:val="20"/>
        </w:rPr>
        <w:t xml:space="preserve"> Using </w:t>
      </w:r>
      <w:r w:rsidRPr="00A6341D">
        <w:rPr>
          <w:rFonts w:ascii="Times New Roman" w:hAnsi="Times New Roman" w:cs="Times New Roman"/>
          <w:b/>
          <w:szCs w:val="20"/>
          <w:shd w:val="clear" w:color="auto" w:fill="FFFFFF"/>
        </w:rPr>
        <w:t>MEC a Technology for Biological and Glycerol Hydrogen Production</w:t>
      </w:r>
    </w:p>
    <w:tbl>
      <w:tblPr>
        <w:tblStyle w:val="LightShading"/>
        <w:tblW w:w="5000" w:type="pct"/>
        <w:shd w:val="clear" w:color="auto" w:fill="FFFFFF" w:themeFill="background1"/>
        <w:tblLook w:val="04A0" w:firstRow="1" w:lastRow="0" w:firstColumn="1" w:lastColumn="0" w:noHBand="0" w:noVBand="1"/>
      </w:tblPr>
      <w:tblGrid>
        <w:gridCol w:w="1272"/>
        <w:gridCol w:w="95"/>
        <w:gridCol w:w="1432"/>
        <w:gridCol w:w="2360"/>
        <w:gridCol w:w="1841"/>
        <w:gridCol w:w="2010"/>
        <w:gridCol w:w="566"/>
      </w:tblGrid>
      <w:tr w:rsidR="00A147DF" w:rsidRPr="008C36F5" w:rsidTr="000F49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 w:type="pct"/>
            <w:gridSpan w:val="2"/>
            <w:shd w:val="clear" w:color="auto" w:fill="FFFFFF" w:themeFill="background1"/>
          </w:tcPr>
          <w:p w:rsidR="00A147DF" w:rsidRPr="008C36F5" w:rsidRDefault="00A147DF" w:rsidP="008C36F5">
            <w:pPr>
              <w:spacing w:after="10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Author &amp; year</w:t>
            </w:r>
          </w:p>
        </w:tc>
        <w:tc>
          <w:tcPr>
            <w:tcW w:w="768"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Input</w:t>
            </w:r>
          </w:p>
        </w:tc>
        <w:tc>
          <w:tcPr>
            <w:tcW w:w="1245"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Analysis methodology</w:t>
            </w:r>
          </w:p>
        </w:tc>
        <w:tc>
          <w:tcPr>
            <w:tcW w:w="973"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Purpose</w:t>
            </w:r>
          </w:p>
        </w:tc>
        <w:tc>
          <w:tcPr>
            <w:tcW w:w="1061"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Result and outcome</w:t>
            </w:r>
          </w:p>
        </w:tc>
        <w:tc>
          <w:tcPr>
            <w:tcW w:w="283"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Ref.</w:t>
            </w:r>
          </w:p>
        </w:tc>
      </w:tr>
      <w:tr w:rsidR="00A147DF" w:rsidRPr="008C36F5" w:rsidTr="000F49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{"citationItems":[{"id":"ITEM-1","itemData":{"DOI":"10.1016/j.biotechadv.2017.07.004","ISBN":"0734-9750","ISSN":"07349750","PMID":"21875792","abstract":"Microbial electrolysis cells (MECs) are a promising technology for biological hydrogen production. Compared to abiotic water electrolysis, a much lower electrical voltage (~ 0.2 V) is required for hydrogen production in MECs. It is also an attractive waste treatment technology as a variety of biodegradable substances can be used as the process feedstock. Underpinning this technology is a recently discovered bioelectrochemical pathway known as “bioelectrohydrogenesis”. However, little is known about the mechanism of this pathway, and numerous hurdles are yet to be addressed to maximize hydrogen yield and purity. Here, we review various aspects including reactor configurations, microorganisms, substrates, electrode materials, and inhibitors of methanogenesis in order to improve hydrogen generation in MECs.","author":[{"dropping-particle":"","family":"Karthikeyan","given":"Rengasamy","non-dropping-particle":"","parse-names":false,"suffix":""},{"dropping-particle":"","family":"Cheng","given":"Ka Yu","non-dropping-particle":"","parse-names":false,"suffix":""},{"dropping-particle":"","family":"Selvam","given":"Ammaiyappan","non-dropping-particle":"","parse-names":false,"suffix":""},{"dropping-particle":"","family":"Bose","given":"Arpita","non-dropping-particle":"","parse-names":false,"suffix":""},{"dropping-particle":"","family":"Wong","given":"Jonathan W.C.","non-dropping-particle":"","parse-names":false,"suffix":""}],"container-title":"Biotechnology Advances","id":"ITEM-1","issue":"6","issued":{"date-parts":[["2017"]]},"page":"758-771","publisher":"Elsevier Inc","title":"Bioelectrohydrogenesis and inhibition of methanogenic activity in microbial electrolysis cells - A review","type":"article-journal","volume":"35"},"uris":["http://www.mendeley.com/documents/?uuid=83cab70f-cefb-4d31-bf12-6c9d84259f7d"]}],"mendeley":{"formattedCitation":"(Karthikeyan &lt;i&gt;et al.&lt;/i&gt;, 2017)","plainTextFormattedCitation":"(Karthikeyan et al., 2017)","previouslyFormattedCitation":"(Karthikeyan &lt;i&gt;et al.&lt;/i&gt;, 2017)"},"properties":{"noteIndex":0},"schema":"https://github.com/citation-style-language/schema/raw/master/csl-citation.json"}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(Karthikeyan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2017)</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Microorganisms &amp; MEC</w:t>
            </w:r>
          </w:p>
        </w:tc>
        <w:tc>
          <w:tcPr>
            <w:tcW w:w="124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Bioelectrohydrogenesis by MEC</w:t>
            </w:r>
          </w:p>
        </w:tc>
        <w:tc>
          <w:tcPr>
            <w:tcW w:w="97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Generation of biological hydrogen</w:t>
            </w:r>
          </w:p>
        </w:tc>
        <w:tc>
          <w:tcPr>
            <w:tcW w:w="106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In comparison to abiotic water electrolysis, H</w:t>
            </w:r>
            <w:r w:rsidRPr="008C36F5">
              <w:rPr>
                <w:rFonts w:ascii="Times New Roman" w:hAnsi="Times New Roman" w:cs="Times New Roman"/>
                <w:color w:val="000000" w:themeColor="text1"/>
                <w:sz w:val="20"/>
                <w:szCs w:val="20"/>
                <w:vertAlign w:val="subscript"/>
              </w:rPr>
              <w:t>2</w:t>
            </w:r>
            <w:r w:rsidRPr="008C36F5">
              <w:rPr>
                <w:rFonts w:ascii="Times New Roman" w:hAnsi="Times New Roman" w:cs="Times New Roman"/>
                <w:color w:val="000000" w:themeColor="text1"/>
                <w:sz w:val="20"/>
                <w:szCs w:val="20"/>
              </w:rPr>
              <w:t xml:space="preserve"> synthesis in MECs requires a significantly lower electrical voltage.</w:t>
            </w:r>
          </w:p>
        </w:tc>
        <w:tc>
          <w:tcPr>
            <w:tcW w:w="28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136</w:t>
            </w:r>
          </w:p>
        </w:tc>
      </w:tr>
      <w:tr w:rsidR="00A147DF" w:rsidRPr="008C36F5" w:rsidTr="000F4925">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{"citationItems":[{"id":"ITEM-1","itemData":{"DOI":"10.1063/1674-0068/cjcp2005075","ISSN":"23272244","abstract":"Microbial electrolysis cells (MECs) present an attractive route for energy-saving hydrogen (H2) production along with treatment of various wastewaters, which can convert organic matter into H2 with the assistance of microbial electrocatalysis. However, the development of such renewable technologies for H2 production still faces considerable challenges regarding how to enhance the H2 production rate and to lower the energy and the system cost. In this review, we will focus on the recent research progress of MEC for H2 production. First, we present a brief introduction of MEC technology and the operating mechanism for H2 production. Then, the electrode materials including some typical electrocatalysts for hydrogen production are summarized and discussed. We also highlight how various substrates used in MEC affect the associated performance of hydrogen generation. Finally we presents several key scientific challenges and our perspectives on how to enhance the electrochemical performance.","author":[{"dropping-particle":"","family":"Xiang","given":"Li Juan","non-dropping-particle":"","parse-names":false,"suffix":""},{"dropping-particle":"","family":"Dai","given":"Ling","non-dropping-particle":"","parse-names":false,"suffix":""},{"dropping-particle":"","family":"Guo","given":"Ke Xin","non-dropping-particle":"","parse-names":false,"suffix":""},{"dropping-particle":"","family":"Wen","given":"Zhen Hai","non-dropping-particle":"","parse-names":false,"suffix":""},{"dropping-particle":"","family":"Ci","given":"Su Qin","non-dropping-particle":"","parse-names":false,"suffix":""},{"dropping-particle":"","family":"Li","given":"Jing Hong","non-dropping-particle":"","parse-names":false,"suffix":""}],"container-title":"Chinese Journal of Chemical Physics","id":"ITEM-1","issue":"3","issued":{"date-parts":[["2020"]]},"page":"263-284","title":"Microbial electrolysis cells for hydrogen production","type":"article-journal","volume":"33"},"uris":["http://www.mendeley.com/documents/?uuid=6b2319ef-6cf0-4337-8219-67a8149243cc"]}],"mendeley":{"formattedCitation":"(Xiang &lt;i&gt;et al.&lt;/i&gt;, 2020)","plainTextFormattedCitation":"(Xiang et al., 2020)","previouslyFormattedCitation":"(Xiang &lt;i&gt;et al.&lt;/i&gt;, 2020)"},"properties":{"noteIndex":0},"schema":"https://github.com/citation-style-language/schema/raw/master/csl-citation.json"}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(Xiang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2020)</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Microbial electrolysis cells</w:t>
            </w:r>
          </w:p>
        </w:tc>
        <w:tc>
          <w:tcPr>
            <w:tcW w:w="124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MEC feasibility and compatibility methods were published in several publications.</w:t>
            </w:r>
          </w:p>
        </w:tc>
        <w:tc>
          <w:tcPr>
            <w:tcW w:w="97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MEC advancement for hydrogen production</w:t>
            </w:r>
          </w:p>
        </w:tc>
        <w:tc>
          <w:tcPr>
            <w:tcW w:w="106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MECs appear to be a promising source for H</w:t>
            </w:r>
            <w:r w:rsidRPr="008C36F5">
              <w:rPr>
                <w:rFonts w:ascii="Times New Roman" w:hAnsi="Times New Roman" w:cs="Times New Roman"/>
                <w:color w:val="000000" w:themeColor="text1"/>
                <w:sz w:val="20"/>
                <w:szCs w:val="20"/>
                <w:vertAlign w:val="subscript"/>
              </w:rPr>
              <w:t>2</w:t>
            </w:r>
            <w:r w:rsidRPr="008C36F5">
              <w:rPr>
                <w:rFonts w:ascii="Times New Roman" w:hAnsi="Times New Roman" w:cs="Times New Roman"/>
                <w:color w:val="000000" w:themeColor="text1"/>
                <w:sz w:val="20"/>
                <w:szCs w:val="20"/>
              </w:rPr>
              <w:t xml:space="preserve"> generation</w:t>
            </w:r>
          </w:p>
        </w:tc>
        <w:tc>
          <w:tcPr>
            <w:tcW w:w="28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87</w:t>
            </w:r>
          </w:p>
        </w:tc>
      </w:tr>
      <w:tr w:rsidR="00A147DF" w:rsidRPr="008C36F5" w:rsidTr="000F49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{"citationItems":[{"id":"ITEM-1","itemData":{"DOI":"10.1016/j.aej.2015.10.008","ISBN":"1110-0168","ISSN":"11100168","PMID":"21796980","abstract":"Hydrogen gas has tremendous potential as an environmentally acceptable energy carrier for vehicles. A cutting edge technology called a microbial electrolysis cell (MEC) can achieve sustainable and clean hydrogen production from a wide range of renewable biomass and wastewaters. Enhancing the hydrogen production rate and lowering the energy input are the main challenges of MEC technology. MEC reactor design is one of the crucial factors which directly influence on hydrogen and current production rate in MECs. The rector design is also a key factor to up-scaling. Traditional MEC designs incorporated membranes, but it was recently shown that membrane-free designs can lead to both high hydrogen recoveries and production rates. Since then multiple studies have developed reactors that operate without membranes. This review provides a brief overview of recent advances in research on scalable MEC reactor design and configurations.","author":[{"dropping-particle":"","family":"Kadier","given":"Abudukeremu","non-dropping-particle":"","parse-names":false,"suffix":""},{"dropping-particle":"","family":"Simayi","given":"Yibadatihan","non-dropping-particle":"","parse-names":false,"suffix":""},{"dropping-particle":"","family":"Abdeshahian","given":"Peyman","non-dropping-particle":"","parse-names":false,"suffix":""},{"dropping-particle":"","family":"Azman","given":"Nadia Farhana","non-dropping-particle":"","parse-names":false,"suffix":""},{"dropping-particle":"","family":"Chandrasekhar","given":"K.","non-dropping-particle":"","parse-names":false,"suffix":""},{"dropping-particle":"","family":"Kalil","given":"Mohd Sahaid","non-dropping-particle":"","parse-names":false,"suffix":""}],"container-title":"Alexandria Engineering Journal","id":"ITEM-1","issue":"1","issued":{"date-parts":[["2015"]]},"page":"427-443","publisher":"Faculty of Engineering, Alexandria University","title":"A comprehensive review of microbial electrolysis cells (MEC) reactor designs and configurations for sustainable hydrogen gas production","type":"article-journal","volume":"55"},"uris":["http://www.mendeley.com/documents/?uuid=1a32a48b-075d-414b-a194-fa46015a27e4"]}],"mendeley":{"formattedCitation":"(Kadier &lt;i&gt;et al.&lt;/i&gt;, 2015)","plainTextFormattedCitation":"(Kadier et al., 2015)","previouslyFormattedCitation":"(Kadier &lt;i&gt;et al.&lt;/i&gt;, 2015)"},"properties":{"noteIndex":0},"schema":"https://github.com/citation-style-language/schema/raw/master/csl-citation.json"}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(Kadier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2015)</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 xml:space="preserve">The Study of developments </w:t>
            </w:r>
            <w:r w:rsidRPr="008C36F5">
              <w:rPr>
                <w:rFonts w:ascii="Times New Roman" w:hAnsi="Times New Roman" w:cs="Times New Roman"/>
                <w:color w:val="000000" w:themeColor="text1"/>
                <w:sz w:val="20"/>
                <w:szCs w:val="20"/>
              </w:rPr>
              <w:lastRenderedPageBreak/>
              <w:t>in various types of MEC reactors.</w:t>
            </w:r>
          </w:p>
        </w:tc>
        <w:tc>
          <w:tcPr>
            <w:tcW w:w="124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lastRenderedPageBreak/>
              <w:t xml:space="preserve">MEC reactors have been built for both waste </w:t>
            </w:r>
            <w:r w:rsidRPr="008C36F5">
              <w:rPr>
                <w:rFonts w:ascii="Times New Roman" w:hAnsi="Times New Roman" w:cs="Times New Roman"/>
                <w:color w:val="000000" w:themeColor="text1"/>
                <w:sz w:val="20"/>
                <w:szCs w:val="20"/>
              </w:rPr>
              <w:lastRenderedPageBreak/>
              <w:t>treatment and sustainable and high yield hydrogen gas generation.</w:t>
            </w:r>
          </w:p>
        </w:tc>
        <w:tc>
          <w:tcPr>
            <w:tcW w:w="97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lastRenderedPageBreak/>
              <w:t xml:space="preserve">A summary of current </w:t>
            </w:r>
            <w:r w:rsidRPr="008C36F5">
              <w:rPr>
                <w:rFonts w:ascii="Times New Roman" w:hAnsi="Times New Roman" w:cs="Times New Roman"/>
                <w:color w:val="000000" w:themeColor="text1"/>
                <w:sz w:val="20"/>
                <w:szCs w:val="20"/>
              </w:rPr>
              <w:lastRenderedPageBreak/>
              <w:t>developments in the design &amp; configuration of MEC reactors</w:t>
            </w:r>
          </w:p>
        </w:tc>
        <w:tc>
          <w:tcPr>
            <w:tcW w:w="106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lastRenderedPageBreak/>
              <w:t>High H</w:t>
            </w:r>
            <w:r w:rsidRPr="008C36F5">
              <w:rPr>
                <w:rFonts w:ascii="Times New Roman" w:hAnsi="Times New Roman" w:cs="Times New Roman"/>
                <w:color w:val="000000" w:themeColor="text1"/>
                <w:sz w:val="20"/>
                <w:szCs w:val="20"/>
                <w:vertAlign w:val="subscript"/>
              </w:rPr>
              <w:t>2</w:t>
            </w:r>
            <w:r w:rsidRPr="008C36F5">
              <w:rPr>
                <w:rFonts w:ascii="Times New Roman" w:hAnsi="Times New Roman" w:cs="Times New Roman"/>
                <w:color w:val="000000" w:themeColor="text1"/>
                <w:sz w:val="20"/>
                <w:szCs w:val="20"/>
              </w:rPr>
              <w:t xml:space="preserve"> recovery &amp; generation rates can </w:t>
            </w:r>
            <w:r w:rsidRPr="008C36F5">
              <w:rPr>
                <w:rFonts w:ascii="Times New Roman" w:hAnsi="Times New Roman" w:cs="Times New Roman"/>
                <w:color w:val="000000" w:themeColor="text1"/>
                <w:sz w:val="20"/>
                <w:szCs w:val="20"/>
              </w:rPr>
              <w:lastRenderedPageBreak/>
              <w:t>be achieved utilizing membrane-free MEC designs</w:t>
            </w:r>
          </w:p>
        </w:tc>
        <w:tc>
          <w:tcPr>
            <w:tcW w:w="28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lastRenderedPageBreak/>
              <w:t>61</w:t>
            </w:r>
          </w:p>
        </w:tc>
      </w:tr>
      <w:tr w:rsidR="00A147DF" w:rsidRPr="008C36F5" w:rsidTr="000F4925">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{"citationItems":[{"id":"ITEM-1","itemData":{"DOI":"10.1002/jctb.5898","ISSN":"10974660","abstract":"Microbial electrolysis cells (MECs) have been studied in a wide range of potential applications such as recalcitrant pollutants removal, chemicals synthesis, resources recovery and biosensors. However, MEC technology is still in its infancy and poses serious challenges for practical large-scale applications. To understand the diversified applications of MEC, this review aims to explore MEC applications in the following contexts: an overview of MEC for energy generation and recycling such as hydrogen, methane, formic acid and hydrogen peroxide; contaminant removal, specifically complex organic pollutants and inorganic pollutants; as a sensor; as well as resource recovery. New concepts of MEC technology; configuration optimization; electron transfer pathways in biocathodes, and coupling with other technologies for value-added applications such as MEC-anaerobic digestion, MEC-MFC, MEC-MDC and bio-E-Fenton system are discussed. Finally, challenges and outlooks are suggested. The review aims to assist researchers and engineers to understand the latest trends in MEC technologies and applications.","author":[{"dropping-particle":"","family":"Hua","given":"Tao","non-dropping-particle":"","parse-names":false,"suffix":""},{"dropping-particle":"","family":"Li","given":"Shengnan","non-dropping-particle":"","parse-names":false,"suffix":""},{"dropping-particle":"","family":"Li","given":"Fengxiang","non-dropping-particle":"","parse-names":false,"suffix":""},{"dropping-particle":"","family":"Zhou","given":"Qixing","non-dropping-particle":"","parse-names":false,"suffix":""},{"dropping-particle":"","family":"Ondon","given":"Brim Stevy","non-dropping-particle":"","parse-names":false,"suffix":""}],"container-title":"Journal of Chemical Technology and Biotechnology","id":"ITEM-1","issue":"6","issued":{"date-parts":[["2019"]]},"page":"1697-1711","title":"Microbial electrolysis cell as an emerging versatile technology: a review on its potential application, advance and challenge","type":"article-journal","volume":"94"},"uris":["http://www.mendeley.com/documents/?uuid=efa10b2b-0271-4ad2-bab3-a1e6c3a36da9"]}],"mendeley":{"formattedCitation":"(Hua &lt;i&gt;et al.&lt;/i&gt;, 2019)","plainTextFormattedCitation":"(Hua et al., 2019)","previouslyFormattedCitation":"(Hua &lt;i&gt;et al.&lt;/i&gt;, 2019)"},"properties":{"noteIndex":0},"schema":"https://github.com/citation-style-language/schema/raw/master/csl-citation.json"}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(Hua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2019)</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Some value-added applications where MEC integrated with other BESs.</w:t>
            </w:r>
          </w:p>
        </w:tc>
        <w:tc>
          <w:tcPr>
            <w:tcW w:w="124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LCA, electron transfer pathways</w:t>
            </w:r>
          </w:p>
        </w:tc>
        <w:tc>
          <w:tcPr>
            <w:tcW w:w="97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Investigating the use of MEC</w:t>
            </w:r>
          </w:p>
        </w:tc>
        <w:tc>
          <w:tcPr>
            <w:tcW w:w="106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MEC is still in its infancy as a technology</w:t>
            </w:r>
          </w:p>
        </w:tc>
        <w:tc>
          <w:tcPr>
            <w:tcW w:w="28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175</w:t>
            </w:r>
          </w:p>
        </w:tc>
      </w:tr>
      <w:tr w:rsidR="00A147DF" w:rsidRPr="008C36F5" w:rsidTr="000F49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{"citationItems":[{"id":"ITEM-1","itemData":{"DOI":"10.1016/j.cej.2014.05.145","ISSN":"13858947","abstract":"A nanofiber-reinforced composite proton exchange membrane (NFR-PEM), based on sulfonated polyether ether ketone (SPEEK) as a proton conductor, was prepared and studied for microbial electrolysis cells (MECs). The poor dimensional stability of conventional SPEEK membrane was overcome by embedding a polyimide nanofiber substrate in the centre of the polymer matrix, without sacrificing proton conductivity. This novel membrane showed lower gas and fuel crossovers, with higher proton conductivity, compared to a Nafion membrane. The installation of NFR-PEM into MECs improved hydrogen gas production at the cathode, with an overall hydrogen efficiency (e- to hydrogen) of 86.4±14.7%, as compared to 77.2±10.3% of Nafion. In particular, higher proton selectivity of the NFR-PEM remarkably mitigated the anodic pH decrease harmful for anode bacteria, by facilitating selective proton transfer rather than other competing cations, which led to overall improved hydrogen gas yield in the MEC as the NFR-PEM was installed. © 2014 Elsevier B.V.","author":[{"dropping-particle":"","family":"Chae","given":"Kyu Jung","non-dropping-particle":"","parse-names":false,"suffix":""},{"dropping-particle":"","family":"Kim","given":"Kyoung Yeol","non-dropping-particle":"","parse-names":false,"suffix":""},{"dropping-particle":"","family":"Choi","given":"Mi Jin","non-dropping-particle":"","parse-names":false,"suffix":""},{"dropping-particle":"","family":"Yang","given":"Euntae","non-dropping-particle":"","parse-names":false,"suffix":""},{"dropping-particle":"","family":"Kim","given":"In S.","non-dropping-particle":"","parse-names":false,"suffix":""},{"dropping-particle":"","family":"Ren","given":"Xianghao","non-dropping-particle":"","parse-names":false,"suffix":""},{"dropping-particle":"","family":"Lee","given":"Mooseok","non-dropping-particle":"","parse-names":false,"suffix":""}],"container-title":"Chemical Engineering Journal","id":"ITEM-1","issued":{"date-parts":[["2014"]]},"page":"393-398","publisher":"Elsevier B.V.","title":"Sulfonated polyether ether ketone (SPEEK)-based composite proton exchange membrane reinforced with nanofibers for microbial electrolysis cells","type":"article-journal","volume":"254"},"uris":["http://www.mendeley.com/documents/?uuid=5061056a-68c2-44fb-a6cb-c09be0318875"]}],"mendeley":{"formattedCitation":"(Chae &lt;i&gt;et al.&lt;/i&gt;, 2014)","plainTextFormattedCitation":"(Chae et al., 2014)","previouslyFormattedCitation":"(Chae &lt;i&gt;et al.&lt;/i&gt;, 2014)"},"properties":{"noteIndex":0},"schema":"https://github.com/citation-style-language/schema/raw/master/csl-citation.json"}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(Chae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2014)</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NFR-PEM, SPEEK</w:t>
            </w:r>
          </w:p>
        </w:tc>
        <w:tc>
          <w:tcPr>
            <w:tcW w:w="124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Tensile tests were performed. at room temperature making use of an Instron 5967 tension tester. Membrane pretreatment, SEM studies, and fuel and gas crossing were all carried out. Nitrogen gas was used to clean the anode and cathode chambers of a MEC.</w:t>
            </w:r>
          </w:p>
        </w:tc>
        <w:tc>
          <w:tcPr>
            <w:tcW w:w="97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Preparation of novel membrane</w:t>
            </w:r>
          </w:p>
        </w:tc>
        <w:tc>
          <w:tcPr>
            <w:tcW w:w="106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The novel membrane was developed</w:t>
            </w:r>
          </w:p>
        </w:tc>
        <w:tc>
          <w:tcPr>
            <w:tcW w:w="28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22</w:t>
            </w:r>
          </w:p>
        </w:tc>
      </w:tr>
      <w:tr w:rsidR="00A147DF" w:rsidRPr="008C36F5" w:rsidTr="000F4925">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{"citationItems":[{"id":"ITEM-1","itemData":{"DOI":"10.1016/j.biortech.2015.03.099","ISSN":"18732976","PMID":"25841185","abstract":"Methanogens can utilize the hydrogen produced in microbial electrolysis cells (MECs), thereby decreasing the hydrogen generation efficiency. However, various antibiotics have previously been shown to inhibit methanogenesis. In the present study antibiotics, including neomycin sulfate, 2-bromoethane sulfonate, 2-chloroethane sulfonate, 8-aza-hypoxanthine, were examined to determine if hydrogen production could be improved through inhibition of methanogenesis but not hydrogen production in MECs. 1.1. mM neomycin sulfate inhibited both methane and hydrogen production while 2-chloroethane sulfonate (20. mM), 2-bromoethane sulfonate (20. mM), and 8-aza-hypoxanthine (3.6. mM) can inhibited methane generation and with concurrent increases in hydrogen production. Our results indicated that adding select antibiotics to the mixed species community in MECs could be a suitable method to enhance hydrogen production efficiency.","author":[{"dropping-particle":"","family":"Catal","given":"Tunc","non-dropping-particle":"","parse-names":false,"suffix":""},{"dropping-particle":"","family":"Lesnik","given":"Keaton Larson","non-dropping-particle":"","parse-names":false,"suffix":""},{"dropping-particle":"","family":"Liu","given":"Hong","non-dropping-particle":"","parse-names":false,"suffix":""}],"container-title":"Bioresource Technology","id":"ITEM-1","issued":{"date-parts":[["2015"]]},"page":"77-83","publisher":"Elsevier Ltd","title":"Suppression of methanogenesis for hydrogen production in single-chamber microbial electrolysis cells using various antibiotics","type":"article-journal","volume":"187"},"uris":["http://www.mendeley.com/documents/?uuid=fc45f4f5-5395-43ff-91a3-0822ce57b246"]}],"mendeley":{"formattedCitation":"(Catal, Lesnik and Liu, 2015)","plainTextFormattedCitation":"(Catal, Lesnik and Liu, 2015)","previouslyFormattedCitation":"(Catal, Lesnik and Liu, 2015)"},"properties":{"noteIndex":0},"schema":"https://github.com/citation-style-language/schema/raw/master/csl-citation.json"}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(Catal, Lesnik and Liu, 2015)</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highlight w:val="yellow"/>
              </w:rPr>
            </w:pPr>
            <w:r w:rsidRPr="008C36F5">
              <w:rPr>
                <w:rFonts w:ascii="Times New Roman" w:hAnsi="Times New Roman" w:cs="Times New Roman"/>
                <w:color w:val="000000" w:themeColor="text1"/>
                <w:sz w:val="20"/>
                <w:szCs w:val="20"/>
              </w:rPr>
              <w:t>Antibiotics such as neomycin sulphate, 2-bromoethane sulfonate and others</w:t>
            </w:r>
          </w:p>
        </w:tc>
        <w:tc>
          <w:tcPr>
            <w:tcW w:w="124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highlight w:val="yellow"/>
              </w:rPr>
            </w:pPr>
            <w:r w:rsidRPr="008C36F5">
              <w:rPr>
                <w:rFonts w:ascii="Times New Roman" w:hAnsi="Times New Roman" w:cs="Times New Roman"/>
                <w:color w:val="000000" w:themeColor="text1"/>
                <w:sz w:val="20"/>
                <w:szCs w:val="20"/>
              </w:rPr>
              <w:t>Hydrogen generation by a mixed-species community was studied using glass serum vials. All of the studies were carried out in a temperature-controlled environment approx. at 30</w:t>
            </w:r>
            <w:r w:rsidRPr="008C36F5">
              <w:rPr>
                <w:rFonts w:ascii="Times New Roman" w:hAnsi="Times New Roman" w:cs="Times New Roman"/>
                <w:color w:val="000000" w:themeColor="text1"/>
                <w:sz w:val="20"/>
                <w:szCs w:val="20"/>
                <w:vertAlign w:val="superscript"/>
              </w:rPr>
              <w:t>o</w:t>
            </w:r>
            <w:r w:rsidRPr="008C36F5">
              <w:rPr>
                <w:rFonts w:ascii="Times New Roman" w:hAnsi="Times New Roman" w:cs="Times New Roman"/>
                <w:color w:val="000000" w:themeColor="text1"/>
                <w:sz w:val="20"/>
                <w:szCs w:val="20"/>
              </w:rPr>
              <w:t>C</w:t>
            </w:r>
          </w:p>
        </w:tc>
        <w:tc>
          <w:tcPr>
            <w:tcW w:w="97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To evaluate that hydrogen production can be improved or not</w:t>
            </w:r>
          </w:p>
        </w:tc>
        <w:tc>
          <w:tcPr>
            <w:tcW w:w="106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According to findings, the addition of several antibiotics to the amalgam species of MECs could be beneficial in H</w:t>
            </w:r>
            <w:r w:rsidRPr="008C36F5">
              <w:rPr>
                <w:rFonts w:ascii="Times New Roman" w:hAnsi="Times New Roman" w:cs="Times New Roman"/>
                <w:color w:val="000000" w:themeColor="text1"/>
                <w:sz w:val="20"/>
                <w:szCs w:val="20"/>
                <w:vertAlign w:val="subscript"/>
              </w:rPr>
              <w:t>2</w:t>
            </w:r>
            <w:r w:rsidRPr="008C36F5">
              <w:rPr>
                <w:rFonts w:ascii="Times New Roman" w:hAnsi="Times New Roman" w:cs="Times New Roman"/>
                <w:color w:val="000000" w:themeColor="text1"/>
                <w:sz w:val="20"/>
                <w:szCs w:val="20"/>
              </w:rPr>
              <w:t xml:space="preserve"> production</w:t>
            </w:r>
          </w:p>
        </w:tc>
        <w:tc>
          <w:tcPr>
            <w:tcW w:w="28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36</w:t>
            </w:r>
          </w:p>
        </w:tc>
      </w:tr>
      <w:tr w:rsidR="00A147DF" w:rsidRPr="008C36F5" w:rsidTr="000F49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{"citationItems":[{"id":"ITEM-1","itemData":{"DOI":"10.1016/j.biortech.2014.04.044","ISSN":"18732976","PMID":"24813389","abstract":"This study focuses on the challenges of the scaling up process of bioelectrochemical systems on the example of a technical scale microbial electrolysis cell referred to as the \"prototype\". Anodically treating real wastewater and operated in continuous mode at a hydraulic retention time of 1.23d with an average chemical oxygen demand (COD)-loading rate of 0.5gO2d-1LReactor-1 the prototype on average showed COD removal efficiency of 67% with effluent concentrations of 210mgO2L-1 and an ammonium elimination rate of 17.8±3.9mgNd-1LReactor-1 resulting in effluent concentrations of 30.7±3.7mgNL-1 with a removal efficiency of 40% at a current generation of 72μAcm-2 and Coulomb efficiency of 11%. A model is described as a method for comparing conventional and BES based technology using the above mentioned criteria and balancing them against the respective loading rates. © 2014 Elsevier Ltd.","author":[{"dropping-particle":"","family":"Brown","given":"Robert Keith","non-dropping-particle":"","parse-names":false,"suffix":""},{"dropping-particle":"","family":"Harnisch","given":"Falk","non-dropping-particle":"","parse-names":false,"suffix":""},{"dropping-particle":"","family":"Wirth","given":"Sebastian","non-dropping-particle":"","parse-names":false,"suffix":""},{"dropping-particle":"","family":"Wahlandt","given":"Helge","non-dropping-particle":"","parse-names":false,"suffix":""},{"dropping-particle":"","family":"Dockhorn","given":"Thomas","non-dropping-particle":"","parse-names":false,"suffix":""},{"dropping-particle":"","family":"Dichtl","given":"Norbert","non-dropping-particle":"","parse-names":false,"suffix":""},{"dropping-particle":"","family":"Schröder","given":"Uwe","non-dropping-particle":"","parse-names":false,"suffix":""}],"container-title":"Bioresource Technology","id":"ITEM-1","issued":{"date-parts":[["2014"]]},"page":"206-213","publisher":"Elsevier Ltd","title":"Evaluating the effects of scaling up on the performance of bioelectrochemical systems using a technical scale microbial electrolysis cell","type":"article-journal","volume":"163"},"uris":["http://www.mendeley.com/documents/?uuid=f4f1837a-a25a-4c67-954a-0178e33aac51"]}],"mendeley":{"formattedCitation":"(Brown &lt;i&gt;et al.&lt;/i&gt;, 2014)","plainTextFormattedCitation":"(Brown et al., 2014)","previouslyFormattedCitation":"(Brown &lt;i&gt;et al.&lt;/i&gt;, 2014)"},"properties":{"noteIndex":0},"schema":"https://github.com/citation-style-language/schema/raw/master/csl-citation.json"}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(Brown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2014)</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Wastewater samples and MEC</w:t>
            </w:r>
          </w:p>
        </w:tc>
        <w:tc>
          <w:tcPr>
            <w:tcW w:w="124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Experiments comparing conventional and BES-based technologies were undertaken Small laboratory reactors and a full-scale reactor was used.</w:t>
            </w:r>
          </w:p>
        </w:tc>
        <w:tc>
          <w:tcPr>
            <w:tcW w:w="97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High-load-rate performance evaluation</w:t>
            </w:r>
          </w:p>
        </w:tc>
        <w:tc>
          <w:tcPr>
            <w:tcW w:w="106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Overall,  the results were improved</w:t>
            </w:r>
          </w:p>
        </w:tc>
        <w:tc>
          <w:tcPr>
            <w:tcW w:w="28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37</w:t>
            </w:r>
          </w:p>
        </w:tc>
      </w:tr>
      <w:tr w:rsidR="00A147DF" w:rsidRPr="008C36F5" w:rsidTr="000F4925">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{"citationItems":[{"id":"ITEM-1","itemData":{"DOI":"10.1016/j.jbiosc.2016.03.016","ISSN":"13474421","PMID":"27094956","abstract":"Improved hydrogen production from glucose was achieved by adding a specific methane inhibitor (such as chloroform) to repress the activity of methanogens in a single-chamber microbial electrolysis cells (MECs) with a double anode arrangement. A maximum hydrogen production of 8.4 ± 0.2 mol H2/mol-G (G represents glucose), a hydrogen production rate of 2.39 ± 0.3 m3 H2/m3/d and a high energy efficiency (relative to the electrical input) of ηE = 165 ± 5% had been recorded from 1 g/L glucose at a low dosage of chloroform (5‰, v:v) and an applied voltage of 0.8 V. Almost all of the glucose was removed within 4 h, with 66% of the electrons in intermediates (mainly including acetate and ethanol), and methane gas was not detected in the MECs through 11 batch cycles. The experimental results confirmed that chloroform was an effective methane inhibitor that improved hydrogen production from glucose in the MECs. In addition, the cyclic voltammetry tests demonstrated that the electron transfer in the MECs was mainly due to the biofilm-bound redox compounds rather than soluble electron shuttles.","author":[{"dropping-particle":"","family":"Zhang","given":"Jingnan","non-dropping-particle":"","parse-names":false,"suffix":""},{"dropping-particle":"","family":"Bai","given":"Yanxia","non-dropping-particle":"","parse-names":false,"suffix":""},{"dropping-particle":"","family":"Fan","given":"Yaoting","non-dropping-particle":"","parse-names":false,"suffix":""},{"dropping-particle":"","family":"Hou","given":"Hongwei","non-dropping-particle":"","parse-names":false,"suffix":""}],"container-title":"Journal of Bioscience and Bioengineering","id":"ITEM-1","issued":{"date-parts":[["2016"]]},"page":"1-6","publisher":"Elsevier Ltd","title":"Improved bio-hydrogen production from glucose by adding a specific methane inhibitor to microbial electrolysis cells with a double anode arrangement","type":"article-journal","volume":"122"},"uris":["http://www.mendeley.com/documents/?uuid=5b9cbec8-22b1-40c8-a0b8-1d93f28bef3a"]}],"mendeley":{"formattedCitation":"(Zhang &lt;i&gt;et al.&lt;/i&gt;, 2016)","plainTextFormattedCitation":"(Zhang et al., 2016)","previouslyFormattedCitation":"(Zhang &lt;i&gt;et al.&lt;/i&gt;, 2016)"},"properties":{"noteIndex":0},"schema":"https://github.com/citation-style-language/schema/raw/master/csl-citation.json"}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(Zhang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2016)</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Specific methane inhibitor, MECs</w:t>
            </w:r>
          </w:p>
        </w:tc>
        <w:tc>
          <w:tcPr>
            <w:tcW w:w="124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The water replacement method was used to measure the biogas generated by the MECs. With a thermal conductivity detector, a gas chromatograph may be used was used to examine the gas composition.</w:t>
            </w:r>
          </w:p>
        </w:tc>
        <w:tc>
          <w:tcPr>
            <w:tcW w:w="97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To improve H</w:t>
            </w:r>
            <w:r w:rsidRPr="008C36F5">
              <w:rPr>
                <w:rFonts w:ascii="Times New Roman" w:hAnsi="Times New Roman" w:cs="Times New Roman"/>
                <w:color w:val="000000" w:themeColor="text1"/>
                <w:sz w:val="20"/>
                <w:szCs w:val="20"/>
                <w:vertAlign w:val="subscript"/>
              </w:rPr>
              <w:t>2</w:t>
            </w:r>
            <w:r w:rsidRPr="008C36F5">
              <w:rPr>
                <w:rFonts w:ascii="Times New Roman" w:hAnsi="Times New Roman" w:cs="Times New Roman"/>
                <w:color w:val="000000" w:themeColor="text1"/>
                <w:sz w:val="20"/>
                <w:szCs w:val="20"/>
              </w:rPr>
              <w:t xml:space="preserve"> production</w:t>
            </w:r>
          </w:p>
        </w:tc>
        <w:tc>
          <w:tcPr>
            <w:tcW w:w="106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The addition of a particular methane inhibitor enhanced H</w:t>
            </w:r>
            <w:r w:rsidRPr="008C36F5">
              <w:rPr>
                <w:rFonts w:ascii="Times New Roman" w:hAnsi="Times New Roman" w:cs="Times New Roman"/>
                <w:color w:val="000000" w:themeColor="text1"/>
                <w:sz w:val="20"/>
                <w:szCs w:val="20"/>
                <w:vertAlign w:val="subscript"/>
              </w:rPr>
              <w:t>2</w:t>
            </w:r>
            <w:r w:rsidRPr="008C36F5">
              <w:rPr>
                <w:rFonts w:ascii="Times New Roman" w:hAnsi="Times New Roman" w:cs="Times New Roman"/>
                <w:color w:val="000000" w:themeColor="text1"/>
                <w:sz w:val="20"/>
                <w:szCs w:val="20"/>
              </w:rPr>
              <w:t xml:space="preserve"> generation from glucose</w:t>
            </w:r>
          </w:p>
        </w:tc>
        <w:tc>
          <w:tcPr>
            <w:tcW w:w="28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32</w:t>
            </w:r>
          </w:p>
        </w:tc>
      </w:tr>
      <w:tr w:rsidR="00A147DF" w:rsidRPr="008C36F5" w:rsidTr="000F49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{"citationItems":[{"id":"ITEM-1","itemData":{"DOI":"10.1016/j.watres.2014.02.031","ISSN":"18792448","PMID":"24631941","abstract":"Microbial electrolysis cells (MECs) are an electricity-mediated microbial bioelectrochemical technology, which is originally developed for high-efficiency biological hydrogen production from waste streams. Compared to traditional biological technologies, MECs can overcome thermodynamic limitations and achieve high-yield hydrogen production from wide range of organic matters at relatively mild conditions. This approach greatly reduces the electric energy cost for hydrogen production in contrast to direct water electrolysis. In addition to hydrogen production, MECs may also support several energetically unfavorable biological/chemical reactions. This unique advantage of MECs has led to several alternative applications such as chemicals synthesis, recalcitrant pollutants removal, resources recovery, bioelectrochemical research platform and biosensors, which have greatly broaden the application scopes of MECs. MECs are becoming a versatile platform technology and offer a new solution for emerging environmental issues related to waste streams treatment and energy and resource recovery. Different from previous reviews that mainly focus on hydrogen production, this paper provides an up-to-date review of all the new applications of MECs and their resulting performance, current challenges and prospects of future. © 2014 Elsevier Ltd.","author":[{"dropping-particle":"","family":"Zhang","given":"Yifeng","non-dropping-particle":"","parse-names":false,"suffix":""},{"dropping-particle":"","family":"Angelidaki","given":"Irini","non-dropping-particle":"","parse-names":false,"suffix":""}],"container-title":"Water Research","id":"ITEM-1","issued":{"date-parts":[["2014"]]},"page":"11-25","publisher":"Elsevier Ltd","title":"Microbial electrolysis cells turning to be versatile technology: Recent advances and future challenges","type":"article-journal","volume":"56"},"uris":["http://www.mendeley.com/documents/?uuid=52eea3aa-b76c-44b1-8cd1-4b930759d00e"]}],"mendeley":{"formattedCitation":"(Zhang and Angelidaki, 2014)","plainTextFormattedCitation":"(Zhang and Angelidaki, 2014)","previouslyFormattedCitation":"(Zhang and Angelidaki, 2014)"},"properties":{"noteIndex":0},"schema":"https://github.com/citation-style-language/schema/raw/master/csl-citation.json"}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(Zhang and Angelidaki, 2014)</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MECs new application</w:t>
            </w:r>
          </w:p>
        </w:tc>
        <w:tc>
          <w:tcPr>
            <w:tcW w:w="124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 xml:space="preserve">A thorough study of MEC Technology. </w:t>
            </w:r>
          </w:p>
        </w:tc>
        <w:tc>
          <w:tcPr>
            <w:tcW w:w="97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A thorough examination of all novel MEC applications</w:t>
            </w:r>
          </w:p>
        </w:tc>
        <w:tc>
          <w:tcPr>
            <w:tcW w:w="106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vertAlign w:val="subscript"/>
              </w:rPr>
            </w:pPr>
            <w:r w:rsidRPr="008C36F5">
              <w:rPr>
                <w:rFonts w:ascii="Times New Roman" w:hAnsi="Times New Roman" w:cs="Times New Roman"/>
                <w:color w:val="000000" w:themeColor="text1"/>
                <w:sz w:val="20"/>
                <w:szCs w:val="20"/>
              </w:rPr>
              <w:t>Enhanced H</w:t>
            </w:r>
            <w:r w:rsidRPr="008C36F5">
              <w:rPr>
                <w:rFonts w:ascii="Times New Roman" w:hAnsi="Times New Roman" w:cs="Times New Roman"/>
                <w:color w:val="000000" w:themeColor="text1"/>
                <w:sz w:val="20"/>
                <w:szCs w:val="20"/>
                <w:vertAlign w:val="subscript"/>
              </w:rPr>
              <w:t xml:space="preserve">2 </w:t>
            </w:r>
            <w:r w:rsidRPr="008C36F5">
              <w:rPr>
                <w:rFonts w:ascii="Times New Roman" w:hAnsi="Times New Roman" w:cs="Times New Roman"/>
                <w:color w:val="000000" w:themeColor="text1"/>
                <w:sz w:val="20"/>
                <w:szCs w:val="20"/>
              </w:rPr>
              <w:t>production from MEC is possible</w:t>
            </w:r>
          </w:p>
        </w:tc>
        <w:tc>
          <w:tcPr>
            <w:tcW w:w="28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74</w:t>
            </w:r>
          </w:p>
        </w:tc>
      </w:tr>
      <w:tr w:rsidR="00A147DF" w:rsidRPr="008C36F5" w:rsidTr="000F4925">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{"citationItems":[{"id":"ITEM-1","itemData":{"DOI":"10.1016/j.jpowsour.2011.01.012","ISSN":"03787753","abstract":"Electrode materials play an important role in the performance (e.g., power output) and cost of microbial fuel cells (MFCs), which use bacteria as the catalysts to oxidize organic (inorganic) matter and convert chemical energy into electricity. In this paper, the recent progress of anode/cathode materials and filling materials as three-dimensional electrodes for MFCs has been systematically reviewed, resulting in comprehensive insights into the characteristics, options, modifications, and evaluations of the electrode materials and their effects on different actual wastewater treatment. Some existing problems of electrode materials in current MFCs are summarized, and outlooks for future development are also suggested. © 2011 Elsevier B.V. All rights reserved.","author":[{"dropping-particle":"","family":"Zhou","given":"Minghua","non-dropping-particle":"","parse-names":false,"suffix":""},{"dropping-particle":"","family":"Chi","given":"Meiling","non-dropping-particle":"","parse-names":false,"suffix":""},{"dropping-particle":"","family":"Luo","given":"Jianmei","non-dropping-particle":"","parse-names":false,"suffix":""},{"dropping-particle":"","family":"He","given":"Huanhuan","non-dropping-particle":"","parse-names":false,"suffix":""},{"dropping-particle":"","family":"Jin","given":"Tao","non-dropping-particle":"","parse-names":false,"suffix":""}],"container-title":"Journal of Power Sources","id":"ITEM-1","issue":"10","issued":{"date-parts":[["2011"]]},"page":"4427-4435","publisher":"Elsevier B.V.","title":"An overview of electrode materials in microbial fuel cells","type":"article-journal","volume":"196"},"uris":["http://www.mendeley.com/documents/?uuid=3a385870-fdc3-4e46-9a69-07fe87360872"]}],"mendeley":{"formattedCitation":"(Zhou &lt;i&gt;et al.&lt;/i&gt;, 2011)","plainTextFormattedCitation":"(Zhou et al., 2011)","previouslyFormattedCitation":"(Zhou &lt;i&gt;et al.&lt;/i&gt;, 2011)"},"properties":{"noteIndex":0},"schema":"https://github.com/citation-style-language/schema/raw/master/csl-citation.json"}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(Zhou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2011)</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MFCs, anode/cathode materials</w:t>
            </w:r>
          </w:p>
        </w:tc>
        <w:tc>
          <w:tcPr>
            <w:tcW w:w="124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 xml:space="preserve">Use of Carbon nanotubes in MFCs, CV has been widely utilised to research the processes of electrode reactions </w:t>
            </w:r>
          </w:p>
        </w:tc>
        <w:tc>
          <w:tcPr>
            <w:tcW w:w="97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The latest development in anode/cathode &amp; filling materials in MECs</w:t>
            </w:r>
          </w:p>
        </w:tc>
        <w:tc>
          <w:tcPr>
            <w:tcW w:w="106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MFC's appears to be cost-effective, and viable with today's wastewater treatment systems</w:t>
            </w:r>
          </w:p>
        </w:tc>
        <w:tc>
          <w:tcPr>
            <w:tcW w:w="28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87</w:t>
            </w:r>
          </w:p>
        </w:tc>
      </w:tr>
      <w:tr w:rsidR="00A147DF" w:rsidRPr="008C36F5" w:rsidTr="000F49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lastRenderedPageBreak/>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{"citationItems":[{"id":"ITEM-1","itemData":{"DOI":"10.1002/jctb.4004","ISSN":"02682575","abstract":"Bioenergy is a renewable energy that plays an indispensable role in meeting today's ever increasing energy needs. Unlike biofuels, microbial fuel cells (MFCs) convert energy harvested from redox reactions directly into bioelectricity. MFCs can utilize low-grade organic carbons (fuels) in waste streams. The oxidation of the fuel molecules requires biofilm catalysis. In recent years, MFCs have also been used in the electrolysis mode to produce bioproducts in laboratory tests. MFCs research has intensified in the past decade and the maximum MFCs power density output has been increased greatly and many types of waste streams have been tested. However, new breakthroughs are needed for MFCs to be practical in wastewater treatment and power generation beyond powering small sensor devices. To reduce capital and operational costs, simple and robust membrane-less MFCs reactors are desired, but these reactors require highly efficient biofilms. Newly discovered conductive cell aggregates, improved electron transport through hyperpilation via mutation or genetic recombination and other advances in biofilm engineering present opportunities. This review is an update on the recent advances on MFCs designs and operations. © 2012 Society of Chemical Industry.","author":[{"dropping-particle":"","family":"Zhou","given":"Minghua","non-dropping-particle":"","parse-names":false,"suffix":""},{"dropping-particle":"","family":"Wang","given":"Hongyu","non-dropping-particle":"","parse-names":false,"suffix":""},{"dropping-particle":"","family":"Hassett","given":"Daniel J.","non-dropping-particle":"","parse-names":false,"suffix":""},{"dropping-particle":"","family":"Gu","given":"Tingyue","non-dropping-particle":"","parse-names":false,"suffix":""}],"container-title":"Journal of Chemical Technology and Biotechnology","id":"ITEM-1","issue":"4","issued":{"date-parts":[["2013"]]},"page":"508-518","title":"Recent advances in microbial fuel cells (MFCs) and microbial electrolysis cells (MECs) for wastewater treatment, bioenergy and bioproducts","type":"article-journal","volume":"88"},"uris":["http://www.mendeley.com/documents/?uuid=f7aaf2c3-4094-4713-81ab-40c4258e3e65"]}],"mendeley":{"formattedCitation":"(Zhou &lt;i&gt;et al.&lt;/i&gt;, 2013)","plainTextFormattedCitation":"(Zhou et al., 2013)","previouslyFormattedCitation":"(Zhou &lt;i&gt;et al.&lt;/i&gt;, 2013)"},"properties":{"noteIndex":0},"schema":"https://github.com/citation-style-language/schema/raw/master/csl-citation.json"}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(Zhou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2013)</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Different operating conditions MFC’s reactors</w:t>
            </w:r>
          </w:p>
        </w:tc>
        <w:tc>
          <w:tcPr>
            <w:tcW w:w="1245" w:type="pct"/>
            <w:shd w:val="clear" w:color="auto" w:fill="FFFFFF" w:themeFill="background1"/>
          </w:tcPr>
          <w:p w:rsidR="00A147DF" w:rsidRPr="008C36F5" w:rsidRDefault="001D61B4"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Direct e</w:t>
            </w:r>
            <w:r>
              <w:rPr>
                <w:rFonts w:ascii="Times New Roman" w:hAnsi="Times New Roman" w:cs="Times New Roman"/>
                <w:color w:val="000000" w:themeColor="text1"/>
                <w:sz w:val="20"/>
                <w:szCs w:val="20"/>
                <w:vertAlign w:val="superscript"/>
              </w:rPr>
              <w:t>-</w:t>
            </w:r>
            <w:r w:rsidR="00A147DF" w:rsidRPr="008C36F5">
              <w:rPr>
                <w:rFonts w:ascii="Times New Roman" w:hAnsi="Times New Roman" w:cs="Times New Roman"/>
                <w:color w:val="000000" w:themeColor="text1"/>
                <w:sz w:val="20"/>
                <w:szCs w:val="20"/>
              </w:rPr>
              <w:t xml:space="preserve"> t</w:t>
            </w:r>
            <w:r>
              <w:rPr>
                <w:rFonts w:ascii="Times New Roman" w:hAnsi="Times New Roman" w:cs="Times New Roman"/>
                <w:color w:val="000000" w:themeColor="text1"/>
                <w:sz w:val="20"/>
                <w:szCs w:val="20"/>
              </w:rPr>
              <w:t>ransfer and facilitated e</w:t>
            </w:r>
            <w:r>
              <w:rPr>
                <w:rFonts w:ascii="Times New Roman" w:hAnsi="Times New Roman" w:cs="Times New Roman"/>
                <w:color w:val="000000" w:themeColor="text1"/>
                <w:sz w:val="20"/>
                <w:szCs w:val="20"/>
                <w:vertAlign w:val="superscript"/>
              </w:rPr>
              <w:t>-</w:t>
            </w:r>
            <w:r w:rsidR="00A147DF" w:rsidRPr="008C36F5">
              <w:rPr>
                <w:rFonts w:ascii="Times New Roman" w:hAnsi="Times New Roman" w:cs="Times New Roman"/>
                <w:color w:val="000000" w:themeColor="text1"/>
                <w:sz w:val="20"/>
                <w:szCs w:val="20"/>
              </w:rPr>
              <w:t xml:space="preserve"> tr</w:t>
            </w:r>
            <w:r>
              <w:rPr>
                <w:rFonts w:ascii="Times New Roman" w:hAnsi="Times New Roman" w:cs="Times New Roman"/>
                <w:color w:val="000000" w:themeColor="text1"/>
                <w:sz w:val="20"/>
                <w:szCs w:val="20"/>
              </w:rPr>
              <w:t>ansfer are two types of e</w:t>
            </w:r>
            <w:r>
              <w:rPr>
                <w:rFonts w:ascii="Times New Roman" w:hAnsi="Times New Roman" w:cs="Times New Roman"/>
                <w:color w:val="000000" w:themeColor="text1"/>
                <w:sz w:val="20"/>
                <w:szCs w:val="20"/>
                <w:vertAlign w:val="superscript"/>
              </w:rPr>
              <w:t>-</w:t>
            </w:r>
            <w:r w:rsidR="00A147DF" w:rsidRPr="008C36F5">
              <w:rPr>
                <w:rFonts w:ascii="Times New Roman" w:hAnsi="Times New Roman" w:cs="Times New Roman"/>
                <w:color w:val="000000" w:themeColor="text1"/>
                <w:sz w:val="20"/>
                <w:szCs w:val="20"/>
              </w:rPr>
              <w:t xml:space="preserve"> transfer processes</w:t>
            </w:r>
            <w:r>
              <w:rPr>
                <w:rFonts w:ascii="Times New Roman" w:hAnsi="Times New Roman" w:cs="Times New Roman"/>
                <w:color w:val="000000" w:themeColor="text1"/>
                <w:sz w:val="20"/>
                <w:szCs w:val="20"/>
              </w:rPr>
              <w:t xml:space="preserve"> used to transmit e</w:t>
            </w:r>
            <w:r>
              <w:rPr>
                <w:rFonts w:ascii="Times New Roman" w:hAnsi="Times New Roman" w:cs="Times New Roman"/>
                <w:color w:val="000000" w:themeColor="text1"/>
                <w:sz w:val="20"/>
                <w:szCs w:val="20"/>
                <w:vertAlign w:val="superscript"/>
              </w:rPr>
              <w:t>-</w:t>
            </w:r>
            <w:r>
              <w:rPr>
                <w:rFonts w:ascii="Times New Roman" w:hAnsi="Times New Roman" w:cs="Times New Roman"/>
                <w:color w:val="000000" w:themeColor="text1"/>
                <w:sz w:val="20"/>
                <w:szCs w:val="20"/>
              </w:rPr>
              <w:t xml:space="preserve"> between microorganism</w:t>
            </w:r>
            <w:r w:rsidR="00A147DF" w:rsidRPr="008C36F5">
              <w:rPr>
                <w:rFonts w:ascii="Times New Roman" w:hAnsi="Times New Roman" w:cs="Times New Roman"/>
                <w:color w:val="000000" w:themeColor="text1"/>
                <w:sz w:val="20"/>
                <w:szCs w:val="20"/>
              </w:rPr>
              <w:t xml:space="preserve"> and electrodes.</w:t>
            </w:r>
          </w:p>
        </w:tc>
        <w:tc>
          <w:tcPr>
            <w:tcW w:w="97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A summary of recent developments in MFC design &amp; operations</w:t>
            </w:r>
          </w:p>
        </w:tc>
        <w:tc>
          <w:tcPr>
            <w:tcW w:w="106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Enhanced electron transport, lower costs</w:t>
            </w:r>
          </w:p>
        </w:tc>
        <w:tc>
          <w:tcPr>
            <w:tcW w:w="28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100</w:t>
            </w:r>
          </w:p>
        </w:tc>
      </w:tr>
      <w:tr w:rsidR="00A147DF" w:rsidRPr="008C36F5" w:rsidTr="000F4925">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{"citationItems":[{"id":"ITEM-1","itemData":{"DOI":"10.1128/AEM.00594-15","ISSN":"10985336","PMID":"25819972","abstract":"Microbial electrosynthesis (MES) systems with mixed cultures often generate a variety of gaseous and soluble chemicals. Methane is the primary end product in mixed-culture MES because it is the thermodynamically most favorable reduction product of CO&lt;inf&gt;2&lt;/inf&gt;. Here, we show that the peptaibol alamethicin selectively suppressed the growth of methanogens in mixed-culture MES systems, resulting in a shift of the solution and cathode communities to an acetate-producing system dominated by Sporomusa, a known acetogenic genus in MES systems. Archaea in the methane-producing control were dominated by Methanobrevibacter species, but no Archaea were detected in the alamethicin-treated reactors. No methane was detected in the mixed-culture reactors treated with alamethicin over 10 cycles (~3 days each). Instead, acetate was produced at an average rate of 115 nmol ml&lt;sup&gt;-1&lt;/sup&gt; day&lt;sup&gt;-1&lt;/sup&gt;, similar to the rate reported previously for pure cultures of Sporomusa ovata on biocathodes. Mixed-culture control reactors without alamethicin generated methane at nearly 100% coulombic recovery, and no acetate was detected. These results show that alamethicin is effective for the suppression of methanogen growth in MES systems and that its use enables the production of industrially relevant organic compounds by the inhibition of methanogenesis.","author":[{"dropping-particle":"","family":"Zhu","given":"Xiuping","non-dropping-particle":"","parse-names":false,"suffix":""},{"dropping-particle":"","family":"Siegert","given":"Michael","non-dropping-particle":"","parse-names":false,"suffix":""},{"dropping-particle":"","family":"Yates","given":"Matthew D.","non-dropping-particle":"","parse-names":false,"suffix":""},{"dropping-particle":"","family":"Logan","given":"Bruce E.","non-dropping-particle":"","parse-names":false,"suffix":""}],"container-title":"Applied and Environmental Microbiology","id":"ITEM-1","issue":"11","issued":{"date-parts":[["2015"]]},"page":"3863-3868","title":"Alamethicin suppresses methanogenesis and promotes acetogenesis in bioelectrochemical systems","type":"article-journal","volume":"81"},"uris":["http://www.mendeley.com/documents/?uuid=bcd60623-a3de-4750-b7d6-011bd8f33b5a"]}],"mendeley":{"formattedCitation":"(X. Zhu &lt;i&gt;et al.&lt;/i&gt;, 2015)","plainTextFormattedCitation":"(X. Zhu et al., 2015)","previouslyFormattedCitation":"(X. Zhu &lt;i&gt;et al.&lt;/i&gt;, 2015)"},"properties":{"noteIndex":0},"schema":"https://github.com/citation-style-language/schema/raw/master/csl-citation.json"}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(X. Zhu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2015)</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 xml:space="preserve">Microbial electrosynthesis  systems </w:t>
            </w:r>
          </w:p>
        </w:tc>
        <w:tc>
          <w:tcPr>
            <w:tcW w:w="124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Gas chromatography is used to analyse the data. Forward and reverse fusion primers that target the 16S rRNA gene were used to amplify extracted DNA for pyrosequencing.</w:t>
            </w:r>
          </w:p>
        </w:tc>
        <w:tc>
          <w:tcPr>
            <w:tcW w:w="97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To demonstrate that peptaibol alamethicin selectively inhibited methanogen growth.</w:t>
            </w:r>
          </w:p>
        </w:tc>
        <w:tc>
          <w:tcPr>
            <w:tcW w:w="106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In MES systems, alamethicin is capable of inhibiting methanogen proliferation</w:t>
            </w:r>
          </w:p>
        </w:tc>
        <w:tc>
          <w:tcPr>
            <w:tcW w:w="28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27</w:t>
            </w:r>
          </w:p>
        </w:tc>
      </w:tr>
      <w:tr w:rsidR="00A147DF" w:rsidRPr="008C36F5" w:rsidTr="000F49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{"citationItems":[{"id":"ITEM-1","itemData":{"DOI":"10.3390/cleantechnol3010010","abstract":"Billions of litres of wastewater are produced daily from domestic and industrial areas, and whilst wastewater is often perceived as a problem, it has the potential to be viewed as a rich source for resources and energy. Wastewater contains between four and five times more energy than is required to treat it, and is a potential source of bio-hydrogen—a clean energy vector, a feedstock chemical and a fuel, widely recognised to have a role in the decarbonisation of the future energy system. This paper investigates sustainable, low-energy intensive routes for hydrogen production from wastewater, critically analysing five technologies, namely photo-fermentation, dark fermentation, photocatalysis, microbial photo electrochemical processes and microbial electrolysis cells (MECs). The paper compares key parameters influencing H2 production yield, such as pH, temperature and reactor design, summarises the state of the art in each area, and highlights the scale-up technical challenges. In addition to H2 production, these processes can be used for partial wastewater remediation, providing at least 45% reduction in chemical oxygen demand (COD), and are suitable for integration into existing wastewater treatment plants. Key advancements in lab-based research are included, highlighting the potential for each technology to contribute to the development of clean energy. Whilst there have been efforts to scale dark fermentation, electro and photo chemical technologies are still at the early stages of development (Technology Readiness Levels below 4); therefore, pilot plants and demonstrators sited at wastewater treatment facilities are needed to assess commercial viability. As such, a multidisciplinary approach is needed to overcome the current barriers to implementation, integrating expertise in engineering, chemistry and microbiology with the commercial experience of both water and energy sectors. The review concludes by highlighting MECs as a promising technology, due to excellent system modularity, good hydrogen yield (3.6–7.9 L/L/d from synthetic wastewater) and the potential to remove up to 80% COD from influent streams.","author":[{"dropping-particle":"","family":"Islam","given":"A K M Khabirul","non-dropping-particle":"","parse-names":false,"suffix":""},{"dropping-particle":"","family":"Dunlop","given":"Patrick S. M.","non-dropping-particle":"","parse-names":false,"suffix":""},{"dropping-particle":"","family":"Hewitt","given":"Neil J.","non-dropping-particle":"","parse-names":false,"suffix":""},{"dropping-particle":"","family":"Lenihan","given":"Rose","non-dropping-particle":"","parse-names":false,"suffix":""},{"dropping-particle":"","family":"Brandoni","given":"Caterina","non-dropping-particle":"","parse-names":false,"suffix":""}],"container-title":"Clean Technologies","id":"ITEM-1","issue":"1","issued":{"date-parts":[["2021"]]},"page":"156-182","title":"Bio-Hydrogen Production from Wastewater: A Comparative Study of Low Energy Intensive Production Processes","type":"article-journal","volume":"3"},"uris":["http://www.mendeley.com/documents/?uuid=0510ff56-f4bb-4b1f-9fd2-ff9175de7d58"]}],"mendeley":{"formattedCitation":"(Islam &lt;i&gt;et al.&lt;/i&gt;, 2021)","plainTextFormattedCitation":"(Islam et al., 2021)","previouslyFormattedCitation":"(Islam &lt;i&gt;et al.&lt;/i&gt;, 2021)"},"properties":{"noteIndex":0},"schema":"https://github.com/citation-style-language/schema/raw/master/csl-citation.json"}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(Islam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2021)</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Wastewater and study of advanced research activities</w:t>
            </w:r>
          </w:p>
        </w:tc>
        <w:tc>
          <w:tcPr>
            <w:tcW w:w="124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 xml:space="preserve">Photocatalysis, microbial </w:t>
            </w:r>
            <w:r w:rsidR="006C02E6" w:rsidRPr="008C36F5">
              <w:rPr>
                <w:rFonts w:ascii="Times New Roman" w:hAnsi="Times New Roman" w:cs="Times New Roman"/>
                <w:color w:val="000000" w:themeColor="text1"/>
                <w:sz w:val="20"/>
                <w:szCs w:val="20"/>
              </w:rPr>
              <w:t>photo electrochemical</w:t>
            </w:r>
            <w:r w:rsidRPr="008C36F5">
              <w:rPr>
                <w:rFonts w:ascii="Times New Roman" w:hAnsi="Times New Roman" w:cs="Times New Roman"/>
                <w:color w:val="000000" w:themeColor="text1"/>
                <w:sz w:val="20"/>
                <w:szCs w:val="20"/>
              </w:rPr>
              <w:t xml:space="preserve"> processes, and MECs are all examples of photo and dark fermentation.</w:t>
            </w:r>
          </w:p>
        </w:tc>
        <w:tc>
          <w:tcPr>
            <w:tcW w:w="97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This research looks into ways to make hydrogen from wastewater that are both sustainable and low-energy intensive.</w:t>
            </w:r>
          </w:p>
        </w:tc>
        <w:tc>
          <w:tcPr>
            <w:tcW w:w="106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It reveals that waste H</w:t>
            </w:r>
            <w:r w:rsidRPr="008C36F5">
              <w:rPr>
                <w:rFonts w:ascii="Times New Roman" w:hAnsi="Times New Roman" w:cs="Times New Roman"/>
                <w:color w:val="000000" w:themeColor="text1"/>
                <w:sz w:val="20"/>
                <w:szCs w:val="20"/>
                <w:vertAlign w:val="subscript"/>
              </w:rPr>
              <w:t>2</w:t>
            </w:r>
            <w:r w:rsidRPr="008C36F5">
              <w:rPr>
                <w:rFonts w:ascii="Times New Roman" w:hAnsi="Times New Roman" w:cs="Times New Roman"/>
                <w:color w:val="000000" w:themeColor="text1"/>
                <w:sz w:val="20"/>
                <w:szCs w:val="20"/>
              </w:rPr>
              <w:t>O can be a valuable biohydrogen source.</w:t>
            </w:r>
          </w:p>
        </w:tc>
        <w:tc>
          <w:tcPr>
            <w:tcW w:w="28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133</w:t>
            </w:r>
          </w:p>
        </w:tc>
      </w:tr>
      <w:tr w:rsidR="00A147DF" w:rsidRPr="008C36F5" w:rsidTr="000F4925">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{"citationItems":[{"id":"ITEM-1","itemData":{"DOI":"10.1016/j.biteb.2019.100287","ISSN":"2589014X","abstract":"Biohydrogen production from industrial wastewater has been a focus of interest in recent years. The in depth knowledge in lab scale parameters and emerging strategies are needed to be investigated in order to implement the biohydrogen production process at large scale. The operating parameters have great influence on biohydrogen productivity. With the aim to gain major insight into biohydrogen production process, this review summarizes recent updates on dark fermentation, inoculum pretreatment methods, operating parameters (hydraulic retention time, organic loading rate, pH, temperature, volatile fatty acids, bioreactor configuration, nutrient availability, partial pressure etc.). The challenges and limitations associated with the biohydrogen production are lack of biohydrogen producers, biomass washout and accumulation of metabolites are discussed in detail. The advancement strategies to overcome these limitations are also briefly discussed.","author":[{"dropping-particle":"","family":"Preethi","given":"","non-dropping-particle":"","parse-names":false,"suffix":""},{"dropping-particle":"","family":"Usman","given":"T. M.Mohamed","non-dropping-particle":"","parse-names":false,"suffix":""},{"dropping-particle":"","family":"Rajesh Banu","given":"J.","non-dropping-particle":"","parse-names":false,"suffix":""},{"dropping-particle":"","family":"Gunasekaran","given":"M.","non-dropping-particle":"","parse-names":false,"suffix":""},{"dropping-particle":"","family":"Kumar","given":"Gopalakrishnan","non-dropping-particle":"","parse-names":false,"suffix":""}],"container-title":"Bioresource Technology Reports","id":"ITEM-1","issue":"April","issued":{"date-parts":[["2019"]]},"page":"100287","publisher":"Elsevier","title":"Biohydrogen production from industrial wastewater: An overview","type":"article-journal","volume":"7"},"uris":["http://www.mendeley.com/documents/?uuid=a7b644b5-3ee1-492a-b30c-1fb7e758b197"]}],"mendeley":{"formattedCitation":"(Preethi &lt;i&gt;et al.&lt;/i&gt;, 2019)","plainTextFormattedCitation":"(Preethi et al., 2019)","previouslyFormattedCitation":"(Preethi &lt;i&gt;et al.&lt;/i&gt;, 2019)"},"properties":{"noteIndex":0},"schema":"https://github.com/citation-style-language/schema/raw/master/csl-citation.json"}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(Preethi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2019)</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Organic &amp; Industrial wastewater</w:t>
            </w:r>
          </w:p>
        </w:tc>
        <w:tc>
          <w:tcPr>
            <w:tcW w:w="124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Dark fermentation and inoculum pretreatment procedures have been used in research.</w:t>
            </w:r>
          </w:p>
        </w:tc>
        <w:tc>
          <w:tcPr>
            <w:tcW w:w="97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To obtain a better understanding of the biohydrogen manufacturing method</w:t>
            </w:r>
          </w:p>
        </w:tc>
        <w:tc>
          <w:tcPr>
            <w:tcW w:w="106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To upgrade output while maintaining economic viability, operating conditions must be optimised.</w:t>
            </w:r>
          </w:p>
        </w:tc>
        <w:tc>
          <w:tcPr>
            <w:tcW w:w="28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160</w:t>
            </w:r>
          </w:p>
        </w:tc>
      </w:tr>
      <w:tr w:rsidR="00A147DF" w:rsidRPr="008C36F5" w:rsidTr="000F49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{"citationItems":[{"id":"ITEM-1","itemData":{"DOI":"10.1038/s42003-020-01159-x","ISSN":"23993642","PMID":"32796915","abstract":"Dark fermentative biohydrogen (H2) production could become a key technology for providing renewable energy. Until now, the H2 yield is restricted to 4 moles of H2 per mole of glucose, referred to as the “Thauer limit”. Here we show, that precision design of artificial microbial consortia increased the H2 yield to 5.6 mol mol−1 glucose, 40% higher than the Thauer limit. In addition, the volumetric H2 production rates of our defined artificial consortia are superior compared to any mono-, co- or multi-culture system reported to date. We hope this study to be a major leap forward in the engineering of artificial microbial consortia through precision design and provide a breakthrough in energy science, biotechnology and ecology. Constructing artificial consortia with this drawing-board approach could in future increase volumetric production rates and yields of other bioprocesses. Our artificial consortia engineering blueprint might pave the way for the development of a H2 production bioindustry.","author":[{"dropping-particle":"","family":"Ergal","given":"İpek","non-dropping-particle":"","parse-names":false,"suffix":""},{"dropping-particle":"","family":"Gräf","given":"Oliver","non-dropping-particle":"","parse-names":false,"suffix":""},{"dropping-particle":"","family":"Hasibar","given":"Benedikt","non-dropping-particle":"","parse-names":false,"suffix":""},{"dropping-particle":"","family":"Steiner","given":"Michael","non-dropping-particle":"","parse-names":false,"suffix":""},{"dropping-particle":"","family":"Vukotić","given":"Sonja","non-dropping-particle":"","parse-names":false,"suffix":""},{"dropping-particle":"","family":"Bochmann","given":"Günther","non-dropping-particle":"","parse-names":false,"suffix":""},{"dropping-particle":"","family":"Fuchs","given":"Werner","non-dropping-particle":"","parse-names":false,"suffix":""},{"dropping-particle":"","family":"Rittmann","given":"Simon K.M.R.","non-dropping-particle":"","parse-names":false,"suffix":""}],"container-title":"Communications Biology","id":"ITEM-1","issue":"1","issued":{"date-parts":[["2020"]]},"page":"1-12","title":"Biohydrogen production beyond the Thauer limit by precision design of artificial microbial consortia","type":"article-journal","volume":"3"},"uris":["http://www.mendeley.com/documents/?uuid=00831ca3-363d-4599-a33a-7b3868215e8c"]}],"mendeley":{"formattedCitation":"(Ergal &lt;i&gt;et al.&lt;/i&gt;, 2020)","plainTextFormattedCitation":"(Ergal et al., 2020)","previouslyFormattedCitation":"(Ergal &lt;i&gt;et al.&lt;/i&gt;, 2020)"},"properties":{"noteIndex":0},"schema":"https://github.com/citation-style-language/schema/raw/master/csl-citation.json"}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(Ergal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2020)</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Dark fermentative biohydrogen</w:t>
            </w:r>
          </w:p>
        </w:tc>
        <w:tc>
          <w:tcPr>
            <w:tcW w:w="1245" w:type="pct"/>
            <w:shd w:val="clear" w:color="auto" w:fill="FFFFFF" w:themeFill="background1"/>
          </w:tcPr>
          <w:p w:rsidR="00A147DF" w:rsidRPr="008C36F5" w:rsidRDefault="001D61B4"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Mono-culture experiments &amp; a</w:t>
            </w:r>
            <w:r w:rsidR="00A147DF" w:rsidRPr="008C36F5">
              <w:rPr>
                <w:rFonts w:ascii="Times New Roman" w:hAnsi="Times New Roman" w:cs="Times New Roman"/>
                <w:color w:val="000000" w:themeColor="text1"/>
                <w:sz w:val="20"/>
                <w:szCs w:val="20"/>
              </w:rPr>
              <w:t>ll tests were conducted with E. aerogenes DSM 30053 and C. acetobutylicum DSM 792.</w:t>
            </w:r>
          </w:p>
        </w:tc>
        <w:tc>
          <w:tcPr>
            <w:tcW w:w="97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 xml:space="preserve">Precisely engineered consortium </w:t>
            </w:r>
          </w:p>
        </w:tc>
        <w:tc>
          <w:tcPr>
            <w:tcW w:w="106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The H</w:t>
            </w:r>
            <w:r w:rsidRPr="008C36F5">
              <w:rPr>
                <w:rFonts w:ascii="Times New Roman" w:hAnsi="Times New Roman" w:cs="Times New Roman"/>
                <w:color w:val="000000" w:themeColor="text1"/>
                <w:sz w:val="20"/>
                <w:szCs w:val="20"/>
                <w:vertAlign w:val="subscript"/>
              </w:rPr>
              <w:t xml:space="preserve">2 </w:t>
            </w:r>
            <w:r w:rsidRPr="008C36F5">
              <w:rPr>
                <w:rFonts w:ascii="Times New Roman" w:hAnsi="Times New Roman" w:cs="Times New Roman"/>
                <w:color w:val="000000" w:themeColor="text1"/>
                <w:sz w:val="20"/>
                <w:szCs w:val="20"/>
              </w:rPr>
              <w:t>yield was boosted due to the precise design of artificial microbial consortia.</w:t>
            </w:r>
          </w:p>
        </w:tc>
        <w:tc>
          <w:tcPr>
            <w:tcW w:w="28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79</w:t>
            </w:r>
          </w:p>
        </w:tc>
      </w:tr>
      <w:tr w:rsidR="00A147DF" w:rsidRPr="008C36F5" w:rsidTr="000F4925">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{"citationItems":[{"id":"ITEM-1","itemData":{"DOI":"10.1038/s41467-020-19823-5","ISSN":"20411723","PMID":"33239636","abstract":"The spontaneous self-assembly of multicellular ensembles into living materials with synergistic structure and function remains a considerable challenge in biotechnology and synthetic biology. Here, we exploit the aqueous two-phase separation of dextran-in-PEG emulsion micro-droplets for the capture, spatial organization and immobilization of algal cells or algal/bacterial cell communities to produce discrete multicellular spheroids capable of both aerobic (oxygen producing) and hypoxic (hydrogen producing) photosynthesis in daylight under air. We show that localized oxygen depletion results in hydrogen production from the core of the algal microscale reactor, and demonstrate that enhanced levels of hydrogen evolution can be achieved synergistically by spontaneously enclosing the photosynthetic cells within a shell of bacterial cells undergoing aerobic respiration. Our results highlight a promising droplet-based environmentally benign approach to dispersible photosynthetic microbial micro-reactors comprising segregated cellular micro-niches with dual functionality, and provide a step towards photobiological hydrogen production under aerobic conditions.","author":[{"dropping-particle":"","family":"Xu","given":"Zhijun","non-dropping-particle":"","parse-names":false,"suffix":""},{"dropping-particle":"","family":"Wang","given":"Shengliang","non-dropping-particle":"","parse-names":false,"suffix":""},{"dropping-particle":"","family":"Zhao","given":"Chunyu","non-dropping-particle":"","parse-names":false,"suffix":""},{"dropping-particle":"","family":"Li","given":"Shangsong","non-dropping-particle":"","parse-names":false,"suffix":""},{"dropping-particle":"","family":"Liu","given":"Xiaoman","non-dropping-particle":"","parse-names":false,"suffix":""},{"dropping-particle":"","family":"Wang","given":"Lei","non-dropping-particle":"","parse-names":false,"suffix":""},{"dropping-particle":"","family":"Li","given":"Mei","non-dropping-particle":"","parse-names":false,"suffix":""},{"dropping-particle":"","family":"Huang","given":"Xin","non-dropping-particle":"","parse-names":false,"suffix":""},{"dropping-particle":"","family":"Mann","given":"Stephen","non-dropping-particle":"","parse-names":false,"suffix":""}],"container-title":"Nature Communications","id":"ITEM-1","issue":"1","issued":{"date-parts":[["2020"]]},"page":"1-10","publisher":"Springer US","title":"Photosynthetic hydrogen production by droplet-based microbial micro-reactors under aerobic conditions","type":"article-journal","volume":"11"},"uris":["http://www.mendeley.com/documents/?uuid=e2929ccf-1238-4ca3-9c35-ba48285f5121"]}],"mendeley":{"formattedCitation":"(Xu &lt;i&gt;et al.&lt;/i&gt;, 2020)","plainTextFormattedCitation":"(Xu et al., 2020)","previouslyFormattedCitation":"(Xu &lt;i&gt;et al.&lt;/i&gt;, 2020)"},"properties":{"noteIndex":0},"schema":"https://github.com/citation-style-language/schema/raw/master/csl-citation.json"}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 xml:space="preserve">(Xu </w:t>
            </w:r>
            <w:r w:rsidR="00A147DF" w:rsidRPr="008C36F5">
              <w:rPr>
                <w:rFonts w:ascii="Times New Roman" w:hAnsi="Times New Roman" w:cs="Times New Roman"/>
                <w:b w:val="0"/>
                <w:i/>
                <w:noProof/>
                <w:color w:val="000000" w:themeColor="text1"/>
                <w:sz w:val="20"/>
                <w:szCs w:val="20"/>
              </w:rPr>
              <w:t>et al.</w:t>
            </w:r>
            <w:r w:rsidR="00A147DF" w:rsidRPr="008C36F5">
              <w:rPr>
                <w:rFonts w:ascii="Times New Roman" w:hAnsi="Times New Roman" w:cs="Times New Roman"/>
                <w:b w:val="0"/>
                <w:noProof/>
                <w:color w:val="000000" w:themeColor="text1"/>
                <w:sz w:val="20"/>
                <w:szCs w:val="20"/>
              </w:rPr>
              <w:t>, 2020)</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 xml:space="preserve">Chlorella algal cells, dextranin-PEG emulsion </w:t>
            </w:r>
          </w:p>
        </w:tc>
        <w:tc>
          <w:tcPr>
            <w:tcW w:w="124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Aerobic photosynthesis, experimental work</w:t>
            </w:r>
          </w:p>
        </w:tc>
        <w:tc>
          <w:tcPr>
            <w:tcW w:w="97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To show that an increased level of H</w:t>
            </w:r>
            <w:r w:rsidRPr="008C36F5">
              <w:rPr>
                <w:rFonts w:ascii="Times New Roman" w:hAnsi="Times New Roman" w:cs="Times New Roman"/>
                <w:color w:val="000000" w:themeColor="text1"/>
                <w:sz w:val="20"/>
                <w:szCs w:val="20"/>
                <w:vertAlign w:val="subscript"/>
              </w:rPr>
              <w:t>2</w:t>
            </w:r>
            <w:r w:rsidRPr="008C36F5">
              <w:rPr>
                <w:rFonts w:ascii="Times New Roman" w:hAnsi="Times New Roman" w:cs="Times New Roman"/>
                <w:color w:val="000000" w:themeColor="text1"/>
                <w:sz w:val="20"/>
                <w:szCs w:val="20"/>
              </w:rPr>
              <w:t xml:space="preserve"> production is possible</w:t>
            </w:r>
          </w:p>
        </w:tc>
        <w:tc>
          <w:tcPr>
            <w:tcW w:w="106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Showcase an environmentally friendly droplet-based approach to dispersible photosynthetic microbial micro reactors</w:t>
            </w:r>
          </w:p>
        </w:tc>
        <w:tc>
          <w:tcPr>
            <w:tcW w:w="28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33</w:t>
            </w:r>
          </w:p>
        </w:tc>
      </w:tr>
      <w:tr w:rsidR="00A147DF" w:rsidRPr="008C36F5" w:rsidTr="000F49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{"citationItems":[{"id":"ITEM-1","itemData":{"DOI":"10.1016/B978-0-08-100455-5.00011-4","ISBN":"9780081004562","abstract":"Hydrogen gas is an attractive alternative sustainable energy due to its high energy density and zero greenhouse gas emission after combustion. Biological production of hydrogen by bacteria or algae operates under mild conditions and does not rely on fossil fuels or electricity. This chapter focuses on discussing the principles of hydrogen production by biological processes, including dark fermentation, biophotolysis by both algae and cyanobacteria, photofermentation, microbial electrolysis cell (MEC), cell-free enzymatic systems, as well as metabolic engineering strategies to improve hydrogen production. Additionally, the authors compare the available techniques using the most representative production indicators such as rate and efficiency. Due to the vast heterogeneity in resources available around the world, there is no absolute judgment on which technique is superior to another. The most appropriate technique should always be chosen based on whether it fits the local circumstances.","author":[{"dropping-particle":"","family":"Ding","given":"C.","non-dropping-particle":"","parse-names":false,"suffix":""},{"dropping-particle":"","family":"Yang","given":"K. L.","non-dropping-particle":"","parse-names":false,"suffix":""},{"dropping-particle":"","family":"He","given":"J.","non-dropping-particle":"","parse-names":false,"suffix":""}],"container-title":"Handbook of Biofuels Production: Processes and Technologies: Second Edition","id":"ITEM-1","issued":{"date-parts":[["2016"]]},"number-of-pages":"303-333","title":"Biological and fermentative production of hydrogen","type":"book"},"uris":["http://www.mendeley.com/documents/?uuid=d54bac53-b079-4fdb-932d-5f67cc77320e"]}],"mendeley":{"formattedCitation":"(Ding, Yang and He, 2016)","plainTextFormattedCitation":"(Ding, Yang and He, 2016)","previouslyFormattedCitation":"(Ding, Yang and He, 2016)"},"properties":{"noteIndex":0},"schema":"https://github.com/citation-style-language/schema/raw/master/csl-citation.json"}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(Ding, Yang and He, 2016)</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MEC and Cell-free enzymatic systems</w:t>
            </w:r>
          </w:p>
        </w:tc>
        <w:tc>
          <w:tcPr>
            <w:tcW w:w="1245"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Photo fermentation, Metabolic engineering, cell-free enzymatic systems and MEC.</w:t>
            </w:r>
          </w:p>
        </w:tc>
        <w:tc>
          <w:tcPr>
            <w:tcW w:w="97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Hydrogen is viable, long-term energy source</w:t>
            </w:r>
          </w:p>
        </w:tc>
        <w:tc>
          <w:tcPr>
            <w:tcW w:w="106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Renewable energy sources can be used to power MEC.</w:t>
            </w:r>
          </w:p>
        </w:tc>
        <w:tc>
          <w:tcPr>
            <w:tcW w:w="283"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161</w:t>
            </w:r>
          </w:p>
        </w:tc>
      </w:tr>
      <w:tr w:rsidR="00A147DF" w:rsidRPr="008C36F5" w:rsidTr="000F4925">
        <w:tc>
          <w:tcPr>
            <w:cnfStyle w:val="001000000000" w:firstRow="0" w:lastRow="0" w:firstColumn="1" w:lastColumn="0" w:oddVBand="0" w:evenVBand="0" w:oddHBand="0" w:evenHBand="0" w:firstRowFirstColumn="0" w:firstRowLastColumn="0" w:lastRowFirstColumn="0" w:lastRowLastColumn="0"/>
            <w:tcW w:w="618" w:type="pct"/>
            <w:shd w:val="clear" w:color="auto" w:fill="FFFFFF" w:themeFill="background1"/>
          </w:tcPr>
          <w:p w:rsidR="00A147DF" w:rsidRPr="008C36F5" w:rsidRDefault="0063134A" w:rsidP="008C36F5">
            <w:pPr>
              <w:spacing w:after="100"/>
              <w:rPr>
                <w:rFonts w:ascii="Times New Roman" w:hAnsi="Times New Roman" w:cs="Times New Roman"/>
                <w:b w:val="0"/>
                <w:color w:val="000000" w:themeColor="text1"/>
                <w:sz w:val="20"/>
                <w:szCs w:val="20"/>
              </w:rPr>
            </w:pPr>
            <w:r w:rsidRPr="008C36F5">
              <w:rPr>
                <w:rFonts w:ascii="Times New Roman" w:hAnsi="Times New Roman" w:cs="Times New Roman"/>
                <w:color w:val="000000" w:themeColor="text1"/>
                <w:sz w:val="20"/>
                <w:szCs w:val="20"/>
              </w:rPr>
              <w:fldChar w:fldCharType="begin" w:fldLock="1"/>
            </w:r>
            <w:r w:rsidR="00A147DF" w:rsidRPr="008C36F5">
              <w:rPr>
                <w:rFonts w:ascii="Times New Roman" w:hAnsi="Times New Roman" w:cs="Times New Roman"/>
                <w:b w:val="0"/>
                <w:color w:val="000000" w:themeColor="text1"/>
                <w:sz w:val="20"/>
                <w:szCs w:val="20"/>
              </w:rPr>
              <w:instrText>ADDIN CSL_CITATION {"citationItems":[{"id":"ITEM-1","itemData":{"DOI":"10.1039/c3cs60227c","ISSN":"03060012","abstract":"Presently there is a glut of glycerol as the by-product of biofuel production and it will grow as production increases. The conundrum is how we can consume this material and convert it into a more useful product. One potential route is to reform glycerol to hydrogen rich gas including synthesis gas (CO + H2) and hydrogen. However, there is recent literature on various reforming techniques which may have a bearing on the efficiency of such a process. Hence in this review reforming of glycerol at room temperature (normally photo-catalytic), catalysis at moderate and high temperature and a non-catalytic pyrolysis process are presented. The high temperature processes allow the generation of synthesis gas with the hydrogen to carbon monoxide ratios being suitable for synthesis of dimethyl ether, methanol and for the Fischer-Tropsch process using established catalysts. Efficient conversion of synthesis gas to hydrogen involves additional catalysts that assist the water gas shift reaction, or involves in situ capture of carbon dioxide and hydrogen. Reforming at reduced temperatures including photo-reforming offers the opportunity of producing synthesis gas or hydrogen using single catalysts. Together, these processes will assist in overcoming the worldwide glut of glycerol, increasing the competitiveness of the biofuel production and reducing our dependency on the fossil based, hydrogen rich gas.","author":[{"dropping-particle":"","family":"Tran","given":"Nguyen H.","non-dropping-particle":"","parse-names":false,"suffix":""},{"dropping-particle":"","family":"Kannangara","given":"G. S.Kamali","non-dropping-particle":"","parse-names":false,"suffix":""}],"container-title":"The Royal Society of Chemistry","id":"ITEM-1","issue":"24","issued":{"date-parts":[["2013"]]},"page":"9454-9479","title":"Conversion of glycerol to hydrogen rich gas","type":"article-journal","volume":"42"},"uris":["http://www.mendeley.com/documents/?uuid=955f37b6-c146-47e0-b7f3-378e25fd220c"]}],"mendeley":{"formattedCitation":"(Tran and Kannangara, 2013)","plainTextFormattedCitation":"(Tran and Kannangara, 2013)","previouslyFormattedCitation":"(Tran and Kannangara, 2013)"},"properties":{"noteIndex":0},"schema":"https://github.com/citation-style-language/schema/raw/master/csl-citation.json"}</w:instrText>
            </w:r>
            <w:r w:rsidRPr="008C36F5">
              <w:rPr>
                <w:rFonts w:ascii="Times New Roman" w:hAnsi="Times New Roman" w:cs="Times New Roman"/>
                <w:color w:val="000000" w:themeColor="text1"/>
                <w:sz w:val="20"/>
                <w:szCs w:val="20"/>
              </w:rPr>
              <w:fldChar w:fldCharType="separate"/>
            </w:r>
            <w:r w:rsidR="00A147DF" w:rsidRPr="008C36F5">
              <w:rPr>
                <w:rFonts w:ascii="Times New Roman" w:hAnsi="Times New Roman" w:cs="Times New Roman"/>
                <w:b w:val="0"/>
                <w:noProof/>
                <w:color w:val="000000" w:themeColor="text1"/>
                <w:sz w:val="20"/>
                <w:szCs w:val="20"/>
              </w:rPr>
              <w:t>(Tran and Kannangara, 2013)</w:t>
            </w:r>
            <w:r w:rsidRPr="008C36F5">
              <w:rPr>
                <w:rFonts w:ascii="Times New Roman" w:hAnsi="Times New Roman" w:cs="Times New Roman"/>
                <w:color w:val="000000" w:themeColor="text1"/>
                <w:sz w:val="20"/>
                <w:szCs w:val="20"/>
              </w:rPr>
              <w:fldChar w:fldCharType="end"/>
            </w:r>
          </w:p>
        </w:tc>
        <w:tc>
          <w:tcPr>
            <w:tcW w:w="820"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Glycerol</w:t>
            </w:r>
          </w:p>
        </w:tc>
        <w:tc>
          <w:tcPr>
            <w:tcW w:w="1245"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Catalysis at moderate and high temperatures, as well as a pyrolysis process that isn't catalytic</w:t>
            </w:r>
          </w:p>
        </w:tc>
        <w:tc>
          <w:tcPr>
            <w:tcW w:w="97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Biofuels production will become more competitive, and we will be less reliant on fossil-based hydrogen-rich gas.</w:t>
            </w:r>
          </w:p>
        </w:tc>
        <w:tc>
          <w:tcPr>
            <w:tcW w:w="106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Reforming efficiency was improved, and the presence of valuable catalytic components was reduced, although this was not completely assessed.</w:t>
            </w:r>
          </w:p>
        </w:tc>
        <w:tc>
          <w:tcPr>
            <w:tcW w:w="283"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C36F5">
              <w:rPr>
                <w:rFonts w:ascii="Times New Roman" w:hAnsi="Times New Roman" w:cs="Times New Roman"/>
                <w:color w:val="000000" w:themeColor="text1"/>
                <w:sz w:val="20"/>
                <w:szCs w:val="20"/>
              </w:rPr>
              <w:t>166</w:t>
            </w:r>
          </w:p>
        </w:tc>
      </w:tr>
    </w:tbl>
    <w:p w:rsidR="00A147DF" w:rsidRPr="008C36F5" w:rsidRDefault="00A147DF" w:rsidP="008C36F5">
      <w:pPr>
        <w:spacing w:line="240" w:lineRule="auto"/>
        <w:rPr>
          <w:rFonts w:ascii="Times New Roman" w:hAnsi="Times New Roman" w:cs="Times New Roman"/>
          <w:b/>
          <w:sz w:val="20"/>
          <w:szCs w:val="20"/>
        </w:rPr>
        <w:sectPr w:rsidR="00A147DF" w:rsidRPr="008C36F5" w:rsidSect="00706571">
          <w:type w:val="continuous"/>
          <w:pgSz w:w="12240" w:h="15840"/>
          <w:pgMar w:top="1440" w:right="1440" w:bottom="1440" w:left="1440" w:header="0" w:footer="0" w:gutter="0"/>
          <w:lnNumType w:countBy="1" w:restart="continuous"/>
          <w:cols w:space="720"/>
          <w:docGrid w:linePitch="360"/>
        </w:sectPr>
      </w:pPr>
    </w:p>
    <w:p w:rsidR="00A147DF" w:rsidRPr="008C36F5" w:rsidRDefault="00A147DF" w:rsidP="008C36F5">
      <w:pPr>
        <w:spacing w:line="240" w:lineRule="auto"/>
        <w:rPr>
          <w:rFonts w:ascii="Times New Roman" w:hAnsi="Times New Roman" w:cs="Times New Roman"/>
          <w:sz w:val="20"/>
          <w:szCs w:val="20"/>
        </w:rPr>
      </w:pPr>
      <w:r w:rsidRPr="00ED4D97">
        <w:rPr>
          <w:rFonts w:ascii="Times New Roman" w:hAnsi="Times New Roman" w:cs="Times New Roman"/>
          <w:b/>
          <w:szCs w:val="20"/>
        </w:rPr>
        <w:t>Comment:</w:t>
      </w:r>
      <w:r w:rsidRPr="008C36F5">
        <w:rPr>
          <w:rFonts w:ascii="Times New Roman" w:hAnsi="Times New Roman" w:cs="Times New Roman"/>
          <w:sz w:val="20"/>
          <w:szCs w:val="20"/>
        </w:rPr>
        <w:t xml:space="preserve"> It's tough to stop MEC from producing methane, and additional study is needed. The quantity of CO in an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rich gas may be controlled by modifying catalysts or support materials with nanoscale variation and more study is needed. The MECs emphasize the use of chemical methanogenic inhibitors, and on the enzymatic mechanisms that support them. The non-catalytic pyrolysis procedure was used to analyse glycerol and create hydrogen. MEC can convert organic resources into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via microbial electrocatalysis, making it an intriguing choice for energy-efficient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generation and wastewater treatment. </w:t>
      </w:r>
      <w:r w:rsidRPr="008C36F5">
        <w:rPr>
          <w:rFonts w:ascii="Times New Roman" w:hAnsi="Times New Roman" w:cs="Times New Roman"/>
          <w:sz w:val="20"/>
          <w:szCs w:val="20"/>
          <w:lang w:val="en-IN"/>
        </w:rPr>
        <w:t xml:space="preserve">The high cost of electrode materials is a key stumbling </w:t>
      </w:r>
      <w:r w:rsidRPr="008C36F5">
        <w:rPr>
          <w:rFonts w:ascii="Times New Roman" w:hAnsi="Times New Roman" w:cs="Times New Roman"/>
          <w:sz w:val="20"/>
          <w:szCs w:val="20"/>
          <w:lang w:val="en-IN"/>
        </w:rPr>
        <w:lastRenderedPageBreak/>
        <w:t>hurdle to MECs' widespread adoption, as platinum has long been thought to be the ideal catalyst for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production. The main challenge of MEC technology is to enhance hydrogen production while lowering energy consumption. This technology when compared to direct water electrolysis, the cost of electric energy for hydrogen synthesis is considerably reduced. Using MFCs for wastewater treatment can save a lot of energy. Aside from biohydrogen, recent advances in MFC research have revealed that MFCs in the form of MECs may be utilised to create biomaterials. Dark fermentative biohydrogen synthesis has the potential to be a key technique for generating long-term energy. MECs appear to be a viable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source.</w:t>
      </w:r>
    </w:p>
    <w:p w:rsidR="00A147DF" w:rsidRPr="00777BE6" w:rsidRDefault="00A147DF" w:rsidP="008C36F5">
      <w:pPr>
        <w:spacing w:line="240" w:lineRule="auto"/>
        <w:rPr>
          <w:rFonts w:ascii="Times New Roman" w:hAnsi="Times New Roman" w:cs="Times New Roman"/>
          <w:b/>
          <w:szCs w:val="20"/>
        </w:rPr>
      </w:pPr>
      <w:r w:rsidRPr="00777BE6">
        <w:rPr>
          <w:rFonts w:ascii="Times New Roman" w:hAnsi="Times New Roman" w:cs="Times New Roman"/>
          <w:b/>
          <w:szCs w:val="20"/>
        </w:rPr>
        <w:t xml:space="preserve">8. Generation of Oxyhydrogen Gas (HHO)/Hydrogen Gas Using Magnetic Field and Pulse Potential: </w:t>
      </w:r>
    </w:p>
    <w:p w:rsidR="00A147DF" w:rsidRPr="008C36F5" w:rsidRDefault="00A147DF" w:rsidP="00777BE6">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 xml:space="preserve">Hourng et.al worked on the impact of magnetic field and pulse potential on water electrolysis hydrogen generation.  Nickel electrodes were used. The purpose was to accelerate the speed of gas discharge from the electrode surface. The greater the potential difference, the higher the instantaneous current density, which speeds up gas discharge from the electrode surface while reducing polarisation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{"citationItems":[{"id":"ITEM-1","itemData":{"DOI":"10.1002/er","ISBN":"1099-114X","ISSN":"12310956","PMID":"19566191","abstract":"This paper presents the experimental as well as the simulated performance studies on the transcritical CO2 heat pumps for simultaneous water cooling and heating; effects of water mass flow rates and water inlet temperatures of both evaporator and gas cooler on the cooling and heating capacities, system COP and water outlets temperatures are investigated. Study shows that both the water mass flow rate and inlet temperature have significant effect on system performances. Test results show that the effect of evaporator water mass flow rate on the system performances and water outlet temperatures is more pronounced (COP increases 0.6 for 1 kg/min) compared to the gas cooler water mass flow rate (COP increases 0.4 for 1 kg/min) and the effect of gas cooler water inlet temperature is more significant (COP decreases 0.48 for given ranges) compared to the evaporator water inlet temperature (COP increases 0.43 for given ranges). Comparisons of experimental values with simulated results show the maximum deviation of 5% for cooling capacity, 10% for heating capacity, 16% for system COP. This study offers useful guidelines for selecting appropriate water mass flow rate to obtain required","author":[{"dropping-particle":"","family":"Hourng","given":"Ming-Yuan Lin and Lih-Wu","non-dropping-particle":"","parse-names":false,"suffix":""}],"container-title":"International Jourmal Of Energy Research","id":"ITEM-1","issued":{"date-parts":[["2014"]]},"page":"106-116","title":"Effects of magnetic field and pulse potential on hydrogen production via water electrolysis","type":"article-journal","volume":"38"},"uris":["http://www.mendeley.com/documents/?uuid=2983caef-6982-4869-bed8-dbb0120bf2c6"]}],"mendeley":{"formattedCitation":"(Hourng, 2014)","manualFormatting":"(Hourng, 2014)","plainTextFormattedCitation":"(Hourng, 2014)","previouslyFormattedCitation":"(Hourng, 2014)"},"properties":{"noteIndex":0},"schema":"https://github.com/citation-style-language/schema/raw/master/csl-citation.json"}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(Hourng, 2014)</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Iida et.al carried out the water electrolysis in the presence of a magnetic field for enhanced cell performance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{"citationItems":[{"id":"ITEM-1","itemData":{"DOI":"10.1149/1.2742807","ISSN":"00134651","abstract":"The energy efficiency of water electrolysis was considerably improved under a high magnetic field. This was proved by measuring the cell voltage, the IR-drop, and the electrode potentials for the electrolysis which was galvanostatically operated in alkaline (4.46 and 0.36 M KOH) and acidic (0.05 M H2 S O4) solutions. A large reduction in the cell voltage was achieved in a magnetic field, especially at a high current density. The decrease of the IR-drop, which was measured by the current interrupter method, depended on the concentration of electrolyte solutions. In a magnetic field, the oxygen overpotential was reduced more than the hydrogen overpotential. © 2007 The Electrochemical Society.","author":[{"dropping-particle":"","family":"Iida","given":"Takami","non-dropping-particle":"","parse-names":false,"suffix":""},{"dropping-particle":"","family":"Matsushima","given":"Hisayoshi","non-dropping-particle":"","parse-names":false,"suffix":""},{"dropping-particle":"","family":"Fukunaka","given":"Yasuhiro","non-dropping-particle":"","parse-names":false,"suffix":""}],"container-title":"Journal of The Electrochemical Society","id":"ITEM-1","issue":"8","issued":{"date-parts":[["2007"]]},"page":"E112","title":"Water Electrolysis under a Magnetic Field","type":"article-journal","volume":"154"},"uris":["http://www.mendeley.com/documents/?uuid=bdf56f9b-a9f0-48e9-920e-ec934502db7a"]}],"mendeley":{"formattedCitation":"(Iida, Matsushima and Fukunaka, 2007)","plainTextFormattedCitation":"(Iida, Matsushima and Fukunaka, 2007)","previouslyFormattedCitation":"(Iida, Matsushima and Fukunaka, 2007)"},"properties":{"noteIndex":0},"schema":"https://github.com/citation-style-language/schema/raw/master/csl-citation.json"}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(Iida, Matsushima and Fukunaka, 2007)</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w:t>
      </w:r>
    </w:p>
    <w:p w:rsidR="00777BE6" w:rsidRDefault="00A147DF" w:rsidP="00777BE6">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 xml:space="preserve">In a traditional three-electrode method, water electrolysis was carried out galvanostatically under the effect of a superconducting magnet producing a uniform magnetic field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{"citationItems":[{"id":"ITEM-1","itemData":{"DOI":"10.1016/j.electacta.2009.05.044","ISSN":"00134686","abstract":"The cathode potential on the gas-evolving electrode in 0.5 M H2SO4 solution was measured under a uniform magnetic field. The current interrupter method allowed us to study the IR-drop and the supersolubility of dissolved hydrogen gas. MHD convection by Lorenz force slightly reduced the ohmic resistance between the working and reference electrode, considerably restricted the increase of supersolubility and simultaneously promoted the mass transfer coefficient of the dissolved gas above 50 mA cm-2. Moreover, the supersolubility peak position displayed a strong dependence on the current density in the intermediate current density region from 5 to 30 mA cm-2. The peak location shifted toward lower current density with increasing in magnetic flux density. Our data show that applying a magnetic field has a much greater effect on the supersolubility at intermediate current density region than the mass transfer coefficient. © 2009 Elsevier Ltd. All rights reserved.","author":[{"dropping-particle":"","family":"Matsushima","given":"Hisayoshi","non-dropping-particle":"","parse-names":false,"suffix":""},{"dropping-particle":"","family":"Kiuchi","given":"Daisuke","non-dropping-particle":"","parse-names":false,"suffix":""},{"dropping-particle":"","family":"Fukunaka","given":"Yasuhiro","non-dropping-particle":"","parse-names":false,"suffix":""}],"container-title":"Electrochimica Acta","id":"ITEM-1","issue":"24","issued":{"date-parts":[["2009"]]},"page":"5858-5862","title":"Measurement of dissolved hydrogen supersaturation during water electrolysis in a magnetic field","type":"article-journal","volume":"54"},"uris":["http://www.mendeley.com/documents/?uuid=30d1c279-1aaf-49bb-869a-7c8d39465d0f"]}],"mendeley":{"formattedCitation":"(Matsushima, Kiuchi and Fukunaka, 2009)","plainTextFormattedCitation":"(Matsushima, Kiuchi and Fukunaka, 2009)","previouslyFormattedCitation":"(Matsushima, Kiuchi and Fukunaka, 2009)"},"properties":{"noteIndex":0},"schema":"https://github.com/citation-style-language/schema/raw/master/csl-citation.json"}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(Matsushima, Kiuchi and Fukunaka, 2009)</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Koza et.al did a research study on the evolution of hydrogen under the effect of magnetic field and concluded that it is possible to enhanced hydrogen's efficiency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{"citationItems":[{"id":"ITEM-1","itemData":{"DOI":"10.1016/j.electacta.2010.12.031","ISSN":"00134686","abstract":"The effect of a uniform magnetic field on the hydrogen evolution reaction (HER) during water electrolysis in 0.1 M Na2SO4 solution was investigated. Irrespective of the magnetic field orientation with respect to the electrode surface, the desorption of hydrogen is enhanced by the presence of the magnetic field. This effect is displayed by a reduction of the mean bubble size as well as a narrower bubble size distribution in a magnetic field. Moreover, it is shown that in the presence of an external magnetic field the fractional bubble coverage is strongly retarded. As a consequence the current density is increased since more active sites are available for the reduction processes. These effects are discussed with respect to the Lorentz force driven convection induced by a magnetic field. In order to resolve further the influence of a magnetic field applied in the perpendicular-to-electrode configuration, where the bulk Lorentz force is negligible, a numerical study has been performed. This revealed the mechanism of the improved desorption of a hydrogen bubble from the electrode surface. The numerical study has been validated by a model experiment. Most importantly, it is clearly demonstrated that a magnetic field superposed during water decomposition is a very effective method to intensify hydrogen evolution processes, and it should be possible to significantly improve the energetic efficiency of the hydrogen production via water electrolysis in a magnetic field. © 2010 Elsevier Ltd. All rights reserved.","author":[{"dropping-particle":"","family":"Koza","given":"Jakub Adam","non-dropping-particle":"","parse-names":false,"suffix":""},{"dropping-particle":"","family":"Mühlenhoff","given":"Sascha","non-dropping-particle":"","parse-names":false,"suffix":""},{"dropping-particle":"","family":"Zabiński","given":"Piotr","non-dropping-particle":"","parse-names":false,"suffix":""},{"dropping-particle":"","family":"Nikrityuk","given":"Petr A.","non-dropping-particle":"","parse-names":false,"suffix":""},{"dropping-particle":"","family":"Eckert","given":"Kerstin","non-dropping-particle":"","parse-names":false,"suffix":""},{"dropping-particle":"","family":"Uhlemann","given":"Margitta","non-dropping-particle":"","parse-names":false,"suffix":""},{"dropping-particle":"","family":"Gebert","given":"Annett","non-dropping-particle":"","parse-names":false,"suffix":""},{"dropping-particle":"","family":"Weier","given":"Tom","non-dropping-particle":"","parse-names":false,"suffix":""},{"dropping-particle":"","family":"Schultz","given":"Ludwig","non-dropping-particle":"","parse-names":false,"suffix":""},{"dropping-particle":"","family":"Odenbach","given":"Stefan","non-dropping-particle":"","parse-names":false,"suffix":""}],"container-title":"Electrochimica Acta","id":"ITEM-1","issue":"6","issued":{"date-parts":[["2011"]]},"page":"2665-2675","title":"Hydrogen evolution under the influence of a magnetic field","type":"article-journal","volume":"56"},"uris":["http://www.mendeley.com/documents/?uuid=d3c4964e-d501-4308-8d6d-3bdcc3ea3d11"]}],"mendeley":{"formattedCitation":"(Koza &lt;i&gt;et al.&lt;/i&gt;, 2011)","plainTextFormattedCitation":"(Koza et al., 2011)","previouslyFormattedCitation":"(Koza &lt;i&gt;et al.&lt;/i&gt;, 2011)"},"properties":{"noteIndex":0},"schema":"https://github.com/citation-style-language/schema/raw/master/csl-citation.json"}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(Koza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2011)</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Water splitting at a low temperature over Fe</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O</w:t>
      </w:r>
      <w:r w:rsidRPr="008C36F5">
        <w:rPr>
          <w:rFonts w:ascii="Times New Roman" w:hAnsi="Times New Roman" w:cs="Times New Roman"/>
          <w:sz w:val="20"/>
          <w:szCs w:val="20"/>
          <w:vertAlign w:val="subscript"/>
        </w:rPr>
        <w:t>4</w:t>
      </w:r>
      <w:r w:rsidR="004C49E4" w:rsidRPr="008C36F5">
        <w:rPr>
          <w:rFonts w:ascii="Times New Roman" w:hAnsi="Times New Roman" w:cs="Times New Roman"/>
          <w:sz w:val="20"/>
          <w:szCs w:val="20"/>
        </w:rPr>
        <w:t xml:space="preserve"> pellets produces hydrogen</w:t>
      </w:r>
    </w:p>
    <w:p w:rsidR="00A147DF" w:rsidRPr="008C36F5" w:rsidRDefault="00CF73CB" w:rsidP="00777BE6">
      <w:pPr>
        <w:spacing w:before="0" w:beforeAutospacing="0" w:after="0" w:afterAutospacing="0" w:line="240" w:lineRule="auto"/>
        <w:rPr>
          <w:rFonts w:ascii="Times New Roman" w:hAnsi="Times New Roman" w:cs="Times New Roman"/>
          <w:sz w:val="20"/>
          <w:szCs w:val="20"/>
        </w:rPr>
      </w:pPr>
      <w:r>
        <w:rPr>
          <w:rFonts w:ascii="Times New Roman" w:hAnsi="Times New Roman" w:cs="Times New Roman"/>
          <w:noProof/>
          <w:sz w:val="20"/>
          <w:szCs w:val="20"/>
        </w:rPr>
        <w:pict>
          <v:shape id="_x0000_s1063" type="#_x0000_t32" style="position:absolute;left:0;text-align:left;margin-left:90.75pt;margin-top:5.55pt;width:33.1pt;height:0;z-index:251672576" o:connectortype="straight">
            <v:stroke endarrow="block"/>
          </v:shape>
        </w:pict>
      </w:r>
      <w:r w:rsidR="004C49E4" w:rsidRPr="008C36F5">
        <w:rPr>
          <w:rFonts w:ascii="Times New Roman" w:hAnsi="Times New Roman" w:cs="Times New Roman"/>
          <w:sz w:val="20"/>
          <w:szCs w:val="20"/>
        </w:rPr>
        <w:t>,</w:t>
      </w:r>
      <w:r w:rsidR="00D9537A" w:rsidRPr="008C36F5">
        <w:rPr>
          <w:rFonts w:ascii="Times New Roman" w:hAnsi="Times New Roman" w:cs="Times New Roman"/>
          <w:sz w:val="20"/>
          <w:szCs w:val="20"/>
        </w:rPr>
        <w:t xml:space="preserve">         </w:t>
      </w:r>
      <w:r w:rsidR="00A147DF" w:rsidRPr="008C36F5">
        <w:rPr>
          <w:rFonts w:ascii="Times New Roman" w:hAnsi="Times New Roman" w:cs="Times New Roman"/>
          <w:sz w:val="20"/>
          <w:szCs w:val="20"/>
        </w:rPr>
        <w:t>2Fe</w:t>
      </w:r>
      <w:r w:rsidR="00A147DF" w:rsidRPr="008C36F5">
        <w:rPr>
          <w:rFonts w:ascii="Times New Roman" w:hAnsi="Times New Roman" w:cs="Times New Roman"/>
          <w:sz w:val="20"/>
          <w:szCs w:val="20"/>
          <w:vertAlign w:val="subscript"/>
        </w:rPr>
        <w:t>3</w:t>
      </w:r>
      <w:r w:rsidR="00A147DF" w:rsidRPr="008C36F5">
        <w:rPr>
          <w:rFonts w:ascii="Times New Roman" w:hAnsi="Times New Roman" w:cs="Times New Roman"/>
          <w:sz w:val="20"/>
          <w:szCs w:val="20"/>
        </w:rPr>
        <w:t>O</w:t>
      </w:r>
      <w:r w:rsidR="00A147DF" w:rsidRPr="008C36F5">
        <w:rPr>
          <w:rFonts w:ascii="Times New Roman" w:hAnsi="Times New Roman" w:cs="Times New Roman"/>
          <w:sz w:val="20"/>
          <w:szCs w:val="20"/>
          <w:vertAlign w:val="subscript"/>
        </w:rPr>
        <w:t>4</w:t>
      </w:r>
      <w:r w:rsidR="00A147DF" w:rsidRPr="008C36F5">
        <w:rPr>
          <w:rFonts w:ascii="Times New Roman" w:hAnsi="Times New Roman" w:cs="Times New Roman"/>
          <w:sz w:val="20"/>
          <w:szCs w:val="20"/>
        </w:rPr>
        <w:t xml:space="preserve"> + H</w:t>
      </w:r>
      <w:r w:rsidR="00A147DF" w:rsidRPr="008C36F5">
        <w:rPr>
          <w:rFonts w:ascii="Times New Roman" w:hAnsi="Times New Roman" w:cs="Times New Roman"/>
          <w:sz w:val="20"/>
          <w:szCs w:val="20"/>
          <w:vertAlign w:val="subscript"/>
        </w:rPr>
        <w:t>2</w:t>
      </w:r>
      <w:r w:rsidR="00A147DF" w:rsidRPr="008C36F5">
        <w:rPr>
          <w:rFonts w:ascii="Times New Roman" w:hAnsi="Times New Roman" w:cs="Times New Roman"/>
          <w:sz w:val="20"/>
          <w:szCs w:val="20"/>
        </w:rPr>
        <w:t xml:space="preserve">O </w:t>
      </w:r>
      <w:r w:rsidR="00A147DF" w:rsidRPr="008C36F5">
        <w:rPr>
          <w:rFonts w:ascii="Times New Roman" w:hAnsi="Times New Roman" w:cs="Times New Roman"/>
          <w:sz w:val="20"/>
          <w:szCs w:val="20"/>
        </w:rPr>
        <w:tab/>
      </w:r>
      <w:r w:rsidR="00A147DF" w:rsidRPr="008C36F5">
        <w:rPr>
          <w:rFonts w:ascii="Times New Roman" w:hAnsi="Times New Roman" w:cs="Times New Roman"/>
          <w:sz w:val="20"/>
          <w:szCs w:val="20"/>
        </w:rPr>
        <w:tab/>
        <w:t>2Fe</w:t>
      </w:r>
      <w:r w:rsidR="00A147DF" w:rsidRPr="008C36F5">
        <w:rPr>
          <w:rFonts w:ascii="Times New Roman" w:hAnsi="Times New Roman" w:cs="Times New Roman"/>
          <w:sz w:val="20"/>
          <w:szCs w:val="20"/>
          <w:vertAlign w:val="subscript"/>
        </w:rPr>
        <w:t>2</w:t>
      </w:r>
      <w:r w:rsidR="00A147DF" w:rsidRPr="008C36F5">
        <w:rPr>
          <w:rFonts w:ascii="Times New Roman" w:hAnsi="Times New Roman" w:cs="Times New Roman"/>
          <w:sz w:val="20"/>
          <w:szCs w:val="20"/>
        </w:rPr>
        <w:t>O</w:t>
      </w:r>
      <w:r w:rsidR="00A147DF" w:rsidRPr="008C36F5">
        <w:rPr>
          <w:rFonts w:ascii="Times New Roman" w:hAnsi="Times New Roman" w:cs="Times New Roman"/>
          <w:sz w:val="20"/>
          <w:szCs w:val="20"/>
          <w:vertAlign w:val="subscript"/>
        </w:rPr>
        <w:t>3</w:t>
      </w:r>
      <w:r w:rsidR="00A147DF" w:rsidRPr="008C36F5">
        <w:rPr>
          <w:rFonts w:ascii="Times New Roman" w:hAnsi="Times New Roman" w:cs="Times New Roman"/>
          <w:sz w:val="20"/>
          <w:szCs w:val="20"/>
        </w:rPr>
        <w:t xml:space="preserve"> + H</w:t>
      </w:r>
      <w:r w:rsidR="00A147DF" w:rsidRPr="008C36F5">
        <w:rPr>
          <w:rFonts w:ascii="Times New Roman" w:hAnsi="Times New Roman" w:cs="Times New Roman"/>
          <w:sz w:val="20"/>
          <w:szCs w:val="20"/>
          <w:vertAlign w:val="subscript"/>
        </w:rPr>
        <w:t>2</w:t>
      </w:r>
      <w:r w:rsidR="00A147DF" w:rsidRPr="008C36F5">
        <w:rPr>
          <w:rFonts w:ascii="Times New Roman" w:hAnsi="Times New Roman" w:cs="Times New Roman"/>
          <w:sz w:val="20"/>
          <w:szCs w:val="20"/>
        </w:rPr>
        <w:t xml:space="preserve"> </w:t>
      </w:r>
      <w:r w:rsidR="0063134A" w:rsidRPr="008C36F5">
        <w:rPr>
          <w:rFonts w:ascii="Times New Roman" w:hAnsi="Times New Roman" w:cs="Times New Roman"/>
          <w:sz w:val="20"/>
          <w:szCs w:val="20"/>
        </w:rPr>
        <w:fldChar w:fldCharType="begin" w:fldLock="1"/>
      </w:r>
      <w:r w:rsidR="00A147DF" w:rsidRPr="008C36F5">
        <w:rPr>
          <w:rFonts w:ascii="Times New Roman" w:hAnsi="Times New Roman" w:cs="Times New Roman"/>
          <w:sz w:val="20"/>
          <w:szCs w:val="20"/>
        </w:rPr>
        <w:instrText>ADDIN CSL_CITATION {"citationItems":[{"id":"ITEM-1","itemData":{"DOI":"10.1016/j.fuproc.2020.106606","ISSN":"03783820","abstract":"This paper aims to propose an innovative breakthrough methodology for hydrogen production through water splitting over Fe3O4 pellet at low temperature (T = 250 °C; 290 °C; 310 °C). In order to achieve this goal, the effects of magnetic field (B = 0 mT; 25.4 mT; 35.1 mT; 48.3 mT) and of electric power (P = 5 W; 12 W; 20 W) on reactive medium performance were investigated. Results show that production of hydrogen was mainly influenced by electric power applied and magnetic field, since the higher the magnetic field and the electric power the higher the production of hydrogen, while the temperature showed a secondary effect; however, feasible production of hydrogen was achieved at a temperature close to 300 °C.","author":[{"dropping-particle":"","family":"Karatza","given":"Despina","non-dropping-particle":"","parse-names":false,"suffix":""},{"dropping-particle":"","family":"Konstantopoulos","given":"Christos","non-dropping-particle":"","parse-names":false,"suffix":""},{"dropping-particle":"","family":"Chianese","given":"Simeone","non-dropping-particle":"","parse-names":false,"suffix":""},{"dropping-particle":"","family":"Diplas","given":"Spyros","non-dropping-particle":"","parse-names":false,"suffix":""},{"dropping-particle":"","family":"Svec","given":"Peter","non-dropping-particle":"","parse-names":false,"suffix":""},{"dropping-particle":"","family":"Hristoforou","given":"Evangelos","non-dropping-particle":"","parse-names":false,"suffix":""},{"dropping-particle":"","family":"Musmarra","given":"Dino","non-dropping-particle":"","parse-names":false,"suffix":""}],"container-title":"Fuel Processing Technology","id":"ITEM-1","issue":"April 2020","issued":{"date-parts":[["2021"]]},"page":"106606","publisher":"Elsevier","title":"Hydrogen production through water splitting at low temperature over Fe3O4 pellet: Effects of electric power, magnetic field, and temperature","type":"article-journal","volume":"211"},"uris":["http://www.mendeley.com/documents/?uuid=bfe2ab02-c3d1-4c07-bada-1f37f20cb147"]}],"mendeley":{"formattedCitation":"(Karatza &lt;i&gt;et al.&lt;/i&gt;, 2021)","plainTextFormattedCitation":"(Karatza et al., 2021)","previouslyFormattedCitation":"(Karatza &lt;i&gt;et al.&lt;/i&gt;, 2021)"},"properties":{"noteIndex":0},"schema":"https://github.com/citation-style-language/schema/raw/master/csl-citation.json"}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00A147DF" w:rsidRPr="008C36F5">
        <w:rPr>
          <w:rFonts w:ascii="Times New Roman" w:hAnsi="Times New Roman" w:cs="Times New Roman"/>
          <w:noProof/>
          <w:sz w:val="20"/>
          <w:szCs w:val="20"/>
        </w:rPr>
        <w:t xml:space="preserve">(Karatza </w:t>
      </w:r>
      <w:r w:rsidR="00A147DF" w:rsidRPr="008C36F5">
        <w:rPr>
          <w:rFonts w:ascii="Times New Roman" w:hAnsi="Times New Roman" w:cs="Times New Roman"/>
          <w:i/>
          <w:noProof/>
          <w:sz w:val="20"/>
          <w:szCs w:val="20"/>
        </w:rPr>
        <w:t>et al.</w:t>
      </w:r>
      <w:r w:rsidR="00A147DF" w:rsidRPr="008C36F5">
        <w:rPr>
          <w:rFonts w:ascii="Times New Roman" w:hAnsi="Times New Roman" w:cs="Times New Roman"/>
          <w:noProof/>
          <w:sz w:val="20"/>
          <w:szCs w:val="20"/>
        </w:rPr>
        <w:t>, 2021)</w:t>
      </w:r>
      <w:r w:rsidR="0063134A" w:rsidRPr="008C36F5">
        <w:rPr>
          <w:rFonts w:ascii="Times New Roman" w:hAnsi="Times New Roman" w:cs="Times New Roman"/>
          <w:sz w:val="20"/>
          <w:szCs w:val="20"/>
        </w:rPr>
        <w:fldChar w:fldCharType="end"/>
      </w:r>
      <w:r w:rsidR="00A147DF" w:rsidRPr="008C36F5">
        <w:rPr>
          <w:rFonts w:ascii="Times New Roman" w:hAnsi="Times New Roman" w:cs="Times New Roman"/>
          <w:sz w:val="20"/>
          <w:szCs w:val="20"/>
        </w:rPr>
        <w:t>.</w:t>
      </w:r>
    </w:p>
    <w:p w:rsidR="00A147DF" w:rsidRPr="008C36F5" w:rsidRDefault="00A147DF" w:rsidP="00777BE6">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 xml:space="preserve">Introduces a modern electrolyzer architecture that incorporates adequate electrode material and form selection as well as a magnetic field device to minimise energy consumption, the impact of the optimum magnetic field strength was determined for this method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{"citationItems":[{"id":"ITEM-1","itemData":{"ISSN":"22773878","abstract":"Hydrocarbon fuels are the best source of energy; however, they have some drawbacks. Because of extensive usage and replacement difficulties, it is not financially possible to entirely disregard them in the coming days. Hydrogen with Oxygen (hydroxide-HHO) gas as a fuel supplement is one possible way to reduce consumption and emissions of hydrocarbon fuels. However, the accessibility and rate of compressed hydrogen (H2) have made it challenging. Electrolysis of water, resolve numerous possible complications of using hydroxide for fuel to progress hydrocarbon burning. This research introduces a new design of electrolyzer with proper selection of electrode material and types integrated with magnetic field system, which can reduce the energy consumption. The effect of the optimum magnetic field strength was measured for this process with tap and distilled water. Two supplementary compounds, Sodium Hydroxide (NaOH) and Soda (NaHCO3), with concentration 3333ppm 1.5 litres of the electrolyte was used in this process. NaOH showed better performance and can be utilized in future development.","author":[{"dropping-particle":"","family":"Abdulameer","given":"Asaad Zuhair","non-dropping-particle":"","parse-names":false,"suffix":""},{"dropping-particle":"","family":"Buntat","given":"Zolkafle","non-dropping-particle":"","parse-names":false,"suffix":""},{"dropping-particle":"","family":"Arshad","given":"Rai Naveed","non-dropping-particle":"","parse-names":false,"suffix":""},{"dropping-particle":"","family":"Nawaw","given":"Zainuddin","non-dropping-particle":"","parse-names":false,"suffix":""}],"container-title":"International Journal of Recent Technology and Engineering","id":"ITEM-1","issue":"2 Special Issue","issued":{"date-parts":[["2019"]]},"page":"489-492","title":"Electrolysis through magnetic field for future renewable energy","type":"article-journal","volume":"8"},"uris":["http://www.mendeley.com/documents/?uuid=4f4c7a22-8df3-43e9-84b4-8f93f0d8d7be"]}],"mendeley":{"formattedCitation":"(Abdulameer &lt;i&gt;et al.&lt;/i&gt;, 2019)","plainTextFormattedCitation":"(Abdulameer et al., 2019)","previouslyFormattedCitation":"(Abdulameer &lt;i&gt;et al.&lt;/i&gt;, 2019)"},"properties":{"noteIndex":0},"schema":"https://github.com/citation-style-language/schema/raw/master/csl-citation.json"}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(Abdulameer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2019)</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By imposing spin-selectivity on the anode by coating it with hydrogen peroxide gas generation was substantially decreased while the total current through the cell was increased using chiral organic semiconductors produced from helically-aggregated dyes as sensitizers; Zn-porphyrins and triarylamines, which corresponds to the splitting water mechanism, was significantly increased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{"citationItems":[{"id":"ITEM-1","itemData":{"DOI":"10.1021/jacs.6b12971","ISSN":"15205126","PMID":"28132505","abstract":"The production of hydrogen through water splitting in a photoelectrochemical cell suffers from an overpotential that limits the efficiencies. In addition, hydrogen-peroxide formation is identified as a competing process affecting the oxidative stability of photoelectrodes. We impose spin-selectivity by coating the anode with chiral organic semiconductors from helically aggregated dyes as sensitizers; Zn-porphyrins and triarylamines. Hydrogen peroxide formation is dramatically suppressed, while the overall current through the cell, correlating with the water splitting process, is enhanced. Evidence for a strong spin-selection in the chiral semiconductors is presented by magnetic conducting (mc-)AFM measurements, in which chiral and achiral Zn-porphyrins are compared. These findings contribute to our understanding of the underlying mechanism of spin selectivity in multiple electron-transfer reactions and pave the way toward better chiral dye-sensitized photoelectrochemical cells.","author":[{"dropping-particle":"","family":"Mtangi","given":"Wilbert","non-dropping-particle":"","parse-names":false,"suffix":""},{"dropping-particle":"","family":"Tassinari","given":"Francesco","non-dropping-particle":"","parse-names":false,"suffix":""},{"dropping-particle":"","family":"Vankayala","given":"Kiran","non-dropping-particle":"","parse-names":false,"suffix":""},{"dropping-particle":"","family":"Vargas Jentzsch","given":"Andreas","non-dropping-particle":"","parse-names":false,"suffix":""},{"dropping-particle":"","family":"Adelizzi","given":"Beatrice","non-dropping-particle":"","parse-names":false,"suffix":""},{"dropping-particle":"","family":"Palmans","given":"Anja R.A.","non-dropping-particle":"","parse-names":false,"suffix":""},{"dropping-particle":"","family":"Fontanesi","given":"Claudio","non-dropping-particle":"","parse-names":false,"suffix":""},{"dropping-particle":"","family":"Meijer","given":"E. W.","non-dropping-particle":"","parse-names":false,"suffix":""},{"dropping-particle":"","family":"Naaman","given":"Ron","non-dropping-particle":"","parse-names":false,"suffix":""}],"container-title":"Journal of the American Chemical Society","id":"ITEM-1","issue":"7","issued":{"date-parts":[["2017"]]},"page":"2794-2798","title":"Control of Electrons' Spin Eliminates Hydrogen Peroxide Formation during Water Splitting","type":"article-journal","volume":"139"},"uris":["http://www.mendeley.com/documents/?uuid=2edce2e4-f841-4896-8c07-6663c17ffb80"]}],"mendeley":{"formattedCitation":"(Mtangi &lt;i&gt;et al.&lt;/i&gt;, 2017)","plainTextFormattedCitation":"(Mtangi et al., 2017)","previouslyFormattedCitation":"(Mtangi &lt;i&gt;et al.&lt;/i&gt;, 2017)"},"properties":{"noteIndex":0},"schema":"https://github.com/citation-style-language/schema/raw/master/csl-citation.json"}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(Mtangi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2017)</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w:t>
      </w:r>
    </w:p>
    <w:p w:rsidR="00A147DF" w:rsidRPr="008C36F5" w:rsidRDefault="00A147DF" w:rsidP="00777BE6">
      <w:pPr>
        <w:spacing w:before="0" w:beforeAutospacing="0" w:after="0" w:afterAutospacing="0" w:line="240" w:lineRule="auto"/>
        <w:rPr>
          <w:rFonts w:ascii="Times New Roman" w:hAnsi="Times New Roman" w:cs="Times New Roman"/>
          <w:sz w:val="20"/>
          <w:szCs w:val="20"/>
        </w:rPr>
      </w:pPr>
      <w:r w:rsidRPr="008C36F5">
        <w:rPr>
          <w:rFonts w:ascii="Times New Roman" w:hAnsi="Times New Roman" w:cs="Times New Roman"/>
          <w:sz w:val="20"/>
          <w:szCs w:val="20"/>
        </w:rPr>
        <w:t>Discovered a remarkable dendritic development implies a considerable increase in the possibility for the production of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gas. The co-deposition of hydrogen molecules characterises dendritic deposition, yet, such a favourable probability change prevents the production of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gas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{"citationItems":[{"id":"ITEM-1","itemData":{"DOI":"10.1038/srep45511","ISSN":"20452322","PMID":"28374758","abstract":"Ionic vacancy is a by-product in electrochemical reaction, composed of polarized free space of the order of 0.1 nm with a 1 s lifetime, and playing key roles in nano-electrochemical processes. However, its chemical nature has not yet been clarified. In copper electrodeposition under a high magnetic field of 15 T, using a new electrode system called cyclotron magnetohydrodynamic (MHD) electrode (CMHDE) composed of a pair of concentric cylindrical electrodes, we have found an extraordinary dendritic growth with a drastic positive potential shift from hydrogen-gas evolution potential. Dendritic deposition is characterized by the co-deposition of hydrogen molecule, but such a positive potential shift makes hydrogen-gas evolution impossible. However, in the high magnetic field, instead of flat deposit, remarkable dendritic growth emerged. By examining the chemical nature of ionic vacancy, it was concluded that ionic vacancy works on the dendrite formation with the extraordinary potential shift.","author":[{"dropping-particle":"","family":"Miura","given":"Makoto","non-dropping-particle":"","parse-names":false,"suffix":""},{"dropping-particle":"","family":"Oshikiri","given":"Yoshinobu","non-dropping-particle":"","parse-names":false,"suffix":""},{"dropping-particle":"","family":"Sugiyama","given":"Atsushi","non-dropping-particle":"","parse-names":false,"suffix":""},{"dropping-particle":"","family":"Morimoto","given":"Ryoichi","non-dropping-particle":"","parse-names":false,"suffix":""},{"dropping-particle":"","family":"Mogi","given":"Iwao","non-dropping-particle":"","parse-names":false,"suffix":""},{"dropping-particle":"","family":"Miura","given":"Miki","non-dropping-particle":"","parse-names":false,"suffix":""},{"dropping-particle":"","family":"Takagi","given":"Satoshi","non-dropping-particle":"","parse-names":false,"suffix":""},{"dropping-particle":"","family":"Yamauchi","given":"Yusuke","non-dropping-particle":"","parse-names":false,"suffix":""},{"dropping-particle":"","family":"Aogaki","given":"Ryoichi","non-dropping-particle":"","parse-names":false,"suffix":""}],"container-title":"Scientific Reports","id":"ITEM-1","issue":"November 2016","issued":{"date-parts":[["2017"]]},"page":"1-8","publisher":"Nature Publishing Group","title":"Magneto-Dendrite Effect: Copper Electrodeposition under High Magnetic Field","type":"article-journal","volume":"7"},"uris":["http://www.mendeley.com/documents/?uuid=bcc89b84-a409-4d50-870b-f42a5bab2a90"]}],"mendeley":{"formattedCitation":"(Miura &lt;i&gt;et al.&lt;/i&gt;, 2017)","plainTextFormattedCitation":"(Miura et al., 2017)","previouslyFormattedCitation":"(Miura &lt;i&gt;et al.&lt;/i&gt;, 2017)"},"properties":{"noteIndex":0},"schema":"https://github.com/citation-style-language/schema/raw/master/csl-citation.json"}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(Miura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2017)</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In the case of Cu depositions in an electrochemical cell with a large ratio of electrode area to cell volume, the interplay of natural convection and the Lorentz force acting on the resultant flow profile might explain the increase in the limiting current density with B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{"citationItems":[{"id":"ITEM-1","itemData":{"DOI":"10.1016/j.electacta.2003.04.009","ISSN":"00134686","abstract":"The influence of an external magnetic field B on the electrochemical behaviour of the systems Cu2+/Cu, Ni2+/Ni, and [IrCl 6]2-/[IrCl6]3- has been studied. In the case of Cu depositions in an electrochemical cell with a large ratio of the electrode area and the cell volume the increase of the limiting current density with B can be explained with the interplay of natural convection and the Lorentz force acting on the resulting flow profile (magneto hydrodynamic or MHD effect). Ni depositions also show an MHD effect as well as a tendency to form more fine grained material in the presence of a magnetic field. The results on the homogeneous redox system [IrCl6]2-/[IrCl 6]3- at 50μm diameter micro electrodes are in qualitative agreement with recently proposed relationships to describe the influence of a B field on the limiting current density. © 2003 Elsevier Ltd. All rights reserved.","author":[{"dropping-particle":"","family":"Bund","given":"A.","non-dropping-particle":"","parse-names":false,"suffix":""},{"dropping-particle":"","family":"Koehler","given":"S.","non-dropping-particle":"","parse-names":false,"suffix":""},{"dropping-particle":"","family":"Kuehnlein","given":"H. H.","non-dropping-particle":"","parse-names":false,"suffix":""},{"dropping-particle":"","family":"Plieth","given":"W.","non-dropping-particle":"","parse-names":false,"suffix":""}],"container-title":"Electrochimica Acta","id":"ITEM-1","issue":"1","issued":{"date-parts":[["2003"]]},"page":"147-152","title":"Magnetic field effects in electrochemical reactions","type":"article-journal","volume":"49"},"uris":["http://www.mendeley.com/documents/?uuid=52a20865-6baf-4e12-8d04-e0e66468b411"]}],"mendeley":{"formattedCitation":"(Bund &lt;i&gt;et al.&lt;/i&gt;, 2003)","plainTextFormattedCitation":"(Bund et al., 2003)","previouslyFormattedCitation":"(Bund &lt;i&gt;et al.&lt;/i&gt;, 2003)"},"properties":{"noteIndex":0},"schema":"https://github.com/citation-style-language/schema/raw/master/csl-citation.json"}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(Bund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2003)</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In natural convection copper electrolysis, Lorentz forces created by faradic currents and magnetic fields produced by permanent magnets were explored in connection to momentum and mass transfer. The flow field was measured, and the concentration distribution was shown, as well as their relationships to measured mean current densities. The orientation of the Lorentz force with natural convection had a big impact on flow structure and mass transfer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{"citationItems":[{"id":"ITEM-1","itemData":{"DOI":"10.1016/j.ces.2004.07.060","ISSN":"00092509","abstract":"The influence of Lorentz forces generated by faradaic currents and magnetic fields from permanent magnets on the momentum and mass transfer in natural convection copper electrolysis is discussed. Flow field measurements and visualizations of the concentration distribution are given and related to measured mean current densities. Flow structure as well as mass transfer depend strongly on the direction of the Lorentz force relative to that of natural convection. © 2004 Elsevier Ltd. All rights reserved.","author":[{"dropping-particle":"","family":"Weier","given":"Tom","non-dropping-particle":"","parse-names":false,"suffix":""},{"dropping-particle":"","family":"Hüller","given":"Jürgen","non-dropping-particle":"","parse-names":false,"suffix":""},{"dropping-particle":"","family":"Gerbeth","given":"Gunter","non-dropping-particle":"","parse-names":false,"suffix":""},{"dropping-particle":"","family":"Weiss","given":"Frank Peter","non-dropping-particle":"","parse-names":false,"suffix":""}],"container-title":"Chemical Engineering Science","id":"ITEM-1","issue":"1","issued":{"date-parts":[["2005"]]},"page":"293-298","title":"Lorentz force influence on momentum and mass transfer in natural convection copper electrolysis","type":"article-journal","volume":"60"},"uris":["http://www.mendeley.com/documents/?uuid=ed23d527-afc6-498b-944f-5c4bb096134d"]}],"mendeley":{"formattedCitation":"(Weier &lt;i&gt;et al.&lt;/i&gt;, 2005)","plainTextFormattedCitation":"(Weier et al., 2005)","previouslyFormattedCitation":"(Weier &lt;i&gt;et al.&lt;/i&gt;, 2005)"},"properties":{"noteIndex":0},"schema":"https://github.com/citation-style-language/schema/raw/master/csl-citation.json"}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(Weier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2005)</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At the very beginning of the electrolysis, Convection powered by Lorentz force is quasi-steady. As a result of the deposition, it continuously transports less concentrated solution through the cathode into the cuboids’ upper zone. The resultant velocity, which feeds the cuboids via convection is 1mm/more than 70% of electrode height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{"citationItems":[{"id":"ITEM-1","itemData":{"DOI":"10.1016/j.electacta.2008.07.074","ISSN":"00134686","abstract":"The start-up of natural convection in an inhomogeneous magnetic field was studied in a 0.1 M CuSO4solution between vertical electrodes. A Mach-Zehnder interferometer was used for the measurements of the concentration while the velocity field was determined by particle image velocimetry (PIV). The main phenomenon reported is the growth of a bubble-like zone of less-concentrated solution at the bottom of the cathode. This zone rises along the cathode if buoyancy is sufficiently strong to compete with the opposing Lorentz force. The results are discussed in terms of a scaling analysis. © 2008 Elsevier Ltd. All rights reserved.","author":[{"dropping-particle":"","family":"Yang","given":"Xuegeng","non-dropping-particle":"","parse-names":false,"suffix":""},{"dropping-particle":"","family":"Eckert","given":"Kerstin","non-dropping-particle":"","parse-names":false,"suffix":""},{"dropping-particle":"","family":"Seidel","given":"Kirsten","non-dropping-particle":"","parse-names":false,"suffix":""},{"dropping-particle":"","family":"Uhlemann","given":"Margitta","non-dropping-particle":"","parse-names":false,"suffix":""}],"container-title":"Electrochimica Acta","id":"ITEM-1","issue":"2","issued":{"date-parts":[["2008"]]},"page":"352-359","title":"The start-up of natural convection during copper electrolysis in the presence of an opposing Lorentz force","type":"article-journal","volume":"54"},"uris":["http://www.mendeley.com/documents/?uuid=f117787a-b70c-4052-8da6-775cc91bf2dd"]}],"mendeley":{"formattedCitation":"(Yang &lt;i&gt;et al.&lt;/i&gt;, 2008)","plainTextFormattedCitation":"(Yang et al., 2008)","previouslyFormattedCitation":"(Yang &lt;i&gt;et al.&lt;/i&gt;, 2008)"},"properties":{"noteIndex":0},"schema":"https://github.com/citation-style-language/schema/raw/master/csl-citation.json"}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(Yang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2008)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When compared to DC pulsed power electrolysis, ultrasonic electrolysis has poorer energy efficiency and intensity. The greatest HHO gas generation rate was achieved among other frequencies by applying D.C pulsed power at the frequency of 300 kHz to the described HHO cell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{"citationItems":[{"id":"ITEM-1","itemData":{"DOI":"10.1016/j.egyr.2019.12.009","ISSN":"23524847","abstract":"In this paper, retrofitting of a hydroxy (HHO) cell which is coupled to a gasoline engine is performed by investigating the effects of electrodes’ shape and distances and the impacts of improvement technologies ultrasonic waves, DC pulsed power with various frequencies and magnetic field on the cell's bubble pumping efficiency and rate of HHO gas production. Subsequently, an energy analysis was performed to provide a comparison between different improvement technologies. As a result, by applying DC pulsed power with 300 kHz frequency to the HHO cell, highest HHO gas production rate, energy efficiency and lowest energy intensity is achieved among other technologies, however, it will allocate lowest surface intensity which leads to requiring more electrode surface area. In addition, employment of ultrasonic waves improves HHO gas production rate from approximately 6.4% to 52.4%, and it is possessed the highest surface intensity which result in requiring lowest electrode surface among other methods. Finally, the effects of superior improvement methods on the overall cost and weight of an HHO generator and its impacts on engine parameters are studied.","author":[{"dropping-particle":"","family":"Salek","given":"Farhad","non-dropping-particle":"","parse-names":false,"suffix":""},{"dropping-particle":"","family":"Zamen","given":"Mohammad","non-dropping-particle":"","parse-names":false,"suffix":""},{"dropping-particle":"","family":"Hosseini","given":"Seyed Vahid","non-dropping-particle":"","parse-names":false,"suffix":""}],"container-title":"Energy Reports","id":"ITEM-1","issued":{"date-parts":[["2020"]]},"page":"146-156","publisher":"Elsevier Ltd","title":"Experimental study, energy assessment and improvement of hydroxy generator coupled with a gasoline engine","type":"article-journal","volume":"6"},"uris":["http://www.mendeley.com/documents/?uuid=bce7f2ba-3d9f-4f06-ab91-74674ace4209"]}],"mendeley":{"formattedCitation":"(Salek, Zamen and Hosseini, 2020)","plainTextFormattedCitation":"(Salek, Zamen and Hosseini, 2020)"},"properties":{"noteIndex":0},"schema":"https://github.com/citation-style-language/schema/raw/master/csl-citation.json"}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(Salek, Zamen and Hosseini, 2020)</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w:t>
      </w:r>
    </w:p>
    <w:p w:rsidR="00A147DF" w:rsidRPr="008C36F5" w:rsidRDefault="00A147DF" w:rsidP="008C36F5">
      <w:pPr>
        <w:spacing w:line="240" w:lineRule="auto"/>
        <w:rPr>
          <w:rFonts w:ascii="Times New Roman" w:hAnsi="Times New Roman" w:cs="Times New Roman"/>
          <w:b/>
          <w:sz w:val="20"/>
          <w:szCs w:val="20"/>
        </w:rPr>
      </w:pPr>
      <w:r w:rsidRPr="008C36F5">
        <w:rPr>
          <w:rFonts w:ascii="Times New Roman" w:hAnsi="Times New Roman" w:cs="Times New Roman"/>
          <w:b/>
          <w:sz w:val="20"/>
          <w:szCs w:val="20"/>
        </w:rPr>
        <w:t>Table: 7</w:t>
      </w:r>
      <w:r w:rsidR="00572601" w:rsidRPr="008C36F5">
        <w:rPr>
          <w:rFonts w:ascii="Times New Roman" w:hAnsi="Times New Roman" w:cs="Times New Roman"/>
          <w:b/>
          <w:sz w:val="20"/>
          <w:szCs w:val="20"/>
        </w:rPr>
        <w:t xml:space="preserve"> </w:t>
      </w:r>
      <w:r w:rsidRPr="008C36F5">
        <w:rPr>
          <w:rFonts w:ascii="Times New Roman" w:hAnsi="Times New Roman" w:cs="Times New Roman"/>
          <w:b/>
          <w:sz w:val="20"/>
          <w:szCs w:val="20"/>
        </w:rPr>
        <w:t>Research Activities on Generation of Oxyhydrogen Gas (HHO)/Hydrogen Gas Using Magnetic Field and Pulse Potential</w:t>
      </w:r>
    </w:p>
    <w:tbl>
      <w:tblPr>
        <w:tblStyle w:val="LightShading"/>
        <w:tblW w:w="5000" w:type="pct"/>
        <w:shd w:val="clear" w:color="auto" w:fill="FFFFFF" w:themeFill="background1"/>
        <w:tblLook w:val="04A0" w:firstRow="1" w:lastRow="0" w:firstColumn="1" w:lastColumn="0" w:noHBand="0" w:noVBand="1"/>
      </w:tblPr>
      <w:tblGrid>
        <w:gridCol w:w="1311"/>
        <w:gridCol w:w="92"/>
        <w:gridCol w:w="1387"/>
        <w:gridCol w:w="2016"/>
        <w:gridCol w:w="1767"/>
        <w:gridCol w:w="2437"/>
        <w:gridCol w:w="566"/>
      </w:tblGrid>
      <w:tr w:rsidR="00A147DF" w:rsidRPr="008C36F5" w:rsidTr="001067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gridSpan w:val="2"/>
            <w:shd w:val="clear" w:color="auto" w:fill="FFFFFF" w:themeFill="background1"/>
          </w:tcPr>
          <w:p w:rsidR="00A147DF" w:rsidRPr="008C36F5" w:rsidRDefault="00A147DF" w:rsidP="008C36F5">
            <w:pPr>
              <w:spacing w:after="100"/>
              <w:rPr>
                <w:rFonts w:ascii="Times New Roman" w:hAnsi="Times New Roman" w:cs="Times New Roman"/>
                <w:sz w:val="20"/>
                <w:szCs w:val="20"/>
              </w:rPr>
            </w:pPr>
            <w:r w:rsidRPr="008C36F5">
              <w:rPr>
                <w:rFonts w:ascii="Times New Roman" w:hAnsi="Times New Roman" w:cs="Times New Roman"/>
                <w:sz w:val="20"/>
                <w:szCs w:val="20"/>
              </w:rPr>
              <w:t>Author &amp; year</w:t>
            </w:r>
          </w:p>
        </w:tc>
        <w:tc>
          <w:tcPr>
            <w:tcW w:w="697"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Input</w:t>
            </w:r>
          </w:p>
        </w:tc>
        <w:tc>
          <w:tcPr>
            <w:tcW w:w="1092"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Analysis Methodology</w:t>
            </w:r>
          </w:p>
        </w:tc>
        <w:tc>
          <w:tcPr>
            <w:tcW w:w="962"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Purpose</w:t>
            </w:r>
          </w:p>
        </w:tc>
        <w:tc>
          <w:tcPr>
            <w:tcW w:w="1311"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Result and outcome</w:t>
            </w:r>
          </w:p>
        </w:tc>
        <w:tc>
          <w:tcPr>
            <w:tcW w:w="271"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Ref.</w:t>
            </w:r>
          </w:p>
        </w:tc>
      </w:tr>
      <w:tr w:rsidR="00A147DF" w:rsidRPr="008C36F5" w:rsidTr="00106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{"citationItems":[{"id":"ITEM-1","itemData":{"DOI":"10.1002/er","ISBN":"1099-114X","ISSN":"12310956","PMID":"19566191","abstract":"This paper presents the experimental as well as the simulated performance studies on the transcritical CO2 heat pumps for simultaneous water cooling and heating; effects of water mass flow rates and water inlet temperatures of both evaporator and gas cooler on the cooling and heating capacities, system COP and water outlets temperatures are investigated. Study shows that both the water mass flow rate and inlet temperature have significant effect on system performances. Test results show that the effect of evaporator water mass flow rate on the system performances and water outlet temperatures is more pronounced (COP increases 0.6 for 1 kg/min) compared to the gas cooler water mass flow rate (COP increases 0.4 for 1 kg/min) and the effect of gas cooler water inlet temperature is more significant (COP decreases 0.48 for given ranges) compared to the evaporator water inlet temperature (COP increases 0.43 for given ranges). Comparisons of experimental values with simulated results show the maximum deviation of 5% for cooling capacity, 10% for heating capacity, 16% for system COP. This study offers useful guidelines for selecting appropriate water mass flow rate to obtain required","author":[{"dropping-particle":"","family":"Hourng","given":"Ming-Yuan Lin and Lih-Wu","non-dropping-particle":"","parse-names":false,"suffix":""}],"container-title":"International Jourmal Of Energy Research","id":"ITEM-1","issued":{"date-parts":[["2014"]]},"page":"106-116","title":"Effects of magnetic field and pulse potential on hydrogen production via water electrolysis","type":"article-journal","volume":"38"},"uris":["http://www.mendeley.com/documents/?uuid=2983caef-6982-4869-bed8-dbb0120bf2c6"]}],"mendeley":{"formattedCitation":"(Hourng, 2014)","plainTextFormattedCitation":"(Hourng, 2014)","previouslyFormattedCitation":"(Hourng, 2014)"},"properties":{"noteIndex":0},"schema":"https://github.com/citation-style-language/schema/raw/master/csl-citation.json"}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(Hourng, 2014)</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Nickel electrodes.</w:t>
            </w:r>
          </w:p>
        </w:tc>
        <w:tc>
          <w:tcPr>
            <w:tcW w:w="109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The electrolysis of water was carried out with the help of a magnetic field and a </w:t>
            </w:r>
            <w:r w:rsidRPr="008C36F5">
              <w:rPr>
                <w:rFonts w:ascii="Times New Roman" w:hAnsi="Times New Roman" w:cs="Times New Roman"/>
                <w:sz w:val="20"/>
                <w:szCs w:val="20"/>
              </w:rPr>
              <w:lastRenderedPageBreak/>
              <w:t>pulsed potential.</w:t>
            </w:r>
          </w:p>
        </w:tc>
        <w:tc>
          <w:tcPr>
            <w:tcW w:w="96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To accelerate the rate at which gas is discharged from the electrode </w:t>
            </w:r>
            <w:r w:rsidRPr="008C36F5">
              <w:rPr>
                <w:rFonts w:ascii="Times New Roman" w:hAnsi="Times New Roman" w:cs="Times New Roman"/>
                <w:sz w:val="20"/>
                <w:szCs w:val="20"/>
              </w:rPr>
              <w:lastRenderedPageBreak/>
              <w:t>surface.</w:t>
            </w:r>
          </w:p>
        </w:tc>
        <w:tc>
          <w:tcPr>
            <w:tcW w:w="131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The high potential difference increases current density which enhanced gas discharge and reduces </w:t>
            </w:r>
            <w:r w:rsidRPr="008C36F5">
              <w:rPr>
                <w:rFonts w:ascii="Times New Roman" w:hAnsi="Times New Roman" w:cs="Times New Roman"/>
                <w:sz w:val="20"/>
                <w:szCs w:val="20"/>
              </w:rPr>
              <w:lastRenderedPageBreak/>
              <w:t>polarization.</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24</w:t>
            </w:r>
          </w:p>
        </w:tc>
      </w:tr>
      <w:tr w:rsidR="00A147DF" w:rsidRPr="008C36F5" w:rsidTr="001067B1">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{"citationItems":[{"id":"ITEM-1","itemData":{"DOI":"10.1149/1.2742807","ISSN":"00134651","abstract":"The energy efficiency of water electrolysis was considerably improved under a high magnetic field. This was proved by measuring the cell voltage, the IR-drop, and the electrode potentials for the electrolysis which was galvanostatically operated in alkaline (4.46 and 0.36 M KOH) and acidic (0.05 M H2 S O4) solutions. A large reduction in the cell voltage was achieved in a magnetic field, especially at a high current density. The decrease of the IR-drop, which was measured by the current interrupter method, depended on the concentration of electrolyte solutions. In a magnetic field, the oxygen overpotential was reduced more than the hydrogen overpotential. © 2007 The Electrochemical Society.","author":[{"dropping-particle":"","family":"Iida","given":"Takami","non-dropping-particle":"","parse-names":false,"suffix":""},{"dropping-particle":"","family":"Matsushima","given":"Hisayoshi","non-dropping-particle":"","parse-names":false,"suffix":""},{"dropping-particle":"","family":"Fukunaka","given":"Yasuhiro","non-dropping-particle":"","parse-names":false,"suffix":""}],"container-title":"Journal of The Electrochemical Society","id":"ITEM-1","issue":"8","issued":{"date-parts":[["2007"]]},"page":"E112","title":"Water Electrolysis under a Magnetic Field","type":"article-journal","volume":"154"},"uris":["http://www.mendeley.com/documents/?uuid=bdf56f9b-a9f0-48e9-920e-ec934502db7a"]}],"mendeley":{"formattedCitation":"(Iida, Matsushima and Fukunaka, 2007)","plainTextFormattedCitation":"(Iida, Matsushima and Fukunaka, 2007)","previouslyFormattedCitation":"(Iida, Matsushima and Fukunaka, 2007)"},"properties":{"noteIndex":0},"schema":"https://github.com/citation-style-language/schema/raw/master/csl-citation.json"}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(Iida, Matsushima and Fukunaka, 2007)</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Pd metal and hydride in Pd–H binary alloy</w:t>
            </w:r>
          </w:p>
        </w:tc>
        <w:tc>
          <w:tcPr>
            <w:tcW w:w="109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water electrolysis was carried out in a magnetic field that was both stagnant and uniform with an amplitude maximum of 5 T in a perpendicular direction.</w:t>
            </w:r>
          </w:p>
        </w:tc>
        <w:tc>
          <w:tcPr>
            <w:tcW w:w="96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improve the water electrolysis cell efficiency using magnetic field</w:t>
            </w:r>
          </w:p>
        </w:tc>
        <w:tc>
          <w:tcPr>
            <w:tcW w:w="131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By superimposing the magnetic flux density on top of the current density, the performance of water electrolysis was significantly enhanced at high current densities.</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25</w:t>
            </w:r>
          </w:p>
        </w:tc>
      </w:tr>
      <w:tr w:rsidR="00A147DF" w:rsidRPr="008C36F5" w:rsidTr="00106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{"citationItems":[{"id":"ITEM-1","itemData":{"DOI":"10.1016/j.electacta.2009.05.044","ISSN":"00134686","abstract":"The cathode potential on the gas-evolving electrode in 0.5 M H2SO4 solution was measured under a uniform magnetic field. The current interrupter method allowed us to study the IR-drop and the supersolubility of dissolved hydrogen gas. MHD convection by Lorenz force slightly reduced the ohmic resistance between the working and reference electrode, considerably restricted the increase of supersolubility and simultaneously promoted the mass transfer coefficient of the dissolved gas above 50 mA cm-2. Moreover, the supersolubility peak position displayed a strong dependence on the current density in the intermediate current density region from 5 to 30 mA cm-2. The peak location shifted toward lower current density with increasing in magnetic flux density. Our data show that applying a magnetic field has a much greater effect on the supersolubility at intermediate current density region than the mass transfer coefficient. © 2009 Elsevier Ltd. All rights reserved.","author":[{"dropping-particle":"","family":"Matsushima","given":"Hisayoshi","non-dropping-particle":"","parse-names":false,"suffix":""},{"dropping-particle":"","family":"Kiuchi","given":"Daisuke","non-dropping-particle":"","parse-names":false,"suffix":""},{"dropping-particle":"","family":"Fukunaka","given":"Yasuhiro","non-dropping-particle":"","parse-names":false,"suffix":""}],"container-title":"Electrochimica Acta","id":"ITEM-1","issue":"24","issued":{"date-parts":[["2009"]]},"page":"5858-5862","title":"Measurement of dissolved hydrogen supersaturation during water electrolysis in a magnetic field","type":"article-journal","volume":"54"},"uris":["http://www.mendeley.com/documents/?uuid=30d1c279-1aaf-49bb-869a-7c8d39465d0f"]}],"mendeley":{"formattedCitation":"(Matsushima, Kiuchi and Fukunaka, 2009)","plainTextFormattedCitation":"(Matsushima, Kiuchi and Fukunaka, 2009)","previouslyFormattedCitation":"(Matsushima, Kiuchi and Fukunaka, 2009)"},"properties":{"noteIndex":0},"schema":"https://github.com/citation-style-language/schema/raw/master/csl-citation.json"}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(Matsushima, Kiuchi and Fukunaka, 2009)</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Water electrolysis,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SO4 solution &amp; uniform magnetic field.</w:t>
            </w:r>
          </w:p>
        </w:tc>
        <w:tc>
          <w:tcPr>
            <w:tcW w:w="109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In a traditional three-electrode method, the electrolysis of water was carried out in a galvanostatically system. </w:t>
            </w:r>
          </w:p>
        </w:tc>
        <w:tc>
          <w:tcPr>
            <w:tcW w:w="96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Test the dissolved hydrogen supersaturate when there is a magnetic field</w:t>
            </w:r>
          </w:p>
        </w:tc>
        <w:tc>
          <w:tcPr>
            <w:tcW w:w="131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connection of a warped electric field line surrounding the gas bubble with the magnetic field in the intermediate current density, as well as the movements of the gas bubbles area, can induce microscopic convection.</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32</w:t>
            </w:r>
          </w:p>
        </w:tc>
      </w:tr>
      <w:tr w:rsidR="00A147DF" w:rsidRPr="008C36F5" w:rsidTr="001067B1">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{"citationItems":[{"id":"ITEM-1","itemData":{"DOI":"10.1016/j.electacta.2010.12.031","ISSN":"00134686","abstract":"The effect of a uniform magnetic field on the hydrogen evolution reaction (HER) during water electrolysis in 0.1 M Na2SO4 solution was investigated. Irrespective of the magnetic field orientation with respect to the electrode surface, the desorption of hydrogen is enhanced by the presence of the magnetic field. This effect is displayed by a reduction of the mean bubble size as well as a narrower bubble size distribution in a magnetic field. Moreover, it is shown that in the presence of an external magnetic field the fractional bubble coverage is strongly retarded. As a consequence the current density is increased since more active sites are available for the reduction processes. These effects are discussed with respect to the Lorentz force driven convection induced by a magnetic field. In order to resolve further the influence of a magnetic field applied in the perpendicular-to-electrode configuration, where the bulk Lorentz force is negligible, a numerical study has been performed. This revealed the mechanism of the improved desorption of a hydrogen bubble from the electrode surface. The numerical study has been validated by a model experiment. Most importantly, it is clearly demonstrated that a magnetic field superposed during water decomposition is a very effective method to intensify hydrogen evolution processes, and it should be possible to significantly improve the energetic efficiency of the hydrogen production via water electrolysis in a magnetic field. © 2010 Elsevier Ltd. All rights reserved.","author":[{"dropping-particle":"","family":"Koza","given":"Jakub Adam","non-dropping-particle":"","parse-names":false,"suffix":""},{"dropping-particle":"","family":"Mühlenhoff","given":"Sascha","non-dropping-particle":"","parse-names":false,"suffix":""},{"dropping-particle":"","family":"Zabiński","given":"Piotr","non-dropping-particle":"","parse-names":false,"suffix":""},{"dropping-particle":"","family":"Nikrityuk","given":"Petr A.","non-dropping-particle":"","parse-names":false,"suffix":""},{"dropping-particle":"","family":"Eckert","given":"Kerstin","non-dropping-particle":"","parse-names":false,"suffix":""},{"dropping-particle":"","family":"Uhlemann","given":"Margitta","non-dropping-particle":"","parse-names":false,"suffix":""},{"dropping-particle":"","family":"Gebert","given":"Annett","non-dropping-particle":"","parse-names":false,"suffix":""},{"dropping-particle":"","family":"Weier","given":"Tom","non-dropping-particle":"","parse-names":false,"suffix":""},{"dropping-particle":"","family":"Schultz","given":"Ludwig","non-dropping-particle":"","parse-names":false,"suffix":""},{"dropping-particle":"","family":"Odenbach","given":"Stefan","non-dropping-particle":"","parse-names":false,"suffix":""}],"container-title":"Electrochimica Acta","id":"ITEM-1","issue":"6","issued":{"date-parts":[["2011"]]},"page":"2665-2675","title":"Hydrogen evolution under the influence of a magnetic field","type":"article-journal","volume":"56"},"uris":["http://www.mendeley.com/documents/?uuid=d3c4964e-d501-4308-8d6d-3bdcc3ea3d11"]}],"mendeley":{"formattedCitation":"(Koza &lt;i&gt;et al.&lt;/i&gt;, 2011)","plainTextFormattedCitation":"(Koza et al., 2011)","previouslyFormattedCitation":"(Koza &lt;i&gt;et al.&lt;/i&gt;, 2011)"},"properties":{"noteIndex":0},"schema":"https://github.com/citation-style-language/schema/raw/master/csl-citation.json"}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(Koza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2011)</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Cylindrical Teflon cell, cuboids glass cell. Pt &amp; Cu plates as electrodes. Na</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SO</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 xml:space="preserve"> as electrolytic</w:t>
            </w:r>
          </w:p>
        </w:tc>
        <w:tc>
          <w:tcPr>
            <w:tcW w:w="109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Numerical simulation performed &amp; validated by an experimental model</w:t>
            </w:r>
          </w:p>
        </w:tc>
        <w:tc>
          <w:tcPr>
            <w:tcW w:w="96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goal of this project is to look at the development of hydrogen in the presence of a magnetic field.</w:t>
            </w:r>
          </w:p>
        </w:tc>
        <w:tc>
          <w:tcPr>
            <w:tcW w:w="131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It is feasible to enhance the energy efficiency of hydrogen production by employing water electrolysis in a magnetic field.</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26</w:t>
            </w:r>
          </w:p>
        </w:tc>
      </w:tr>
      <w:tr w:rsidR="00A147DF" w:rsidRPr="008C36F5" w:rsidTr="00106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{"citationItems":[{"id":"ITEM-1","itemData":{"DOI":"10.1016/j.fuproc.2020.106606","ISSN":"03783820","abstract":"This paper aims to propose an innovative breakthrough methodology for hydrogen production through water splitting over Fe3O4 pellet at low temperature (T = 250 °C; 290 °C; 310 °C). In order to achieve this goal, the effects of magnetic field (B = 0 mT; 25.4 mT; 35.1 mT; 48.3 mT) and of electric power (P = 5 W; 12 W; 20 W) on reactive medium performance were investigated. Results show that production of hydrogen was mainly influenced by electric power applied and magnetic field, since the higher the magnetic field and the electric power the higher the production of hydrogen, while the temperature showed a secondary effect; however, feasible production of hydrogen was achieved at a temperature close to 300 °C.","author":[{"dropping-particle":"","family":"Karatza","given":"Despina","non-dropping-particle":"","parse-names":false,"suffix":""},{"dropping-particle":"","family":"Konstantopoulos","given":"Christos","non-dropping-particle":"","parse-names":false,"suffix":""},{"dropping-particle":"","family":"Chianese","given":"Simeone","non-dropping-particle":"","parse-names":false,"suffix":""},{"dropping-particle":"","family":"Diplas","given":"Spyros","non-dropping-particle":"","parse-names":false,"suffix":""},{"dropping-particle":"","family":"Svec","given":"Peter","non-dropping-particle":"","parse-names":false,"suffix":""},{"dropping-particle":"","family":"Hristoforou","given":"Evangelos","non-dropping-particle":"","parse-names":false,"suffix":""},{"dropping-particle":"","family":"Musmarra","given":"Dino","non-dropping-particle":"","parse-names":false,"suffix":""}],"container-title":"Fuel Processing Technology","id":"ITEM-1","issue":"April 2020","issued":{"date-parts":[["2021"]]},"page":"106606","publisher":"Elsevier","title":"Hydrogen production through water splitting at low temperature over Fe3O4 pellet: Effects of electric power, magnetic field, and temperature","type":"article-journal","volume":"211"},"uris":["http://www.mendeley.com/documents/?uuid=bfe2ab02-c3d1-4c07-bada-1f37f20cb147"]}],"mendeley":{"formattedCitation":"(Karatza &lt;i&gt;et al.&lt;/i&gt;, 2021)","plainTextFormattedCitation":"(Karatza et al., 2021)","previouslyFormattedCitation":"(Karatza &lt;i&gt;et al.&lt;/i&gt;, 2021)"},"properties":{"noteIndex":0},"schema":"https://github.com/citation-style-language/schema/raw/master/csl-citation.json"}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(Karatza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2021)</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Fe</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O</w:t>
            </w:r>
            <w:r w:rsidRPr="008C36F5">
              <w:rPr>
                <w:rFonts w:ascii="Times New Roman" w:hAnsi="Times New Roman" w:cs="Times New Roman"/>
                <w:sz w:val="20"/>
                <w:szCs w:val="20"/>
                <w:vertAlign w:val="subscript"/>
              </w:rPr>
              <w:t xml:space="preserve">4 </w:t>
            </w:r>
            <w:r w:rsidRPr="008C36F5">
              <w:rPr>
                <w:rFonts w:ascii="Times New Roman" w:hAnsi="Times New Roman" w:cs="Times New Roman"/>
                <w:sz w:val="20"/>
                <w:szCs w:val="20"/>
              </w:rPr>
              <w:t>pellets with low resistivity</w:t>
            </w:r>
          </w:p>
        </w:tc>
        <w:tc>
          <w:tcPr>
            <w:tcW w:w="109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Simulation modelling investigation with ANOVA analysis</w:t>
            </w:r>
          </w:p>
        </w:tc>
        <w:tc>
          <w:tcPr>
            <w:tcW w:w="96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Low-temperature water splitting on Fe</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O</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 xml:space="preserve"> pellets produces hydrogen.</w:t>
            </w:r>
          </w:p>
        </w:tc>
        <w:tc>
          <w:tcPr>
            <w:tcW w:w="131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Development of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was primarily having an impact on hydrogen production, with greater magnetic field and electric power, hydrogen production enhanced.</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54</w:t>
            </w:r>
          </w:p>
        </w:tc>
      </w:tr>
      <w:tr w:rsidR="00A147DF" w:rsidRPr="008C36F5" w:rsidTr="001067B1">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{"citationItems":[{"id":"ITEM-1","itemData":{"ISSN":"22773878","abstract":"Hydrocarbon fuels are the best source of energy; however, they have some drawbacks. Because of extensive usage and replacement difficulties, it is not financially possible to entirely disregard them in the coming days. Hydrogen with Oxygen (hydroxide-HHO) gas as a fuel supplement is one possible way to reduce consumption and emissions of hydrocarbon fuels. However, the accessibility and rate of compressed hydrogen (H2) have made it challenging. Electrolysis of water, resolve numerous possible complications of using hydroxide for fuel to progress hydrocarbon burning. This research introduces a new design of electrolyzer with proper selection of electrode material and types integrated with magnetic field system, which can reduce the energy consumption. The effect of the optimum magnetic field strength was measured for this process with tap and distilled water. Two supplementary compounds, Sodium Hydroxide (NaOH) and Soda (NaHCO3), with concentration 3333ppm 1.5 litres of the electrolyte was used in this process. NaOH showed better performance and can be utilized in future development.","author":[{"dropping-particle":"","family":"Abdulameer","given":"Asaad Zuhair","non-dropping-particle":"","parse-names":false,"suffix":""},{"dropping-particle":"","family":"Buntat","given":"Zolkafle","non-dropping-particle":"","parse-names":false,"suffix":""},{"dropping-particle":"","family":"Arshad","given":"Rai Naveed","non-dropping-particle":"","parse-names":false,"suffix":""},{"dropping-particle":"","family":"Nawaw","given":"Zainuddin","non-dropping-particle":"","parse-names":false,"suffix":""}],"container-title":"International Journal of Recent Technology and Engineering","id":"ITEM-1","issue":"2 Special Issue","issued":{"date-parts":[["2019"]]},"page":"489-492","title":"Electrolysis through magnetic field for future renewable energy","type":"article-journal","volume":"8"},"uris":["http://www.mendeley.com/documents/?uuid=4f4c7a22-8df3-43e9-84b4-8f93f0d8d7be"]}],"mendeley":{"formattedCitation":"(Abdulameer &lt;i&gt;et al.&lt;/i&gt;, 2019)","plainTextFormattedCitation":"(Abdulameer et al., 2019)","previouslyFormattedCitation":"(Abdulameer &lt;i&gt;et al.&lt;/i&gt;, 2019)"},"properties":{"noteIndex":0},"schema":"https://github.com/citation-style-language/schema/raw/master/csl-citation.json"}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(Abdulameer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2019)</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HHO gas, NaOH &amp; NaHCO</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 xml:space="preserve"> as a catalyst</w:t>
            </w:r>
          </w:p>
        </w:tc>
        <w:tc>
          <w:tcPr>
            <w:tcW w:w="109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Feko software was used to simulate the magnetic electrolyzer and the cell architecture.</w:t>
            </w:r>
          </w:p>
        </w:tc>
        <w:tc>
          <w:tcPr>
            <w:tcW w:w="96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reduce  energy consumption by electrolysis of water using magnetic field</w:t>
            </w:r>
          </w:p>
        </w:tc>
        <w:tc>
          <w:tcPr>
            <w:tcW w:w="131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NaOH produces the highest power with 33% Concentration under the effect of magnetic field</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15</w:t>
            </w:r>
          </w:p>
        </w:tc>
      </w:tr>
      <w:tr w:rsidR="00A147DF" w:rsidRPr="008C36F5" w:rsidTr="00106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{"citationItems":[{"id":"ITEM-1","itemData":{"DOI":"10.1021/jacs.6b12971","ISSN":"15205126","PMID":"28132505","abstract":"The production of hydrogen through water splitting in a photoelectrochemical cell suffers from an overpotential that limits the efficiencies. In addition, hydrogen-peroxide formation is identified as a competing process affecting the oxidative stability of photoelectrodes. We impose spin-selectivity by coating the anode with chiral organic semiconductors from helically aggregated dyes as sensitizers; Zn-porphyrins and triarylamines. Hydrogen peroxide formation is dramatically suppressed, while the overall current through the cell, correlating with the water splitting process, is enhanced. Evidence for a strong spin-selection in the chiral semiconductors is presented by magnetic conducting (mc-)AFM measurements, in which chiral and achiral Zn-porphyrins are compared. These findings contribute to our understanding of the underlying mechanism of spin selectivity in multiple electron-transfer reactions and pave the way toward better chiral dye-sensitized photoelectrochemical cells.","author":[{"dropping-particle":"","family":"Mtangi","given":"Wilbert","non-dropping-particle":"","parse-names":false,"suffix":""},{"dropping-particle":"","family":"Tassinari","given":"Francesco","non-dropping-particle":"","parse-names":false,"suffix":""},{"dropping-particle":"","family":"Vankayala","given":"Kiran","non-dropping-particle":"","parse-names":false,"suffix":""},{"dropping-particle":"","family":"Vargas Jentzsch","given":"Andreas","non-dropping-particle":"","parse-names":false,"suffix":""},{"dropping-particle":"","family":"Adelizzi","given":"Beatrice","non-dropping-particle":"","parse-names":false,"suffix":""},{"dropping-particle":"","family":"Palmans","given":"Anja R.A.","non-dropping-particle":"","parse-names":false,"suffix":""},{"dropping-particle":"","family":"Fontanesi","given":"Claudio","non-dropping-particle":"","parse-names":false,"suffix":""},{"dropping-particle":"","family":"Meijer","given":"E. W.","non-dropping-particle":"","parse-names":false,"suffix":""},{"dropping-particle":"","family":"Naaman","given":"Ron","non-dropping-particle":"","parse-names":false,"suffix":""}],"container-title":"Journal of the American Chemical Society","id":"ITEM-1","issue":"7","issued":{"date-parts":[["2017"]]},"page":"2794-2798","title":"Control of Electrons' Spin Eliminates Hydrogen Peroxide Formation during Water Splitting","type":"article-journal","volume":"139"},"uris":["http://www.mendeley.com/documents/?uuid=2edce2e4-f841-4896-8c07-6663c17ffb80"]}],"mendeley":{"formattedCitation":"(Mtangi &lt;i&gt;et al.&lt;/i&gt;, 2017)","plainTextFormattedCitation":"(Mtangi et al., 2017)","previouslyFormattedCitation":"(Mtangi &lt;i&gt;et al.&lt;/i&gt;,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(Mtangi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2017)</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Chiral catalysts, chiral dyes, and chiral semi-conductors</w:t>
            </w:r>
          </w:p>
        </w:tc>
        <w:tc>
          <w:tcPr>
            <w:tcW w:w="109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Measurements were carried out using magnetic conducting atomic force microscopy </w:t>
            </w:r>
          </w:p>
        </w:tc>
        <w:tc>
          <w:tcPr>
            <w:tcW w:w="96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optimise cell efficiency.</w:t>
            </w:r>
          </w:p>
        </w:tc>
        <w:tc>
          <w:tcPr>
            <w:tcW w:w="131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current study's experimental findings point to a new approach to increasing the process of water splitting's efficiency.</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36</w:t>
            </w:r>
          </w:p>
        </w:tc>
      </w:tr>
      <w:tr w:rsidR="00A147DF" w:rsidRPr="008C36F5" w:rsidTr="001067B1">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{"citationItems":[{"id":"ITEM-1","itemData":{"DOI":"10.1038/srep45511","ISSN":"20452322","PMID":"28374758","abstract":"Ionic vacancy is a by-product in electrochemical reaction, composed of polarized free space of the order of 0.1 nm with a 1 s lifetime, and playing key roles in nano-electrochemical processes. However, its chemical nature has not yet been clarified. In copper electrodeposition under a high magnetic field of 15 T, using a new electrode system called cyclotron magnetohydrodynamic (MHD) electrode (CMHDE) composed of a pair of concentric cylindrical electrodes, we have found an extraordinary dendritic growth with a drastic positive potential shift from hydrogen-gas evolution potential. Dendritic deposition is characterized by the co-deposition of hydrogen molecule, but such a positive potential shift makes hydrogen-gas evolution impossible. However, in the high magnetic field, instead of flat deposit, remarkable dendritic growth emerged. By examining the chemical nature of ionic vacancy, it was concluded that ionic vacancy works on the dendrite formation with the extraordinary potential shift.","author":[{"dropping-particle":"","family":"Miura","given":"Makoto","non-dropping-particle":"","parse-names":false,"suffix":""},{"dropping-particle":"","family":"Oshikiri","given":"Yoshinobu","non-dropping-particle":"","parse-names":false,"suffix":""},{"dropping-particle":"","family":"Sugiyama","given":"Atsushi","non-dropping-particle":"","parse-names":false,"suffix":""},{"dropping-particle":"","family":"Morimoto","given":"Ryoichi","non-dropping-particle":"","parse-names":false,"suffix":""},{"dropping-particle":"","family":"Mogi","given":"Iwao","non-dropping-particle":"","parse-names":false,"suffix":""},{"dropping-particle":"","family":"Miura","given":"Miki","non-dropping-particle":"","parse-names":false,"suffix":""},{"dropping-particle":"","family":"Takagi","given":"Satoshi","non-dropping-particle":"","parse-names":false,"suffix":""},{"dropping-particle":"","family":"Yamauchi","given":"Yusuke","non-dropping-particle":"","parse-names":false,"suffix":""},{"dropping-particle":"","family":"Aogaki","given":"Ryoichi","non-dropping-particle":"","parse-names":false,"suffix":""}],"container-title":"Scientific Reports","id":"ITEM-1","issue":"November 2016","issued":{"date-parts":[["2017"]]},"page":"1-8","publisher":"Nature Publishing Group","title":"Magneto-Dendrite Effect: Copper Electrodeposition under High Magnetic Field","type":"article-journal","volume":"7"},"uris":["http://www.mendeley.com/documents/?uuid=bcc89b84-a409-4d50-870b-f42a5bab2a90"]}],"mendeley":{"formattedCitation":"(Miura &lt;i&gt;et al.&lt;/i&gt;, 2017)","plainTextFormattedCitation":"(Miura et al., 2017)","previouslyFormattedCitation":"(Miura &lt;i&gt;et al.&lt;/i&gt;,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(Miura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2017)</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Cyclotron Magneto-hydrodynamic Electrode</w:t>
            </w:r>
          </w:p>
        </w:tc>
        <w:tc>
          <w:tcPr>
            <w:tcW w:w="109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CMHDE was included in the experiment, and it was fully exposed without a mask.</w:t>
            </w:r>
          </w:p>
        </w:tc>
        <w:tc>
          <w:tcPr>
            <w:tcW w:w="96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eliminate the Dentrite growth using CMHDE</w:t>
            </w:r>
          </w:p>
        </w:tc>
        <w:tc>
          <w:tcPr>
            <w:tcW w:w="131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In dendritic growth, ionic vacancy plays the same function as the proton. Adsorbed protons were converted to hydrogen molecules at the active points of nucleation after receiving electrons, resulting in normal dendritic growth.</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37</w:t>
            </w:r>
          </w:p>
        </w:tc>
      </w:tr>
      <w:tr w:rsidR="00A147DF" w:rsidRPr="008C36F5" w:rsidTr="00106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{"citationItems":[{"id":"ITEM-1","itemData":{"DOI":"10.1016/j.electacta.2003.04.009","ISSN":"00134686","abstract":"The influence of an external magnetic field B on the electrochemical behaviour of the systems Cu2+/Cu, Ni2+/Ni, and [IrCl 6]2-/[IrCl6]3- has been studied. In the case of Cu depositions in an electrochemical cell with a large ratio of the electrode area and the cell volume the increase of the limiting current density with B can be explained with the interplay of natural convection and the Lorentz force acting on the resulting flow profile (magneto hydrodynamic or MHD effect). Ni depositions also show an MHD effect as well as a tendency to form more fine grained material in the presence of a magnetic field. The results on the homogeneous redox system [IrCl6]2-/[IrCl 6]3- at 50μm diameter micro electrodes are in qualitative agreement with recently proposed relationships to describe the influence of a B field on the limiting current density. © 2003 Elsevier Ltd. All rights reserved.","author":[{"dropping-particle":"","family":"Bund","given":"A.","non-dropping-particle":"","parse-names":false,"suffix":""},{"dropping-particle":"","family":"Koehler","given":"S.","non-dropping-particle":"","parse-names":false,"suffix":""},{"dropping-particle":"","family":"Kuehnlein","given":"H. H.","non-dropping-particle":"","parse-names":false,"suffix":""},{"dropping-particle":"","family":"Plieth","given":"W.","non-dropping-particle":"","parse-names":false,"suffix":""}],"container-title":"Electrochimica Acta","id":"ITEM-1","issue":"1","issued":{"date-parts":[["2003"]]},"page":"147-152","title":"Magnetic field effects in electrochemical reactions","type":"article-journal","volume":"49"},"uris":["http://www.mendeley.com/documents/?uuid=52a20865-6baf-4e12-8d04-e0e66468b411"]}],"mendeley":{"formattedCitation":"(Bund &lt;i&gt;et al.&lt;/i&gt;, 2003)","plainTextFormattedCitation":"(Bund et al., 2003)","previouslyFormattedCitation":"(Bund &lt;i&gt;et al.&lt;/i&gt;, 2003)"},"properties":{"noteIndex":0},"schema":"https://github.com/citation-style-language/schema/raw/master/csl-citation.json"}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(Bund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2003)</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Structures of Cu</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+/Cu, </w:t>
            </w:r>
            <w:r w:rsidRPr="008C36F5">
              <w:rPr>
                <w:rFonts w:ascii="Times New Roman" w:hAnsi="Times New Roman" w:cs="Times New Roman"/>
                <w:sz w:val="20"/>
                <w:szCs w:val="20"/>
              </w:rPr>
              <w:lastRenderedPageBreak/>
              <w:t>Ni</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+/Ni, and [IrCl</w:t>
            </w:r>
            <w:r w:rsidRPr="008C36F5">
              <w:rPr>
                <w:rFonts w:ascii="Times New Roman" w:hAnsi="Times New Roman" w:cs="Times New Roman"/>
                <w:sz w:val="20"/>
                <w:szCs w:val="20"/>
                <w:vertAlign w:val="subscript"/>
              </w:rPr>
              <w:t>6</w:t>
            </w:r>
            <w:r w:rsidRPr="008C36F5">
              <w:rPr>
                <w:rFonts w:ascii="Times New Roman" w:hAnsi="Times New Roman" w:cs="Times New Roman"/>
                <w:sz w:val="20"/>
                <w:szCs w:val="20"/>
              </w:rPr>
              <w:t>]</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/[IrCl6]</w:t>
            </w:r>
            <w:r w:rsidRPr="008C36F5">
              <w:rPr>
                <w:rFonts w:ascii="Times New Roman" w:hAnsi="Times New Roman" w:cs="Times New Roman"/>
                <w:sz w:val="20"/>
                <w:szCs w:val="20"/>
                <w:vertAlign w:val="subscript"/>
              </w:rPr>
              <w:t>3</w:t>
            </w:r>
          </w:p>
        </w:tc>
        <w:tc>
          <w:tcPr>
            <w:tcW w:w="109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Electrochemical tests were carried out using </w:t>
            </w:r>
            <w:r w:rsidRPr="008C36F5">
              <w:rPr>
                <w:rFonts w:ascii="Times New Roman" w:hAnsi="Times New Roman" w:cs="Times New Roman"/>
                <w:sz w:val="20"/>
                <w:szCs w:val="20"/>
              </w:rPr>
              <w:lastRenderedPageBreak/>
              <w:t>a Jaissle IMP 88PC-R potentiostat and ECMW in software. A saturated KCl calomel electrode was used for both potentials.</w:t>
            </w:r>
          </w:p>
        </w:tc>
        <w:tc>
          <w:tcPr>
            <w:tcW w:w="96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To investigate the electrochemical </w:t>
            </w:r>
            <w:r w:rsidRPr="008C36F5">
              <w:rPr>
                <w:rFonts w:ascii="Times New Roman" w:hAnsi="Times New Roman" w:cs="Times New Roman"/>
                <w:sz w:val="20"/>
                <w:szCs w:val="20"/>
              </w:rPr>
              <w:lastRenderedPageBreak/>
              <w:t>activity of the structures Cu</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+/Cu, Ni</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+/Ni, and [IrCl</w:t>
            </w:r>
            <w:r w:rsidRPr="008C36F5">
              <w:rPr>
                <w:rFonts w:ascii="Times New Roman" w:hAnsi="Times New Roman" w:cs="Times New Roman"/>
                <w:sz w:val="20"/>
                <w:szCs w:val="20"/>
                <w:vertAlign w:val="subscript"/>
              </w:rPr>
              <w:t>6</w:t>
            </w:r>
            <w:r w:rsidRPr="008C36F5">
              <w:rPr>
                <w:rFonts w:ascii="Times New Roman" w:hAnsi="Times New Roman" w:cs="Times New Roman"/>
                <w:sz w:val="20"/>
                <w:szCs w:val="20"/>
              </w:rPr>
              <w:t>]</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/[IrCl6]</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 xml:space="preserve"> in the presence of a magnetic field.</w:t>
            </w:r>
          </w:p>
        </w:tc>
        <w:tc>
          <w:tcPr>
            <w:tcW w:w="131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 xml:space="preserve">Using magnetic field enhanced current strength </w:t>
            </w:r>
            <w:r w:rsidRPr="008C36F5">
              <w:rPr>
                <w:rFonts w:ascii="Times New Roman" w:hAnsi="Times New Roman" w:cs="Times New Roman"/>
                <w:sz w:val="20"/>
                <w:szCs w:val="20"/>
              </w:rPr>
              <w:lastRenderedPageBreak/>
              <w:t>and leads to the creation of very fine-grained structures of Ni.</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lastRenderedPageBreak/>
              <w:t>31</w:t>
            </w:r>
          </w:p>
        </w:tc>
      </w:tr>
      <w:tr w:rsidR="00A147DF" w:rsidRPr="008C36F5" w:rsidTr="001067B1">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{"citationItems":[{"id":"ITEM-1","itemData":{"DOI":"10.1016/j.ces.2004.07.060","ISSN":"00092509","abstract":"The influence of Lorentz forces generated by faradaic currents and magnetic fields from permanent magnets on the momentum and mass transfer in natural convection copper electrolysis is discussed. Flow field measurements and visualizations of the concentration distribution are given and related to measured mean current densities. Flow structure as well as mass transfer depend strongly on the direction of the Lorentz force relative to that of natural convection. © 2004 Elsevier Ltd. All rights reserved.","author":[{"dropping-particle":"","family":"Weier","given":"Tom","non-dropping-particle":"","parse-names":false,"suffix":""},{"dropping-particle":"","family":"Hüller","given":"Jürgen","non-dropping-particle":"","parse-names":false,"suffix":""},{"dropping-particle":"","family":"Gerbeth","given":"Gunter","non-dropping-particle":"","parse-names":false,"suffix":""},{"dropping-particle":"","family":"Weiss","given":"Frank Peter","non-dropping-particle":"","parse-names":false,"suffix":""}],"container-title":"Chemical Engineering Science","id":"ITEM-1","issue":"1","issued":{"date-parts":[["2005"]]},"page":"293-298","title":"Lorentz force influence on momentum and mass transfer in natural convection copper electrolysis","type":"article-journal","volume":"60"},"uris":["http://www.mendeley.com/documents/?uuid=ed23d527-afc6-498b-944f-5c4bb096134d"]}],"mendeley":{"formattedCitation":"(Weier &lt;i&gt;et al.&lt;/i&gt;, 2005)","plainTextFormattedCitation":"(Weier et al., 2005)","previouslyFormattedCitation":"(Weier &lt;i&gt;et al.&lt;/i&gt;, 2005)"},"properties":{"noteIndex":0},"schema":"https://github.com/citation-style-language/schema/raw/master/csl-citation.json"}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(Weier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2005)</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Magnets made of neodymium, iron, and boron (NdFeB)</w:t>
            </w:r>
          </w:p>
        </w:tc>
        <w:tc>
          <w:tcPr>
            <w:tcW w:w="1092" w:type="pct"/>
            <w:shd w:val="clear" w:color="auto" w:fill="FFFFFF" w:themeFill="background1"/>
          </w:tcPr>
          <w:p w:rsidR="002B0713" w:rsidRDefault="002B0713" w:rsidP="002B0713">
            <w:pPr>
              <w:spacing w:afterAutospacing="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Chronoamperometry &amp; a Pt wire.</w:t>
            </w:r>
          </w:p>
          <w:p w:rsidR="00A147DF" w:rsidRPr="008C36F5" w:rsidRDefault="00A147DF" w:rsidP="002B0713">
            <w:pPr>
              <w:spacing w:afterAutospacing="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Shadowgraph technique. Digi</w:t>
            </w:r>
            <w:r w:rsidR="002B0713">
              <w:rPr>
                <w:rFonts w:ascii="Times New Roman" w:hAnsi="Times New Roman" w:cs="Times New Roman"/>
                <w:sz w:val="20"/>
                <w:szCs w:val="20"/>
              </w:rPr>
              <w:t>tal Particle Image Velocimetry.</w:t>
            </w:r>
          </w:p>
        </w:tc>
        <w:tc>
          <w:tcPr>
            <w:tcW w:w="96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Effects of the Lorentz power on mass and momentum transfer.</w:t>
            </w:r>
          </w:p>
        </w:tc>
        <w:tc>
          <w:tcPr>
            <w:tcW w:w="131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Convection was aided by the use of a magnet. The interaction of Lorentz and buoyancy forces has a significant impact on the flow structure.</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4</w:t>
            </w:r>
          </w:p>
        </w:tc>
      </w:tr>
      <w:tr w:rsidR="00A147DF" w:rsidRPr="008C36F5" w:rsidTr="00106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{"citationItems":[{"id":"ITEM-1","itemData":{"DOI":"10.1016/j.electacta.2008.07.074","ISSN":"00134686","abstract":"The start-up of natural convection in an inhomogeneous magnetic field was studied in a 0.1 M CuSO4solution between vertical electrodes. A Mach-Zehnder interferometer was used for the measurements of the concentration while the velocity field was determined by particle image velocimetry (PIV). The main phenomenon reported is the growth of a bubble-like zone of less-concentrated solution at the bottom of the cathode. This zone rises along the cathode if buoyancy is sufficiently strong to compete with the opposing Lorentz force. The results are discussed in terms of a scaling analysis. © 2008 Elsevier Ltd. All rights reserved.","author":[{"dropping-particle":"","family":"Yang","given":"Xuegeng","non-dropping-particle":"","parse-names":false,"suffix":""},{"dropping-particle":"","family":"Eckert","given":"Kerstin","non-dropping-particle":"","parse-names":false,"suffix":""},{"dropping-particle":"","family":"Seidel","given":"Kirsten","non-dropping-particle":"","parse-names":false,"suffix":""},{"dropping-particle":"","family":"Uhlemann","given":"Margitta","non-dropping-particle":"","parse-names":false,"suffix":""}],"container-title":"Electrochimica Acta","id":"ITEM-1","issue":"2","issued":{"date-parts":[["2008"]]},"page":"352-359","title":"The start-up of natural convection during copper electrolysis in the presence of an opposing Lorentz force","type":"article-journal","volume":"54"},"uris":["http://www.mendeley.com/documents/?uuid=f117787a-b70c-4052-8da6-775cc91bf2dd"]}],"mendeley":{"formattedCitation":"(Yang &lt;i&gt;et al.&lt;/i&gt;, 2008)","plainTextFormattedCitation":"(Yang et al., 2008)","previouslyFormattedCitation":"(Yang &lt;i&gt;et al.&lt;/i&gt;, 2008)"},"properties":{"noteIndex":0},"schema":"https://github.com/citation-style-language/schema/raw/master/csl-citation.json"}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(Yang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2008)</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Lorentz force &amp; 0.1M CuSO4 solution.</w:t>
            </w:r>
          </w:p>
        </w:tc>
        <w:tc>
          <w:tcPr>
            <w:tcW w:w="109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velocity fields were measured using the programme PIV view and the electrochemical cell region was pictured by a MachZehnder interferometer.</w:t>
            </w:r>
          </w:p>
        </w:tc>
        <w:tc>
          <w:tcPr>
            <w:tcW w:w="96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emergence and less-concentrated solution rise in a bubble-like area was the subject of this article.</w:t>
            </w:r>
          </w:p>
        </w:tc>
        <w:tc>
          <w:tcPr>
            <w:tcW w:w="131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An inhomogeneous field of a magnet creates a Lorentz force that resists buoyancy, causing natural convection to start differently.</w:t>
            </w:r>
          </w:p>
        </w:tc>
        <w:tc>
          <w:tcPr>
            <w:tcW w:w="2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38</w:t>
            </w:r>
          </w:p>
        </w:tc>
      </w:tr>
      <w:tr w:rsidR="00A147DF" w:rsidRPr="008C36F5" w:rsidTr="001067B1">
        <w:tc>
          <w:tcPr>
            <w:cnfStyle w:val="001000000000" w:firstRow="0" w:lastRow="0" w:firstColumn="1" w:lastColumn="0" w:oddVBand="0" w:evenVBand="0" w:oddHBand="0" w:evenHBand="0" w:firstRowFirstColumn="0" w:firstRowLastColumn="0" w:lastRowFirstColumn="0" w:lastRowLastColumn="0"/>
            <w:tcW w:w="621"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{"citationItems":[{"id":"ITEM-1","itemData":{"DOI":"10.1016/j.egyr.2019.12.009","ISSN":"23524847","abstract":"In this paper, retrofitting of a hydroxy (HHO) cell which is coupled to a gasoline engine is performed by investigating the effects of electrodes’ shape and distances and the impacts of improvement technologies ultrasonic waves, DC pulsed power with various frequencies and magnetic field on the cell's bubble pumping efficiency and rate of HHO gas production. Subsequently, an energy analysis was performed to provide a comparison between different improvement technologies. As a result, by applying DC pulsed power with 300 kHz frequency to the HHO cell, highest HHO gas production rate, energy efficiency and lowest energy intensity is achieved among other technologies, however, it will allocate lowest surface intensity which leads to requiring more electrode surface area. In addition, employment of ultrasonic waves improves HHO gas production rate from approximately 6.4% to 52.4%, and it is possessed the highest surface intensity which result in requiring lowest electrode surface among other methods. Finally, the effects of superior improvement methods on the overall cost and weight of an HHO generator and its impacts on engine parameters are studied.","author":[{"dropping-particle":"","family":"Salek","given":"Farhad","non-dropping-particle":"","parse-names":false,"suffix":""},{"dropping-particle":"","family":"Zamen","given":"Mohammad","non-dropping-particle":"","parse-names":false,"suffix":""},{"dropping-particle":"","family":"Hosseini","given":"Seyed Vahid","non-dropping-particle":"","parse-names":false,"suffix":""}],"container-title":"Energy Reports","id":"ITEM-1","issued":{"date-parts":[["2020"]]},"page":"146-156","publisher":"Elsevier Ltd","title":"Experimental study, energy assessment and improvement of hydroxy generator coupled with a gasoline engine","type":"article-journal","volume":"6"},"uris":["http://www.mendeley.com/documents/?uuid=bce7f2ba-3d9f-4f06-ab91-74674ace4209"]}],"mendeley":{"formattedCitation":"(Salek, Zamen and Hosseini, 2020)","plainTextFormattedCitation":"(Salek, Zamen and Hosseini, 2020)","previouslyFormattedCitation":"(Salek, Zamen and Hosseini, 2020)"},"properties":{"noteIndex":0},"schema":"https://github.com/citation-style-language/schema/raw/master/csl-citation.json"}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(Salek, Zamen and Hosseini, 2020)</w:t>
            </w:r>
            <w:r w:rsidRPr="008C36F5">
              <w:rPr>
                <w:rFonts w:ascii="Times New Roman" w:hAnsi="Times New Roman" w:cs="Times New Roman"/>
                <w:sz w:val="20"/>
                <w:szCs w:val="20"/>
              </w:rPr>
              <w:fldChar w:fldCharType="end"/>
            </w:r>
          </w:p>
        </w:tc>
        <w:tc>
          <w:tcPr>
            <w:tcW w:w="743"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HHO generator, Ultrasonic waves.</w:t>
            </w:r>
          </w:p>
        </w:tc>
        <w:tc>
          <w:tcPr>
            <w:tcW w:w="109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experimental model of D.C power and Ultrasonic assisted with Retrofitting technology was used</w:t>
            </w:r>
          </w:p>
        </w:tc>
        <w:tc>
          <w:tcPr>
            <w:tcW w:w="96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Improve hydroxy generator output of HHO by using Ultrasonic waves and other parameters.</w:t>
            </w:r>
          </w:p>
        </w:tc>
        <w:tc>
          <w:tcPr>
            <w:tcW w:w="131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Optimized HHO generation was obtained for the plate size of 2mm, frequency 300 Hz and more.  Ultrasonic enhanced the HHO generation rate</w:t>
            </w:r>
          </w:p>
        </w:tc>
        <w:tc>
          <w:tcPr>
            <w:tcW w:w="2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28</w:t>
            </w:r>
          </w:p>
        </w:tc>
      </w:tr>
    </w:tbl>
    <w:p w:rsidR="00A147DF" w:rsidRPr="008C36F5" w:rsidRDefault="00A147DF" w:rsidP="008C36F5">
      <w:pPr>
        <w:tabs>
          <w:tab w:val="left" w:pos="900"/>
        </w:tabs>
        <w:spacing w:line="240" w:lineRule="auto"/>
        <w:rPr>
          <w:rFonts w:ascii="Times New Roman" w:hAnsi="Times New Roman" w:cs="Times New Roman"/>
          <w:b/>
          <w:sz w:val="20"/>
          <w:szCs w:val="20"/>
        </w:rPr>
        <w:sectPr w:rsidR="00A147DF" w:rsidRPr="008C36F5" w:rsidSect="00706571">
          <w:type w:val="continuous"/>
          <w:pgSz w:w="12240" w:h="15840"/>
          <w:pgMar w:top="1440" w:right="1440" w:bottom="1440" w:left="1440" w:header="0" w:footer="0" w:gutter="0"/>
          <w:lnNumType w:countBy="1" w:restart="continuous"/>
          <w:cols w:space="720"/>
          <w:docGrid w:linePitch="360"/>
        </w:sectPr>
      </w:pPr>
    </w:p>
    <w:p w:rsidR="00A147DF" w:rsidRPr="008C36F5" w:rsidRDefault="00A147DF" w:rsidP="008C36F5">
      <w:pPr>
        <w:tabs>
          <w:tab w:val="left" w:pos="900"/>
        </w:tabs>
        <w:spacing w:line="240" w:lineRule="auto"/>
        <w:rPr>
          <w:rFonts w:ascii="Times New Roman" w:hAnsi="Times New Roman" w:cs="Times New Roman"/>
          <w:b/>
          <w:sz w:val="20"/>
          <w:szCs w:val="20"/>
        </w:rPr>
      </w:pPr>
      <w:r w:rsidRPr="002B0713">
        <w:rPr>
          <w:rFonts w:ascii="Times New Roman" w:hAnsi="Times New Roman" w:cs="Times New Roman"/>
          <w:b/>
          <w:szCs w:val="20"/>
        </w:rPr>
        <w:t xml:space="preserve">Comment: </w:t>
      </w:r>
      <w:r w:rsidRPr="002B0713">
        <w:rPr>
          <w:rFonts w:ascii="Times New Roman" w:hAnsi="Times New Roman" w:cs="Times New Roman"/>
          <w:szCs w:val="20"/>
        </w:rPr>
        <w:t xml:space="preserve"> </w:t>
      </w:r>
      <w:r w:rsidRPr="008C36F5">
        <w:rPr>
          <w:rFonts w:ascii="Times New Roman" w:hAnsi="Times New Roman" w:cs="Times New Roman"/>
          <w:sz w:val="20"/>
          <w:szCs w:val="20"/>
        </w:rPr>
        <w:t>The increased current density accelerates the gas discharge and decreases polarisation when the potential difference is high. By superimposing the magnetic flux density on top of the current density at high current densities, the efficiency of water electrolysis is substantially enhanced. The interaction of a twisted electric field line across the gas bubble with the magnetic field in the intermediate current density zone might cause microscopic convection. Water electrolysis in a magnetic field can enhance the energy efficiency of hydrogen generation. The major factors of hydrogen development are electric power and magnetic field; as the magnetic field and electric power rose, so did hydrogen production. When a magnetic field is present, NaOH provides the best result at the strength of 33% concentration. The experimental result of the current research point to a new direction for Water splitting efficiency is being improved. In dendritic development, ionic vacancy functions similarly to the proton. Adsorbing protons were turned into hydrogen molecules after absorbing electrons, resulting in normal dendritic formation. The application of a magnetic field increased current strength and resulted in the formation of very fine-grained Ni structures. Lorentz and buoyancy forces combine to affect the flow structure. There is a strong unsteady evolution of the inhomogeneous magnetic field.</w:t>
      </w:r>
    </w:p>
    <w:p w:rsidR="00A147DF" w:rsidRPr="002B0713" w:rsidRDefault="00A147DF" w:rsidP="008C36F5">
      <w:pPr>
        <w:tabs>
          <w:tab w:val="left" w:pos="900"/>
        </w:tabs>
        <w:spacing w:line="240" w:lineRule="auto"/>
        <w:rPr>
          <w:rFonts w:ascii="Times New Roman" w:hAnsi="Times New Roman" w:cs="Times New Roman"/>
          <w:b/>
          <w:szCs w:val="20"/>
        </w:rPr>
      </w:pPr>
      <w:r w:rsidRPr="002B0713">
        <w:rPr>
          <w:rFonts w:ascii="Times New Roman" w:hAnsi="Times New Roman" w:cs="Times New Roman"/>
          <w:b/>
          <w:szCs w:val="20"/>
        </w:rPr>
        <w:t>9. Generation of Oxyhydrogen Gas (HHO)/Hydrogen Gas generation Using Bifunctionality and Flexible Working Electrode/ Cobalt-Tungsten-Boron as an Active Electrocatalyst:</w:t>
      </w:r>
    </w:p>
    <w:p w:rsidR="00A147DF" w:rsidRPr="008C36F5" w:rsidRDefault="00A147DF" w:rsidP="008C36F5">
      <w:pPr>
        <w:tabs>
          <w:tab w:val="left" w:pos="900"/>
        </w:tabs>
        <w:spacing w:line="240" w:lineRule="auto"/>
        <w:rPr>
          <w:rFonts w:ascii="Times New Roman" w:hAnsi="Times New Roman" w:cs="Times New Roman"/>
          <w:sz w:val="20"/>
          <w:szCs w:val="20"/>
        </w:rPr>
      </w:pPr>
      <w:r w:rsidRPr="008C36F5">
        <w:rPr>
          <w:rFonts w:ascii="Times New Roman" w:hAnsi="Times New Roman" w:cs="Times New Roman"/>
          <w:sz w:val="20"/>
          <w:szCs w:val="20"/>
        </w:rPr>
        <w:t xml:space="preserve">Zhu et.al worked on the mesoporous cobalt phosphide nanorod arrays that are self-supported. The Phosphide mesoporous nanorod arrays and Photo-electrochemistry approach was used. The goal was to research regenerative fuel cell and rechargeable metal-air battery development. Porosity ensures structural linkages and enhanced mass/charge transfer, making it comparable to state-of-the-art catalysts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{"citationItems":[{"id":"ITEM-1","itemData":{"DOI":"10.1002/adfm.201503666","ISSN":"16163028","abstract":"Water splitting for the production of hydrogen and oxygen is an appealing solution to advance many sustainable and renewable energy conversion and storage systems, while the key fact depends on the innovative exploration regarding the design of efficient electrocatalysts. Reported herein is the growth of CoP mesoporous nanorod arrays on conductive Ni foam through an electrodeposition strategy. The resulting material of well-defined mesoporosity and a high specific surface area (148 m2 g−1) can be directly employed as a bifunctional and flexible working electrode for both hydrogen and oxygen evolution reactions, showing superior activities as compared with noble metal benchmarks and state-of-the-art transition-metal-based catalysts. This is intimately related to the unique nanorod array electrode configuration, leading to excellent electric interconnection and improved mass transport. A further step is taken toward an alkaline electrolyzer that can achieve a current density of 10 mA cm−2 at a voltage around 1.62 V over a long-term operation, better than the combination of Pt and IrO2. This development is suggested to be readily extended to obtain other electrocatalysis systems for scale-up water-splitting technology.","author":[{"dropping-particle":"","family":"Zhu","given":"Yun Pei","non-dropping-particle":"","parse-names":false,"suffix":""},{"dropping-particle":"","family":"Liu","given":"Yu Ping","non-dropping-particle":"","parse-names":false,"suffix":""},{"dropping-particle":"","family":"Ren","given":"Tie Zhen","non-dropping-particle":"","parse-names":false,"suffix":""},{"dropping-particle":"","family":"Yuan","given":"Zhong Yong","non-dropping-particle":"","parse-names":false,"suffix":""}],"container-title":"Advanced Functional Materials","id":"ITEM-1","issue":"47","issued":{"date-parts":[["2015"]]},"page":"7337-7347","title":"Self-supported cobalt phosphide mesoporous nanorod arrays: A flexible and bifunctional electrode for highly active electrocatalytic water reduction and oxidation","type":"article-journal","volume":"25"},"uris":["http://www.mendeley.com/documents/?uuid=ea017327-b461-4d35-81fb-af51c8bce4f4"]}],"mendeley":{"formattedCitation":"(Y. P. Zhu &lt;i&gt;et al.&lt;/i&gt;, 2015)","plainTextFormattedCitation":"(Y. P. Zhu et al., 2015)","previouslyFormattedCitation":"(Y. P. Zhu &lt;i&gt;et al.&lt;/i&gt;, 2015)"},"properties":{"noteIndex":0},"schema":"https://github.com/citation-style-language/schema/raw/master/csl-citation.json"}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(Y. P. Zhu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2015)</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They worked on the role of surface trivalent manganese in water oxidation electrocatalysis in undoped and doped MnO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nanowires. The input parameters were undoped and doped MnO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nanowires. MnO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nanowires were created using a hydrothermal technique. The goal was to figure out what surface trivalent manganese meant. The result showed that insertion of Ca and Ag into the tunnel of alpha MnO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gave a substantial increase in the fraction of Mn</w:t>
      </w:r>
      <w:r w:rsidRPr="008C36F5">
        <w:rPr>
          <w:rFonts w:ascii="Times New Roman" w:hAnsi="Times New Roman" w:cs="Times New Roman"/>
          <w:sz w:val="20"/>
          <w:szCs w:val="20"/>
          <w:vertAlign w:val="superscript"/>
        </w:rPr>
        <w:t>3+</w:t>
      </w:r>
      <w:r w:rsidRPr="008C36F5">
        <w:rPr>
          <w:rFonts w:ascii="Times New Roman" w:hAnsi="Times New Roman" w:cs="Times New Roman"/>
          <w:sz w:val="20"/>
          <w:szCs w:val="20"/>
        </w:rPr>
        <w:t xml:space="preserv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{"citationItems":[{"id":"ITEM-1","itemData":{"DOI":"10.1002/cctc.201500143","ISSN":"18673899","abstract":"The oxygen-evolution reaction (OER) is a bottleneck reaction because of a significant overpotential loss in water electrolysis. Currently, MnO2-based materials are promising candidates for OER electrocatalysts owing to their abundance and excellent properties. Herein, a hydrothermal method was used to prepare MnO2 nanowires with different diameters. Furthermore, an impregnation method was applied to dope MnO2 nanowires with Ca and Ag ions. Characterization by TEM, XRD, Raman, X-ray photoelectron spectroscopy (XPS), N2 adsorption, and linear-scanning voltammogram analysis were performed on these materials. It was found that the OER activity of as-prepared and doped MnO2 nanowires is highly dependent on the fraction of surface trivalent manganese in MnO2 nanowires. Density functional theory calculations of doped MnO2 revealed the delicate change of the electronic properties of MnO2 nanowires after doping. Understanding doping: Heteroatom co-doping of Ca and Ag can effectively promote the electrochemical activity of α-MnO2 nanowires. X-ray photoelectron spectroscopy and density functional theory calculations unveil the delicate change in surface chemistry of MnO2 after doping.","author":[{"dropping-particle":"","family":"Li","given":"Xiaopeng","non-dropping-particle":"","parse-names":false,"suffix":""},{"dropping-particle":"","family":"Liu","given":"Jiong","non-dropping-particle":"","parse-names":false,"suffix":""},{"dropping-particle":"","family":"Zhao","given":"Yonghui","non-dropping-particle":"","parse-names":false,"suffix":""},{"dropping-particle":"","family":"Zhang","given":"Haojie","non-dropping-particle":"","parse-names":false,"suffix":""},{"dropping-particle":"","family":"Du","given":"Fuping","non-dropping-particle":"","parse-names":false,"suffix":""},{"dropping-particle":"","family":"Lin","given":"Chao","non-dropping-particle":"","parse-names":false,"suffix":""},{"dropping-particle":"","family":"Zhao","given":"Tiejun","non-dropping-particle":"","parse-names":false,"suffix":""},{"dropping-particle":"","family":"Sun","given":"Yuhan","non-dropping-particle":"","parse-names":false,"suffix":""}],"container-title":"ChemCatChem","id":"ITEM-1","issue":"12","issued":{"date-parts":[["2015"]]},"page":"1848-1856","title":"Significance of Surface Trivalent Manganese in the Electrocatalytic Activity of Water Oxidation in Undoped and Doped MnO2 Nanowires","type":"article-journal","volume":"7"},"uris":["http://www.mendeley.com/documents/?uuid=b56c32b0-4d86-49fe-92f1-7448a2519558"]}],"mendeley":{"formattedCitation":"(Li &lt;i&gt;et al.&lt;/i&gt;, 2015)","plainTextFormattedCitation":"(Li et al., 2015)","previouslyFormattedCitation":"(Li &lt;i&gt;et al.&lt;/i&gt;, 2015)"},"properties":{"noteIndex":0},"schema":"https://github.com/citation-style-language/schema/raw/master/csl-citation.json"}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(Li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2015)</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Large-scale hydrogen generation from water electrolysis relied heavily on Earth-abundant, low-cost, and highly active bifunctional electrocatalysts. It was discovered that new FeNi3/NiFeOx Nanohybrids have excellent electrocatalytic </w:t>
      </w:r>
      <w:r w:rsidRPr="008C36F5">
        <w:rPr>
          <w:rFonts w:ascii="Times New Roman" w:hAnsi="Times New Roman" w:cs="Times New Roman"/>
          <w:sz w:val="20"/>
          <w:szCs w:val="20"/>
        </w:rPr>
        <w:lastRenderedPageBreak/>
        <w:t xml:space="preserve">activity in both the hydrogen and oxygen evolution reactions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{"citationItems":[{"id":"ITEM-1","itemData":{"DOI":"10.1002/admi.201600368","ISSN":"21967350","abstract":"Earth-abundant, low-cost, and highly active bifunctional electrocatalysts are of significant importance to the large-scale production of hydrogen from water electrolysis. Herein, it is reported that novel FeNi3/NiFeOx nanohybrids display high electrocatalytic activities in both hydrogen evolution reaction (HER) and oxygen evolution reaction (OER). These FeNi3/NiFeOx nanohybrids are obtained with the unique hydrogenation treatment of NiFeOx nanosheets. Small onset potentials of ≈20 and 240 mV are obtained for HER and OER, respectively, benefited from the synergistic effect of FeNi3 and NiFeOx. Only a small voltage of 1.55 V is needed to reach a current density of 10 mA cm-2 for the overall water splitting in an alkaline electrolyzer when using FeNi3/NiFeOx as both cathode and anode catalysts. This is one of the best performance of electrocatalysts for HER and OER, shining the bright future for earth-abundant, low-cost bifunctional electrocatalysts for large-scale production of hydrogen from water electrolysis.","author":[{"dropping-particle":"","family":"Yan","given":"Xiaodong","non-dropping-particle":"","parse-names":false,"suffix":""},{"dropping-particle":"","family":"Tian","given":"Lihong","non-dropping-particle":"","parse-names":false,"suffix":""},{"dropping-particle":"","family":"Li","given":"Kexue","non-dropping-particle":"","parse-names":false,"suffix":""},{"dropping-particle":"","family":"Atkins","given":"Samuel","non-dropping-particle":"","parse-names":false,"suffix":""},{"dropping-particle":"","family":"Zhao","given":"Haifeng","non-dropping-particle":"","parse-names":false,"suffix":""},{"dropping-particle":"","family":"Murowchick","given":"James","non-dropping-particle":"","parse-names":false,"suffix":""},{"dropping-particle":"","family":"Liu","given":"Lei","non-dropping-particle":"","parse-names":false,"suffix":""},{"dropping-particle":"","family":"Chen","given":"Xiaobo","non-dropping-particle":"","parse-names":false,"suffix":""}],"container-title":"Advanced Materials Interfaces","id":"ITEM-1","issue":"22","issued":{"date-parts":[["2016"]]},"page":"01-08","title":"FeNi3/NiFeOx Nanohybrids as Highly Efficient Bifunctional Electrocatalysts for Overall Water Splitting","type":"article-journal","volume":"3"},"uris":["http://www.mendeley.com/documents/?uuid=01aebb94-51e4-4ff5-8e88-ba241af4f764"]}],"mendeley":{"formattedCitation":"(Yan &lt;i&gt;et al.&lt;/i&gt;, 2016)","plainTextFormattedCitation":"(Yan et al., 2016)","previouslyFormattedCitation":"(Yan &lt;i&gt;et al.&lt;/i&gt;, 2016)"},"properties":{"noteIndex":0},"schema":"https://github.com/citation-style-language/schema/raw/master/csl-citation.json"}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(Yan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2016)</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This research developed an enhanced WES with a double super-aerophobic electrode, which was made possible by combining a nanostructured NiMo alloy with NiFe layered double hydroxide (NiFe-LDH) sheets for hydrogen and oxygen evolution reactions. This WES delivers high performance compared to commercial catalysts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{"citationItems":[{"id":"ITEM-1","itemData":{"DOI":"10.1002/smll.201600189","ISBN":"1613-6810","ISSN":"16136829","PMID":"26997618","abstract":"Catalysts screening and structural optimization are both essential for pursuing a high-efficient water electrolysis system (WES) with reduced energy supply. This study demonstrates an advanced WES with double superaerophobic electrodes, which are achieved by constructing a nanostructured NiMo alloy and NiFe layered double hydroxide (NiFe-LDH) films for hydrogen evolution and oxygen evolution reactions, respectively. The superaerophobic property gives rise to significantly reduced adhesion forces to gas bubbles and thereby accelerates the hydrogen and oxygen bubble releasing behaviors. Benefited from these metrics and the high intrinsic activities of catalysts, this WES affords an early onset potential (≈1.5 V) for water splitting and ultrafast catalytic current density increase (≈0.83 mA mV?1), resulting in ≈2.69 times higher performance compared to the commercial Pt/C and IrO2/C catalysts based counterpart under 1.9 V. Moreover, enhanced performance at high temperature as well as prominent stability further demonstrate the practical application of this WES.","author":[{"dropping-particle":"","family":"Xu","given":"Wenwen","non-dropping-particle":"","parse-names":false,"suffix":""},{"dropping-particle":"","family":"Lu","given":"Zhiyi","non-dropping-particle":"","parse-names":false,"suffix":""},{"dropping-particle":"","family":"Wan","given":"Pengbo","non-dropping-particle":"","parse-names":false,"suffix":""},{"dropping-particle":"","family":"Kuang","given":"Yun","non-dropping-particle":"","parse-names":false,"suffix":""},{"dropping-particle":"","family":"Sun","given":"Xiaoming","non-dropping-particle":"","parse-names":false,"suffix":""}],"container-title":"Small","id":"ITEM-1","issue":"18","issued":{"date-parts":[["2016"]]},"page":"2492-2498","title":"High-performance water electrolysis system with double nanostructured superaerophobic electrodes","type":"article-journal","volume":"12"},"uris":["http://www.mendeley.com/documents/?uuid=a952fac2-ef5b-4d93-86ca-7f0a4e58c49b"]}],"mendeley":{"formattedCitation":"(Xu &lt;i&gt;et al.&lt;/i&gt;, 2016)","plainTextFormattedCitation":"(Xu et al., 2016)","previouslyFormattedCitation":"(Xu &lt;i&gt;et al.&lt;/i&gt;, 2016)"},"properties":{"noteIndex":0},"schema":"https://github.com/citation-style-language/schema/raw/master/csl-citation.json"}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(Xu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2016)</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xml:space="preserve">. High-performance electrocatalysts were needed for electrochemical water splitting to create clean hydrogen fuel. It was discovered that the transition metal boron alloy Co-W-B is an active water electrocatalyst. The promise of transition metal-boron alloys as a high-performance, low-cost electrocatalyst for water splitting was discovered in this research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{"citationItems":[{"id":"ITEM-1","itemData":{"DOI":"10.1002/slct.201701459","ISSN":"23656549","abstract":"Electrochemically splitting water to produce clean hydrogen fuel requires high-performance electrocatalysts. Here, we report transition metal-boron alloy Co-W−B is an active electrocatalyst for water electrolysis. The Co-W−B catalyst can be readily deposited on nickle foam (NF) using a simple electroless plating method. A combination of phase/chemical state/microstructural analyses of the Co-W−B electrocatalyst was conducted using XRD, TEM, Raman spectroscopy and XPS techniques. The properly annealed Co-W−B/NF catalyst with an optimal composition exhibits a low overpotential along with a high stability for the hydrogen evolution reaction (HER) in alkaline solution, which is among the best reported levels for non-noble HER catalysts. In addition, the Co-W−B/NF catalyst also shows moderate activity towards the oxygen evolution reaction (OER). These study results highlight the potential of transition metal-boron alloys as high-performance and low-cost electrocatalyst for water splitting.","author":[{"dropping-particle":"","family":"Cao","given":"Guo Xuan","non-dropping-particle":"","parse-names":false,"suffix":""},{"dropping-particle":"","family":"Xu","given":"Ning","non-dropping-particle":"","parse-names":false,"suffix":""},{"dropping-particle":"","family":"Chen","given":"Zheng Jun","non-dropping-particle":"","parse-names":false,"suffix":""},{"dropping-particle":"","family":"Kang","given":"Qing","non-dropping-particle":"","parse-names":false,"suffix":""},{"dropping-particle":"Bin","family":"Dai","given":"Hong","non-dropping-particle":"","parse-names":false,"suffix":""},{"dropping-particle":"","family":"Wang","given":"Ping","non-dropping-particle":"","parse-names":false,"suffix":""}],"container-title":"ChemistrySelect","id":"ITEM-1","issue":"21","issued":{"date-parts":[["2017"]]},"page":"6187-6193","title":"Cobalt-Tungsten-Boron as an Active Electrocatalyst for Water Electrolysis","type":"article-journal","volume":"2"},"uris":["http://www.mendeley.com/documents/?uuid=2ef624c3-7b57-4ca7-a9e9-9822e05a50a5"]}],"mendeley":{"formattedCitation":"(Cao &lt;i&gt;et al.&lt;/i&gt;, 2017)","plainTextFormattedCitation":"(Cao et al., 2017)","previouslyFormattedCitation":"(Cao &lt;i&gt;et al.&lt;/i&gt;, 2017)"},"properties":{"noteIndex":0},"schema":"https://github.com/citation-style-language/schema/raw/master/csl-citation.json"}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(Cao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2017)</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 They focused on core/shell NBs made of TiO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/TiN for effective solar hydrogen production. As an input, synthesised TiO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/TiN core/shell NBs were evaluated using semiconductor-based photocatalysis. The goal was to create an active and low-cost catalyst as a replacement for photocatalytic H</w:t>
      </w:r>
      <w:r w:rsidRPr="008C36F5">
        <w:rPr>
          <w:rFonts w:ascii="Times New Roman" w:hAnsi="Times New Roman" w:cs="Times New Roman"/>
          <w:sz w:val="20"/>
          <w:szCs w:val="20"/>
          <w:vertAlign w:val="subscript"/>
        </w:rPr>
        <w:t xml:space="preserve">2 </w:t>
      </w:r>
      <w:r w:rsidRPr="008C36F5">
        <w:rPr>
          <w:rFonts w:ascii="Times New Roman" w:hAnsi="Times New Roman" w:cs="Times New Roman"/>
          <w:sz w:val="20"/>
          <w:szCs w:val="20"/>
        </w:rPr>
        <w:t>generation. The results showed that TiO/TiN core/shell NBs could be successfully fabricated by controlling reaction time and temperature and that they had highly stable photocatalytic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production performance </w:t>
      </w:r>
      <w:r w:rsidR="0063134A" w:rsidRPr="008C36F5">
        <w:rPr>
          <w:rFonts w:ascii="Times New Roman" w:hAnsi="Times New Roman" w:cs="Times New Roman"/>
          <w:sz w:val="20"/>
          <w:szCs w:val="20"/>
        </w:rPr>
        <w:fldChar w:fldCharType="begin" w:fldLock="1"/>
      </w:r>
      <w:r w:rsidRPr="008C36F5">
        <w:rPr>
          <w:rFonts w:ascii="Times New Roman" w:hAnsi="Times New Roman" w:cs="Times New Roman"/>
          <w:sz w:val="20"/>
          <w:szCs w:val="20"/>
        </w:rPr>
        <w:instrText>ADDIN CSL_CITATION {"citationItems":[{"id":"ITEM-1","itemData":{"DOI":"10.1039/c8cc02651c","ISSN":"1359-7345","abstract":" TiO 2 /TiN core/shell NBs are successfully synthesized, and used as highly efficient photocatalytic H 2 evolution catalysts (120 μmol h −1 g −1 ) from methanol solution.  TiO 2 /TiN core/shell NBs are successfully synthesized, and used as highly efficient photocatalytic H 2 evolution catalysts (120 μmol h −1 g −1 ) from methanol solution. The TiN shell plays dual roles by extending the light absorption range and also promoting the separation/transfer of photoexcited charge carriers as an electron collector. ","author":[{"dropping-particle":"","family":"Yang","given":"Ruiqi","non-dropping-particle":"","parse-names":false,"suffix":""},{"dropping-particle":"","family":"Zhao","given":"Zhenhuan","non-dropping-particle":"","parse-names":false,"suffix":""},{"dropping-particle":"","family":"Yu","given":"Xin","non-dropping-particle":"","parse-names":false,"suffix":""},{"dropping-particle":"","family":"Ding","given":"Longhua","non-dropping-particle":"","parse-names":false,"suffix":""},{"dropping-particle":"","family":"Ren","given":"Na","non-dropping-particle":"","parse-names":false,"suffix":""},{"dropping-particle":"","family":"Liu","given":"Hong","non-dropping-particle":"","parse-names":false,"suffix":""},{"dropping-particle":"","family":"Li","given":"Linlin","non-dropping-particle":"","parse-names":false,"suffix":""},{"dropping-particle":"","family":"Sun","given":"Deihui","non-dropping-particle":"","parse-names":false,"suffix":""},{"dropping-particle":"","family":"Ji","given":"Yanchen","non-dropping-particle":"","parse-names":false,"suffix":""}],"container-title":"Chemical Communications","id":"ITEM-1","issue":"47","issued":{"date-parts":[["2018"]]},"page":"6056-6059","title":" TiO 2 /TiN core/shell nanobelts for efficient solar hydrogen generation ","type":"article-journal","volume":"54"},"uris":["http://www.mendeley.com/documents/?uuid=84c00a1a-9fd0-46f3-8d74-344623a6497b"]}],"mendeley":{"formattedCitation":"(Yang &lt;i&gt;et al.&lt;/i&gt;, 2018)","plainTextFormattedCitation":"(Yang et al., 2018)","previouslyFormattedCitation":"(Yang &lt;i&gt;et al.&lt;/i&gt;, 2018)"},"properties":{"noteIndex":0},"schema":"https://github.com/citation-style-language/schema/raw/master/csl-citation.json"}</w:instrText>
      </w:r>
      <w:r w:rsidR="0063134A" w:rsidRPr="008C36F5">
        <w:rPr>
          <w:rFonts w:ascii="Times New Roman" w:hAnsi="Times New Roman" w:cs="Times New Roman"/>
          <w:sz w:val="20"/>
          <w:szCs w:val="20"/>
        </w:rPr>
        <w:fldChar w:fldCharType="separate"/>
      </w:r>
      <w:r w:rsidRPr="008C36F5">
        <w:rPr>
          <w:rFonts w:ascii="Times New Roman" w:hAnsi="Times New Roman" w:cs="Times New Roman"/>
          <w:noProof/>
          <w:sz w:val="20"/>
          <w:szCs w:val="20"/>
        </w:rPr>
        <w:t xml:space="preserve">(Yang </w:t>
      </w:r>
      <w:r w:rsidRPr="008C36F5">
        <w:rPr>
          <w:rFonts w:ascii="Times New Roman" w:hAnsi="Times New Roman" w:cs="Times New Roman"/>
          <w:i/>
          <w:noProof/>
          <w:sz w:val="20"/>
          <w:szCs w:val="20"/>
        </w:rPr>
        <w:t>et al.</w:t>
      </w:r>
      <w:r w:rsidRPr="008C36F5">
        <w:rPr>
          <w:rFonts w:ascii="Times New Roman" w:hAnsi="Times New Roman" w:cs="Times New Roman"/>
          <w:noProof/>
          <w:sz w:val="20"/>
          <w:szCs w:val="20"/>
        </w:rPr>
        <w:t>, 2018)</w:t>
      </w:r>
      <w:r w:rsidR="0063134A" w:rsidRPr="008C36F5">
        <w:rPr>
          <w:rFonts w:ascii="Times New Roman" w:hAnsi="Times New Roman" w:cs="Times New Roman"/>
          <w:sz w:val="20"/>
          <w:szCs w:val="20"/>
        </w:rPr>
        <w:fldChar w:fldCharType="end"/>
      </w:r>
      <w:r w:rsidRPr="008C36F5">
        <w:rPr>
          <w:rFonts w:ascii="Times New Roman" w:hAnsi="Times New Roman" w:cs="Times New Roman"/>
          <w:sz w:val="20"/>
          <w:szCs w:val="20"/>
        </w:rPr>
        <w:t>.</w:t>
      </w:r>
    </w:p>
    <w:p w:rsidR="00A147DF" w:rsidRPr="008C36F5" w:rsidRDefault="00A147DF" w:rsidP="008C36F5">
      <w:pPr>
        <w:spacing w:line="240" w:lineRule="auto"/>
        <w:rPr>
          <w:rFonts w:ascii="Times New Roman" w:hAnsi="Times New Roman" w:cs="Times New Roman"/>
          <w:b/>
          <w:sz w:val="20"/>
          <w:szCs w:val="20"/>
        </w:rPr>
        <w:sectPr w:rsidR="00A147DF" w:rsidRPr="008C36F5" w:rsidSect="00706571">
          <w:type w:val="continuous"/>
          <w:pgSz w:w="12240" w:h="15840"/>
          <w:pgMar w:top="1440" w:right="1440" w:bottom="1440" w:left="1440" w:header="0" w:footer="0" w:gutter="0"/>
          <w:lnNumType w:countBy="1" w:restart="continuous"/>
          <w:cols w:space="720"/>
          <w:docGrid w:linePitch="360"/>
        </w:sectPr>
      </w:pPr>
    </w:p>
    <w:p w:rsidR="00A147DF" w:rsidRPr="002B0713" w:rsidRDefault="00A147DF" w:rsidP="008C36F5">
      <w:pPr>
        <w:spacing w:line="240" w:lineRule="auto"/>
        <w:rPr>
          <w:rFonts w:ascii="Times New Roman" w:hAnsi="Times New Roman" w:cs="Times New Roman"/>
          <w:b/>
          <w:szCs w:val="20"/>
        </w:rPr>
      </w:pPr>
      <w:r w:rsidRPr="002B0713">
        <w:rPr>
          <w:rFonts w:ascii="Times New Roman" w:hAnsi="Times New Roman" w:cs="Times New Roman"/>
          <w:b/>
          <w:szCs w:val="20"/>
        </w:rPr>
        <w:t xml:space="preserve">Table: 8 Research Activities on Generation of Oxyhydrogen Gas (HHO)/Hydrogen Gas generation Using Bifunctionality </w:t>
      </w:r>
      <w:r w:rsidR="00E515BF" w:rsidRPr="002B0713">
        <w:rPr>
          <w:rFonts w:ascii="Times New Roman" w:hAnsi="Times New Roman" w:cs="Times New Roman"/>
          <w:b/>
          <w:szCs w:val="20"/>
        </w:rPr>
        <w:t>and Flexible Working Electrode/</w:t>
      </w:r>
      <w:r w:rsidRPr="002B0713">
        <w:rPr>
          <w:rFonts w:ascii="Times New Roman" w:hAnsi="Times New Roman" w:cs="Times New Roman"/>
          <w:b/>
          <w:szCs w:val="20"/>
        </w:rPr>
        <w:t>Cobalt-Tungsten-Boron as an Active Electrocatalyst</w:t>
      </w:r>
    </w:p>
    <w:tbl>
      <w:tblPr>
        <w:tblStyle w:val="LightShading"/>
        <w:tblW w:w="5000" w:type="pct"/>
        <w:shd w:val="clear" w:color="auto" w:fill="FFFFFF" w:themeFill="background1"/>
        <w:tblLook w:val="04A0" w:firstRow="1" w:lastRow="0" w:firstColumn="1" w:lastColumn="0" w:noHBand="0" w:noVBand="1"/>
      </w:tblPr>
      <w:tblGrid>
        <w:gridCol w:w="1061"/>
        <w:gridCol w:w="99"/>
        <w:gridCol w:w="1440"/>
        <w:gridCol w:w="2221"/>
        <w:gridCol w:w="1717"/>
        <w:gridCol w:w="2472"/>
        <w:gridCol w:w="566"/>
      </w:tblGrid>
      <w:tr w:rsidR="00A147DF" w:rsidRPr="008C36F5" w:rsidTr="004D24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4" w:type="pct"/>
            <w:gridSpan w:val="2"/>
            <w:shd w:val="clear" w:color="auto" w:fill="FFFFFF" w:themeFill="background1"/>
          </w:tcPr>
          <w:p w:rsidR="00A147DF" w:rsidRPr="008C36F5" w:rsidRDefault="00A147DF" w:rsidP="008C36F5">
            <w:pPr>
              <w:spacing w:after="100"/>
              <w:ind w:right="-121"/>
              <w:rPr>
                <w:rFonts w:ascii="Times New Roman" w:hAnsi="Times New Roman" w:cs="Times New Roman"/>
                <w:sz w:val="20"/>
                <w:szCs w:val="20"/>
              </w:rPr>
            </w:pPr>
            <w:r w:rsidRPr="008C36F5">
              <w:rPr>
                <w:rFonts w:ascii="Times New Roman" w:hAnsi="Times New Roman" w:cs="Times New Roman"/>
                <w:sz w:val="20"/>
                <w:szCs w:val="20"/>
              </w:rPr>
              <w:t>Author &amp; year</w:t>
            </w:r>
          </w:p>
        </w:tc>
        <w:tc>
          <w:tcPr>
            <w:tcW w:w="699"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Input</w:t>
            </w:r>
          </w:p>
        </w:tc>
        <w:tc>
          <w:tcPr>
            <w:tcW w:w="1171"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Analysis methodology</w:t>
            </w:r>
          </w:p>
        </w:tc>
        <w:tc>
          <w:tcPr>
            <w:tcW w:w="908"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Purpose</w:t>
            </w:r>
          </w:p>
        </w:tc>
        <w:tc>
          <w:tcPr>
            <w:tcW w:w="1302"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Result and outcome</w:t>
            </w:r>
          </w:p>
        </w:tc>
        <w:tc>
          <w:tcPr>
            <w:tcW w:w="306" w:type="pct"/>
            <w:shd w:val="clear" w:color="auto" w:fill="FFFFFF" w:themeFill="background1"/>
          </w:tcPr>
          <w:p w:rsidR="00A147DF" w:rsidRPr="008C36F5" w:rsidRDefault="00A147DF" w:rsidP="008C36F5">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Ref.</w:t>
            </w:r>
          </w:p>
        </w:tc>
      </w:tr>
      <w:tr w:rsidR="00A147DF" w:rsidRPr="008C36F5" w:rsidTr="004D2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{"citationItems":[{"id":"ITEM-1","itemData":{"DOI":"10.1002/adfm.201503666","ISSN":"16163028","abstract":"Water splitting for the production of hydrogen and oxygen is an appealing solution to advance many sustainable and renewable energy conversion and storage systems, while the key fact depends on the innovative exploration regarding the design of efficient electrocatalysts. Reported herein is the growth of CoP mesoporous nanorod arrays on conductive Ni foam through an electrodeposition strategy. The resulting material of well-defined mesoporosity and a high specific surface area (148 m2 g−1) can be directly employed as a bifunctional and flexible working electrode for both hydrogen and oxygen evolution reactions, showing superior activities as compared with noble metal benchmarks and state-of-the-art transition-metal-based catalysts. This is intimately related to the unique nanorod array electrode configuration, leading to excellent electric interconnection and improved mass transport. A further step is taken toward an alkaline electrolyzer that can achieve a current density of 10 mA cm−2 at a voltage around 1.62 V over a long-term operation, better than the combination of Pt and IrO2. This development is suggested to be readily extended to obtain other electrocatalysis systems for scale-up water-splitting technology.","author":[{"dropping-particle":"","family":"Zhu","given":"Yun Pei","non-dropping-particle":"","parse-names":false,"suffix":""},{"dropping-particle":"","family":"Liu","given":"Yu Ping","non-dropping-particle":"","parse-names":false,"suffix":""},{"dropping-particle":"","family":"Ren","given":"Tie Zhen","non-dropping-particle":"","parse-names":false,"suffix":""},{"dropping-particle":"","family":"Yuan","given":"Zhong Yong","non-dropping-particle":"","parse-names":false,"suffix":""}],"container-title":"Advanced Functional Materials","id":"ITEM-1","issue":"47","issued":{"date-parts":[["2015"]]},"page":"7337-7347","title":"Self-supported cobalt phosphide mesoporous nanorod arrays: A flexible and bifunctional electrode for highly active electrocatalytic water reduction and oxidation","type":"article-journal","volume":"25"},"uris":["http://www.mendeley.com/documents/?uuid=ea017327-b461-4d35-81fb-af51c8bce4f4"]}],"mendeley":{"formattedCitation":"(Y. P. Zhu &lt;i&gt;et al.&lt;/i&gt;, 2015)","plainTextFormattedCitation":"(Y. P. Zhu et al., 2015)","previouslyFormattedCitation":"(Y. P. Zhu &lt;i&gt;et al.&lt;/i&gt;, 2015)"},"properties":{"noteIndex":0},"schema":"https://github.com/citation-style-language/schema/raw/master/csl-citation.json"}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(Y. P. Zhu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2015)</w:t>
            </w:r>
            <w:r w:rsidRPr="008C36F5">
              <w:rPr>
                <w:rFonts w:ascii="Times New Roman" w:hAnsi="Times New Roman" w:cs="Times New Roman"/>
                <w:sz w:val="20"/>
                <w:szCs w:val="20"/>
              </w:rPr>
              <w:fldChar w:fldCharType="end"/>
            </w:r>
          </w:p>
        </w:tc>
        <w:tc>
          <w:tcPr>
            <w:tcW w:w="747"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Phosphide mesoporous nanorod  arrays</w:t>
            </w:r>
          </w:p>
        </w:tc>
        <w:tc>
          <w:tcPr>
            <w:tcW w:w="11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Photo electrochemistry </w:t>
            </w:r>
          </w:p>
        </w:tc>
        <w:tc>
          <w:tcPr>
            <w:tcW w:w="90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Development of regenerative FC and rechargeable metal-air batteries.</w:t>
            </w:r>
          </w:p>
        </w:tc>
        <w:tc>
          <w:tcPr>
            <w:tcW w:w="130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Structure linkages and enhanced mass/charge transfer are ensured by the catalyst and porosity.</w:t>
            </w:r>
          </w:p>
        </w:tc>
        <w:tc>
          <w:tcPr>
            <w:tcW w:w="30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66</w:t>
            </w:r>
          </w:p>
        </w:tc>
      </w:tr>
      <w:tr w:rsidR="00A147DF" w:rsidRPr="008C36F5" w:rsidTr="004D242C">
        <w:tc>
          <w:tcPr>
            <w:cnfStyle w:val="001000000000" w:firstRow="0" w:lastRow="0" w:firstColumn="1" w:lastColumn="0" w:oddVBand="0" w:evenVBand="0" w:oddHBand="0" w:evenHBand="0" w:firstRowFirstColumn="0" w:firstRowLastColumn="0" w:lastRowFirstColumn="0" w:lastRowLastColumn="0"/>
            <w:tcW w:w="56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{"citationItems":[{"id":"ITEM-1","itemData":{"DOI":"10.1002/cctc.201500143","ISSN":"18673899","abstract":"The oxygen-evolution reaction (OER) is a bottleneck reaction because of a significant overpotential loss in water electrolysis. Currently, MnO2-based materials are promising candidates for OER electrocatalysts owing to their abundance and excellent properties. Herein, a hydrothermal method was used to prepare MnO2 nanowires with different diameters. Furthermore, an impregnation method was applied to dope MnO2 nanowires with Ca and Ag ions. Characterization by TEM, XRD, Raman, X-ray photoelectron spectroscopy (XPS), N2 adsorption, and linear-scanning voltammogram analysis were performed on these materials. It was found that the OER activity of as-prepared and doped MnO2 nanowires is highly dependent on the fraction of surface trivalent manganese in MnO2 nanowires. Density functional theory calculations of doped MnO2 revealed the delicate change of the electronic properties of MnO2 nanowires after doping. Understanding doping: Heteroatom co-doping of Ca and Ag can effectively promote the electrochemical activity of α-MnO2 nanowires. X-ray photoelectron spectroscopy and density functional theory calculations unveil the delicate change in surface chemistry of MnO2 after doping.","author":[{"dropping-particle":"","family":"Li","given":"Xiaopeng","non-dropping-particle":"","parse-names":false,"suffix":""},{"dropping-particle":"","family":"Liu","given":"Jiong","non-dropping-particle":"","parse-names":false,"suffix":""},{"dropping-particle":"","family":"Zhao","given":"Yonghui","non-dropping-particle":"","parse-names":false,"suffix":""},{"dropping-particle":"","family":"Zhang","given":"Haojie","non-dropping-particle":"","parse-names":false,"suffix":""},{"dropping-particle":"","family":"Du","given":"Fuping","non-dropping-particle":"","parse-names":false,"suffix":""},{"dropping-particle":"","family":"Lin","given":"Chao","non-dropping-particle":"","parse-names":false,"suffix":""},{"dropping-particle":"","family":"Zhao","given":"Tiejun","non-dropping-particle":"","parse-names":false,"suffix":""},{"dropping-particle":"","family":"Sun","given":"Yuhan","non-dropping-particle":"","parse-names":false,"suffix":""}],"container-title":"ChemCatChem","id":"ITEM-1","issue":"12","issued":{"date-parts":[["2015"]]},"page":"1848-1856","title":"Significance of Surface Trivalent Manganese in the Electrocatalytic Activity of Water Oxidation in Undoped and Doped MnO2 Nanowires","type":"article-journal","volume":"7"},"uris":["http://www.mendeley.com/documents/?uuid=b56c32b0-4d86-49fe-92f1-7448a2519558"]}],"mendeley":{"formattedCitation":"(Li &lt;i&gt;et al.&lt;/i&gt;, 2015)","plainTextFormattedCitation":"(Li et al., 2015)","previouslyFormattedCitation":"(Li &lt;i&gt;et al.&lt;/i&gt;, 2015)"},"properties":{"noteIndex":0},"schema":"https://github.com/citation-style-language/schema/raw/master/csl-citation.json"}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(Li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2015)</w:t>
            </w:r>
            <w:r w:rsidRPr="008C36F5">
              <w:rPr>
                <w:rFonts w:ascii="Times New Roman" w:hAnsi="Times New Roman" w:cs="Times New Roman"/>
                <w:sz w:val="20"/>
                <w:szCs w:val="20"/>
              </w:rPr>
              <w:fldChar w:fldCharType="end"/>
            </w:r>
          </w:p>
        </w:tc>
        <w:tc>
          <w:tcPr>
            <w:tcW w:w="747"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Undoped and doped MnO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nanowires.</w:t>
            </w:r>
          </w:p>
        </w:tc>
        <w:tc>
          <w:tcPr>
            <w:tcW w:w="11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The hydrothermal method was used to prepare MnO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nanowires.</w:t>
            </w:r>
          </w:p>
        </w:tc>
        <w:tc>
          <w:tcPr>
            <w:tcW w:w="90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find the significance of surface trivalent Manganese.</w:t>
            </w:r>
          </w:p>
        </w:tc>
        <w:tc>
          <w:tcPr>
            <w:tcW w:w="130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Insertion of Ca and Ag into the tunnel of alpha MnO</w:t>
            </w:r>
            <w:r w:rsidRPr="008C36F5">
              <w:rPr>
                <w:rFonts w:ascii="Times New Roman" w:hAnsi="Times New Roman" w:cs="Times New Roman"/>
                <w:sz w:val="20"/>
                <w:szCs w:val="20"/>
                <w:vertAlign w:val="subscript"/>
              </w:rPr>
              <w:t xml:space="preserve">2 </w:t>
            </w:r>
            <w:r w:rsidRPr="008C36F5">
              <w:rPr>
                <w:rFonts w:ascii="Times New Roman" w:hAnsi="Times New Roman" w:cs="Times New Roman"/>
                <w:sz w:val="20"/>
                <w:szCs w:val="20"/>
              </w:rPr>
              <w:t>gave a substantial increase in the fraction of Mn</w:t>
            </w:r>
            <w:r w:rsidRPr="008C36F5">
              <w:rPr>
                <w:rFonts w:ascii="Times New Roman" w:hAnsi="Times New Roman" w:cs="Times New Roman"/>
                <w:sz w:val="20"/>
                <w:szCs w:val="20"/>
                <w:vertAlign w:val="superscript"/>
              </w:rPr>
              <w:t>3+</w:t>
            </w:r>
            <w:r w:rsidRPr="008C36F5">
              <w:rPr>
                <w:rFonts w:ascii="Times New Roman" w:hAnsi="Times New Roman" w:cs="Times New Roman"/>
                <w:sz w:val="20"/>
                <w:szCs w:val="20"/>
              </w:rPr>
              <w:t>.</w:t>
            </w:r>
          </w:p>
        </w:tc>
        <w:tc>
          <w:tcPr>
            <w:tcW w:w="30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53</w:t>
            </w:r>
          </w:p>
        </w:tc>
      </w:tr>
      <w:tr w:rsidR="00A147DF" w:rsidRPr="008C36F5" w:rsidTr="004D2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{"citationItems":[{"id":"ITEM-1","itemData":{"DOI":"10.1002/admi.201600368","ISSN":"21967350","abstract":"Earth-abundant, low-cost, and highly active bifunctional electrocatalysts are of significant importance to the large-scale production of hydrogen from water electrolysis. Herein, it is reported that novel FeNi3/NiFeOx nanohybrids display high electrocatalytic activities in both hydrogen evolution reaction (HER) and oxygen evolution reaction (OER). These FeNi3/NiFeOx nanohybrids are obtained with the unique hydrogenation treatment of NiFeOx nanosheets. Small onset potentials of ≈20 and 240 mV are obtained for HER and OER, respectively, benefited from the synergistic effect of FeNi3 and NiFeOx. Only a small voltage of 1.55 V is needed to reach a current density of 10 mA cm-2 for the overall water splitting in an alkaline electrolyzer when using FeNi3/NiFeOx as both cathode and anode catalysts. This is one of the best performance of electrocatalysts for HER and OER, shining the bright future for earth-abundant, low-cost bifunctional electrocatalysts for large-scale production of hydrogen from water electrolysis.","author":[{"dropping-particle":"","family":"Yan","given":"Xiaodong","non-dropping-particle":"","parse-names":false,"suffix":""},{"dropping-particle":"","family":"Tian","given":"Lihong","non-dropping-particle":"","parse-names":false,"suffix":""},{"dropping-particle":"","family":"Li","given":"Kexue","non-dropping-particle":"","parse-names":false,"suffix":""},{"dropping-particle":"","family":"Atkins","given":"Samuel","non-dropping-particle":"","parse-names":false,"suffix":""},{"dropping-particle":"","family":"Zhao","given":"Haifeng","non-dropping-particle":"","parse-names":false,"suffix":""},{"dropping-particle":"","family":"Murowchick","given":"James","non-dropping-particle":"","parse-names":false,"suffix":""},{"dropping-particle":"","family":"Liu","given":"Lei","non-dropping-particle":"","parse-names":false,"suffix":""},{"dropping-particle":"","family":"Chen","given":"Xiaobo","non-dropping-particle":"","parse-names":false,"suffix":""}],"container-title":"Advanced Materials Interfaces","id":"ITEM-1","issue":"22","issued":{"date-parts":[["2016"]]},"page":"01-08","title":"FeNi3/NiFeOx Nanohybrids as Highly Efficient Bifunctional Electrocatalysts for Overall Water Splitting","type":"article-journal","volume":"3"},"uris":["http://www.mendeley.com/documents/?uuid=01aebb94-51e4-4ff5-8e88-ba241af4f764"]}],"mendeley":{"formattedCitation":"(Yan &lt;i&gt;et al.&lt;/i&gt;, 2016)","plainTextFormattedCitation":"(Yan et al., 2016)","previouslyFormattedCitation":"(Yan &lt;i&gt;et al.&lt;/i&gt;, 2016)"},"properties":{"noteIndex":0},"schema":"https://github.com/citation-style-language/schema/raw/master/csl-citation.json"}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(Yan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2016)</w:t>
            </w:r>
            <w:r w:rsidRPr="008C36F5">
              <w:rPr>
                <w:rFonts w:ascii="Times New Roman" w:hAnsi="Times New Roman" w:cs="Times New Roman"/>
                <w:sz w:val="20"/>
                <w:szCs w:val="20"/>
              </w:rPr>
              <w:fldChar w:fldCharType="end"/>
            </w:r>
          </w:p>
        </w:tc>
        <w:tc>
          <w:tcPr>
            <w:tcW w:w="747"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FeNi</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/NiFeO</w:t>
            </w:r>
            <w:r w:rsidRPr="008C36F5">
              <w:rPr>
                <w:rFonts w:ascii="Times New Roman" w:hAnsi="Times New Roman" w:cs="Times New Roman"/>
                <w:sz w:val="20"/>
                <w:szCs w:val="20"/>
                <w:vertAlign w:val="subscript"/>
              </w:rPr>
              <w:t xml:space="preserve">x </w:t>
            </w:r>
            <w:r w:rsidRPr="008C36F5">
              <w:rPr>
                <w:rFonts w:ascii="Times New Roman" w:hAnsi="Times New Roman" w:cs="Times New Roman"/>
                <w:sz w:val="20"/>
                <w:szCs w:val="20"/>
              </w:rPr>
              <w:t xml:space="preserve"> Nanohybrids</w:t>
            </w:r>
          </w:p>
        </w:tc>
        <w:tc>
          <w:tcPr>
            <w:tcW w:w="11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NiFeOx nanosheets undergo a one-of-a-kind hydrogenation treatment.</w:t>
            </w:r>
          </w:p>
        </w:tc>
        <w:tc>
          <w:tcPr>
            <w:tcW w:w="90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Electrocatalysts for water splitting</w:t>
            </w:r>
          </w:p>
        </w:tc>
        <w:tc>
          <w:tcPr>
            <w:tcW w:w="130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Nanohybrids of FeNi3/NiFeOx as a highly active bifunctional electrocatalyst for overall water splitting.</w:t>
            </w:r>
          </w:p>
        </w:tc>
        <w:tc>
          <w:tcPr>
            <w:tcW w:w="30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33</w:t>
            </w:r>
          </w:p>
        </w:tc>
      </w:tr>
      <w:tr w:rsidR="00A147DF" w:rsidRPr="008C36F5" w:rsidTr="004D242C">
        <w:tc>
          <w:tcPr>
            <w:cnfStyle w:val="001000000000" w:firstRow="0" w:lastRow="0" w:firstColumn="1" w:lastColumn="0" w:oddVBand="0" w:evenVBand="0" w:oddHBand="0" w:evenHBand="0" w:firstRowFirstColumn="0" w:firstRowLastColumn="0" w:lastRowFirstColumn="0" w:lastRowLastColumn="0"/>
            <w:tcW w:w="56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{"citationItems":[{"id":"ITEM-1","itemData":{"DOI":"10.1002/smll.201600189","ISBN":"1613-6810","ISSN":"16136829","PMID":"26997618","abstract":"Catalysts screening and structural optimization are both essential for pursuing a high-efficient water electrolysis system (WES) with reduced energy supply. This study demonstrates an advanced WES with double superaerophobic electrodes, which are achieved by constructing a nanostructured NiMo alloy and NiFe layered double hydroxide (NiFe-LDH) films for hydrogen evolution and oxygen evolution reactions, respectively. The superaerophobic property gives rise to significantly reduced adhesion forces to gas bubbles and thereby accelerates the hydrogen and oxygen bubble releasing behaviors. Benefited from these metrics and the high intrinsic activities of catalysts, this WES affords an early onset potential (≈1.5 V) for water splitting and ultrafast catalytic current density increase (≈0.83 mA mV?1), resulting in ≈2.69 times higher performance compared to the commercial Pt/C and IrO2/C catalysts based counterpart under 1.9 V. Moreover, enhanced performance at high temperature as well as prominent stability further demonstrate the practical application of this WES.","author":[{"dropping-particle":"","family":"Xu","given":"Wenwen","non-dropping-particle":"","parse-names":false,"suffix":""},{"dropping-particle":"","family":"Lu","given":"Zhiyi","non-dropping-particle":"","parse-names":false,"suffix":""},{"dropping-particle":"","family":"Wan","given":"Pengbo","non-dropping-particle":"","parse-names":false,"suffix":""},{"dropping-particle":"","family":"Kuang","given":"Yun","non-dropping-particle":"","parse-names":false,"suffix":""},{"dropping-particle":"","family":"Sun","given":"Xiaoming","non-dropping-particle":"","parse-names":false,"suffix":""}],"container-title":"Small","id":"ITEM-1","issue":"18","issued":{"date-parts":[["2016"]]},"page":"2492-2498","title":"High-performance water electrolysis system with double nanostructured superaerophobic electrodes","type":"article-journal","volume":"12"},"uris":["http://www.mendeley.com/documents/?uuid=a952fac2-ef5b-4d93-86ca-7f0a4e58c49b"]}],"mendeley":{"formattedCitation":"(Xu &lt;i&gt;et al.&lt;/i&gt;, 2016)","plainTextFormattedCitation":"(Xu et al., 2016)","previouslyFormattedCitation":"(Xu &lt;i&gt;et al.&lt;/i&gt;, 2016)"},"properties":{"noteIndex":0},"schema":"https://github.com/citation-style-language/schema/raw/master/csl-citation.json"}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(Xu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2016)</w:t>
            </w:r>
            <w:r w:rsidRPr="008C36F5">
              <w:rPr>
                <w:rFonts w:ascii="Times New Roman" w:hAnsi="Times New Roman" w:cs="Times New Roman"/>
                <w:sz w:val="20"/>
                <w:szCs w:val="20"/>
              </w:rPr>
              <w:fldChar w:fldCharType="end"/>
            </w:r>
          </w:p>
        </w:tc>
        <w:tc>
          <w:tcPr>
            <w:tcW w:w="747"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Nanostructured superaerophobic electrodes</w:t>
            </w:r>
          </w:p>
        </w:tc>
        <w:tc>
          <w:tcPr>
            <w:tcW w:w="11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NiMo alloys with nanostructures and NiFe-LDH films have been synthesised using an </w:t>
            </w:r>
            <w:r w:rsidR="00D052E3" w:rsidRPr="008C36F5">
              <w:rPr>
                <w:rFonts w:ascii="Times New Roman" w:hAnsi="Times New Roman" w:cs="Times New Roman"/>
                <w:sz w:val="20"/>
                <w:szCs w:val="20"/>
              </w:rPr>
              <w:t>electrodepositing</w:t>
            </w:r>
            <w:r w:rsidRPr="008C36F5">
              <w:rPr>
                <w:rFonts w:ascii="Times New Roman" w:hAnsi="Times New Roman" w:cs="Times New Roman"/>
                <w:sz w:val="20"/>
                <w:szCs w:val="20"/>
              </w:rPr>
              <w:t xml:space="preserve"> process.</w:t>
            </w:r>
          </w:p>
        </w:tc>
        <w:tc>
          <w:tcPr>
            <w:tcW w:w="90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Reduce energy supply for water electrolysis</w:t>
            </w:r>
          </w:p>
        </w:tc>
        <w:tc>
          <w:tcPr>
            <w:tcW w:w="130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When compared to</w:t>
            </w:r>
          </w:p>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 xml:space="preserve"> commercial catalysts (Pt/C and IrO2/C), the performance is over 2.69 times greater.</w:t>
            </w:r>
          </w:p>
        </w:tc>
        <w:tc>
          <w:tcPr>
            <w:tcW w:w="30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21</w:t>
            </w:r>
          </w:p>
        </w:tc>
      </w:tr>
      <w:tr w:rsidR="00A147DF" w:rsidRPr="008C36F5" w:rsidTr="004D2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{"citationItems":[{"id":"ITEM-1","itemData":{"DOI":"10.1002/slct.201701459","ISSN":"23656549","abstract":"Electrochemically splitting water to produce clean hydrogen fuel requires high-performance electrocatalysts. Here, we report transition metal-boron alloy Co-W−B is an active electrocatalyst for water electrolysis. The Co-W−B catalyst can be readily deposited on nickle foam (NF) using a simple electroless plating method. A combination of phase/chemical state/microstructural analyses of the Co-W−B electrocatalyst was conducted using XRD, TEM, Raman spectroscopy and XPS techniques. The properly annealed Co-W−B/NF catalyst with an optimal composition exhibits a low overpotential along with a high stability for the hydrogen evolution reaction (HER) in alkaline solution, which is among the best reported levels for non-noble HER catalysts. In addition, the Co-W−B/NF catalyst also shows moderate activity towards the oxygen evolution reaction (OER). These study results highlight the potential of transition metal-boron alloys as high-performance and low-cost electrocatalyst for water splitting.","author":[{"dropping-particle":"","family":"Cao","given":"Guo Xuan","non-dropping-particle":"","parse-names":false,"suffix":""},{"dropping-particle":"","family":"Xu","given":"Ning","non-dropping-particle":"","parse-names":false,"suffix":""},{"dropping-particle":"","family":"Chen","given":"Zheng Jun","non-dropping-particle":"","parse-names":false,"suffix":""},{"dropping-particle":"","family":"Kang","given":"Qing","non-dropping-particle":"","parse-names":false,"suffix":""},{"dropping-particle":"Bin","family":"Dai","given":"Hong","non-dropping-particle":"","parse-names":false,"suffix":""},{"dropping-particle":"","family":"Wang","given":"Ping","non-dropping-particle":"","parse-names":false,"suffix":""}],"container-title":"ChemistrySelect","id":"ITEM-1","issue":"21","issued":{"date-parts":[["2017"]]},"page":"6187-6193","title":"Cobalt-Tungsten-Boron as an Active Electrocatalyst for Water Electrolysis","type":"article-journal","volume":"2"},"uris":["http://www.mendeley.com/documents/?uuid=2ef624c3-7b57-4ca7-a9e9-9822e05a50a5"]}],"mendeley":{"formattedCitation":"(Cao &lt;i&gt;et al.&lt;/i&gt;, 2017)","plainTextFormattedCitation":"(Cao et al., 2017)","previouslyFormattedCitation":"(Cao &lt;i&gt;et al.&lt;/i&gt;, 2017)"},"properties":{"noteIndex":0},"schema":"https://github.com/citation-style-language/schema/raw/master/csl-citation.json"}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(Cao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2017)</w:t>
            </w:r>
            <w:r w:rsidRPr="008C36F5">
              <w:rPr>
                <w:rFonts w:ascii="Times New Roman" w:hAnsi="Times New Roman" w:cs="Times New Roman"/>
                <w:sz w:val="20"/>
                <w:szCs w:val="20"/>
              </w:rPr>
              <w:fldChar w:fldCharType="end"/>
            </w:r>
          </w:p>
        </w:tc>
        <w:tc>
          <w:tcPr>
            <w:tcW w:w="747" w:type="pct"/>
            <w:gridSpan w:val="2"/>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Co-W-B transition metal-boron alloy electrocatalyst</w:t>
            </w:r>
          </w:p>
        </w:tc>
        <w:tc>
          <w:tcPr>
            <w:tcW w:w="1171"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XRD, TEM, Raman spectroscopy, and XPS techniques were used to examine the Co-W-B electrocatalyst.</w:t>
            </w:r>
          </w:p>
        </w:tc>
        <w:tc>
          <w:tcPr>
            <w:tcW w:w="908"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Clean hydrogen fuel developed.</w:t>
            </w:r>
          </w:p>
        </w:tc>
        <w:tc>
          <w:tcPr>
            <w:tcW w:w="1302"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Water splitting electrocatalyst with high efficiency and low cost.</w:t>
            </w:r>
          </w:p>
        </w:tc>
        <w:tc>
          <w:tcPr>
            <w:tcW w:w="306" w:type="pct"/>
            <w:shd w:val="clear" w:color="auto" w:fill="FFFFFF" w:themeFill="background1"/>
          </w:tcPr>
          <w:p w:rsidR="00A147DF" w:rsidRPr="008C36F5" w:rsidRDefault="00A147DF" w:rsidP="008C36F5">
            <w:pPr>
              <w:spacing w:after="10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58</w:t>
            </w:r>
          </w:p>
        </w:tc>
      </w:tr>
      <w:tr w:rsidR="00A147DF" w:rsidRPr="008C36F5" w:rsidTr="004D242C">
        <w:tc>
          <w:tcPr>
            <w:cnfStyle w:val="001000000000" w:firstRow="0" w:lastRow="0" w:firstColumn="1" w:lastColumn="0" w:oddVBand="0" w:evenVBand="0" w:oddHBand="0" w:evenHBand="0" w:firstRowFirstColumn="0" w:firstRowLastColumn="0" w:lastRowFirstColumn="0" w:lastRowLastColumn="0"/>
            <w:tcW w:w="566" w:type="pct"/>
            <w:shd w:val="clear" w:color="auto" w:fill="FFFFFF" w:themeFill="background1"/>
          </w:tcPr>
          <w:p w:rsidR="00A147DF" w:rsidRPr="008C36F5" w:rsidRDefault="0063134A" w:rsidP="008C36F5">
            <w:pPr>
              <w:spacing w:after="100"/>
              <w:rPr>
                <w:rFonts w:ascii="Times New Roman" w:hAnsi="Times New Roman" w:cs="Times New Roman"/>
                <w:b w:val="0"/>
                <w:sz w:val="20"/>
                <w:szCs w:val="20"/>
              </w:rPr>
            </w:pPr>
            <w:r w:rsidRPr="008C36F5">
              <w:rPr>
                <w:rFonts w:ascii="Times New Roman" w:hAnsi="Times New Roman" w:cs="Times New Roman"/>
                <w:sz w:val="20"/>
                <w:szCs w:val="20"/>
              </w:rPr>
              <w:fldChar w:fldCharType="begin" w:fldLock="1"/>
            </w:r>
            <w:r w:rsidR="00A147DF" w:rsidRPr="008C36F5">
              <w:rPr>
                <w:rFonts w:ascii="Times New Roman" w:hAnsi="Times New Roman" w:cs="Times New Roman"/>
                <w:b w:val="0"/>
                <w:sz w:val="20"/>
                <w:szCs w:val="20"/>
              </w:rPr>
              <w:instrText>ADDIN CSL_CITATION {"citationItems":[{"id":"ITEM-1","itemData":{"DOI":"10.1039/c8cc02651c","ISSN":"1359-7345","abstract":" TiO 2 /TiN core/shell NBs are successfully synthesized, and used as highly efficient photocatalytic H 2 evolution catalysts (120 μmol h −1 g −1 ) from methanol solution.  TiO 2 /TiN core/shell NBs are successfully synthesized, and used as highly efficient photocatalytic H 2 evolution catalysts (120 μmol h −1 g −1 ) from methanol solution. The TiN shell plays dual roles by extending the light absorption range and also promoting the separation/transfer of photoexcited charge carriers as an electron collector. ","author":[{"dropping-particle":"","family":"Yang","given":"Ruiqi","non-dropping-particle":"","parse-names":false,"suffix":""},{"dropping-particle":"","family":"Zhao","given":"Zhenhuan","non-dropping-particle":"","parse-names":false,"suffix":""},{"dropping-particle":"","family":"Yu","given":"Xin","non-dropping-particle":"","parse-names":false,"suffix":""},{"dropping-particle":"","family":"Ding","given":"Longhua","non-dropping-particle":"","parse-names":false,"suffix":""},{"dropping-particle":"","family":"Ren","given":"Na","non-dropping-particle":"","parse-names":false,"suffix":""},{"dropping-particle":"","family":"Liu","given":"Hong","non-dropping-particle":"","parse-names":false,"suffix":""},{"dropping-particle":"","family":"Li","given":"Linlin","non-dropping-particle":"","parse-names":false,"suffix":""},{"dropping-particle":"","family":"Sun","given":"Deihui","non-dropping-particle":"","parse-names":false,"suffix":""},{"dropping-particle":"","family":"Ji","given":"Yanchen","non-dropping-particle":"","parse-names":false,"suffix":""}],"container-title":"Chemical Communications","id":"ITEM-1","issue":"47","issued":{"date-parts":[["2018"]]},"page":"6056-6059","title":" TiO 2 /TiN core/shell nanobelts for efficient solar hydrogen generation ","type":"article-journal","volume":"54"},"uris":["http://www.mendeley.com/documents/?uuid=84c00a1a-9fd0-46f3-8d74-344623a6497b"]}],"mendeley":{"formattedCitation":"(Yang &lt;i&gt;et al.&lt;/i&gt;, 2018)","plainTextFormattedCitation":"(Yang et al., 2018)","previouslyFormattedCitation":"(Yang &lt;i&gt;et al.&lt;/i&gt;, 2018)"},"properties":{"noteIndex":0},"schema":"https://github.com/citation-style-language/schema/raw/master/csl-citation.json"}</w:instrText>
            </w:r>
            <w:r w:rsidRPr="008C36F5">
              <w:rPr>
                <w:rFonts w:ascii="Times New Roman" w:hAnsi="Times New Roman" w:cs="Times New Roman"/>
                <w:sz w:val="20"/>
                <w:szCs w:val="20"/>
              </w:rPr>
              <w:fldChar w:fldCharType="separate"/>
            </w:r>
            <w:r w:rsidR="00A147DF" w:rsidRPr="008C36F5">
              <w:rPr>
                <w:rFonts w:ascii="Times New Roman" w:hAnsi="Times New Roman" w:cs="Times New Roman"/>
                <w:b w:val="0"/>
                <w:noProof/>
                <w:sz w:val="20"/>
                <w:szCs w:val="20"/>
              </w:rPr>
              <w:t xml:space="preserve">(Yang </w:t>
            </w:r>
            <w:r w:rsidR="00A147DF" w:rsidRPr="008C36F5">
              <w:rPr>
                <w:rFonts w:ascii="Times New Roman" w:hAnsi="Times New Roman" w:cs="Times New Roman"/>
                <w:b w:val="0"/>
                <w:i/>
                <w:noProof/>
                <w:sz w:val="20"/>
                <w:szCs w:val="20"/>
              </w:rPr>
              <w:t>et al.</w:t>
            </w:r>
            <w:r w:rsidR="00A147DF" w:rsidRPr="008C36F5">
              <w:rPr>
                <w:rFonts w:ascii="Times New Roman" w:hAnsi="Times New Roman" w:cs="Times New Roman"/>
                <w:b w:val="0"/>
                <w:noProof/>
                <w:sz w:val="20"/>
                <w:szCs w:val="20"/>
              </w:rPr>
              <w:t>, 2018)</w:t>
            </w:r>
            <w:r w:rsidRPr="008C36F5">
              <w:rPr>
                <w:rFonts w:ascii="Times New Roman" w:hAnsi="Times New Roman" w:cs="Times New Roman"/>
                <w:sz w:val="20"/>
                <w:szCs w:val="20"/>
              </w:rPr>
              <w:fldChar w:fldCharType="end"/>
            </w:r>
          </w:p>
        </w:tc>
        <w:tc>
          <w:tcPr>
            <w:tcW w:w="747" w:type="pct"/>
            <w:gridSpan w:val="2"/>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TiO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/TiN core/shell nanobelts synthesised</w:t>
            </w:r>
          </w:p>
        </w:tc>
        <w:tc>
          <w:tcPr>
            <w:tcW w:w="1171"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X-ray photoelectron spectroscopy was used to investigate photocatalytic water splitting in water and methanol solutions, as well as the influence of nitridation on TiO2 chemical states (XPS).</w:t>
            </w:r>
          </w:p>
        </w:tc>
        <w:tc>
          <w:tcPr>
            <w:tcW w:w="908"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To provide an active, low-cost photocatalytic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generation substitute.</w:t>
            </w:r>
          </w:p>
        </w:tc>
        <w:tc>
          <w:tcPr>
            <w:tcW w:w="1302"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By regulating reaction time and temperature, Tio/ TiN core/shell NBs with highly stable photocatalytic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output efficiency was successfully fabricated.</w:t>
            </w:r>
          </w:p>
        </w:tc>
        <w:tc>
          <w:tcPr>
            <w:tcW w:w="306" w:type="pct"/>
            <w:shd w:val="clear" w:color="auto" w:fill="FFFFFF" w:themeFill="background1"/>
          </w:tcPr>
          <w:p w:rsidR="00A147DF" w:rsidRPr="008C36F5" w:rsidRDefault="00A147DF" w:rsidP="008C36F5">
            <w:pPr>
              <w:spacing w:after="10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C36F5">
              <w:rPr>
                <w:rFonts w:ascii="Times New Roman" w:hAnsi="Times New Roman" w:cs="Times New Roman"/>
                <w:sz w:val="20"/>
                <w:szCs w:val="20"/>
              </w:rPr>
              <w:t>49</w:t>
            </w:r>
          </w:p>
        </w:tc>
      </w:tr>
    </w:tbl>
    <w:p w:rsidR="00A147DF" w:rsidRPr="008C36F5" w:rsidRDefault="00A147DF" w:rsidP="008C36F5">
      <w:pPr>
        <w:tabs>
          <w:tab w:val="left" w:pos="900"/>
        </w:tabs>
        <w:spacing w:line="240" w:lineRule="auto"/>
        <w:rPr>
          <w:rFonts w:ascii="Times New Roman" w:hAnsi="Times New Roman" w:cs="Times New Roman"/>
          <w:b/>
          <w:sz w:val="20"/>
          <w:szCs w:val="20"/>
        </w:rPr>
        <w:sectPr w:rsidR="00A147DF" w:rsidRPr="008C36F5" w:rsidSect="00706571">
          <w:type w:val="continuous"/>
          <w:pgSz w:w="12240" w:h="15840"/>
          <w:pgMar w:top="1440" w:right="1440" w:bottom="1440" w:left="1440" w:header="0" w:footer="0" w:gutter="0"/>
          <w:lnNumType w:countBy="1" w:restart="continuous"/>
          <w:cols w:space="720"/>
          <w:docGrid w:linePitch="360"/>
        </w:sectPr>
      </w:pPr>
    </w:p>
    <w:p w:rsidR="002B0713" w:rsidRPr="008C36F5" w:rsidRDefault="00A147DF" w:rsidP="008C36F5">
      <w:pPr>
        <w:tabs>
          <w:tab w:val="left" w:pos="900"/>
        </w:tabs>
        <w:spacing w:line="240" w:lineRule="auto"/>
        <w:rPr>
          <w:rFonts w:ascii="Times New Roman" w:hAnsi="Times New Roman" w:cs="Times New Roman"/>
          <w:sz w:val="20"/>
          <w:szCs w:val="20"/>
        </w:rPr>
      </w:pPr>
      <w:r w:rsidRPr="002B0713">
        <w:rPr>
          <w:rFonts w:ascii="Times New Roman" w:hAnsi="Times New Roman" w:cs="Times New Roman"/>
          <w:b/>
          <w:szCs w:val="20"/>
        </w:rPr>
        <w:t xml:space="preserve">Comment: </w:t>
      </w:r>
      <w:r w:rsidRPr="008C36F5">
        <w:rPr>
          <w:rFonts w:ascii="Times New Roman" w:hAnsi="Times New Roman" w:cs="Times New Roman"/>
          <w:sz w:val="20"/>
          <w:szCs w:val="20"/>
        </w:rPr>
        <w:t>Structural interactions and increased mass/charge transport are ensured by the catalyst and porosity. The addition of Ca and Ag to an alpha MnO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tunnel resulted in a significant rise in the Mn</w:t>
      </w:r>
      <w:r w:rsidRPr="008C36F5">
        <w:rPr>
          <w:rFonts w:ascii="Times New Roman" w:hAnsi="Times New Roman" w:cs="Times New Roman"/>
          <w:sz w:val="20"/>
          <w:szCs w:val="20"/>
          <w:vertAlign w:val="superscript"/>
        </w:rPr>
        <w:t>3+</w:t>
      </w:r>
      <w:r w:rsidRPr="008C36F5">
        <w:rPr>
          <w:rFonts w:ascii="Times New Roman" w:hAnsi="Times New Roman" w:cs="Times New Roman"/>
          <w:sz w:val="20"/>
          <w:szCs w:val="20"/>
        </w:rPr>
        <w:t xml:space="preserve"> fraction. FeNi3/NiFeOx Nanohybrids can be used as a highly active bifunctional electrocatalyst for water splitting. As compared to industrial </w:t>
      </w:r>
      <w:r w:rsidRPr="008C36F5">
        <w:rPr>
          <w:rFonts w:ascii="Times New Roman" w:hAnsi="Times New Roman" w:cs="Times New Roman"/>
          <w:sz w:val="20"/>
          <w:szCs w:val="20"/>
        </w:rPr>
        <w:lastRenderedPageBreak/>
        <w:t>catalysts (Pt/C and IrO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/C), the nanostructured superaerophobic electrodes enhanced the efficiency. In the TiO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/TiN heterostructure, the conduction band of the Fermi level of TiN is lower than TiO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indicating that photo excited electrons will easily pass from TiO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to TiN. The transition of photogenerated electrons from TiO</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's conduction band to TiN's surface for the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evolution process is smoothed by TiN's metallic character.</w:t>
      </w:r>
    </w:p>
    <w:p w:rsidR="00A147DF" w:rsidRPr="002B0713" w:rsidRDefault="00A147DF" w:rsidP="008C36F5">
      <w:pPr>
        <w:tabs>
          <w:tab w:val="left" w:pos="900"/>
        </w:tabs>
        <w:spacing w:line="240" w:lineRule="auto"/>
        <w:rPr>
          <w:rFonts w:ascii="Times New Roman" w:hAnsi="Times New Roman" w:cs="Times New Roman"/>
          <w:b/>
          <w:szCs w:val="20"/>
        </w:rPr>
      </w:pPr>
      <w:r w:rsidRPr="002B0713">
        <w:rPr>
          <w:rFonts w:ascii="Times New Roman" w:hAnsi="Times New Roman" w:cs="Times New Roman"/>
          <w:b/>
          <w:szCs w:val="20"/>
        </w:rPr>
        <w:t>10. Conclusion:</w:t>
      </w:r>
    </w:p>
    <w:p w:rsidR="00A147DF" w:rsidRPr="008C36F5" w:rsidRDefault="00A147DF" w:rsidP="008C36F5">
      <w:pPr>
        <w:tabs>
          <w:tab w:val="left" w:pos="900"/>
        </w:tabs>
        <w:spacing w:line="240" w:lineRule="auto"/>
        <w:rPr>
          <w:rFonts w:ascii="Times New Roman" w:hAnsi="Times New Roman" w:cs="Times New Roman"/>
          <w:sz w:val="20"/>
          <w:szCs w:val="20"/>
        </w:rPr>
      </w:pPr>
      <w:r w:rsidRPr="008C36F5">
        <w:rPr>
          <w:rFonts w:ascii="Times New Roman" w:hAnsi="Times New Roman" w:cs="Times New Roman"/>
          <w:sz w:val="20"/>
          <w:szCs w:val="20"/>
        </w:rPr>
        <w:t>The current literature evaluation acts as a link between environmental concerns and societal energy demands. The following conclusion emerges from a thorough</w:t>
      </w:r>
      <w:r w:rsidR="001F4F6B" w:rsidRPr="008C36F5">
        <w:rPr>
          <w:rFonts w:ascii="Times New Roman" w:hAnsi="Times New Roman" w:cs="Times New Roman"/>
          <w:sz w:val="20"/>
          <w:szCs w:val="20"/>
        </w:rPr>
        <w:t xml:space="preserve"> study</w:t>
      </w:r>
      <w:r w:rsidRPr="008C36F5">
        <w:rPr>
          <w:rFonts w:ascii="Times New Roman" w:hAnsi="Times New Roman" w:cs="Times New Roman"/>
          <w:sz w:val="20"/>
          <w:szCs w:val="20"/>
        </w:rPr>
        <w:t xml:space="preserve"> of different techniques producing HHO/H</w:t>
      </w:r>
      <w:r w:rsidRPr="008C36F5">
        <w:rPr>
          <w:rFonts w:ascii="Times New Roman" w:hAnsi="Times New Roman" w:cs="Times New Roman"/>
          <w:sz w:val="20"/>
          <w:szCs w:val="20"/>
          <w:vertAlign w:val="subscript"/>
        </w:rPr>
        <w:t>2</w:t>
      </w:r>
      <w:r w:rsidR="009E5DDB" w:rsidRPr="008C36F5">
        <w:rPr>
          <w:rFonts w:ascii="Times New Roman" w:hAnsi="Times New Roman" w:cs="Times New Roman"/>
          <w:sz w:val="20"/>
          <w:szCs w:val="20"/>
        </w:rPr>
        <w:t xml:space="preserve"> gas.</w:t>
      </w:r>
      <w:r w:rsidRPr="008C36F5">
        <w:rPr>
          <w:rFonts w:ascii="Times New Roman" w:hAnsi="Times New Roman" w:cs="Times New Roman"/>
          <w:sz w:val="20"/>
          <w:szCs w:val="20"/>
        </w:rPr>
        <w:t xml:space="preserve"> This paper presents a comprehensive</w:t>
      </w:r>
      <w:r w:rsidR="00D930E4" w:rsidRPr="008C36F5">
        <w:rPr>
          <w:rFonts w:ascii="Times New Roman" w:hAnsi="Times New Roman" w:cs="Times New Roman"/>
          <w:sz w:val="20"/>
          <w:szCs w:val="20"/>
        </w:rPr>
        <w:t xml:space="preserve"> literature survey of selected Journal/A</w:t>
      </w:r>
      <w:r w:rsidRPr="008C36F5">
        <w:rPr>
          <w:rFonts w:ascii="Times New Roman" w:hAnsi="Times New Roman" w:cs="Times New Roman"/>
          <w:sz w:val="20"/>
          <w:szCs w:val="20"/>
        </w:rPr>
        <w:t>rticles on the generation and applications of HHO/H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using electrolysis. This review paper focuses on different techniques, which could be applied in areas of HHO/H</w:t>
      </w:r>
      <w:r w:rsidRPr="008C36F5">
        <w:rPr>
          <w:rFonts w:ascii="Times New Roman" w:hAnsi="Times New Roman" w:cs="Times New Roman"/>
          <w:sz w:val="20"/>
          <w:szCs w:val="20"/>
          <w:vertAlign w:val="subscript"/>
        </w:rPr>
        <w:t xml:space="preserve">2 </w:t>
      </w:r>
      <w:r w:rsidR="00C22C1C">
        <w:rPr>
          <w:rFonts w:ascii="Times New Roman" w:hAnsi="Times New Roman" w:cs="Times New Roman"/>
          <w:sz w:val="20"/>
          <w:szCs w:val="20"/>
        </w:rPr>
        <w:t>generation, automobile sector, fuel cell technology and c</w:t>
      </w:r>
      <w:r w:rsidRPr="008C36F5">
        <w:rPr>
          <w:rFonts w:ascii="Times New Roman" w:hAnsi="Times New Roman" w:cs="Times New Roman"/>
          <w:sz w:val="20"/>
          <w:szCs w:val="20"/>
        </w:rPr>
        <w:t>lean fuel r</w:t>
      </w:r>
      <w:r w:rsidR="005563F4" w:rsidRPr="008C36F5">
        <w:rPr>
          <w:rFonts w:ascii="Times New Roman" w:hAnsi="Times New Roman" w:cs="Times New Roman"/>
          <w:sz w:val="20"/>
          <w:szCs w:val="20"/>
        </w:rPr>
        <w:t xml:space="preserve">egion. </w:t>
      </w:r>
      <w:r w:rsidRPr="008C36F5">
        <w:rPr>
          <w:rFonts w:ascii="Times New Roman" w:hAnsi="Times New Roman" w:cs="Times New Roman"/>
          <w:sz w:val="20"/>
          <w:szCs w:val="20"/>
        </w:rPr>
        <w:t>The points can be summarized as below:</w:t>
      </w:r>
    </w:p>
    <w:p w:rsidR="00A147DF" w:rsidRPr="008C36F5" w:rsidRDefault="00A147DF" w:rsidP="008C36F5">
      <w:pPr>
        <w:pStyle w:val="ListParagraph"/>
        <w:numPr>
          <w:ilvl w:val="0"/>
          <w:numId w:val="5"/>
        </w:numPr>
        <w:spacing w:line="240" w:lineRule="auto"/>
        <w:ind w:left="360"/>
        <w:rPr>
          <w:rFonts w:ascii="Times New Roman" w:hAnsi="Times New Roman" w:cs="Times New Roman"/>
          <w:sz w:val="20"/>
          <w:szCs w:val="20"/>
        </w:rPr>
      </w:pPr>
      <w:r w:rsidRPr="008C36F5">
        <w:rPr>
          <w:rFonts w:ascii="Times New Roman" w:hAnsi="Times New Roman" w:cs="Times New Roman"/>
          <w:sz w:val="20"/>
          <w:szCs w:val="20"/>
        </w:rPr>
        <w:t>In the AWE system, the 5-6 mm gap between the electrolysis cell plates should be maintained for optimum HHO/H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gas.</w:t>
      </w:r>
      <w:r w:rsidR="005F2805" w:rsidRPr="008C36F5">
        <w:rPr>
          <w:rFonts w:ascii="Times New Roman" w:hAnsi="Times New Roman" w:cs="Times New Roman"/>
          <w:sz w:val="20"/>
          <w:szCs w:val="20"/>
        </w:rPr>
        <w:t xml:space="preserve"> </w:t>
      </w:r>
      <w:r w:rsidRPr="008C36F5">
        <w:rPr>
          <w:rFonts w:ascii="Times New Roman" w:hAnsi="Times New Roman" w:cs="Times New Roman"/>
          <w:sz w:val="20"/>
          <w:szCs w:val="20"/>
        </w:rPr>
        <w:t>6 gm per litre KOH generate more hydroxy gases with a similar quantity of another catalyst.</w:t>
      </w:r>
      <w:r w:rsidR="005F2805" w:rsidRPr="008C36F5">
        <w:rPr>
          <w:rFonts w:ascii="Times New Roman" w:hAnsi="Times New Roman" w:cs="Times New Roman"/>
          <w:sz w:val="20"/>
          <w:szCs w:val="20"/>
        </w:rPr>
        <w:t xml:space="preserve"> </w:t>
      </w:r>
      <w:r w:rsidRPr="008C36F5">
        <w:rPr>
          <w:rFonts w:ascii="Times New Roman" w:hAnsi="Times New Roman" w:cs="Times New Roman"/>
          <w:sz w:val="20"/>
          <w:szCs w:val="20"/>
        </w:rPr>
        <w:t>3 lt/min HHO flow rate blend with diesel is optimum.</w:t>
      </w:r>
    </w:p>
    <w:p w:rsidR="00A147DF" w:rsidRPr="008C36F5" w:rsidRDefault="00A147DF" w:rsidP="008C36F5">
      <w:pPr>
        <w:pStyle w:val="ListParagraph"/>
        <w:numPr>
          <w:ilvl w:val="0"/>
          <w:numId w:val="5"/>
        </w:numPr>
        <w:tabs>
          <w:tab w:val="left" w:pos="900"/>
        </w:tabs>
        <w:spacing w:line="240" w:lineRule="auto"/>
        <w:ind w:left="360"/>
        <w:rPr>
          <w:rFonts w:ascii="Times New Roman" w:hAnsi="Times New Roman" w:cs="Times New Roman"/>
          <w:sz w:val="20"/>
          <w:szCs w:val="20"/>
        </w:rPr>
      </w:pPr>
      <w:r w:rsidRPr="008C36F5">
        <w:rPr>
          <w:rFonts w:ascii="Times New Roman" w:hAnsi="Times New Roman" w:cs="Times New Roman"/>
          <w:sz w:val="20"/>
          <w:szCs w:val="20"/>
        </w:rPr>
        <w:t>Enhancement in I.C engine performance with a reduction in exhaust emission on use of HHO/H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w:t>
      </w:r>
      <w:r w:rsidR="001D0E86">
        <w:rPr>
          <w:rFonts w:ascii="Times New Roman" w:hAnsi="Times New Roman" w:cs="Times New Roman"/>
          <w:sz w:val="20"/>
          <w:szCs w:val="20"/>
        </w:rPr>
        <w:t xml:space="preserve"> NO</w:t>
      </w:r>
      <w:r w:rsidR="005F2805" w:rsidRPr="008C36F5">
        <w:rPr>
          <w:rFonts w:ascii="Times New Roman" w:hAnsi="Times New Roman" w:cs="Times New Roman"/>
          <w:sz w:val="20"/>
          <w:szCs w:val="20"/>
        </w:rPr>
        <w:t>x generation at a high HHO flow rate takes place. ANN is one of the best-su</w:t>
      </w:r>
      <w:r w:rsidR="00A3599B">
        <w:rPr>
          <w:rFonts w:ascii="Times New Roman" w:hAnsi="Times New Roman" w:cs="Times New Roman"/>
          <w:sz w:val="20"/>
          <w:szCs w:val="20"/>
        </w:rPr>
        <w:t>ited techniques for prediction</w:t>
      </w:r>
      <w:r w:rsidR="005F2805" w:rsidRPr="008C36F5">
        <w:rPr>
          <w:rFonts w:ascii="Times New Roman" w:hAnsi="Times New Roman" w:cs="Times New Roman"/>
          <w:sz w:val="20"/>
          <w:szCs w:val="20"/>
        </w:rPr>
        <w:t>.</w:t>
      </w:r>
    </w:p>
    <w:p w:rsidR="00A147DF" w:rsidRPr="008C36F5" w:rsidRDefault="00A147DF" w:rsidP="008C36F5">
      <w:pPr>
        <w:pStyle w:val="ListParagraph"/>
        <w:numPr>
          <w:ilvl w:val="0"/>
          <w:numId w:val="5"/>
        </w:numPr>
        <w:tabs>
          <w:tab w:val="left" w:pos="900"/>
        </w:tabs>
        <w:spacing w:line="240" w:lineRule="auto"/>
        <w:ind w:left="360"/>
        <w:rPr>
          <w:rFonts w:ascii="Times New Roman" w:hAnsi="Times New Roman" w:cs="Times New Roman"/>
          <w:sz w:val="20"/>
          <w:szCs w:val="20"/>
        </w:rPr>
      </w:pPr>
      <w:r w:rsidRPr="008C36F5">
        <w:rPr>
          <w:rFonts w:ascii="Times New Roman" w:hAnsi="Times New Roman" w:cs="Times New Roman"/>
          <w:sz w:val="20"/>
          <w:szCs w:val="20"/>
        </w:rPr>
        <w:t>PEM is highly promising for future use</w:t>
      </w:r>
      <w:r w:rsidR="005F2805" w:rsidRPr="008C36F5">
        <w:rPr>
          <w:rFonts w:ascii="Times New Roman" w:hAnsi="Times New Roman" w:cs="Times New Roman"/>
          <w:sz w:val="20"/>
          <w:szCs w:val="20"/>
        </w:rPr>
        <w:t xml:space="preserve"> buts it is costly</w:t>
      </w:r>
      <w:r w:rsidRPr="008C36F5">
        <w:rPr>
          <w:rFonts w:ascii="Times New Roman" w:hAnsi="Times New Roman" w:cs="Times New Roman"/>
          <w:sz w:val="20"/>
          <w:szCs w:val="20"/>
        </w:rPr>
        <w:t>.</w:t>
      </w:r>
      <w:r w:rsidR="005F2805" w:rsidRPr="008C36F5">
        <w:rPr>
          <w:rFonts w:ascii="Times New Roman" w:hAnsi="Times New Roman" w:cs="Times New Roman"/>
          <w:sz w:val="20"/>
          <w:szCs w:val="20"/>
        </w:rPr>
        <w:t xml:space="preserve"> </w:t>
      </w:r>
      <w:r w:rsidRPr="008C36F5">
        <w:rPr>
          <w:rFonts w:ascii="Times New Roman" w:hAnsi="Times New Roman" w:cs="Times New Roman"/>
          <w:sz w:val="20"/>
          <w:szCs w:val="20"/>
        </w:rPr>
        <w:t>Low-cost HHO/H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production can be possible using AEM</w:t>
      </w:r>
      <w:r w:rsidR="005F2805" w:rsidRPr="008C36F5">
        <w:rPr>
          <w:rFonts w:ascii="Times New Roman" w:hAnsi="Times New Roman" w:cs="Times New Roman"/>
          <w:sz w:val="20"/>
          <w:szCs w:val="20"/>
        </w:rPr>
        <w:t xml:space="preserve">. </w:t>
      </w:r>
      <w:r w:rsidRPr="008C36F5">
        <w:rPr>
          <w:rFonts w:ascii="Times New Roman" w:hAnsi="Times New Roman" w:cs="Times New Roman"/>
          <w:sz w:val="20"/>
          <w:szCs w:val="20"/>
        </w:rPr>
        <w:t>Catalyst CO</w:t>
      </w:r>
      <w:r w:rsidRPr="008C36F5">
        <w:rPr>
          <w:rFonts w:ascii="Times New Roman" w:hAnsi="Times New Roman" w:cs="Times New Roman"/>
          <w:sz w:val="20"/>
          <w:szCs w:val="20"/>
          <w:vertAlign w:val="subscript"/>
        </w:rPr>
        <w:t>3</w:t>
      </w:r>
      <w:r w:rsidRPr="008C36F5">
        <w:rPr>
          <w:rFonts w:ascii="Times New Roman" w:hAnsi="Times New Roman" w:cs="Times New Roman"/>
          <w:sz w:val="20"/>
          <w:szCs w:val="20"/>
        </w:rPr>
        <w:t>O</w:t>
      </w:r>
      <w:r w:rsidRPr="008C36F5">
        <w:rPr>
          <w:rFonts w:ascii="Times New Roman" w:hAnsi="Times New Roman" w:cs="Times New Roman"/>
          <w:sz w:val="20"/>
          <w:szCs w:val="20"/>
          <w:vertAlign w:val="subscript"/>
        </w:rPr>
        <w:t>4</w:t>
      </w:r>
      <w:r w:rsidRPr="008C36F5">
        <w:rPr>
          <w:rFonts w:ascii="Times New Roman" w:hAnsi="Times New Roman" w:cs="Times New Roman"/>
          <w:sz w:val="20"/>
          <w:szCs w:val="20"/>
        </w:rPr>
        <w:t>/NrGo has a low operating potential &amp; high stability.</w:t>
      </w:r>
      <w:r w:rsidR="005F2805" w:rsidRPr="008C36F5">
        <w:rPr>
          <w:rFonts w:ascii="Times New Roman" w:hAnsi="Times New Roman" w:cs="Times New Roman"/>
          <w:sz w:val="20"/>
          <w:szCs w:val="20"/>
        </w:rPr>
        <w:t xml:space="preserve"> </w:t>
      </w:r>
      <w:r w:rsidRPr="008C36F5">
        <w:rPr>
          <w:rFonts w:ascii="Times New Roman" w:hAnsi="Times New Roman" w:cs="Times New Roman"/>
          <w:sz w:val="20"/>
          <w:szCs w:val="20"/>
        </w:rPr>
        <w:t>Enhancement in hydrogen production when CoP@a-CoOX plate is used in AWE.</w:t>
      </w:r>
    </w:p>
    <w:p w:rsidR="00A147DF" w:rsidRPr="008C36F5" w:rsidRDefault="00A147DF" w:rsidP="008C36F5">
      <w:pPr>
        <w:pStyle w:val="ListParagraph"/>
        <w:numPr>
          <w:ilvl w:val="0"/>
          <w:numId w:val="5"/>
        </w:numPr>
        <w:tabs>
          <w:tab w:val="left" w:pos="900"/>
        </w:tabs>
        <w:spacing w:line="240" w:lineRule="auto"/>
        <w:ind w:left="360"/>
        <w:rPr>
          <w:rFonts w:ascii="Times New Roman" w:hAnsi="Times New Roman" w:cs="Times New Roman"/>
          <w:sz w:val="20"/>
          <w:szCs w:val="20"/>
        </w:rPr>
      </w:pPr>
      <w:r w:rsidRPr="008C36F5">
        <w:rPr>
          <w:rFonts w:ascii="Times New Roman" w:hAnsi="Times New Roman" w:cs="Times New Roman"/>
          <w:sz w:val="20"/>
          <w:szCs w:val="20"/>
        </w:rPr>
        <w:t>The plastic waste can be used for the generation of HHO/H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w:t>
      </w:r>
      <w:r w:rsidR="00C01F75" w:rsidRPr="008C36F5">
        <w:rPr>
          <w:rFonts w:ascii="Times New Roman" w:hAnsi="Times New Roman" w:cs="Times New Roman"/>
          <w:sz w:val="20"/>
          <w:szCs w:val="20"/>
        </w:rPr>
        <w:t xml:space="preserve">gas </w:t>
      </w:r>
      <w:r w:rsidRPr="008C36F5">
        <w:rPr>
          <w:rFonts w:ascii="Times New Roman" w:hAnsi="Times New Roman" w:cs="Times New Roman"/>
          <w:sz w:val="20"/>
          <w:szCs w:val="20"/>
        </w:rPr>
        <w:t>using Polyactic acid with a solar-driven reforming system and this technique offers a gateway to a plethora of energy.</w:t>
      </w:r>
      <w:r w:rsidR="003540C3" w:rsidRPr="008C36F5">
        <w:rPr>
          <w:rFonts w:ascii="Times New Roman" w:hAnsi="Times New Roman" w:cs="Times New Roman"/>
          <w:sz w:val="20"/>
          <w:szCs w:val="20"/>
        </w:rPr>
        <w:t xml:space="preserve"> </w:t>
      </w:r>
      <w:r w:rsidR="001345D6">
        <w:rPr>
          <w:rFonts w:ascii="Times New Roman" w:hAnsi="Times New Roman" w:cs="Times New Roman"/>
          <w:sz w:val="20"/>
          <w:szCs w:val="20"/>
        </w:rPr>
        <w:t>The process of solar d</w:t>
      </w:r>
      <w:r w:rsidRPr="008C36F5">
        <w:rPr>
          <w:rFonts w:ascii="Times New Roman" w:hAnsi="Times New Roman" w:cs="Times New Roman"/>
          <w:sz w:val="20"/>
          <w:szCs w:val="20"/>
        </w:rPr>
        <w:t>esalination can be used to develop the power required for hydrogen generation.</w:t>
      </w:r>
      <w:r w:rsidR="003540C3" w:rsidRPr="008C36F5">
        <w:rPr>
          <w:rFonts w:ascii="Times New Roman" w:hAnsi="Times New Roman" w:cs="Times New Roman"/>
          <w:sz w:val="20"/>
          <w:szCs w:val="20"/>
        </w:rPr>
        <w:t xml:space="preserve"> </w:t>
      </w:r>
      <w:r w:rsidRPr="008C36F5">
        <w:rPr>
          <w:rFonts w:ascii="Times New Roman" w:hAnsi="Times New Roman" w:cs="Times New Roman"/>
          <w:sz w:val="20"/>
          <w:szCs w:val="20"/>
        </w:rPr>
        <w:t>The PEC water splitting is new hope in the region of HHO/H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generation.</w:t>
      </w:r>
    </w:p>
    <w:p w:rsidR="00A147DF" w:rsidRPr="008C36F5" w:rsidRDefault="00A147DF" w:rsidP="008C36F5">
      <w:pPr>
        <w:pStyle w:val="ListParagraph"/>
        <w:numPr>
          <w:ilvl w:val="0"/>
          <w:numId w:val="5"/>
        </w:numPr>
        <w:tabs>
          <w:tab w:val="left" w:pos="900"/>
        </w:tabs>
        <w:spacing w:line="240" w:lineRule="auto"/>
        <w:ind w:left="360"/>
        <w:rPr>
          <w:rFonts w:ascii="Times New Roman" w:hAnsi="Times New Roman" w:cs="Times New Roman"/>
          <w:sz w:val="20"/>
          <w:szCs w:val="20"/>
          <w:lang w:val="en-IN"/>
        </w:rPr>
      </w:pPr>
      <w:r w:rsidRPr="008C36F5">
        <w:rPr>
          <w:rFonts w:ascii="Times New Roman" w:hAnsi="Times New Roman" w:cs="Times New Roman"/>
          <w:sz w:val="20"/>
          <w:szCs w:val="20"/>
          <w:lang w:val="en-IN"/>
        </w:rPr>
        <w:t>Unlike classic biological techniques, MECs can overcome thermodynamic constraints and create high-yield hydrogen from a wide range of organic materials under relatively mild conditions</w:t>
      </w:r>
      <w:r w:rsidR="003E5AD0" w:rsidRPr="008C36F5">
        <w:rPr>
          <w:rFonts w:ascii="Times New Roman" w:hAnsi="Times New Roman" w:cs="Times New Roman"/>
          <w:sz w:val="20"/>
          <w:szCs w:val="20"/>
          <w:lang w:val="en-IN"/>
        </w:rPr>
        <w:t>.</w:t>
      </w:r>
      <w:r w:rsidR="00090ADD"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lang w:val="en-IN"/>
        </w:rPr>
        <w:t>It appears to be a promising source for H</w:t>
      </w:r>
      <w:r w:rsidRPr="008C36F5">
        <w:rPr>
          <w:rFonts w:ascii="Times New Roman" w:hAnsi="Times New Roman" w:cs="Times New Roman"/>
          <w:sz w:val="20"/>
          <w:szCs w:val="20"/>
          <w:vertAlign w:val="subscript"/>
          <w:lang w:val="en-IN"/>
        </w:rPr>
        <w:t>2</w:t>
      </w:r>
      <w:r w:rsidRPr="008C36F5">
        <w:rPr>
          <w:rFonts w:ascii="Times New Roman" w:hAnsi="Times New Roman" w:cs="Times New Roman"/>
          <w:sz w:val="20"/>
          <w:szCs w:val="20"/>
          <w:lang w:val="en-IN"/>
        </w:rPr>
        <w:t xml:space="preserve"> generation.</w:t>
      </w:r>
      <w:r w:rsidR="003540C3" w:rsidRPr="008C36F5">
        <w:rPr>
          <w:rFonts w:ascii="Times New Roman" w:hAnsi="Times New Roman" w:cs="Times New Roman"/>
          <w:sz w:val="20"/>
          <w:szCs w:val="20"/>
          <w:lang w:val="en-IN"/>
        </w:rPr>
        <w:t xml:space="preserve"> </w:t>
      </w:r>
      <w:r w:rsidRPr="008C36F5">
        <w:rPr>
          <w:rFonts w:ascii="Times New Roman" w:hAnsi="Times New Roman" w:cs="Times New Roman"/>
          <w:sz w:val="20"/>
          <w:szCs w:val="20"/>
        </w:rPr>
        <w:t>By superimposing the magnetic flux density on top of the current density, the performance of water electrolysis was significantly enhanced at high current densities.</w:t>
      </w:r>
    </w:p>
    <w:p w:rsidR="003540C3" w:rsidRPr="00DB404F" w:rsidRDefault="00A147DF" w:rsidP="00DB404F">
      <w:pPr>
        <w:pStyle w:val="ListParagraph"/>
        <w:numPr>
          <w:ilvl w:val="0"/>
          <w:numId w:val="5"/>
        </w:numPr>
        <w:tabs>
          <w:tab w:val="left" w:pos="900"/>
        </w:tabs>
        <w:spacing w:line="240" w:lineRule="auto"/>
        <w:ind w:left="360"/>
        <w:rPr>
          <w:rFonts w:ascii="Times New Roman" w:hAnsi="Times New Roman" w:cs="Times New Roman"/>
          <w:sz w:val="20"/>
          <w:szCs w:val="20"/>
        </w:rPr>
      </w:pPr>
      <w:r w:rsidRPr="008C36F5">
        <w:rPr>
          <w:rFonts w:ascii="Times New Roman" w:hAnsi="Times New Roman" w:cs="Times New Roman"/>
          <w:sz w:val="20"/>
          <w:szCs w:val="20"/>
        </w:rPr>
        <w:t xml:space="preserve">It was discovered that new FeNi3/NiFeOx Nanohybrids have excellent </w:t>
      </w:r>
      <w:r w:rsidR="00EC56A6" w:rsidRPr="008C36F5">
        <w:rPr>
          <w:rFonts w:ascii="Times New Roman" w:hAnsi="Times New Roman" w:cs="Times New Roman"/>
          <w:sz w:val="20"/>
          <w:szCs w:val="20"/>
        </w:rPr>
        <w:t>electro catalytic</w:t>
      </w:r>
      <w:r w:rsidRPr="008C36F5">
        <w:rPr>
          <w:rFonts w:ascii="Times New Roman" w:hAnsi="Times New Roman" w:cs="Times New Roman"/>
          <w:sz w:val="20"/>
          <w:szCs w:val="20"/>
        </w:rPr>
        <w:t xml:space="preserve"> activity in both the hydrogen and oxygen evolution reactions.</w:t>
      </w:r>
      <w:r w:rsidR="003540C3" w:rsidRPr="008C36F5">
        <w:rPr>
          <w:rFonts w:ascii="Times New Roman" w:hAnsi="Times New Roman" w:cs="Times New Roman"/>
          <w:sz w:val="20"/>
          <w:szCs w:val="20"/>
        </w:rPr>
        <w:t xml:space="preserve"> </w:t>
      </w:r>
      <w:r w:rsidRPr="008C36F5">
        <w:rPr>
          <w:rFonts w:ascii="Times New Roman" w:hAnsi="Times New Roman" w:cs="Times New Roman"/>
          <w:sz w:val="20"/>
          <w:szCs w:val="20"/>
        </w:rPr>
        <w:t>The use of Tio/ TiN core/shell NBs with highly stable photocatalytic 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output efficiency was successfully enhanced.</w:t>
      </w:r>
    </w:p>
    <w:p w:rsidR="008B5CBD" w:rsidRPr="00DB404F" w:rsidRDefault="008B5CBD" w:rsidP="00DB404F">
      <w:pPr>
        <w:pStyle w:val="Heading3"/>
        <w:shd w:val="clear" w:color="auto" w:fill="FCFCFD"/>
        <w:spacing w:line="240" w:lineRule="auto"/>
        <w:rPr>
          <w:rFonts w:ascii="Times New Roman" w:hAnsi="Times New Roman" w:cs="Times New Roman"/>
          <w:color w:val="000000"/>
          <w:sz w:val="20"/>
          <w:szCs w:val="20"/>
        </w:rPr>
      </w:pPr>
      <w:r w:rsidRPr="00DB404F">
        <w:rPr>
          <w:rFonts w:ascii="Times New Roman" w:hAnsi="Times New Roman" w:cs="Times New Roman"/>
          <w:b/>
          <w:color w:val="000000"/>
          <w:szCs w:val="20"/>
        </w:rPr>
        <w:t>Future Scope:</w:t>
      </w:r>
      <w:r w:rsidRPr="00DB404F">
        <w:rPr>
          <w:rFonts w:ascii="Times New Roman" w:hAnsi="Times New Roman" w:cs="Times New Roman"/>
          <w:color w:val="000000"/>
          <w:szCs w:val="20"/>
        </w:rPr>
        <w:t xml:space="preserve"> </w:t>
      </w:r>
      <w:r w:rsidRPr="00DB404F">
        <w:rPr>
          <w:rFonts w:ascii="Times New Roman" w:hAnsi="Times New Roman" w:cs="Times New Roman"/>
          <w:color w:val="000000"/>
          <w:spacing w:val="-6"/>
          <w:sz w:val="20"/>
          <w:szCs w:val="20"/>
        </w:rPr>
        <w:t xml:space="preserve">Looking </w:t>
      </w:r>
      <w:r w:rsidR="0056009B">
        <w:rPr>
          <w:rFonts w:ascii="Times New Roman" w:hAnsi="Times New Roman" w:cs="Times New Roman"/>
          <w:color w:val="000000"/>
          <w:spacing w:val="-6"/>
          <w:sz w:val="20"/>
          <w:szCs w:val="20"/>
        </w:rPr>
        <w:t>ahead, several key areas need</w:t>
      </w:r>
      <w:r w:rsidRPr="00DB404F">
        <w:rPr>
          <w:rFonts w:ascii="Times New Roman" w:hAnsi="Times New Roman" w:cs="Times New Roman"/>
          <w:color w:val="000000"/>
          <w:spacing w:val="-6"/>
          <w:sz w:val="20"/>
          <w:szCs w:val="20"/>
        </w:rPr>
        <w:t xml:space="preserve"> further investigation:</w:t>
      </w:r>
    </w:p>
    <w:p w:rsidR="008B5CBD" w:rsidRPr="00DB404F" w:rsidRDefault="008B5CBD" w:rsidP="00FE7CDF">
      <w:pPr>
        <w:pStyle w:val="NormalWeb"/>
        <w:numPr>
          <w:ilvl w:val="0"/>
          <w:numId w:val="10"/>
        </w:numPr>
        <w:shd w:val="clear" w:color="auto" w:fill="FCFCFD"/>
        <w:tabs>
          <w:tab w:val="clear" w:pos="720"/>
        </w:tabs>
        <w:spacing w:before="0" w:beforeAutospacing="0" w:after="0" w:afterAutospacing="0"/>
        <w:ind w:left="426"/>
        <w:jc w:val="both"/>
        <w:rPr>
          <w:color w:val="000000"/>
          <w:spacing w:val="-6"/>
          <w:sz w:val="20"/>
          <w:szCs w:val="20"/>
        </w:rPr>
      </w:pPr>
      <w:r w:rsidRPr="00DB404F">
        <w:rPr>
          <w:rStyle w:val="Strong"/>
          <w:color w:val="000000"/>
          <w:spacing w:val="-6"/>
          <w:sz w:val="20"/>
          <w:szCs w:val="20"/>
        </w:rPr>
        <w:t>Cost Reduction Strategies</w:t>
      </w:r>
      <w:r w:rsidRPr="00DB404F">
        <w:rPr>
          <w:color w:val="000000"/>
          <w:spacing w:val="-6"/>
          <w:sz w:val="20"/>
          <w:szCs w:val="20"/>
        </w:rPr>
        <w:t>: Research should focus on developing low-cost, efficient catalysts and membranes to make electrolysis technologies more economically viable for large-scale hydrogen production.</w:t>
      </w:r>
    </w:p>
    <w:p w:rsidR="008B5CBD" w:rsidRPr="00DB404F" w:rsidRDefault="008B5CBD" w:rsidP="00FE7CDF">
      <w:pPr>
        <w:pStyle w:val="NormalWeb"/>
        <w:numPr>
          <w:ilvl w:val="0"/>
          <w:numId w:val="10"/>
        </w:numPr>
        <w:shd w:val="clear" w:color="auto" w:fill="FCFCFD"/>
        <w:spacing w:before="0" w:beforeAutospacing="0" w:after="0" w:afterAutospacing="0"/>
        <w:ind w:left="426"/>
        <w:jc w:val="both"/>
        <w:rPr>
          <w:color w:val="000000"/>
          <w:spacing w:val="-6"/>
          <w:sz w:val="20"/>
          <w:szCs w:val="20"/>
        </w:rPr>
      </w:pPr>
      <w:r w:rsidRPr="00DB404F">
        <w:rPr>
          <w:rStyle w:val="Strong"/>
          <w:color w:val="000000"/>
          <w:spacing w:val="-6"/>
          <w:sz w:val="20"/>
          <w:szCs w:val="20"/>
        </w:rPr>
        <w:t>Integration with Renewable Energy</w:t>
      </w:r>
      <w:r w:rsidRPr="00DB404F">
        <w:rPr>
          <w:color w:val="000000"/>
          <w:spacing w:val="-6"/>
          <w:sz w:val="20"/>
          <w:szCs w:val="20"/>
        </w:rPr>
        <w:t>: Future studies should explore the integration of electrolysis systems with various renewable energy sources, including wind and solar, to enhance the sustainability of hydrogen production.</w:t>
      </w:r>
    </w:p>
    <w:p w:rsidR="008B5CBD" w:rsidRPr="00DB404F" w:rsidRDefault="008B5CBD" w:rsidP="00FE7CDF">
      <w:pPr>
        <w:pStyle w:val="NormalWeb"/>
        <w:numPr>
          <w:ilvl w:val="0"/>
          <w:numId w:val="10"/>
        </w:numPr>
        <w:shd w:val="clear" w:color="auto" w:fill="FCFCFD"/>
        <w:spacing w:before="0" w:beforeAutospacing="0" w:after="0" w:afterAutospacing="0"/>
        <w:ind w:left="426"/>
        <w:jc w:val="both"/>
        <w:rPr>
          <w:color w:val="000000"/>
          <w:spacing w:val="-6"/>
          <w:sz w:val="20"/>
          <w:szCs w:val="20"/>
        </w:rPr>
      </w:pPr>
      <w:r w:rsidRPr="00DB404F">
        <w:rPr>
          <w:rStyle w:val="Strong"/>
          <w:color w:val="000000"/>
          <w:spacing w:val="-6"/>
          <w:sz w:val="20"/>
          <w:szCs w:val="20"/>
        </w:rPr>
        <w:t>Advanced Electrolysis Techniques</w:t>
      </w:r>
      <w:r w:rsidRPr="00DB404F">
        <w:rPr>
          <w:color w:val="000000"/>
          <w:spacing w:val="-6"/>
          <w:sz w:val="20"/>
          <w:szCs w:val="20"/>
        </w:rPr>
        <w:t xml:space="preserve">: The exploration of novel electrolysis methods, such as </w:t>
      </w:r>
      <w:r w:rsidR="000A0CFF" w:rsidRPr="00DB404F">
        <w:rPr>
          <w:color w:val="000000"/>
          <w:spacing w:val="-6"/>
          <w:sz w:val="20"/>
          <w:szCs w:val="20"/>
        </w:rPr>
        <w:t>photo electrochemical</w:t>
      </w:r>
      <w:r w:rsidRPr="00DB404F">
        <w:rPr>
          <w:color w:val="000000"/>
          <w:spacing w:val="-6"/>
          <w:sz w:val="20"/>
          <w:szCs w:val="20"/>
        </w:rPr>
        <w:t xml:space="preserve"> (PEC) water splitting and thermochemical cycles, could provide alternative pathways for efficient hydrogen generation.</w:t>
      </w:r>
    </w:p>
    <w:p w:rsidR="008B5CBD" w:rsidRPr="00DB404F" w:rsidRDefault="008B5CBD" w:rsidP="00FE7CDF">
      <w:pPr>
        <w:pStyle w:val="NormalWeb"/>
        <w:numPr>
          <w:ilvl w:val="0"/>
          <w:numId w:val="10"/>
        </w:numPr>
        <w:shd w:val="clear" w:color="auto" w:fill="FCFCFD"/>
        <w:spacing w:before="0" w:beforeAutospacing="0" w:after="0" w:afterAutospacing="0"/>
        <w:ind w:left="426"/>
        <w:jc w:val="both"/>
        <w:rPr>
          <w:color w:val="000000"/>
          <w:spacing w:val="-6"/>
          <w:sz w:val="20"/>
          <w:szCs w:val="20"/>
        </w:rPr>
      </w:pPr>
      <w:r w:rsidRPr="00DB404F">
        <w:rPr>
          <w:rStyle w:val="Strong"/>
          <w:color w:val="000000"/>
          <w:spacing w:val="-6"/>
          <w:sz w:val="20"/>
          <w:szCs w:val="20"/>
        </w:rPr>
        <w:t>Optimization through AI</w:t>
      </w:r>
      <w:r w:rsidRPr="00DB404F">
        <w:rPr>
          <w:color w:val="000000"/>
          <w:spacing w:val="-6"/>
          <w:sz w:val="20"/>
          <w:szCs w:val="20"/>
        </w:rPr>
        <w:t>: The application of artificial intelligence and machine learning algorithms to optimize electrolysis processes and predict performance outcomes can lead to significant improvements in efficiency and output.</w:t>
      </w:r>
    </w:p>
    <w:p w:rsidR="008B5CBD" w:rsidRPr="00DB404F" w:rsidRDefault="008B5CBD" w:rsidP="00FE7CDF">
      <w:pPr>
        <w:pStyle w:val="NormalWeb"/>
        <w:numPr>
          <w:ilvl w:val="0"/>
          <w:numId w:val="10"/>
        </w:numPr>
        <w:shd w:val="clear" w:color="auto" w:fill="FCFCFD"/>
        <w:spacing w:before="0" w:beforeAutospacing="0" w:after="0" w:afterAutospacing="0"/>
        <w:ind w:left="426"/>
        <w:jc w:val="both"/>
        <w:rPr>
          <w:color w:val="000000"/>
          <w:spacing w:val="-6"/>
          <w:sz w:val="20"/>
          <w:szCs w:val="20"/>
        </w:rPr>
      </w:pPr>
      <w:r w:rsidRPr="00DB404F">
        <w:rPr>
          <w:rStyle w:val="Strong"/>
          <w:color w:val="000000"/>
          <w:spacing w:val="-6"/>
          <w:sz w:val="20"/>
          <w:szCs w:val="20"/>
        </w:rPr>
        <w:t>Environmental Impact Assessments</w:t>
      </w:r>
      <w:r w:rsidRPr="00DB404F">
        <w:rPr>
          <w:color w:val="000000"/>
          <w:spacing w:val="-6"/>
          <w:sz w:val="20"/>
          <w:szCs w:val="20"/>
        </w:rPr>
        <w:t>: Comprehensive life cycle assessments of different hydrogen production methods should be conducted to evaluate their environmental impacts and sustainability.</w:t>
      </w:r>
    </w:p>
    <w:p w:rsidR="008B5CBD" w:rsidRPr="00DB404F" w:rsidRDefault="008B5CBD" w:rsidP="00FE7CDF">
      <w:pPr>
        <w:pStyle w:val="NormalWeb"/>
        <w:numPr>
          <w:ilvl w:val="0"/>
          <w:numId w:val="10"/>
        </w:numPr>
        <w:shd w:val="clear" w:color="auto" w:fill="FCFCFD"/>
        <w:spacing w:before="0" w:beforeAutospacing="0" w:after="0" w:afterAutospacing="0"/>
        <w:ind w:left="426"/>
        <w:jc w:val="both"/>
        <w:rPr>
          <w:color w:val="000000"/>
          <w:spacing w:val="-6"/>
          <w:sz w:val="20"/>
          <w:szCs w:val="20"/>
        </w:rPr>
      </w:pPr>
      <w:r w:rsidRPr="00DB404F">
        <w:rPr>
          <w:rStyle w:val="Strong"/>
          <w:color w:val="000000"/>
          <w:spacing w:val="-6"/>
          <w:sz w:val="20"/>
          <w:szCs w:val="20"/>
        </w:rPr>
        <w:t>Field Trials and Pilot Projects</w:t>
      </w:r>
      <w:r w:rsidRPr="00DB404F">
        <w:rPr>
          <w:color w:val="000000"/>
          <w:spacing w:val="-6"/>
          <w:sz w:val="20"/>
          <w:szCs w:val="20"/>
        </w:rPr>
        <w:t>: Implementing pilot projects that utilize HHO in real-world applications, such as in internal combustion engines and fuel cells, will provide valuable data on performance and emissions reductions.</w:t>
      </w:r>
    </w:p>
    <w:p w:rsidR="008B5CBD" w:rsidRPr="00D47C9B" w:rsidRDefault="008B5CBD" w:rsidP="00FE7CDF">
      <w:pPr>
        <w:pStyle w:val="NormalWeb"/>
        <w:numPr>
          <w:ilvl w:val="0"/>
          <w:numId w:val="10"/>
        </w:numPr>
        <w:shd w:val="clear" w:color="auto" w:fill="FCFCFD"/>
        <w:spacing w:before="0" w:beforeAutospacing="0" w:after="0" w:afterAutospacing="0"/>
        <w:ind w:left="426"/>
        <w:jc w:val="both"/>
        <w:rPr>
          <w:color w:val="000000"/>
          <w:spacing w:val="-6"/>
          <w:sz w:val="20"/>
          <w:szCs w:val="21"/>
        </w:rPr>
      </w:pPr>
      <w:r w:rsidRPr="00D47C9B">
        <w:rPr>
          <w:rStyle w:val="Strong"/>
          <w:color w:val="000000"/>
          <w:spacing w:val="-6"/>
          <w:sz w:val="20"/>
          <w:szCs w:val="21"/>
        </w:rPr>
        <w:t>Waste-to-Hydrogen Technologies</w:t>
      </w:r>
      <w:r w:rsidRPr="00D47C9B">
        <w:rPr>
          <w:color w:val="000000"/>
          <w:spacing w:val="-6"/>
          <w:sz w:val="20"/>
          <w:szCs w:val="21"/>
        </w:rPr>
        <w:t>: Investigating the potential of converting waste materials into hydrogen through electrolysis or other methods can contribute to waste management solutions while producing clean energy.</w:t>
      </w:r>
    </w:p>
    <w:p w:rsidR="008B5CBD" w:rsidRDefault="008B5CBD" w:rsidP="00D47C9B">
      <w:pPr>
        <w:pStyle w:val="NormalWeb"/>
        <w:shd w:val="clear" w:color="auto" w:fill="FCFCFD"/>
        <w:spacing w:before="180" w:beforeAutospacing="0"/>
        <w:jc w:val="both"/>
        <w:rPr>
          <w:rFonts w:ascii="Arial" w:hAnsi="Arial" w:cs="Arial"/>
          <w:color w:val="000000"/>
          <w:spacing w:val="-6"/>
          <w:sz w:val="21"/>
          <w:szCs w:val="21"/>
        </w:rPr>
      </w:pPr>
      <w:r w:rsidRPr="00D47C9B">
        <w:rPr>
          <w:color w:val="000000"/>
          <w:spacing w:val="-6"/>
          <w:sz w:val="20"/>
          <w:szCs w:val="21"/>
        </w:rPr>
        <w:t xml:space="preserve">By addressing these areas, future research can significantly advance the field of hydrogen production, contributing to a cleaner, more sustainable energy landscape. The continued exploration of innovative electrolysis techniques and their </w:t>
      </w:r>
      <w:r w:rsidRPr="00D47C9B">
        <w:rPr>
          <w:color w:val="000000"/>
          <w:spacing w:val="-6"/>
          <w:sz w:val="20"/>
          <w:szCs w:val="21"/>
        </w:rPr>
        <w:lastRenderedPageBreak/>
        <w:t>applications will play a pivotal role in the transition towards a hydrogen economy, ultimately aiding in the reduction of greenhouse gas emissions and reliance on fossil fuels</w:t>
      </w:r>
      <w:r>
        <w:rPr>
          <w:rFonts w:ascii="Arial" w:hAnsi="Arial" w:cs="Arial"/>
          <w:color w:val="000000"/>
          <w:spacing w:val="-6"/>
          <w:sz w:val="21"/>
          <w:szCs w:val="21"/>
        </w:rPr>
        <w:t>.</w:t>
      </w:r>
    </w:p>
    <w:p w:rsidR="000661AA" w:rsidRPr="008C36F5" w:rsidRDefault="00CF73CB" w:rsidP="008C36F5">
      <w:pPr>
        <w:pStyle w:val="ListParagraph"/>
        <w:tabs>
          <w:tab w:val="left" w:pos="900"/>
        </w:tabs>
        <w:spacing w:line="240" w:lineRule="auto"/>
        <w:ind w:left="360"/>
        <w:rPr>
          <w:rFonts w:ascii="Times New Roman" w:hAnsi="Times New Roman" w:cs="Times New Roman"/>
          <w:sz w:val="20"/>
          <w:szCs w:val="20"/>
        </w:rPr>
      </w:pPr>
      <w:r>
        <w:rPr>
          <w:rFonts w:ascii="Times New Roman" w:hAnsi="Times New Roman" w:cs="Times New Roman"/>
          <w:noProof/>
          <w:sz w:val="20"/>
          <w:szCs w:val="20"/>
        </w:rPr>
        <w:pict>
          <v:shape id="_x0000_s1071" type="#_x0000_t202" style="position:absolute;left:0;text-align:left;margin-left:406.6pt;margin-top:4.15pt;width:76.7pt;height:39.3pt;z-index:251680768;mso-width-relative:margin;mso-height-relative:margin">
            <v:textbox style="mso-next-textbox:#_x0000_s1071">
              <w:txbxContent>
                <w:p w:rsidR="00FE7CDF" w:rsidRPr="000A6441" w:rsidRDefault="00FE7CDF" w:rsidP="002B0713">
                  <w:pPr>
                    <w:spacing w:line="240" w:lineRule="auto"/>
                    <w:rPr>
                      <w:rFonts w:ascii="Times New Roman" w:hAnsi="Times New Roman" w:cs="Times New Roman"/>
                    </w:rPr>
                  </w:pPr>
                  <w:r w:rsidRPr="000A6441">
                    <w:rPr>
                      <w:rFonts w:ascii="Times New Roman" w:hAnsi="Times New Roman" w:cs="Times New Roman"/>
                    </w:rPr>
                    <w:t>Application &amp; Use</w:t>
                  </w:r>
                </w:p>
              </w:txbxContent>
            </v:textbox>
          </v:shape>
        </w:pict>
      </w:r>
      <w:r>
        <w:rPr>
          <w:rFonts w:ascii="Times New Roman" w:hAnsi="Times New Roman" w:cs="Times New Roman"/>
          <w:noProof/>
          <w:sz w:val="20"/>
          <w:szCs w:val="20"/>
        </w:rPr>
        <w:pict>
          <v:shape id="_x0000_s1072" type="#_x0000_t202" style="position:absolute;left:0;text-align:left;margin-left:275.25pt;margin-top:4.15pt;width:74.25pt;height:37.65pt;z-index:251681792;mso-width-relative:margin;mso-height-relative:margin">
            <v:textbox style="mso-next-textbox:#_x0000_s1072">
              <w:txbxContent>
                <w:p w:rsidR="00FE7CDF" w:rsidRPr="000A6441" w:rsidRDefault="00FE7CDF" w:rsidP="002B0713">
                  <w:pPr>
                    <w:spacing w:line="240" w:lineRule="auto"/>
                    <w:rPr>
                      <w:rFonts w:ascii="Times New Roman" w:hAnsi="Times New Roman" w:cs="Times New Roman"/>
                    </w:rPr>
                  </w:pPr>
                  <w:r w:rsidRPr="000A6441">
                    <w:rPr>
                      <w:rFonts w:ascii="Times New Roman" w:hAnsi="Times New Roman" w:cs="Times New Roman"/>
                    </w:rPr>
                    <w:t>HHO/H</w:t>
                  </w:r>
                  <w:r w:rsidRPr="000A6441">
                    <w:rPr>
                      <w:rFonts w:ascii="Times New Roman" w:hAnsi="Times New Roman" w:cs="Times New Roman"/>
                      <w:vertAlign w:val="subscript"/>
                    </w:rPr>
                    <w:t>2</w:t>
                  </w:r>
                  <w:r w:rsidRPr="000A6441">
                    <w:rPr>
                      <w:rFonts w:ascii="Times New Roman" w:hAnsi="Times New Roman" w:cs="Times New Roman"/>
                    </w:rPr>
                    <w:t xml:space="preserve"> Storage Tank</w:t>
                  </w:r>
                </w:p>
              </w:txbxContent>
            </v:textbox>
          </v:shape>
        </w:pict>
      </w:r>
      <w:r>
        <w:rPr>
          <w:rFonts w:ascii="Times New Roman" w:hAnsi="Times New Roman" w:cs="Times New Roman"/>
          <w:noProof/>
          <w:sz w:val="20"/>
          <w:szCs w:val="20"/>
        </w:rPr>
        <w:pict>
          <v:shape id="_x0000_s1073" type="#_x0000_t202" style="position:absolute;left:0;text-align:left;margin-left:142.2pt;margin-top:4.15pt;width:83.6pt;height:37.65pt;z-index:251682816;mso-width-relative:margin;mso-height-relative:margin">
            <v:textbox style="mso-next-textbox:#_x0000_s1073">
              <w:txbxContent>
                <w:p w:rsidR="00FE7CDF" w:rsidRPr="000A6441" w:rsidRDefault="00FE7CDF" w:rsidP="0018263A">
                  <w:pPr>
                    <w:jc w:val="center"/>
                    <w:rPr>
                      <w:rFonts w:ascii="Times New Roman" w:hAnsi="Times New Roman" w:cs="Times New Roman"/>
                    </w:rPr>
                  </w:pPr>
                  <w:r w:rsidRPr="000A6441">
                    <w:rPr>
                      <w:rFonts w:ascii="Times New Roman" w:hAnsi="Times New Roman" w:cs="Times New Roman"/>
                    </w:rPr>
                    <w:t>MEC</w:t>
                  </w:r>
                </w:p>
              </w:txbxContent>
            </v:textbox>
          </v:shape>
        </w:pict>
      </w:r>
      <w:r>
        <w:rPr>
          <w:rFonts w:ascii="Times New Roman" w:hAnsi="Times New Roman" w:cs="Times New Roman"/>
          <w:noProof/>
          <w:sz w:val="20"/>
          <w:szCs w:val="20"/>
          <w:lang w:eastAsia="zh-TW"/>
        </w:rPr>
        <w:pict>
          <v:shape id="_x0000_s1070" type="#_x0000_t202" style="position:absolute;left:0;text-align:left;margin-left:15.9pt;margin-top:4.15pt;width:71.25pt;height:38.65pt;z-index:251679744;mso-width-relative:margin;mso-height-relative:margin">
            <v:textbox>
              <w:txbxContent>
                <w:p w:rsidR="00FE7CDF" w:rsidRPr="000A6441" w:rsidRDefault="00FE7CDF" w:rsidP="002B0713">
                  <w:pPr>
                    <w:spacing w:line="240" w:lineRule="auto"/>
                    <w:rPr>
                      <w:rFonts w:ascii="Times New Roman" w:hAnsi="Times New Roman" w:cs="Times New Roman"/>
                    </w:rPr>
                  </w:pPr>
                  <w:r w:rsidRPr="002B0713">
                    <w:rPr>
                      <w:rFonts w:ascii="Times New Roman" w:hAnsi="Times New Roman" w:cs="Times New Roman"/>
                      <w:sz w:val="20"/>
                    </w:rPr>
                    <w:t xml:space="preserve">Solar Energy </w:t>
                  </w:r>
                  <w:r w:rsidRPr="000A6441">
                    <w:rPr>
                      <w:rFonts w:ascii="Times New Roman" w:hAnsi="Times New Roman" w:cs="Times New Roman"/>
                    </w:rPr>
                    <w:t>System</w:t>
                  </w:r>
                </w:p>
              </w:txbxContent>
            </v:textbox>
          </v:shape>
        </w:pict>
      </w:r>
    </w:p>
    <w:p w:rsidR="000661AA" w:rsidRPr="008C36F5" w:rsidRDefault="00CF73CB" w:rsidP="008C36F5">
      <w:pPr>
        <w:pStyle w:val="ListParagraph"/>
        <w:tabs>
          <w:tab w:val="left" w:pos="900"/>
        </w:tabs>
        <w:spacing w:line="240" w:lineRule="auto"/>
        <w:ind w:left="360"/>
        <w:rPr>
          <w:rFonts w:ascii="Times New Roman" w:hAnsi="Times New Roman" w:cs="Times New Roman"/>
          <w:sz w:val="20"/>
          <w:szCs w:val="20"/>
        </w:rPr>
      </w:pPr>
      <w:r>
        <w:rPr>
          <w:rFonts w:ascii="Times New Roman" w:hAnsi="Times New Roman" w:cs="Times New Roman"/>
          <w:noProof/>
          <w:sz w:val="20"/>
          <w:szCs w:val="20"/>
        </w:rPr>
        <w:pict>
          <v:shape id="_x0000_s1077" type="#_x0000_t32" style="position:absolute;left:0;text-align:left;margin-left:227.45pt;margin-top:6pt;width:38.75pt;height:0;z-index:251686912" o:connectortype="straight">
            <v:stroke endarrow="block"/>
          </v:shape>
        </w:pict>
      </w:r>
      <w:r>
        <w:rPr>
          <w:rFonts w:ascii="Times New Roman" w:hAnsi="Times New Roman" w:cs="Times New Roman"/>
          <w:noProof/>
          <w:sz w:val="20"/>
          <w:szCs w:val="20"/>
        </w:rPr>
        <w:pict>
          <v:shape id="_x0000_s1078" type="#_x0000_t32" style="position:absolute;left:0;text-align:left;margin-left:358.55pt;margin-top:6pt;width:38.75pt;height:0;z-index:251687936" o:connectortype="straight">
            <v:stroke endarrow="block"/>
          </v:shape>
        </w:pict>
      </w:r>
      <w:r>
        <w:rPr>
          <w:rFonts w:ascii="Times New Roman" w:hAnsi="Times New Roman" w:cs="Times New Roman"/>
          <w:noProof/>
          <w:sz w:val="20"/>
          <w:szCs w:val="20"/>
        </w:rPr>
        <w:pict>
          <v:shape id="_x0000_s1075" type="#_x0000_t32" style="position:absolute;left:0;text-align:left;margin-left:96.8pt;margin-top:6pt;width:38.75pt;height:0;z-index:251684864" o:connectortype="straight">
            <v:stroke endarrow="block"/>
          </v:shape>
        </w:pict>
      </w:r>
    </w:p>
    <w:p w:rsidR="000661AA" w:rsidRPr="008C36F5" w:rsidRDefault="000661AA" w:rsidP="008C36F5">
      <w:pPr>
        <w:pStyle w:val="ListParagraph"/>
        <w:tabs>
          <w:tab w:val="left" w:pos="900"/>
        </w:tabs>
        <w:spacing w:line="240" w:lineRule="auto"/>
        <w:ind w:left="360"/>
        <w:rPr>
          <w:rFonts w:ascii="Times New Roman" w:hAnsi="Times New Roman" w:cs="Times New Roman"/>
          <w:sz w:val="20"/>
          <w:szCs w:val="20"/>
        </w:rPr>
      </w:pPr>
    </w:p>
    <w:p w:rsidR="000661AA" w:rsidRPr="008C36F5" w:rsidRDefault="00CF73CB" w:rsidP="008C36F5">
      <w:pPr>
        <w:pStyle w:val="ListParagraph"/>
        <w:tabs>
          <w:tab w:val="left" w:pos="900"/>
        </w:tabs>
        <w:spacing w:line="240" w:lineRule="auto"/>
        <w:ind w:left="360"/>
        <w:rPr>
          <w:rFonts w:ascii="Times New Roman" w:hAnsi="Times New Roman" w:cs="Times New Roman"/>
          <w:sz w:val="20"/>
          <w:szCs w:val="20"/>
        </w:rPr>
      </w:pPr>
      <w:r>
        <w:rPr>
          <w:rFonts w:ascii="Times New Roman" w:hAnsi="Times New Roman" w:cs="Times New Roman"/>
          <w:noProof/>
          <w:sz w:val="20"/>
          <w:szCs w:val="20"/>
        </w:rPr>
        <w:pict>
          <v:shape id="_x0000_s1076" type="#_x0000_t32" style="position:absolute;left:0;text-align:left;margin-left:183pt;margin-top:6.65pt;width:0;height:26.05pt;flip:y;z-index:251685888" o:connectortype="straight">
            <v:stroke endarrow="block"/>
          </v:shape>
        </w:pict>
      </w:r>
    </w:p>
    <w:p w:rsidR="000661AA" w:rsidRPr="008C36F5" w:rsidRDefault="00CF73CB" w:rsidP="008C36F5">
      <w:pPr>
        <w:pStyle w:val="ListParagraph"/>
        <w:tabs>
          <w:tab w:val="left" w:pos="900"/>
        </w:tabs>
        <w:spacing w:line="240" w:lineRule="auto"/>
        <w:ind w:left="360"/>
        <w:rPr>
          <w:rFonts w:ascii="Times New Roman" w:hAnsi="Times New Roman" w:cs="Times New Roman"/>
          <w:sz w:val="20"/>
          <w:szCs w:val="20"/>
        </w:rPr>
      </w:pPr>
      <w:r>
        <w:rPr>
          <w:rFonts w:ascii="Times New Roman" w:hAnsi="Times New Roman" w:cs="Times New Roman"/>
          <w:noProof/>
          <w:sz w:val="20"/>
          <w:szCs w:val="20"/>
        </w:rPr>
        <w:pict>
          <v:shape id="_x0000_s1074" type="#_x0000_t202" style="position:absolute;left:0;text-align:left;margin-left:129.75pt;margin-top:22.35pt;width:124.4pt;height:41.95pt;z-index:251683840;mso-width-relative:margin;mso-height-relative:margin">
            <v:textbox style="mso-next-textbox:#_x0000_s1074">
              <w:txbxContent>
                <w:p w:rsidR="00FE7CDF" w:rsidRPr="000A6441" w:rsidRDefault="00FE7CDF" w:rsidP="002B0713">
                  <w:pPr>
                    <w:spacing w:line="240" w:lineRule="auto"/>
                    <w:jc w:val="center"/>
                    <w:rPr>
                      <w:rFonts w:ascii="Times New Roman" w:hAnsi="Times New Roman" w:cs="Times New Roman"/>
                    </w:rPr>
                  </w:pPr>
                  <w:r>
                    <w:rPr>
                      <w:rFonts w:ascii="Times New Roman" w:hAnsi="Times New Roman" w:cs="Times New Roman"/>
                    </w:rPr>
                    <w:t xml:space="preserve">Biodegradable and non- Biodegradable waste </w:t>
                  </w:r>
                </w:p>
              </w:txbxContent>
            </v:textbox>
          </v:shape>
        </w:pict>
      </w:r>
    </w:p>
    <w:p w:rsidR="003540C3" w:rsidRDefault="003540C3" w:rsidP="008C36F5">
      <w:pPr>
        <w:tabs>
          <w:tab w:val="left" w:pos="900"/>
        </w:tabs>
        <w:spacing w:line="240" w:lineRule="auto"/>
        <w:rPr>
          <w:rFonts w:ascii="Times New Roman" w:hAnsi="Times New Roman" w:cs="Times New Roman"/>
          <w:sz w:val="20"/>
          <w:szCs w:val="20"/>
        </w:rPr>
      </w:pPr>
    </w:p>
    <w:p w:rsidR="002B0713" w:rsidRPr="008C36F5" w:rsidRDefault="002B0713" w:rsidP="008C36F5">
      <w:pPr>
        <w:tabs>
          <w:tab w:val="left" w:pos="900"/>
        </w:tabs>
        <w:spacing w:line="240" w:lineRule="auto"/>
        <w:rPr>
          <w:rFonts w:ascii="Times New Roman" w:hAnsi="Times New Roman" w:cs="Times New Roman"/>
          <w:sz w:val="20"/>
          <w:szCs w:val="20"/>
        </w:rPr>
      </w:pPr>
    </w:p>
    <w:p w:rsidR="00156EE3" w:rsidRPr="008C36F5" w:rsidRDefault="00A147DF" w:rsidP="008C36F5">
      <w:pPr>
        <w:pStyle w:val="ListParagraph"/>
        <w:tabs>
          <w:tab w:val="left" w:pos="900"/>
        </w:tabs>
        <w:spacing w:line="240" w:lineRule="auto"/>
        <w:ind w:left="90"/>
        <w:rPr>
          <w:rFonts w:ascii="Times New Roman" w:hAnsi="Times New Roman" w:cs="Times New Roman"/>
          <w:sz w:val="20"/>
          <w:szCs w:val="20"/>
        </w:rPr>
      </w:pPr>
      <w:r w:rsidRPr="008C36F5">
        <w:rPr>
          <w:rFonts w:ascii="Times New Roman" w:hAnsi="Times New Roman" w:cs="Times New Roman"/>
          <w:sz w:val="20"/>
          <w:szCs w:val="20"/>
        </w:rPr>
        <w:t>The HHO/H</w:t>
      </w:r>
      <w:r w:rsidRPr="008C36F5">
        <w:rPr>
          <w:rFonts w:ascii="Times New Roman" w:hAnsi="Times New Roman" w:cs="Times New Roman"/>
          <w:sz w:val="20"/>
          <w:szCs w:val="20"/>
          <w:vertAlign w:val="subscript"/>
        </w:rPr>
        <w:t>2</w:t>
      </w:r>
      <w:r w:rsidRPr="008C36F5">
        <w:rPr>
          <w:rFonts w:ascii="Times New Roman" w:hAnsi="Times New Roman" w:cs="Times New Roman"/>
          <w:sz w:val="20"/>
          <w:szCs w:val="20"/>
        </w:rPr>
        <w:t xml:space="preserve"> can be very effectively generated from the MEC electrolysis cell using solar energy and later it can be used as per its application like I.C engine, welding etc.</w:t>
      </w:r>
    </w:p>
    <w:p w:rsidR="00F27892" w:rsidRPr="002B0713" w:rsidRDefault="00D12E8A" w:rsidP="008C36F5">
      <w:pPr>
        <w:spacing w:line="240" w:lineRule="auto"/>
        <w:rPr>
          <w:rFonts w:ascii="Times New Roman" w:hAnsi="Times New Roman" w:cs="Times New Roman"/>
          <w:b/>
          <w:szCs w:val="20"/>
        </w:rPr>
      </w:pPr>
      <w:r w:rsidRPr="002B0713">
        <w:rPr>
          <w:rFonts w:ascii="Times New Roman" w:hAnsi="Times New Roman" w:cs="Times New Roman"/>
          <w:b/>
          <w:szCs w:val="20"/>
        </w:rPr>
        <w:t>References</w:t>
      </w:r>
    </w:p>
    <w:p w:rsidR="002D57C3" w:rsidRPr="00DE4EB9" w:rsidRDefault="0063134A"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8C36F5">
        <w:rPr>
          <w:rFonts w:ascii="Times New Roman" w:hAnsi="Times New Roman" w:cs="Times New Roman"/>
          <w:b/>
          <w:sz w:val="20"/>
          <w:szCs w:val="20"/>
        </w:rPr>
        <w:fldChar w:fldCharType="begin" w:fldLock="1"/>
      </w:r>
      <w:r w:rsidR="0073396D" w:rsidRPr="00DE4EB9">
        <w:rPr>
          <w:rFonts w:ascii="Times New Roman" w:hAnsi="Times New Roman" w:cs="Times New Roman"/>
          <w:b/>
          <w:sz w:val="20"/>
          <w:szCs w:val="20"/>
        </w:rPr>
        <w:instrText xml:space="preserve">ADDIN Mendeley Bibliography CSL_BIBLIOGRAPHY </w:instrText>
      </w:r>
      <w:r w:rsidRPr="008C36F5">
        <w:rPr>
          <w:rFonts w:ascii="Times New Roman" w:hAnsi="Times New Roman" w:cs="Times New Roman"/>
          <w:b/>
          <w:sz w:val="20"/>
          <w:szCs w:val="20"/>
        </w:rPr>
        <w:fldChar w:fldCharType="separate"/>
      </w:r>
      <w:r w:rsidR="002D57C3" w:rsidRPr="00DE4EB9">
        <w:rPr>
          <w:rFonts w:ascii="Times New Roman" w:hAnsi="Times New Roman" w:cs="Times New Roman"/>
          <w:noProof/>
          <w:sz w:val="20"/>
          <w:szCs w:val="20"/>
        </w:rPr>
        <w:t xml:space="preserve">Abdulameer, A. Z. </w:t>
      </w:r>
      <w:r w:rsidR="002D57C3" w:rsidRPr="00DE4EB9">
        <w:rPr>
          <w:rFonts w:ascii="Times New Roman" w:hAnsi="Times New Roman" w:cs="Times New Roman"/>
          <w:i/>
          <w:iCs/>
          <w:noProof/>
          <w:sz w:val="20"/>
          <w:szCs w:val="20"/>
        </w:rPr>
        <w:t>et al.</w:t>
      </w:r>
      <w:r w:rsidR="002D57C3" w:rsidRPr="00DE4EB9">
        <w:rPr>
          <w:rFonts w:ascii="Times New Roman" w:hAnsi="Times New Roman" w:cs="Times New Roman"/>
          <w:noProof/>
          <w:sz w:val="20"/>
          <w:szCs w:val="20"/>
        </w:rPr>
        <w:t xml:space="preserve"> (2019) ‘Electrolysis through magnetic field for future renewable energy’, </w:t>
      </w:r>
      <w:r w:rsidR="002D57C3" w:rsidRPr="00DE4EB9">
        <w:rPr>
          <w:rFonts w:ascii="Times New Roman" w:hAnsi="Times New Roman" w:cs="Times New Roman"/>
          <w:i/>
          <w:iCs/>
          <w:noProof/>
          <w:sz w:val="20"/>
          <w:szCs w:val="20"/>
        </w:rPr>
        <w:t>International Journal of Recent Technology and Engineering</w:t>
      </w:r>
      <w:r w:rsidR="002D57C3" w:rsidRPr="00DE4EB9">
        <w:rPr>
          <w:rFonts w:ascii="Times New Roman" w:hAnsi="Times New Roman" w:cs="Times New Roman"/>
          <w:noProof/>
          <w:sz w:val="20"/>
          <w:szCs w:val="20"/>
        </w:rPr>
        <w:t>, 8(2 Special Issue), pp. 489–492.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Ahmadi, M. H., Ahmadi, M. A. and Pourfayaz, F. (2017) ‘Thermal models for analysis of performance of Stirling engine: A review’,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68(July 2015), pp. 168–184. doi: 10.1016/j.rser.2016.09.033.</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Al-Rousan, A. A. and Musmar, S. A. (2018) ‘Effect of anodes-cathodes inter-distances of HHO fuel cell on gasoline engine performance operating by a blend of HHO’, </w:t>
      </w:r>
      <w:r w:rsidRPr="00DE4EB9">
        <w:rPr>
          <w:rFonts w:ascii="Times New Roman" w:hAnsi="Times New Roman" w:cs="Times New Roman"/>
          <w:i/>
          <w:iCs/>
          <w:noProof/>
          <w:sz w:val="20"/>
          <w:szCs w:val="20"/>
        </w:rPr>
        <w:t>International Journal of Hydrogen Energy</w:t>
      </w:r>
      <w:r w:rsidRPr="00DE4EB9">
        <w:rPr>
          <w:rFonts w:ascii="Times New Roman" w:hAnsi="Times New Roman" w:cs="Times New Roman"/>
          <w:noProof/>
          <w:sz w:val="20"/>
          <w:szCs w:val="20"/>
        </w:rPr>
        <w:t>, 43(41), pp. 19213–19221. doi: 10.1016/j.ijhydene.2018.08.118.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Alrafie, N.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‘Optimization of oxyhydrogen gas flow rate as a supplementary fuel in compression ignition combustion enginess’, </w:t>
      </w:r>
      <w:r w:rsidRPr="00DE4EB9">
        <w:rPr>
          <w:rFonts w:ascii="Times New Roman" w:hAnsi="Times New Roman" w:cs="Times New Roman"/>
          <w:i/>
          <w:iCs/>
          <w:noProof/>
          <w:sz w:val="20"/>
          <w:szCs w:val="20"/>
        </w:rPr>
        <w:t>International Journal of Heat and Technology</w:t>
      </w:r>
      <w:r w:rsidRPr="00DE4EB9">
        <w:rPr>
          <w:rFonts w:ascii="Times New Roman" w:hAnsi="Times New Roman" w:cs="Times New Roman"/>
          <w:noProof/>
          <w:sz w:val="20"/>
          <w:szCs w:val="20"/>
        </w:rPr>
        <w:t>, 35(1), pp. 116–122. doi: 10.18280/ijht.350116.</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Aoki, A., Naruse, M. and Abe, T. (2013) ‘Series circuit of organic thin-film solar cells for conversion of water into hydrogen’, </w:t>
      </w:r>
      <w:r w:rsidRPr="00DE4EB9">
        <w:rPr>
          <w:rFonts w:ascii="Times New Roman" w:hAnsi="Times New Roman" w:cs="Times New Roman"/>
          <w:i/>
          <w:iCs/>
          <w:noProof/>
          <w:sz w:val="20"/>
          <w:szCs w:val="20"/>
        </w:rPr>
        <w:t>ChemPhysChem</w:t>
      </w:r>
      <w:r w:rsidRPr="00DE4EB9">
        <w:rPr>
          <w:rFonts w:ascii="Times New Roman" w:hAnsi="Times New Roman" w:cs="Times New Roman"/>
          <w:noProof/>
          <w:sz w:val="20"/>
          <w:szCs w:val="20"/>
        </w:rPr>
        <w:t>, 14(10), pp. 2317–2320. doi: 10.1002/cphc.201300114.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Ardo, S.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‘Pathways to electrochemical solar-hydrogen technologies’,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11(10), pp. 2768–2783. doi: 10.1039/c7ee03639f.</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Arrigo, R.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(2013) ‘In situ study of the gas-phase electrolysis of water on platinum by NAP-XPS’, </w:t>
      </w:r>
      <w:r w:rsidRPr="00DE4EB9">
        <w:rPr>
          <w:rFonts w:ascii="Times New Roman" w:hAnsi="Times New Roman" w:cs="Times New Roman"/>
          <w:i/>
          <w:iCs/>
          <w:noProof/>
          <w:sz w:val="20"/>
          <w:szCs w:val="20"/>
        </w:rPr>
        <w:t>Angewandte Chemie - International Edition</w:t>
      </w:r>
      <w:r w:rsidRPr="00DE4EB9">
        <w:rPr>
          <w:rFonts w:ascii="Times New Roman" w:hAnsi="Times New Roman" w:cs="Times New Roman"/>
          <w:noProof/>
          <w:sz w:val="20"/>
          <w:szCs w:val="20"/>
        </w:rPr>
        <w:t>, 52(44), pp. 11660–11664. doi: 10.1002/anie.201304765.</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Aydin, K. and Kenanoğlu, R. (2018) ‘Effects of hydrogenation of fossil fuels with hydrogen and hydroxy gas on performance and emissions of internal combustion engines’, </w:t>
      </w:r>
      <w:r w:rsidRPr="00DE4EB9">
        <w:rPr>
          <w:rFonts w:ascii="Times New Roman" w:hAnsi="Times New Roman" w:cs="Times New Roman"/>
          <w:i/>
          <w:iCs/>
          <w:noProof/>
          <w:sz w:val="20"/>
          <w:szCs w:val="20"/>
        </w:rPr>
        <w:t>International Journal of Hydrogen Energy</w:t>
      </w:r>
      <w:r w:rsidRPr="00DE4EB9">
        <w:rPr>
          <w:rFonts w:ascii="Times New Roman" w:hAnsi="Times New Roman" w:cs="Times New Roman"/>
          <w:noProof/>
          <w:sz w:val="20"/>
          <w:szCs w:val="20"/>
        </w:rPr>
        <w:t>, 43(30), pp. 14047–14058. doi: 10.1016/j.ijhydene.2018.04.026.</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Ayvazoğluyüksel, Ö. and Filik, Ü. B. (2018) ‘Estimation methods of global solar radiation, cell temperature and solar power forecasting: A review and case study in eskişehir’,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91(May 2017), pp. 639–653. doi: 10.1016/j.rser.2018.03.084.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Badr, M. H., Hassan, M. I. and El-Hamalawy, A. A. (2015) ‘On-demand hydrogen cell for automobile fuel consumption efficiency’, </w:t>
      </w:r>
      <w:r w:rsidRPr="00DE4EB9">
        <w:rPr>
          <w:rFonts w:ascii="Times New Roman" w:hAnsi="Times New Roman" w:cs="Times New Roman"/>
          <w:i/>
          <w:iCs/>
          <w:noProof/>
          <w:sz w:val="20"/>
          <w:szCs w:val="20"/>
        </w:rPr>
        <w:t>International Journal of Green Energy</w:t>
      </w:r>
      <w:r w:rsidRPr="00DE4EB9">
        <w:rPr>
          <w:rFonts w:ascii="Times New Roman" w:hAnsi="Times New Roman" w:cs="Times New Roman"/>
          <w:noProof/>
          <w:sz w:val="20"/>
          <w:szCs w:val="20"/>
        </w:rPr>
        <w:t>, 12(11), pp. 1086–1090. doi: 10.1080/15435075.2014.890105.</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Balcombe, P.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‘The role of hydrogen and fuel cells in the global energy system’, </w:t>
      </w:r>
      <w:r w:rsidRPr="00DE4EB9">
        <w:rPr>
          <w:rFonts w:ascii="Times New Roman" w:hAnsi="Times New Roman" w:cs="Times New Roman"/>
          <w:i/>
          <w:iCs/>
          <w:noProof/>
          <w:sz w:val="20"/>
          <w:szCs w:val="20"/>
        </w:rPr>
        <w:t>Energy &amp; Environmental Science</w:t>
      </w:r>
      <w:r w:rsidRPr="00DE4EB9">
        <w:rPr>
          <w:rFonts w:ascii="Times New Roman" w:hAnsi="Times New Roman" w:cs="Times New Roman"/>
          <w:noProof/>
          <w:sz w:val="20"/>
          <w:szCs w:val="20"/>
        </w:rPr>
        <w:t>, pp. 01–29. doi: 10.1039/c8ee01157e.</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Baltacıoğlu, M. K. (2018) ‘A novel application of pulse width modulation technique on hydroxy gas production’, </w:t>
      </w:r>
      <w:r w:rsidRPr="00DE4EB9">
        <w:rPr>
          <w:rFonts w:ascii="Times New Roman" w:hAnsi="Times New Roman" w:cs="Times New Roman"/>
          <w:i/>
          <w:iCs/>
          <w:noProof/>
          <w:sz w:val="20"/>
          <w:szCs w:val="20"/>
        </w:rPr>
        <w:t>International Journal of Hydrogen Energy</w:t>
      </w:r>
      <w:r w:rsidRPr="00DE4EB9">
        <w:rPr>
          <w:rFonts w:ascii="Times New Roman" w:hAnsi="Times New Roman" w:cs="Times New Roman"/>
          <w:noProof/>
          <w:sz w:val="20"/>
          <w:szCs w:val="20"/>
        </w:rPr>
        <w:t>, (xxxx). doi: 10.1016/j.ijhydene.2018.10.228.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Bari, S., Hossain, S. N. and Saad, I. (2020) ‘A review on improving airflow characteristics inside the combustion chamber of CI engines to improve the performance with higher viscous biofuels’, </w:t>
      </w:r>
      <w:r w:rsidRPr="00DE4EB9">
        <w:rPr>
          <w:rFonts w:ascii="Times New Roman" w:hAnsi="Times New Roman" w:cs="Times New Roman"/>
          <w:i/>
          <w:iCs/>
          <w:noProof/>
          <w:sz w:val="20"/>
          <w:szCs w:val="20"/>
        </w:rPr>
        <w:t>Fuel</w:t>
      </w:r>
      <w:r w:rsidRPr="00DE4EB9">
        <w:rPr>
          <w:rFonts w:ascii="Times New Roman" w:hAnsi="Times New Roman" w:cs="Times New Roman"/>
          <w:noProof/>
          <w:sz w:val="20"/>
          <w:szCs w:val="20"/>
        </w:rPr>
        <w:t>, 264(November 2019), p. 116769. doi: 10.1016/j.fuel.2019.116769.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Baumann, N.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(2016) ‘Supported IrxRu1–xO2 Anode Catalysts for PEM-Water Electrolysis’, </w:t>
      </w:r>
      <w:r w:rsidRPr="00DE4EB9">
        <w:rPr>
          <w:rFonts w:ascii="Times New Roman" w:hAnsi="Times New Roman" w:cs="Times New Roman"/>
          <w:i/>
          <w:iCs/>
          <w:noProof/>
          <w:sz w:val="20"/>
          <w:szCs w:val="20"/>
        </w:rPr>
        <w:t>Fuel Cells</w:t>
      </w:r>
      <w:r w:rsidRPr="00DE4EB9">
        <w:rPr>
          <w:rFonts w:ascii="Times New Roman" w:hAnsi="Times New Roman" w:cs="Times New Roman"/>
          <w:noProof/>
          <w:sz w:val="20"/>
          <w:szCs w:val="20"/>
        </w:rPr>
        <w:t>, 17(2), pp. 259–267. doi: 10.1002/fuce.201500212.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Bhardwaj, S., Singh Verma, A. and Sharma, S. K. (2014) ‘Effect of brown gas on the performance of a four </w:t>
      </w:r>
      <w:r w:rsidRPr="00DE4EB9">
        <w:rPr>
          <w:rFonts w:ascii="Times New Roman" w:hAnsi="Times New Roman" w:cs="Times New Roman"/>
          <w:noProof/>
          <w:sz w:val="20"/>
          <w:szCs w:val="20"/>
        </w:rPr>
        <w:lastRenderedPageBreak/>
        <w:t xml:space="preserve">stroke gasoline engine’, in </w:t>
      </w:r>
      <w:r w:rsidRPr="00DE4EB9">
        <w:rPr>
          <w:rFonts w:ascii="Times New Roman" w:hAnsi="Times New Roman" w:cs="Times New Roman"/>
          <w:i/>
          <w:iCs/>
          <w:noProof/>
          <w:sz w:val="20"/>
          <w:szCs w:val="20"/>
        </w:rPr>
        <w:t>International Journal of Emerging Technology and Advanced Engineering</w:t>
      </w:r>
      <w:r w:rsidRPr="00DE4EB9">
        <w:rPr>
          <w:rFonts w:ascii="Times New Roman" w:hAnsi="Times New Roman" w:cs="Times New Roman"/>
          <w:noProof/>
          <w:sz w:val="20"/>
          <w:szCs w:val="20"/>
        </w:rPr>
        <w:t>, pp. 2250–2459. Available at: www.ijetae.com.</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Bhave, N. A., Gupta, M. M. and Joshi, S. S. (2020) ‘Effect of Brown’s gas addition on combustion and emissions of homogeneous charge compression ignition engine’, </w:t>
      </w:r>
      <w:r w:rsidRPr="00DE4EB9">
        <w:rPr>
          <w:rFonts w:ascii="Times New Roman" w:hAnsi="Times New Roman" w:cs="Times New Roman"/>
          <w:i/>
          <w:iCs/>
          <w:noProof/>
          <w:sz w:val="20"/>
          <w:szCs w:val="20"/>
        </w:rPr>
        <w:t>Energy Sources, Part A: Recovery, Utilization and Environmental Effects</w:t>
      </w:r>
      <w:r w:rsidRPr="00DE4EB9">
        <w:rPr>
          <w:rFonts w:ascii="Times New Roman" w:hAnsi="Times New Roman" w:cs="Times New Roman"/>
          <w:noProof/>
          <w:sz w:val="20"/>
          <w:szCs w:val="20"/>
        </w:rPr>
        <w:t>, (x). doi: 10.1080/15567036.2020.1817194.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Brown, R. K.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(2014) ‘Evaluating the effects of scaling up on the performance of bioelectrochemical systems using a technical scale microbial electrolysis cell’, </w:t>
      </w:r>
      <w:r w:rsidRPr="00DE4EB9">
        <w:rPr>
          <w:rFonts w:ascii="Times New Roman" w:hAnsi="Times New Roman" w:cs="Times New Roman"/>
          <w:i/>
          <w:iCs/>
          <w:noProof/>
          <w:sz w:val="20"/>
          <w:szCs w:val="20"/>
        </w:rPr>
        <w:t>Bioresource Technology</w:t>
      </w:r>
      <w:r w:rsidRPr="00DE4EB9">
        <w:rPr>
          <w:rFonts w:ascii="Times New Roman" w:hAnsi="Times New Roman" w:cs="Times New Roman"/>
          <w:noProof/>
          <w:sz w:val="20"/>
          <w:szCs w:val="20"/>
        </w:rPr>
        <w:t>, 163, pp. 206–213. doi: 10.1016/j.biortech.2014.04.044.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Bund, A.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(2003) ‘Magnetic field effects in electrochemical reactions’, </w:t>
      </w:r>
      <w:r w:rsidRPr="00DE4EB9">
        <w:rPr>
          <w:rFonts w:ascii="Times New Roman" w:hAnsi="Times New Roman" w:cs="Times New Roman"/>
          <w:i/>
          <w:iCs/>
          <w:noProof/>
          <w:sz w:val="20"/>
          <w:szCs w:val="20"/>
        </w:rPr>
        <w:t>Electrochimica Acta</w:t>
      </w:r>
      <w:r w:rsidRPr="00DE4EB9">
        <w:rPr>
          <w:rFonts w:ascii="Times New Roman" w:hAnsi="Times New Roman" w:cs="Times New Roman"/>
          <w:noProof/>
          <w:sz w:val="20"/>
          <w:szCs w:val="20"/>
        </w:rPr>
        <w:t>, 49(1), pp. 147–152. doi: 10.1016/j.electacta.2003.04.009.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Buttler, A. and Spliethoff, H. (2018) ‘Current status of water electrolysis for energy storage, grid balancing and sector coupling via power-to-gas and power-to-liquids: A review’,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82(September), pp. 2440–2454. doi: 10.1016/j.rser.2017.09.003.</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Cao, G. X.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‘Cobalt-Tungsten-Boron as an Active Electrocatalyst for Water Electrolysis’, </w:t>
      </w:r>
      <w:r w:rsidRPr="00DE4EB9">
        <w:rPr>
          <w:rFonts w:ascii="Times New Roman" w:hAnsi="Times New Roman" w:cs="Times New Roman"/>
          <w:i/>
          <w:iCs/>
          <w:noProof/>
          <w:sz w:val="20"/>
          <w:szCs w:val="20"/>
        </w:rPr>
        <w:t>ChemistrySelect</w:t>
      </w:r>
      <w:r w:rsidRPr="00DE4EB9">
        <w:rPr>
          <w:rFonts w:ascii="Times New Roman" w:hAnsi="Times New Roman" w:cs="Times New Roman"/>
          <w:noProof/>
          <w:sz w:val="20"/>
          <w:szCs w:val="20"/>
        </w:rPr>
        <w:t>, 2(21), pp. 6187–6193. doi: 10.1002/slct.201701459.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Catal, T., Lesnik, K. L. and Liu, H. (2015) ‘Suppression of methanogenesis for hydrogen production in single-chamber microbial electrolysis cells using various antibiotics’, </w:t>
      </w:r>
      <w:r w:rsidRPr="00DE4EB9">
        <w:rPr>
          <w:rFonts w:ascii="Times New Roman" w:hAnsi="Times New Roman" w:cs="Times New Roman"/>
          <w:i/>
          <w:iCs/>
          <w:noProof/>
          <w:sz w:val="20"/>
          <w:szCs w:val="20"/>
        </w:rPr>
        <w:t>Bioresource Technology</w:t>
      </w:r>
      <w:r w:rsidRPr="00DE4EB9">
        <w:rPr>
          <w:rFonts w:ascii="Times New Roman" w:hAnsi="Times New Roman" w:cs="Times New Roman"/>
          <w:noProof/>
          <w:sz w:val="20"/>
          <w:szCs w:val="20"/>
        </w:rPr>
        <w:t>, 187, pp. 77–83. doi: 10.1016/j.biortech.2015.03.099.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Chae, K. J.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(2014) ‘Sulfonated polyether ether ketone (SPEEK)-based composite proton exchange membrane reinforced with nanofibers for microbial electrolysis cells’, </w:t>
      </w:r>
      <w:r w:rsidRPr="00DE4EB9">
        <w:rPr>
          <w:rFonts w:ascii="Times New Roman" w:hAnsi="Times New Roman" w:cs="Times New Roman"/>
          <w:i/>
          <w:iCs/>
          <w:noProof/>
          <w:sz w:val="20"/>
          <w:szCs w:val="20"/>
        </w:rPr>
        <w:t>Chemical Engineering Journal</w:t>
      </w:r>
      <w:r w:rsidRPr="00DE4EB9">
        <w:rPr>
          <w:rFonts w:ascii="Times New Roman" w:hAnsi="Times New Roman" w:cs="Times New Roman"/>
          <w:noProof/>
          <w:sz w:val="20"/>
          <w:szCs w:val="20"/>
        </w:rPr>
        <w:t>, 254, pp. 393–398. doi: 10.1016/j.cej.2014.05.145.</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Chen, Y.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‘Experimental study and analytical modeling of an alkaline water electrolysis cell’, </w:t>
      </w:r>
      <w:r w:rsidRPr="00DE4EB9">
        <w:rPr>
          <w:rFonts w:ascii="Times New Roman" w:hAnsi="Times New Roman" w:cs="Times New Roman"/>
          <w:i/>
          <w:iCs/>
          <w:noProof/>
          <w:sz w:val="20"/>
          <w:szCs w:val="20"/>
        </w:rPr>
        <w:t>International Journal of Energy Research</w:t>
      </w:r>
      <w:r w:rsidRPr="00DE4EB9">
        <w:rPr>
          <w:rFonts w:ascii="Times New Roman" w:hAnsi="Times New Roman" w:cs="Times New Roman"/>
          <w:noProof/>
          <w:sz w:val="20"/>
          <w:szCs w:val="20"/>
        </w:rPr>
        <w:t>, 41(14), pp. 2365–2373. doi: 10.1002/er.3806.</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Chi, J. and Yu, H. (2018) ‘Water electrolysis based on renewable energy for hydrogen production’, </w:t>
      </w:r>
      <w:r w:rsidRPr="00DE4EB9">
        <w:rPr>
          <w:rFonts w:ascii="Times New Roman" w:hAnsi="Times New Roman" w:cs="Times New Roman"/>
          <w:i/>
          <w:iCs/>
          <w:noProof/>
          <w:sz w:val="20"/>
          <w:szCs w:val="20"/>
        </w:rPr>
        <w:t>Chinese Journal of Catalysis</w:t>
      </w:r>
      <w:r w:rsidRPr="00DE4EB9">
        <w:rPr>
          <w:rFonts w:ascii="Times New Roman" w:hAnsi="Times New Roman" w:cs="Times New Roman"/>
          <w:noProof/>
          <w:sz w:val="20"/>
          <w:szCs w:val="20"/>
        </w:rPr>
        <w:t>, 39(3), pp. 390–394. doi: 10.1016/S1872-2067(17)62949-8.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Choodum, N., Sangwichien, C. and Yamsaengsung, R. (2019) ‘Optimization of a closed-loop HHO production system for vehicles and houses’, </w:t>
      </w:r>
      <w:r w:rsidRPr="00DE4EB9">
        <w:rPr>
          <w:rFonts w:ascii="Times New Roman" w:hAnsi="Times New Roman" w:cs="Times New Roman"/>
          <w:i/>
          <w:iCs/>
          <w:noProof/>
          <w:sz w:val="20"/>
          <w:szCs w:val="20"/>
        </w:rPr>
        <w:t>Environmental Progress and Sustainable Energy</w:t>
      </w:r>
      <w:r w:rsidRPr="00DE4EB9">
        <w:rPr>
          <w:rFonts w:ascii="Times New Roman" w:hAnsi="Times New Roman" w:cs="Times New Roman"/>
          <w:noProof/>
          <w:sz w:val="20"/>
          <w:szCs w:val="20"/>
        </w:rPr>
        <w:t>, 38(1), pp. 268–277. doi: 10.1002/ep.12909.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Conker, Ç. (2018) ‘A novel fuzzy logic based safe operation oriented control technique for driving HHO dry cell systems based on PWM duty cycle’, </w:t>
      </w:r>
      <w:r w:rsidRPr="00DE4EB9">
        <w:rPr>
          <w:rFonts w:ascii="Times New Roman" w:hAnsi="Times New Roman" w:cs="Times New Roman"/>
          <w:i/>
          <w:iCs/>
          <w:noProof/>
          <w:sz w:val="20"/>
          <w:szCs w:val="20"/>
        </w:rPr>
        <w:t>International Journal of Hydrogen Energy</w:t>
      </w:r>
      <w:r w:rsidRPr="00DE4EB9">
        <w:rPr>
          <w:rFonts w:ascii="Times New Roman" w:hAnsi="Times New Roman" w:cs="Times New Roman"/>
          <w:noProof/>
          <w:sz w:val="20"/>
          <w:szCs w:val="20"/>
        </w:rPr>
        <w:t>, (xxxx). doi: 10.1016/j.ijhydene.2018.10.243.</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Deimede, V., Labou, D. and Neophytides, S. G. (2014) ‘Polymer electrolyte membranes based on blends of sulfonated polysulfone and PEO-grafted polyethersulfone for low temperature water electrolysis’, </w:t>
      </w:r>
      <w:r w:rsidRPr="00DE4EB9">
        <w:rPr>
          <w:rFonts w:ascii="Times New Roman" w:hAnsi="Times New Roman" w:cs="Times New Roman"/>
          <w:i/>
          <w:iCs/>
          <w:noProof/>
          <w:sz w:val="20"/>
          <w:szCs w:val="20"/>
        </w:rPr>
        <w:t>Journal of Applied Polymer Science</w:t>
      </w:r>
      <w:r w:rsidRPr="00DE4EB9">
        <w:rPr>
          <w:rFonts w:ascii="Times New Roman" w:hAnsi="Times New Roman" w:cs="Times New Roman"/>
          <w:noProof/>
          <w:sz w:val="20"/>
          <w:szCs w:val="20"/>
        </w:rPr>
        <w:t>, 131(4), pp. 1–8. doi: 10.1002/app.39922.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Deutz, S.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‘Cleaner production of cleaner fuels: Wind-to-wheel-environmental assessment of CO2-based oxymethylene ether as a drop-in fuel’,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11(2), pp. 331–343. doi: 10.1039/c7ee01657c.</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Ding, C., Yang, K. L. and He, J. (2016) </w:t>
      </w:r>
      <w:r w:rsidRPr="00DE4EB9">
        <w:rPr>
          <w:rFonts w:ascii="Times New Roman" w:hAnsi="Times New Roman" w:cs="Times New Roman"/>
          <w:i/>
          <w:iCs/>
          <w:noProof/>
          <w:sz w:val="20"/>
          <w:szCs w:val="20"/>
        </w:rPr>
        <w:t>Biological and fermentative production of hydrogen</w:t>
      </w:r>
      <w:r w:rsidRPr="00DE4EB9">
        <w:rPr>
          <w:rFonts w:ascii="Times New Roman" w:hAnsi="Times New Roman" w:cs="Times New Roman"/>
          <w:noProof/>
          <w:sz w:val="20"/>
          <w:szCs w:val="20"/>
        </w:rPr>
        <w:t xml:space="preserve">, </w:t>
      </w:r>
      <w:r w:rsidRPr="00DE4EB9">
        <w:rPr>
          <w:rFonts w:ascii="Times New Roman" w:hAnsi="Times New Roman" w:cs="Times New Roman"/>
          <w:i/>
          <w:iCs/>
          <w:noProof/>
          <w:sz w:val="20"/>
          <w:szCs w:val="20"/>
        </w:rPr>
        <w:t>Handbook of Biofuels Production: Processes and Technologies: Second Edition</w:t>
      </w:r>
      <w:r w:rsidRPr="00DE4EB9">
        <w:rPr>
          <w:rFonts w:ascii="Times New Roman" w:hAnsi="Times New Roman" w:cs="Times New Roman"/>
          <w:noProof/>
          <w:sz w:val="20"/>
          <w:szCs w:val="20"/>
        </w:rPr>
        <w:t>. doi: 10.1016/B978-0-08-100455-5.00011-4.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Dreos, A.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(2016) ‘Exploring the potential of a hybrid device combining solar water heating and molecular solar thermal energy storage’,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10(3), pp. 728–734. doi: 10.1039/c6ee01952h.</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Ellison, H. (2011) ‘Hydrogen’, in </w:t>
      </w:r>
      <w:r w:rsidRPr="00DE4EB9">
        <w:rPr>
          <w:rFonts w:ascii="Times New Roman" w:hAnsi="Times New Roman" w:cs="Times New Roman"/>
          <w:i/>
          <w:iCs/>
          <w:noProof/>
          <w:sz w:val="20"/>
          <w:szCs w:val="20"/>
        </w:rPr>
        <w:t>Energy for a Sustainable World: From the Oil Age to a Sun-Powered Future.</w:t>
      </w:r>
      <w:r w:rsidRPr="00DE4EB9">
        <w:rPr>
          <w:rFonts w:ascii="Times New Roman" w:hAnsi="Times New Roman" w:cs="Times New Roman"/>
          <w:noProof/>
          <w:sz w:val="20"/>
          <w:szCs w:val="20"/>
        </w:rPr>
        <w:t>, pp. 279–299.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Environmental Protection Agency, U. S. G. G. I. D. E. (2020) </w:t>
      </w:r>
      <w:r w:rsidRPr="00DE4EB9">
        <w:rPr>
          <w:rFonts w:ascii="Times New Roman" w:hAnsi="Times New Roman" w:cs="Times New Roman"/>
          <w:i/>
          <w:iCs/>
          <w:noProof/>
          <w:sz w:val="20"/>
          <w:szCs w:val="20"/>
        </w:rPr>
        <w:t>10802 GHG emissions by econoic sector6-15-20</w:t>
      </w:r>
      <w:r w:rsidRPr="00DE4EB9">
        <w:rPr>
          <w:rFonts w:ascii="Times New Roman" w:hAnsi="Times New Roman" w:cs="Times New Roman"/>
          <w:noProof/>
          <w:sz w:val="20"/>
          <w:szCs w:val="20"/>
        </w:rPr>
        <w:t>.</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Ergal, İ.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(2020) ‘Biohydrogen production beyond the Thauer limit by precision design of artificial microbial consortia’, </w:t>
      </w:r>
      <w:r w:rsidRPr="00DE4EB9">
        <w:rPr>
          <w:rFonts w:ascii="Times New Roman" w:hAnsi="Times New Roman" w:cs="Times New Roman"/>
          <w:i/>
          <w:iCs/>
          <w:noProof/>
          <w:sz w:val="20"/>
          <w:szCs w:val="20"/>
        </w:rPr>
        <w:t>Communications Biology</w:t>
      </w:r>
      <w:r w:rsidRPr="00DE4EB9">
        <w:rPr>
          <w:rFonts w:ascii="Times New Roman" w:hAnsi="Times New Roman" w:cs="Times New Roman"/>
          <w:noProof/>
          <w:sz w:val="20"/>
          <w:szCs w:val="20"/>
        </w:rPr>
        <w:t>, 3(1), pp. 1–12. doi: 10.1038/s42003-020-01159-x.</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Ergin Şahin, M. (2020) ‘A photovoltaic powered electrolysis converter system with maximum power point tracking control’, </w:t>
      </w:r>
      <w:r w:rsidRPr="00DE4EB9">
        <w:rPr>
          <w:rFonts w:ascii="Times New Roman" w:hAnsi="Times New Roman" w:cs="Times New Roman"/>
          <w:i/>
          <w:iCs/>
          <w:noProof/>
          <w:sz w:val="20"/>
          <w:szCs w:val="20"/>
        </w:rPr>
        <w:t>International Journal of Hydrogen Energy</w:t>
      </w:r>
      <w:r w:rsidRPr="00DE4EB9">
        <w:rPr>
          <w:rFonts w:ascii="Times New Roman" w:hAnsi="Times New Roman" w:cs="Times New Roman"/>
          <w:noProof/>
          <w:sz w:val="20"/>
          <w:szCs w:val="20"/>
        </w:rPr>
        <w:t>, 45(16), pp. 9293–9304. doi: 10.1016/j.ijhydene.2020.01.162.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Feng, Q.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‘A review of proton exchange membrane water electrolysis on degradation mechanisms and mitigation strategies’, </w:t>
      </w:r>
      <w:r w:rsidRPr="00DE4EB9">
        <w:rPr>
          <w:rFonts w:ascii="Times New Roman" w:hAnsi="Times New Roman" w:cs="Times New Roman"/>
          <w:i/>
          <w:iCs/>
          <w:noProof/>
          <w:sz w:val="20"/>
          <w:szCs w:val="20"/>
        </w:rPr>
        <w:t>Journal of Power Sources</w:t>
      </w:r>
      <w:r w:rsidRPr="00DE4EB9">
        <w:rPr>
          <w:rFonts w:ascii="Times New Roman" w:hAnsi="Times New Roman" w:cs="Times New Roman"/>
          <w:noProof/>
          <w:sz w:val="20"/>
          <w:szCs w:val="20"/>
        </w:rPr>
        <w:t>, 366, pp. 33–55. doi: 10.1016/j.jpowsour.2017.09.006.</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Gößling, S.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‘Proton exchange membrane water electrolysis modeling for system simulation </w:t>
      </w:r>
      <w:r w:rsidRPr="00DE4EB9">
        <w:rPr>
          <w:rFonts w:ascii="Times New Roman" w:hAnsi="Times New Roman" w:cs="Times New Roman"/>
          <w:noProof/>
          <w:sz w:val="20"/>
          <w:szCs w:val="20"/>
        </w:rPr>
        <w:lastRenderedPageBreak/>
        <w:t xml:space="preserve">and degradation analysis’, </w:t>
      </w:r>
      <w:r w:rsidRPr="00DE4EB9">
        <w:rPr>
          <w:rFonts w:ascii="Times New Roman" w:hAnsi="Times New Roman" w:cs="Times New Roman"/>
          <w:i/>
          <w:iCs/>
          <w:noProof/>
          <w:sz w:val="20"/>
          <w:szCs w:val="20"/>
        </w:rPr>
        <w:t>Chemie-Ingenieur-Technik</w:t>
      </w:r>
      <w:r w:rsidRPr="00DE4EB9">
        <w:rPr>
          <w:rFonts w:ascii="Times New Roman" w:hAnsi="Times New Roman" w:cs="Times New Roman"/>
          <w:noProof/>
          <w:sz w:val="20"/>
          <w:szCs w:val="20"/>
        </w:rPr>
        <w:t>, 90(10), pp. 1437–1442. doi: 10.1002/cite.201800041.</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Grigoriev, S. V. N. F. (2017) ‘Hydrogen production by water electrolysis’, in </w:t>
      </w:r>
      <w:r w:rsidRPr="00DE4EB9">
        <w:rPr>
          <w:rFonts w:ascii="Times New Roman" w:hAnsi="Times New Roman" w:cs="Times New Roman"/>
          <w:i/>
          <w:iCs/>
          <w:noProof/>
          <w:sz w:val="20"/>
          <w:szCs w:val="20"/>
        </w:rPr>
        <w:t>Hydrogen Production Technologies</w:t>
      </w:r>
      <w:r w:rsidRPr="00DE4EB9">
        <w:rPr>
          <w:rFonts w:ascii="Times New Roman" w:hAnsi="Times New Roman" w:cs="Times New Roman"/>
          <w:noProof/>
          <w:sz w:val="20"/>
          <w:szCs w:val="20"/>
        </w:rPr>
        <w:t>, pp. 231–276. doi: 10.1533/9780857097736.2.159.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Guillet, N. and Millet, P. (2015) ‘Chapter 4: Alkaline water electrolysis’, in </w:t>
      </w:r>
      <w:r w:rsidRPr="00DE4EB9">
        <w:rPr>
          <w:rFonts w:ascii="Times New Roman" w:hAnsi="Times New Roman" w:cs="Times New Roman"/>
          <w:i/>
          <w:iCs/>
          <w:noProof/>
          <w:sz w:val="20"/>
          <w:szCs w:val="20"/>
        </w:rPr>
        <w:t>Hydrogen Production: by Electrolysis</w:t>
      </w:r>
      <w:r w:rsidRPr="00DE4EB9">
        <w:rPr>
          <w:rFonts w:ascii="Times New Roman" w:hAnsi="Times New Roman" w:cs="Times New Roman"/>
          <w:noProof/>
          <w:sz w:val="20"/>
          <w:szCs w:val="20"/>
        </w:rPr>
        <w:t>, pp. 117–167. doi: 10.1002/9783527676507.ch4.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Heintzel, A. (2017) </w:t>
      </w:r>
      <w:r w:rsidRPr="00DE4EB9">
        <w:rPr>
          <w:rFonts w:ascii="Times New Roman" w:hAnsi="Times New Roman" w:cs="Times New Roman"/>
          <w:i/>
          <w:iCs/>
          <w:noProof/>
          <w:sz w:val="20"/>
          <w:szCs w:val="20"/>
        </w:rPr>
        <w:t>Research into Interactions between Internal Combustion Engines and Fuels</w:t>
      </w:r>
      <w:r w:rsidRPr="00DE4EB9">
        <w:rPr>
          <w:rFonts w:ascii="Times New Roman" w:hAnsi="Times New Roman" w:cs="Times New Roman"/>
          <w:noProof/>
          <w:sz w:val="20"/>
          <w:szCs w:val="20"/>
        </w:rPr>
        <w:t xml:space="preserve">, </w:t>
      </w:r>
      <w:r w:rsidRPr="00DE4EB9">
        <w:rPr>
          <w:rFonts w:ascii="Times New Roman" w:hAnsi="Times New Roman" w:cs="Times New Roman"/>
          <w:i/>
          <w:iCs/>
          <w:noProof/>
          <w:sz w:val="20"/>
          <w:szCs w:val="20"/>
        </w:rPr>
        <w:t>MTZ worldwide</w:t>
      </w:r>
      <w:r w:rsidRPr="00DE4EB9">
        <w:rPr>
          <w:rFonts w:ascii="Times New Roman" w:hAnsi="Times New Roman" w:cs="Times New Roman"/>
          <w:noProof/>
          <w:sz w:val="20"/>
          <w:szCs w:val="20"/>
        </w:rPr>
        <w:t>. doi: 10.1007/s38313-017-0169-8.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Herron, J. A.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(2015) ‘A general framework for the assessment of solar fuel technologies’,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8(1), pp. 126–157. doi: 10.1039/c4ee01958j.</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Hourng, M.-Y. L. and L.-W. (2014) ‘Effects of magnetic field and pulse potential on hydrogen production via water electrolysis’, </w:t>
      </w:r>
      <w:r w:rsidRPr="00DE4EB9">
        <w:rPr>
          <w:rFonts w:ascii="Times New Roman" w:hAnsi="Times New Roman" w:cs="Times New Roman"/>
          <w:i/>
          <w:iCs/>
          <w:noProof/>
          <w:sz w:val="20"/>
          <w:szCs w:val="20"/>
        </w:rPr>
        <w:t>International Jourmal Of Energy Research</w:t>
      </w:r>
      <w:r w:rsidRPr="00DE4EB9">
        <w:rPr>
          <w:rFonts w:ascii="Times New Roman" w:hAnsi="Times New Roman" w:cs="Times New Roman"/>
          <w:noProof/>
          <w:sz w:val="20"/>
          <w:szCs w:val="20"/>
        </w:rPr>
        <w:t>, 38, pp. 106–116. doi: 10.1002/er.</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Hua, T.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(2019) ‘Microbial electrolysis cell as an emerging versatile technology: a review on its potential application, advance and challenge’, </w:t>
      </w:r>
      <w:r w:rsidRPr="00DE4EB9">
        <w:rPr>
          <w:rFonts w:ascii="Times New Roman" w:hAnsi="Times New Roman" w:cs="Times New Roman"/>
          <w:i/>
          <w:iCs/>
          <w:noProof/>
          <w:sz w:val="20"/>
          <w:szCs w:val="20"/>
        </w:rPr>
        <w:t>Journal of Chemical Technology and Biotechnology</w:t>
      </w:r>
      <w:r w:rsidRPr="00DE4EB9">
        <w:rPr>
          <w:rFonts w:ascii="Times New Roman" w:hAnsi="Times New Roman" w:cs="Times New Roman"/>
          <w:noProof/>
          <w:sz w:val="20"/>
          <w:szCs w:val="20"/>
        </w:rPr>
        <w:t>, 94(6), pp. 1697–1711. doi: 10.1002/jctb.5898.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Iida, T., Matsushima, H. and Fukunaka, Y. (2007) ‘Water Electrolysis under a Magnetic Field’, </w:t>
      </w:r>
      <w:r w:rsidRPr="00DE4EB9">
        <w:rPr>
          <w:rFonts w:ascii="Times New Roman" w:hAnsi="Times New Roman" w:cs="Times New Roman"/>
          <w:i/>
          <w:iCs/>
          <w:noProof/>
          <w:sz w:val="20"/>
          <w:szCs w:val="20"/>
        </w:rPr>
        <w:t>Journal of The Electrochemical Society</w:t>
      </w:r>
      <w:r w:rsidRPr="00DE4EB9">
        <w:rPr>
          <w:rFonts w:ascii="Times New Roman" w:hAnsi="Times New Roman" w:cs="Times New Roman"/>
          <w:noProof/>
          <w:sz w:val="20"/>
          <w:szCs w:val="20"/>
        </w:rPr>
        <w:t>, 154(8), p. E112. doi: 10.1149/1.2742807.</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Ishaq, H. and Dincer, I. (2021) ‘Comparative assessment of renewable energy-based hydrogen production methods’, </w:t>
      </w:r>
      <w:r w:rsidRPr="00DE4EB9">
        <w:rPr>
          <w:rFonts w:ascii="Times New Roman" w:hAnsi="Times New Roman" w:cs="Times New Roman"/>
          <w:i/>
          <w:iCs/>
          <w:noProof/>
          <w:sz w:val="20"/>
          <w:szCs w:val="20"/>
        </w:rPr>
        <w:t xml:space="preserve">Renewable and Sustainable Energy </w:t>
      </w:r>
      <w:r w:rsidRPr="00DE4EB9">
        <w:rPr>
          <w:rFonts w:ascii="Times New Roman" w:hAnsi="Times New Roman" w:cs="Times New Roman"/>
          <w:i/>
          <w:iCs/>
          <w:noProof/>
          <w:sz w:val="18"/>
          <w:szCs w:val="20"/>
        </w:rPr>
        <w:t>Reviews</w:t>
      </w:r>
      <w:r w:rsidRPr="00DE4EB9">
        <w:rPr>
          <w:rFonts w:ascii="Times New Roman" w:hAnsi="Times New Roman" w:cs="Times New Roman"/>
          <w:noProof/>
          <w:sz w:val="20"/>
          <w:szCs w:val="20"/>
        </w:rPr>
        <w:t>, 135(July 2020), p. 110192. doi: 10.1016/j.rser.2020.110192.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Islam, A. K. M. K.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(2021) ‘Bio-Hydrogen Production from Wastewater: A Comparative Study of Low Energy Intensive Production Processes’, </w:t>
      </w:r>
      <w:r w:rsidRPr="00DE4EB9">
        <w:rPr>
          <w:rFonts w:ascii="Times New Roman" w:hAnsi="Times New Roman" w:cs="Times New Roman"/>
          <w:i/>
          <w:iCs/>
          <w:noProof/>
          <w:sz w:val="20"/>
          <w:szCs w:val="20"/>
        </w:rPr>
        <w:t>Clean Technologies</w:t>
      </w:r>
      <w:r w:rsidRPr="00DE4EB9">
        <w:rPr>
          <w:rFonts w:ascii="Times New Roman" w:hAnsi="Times New Roman" w:cs="Times New Roman"/>
          <w:noProof/>
          <w:sz w:val="20"/>
          <w:szCs w:val="20"/>
        </w:rPr>
        <w:t>, 3(1), pp. 156–182. doi: 10.3390/cleantechnol3010010.</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Ismail, T. M.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(2019) ‘Modelling and simulation of electrochemical analysis of hybrid spark-ignition engine using hydroxy (HHO) dry cell’, </w:t>
      </w:r>
      <w:r w:rsidRPr="00DE4EB9">
        <w:rPr>
          <w:rFonts w:ascii="Times New Roman" w:hAnsi="Times New Roman" w:cs="Times New Roman"/>
          <w:i/>
          <w:iCs/>
          <w:noProof/>
          <w:sz w:val="20"/>
          <w:szCs w:val="20"/>
        </w:rPr>
        <w:t>Energy Conversion and Management</w:t>
      </w:r>
      <w:r w:rsidRPr="00DE4EB9">
        <w:rPr>
          <w:rFonts w:ascii="Times New Roman" w:hAnsi="Times New Roman" w:cs="Times New Roman"/>
          <w:noProof/>
          <w:sz w:val="20"/>
          <w:szCs w:val="20"/>
        </w:rPr>
        <w:t>, 181(November 2018), pp. 1–14. doi: 10.1016/j.enconman.2018.11.067.</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Joneydi Shariatzadeh, O.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(2015) ‘Modeling and optimization of a novel solar chimney cogeneration power plant combined with solid oxide electrolysis/fuel cell’, </w:t>
      </w:r>
      <w:r w:rsidRPr="00DE4EB9">
        <w:rPr>
          <w:rFonts w:ascii="Times New Roman" w:hAnsi="Times New Roman" w:cs="Times New Roman"/>
          <w:i/>
          <w:iCs/>
          <w:noProof/>
          <w:sz w:val="20"/>
          <w:szCs w:val="20"/>
        </w:rPr>
        <w:t>Energy Conversion and Management</w:t>
      </w:r>
      <w:r w:rsidRPr="00DE4EB9">
        <w:rPr>
          <w:rFonts w:ascii="Times New Roman" w:hAnsi="Times New Roman" w:cs="Times New Roman"/>
          <w:noProof/>
          <w:sz w:val="20"/>
          <w:szCs w:val="20"/>
        </w:rPr>
        <w:t>, 105, pp. 423–432. doi: 10.1016/j.enconman.2015.07.054.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Ju, H. K., Badwal, S. and Giddey, S. (2018) ‘A comprehensive review of carbon and hydrocarbon assisted water electrolysis for hydrogen production’, </w:t>
      </w:r>
      <w:r w:rsidRPr="00DE4EB9">
        <w:rPr>
          <w:rFonts w:ascii="Times New Roman" w:hAnsi="Times New Roman" w:cs="Times New Roman"/>
          <w:i/>
          <w:iCs/>
          <w:noProof/>
          <w:sz w:val="20"/>
          <w:szCs w:val="20"/>
        </w:rPr>
        <w:t>Applied Energy</w:t>
      </w:r>
      <w:r w:rsidRPr="00DE4EB9">
        <w:rPr>
          <w:rFonts w:ascii="Times New Roman" w:hAnsi="Times New Roman" w:cs="Times New Roman"/>
          <w:noProof/>
          <w:sz w:val="20"/>
          <w:szCs w:val="20"/>
        </w:rPr>
        <w:t>, 231(May), pp. 502–533. doi: 10.1016/j.apenergy.2018.09.125.</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Kadier, A.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(2015) ‘A comprehensive review of microbial electrolysis cells (MEC) reactor designs and configurations for sustainable hydrogen gas production’, </w:t>
      </w:r>
      <w:r w:rsidRPr="00DE4EB9">
        <w:rPr>
          <w:rFonts w:ascii="Times New Roman" w:hAnsi="Times New Roman" w:cs="Times New Roman"/>
          <w:i/>
          <w:iCs/>
          <w:noProof/>
          <w:sz w:val="20"/>
          <w:szCs w:val="20"/>
        </w:rPr>
        <w:t>Alexandria Engineering Journal</w:t>
      </w:r>
      <w:r w:rsidRPr="00DE4EB9">
        <w:rPr>
          <w:rFonts w:ascii="Times New Roman" w:hAnsi="Times New Roman" w:cs="Times New Roman"/>
          <w:noProof/>
          <w:sz w:val="20"/>
          <w:szCs w:val="20"/>
        </w:rPr>
        <w:t>, 55(1), pp. 427–443. doi: 10.1016/j.aej.2015.10.008.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Karatza, D.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(2021) ‘Hydrogen production through water splitting at low temperature over Fe3O4 pellet: Effects of electric power, magnetic field, and temperature’, </w:t>
      </w:r>
      <w:r w:rsidRPr="00DE4EB9">
        <w:rPr>
          <w:rFonts w:ascii="Times New Roman" w:hAnsi="Times New Roman" w:cs="Times New Roman"/>
          <w:i/>
          <w:iCs/>
          <w:noProof/>
          <w:sz w:val="20"/>
          <w:szCs w:val="20"/>
        </w:rPr>
        <w:t>Fuel Processing Technology</w:t>
      </w:r>
      <w:r w:rsidRPr="00DE4EB9">
        <w:rPr>
          <w:rFonts w:ascii="Times New Roman" w:hAnsi="Times New Roman" w:cs="Times New Roman"/>
          <w:noProof/>
          <w:sz w:val="20"/>
          <w:szCs w:val="20"/>
        </w:rPr>
        <w:t>, 211(April 2020), p. 106606. doi: 10.1016/j.fuproc.2020.106606.</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Karthikeyan, R.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‘Bioelectrohydrogenesis and inhibition of methanogenic activity in microbial electrolysis cells - A review’, </w:t>
      </w:r>
      <w:r w:rsidRPr="00DE4EB9">
        <w:rPr>
          <w:rFonts w:ascii="Times New Roman" w:hAnsi="Times New Roman" w:cs="Times New Roman"/>
          <w:i/>
          <w:iCs/>
          <w:noProof/>
          <w:sz w:val="20"/>
          <w:szCs w:val="20"/>
        </w:rPr>
        <w:t>Biotechnology Advances</w:t>
      </w:r>
      <w:r w:rsidRPr="00DE4EB9">
        <w:rPr>
          <w:rFonts w:ascii="Times New Roman" w:hAnsi="Times New Roman" w:cs="Times New Roman"/>
          <w:noProof/>
          <w:sz w:val="20"/>
          <w:szCs w:val="20"/>
        </w:rPr>
        <w:t>, 35(6), pp. 758–771. doi: 10.1016/j.biotechadv.2017.07.004.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Kasian, O.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‘The Common Intermediates of Oxygen Evolution and Dissolution Reactions during Water Electrolysis on Iridium’, </w:t>
      </w:r>
      <w:r w:rsidRPr="00DE4EB9">
        <w:rPr>
          <w:rFonts w:ascii="Times New Roman" w:hAnsi="Times New Roman" w:cs="Times New Roman"/>
          <w:i/>
          <w:iCs/>
          <w:noProof/>
          <w:sz w:val="20"/>
          <w:szCs w:val="20"/>
        </w:rPr>
        <w:t>Angewandte Chemie - International Edition</w:t>
      </w:r>
      <w:r w:rsidRPr="00DE4EB9">
        <w:rPr>
          <w:rFonts w:ascii="Times New Roman" w:hAnsi="Times New Roman" w:cs="Times New Roman"/>
          <w:noProof/>
          <w:sz w:val="20"/>
          <w:szCs w:val="20"/>
        </w:rPr>
        <w:t>, 57(9), pp. 2488–2491. doi: 10.1002/anie.201709652.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Khan, M. A.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w:t>
      </w:r>
      <w:r w:rsidRPr="00DE4EB9">
        <w:rPr>
          <w:rFonts w:ascii="Times New Roman" w:hAnsi="Times New Roman" w:cs="Times New Roman"/>
          <w:i/>
          <w:iCs/>
          <w:noProof/>
          <w:sz w:val="20"/>
          <w:szCs w:val="20"/>
        </w:rPr>
        <w:t>Recent Progresses in Electrocatalysts for Water Electrolysis</w:t>
      </w:r>
      <w:r w:rsidRPr="00DE4EB9">
        <w:rPr>
          <w:rFonts w:ascii="Times New Roman" w:hAnsi="Times New Roman" w:cs="Times New Roman"/>
          <w:noProof/>
          <w:sz w:val="20"/>
          <w:szCs w:val="20"/>
        </w:rPr>
        <w:t xml:space="preserve">, </w:t>
      </w:r>
      <w:r w:rsidRPr="00DE4EB9">
        <w:rPr>
          <w:rFonts w:ascii="Times New Roman" w:hAnsi="Times New Roman" w:cs="Times New Roman"/>
          <w:i/>
          <w:iCs/>
          <w:noProof/>
          <w:sz w:val="20"/>
          <w:szCs w:val="20"/>
        </w:rPr>
        <w:t>Electrochemical Energy Reviews</w:t>
      </w:r>
      <w:r w:rsidRPr="00DE4EB9">
        <w:rPr>
          <w:rFonts w:ascii="Times New Roman" w:hAnsi="Times New Roman" w:cs="Times New Roman"/>
          <w:noProof/>
          <w:sz w:val="20"/>
          <w:szCs w:val="20"/>
        </w:rPr>
        <w:t>. Springer Singapore. doi: 10.1007/s41918-018-0014-z.</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Kim, B.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‘Development and Electrochemical Characterization of Polyether Ether Ketone Composites Including Polyoxometal Tungstosilicic Acid for Water Electrolysis’, </w:t>
      </w:r>
      <w:r w:rsidRPr="00DE4EB9">
        <w:rPr>
          <w:rFonts w:ascii="Times New Roman" w:hAnsi="Times New Roman" w:cs="Times New Roman"/>
          <w:i/>
          <w:iCs/>
          <w:noProof/>
          <w:sz w:val="20"/>
          <w:szCs w:val="20"/>
        </w:rPr>
        <w:t>Bulletin of the Korean Chemical Society</w:t>
      </w:r>
      <w:r w:rsidRPr="00DE4EB9">
        <w:rPr>
          <w:rFonts w:ascii="Times New Roman" w:hAnsi="Times New Roman" w:cs="Times New Roman"/>
          <w:noProof/>
          <w:sz w:val="20"/>
          <w:szCs w:val="20"/>
        </w:rPr>
        <w:t>, pp. 1332–1335. doi: 10.1002/bkcs.11591.</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Kim, M.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‘Preparation and electrochemical characterization of polyoxometal molybdophosphoric acid included polyether ether ketone composite for water electrolysis’, </w:t>
      </w:r>
      <w:r w:rsidRPr="00DE4EB9">
        <w:rPr>
          <w:rFonts w:ascii="Times New Roman" w:hAnsi="Times New Roman" w:cs="Times New Roman"/>
          <w:i/>
          <w:iCs/>
          <w:noProof/>
          <w:sz w:val="20"/>
          <w:szCs w:val="20"/>
        </w:rPr>
        <w:t>Bulletin of the Korean Chemical Society</w:t>
      </w:r>
      <w:r w:rsidRPr="00DE4EB9">
        <w:rPr>
          <w:rFonts w:ascii="Times New Roman" w:hAnsi="Times New Roman" w:cs="Times New Roman"/>
          <w:noProof/>
          <w:sz w:val="20"/>
          <w:szCs w:val="20"/>
        </w:rPr>
        <w:t>, 38(12), pp. 1523–1526. doi: 10.1002/bkcs.11322.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Koza, J. A.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(2011) ‘Hydrogen evolution under the influence of a magnetic field’, </w:t>
      </w:r>
      <w:r w:rsidRPr="00DE4EB9">
        <w:rPr>
          <w:rFonts w:ascii="Times New Roman" w:hAnsi="Times New Roman" w:cs="Times New Roman"/>
          <w:i/>
          <w:iCs/>
          <w:noProof/>
          <w:sz w:val="20"/>
          <w:szCs w:val="20"/>
        </w:rPr>
        <w:t>Electrochimica Acta</w:t>
      </w:r>
      <w:r w:rsidRPr="00DE4EB9">
        <w:rPr>
          <w:rFonts w:ascii="Times New Roman" w:hAnsi="Times New Roman" w:cs="Times New Roman"/>
          <w:noProof/>
          <w:sz w:val="20"/>
          <w:szCs w:val="20"/>
        </w:rPr>
        <w:t>, 56(6), pp. 2665–2675. doi: 10.1016/j.electacta.2010.12.031.</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Kumar, A., Prakash, O. and Dube, A. (2017) ‘A review on progress of concentrated solar power in India’,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xml:space="preserve">, 79(February 2016), pp. 304–307. doi: </w:t>
      </w:r>
      <w:r w:rsidRPr="00DE4EB9">
        <w:rPr>
          <w:rFonts w:ascii="Times New Roman" w:hAnsi="Times New Roman" w:cs="Times New Roman"/>
          <w:noProof/>
          <w:sz w:val="20"/>
          <w:szCs w:val="20"/>
        </w:rPr>
        <w:lastRenderedPageBreak/>
        <w:t>10.1016/j.rser.2017.05.086.</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Kumar Sharma, P.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(2020) ‘Energy, exergy, and emission analysis of a hydroxyl fueled compression ignition engine under dual fuel mode’, </w:t>
      </w:r>
      <w:r w:rsidRPr="00DE4EB9">
        <w:rPr>
          <w:rFonts w:ascii="Times New Roman" w:hAnsi="Times New Roman" w:cs="Times New Roman"/>
          <w:i/>
          <w:iCs/>
          <w:noProof/>
          <w:sz w:val="20"/>
          <w:szCs w:val="20"/>
        </w:rPr>
        <w:t>Fuel</w:t>
      </w:r>
      <w:r w:rsidRPr="00DE4EB9">
        <w:rPr>
          <w:rFonts w:ascii="Times New Roman" w:hAnsi="Times New Roman" w:cs="Times New Roman"/>
          <w:noProof/>
          <w:sz w:val="20"/>
          <w:szCs w:val="20"/>
        </w:rPr>
        <w:t>, 265(December 2019), p. 116923. doi: 10.1016/j.fuel.2019.116923.</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Li, X.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(2015) ‘Significance of Surface Trivalent Manganese in the Electrocatalytic Activity of Water Oxidation in Undoped and Doped MnO2 Nanowires’, </w:t>
      </w:r>
      <w:r w:rsidRPr="00DE4EB9">
        <w:rPr>
          <w:rFonts w:ascii="Times New Roman" w:hAnsi="Times New Roman" w:cs="Times New Roman"/>
          <w:i/>
          <w:iCs/>
          <w:noProof/>
          <w:sz w:val="20"/>
          <w:szCs w:val="20"/>
        </w:rPr>
        <w:t>ChemCatChem</w:t>
      </w:r>
      <w:r w:rsidRPr="00DE4EB9">
        <w:rPr>
          <w:rFonts w:ascii="Times New Roman" w:hAnsi="Times New Roman" w:cs="Times New Roman"/>
          <w:noProof/>
          <w:sz w:val="20"/>
          <w:szCs w:val="20"/>
        </w:rPr>
        <w:t>, 7(12), pp. 1848–1856. doi: 10.1002/cctc.201500143.</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Lin, M. and Haussener, S. (2017) ‘Techno-economic modeling and optimization of solar-driven high-temperature electrolysis systems’, </w:t>
      </w:r>
      <w:r w:rsidRPr="00DE4EB9">
        <w:rPr>
          <w:rFonts w:ascii="Times New Roman" w:hAnsi="Times New Roman" w:cs="Times New Roman"/>
          <w:i/>
          <w:iCs/>
          <w:noProof/>
          <w:sz w:val="20"/>
          <w:szCs w:val="20"/>
        </w:rPr>
        <w:t>Solar Energy</w:t>
      </w:r>
      <w:r w:rsidRPr="00DE4EB9">
        <w:rPr>
          <w:rFonts w:ascii="Times New Roman" w:hAnsi="Times New Roman" w:cs="Times New Roman"/>
          <w:noProof/>
          <w:sz w:val="20"/>
          <w:szCs w:val="20"/>
        </w:rPr>
        <w:t>, 155, pp. 1389–1402. doi: 10.1016/j.solener.2017.07.077.</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Luo, W.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(2011) ‘Solar hydrogen generation from seawater with a modified BiVO 4 photoanode’,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4(10), pp. 4046–4051. doi: 10.1039/c1ee01812d.</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Luqman, M., Bicer, Y. and Al-Ansari, T. (2019) ‘Thermodynamic analysis of an oxy-hydrogen combustor supported solar and wind energy-based sustainable polygeneration system for remote locations’, </w:t>
      </w:r>
      <w:r w:rsidRPr="00DE4EB9">
        <w:rPr>
          <w:rFonts w:ascii="Times New Roman" w:hAnsi="Times New Roman" w:cs="Times New Roman"/>
          <w:i/>
          <w:iCs/>
          <w:noProof/>
          <w:sz w:val="20"/>
          <w:szCs w:val="20"/>
        </w:rPr>
        <w:t>International Journal of Hydrogen Energy</w:t>
      </w:r>
      <w:r w:rsidRPr="00DE4EB9">
        <w:rPr>
          <w:rFonts w:ascii="Times New Roman" w:hAnsi="Times New Roman" w:cs="Times New Roman"/>
          <w:noProof/>
          <w:sz w:val="20"/>
          <w:szCs w:val="20"/>
        </w:rPr>
        <w:t>, pp. 01–14. doi: 10.1016/j.ijhydene.2018.12.191.</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Mamat, R.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‘Alcohol and ether as alternative fuels in spark ignition engine: A review’,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82(May), pp. 2586–2605. doi: 10.1016/j.rser.2017.09.074.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Matsushima, H., Kiuchi, D. and Fukunaka, Y. (2009) ‘Measurement of dissolved hydrogen supersaturation during water electrolysis in a magnetic field’, </w:t>
      </w:r>
      <w:r w:rsidRPr="00DE4EB9">
        <w:rPr>
          <w:rFonts w:ascii="Times New Roman" w:hAnsi="Times New Roman" w:cs="Times New Roman"/>
          <w:i/>
          <w:iCs/>
          <w:noProof/>
          <w:sz w:val="20"/>
          <w:szCs w:val="20"/>
        </w:rPr>
        <w:t>Electrochimica Acta</w:t>
      </w:r>
      <w:r w:rsidRPr="00DE4EB9">
        <w:rPr>
          <w:rFonts w:ascii="Times New Roman" w:hAnsi="Times New Roman" w:cs="Times New Roman"/>
          <w:noProof/>
          <w:sz w:val="20"/>
          <w:szCs w:val="20"/>
        </w:rPr>
        <w:t>, 54(24), pp. 5858–5862. doi: 10.1016/j.electacta.2009.05.044.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Millet, P. (2012) ‘Water electrolysis for hydrogen generation’, in </w:t>
      </w:r>
      <w:r w:rsidRPr="00DE4EB9">
        <w:rPr>
          <w:rFonts w:ascii="Times New Roman" w:hAnsi="Times New Roman" w:cs="Times New Roman"/>
          <w:i/>
          <w:iCs/>
          <w:noProof/>
          <w:sz w:val="20"/>
          <w:szCs w:val="20"/>
        </w:rPr>
        <w:t>Electrochemical Technologies for Energy Storage and Conversion</w:t>
      </w:r>
      <w:r w:rsidRPr="00DE4EB9">
        <w:rPr>
          <w:rFonts w:ascii="Times New Roman" w:hAnsi="Times New Roman" w:cs="Times New Roman"/>
          <w:noProof/>
          <w:sz w:val="20"/>
          <w:szCs w:val="20"/>
        </w:rPr>
        <w:t>, pp. 383–423. doi: 10.1002/9783527639496.ch9.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Millet, P. (2015) ‘PEM water electrolysis’, in </w:t>
      </w:r>
      <w:r w:rsidRPr="00DE4EB9">
        <w:rPr>
          <w:rFonts w:ascii="Times New Roman" w:hAnsi="Times New Roman" w:cs="Times New Roman"/>
          <w:i/>
          <w:iCs/>
          <w:noProof/>
          <w:sz w:val="20"/>
          <w:szCs w:val="20"/>
        </w:rPr>
        <w:t>Hydrogen Production: By Electrolysis</w:t>
      </w:r>
      <w:r w:rsidRPr="00DE4EB9">
        <w:rPr>
          <w:rFonts w:ascii="Times New Roman" w:hAnsi="Times New Roman" w:cs="Times New Roman"/>
          <w:noProof/>
          <w:sz w:val="20"/>
          <w:szCs w:val="20"/>
        </w:rPr>
        <w:t>, pp. 63–116. doi: 10.1002/9783527676507.ch3.</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Miura, Makoto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‘Magneto-Dendrite Effect: Copper Electrodeposition under High Magnetic Field’, </w:t>
      </w:r>
      <w:r w:rsidRPr="00DE4EB9">
        <w:rPr>
          <w:rFonts w:ascii="Times New Roman" w:hAnsi="Times New Roman" w:cs="Times New Roman"/>
          <w:i/>
          <w:iCs/>
          <w:noProof/>
          <w:sz w:val="20"/>
          <w:szCs w:val="20"/>
        </w:rPr>
        <w:t>Scientific Reports</w:t>
      </w:r>
      <w:r w:rsidRPr="00DE4EB9">
        <w:rPr>
          <w:rFonts w:ascii="Times New Roman" w:hAnsi="Times New Roman" w:cs="Times New Roman"/>
          <w:noProof/>
          <w:sz w:val="20"/>
          <w:szCs w:val="20"/>
        </w:rPr>
        <w:t>, 7(November 2016), pp. 1–8. doi: 10.1038/srep45511.</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Modestino, M. A., Hashemi, S. M. H. and Haussener, S. (2016) ‘Mass transport aspects of electrochemical solar-hydrogen generation’,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9(5), pp. 1533–1551. doi: 10.1039/c5ee03698d.</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Modi, A.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‘A review of solar energy based heat and power generation systems’,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67, pp. 1047–1064. doi: 10.1016/j.rser.2016.09.075.</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Mohankumar, S. and Senthilkumar, P. (2017) ‘Particulate matter formation and its control methodologies for diesel engine: A comprehensive review’,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80(June 2016), pp. 1227–1238. doi: 10.1016/j.rser.2017.05.133.</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Mtangi, W.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‘Control of Electrons’ Spin Eliminates Hydrogen Peroxide Formation during Water Splitting’, </w:t>
      </w:r>
      <w:r w:rsidRPr="00DE4EB9">
        <w:rPr>
          <w:rFonts w:ascii="Times New Roman" w:hAnsi="Times New Roman" w:cs="Times New Roman"/>
          <w:i/>
          <w:iCs/>
          <w:noProof/>
          <w:sz w:val="20"/>
          <w:szCs w:val="20"/>
        </w:rPr>
        <w:t>Journal of the American Chemical Society</w:t>
      </w:r>
      <w:r w:rsidRPr="00DE4EB9">
        <w:rPr>
          <w:rFonts w:ascii="Times New Roman" w:hAnsi="Times New Roman" w:cs="Times New Roman"/>
          <w:noProof/>
          <w:sz w:val="20"/>
          <w:szCs w:val="20"/>
        </w:rPr>
        <w:t>, 139(7), pp. 2794–2798. doi: 10.1021/jacs.6b12971.</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Nicodemus, J. H. (2018) ‘Technological learning and the future of solar H2: A component learning comparison of solar thermochemical cycles and electrolysis with solar PV’, </w:t>
      </w:r>
      <w:r w:rsidRPr="00DE4EB9">
        <w:rPr>
          <w:rFonts w:ascii="Times New Roman" w:hAnsi="Times New Roman" w:cs="Times New Roman"/>
          <w:i/>
          <w:iCs/>
          <w:noProof/>
          <w:sz w:val="20"/>
          <w:szCs w:val="20"/>
        </w:rPr>
        <w:t>Energy Policy</w:t>
      </w:r>
      <w:r w:rsidRPr="00DE4EB9">
        <w:rPr>
          <w:rFonts w:ascii="Times New Roman" w:hAnsi="Times New Roman" w:cs="Times New Roman"/>
          <w:noProof/>
          <w:sz w:val="20"/>
          <w:szCs w:val="20"/>
        </w:rPr>
        <w:t>, 120(November 2017), pp. 100–109. doi: 10.1016/j.enpol.2018.04.072.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Notter, D. A.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(2015) ‘Life cycle assessment of PEM FC applications: Electric mobility and μ-CHP’,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8(7), pp. 1969–1985. doi: 10.1039/c5ee01082a.</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Olivier, P., Bourasseau, C. and Bouamama, P. B. (2017) ‘Low-temperature electrolysis system modelling: A review’,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78(January 2016), pp. 280–300. doi: 10.1016/j.rser.2017.03.099.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Ozlu Sinan, D. I. (2016) ‘Analysis and evaluation of a new solar energy-based multigeneration system’, </w:t>
      </w:r>
      <w:r w:rsidRPr="00DE4EB9">
        <w:rPr>
          <w:rFonts w:ascii="Times New Roman" w:hAnsi="Times New Roman" w:cs="Times New Roman"/>
          <w:i/>
          <w:iCs/>
          <w:noProof/>
          <w:sz w:val="20"/>
          <w:szCs w:val="20"/>
        </w:rPr>
        <w:t>International Journal of Energy Research</w:t>
      </w:r>
      <w:r w:rsidRPr="00DE4EB9">
        <w:rPr>
          <w:rFonts w:ascii="Times New Roman" w:hAnsi="Times New Roman" w:cs="Times New Roman"/>
          <w:noProof/>
          <w:sz w:val="20"/>
          <w:szCs w:val="20"/>
        </w:rPr>
        <w:t>, 33(4), pp. 23–40. doi: 10.1002/er.</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Pellow, M. A.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(2015) ‘Hydrogen or batteries for grid storage? A net energy analysis’,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8(7), pp. 1938–1952. doi: 10.1039/c4ee04041d.</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Polverino, P.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(2019) ‘Study of the energetic needs for the on-board production of oxy-hydrogen as fuel additive in internal combustion engines’, </w:t>
      </w:r>
      <w:r w:rsidRPr="00DE4EB9">
        <w:rPr>
          <w:rFonts w:ascii="Times New Roman" w:hAnsi="Times New Roman" w:cs="Times New Roman"/>
          <w:i/>
          <w:iCs/>
          <w:noProof/>
          <w:sz w:val="20"/>
          <w:szCs w:val="20"/>
        </w:rPr>
        <w:t>Energy Conversion and Management</w:t>
      </w:r>
      <w:r w:rsidRPr="00DE4EB9">
        <w:rPr>
          <w:rFonts w:ascii="Times New Roman" w:hAnsi="Times New Roman" w:cs="Times New Roman"/>
          <w:noProof/>
          <w:sz w:val="20"/>
          <w:szCs w:val="20"/>
        </w:rPr>
        <w:t>, 179(September 2018), pp. 114–131. doi: 10.1016/j.enconman.2018.09.082.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Preethi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(2019) ‘Biohydrogen production from industrial wastewater: An overview’, </w:t>
      </w:r>
      <w:r w:rsidRPr="00DE4EB9">
        <w:rPr>
          <w:rFonts w:ascii="Times New Roman" w:hAnsi="Times New Roman" w:cs="Times New Roman"/>
          <w:i/>
          <w:iCs/>
          <w:noProof/>
          <w:sz w:val="20"/>
          <w:szCs w:val="20"/>
        </w:rPr>
        <w:t>Bioresource Technology Reports</w:t>
      </w:r>
      <w:r w:rsidRPr="00DE4EB9">
        <w:rPr>
          <w:rFonts w:ascii="Times New Roman" w:hAnsi="Times New Roman" w:cs="Times New Roman"/>
          <w:noProof/>
          <w:sz w:val="20"/>
          <w:szCs w:val="20"/>
        </w:rPr>
        <w:t>, 7(April), p. 100287. doi: 10.1016/j.biteb.2019.100287.</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Rajesh Kumar, B. and Saravanan, S. (2016) ‘Use of higher alcohol biofuels in diesel engines: A review’,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60, pp. 84–115. doi: 10.1016/j.rser.2016.01.085.</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Rimkus, A.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(2012) ‘Betterment of ecological parameters of a diesel engine using Brown‘s gas’, </w:t>
      </w:r>
      <w:r w:rsidRPr="00DE4EB9">
        <w:rPr>
          <w:rFonts w:ascii="Times New Roman" w:hAnsi="Times New Roman" w:cs="Times New Roman"/>
          <w:i/>
          <w:iCs/>
          <w:noProof/>
          <w:sz w:val="20"/>
          <w:szCs w:val="20"/>
        </w:rPr>
        <w:lastRenderedPageBreak/>
        <w:t>Journal of Environmental Engineering and Landscape Management</w:t>
      </w:r>
      <w:r w:rsidRPr="00DE4EB9">
        <w:rPr>
          <w:rFonts w:ascii="Times New Roman" w:hAnsi="Times New Roman" w:cs="Times New Roman"/>
          <w:noProof/>
          <w:sz w:val="20"/>
          <w:szCs w:val="20"/>
        </w:rPr>
        <w:t>, 21(2), pp. 133–140. doi: 10.3846/16486897.2012.679661.</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Salek, F., Zamen, M. and Hosseini, S. V. (2020) ‘Experimental study, energy assessment and improvement of hydroxy generator coupled with a gasoline engine’, </w:t>
      </w:r>
      <w:r w:rsidRPr="00DE4EB9">
        <w:rPr>
          <w:rFonts w:ascii="Times New Roman" w:hAnsi="Times New Roman" w:cs="Times New Roman"/>
          <w:i/>
          <w:iCs/>
          <w:noProof/>
          <w:sz w:val="20"/>
          <w:szCs w:val="20"/>
        </w:rPr>
        <w:t>Energy Reports</w:t>
      </w:r>
      <w:r w:rsidRPr="00DE4EB9">
        <w:rPr>
          <w:rFonts w:ascii="Times New Roman" w:hAnsi="Times New Roman" w:cs="Times New Roman"/>
          <w:noProof/>
          <w:sz w:val="20"/>
          <w:szCs w:val="20"/>
        </w:rPr>
        <w:t>, 6, pp. 146–156. doi: 10.1016/j.egyr.2019.12.009.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dos Santos, K. G.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‘Hydrogen production in the electrolysis of water in Brazil, a review’,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68(September 2016), pp. 563–571. doi: 10.1016/j.rser.2016.09.128.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Scott, K. (2017) ‘Fossil fuel based hydrogen production’, </w:t>
      </w:r>
      <w:r w:rsidRPr="00DE4EB9">
        <w:rPr>
          <w:rFonts w:ascii="Times New Roman" w:hAnsi="Times New Roman" w:cs="Times New Roman"/>
          <w:i/>
          <w:iCs/>
          <w:noProof/>
          <w:sz w:val="20"/>
          <w:szCs w:val="20"/>
        </w:rPr>
        <w:t>Sustainable and Green Electrochemical Science and Technology</w:t>
      </w:r>
      <w:r w:rsidRPr="00DE4EB9">
        <w:rPr>
          <w:rFonts w:ascii="Times New Roman" w:hAnsi="Times New Roman" w:cs="Times New Roman"/>
          <w:noProof/>
          <w:sz w:val="20"/>
          <w:szCs w:val="20"/>
        </w:rPr>
        <w:t>, 01, pp. 159–202.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Shafiei Kaleibari, S., Yanping, Z. and Abanades, S. (2019) ‘Solar-driven high temperature hydrogen production via integrated spectrally split concentrated photovoltaics (SSCPV) and solar power tower’, </w:t>
      </w:r>
      <w:r w:rsidRPr="00DE4EB9">
        <w:rPr>
          <w:rFonts w:ascii="Times New Roman" w:hAnsi="Times New Roman" w:cs="Times New Roman"/>
          <w:i/>
          <w:iCs/>
          <w:noProof/>
          <w:sz w:val="20"/>
          <w:szCs w:val="20"/>
        </w:rPr>
        <w:t>International Journal of Hydrogen Energy</w:t>
      </w:r>
      <w:r w:rsidRPr="00DE4EB9">
        <w:rPr>
          <w:rFonts w:ascii="Times New Roman" w:hAnsi="Times New Roman" w:cs="Times New Roman"/>
          <w:noProof/>
          <w:sz w:val="20"/>
          <w:szCs w:val="20"/>
        </w:rPr>
        <w:t>, 44(5), pp. 2519–2532. doi: 10.1016/j.ijhydene.2018.12.039.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Shaner, M. R.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(2016) ‘A comparative technoeconomic analysis of renewable hydrogen production using solar energy’,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9(7), pp. 2354–2371. doi: 10.1039/c5ee02573g.</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Shrikant Bhardwaj et al., S. B. et al. </w:t>
      </w:r>
      <w:r w:rsidR="00BC2DD3" w:rsidRPr="00DE4EB9">
        <w:rPr>
          <w:rFonts w:ascii="Times New Roman" w:hAnsi="Times New Roman" w:cs="Times New Roman"/>
          <w:noProof/>
          <w:sz w:val="20"/>
          <w:szCs w:val="20"/>
        </w:rPr>
        <w:t>. and Shrikant Bhardwaj et al.,</w:t>
      </w:r>
      <w:r w:rsidRPr="00DE4EB9">
        <w:rPr>
          <w:rFonts w:ascii="Times New Roman" w:hAnsi="Times New Roman" w:cs="Times New Roman"/>
          <w:noProof/>
          <w:sz w:val="20"/>
          <w:szCs w:val="20"/>
        </w:rPr>
        <w:t xml:space="preserve"> Shrikant Bhardwaj et al. (2020) ‘Modelling and Simulation of Gasoline Engine at Different Load Conditions using Oxyhydrogen Blend’, </w:t>
      </w:r>
      <w:r w:rsidRPr="00DE4EB9">
        <w:rPr>
          <w:rFonts w:ascii="Times New Roman" w:hAnsi="Times New Roman" w:cs="Times New Roman"/>
          <w:i/>
          <w:iCs/>
          <w:noProof/>
          <w:sz w:val="20"/>
          <w:szCs w:val="20"/>
        </w:rPr>
        <w:t>International Journal of Mechanical and Production Engineering Research and Development</w:t>
      </w:r>
      <w:r w:rsidRPr="00DE4EB9">
        <w:rPr>
          <w:rFonts w:ascii="Times New Roman" w:hAnsi="Times New Roman" w:cs="Times New Roman"/>
          <w:noProof/>
          <w:sz w:val="20"/>
          <w:szCs w:val="20"/>
        </w:rPr>
        <w:t>, 10(3), pp. 9811–9824. doi: 10.24247/ijmperdjun2020937.</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Sivanantham, A.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‘A Stable Graphitic, Nanocarbon-Encapsulated, Cobalt-Rich Core–Shell Electrocatalyst as an Oxygen Electrode in a Water Electrolyzer’, </w:t>
      </w:r>
      <w:r w:rsidRPr="00DE4EB9">
        <w:rPr>
          <w:rFonts w:ascii="Times New Roman" w:hAnsi="Times New Roman" w:cs="Times New Roman"/>
          <w:i/>
          <w:iCs/>
          <w:noProof/>
          <w:sz w:val="20"/>
          <w:szCs w:val="20"/>
        </w:rPr>
        <w:t>Advanced Energy Materials</w:t>
      </w:r>
      <w:r w:rsidRPr="00DE4EB9">
        <w:rPr>
          <w:rFonts w:ascii="Times New Roman" w:hAnsi="Times New Roman" w:cs="Times New Roman"/>
          <w:noProof/>
          <w:sz w:val="20"/>
          <w:szCs w:val="20"/>
        </w:rPr>
        <w:t>, 8(14), pp. 1–13. doi: 10.1002/aenm.201702838.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Subramanian, B. and Ismail, S. (2018) ‘Production and use of HHO gas in IC engines’, </w:t>
      </w:r>
      <w:r w:rsidRPr="00DE4EB9">
        <w:rPr>
          <w:rFonts w:ascii="Times New Roman" w:hAnsi="Times New Roman" w:cs="Times New Roman"/>
          <w:i/>
          <w:iCs/>
          <w:noProof/>
          <w:sz w:val="20"/>
          <w:szCs w:val="20"/>
        </w:rPr>
        <w:t>International Journal of Hydrogen Energy</w:t>
      </w:r>
      <w:r w:rsidRPr="00DE4EB9">
        <w:rPr>
          <w:rFonts w:ascii="Times New Roman" w:hAnsi="Times New Roman" w:cs="Times New Roman"/>
          <w:noProof/>
          <w:sz w:val="20"/>
          <w:szCs w:val="20"/>
        </w:rPr>
        <w:t>, 43(14), pp. 7140–7154. doi: 10.1016/j.ijhydene.2018.02.120.</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Tamilselvan, P., Nallusamy, N. and Rajkumar, S. (2017) ‘A comprehensive review on performance, combustion and emission characteristics of biodiesel fuelled diesel engines’,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79(November 2016), pp. 1134–1159. doi: 10.1016/j.rser.2017.05.176.</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Tran, N. H. and Kannangara, G. S. K. (2013) ‘Conversion of glycerol to hydrogen rich gas’, </w:t>
      </w:r>
      <w:r w:rsidRPr="00DE4EB9">
        <w:rPr>
          <w:rFonts w:ascii="Times New Roman" w:hAnsi="Times New Roman" w:cs="Times New Roman"/>
          <w:i/>
          <w:iCs/>
          <w:noProof/>
          <w:sz w:val="20"/>
          <w:szCs w:val="20"/>
        </w:rPr>
        <w:t>The Royal Society of Chemistry</w:t>
      </w:r>
      <w:r w:rsidRPr="00DE4EB9">
        <w:rPr>
          <w:rFonts w:ascii="Times New Roman" w:hAnsi="Times New Roman" w:cs="Times New Roman"/>
          <w:noProof/>
          <w:sz w:val="20"/>
          <w:szCs w:val="20"/>
        </w:rPr>
        <w:t>, 42(24), pp. 9454–9479. doi: 10.1039/c3cs60227c.</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Uekert, T.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‘Plastic waste as a feedstock for solar-driven H2 generation’,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11(10), pp. 2853–2857. doi: 10.1039/c8ee01408f.</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Vincent, I. and Bessarabov, D. (2018) ‘Low cost hydrogen production by anion exchange membrane electrolysis: A review’, </w:t>
      </w:r>
      <w:r w:rsidRPr="00DE4EB9">
        <w:rPr>
          <w:rFonts w:ascii="Times New Roman" w:hAnsi="Times New Roman" w:cs="Times New Roman"/>
          <w:i/>
          <w:iCs/>
          <w:noProof/>
          <w:sz w:val="20"/>
          <w:szCs w:val="20"/>
        </w:rPr>
        <w:t>Renewable and Sustainable Energy Reviews</w:t>
      </w:r>
      <w:r w:rsidRPr="00DE4EB9">
        <w:rPr>
          <w:rFonts w:ascii="Times New Roman" w:hAnsi="Times New Roman" w:cs="Times New Roman"/>
          <w:noProof/>
          <w:sz w:val="20"/>
          <w:szCs w:val="20"/>
        </w:rPr>
        <w:t>, 81(May), pp. 1690–1704. doi: 10.1016/j.rser.2017.05.258.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Vineesh, T. V.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‘Non-Precious Metal/Metal Oxides and Nitrogen-Doped Reduced Graphene Oxide based Alkaline Water-Electrolysis Cell’, </w:t>
      </w:r>
      <w:r w:rsidRPr="00DE4EB9">
        <w:rPr>
          <w:rFonts w:ascii="Times New Roman" w:hAnsi="Times New Roman" w:cs="Times New Roman"/>
          <w:i/>
          <w:iCs/>
          <w:noProof/>
          <w:sz w:val="20"/>
          <w:szCs w:val="20"/>
        </w:rPr>
        <w:t>ChemCatChem</w:t>
      </w:r>
      <w:r w:rsidRPr="00DE4EB9">
        <w:rPr>
          <w:rFonts w:ascii="Times New Roman" w:hAnsi="Times New Roman" w:cs="Times New Roman"/>
          <w:noProof/>
          <w:sz w:val="20"/>
          <w:szCs w:val="20"/>
        </w:rPr>
        <w:t>, 9(22), pp. 4295–4300. doi: 10.1002/cctc.201701018.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Weier, T.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(2005) ‘Lorentz force influence on momentum and mass transfer in natural convection copper electrolysis’, </w:t>
      </w:r>
      <w:r w:rsidRPr="00DE4EB9">
        <w:rPr>
          <w:rFonts w:ascii="Times New Roman" w:hAnsi="Times New Roman" w:cs="Times New Roman"/>
          <w:i/>
          <w:iCs/>
          <w:noProof/>
          <w:sz w:val="20"/>
          <w:szCs w:val="20"/>
        </w:rPr>
        <w:t>Chemical Engineering Science</w:t>
      </w:r>
      <w:r w:rsidRPr="00DE4EB9">
        <w:rPr>
          <w:rFonts w:ascii="Times New Roman" w:hAnsi="Times New Roman" w:cs="Times New Roman"/>
          <w:noProof/>
          <w:sz w:val="20"/>
          <w:szCs w:val="20"/>
        </w:rPr>
        <w:t>, 60(1), pp. 293–298. doi: 10.1016/j.ces.2004.07.060.</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Wu, Y.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‘Experimental Investigation of Producing Brown’s Gas using a Metal-Plate Electrolyzer for Diesel Vehicle Applications’, </w:t>
      </w:r>
      <w:r w:rsidRPr="00DE4EB9">
        <w:rPr>
          <w:rFonts w:ascii="Times New Roman" w:hAnsi="Times New Roman" w:cs="Times New Roman"/>
          <w:i/>
          <w:iCs/>
          <w:noProof/>
          <w:sz w:val="20"/>
          <w:szCs w:val="20"/>
        </w:rPr>
        <w:t>Energy Technology</w:t>
      </w:r>
      <w:r w:rsidRPr="00DE4EB9">
        <w:rPr>
          <w:rFonts w:ascii="Times New Roman" w:hAnsi="Times New Roman" w:cs="Times New Roman"/>
          <w:noProof/>
          <w:sz w:val="20"/>
          <w:szCs w:val="20"/>
        </w:rPr>
        <w:t>, 5(2), pp. 244–252. doi: 10.1002/ente.201600222.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Xiang, L. J.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(2020) ‘Microbial electrolysis cells for hydrogen production’, </w:t>
      </w:r>
      <w:r w:rsidRPr="00DE4EB9">
        <w:rPr>
          <w:rFonts w:ascii="Times New Roman" w:hAnsi="Times New Roman" w:cs="Times New Roman"/>
          <w:i/>
          <w:iCs/>
          <w:noProof/>
          <w:sz w:val="20"/>
          <w:szCs w:val="20"/>
        </w:rPr>
        <w:t>Chinese Journal of Chemical Physics</w:t>
      </w:r>
      <w:r w:rsidRPr="00DE4EB9">
        <w:rPr>
          <w:rFonts w:ascii="Times New Roman" w:hAnsi="Times New Roman" w:cs="Times New Roman"/>
          <w:noProof/>
          <w:sz w:val="20"/>
          <w:szCs w:val="20"/>
        </w:rPr>
        <w:t>, 33(3), pp. 263–284. doi: 10.1063/1674-0068/cjcp2005075.</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Xiang, Z.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(2015) ‘Solvent induced fabrication of solid polymer electrolyte water electrolyzer: A study in sulfonated poly(ether ether ketone) based membrane electrode assembly’, </w:t>
      </w:r>
      <w:r w:rsidRPr="00DE4EB9">
        <w:rPr>
          <w:rFonts w:ascii="Times New Roman" w:hAnsi="Times New Roman" w:cs="Times New Roman"/>
          <w:i/>
          <w:iCs/>
          <w:noProof/>
          <w:sz w:val="20"/>
          <w:szCs w:val="20"/>
        </w:rPr>
        <w:t>Fuel Cells</w:t>
      </w:r>
      <w:r w:rsidRPr="00DE4EB9">
        <w:rPr>
          <w:rFonts w:ascii="Times New Roman" w:hAnsi="Times New Roman" w:cs="Times New Roman"/>
          <w:noProof/>
          <w:sz w:val="20"/>
          <w:szCs w:val="20"/>
        </w:rPr>
        <w:t>, 15(1), pp. 246–250. doi: 10.1002/fuce.201400019.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Xu, W.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(2016) ‘High-performance water electrolysis system with double nanostructured superaerophobic electrodes’, </w:t>
      </w:r>
      <w:r w:rsidRPr="00DE4EB9">
        <w:rPr>
          <w:rFonts w:ascii="Times New Roman" w:hAnsi="Times New Roman" w:cs="Times New Roman"/>
          <w:i/>
          <w:iCs/>
          <w:noProof/>
          <w:sz w:val="20"/>
          <w:szCs w:val="20"/>
        </w:rPr>
        <w:t>Small</w:t>
      </w:r>
      <w:r w:rsidRPr="00DE4EB9">
        <w:rPr>
          <w:rFonts w:ascii="Times New Roman" w:hAnsi="Times New Roman" w:cs="Times New Roman"/>
          <w:noProof/>
          <w:sz w:val="20"/>
          <w:szCs w:val="20"/>
        </w:rPr>
        <w:t>, 12(18), pp. 2492–2498. doi: 10.1002/smll.201600189.</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Xu, Z.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(2020) ‘Photosynthetic hydrogen production by droplet-based microbial micro-reactors under aerobic conditions’, </w:t>
      </w:r>
      <w:r w:rsidRPr="00DE4EB9">
        <w:rPr>
          <w:rFonts w:ascii="Times New Roman" w:hAnsi="Times New Roman" w:cs="Times New Roman"/>
          <w:i/>
          <w:iCs/>
          <w:noProof/>
          <w:sz w:val="20"/>
          <w:szCs w:val="20"/>
        </w:rPr>
        <w:t>Nature Communications</w:t>
      </w:r>
      <w:r w:rsidRPr="00DE4EB9">
        <w:rPr>
          <w:rFonts w:ascii="Times New Roman" w:hAnsi="Times New Roman" w:cs="Times New Roman"/>
          <w:noProof/>
          <w:sz w:val="20"/>
          <w:szCs w:val="20"/>
        </w:rPr>
        <w:t>, 11(1), pp. 1–10. doi: 10.1038/s41467-020-19823-5.</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Yan, X.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(2016) ‘FeNi3/NiFeOx Nanohybrids as Highly Efficient Bifunctional Electrocatalysts for Overall Water Splitting’, </w:t>
      </w:r>
      <w:r w:rsidRPr="00DE4EB9">
        <w:rPr>
          <w:rFonts w:ascii="Times New Roman" w:hAnsi="Times New Roman" w:cs="Times New Roman"/>
          <w:i/>
          <w:iCs/>
          <w:noProof/>
          <w:sz w:val="20"/>
          <w:szCs w:val="20"/>
        </w:rPr>
        <w:t>Advanced Materials Interfaces</w:t>
      </w:r>
      <w:r w:rsidRPr="00DE4EB9">
        <w:rPr>
          <w:rFonts w:ascii="Times New Roman" w:hAnsi="Times New Roman" w:cs="Times New Roman"/>
          <w:noProof/>
          <w:sz w:val="20"/>
          <w:szCs w:val="20"/>
        </w:rPr>
        <w:t>, 3(22), pp. 01–08. doi: 10.1002/admi.201600368.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Yang, P.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‘Solar-driven simultaneous steam production and electricity generation from salinity’,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10(9), pp. 1923–1927. doi: 10.1039/c7ee01804e.</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Yang, R.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 TiO 2 /TiN core/shell nanobelts for efficient solar hydrogen generation ’, </w:t>
      </w:r>
      <w:r w:rsidRPr="00DE4EB9">
        <w:rPr>
          <w:rFonts w:ascii="Times New Roman" w:hAnsi="Times New Roman" w:cs="Times New Roman"/>
          <w:i/>
          <w:iCs/>
          <w:noProof/>
          <w:sz w:val="20"/>
          <w:szCs w:val="20"/>
        </w:rPr>
        <w:t xml:space="preserve">Chemical </w:t>
      </w:r>
      <w:r w:rsidRPr="00DE4EB9">
        <w:rPr>
          <w:rFonts w:ascii="Times New Roman" w:hAnsi="Times New Roman" w:cs="Times New Roman"/>
          <w:i/>
          <w:iCs/>
          <w:noProof/>
          <w:sz w:val="20"/>
          <w:szCs w:val="20"/>
        </w:rPr>
        <w:lastRenderedPageBreak/>
        <w:t>Communications</w:t>
      </w:r>
      <w:r w:rsidRPr="00DE4EB9">
        <w:rPr>
          <w:rFonts w:ascii="Times New Roman" w:hAnsi="Times New Roman" w:cs="Times New Roman"/>
          <w:noProof/>
          <w:sz w:val="20"/>
          <w:szCs w:val="20"/>
        </w:rPr>
        <w:t>, 54(47), pp. 6056–6059. doi: 10.1039/c8cc02651c.</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Yang, X.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(2008) ‘The start-up of natural convection during copper electrolysis in the presence of an opposing Lorentz force’, </w:t>
      </w:r>
      <w:r w:rsidRPr="00DE4EB9">
        <w:rPr>
          <w:rFonts w:ascii="Times New Roman" w:hAnsi="Times New Roman" w:cs="Times New Roman"/>
          <w:i/>
          <w:iCs/>
          <w:noProof/>
          <w:sz w:val="20"/>
          <w:szCs w:val="20"/>
        </w:rPr>
        <w:t>Electrochimica Acta</w:t>
      </w:r>
      <w:r w:rsidRPr="00DE4EB9">
        <w:rPr>
          <w:rFonts w:ascii="Times New Roman" w:hAnsi="Times New Roman" w:cs="Times New Roman"/>
          <w:noProof/>
          <w:sz w:val="20"/>
          <w:szCs w:val="20"/>
        </w:rPr>
        <w:t>, 54(2), pp. 352–359. doi: 10.1016/j.electacta.2008.07.074.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Ye, F. (2011) ‘Pt-IrO2 nanorod array electrode for oxygen evolution in PEM water electrolysis cell’, </w:t>
      </w:r>
      <w:r w:rsidRPr="00DE4EB9">
        <w:rPr>
          <w:rFonts w:ascii="Times New Roman" w:hAnsi="Times New Roman" w:cs="Times New Roman"/>
          <w:i/>
          <w:iCs/>
          <w:noProof/>
          <w:sz w:val="20"/>
          <w:szCs w:val="20"/>
        </w:rPr>
        <w:t>Asia-Pacific Journal of Chemical Engineering</w:t>
      </w:r>
      <w:r w:rsidRPr="00DE4EB9">
        <w:rPr>
          <w:rFonts w:ascii="Times New Roman" w:hAnsi="Times New Roman" w:cs="Times New Roman"/>
          <w:noProof/>
          <w:sz w:val="20"/>
          <w:szCs w:val="20"/>
        </w:rPr>
        <w:t>, 8, pp. 01–07. doi: 10.1002/apj.</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Ye, W.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‘Plasmonic nanostructures in solar energy conversion’, </w:t>
      </w:r>
      <w:r w:rsidRPr="00DE4EB9">
        <w:rPr>
          <w:rFonts w:ascii="Times New Roman" w:hAnsi="Times New Roman" w:cs="Times New Roman"/>
          <w:i/>
          <w:iCs/>
          <w:noProof/>
          <w:sz w:val="20"/>
          <w:szCs w:val="20"/>
        </w:rPr>
        <w:t>Journal of Materials Chemistry C</w:t>
      </w:r>
      <w:r w:rsidRPr="00DE4EB9">
        <w:rPr>
          <w:rFonts w:ascii="Times New Roman" w:hAnsi="Times New Roman" w:cs="Times New Roman"/>
          <w:noProof/>
          <w:sz w:val="20"/>
          <w:szCs w:val="20"/>
        </w:rPr>
        <w:t>, 5(5), pp. 1008–1021. doi: 10.1039/c6tc04847a.</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Yu, J.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‘Bifunctionality from Synergy: CoP Nanoparticles Embedded in Amorphous CoOx Nanoplates with Heterostructures for Highly Efficient Water Electrolysis’, </w:t>
      </w:r>
      <w:r w:rsidRPr="00DE4EB9">
        <w:rPr>
          <w:rFonts w:ascii="Times New Roman" w:hAnsi="Times New Roman" w:cs="Times New Roman"/>
          <w:i/>
          <w:iCs/>
          <w:noProof/>
          <w:sz w:val="20"/>
          <w:szCs w:val="20"/>
        </w:rPr>
        <w:t>Advanced Science</w:t>
      </w:r>
      <w:r w:rsidRPr="00DE4EB9">
        <w:rPr>
          <w:rFonts w:ascii="Times New Roman" w:hAnsi="Times New Roman" w:cs="Times New Roman"/>
          <w:noProof/>
          <w:sz w:val="20"/>
          <w:szCs w:val="20"/>
        </w:rPr>
        <w:t>, 5(9), p. 1800514. doi: 10.1002/advs.201800514.</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Yuan, Y. J.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(2017) ‘Metal-complex chromophores for solar hydrogen generation’, </w:t>
      </w:r>
      <w:r w:rsidRPr="00DE4EB9">
        <w:rPr>
          <w:rFonts w:ascii="Times New Roman" w:hAnsi="Times New Roman" w:cs="Times New Roman"/>
          <w:i/>
          <w:iCs/>
          <w:noProof/>
          <w:sz w:val="20"/>
          <w:szCs w:val="20"/>
        </w:rPr>
        <w:t>Chemical Society Reviews</w:t>
      </w:r>
      <w:r w:rsidRPr="00DE4EB9">
        <w:rPr>
          <w:rFonts w:ascii="Times New Roman" w:hAnsi="Times New Roman" w:cs="Times New Roman"/>
          <w:noProof/>
          <w:sz w:val="20"/>
          <w:szCs w:val="20"/>
        </w:rPr>
        <w:t>, 46(3), pp. 603–631. doi: 10.1039/c6cs00436a.</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Zamfirescu.C, N. . G. . and D. . . (2012) ‘Water splitting with a dual photo-electrochemical cell and hybrid catalysis for enhanced solar energy utilization’, </w:t>
      </w:r>
      <w:r w:rsidRPr="00DE4EB9">
        <w:rPr>
          <w:rFonts w:ascii="Times New Roman" w:hAnsi="Times New Roman" w:cs="Times New Roman"/>
          <w:i/>
          <w:iCs/>
          <w:noProof/>
          <w:sz w:val="20"/>
          <w:szCs w:val="20"/>
        </w:rPr>
        <w:t>International journal of energy research</w:t>
      </w:r>
      <w:r w:rsidRPr="00DE4EB9">
        <w:rPr>
          <w:rFonts w:ascii="Times New Roman" w:hAnsi="Times New Roman" w:cs="Times New Roman"/>
          <w:noProof/>
          <w:sz w:val="20"/>
          <w:szCs w:val="20"/>
        </w:rPr>
        <w:t>, 31(August 2007), pp. 135–147. doi: 10.1002/er.</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Zhang and Zeng Kai (2016) </w:t>
      </w:r>
      <w:r w:rsidRPr="00DE4EB9">
        <w:rPr>
          <w:rFonts w:ascii="Times New Roman" w:hAnsi="Times New Roman" w:cs="Times New Roman"/>
          <w:i/>
          <w:iCs/>
          <w:noProof/>
          <w:sz w:val="20"/>
          <w:szCs w:val="20"/>
        </w:rPr>
        <w:t>Hydrogen Science and Engineering: Materials, Processes, Systems and Technology</w:t>
      </w:r>
      <w:r w:rsidRPr="00DE4EB9">
        <w:rPr>
          <w:rFonts w:ascii="Times New Roman" w:hAnsi="Times New Roman" w:cs="Times New Roman"/>
          <w:noProof/>
          <w:sz w:val="20"/>
          <w:szCs w:val="20"/>
        </w:rPr>
        <w:t xml:space="preserve">, </w:t>
      </w:r>
      <w:r w:rsidRPr="00DE4EB9">
        <w:rPr>
          <w:rFonts w:ascii="Times New Roman" w:hAnsi="Times New Roman" w:cs="Times New Roman"/>
          <w:i/>
          <w:iCs/>
          <w:noProof/>
          <w:sz w:val="20"/>
          <w:szCs w:val="20"/>
        </w:rPr>
        <w:t>Hydrogen Science and Engineering: Materials, Processes, Systems and Technology</w:t>
      </w:r>
      <w:r w:rsidRPr="00DE4EB9">
        <w:rPr>
          <w:rFonts w:ascii="Times New Roman" w:hAnsi="Times New Roman" w:cs="Times New Roman"/>
          <w:noProof/>
          <w:sz w:val="20"/>
          <w:szCs w:val="20"/>
        </w:rPr>
        <w:t>. doi: 10.1002/9783527674268.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Zhang, D. and Zeng, K. (2015) ‘Distributed energy systems based on water electrolysis driven by renewable electricity’, in </w:t>
      </w:r>
      <w:r w:rsidRPr="00DE4EB9">
        <w:rPr>
          <w:rFonts w:ascii="Times New Roman" w:hAnsi="Times New Roman" w:cs="Times New Roman"/>
          <w:i/>
          <w:iCs/>
          <w:noProof/>
          <w:sz w:val="20"/>
          <w:szCs w:val="20"/>
        </w:rPr>
        <w:t>Handbook of Clean Energy Systems</w:t>
      </w:r>
      <w:r w:rsidRPr="00DE4EB9">
        <w:rPr>
          <w:rFonts w:ascii="Times New Roman" w:hAnsi="Times New Roman" w:cs="Times New Roman"/>
          <w:noProof/>
          <w:sz w:val="20"/>
          <w:szCs w:val="20"/>
        </w:rPr>
        <w:t>, pp. 1–12. doi: 10.1002/9781118991978.hces008.</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Zhang, J.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(2016) ‘Improved bio-hydrogen production from glucose by adding a specific methane inhibitor to microbial electrolysis cells with a double anode arrangement’, </w:t>
      </w:r>
      <w:r w:rsidRPr="00DE4EB9">
        <w:rPr>
          <w:rFonts w:ascii="Times New Roman" w:hAnsi="Times New Roman" w:cs="Times New Roman"/>
          <w:i/>
          <w:iCs/>
          <w:noProof/>
          <w:sz w:val="20"/>
          <w:szCs w:val="20"/>
        </w:rPr>
        <w:t>Journal of Bioscience and Bioengineering</w:t>
      </w:r>
      <w:r w:rsidRPr="00DE4EB9">
        <w:rPr>
          <w:rFonts w:ascii="Times New Roman" w:hAnsi="Times New Roman" w:cs="Times New Roman"/>
          <w:noProof/>
          <w:sz w:val="20"/>
          <w:szCs w:val="20"/>
        </w:rPr>
        <w:t>, 122, pp. 1–6. doi: 10.1016/j.jbiosc.2016.03.016.</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Zhang, T.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(2018) ‘Nanometric Ni5P4 Clusters Nested on NiCo2O4 for Efficient Hydrogen Production via Alkaline Water Electrolysis’, </w:t>
      </w:r>
      <w:r w:rsidRPr="00DE4EB9">
        <w:rPr>
          <w:rFonts w:ascii="Times New Roman" w:hAnsi="Times New Roman" w:cs="Times New Roman"/>
          <w:i/>
          <w:iCs/>
          <w:noProof/>
          <w:sz w:val="20"/>
          <w:szCs w:val="20"/>
        </w:rPr>
        <w:t>Advanced Energy Materials</w:t>
      </w:r>
      <w:r w:rsidRPr="00DE4EB9">
        <w:rPr>
          <w:rFonts w:ascii="Times New Roman" w:hAnsi="Times New Roman" w:cs="Times New Roman"/>
          <w:noProof/>
          <w:sz w:val="20"/>
          <w:szCs w:val="20"/>
        </w:rPr>
        <w:t>, 8(29), pp. 2–7. doi: 10.1002/aenm.201801690.</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Zhang, Y. and Angelidaki, I. (2014) ‘Microbial electrolysis cells turning to be versatile technology: Recent advances and future challenges’, </w:t>
      </w:r>
      <w:r w:rsidRPr="00DE4EB9">
        <w:rPr>
          <w:rFonts w:ascii="Times New Roman" w:hAnsi="Times New Roman" w:cs="Times New Roman"/>
          <w:i/>
          <w:iCs/>
          <w:noProof/>
          <w:sz w:val="20"/>
          <w:szCs w:val="20"/>
        </w:rPr>
        <w:t>Water Research</w:t>
      </w:r>
      <w:r w:rsidRPr="00DE4EB9">
        <w:rPr>
          <w:rFonts w:ascii="Times New Roman" w:hAnsi="Times New Roman" w:cs="Times New Roman"/>
          <w:noProof/>
          <w:sz w:val="20"/>
          <w:szCs w:val="20"/>
        </w:rPr>
        <w:t>, 56, pp. 11–25. doi: 10.1016/j.watres.2014.02.031.</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Zheng, X. and Zhang, L. (2016) ‘Photonic nanostructures for solar energy conversion’, </w:t>
      </w:r>
      <w:r w:rsidRPr="00DE4EB9">
        <w:rPr>
          <w:rFonts w:ascii="Times New Roman" w:hAnsi="Times New Roman" w:cs="Times New Roman"/>
          <w:i/>
          <w:iCs/>
          <w:noProof/>
          <w:sz w:val="20"/>
          <w:szCs w:val="20"/>
        </w:rPr>
        <w:t>Energy and Environmental Science</w:t>
      </w:r>
      <w:r w:rsidRPr="00DE4EB9">
        <w:rPr>
          <w:rFonts w:ascii="Times New Roman" w:hAnsi="Times New Roman" w:cs="Times New Roman"/>
          <w:noProof/>
          <w:sz w:val="20"/>
          <w:szCs w:val="20"/>
        </w:rPr>
        <w:t>, 9(8), pp. 2511–2532. doi: 10.1039/c6ee01182a.</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Zhou, M.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(2011) ‘An overview of electrode materials in microbial fuel cells’, </w:t>
      </w:r>
      <w:r w:rsidRPr="00DE4EB9">
        <w:rPr>
          <w:rFonts w:ascii="Times New Roman" w:hAnsi="Times New Roman" w:cs="Times New Roman"/>
          <w:i/>
          <w:iCs/>
          <w:noProof/>
          <w:sz w:val="20"/>
          <w:szCs w:val="20"/>
        </w:rPr>
        <w:t>Journal of Power Sources</w:t>
      </w:r>
      <w:r w:rsidRPr="00DE4EB9">
        <w:rPr>
          <w:rFonts w:ascii="Times New Roman" w:hAnsi="Times New Roman" w:cs="Times New Roman"/>
          <w:noProof/>
          <w:sz w:val="20"/>
          <w:szCs w:val="20"/>
        </w:rPr>
        <w:t>, 196(10), pp. 4427–4435. doi: 10.1016/j.jpowsour.2011.01.012.</w:t>
      </w:r>
    </w:p>
    <w:p w:rsidR="002D57C3" w:rsidRPr="00DE4EB9"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Zhou, M.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(2013) ‘Recent advances in microbial fuel cells (MFCs) and microbial electrolysis cells (MECs) for wastewater treatment, bioenergy and bioproducts’, </w:t>
      </w:r>
      <w:r w:rsidRPr="00DE4EB9">
        <w:rPr>
          <w:rFonts w:ascii="Times New Roman" w:hAnsi="Times New Roman" w:cs="Times New Roman"/>
          <w:i/>
          <w:iCs/>
          <w:noProof/>
          <w:sz w:val="20"/>
          <w:szCs w:val="20"/>
        </w:rPr>
        <w:t>Journal of Chemical Technology and Biotechnology</w:t>
      </w:r>
      <w:r w:rsidRPr="00DE4EB9">
        <w:rPr>
          <w:rFonts w:ascii="Times New Roman" w:hAnsi="Times New Roman" w:cs="Times New Roman"/>
          <w:noProof/>
          <w:sz w:val="20"/>
          <w:szCs w:val="20"/>
        </w:rPr>
        <w:t>, 88(4), pp. 508–518. doi: 10.1002/jctb.4004.</w:t>
      </w:r>
    </w:p>
    <w:p w:rsidR="00FC4874"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DE4EB9">
        <w:rPr>
          <w:rFonts w:ascii="Times New Roman" w:hAnsi="Times New Roman" w:cs="Times New Roman"/>
          <w:noProof/>
          <w:sz w:val="20"/>
          <w:szCs w:val="20"/>
        </w:rPr>
        <w:t xml:space="preserve">Zhu, X. </w:t>
      </w:r>
      <w:r w:rsidRPr="00DE4EB9">
        <w:rPr>
          <w:rFonts w:ascii="Times New Roman" w:hAnsi="Times New Roman" w:cs="Times New Roman"/>
          <w:i/>
          <w:iCs/>
          <w:noProof/>
          <w:sz w:val="20"/>
          <w:szCs w:val="20"/>
        </w:rPr>
        <w:t>et al.</w:t>
      </w:r>
      <w:r w:rsidRPr="00DE4EB9">
        <w:rPr>
          <w:rFonts w:ascii="Times New Roman" w:hAnsi="Times New Roman" w:cs="Times New Roman"/>
          <w:noProof/>
          <w:sz w:val="20"/>
          <w:szCs w:val="20"/>
        </w:rPr>
        <w:t xml:space="preserve"> (2015) ‘Alamethicin suppresses methanogenesis and promotes acetogenesis in bioelectrochemical systems’, </w:t>
      </w:r>
      <w:r w:rsidRPr="00DE4EB9">
        <w:rPr>
          <w:rFonts w:ascii="Times New Roman" w:hAnsi="Times New Roman" w:cs="Times New Roman"/>
          <w:i/>
          <w:iCs/>
          <w:noProof/>
          <w:sz w:val="20"/>
          <w:szCs w:val="20"/>
        </w:rPr>
        <w:t>Applied and Environmental Microbiology</w:t>
      </w:r>
      <w:r w:rsidRPr="00DE4EB9">
        <w:rPr>
          <w:rFonts w:ascii="Times New Roman" w:hAnsi="Times New Roman" w:cs="Times New Roman"/>
          <w:noProof/>
          <w:sz w:val="20"/>
          <w:szCs w:val="20"/>
        </w:rPr>
        <w:t>, 81(11), pp. 3863–3868. doi: 10.1128/AEM.00594-15.</w:t>
      </w:r>
    </w:p>
    <w:p w:rsidR="002D57C3" w:rsidRPr="00FC4874" w:rsidRDefault="002D57C3" w:rsidP="008B59C9">
      <w:pPr>
        <w:pStyle w:val="ListParagraph"/>
        <w:widowControl w:val="0"/>
        <w:numPr>
          <w:ilvl w:val="0"/>
          <w:numId w:val="11"/>
        </w:numPr>
        <w:autoSpaceDE w:val="0"/>
        <w:autoSpaceDN w:val="0"/>
        <w:adjustRightInd w:val="0"/>
        <w:spacing w:before="0" w:beforeAutospacing="0" w:after="0" w:afterAutospacing="0" w:line="240" w:lineRule="auto"/>
        <w:ind w:left="709"/>
        <w:rPr>
          <w:rFonts w:ascii="Times New Roman" w:hAnsi="Times New Roman" w:cs="Times New Roman"/>
          <w:noProof/>
          <w:sz w:val="20"/>
          <w:szCs w:val="20"/>
        </w:rPr>
      </w:pPr>
      <w:r w:rsidRPr="00FC4874">
        <w:rPr>
          <w:rFonts w:ascii="Times New Roman" w:hAnsi="Times New Roman" w:cs="Times New Roman"/>
          <w:noProof/>
          <w:sz w:val="20"/>
          <w:szCs w:val="20"/>
        </w:rPr>
        <w:t xml:space="preserve">Zhu, Y. P. </w:t>
      </w:r>
      <w:r w:rsidRPr="00FC4874">
        <w:rPr>
          <w:rFonts w:ascii="Times New Roman" w:hAnsi="Times New Roman" w:cs="Times New Roman"/>
          <w:i/>
          <w:iCs/>
          <w:noProof/>
          <w:sz w:val="20"/>
          <w:szCs w:val="20"/>
        </w:rPr>
        <w:t>et al.</w:t>
      </w:r>
      <w:r w:rsidRPr="00FC4874">
        <w:rPr>
          <w:rFonts w:ascii="Times New Roman" w:hAnsi="Times New Roman" w:cs="Times New Roman"/>
          <w:noProof/>
          <w:sz w:val="20"/>
          <w:szCs w:val="20"/>
        </w:rPr>
        <w:t xml:space="preserve"> (2015) ‘Self-supported cobalt phosphide mesoporous nanorod arrays: A flexible and bifunctional electrode for highly active electrocatalytic water reduction and oxidation’, </w:t>
      </w:r>
      <w:r w:rsidRPr="00FC4874">
        <w:rPr>
          <w:rFonts w:ascii="Times New Roman" w:hAnsi="Times New Roman" w:cs="Times New Roman"/>
          <w:i/>
          <w:iCs/>
          <w:noProof/>
          <w:sz w:val="20"/>
          <w:szCs w:val="20"/>
        </w:rPr>
        <w:t>Advanced Functional Materials</w:t>
      </w:r>
      <w:r w:rsidRPr="00FC4874">
        <w:rPr>
          <w:rFonts w:ascii="Times New Roman" w:hAnsi="Times New Roman" w:cs="Times New Roman"/>
          <w:noProof/>
          <w:sz w:val="20"/>
          <w:szCs w:val="20"/>
        </w:rPr>
        <w:t>, 25(47), pp. 7337–7347. doi: 10.1002/adfm.201503666.</w:t>
      </w:r>
    </w:p>
    <w:p w:rsidR="001207F8" w:rsidRPr="008C36F5" w:rsidRDefault="0063134A" w:rsidP="008B59C9">
      <w:pPr>
        <w:widowControl w:val="0"/>
        <w:autoSpaceDE w:val="0"/>
        <w:autoSpaceDN w:val="0"/>
        <w:adjustRightInd w:val="0"/>
        <w:spacing w:before="0" w:beforeAutospacing="0" w:after="0" w:afterAutospacing="0" w:line="240" w:lineRule="auto"/>
        <w:ind w:left="709"/>
        <w:rPr>
          <w:rFonts w:ascii="Times New Roman" w:hAnsi="Times New Roman" w:cs="Times New Roman"/>
          <w:b/>
          <w:sz w:val="20"/>
          <w:szCs w:val="20"/>
        </w:rPr>
      </w:pPr>
      <w:r w:rsidRPr="008C36F5">
        <w:rPr>
          <w:rFonts w:ascii="Times New Roman" w:hAnsi="Times New Roman" w:cs="Times New Roman"/>
          <w:b/>
          <w:sz w:val="20"/>
          <w:szCs w:val="20"/>
        </w:rPr>
        <w:fldChar w:fldCharType="end"/>
      </w:r>
    </w:p>
    <w:sectPr w:rsidR="001207F8" w:rsidRPr="008C36F5" w:rsidSect="00706571">
      <w:type w:val="continuous"/>
      <w:pgSz w:w="12240" w:h="15840"/>
      <w:pgMar w:top="1440" w:right="1440" w:bottom="1440" w:left="1440" w:header="0" w:footer="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3CB" w:rsidRDefault="00CF73CB" w:rsidP="008F086B">
      <w:pPr>
        <w:spacing w:after="0" w:line="240" w:lineRule="auto"/>
      </w:pPr>
      <w:r>
        <w:separator/>
      </w:r>
    </w:p>
  </w:endnote>
  <w:endnote w:type="continuationSeparator" w:id="0">
    <w:p w:rsidR="00CF73CB" w:rsidRDefault="00CF73CB" w:rsidP="008F0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ans-serif">
    <w:altName w:val="Segoe Print"/>
    <w:charset w:val="00"/>
    <w:family w:val="auto"/>
    <w:pitch w:val="default"/>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3CB" w:rsidRDefault="00CF73CB" w:rsidP="008F086B">
      <w:pPr>
        <w:spacing w:after="0" w:line="240" w:lineRule="auto"/>
      </w:pPr>
      <w:r>
        <w:separator/>
      </w:r>
    </w:p>
  </w:footnote>
  <w:footnote w:type="continuationSeparator" w:id="0">
    <w:p w:rsidR="00CF73CB" w:rsidRDefault="00CF73CB" w:rsidP="008F08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9.25pt;height:25.5pt;visibility:visible;mso-wrap-style:square" o:bullet="t">
        <v:imagedata r:id="rId1" o:title=""/>
      </v:shape>
    </w:pict>
  </w:numPicBullet>
  <w:abstractNum w:abstractNumId="0" w15:restartNumberingAfterBreak="0">
    <w:nsid w:val="01B07DD6"/>
    <w:multiLevelType w:val="multilevel"/>
    <w:tmpl w:val="B5EE11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1356B4"/>
    <w:multiLevelType w:val="hybridMultilevel"/>
    <w:tmpl w:val="D9CC07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11A1D"/>
    <w:multiLevelType w:val="hybridMultilevel"/>
    <w:tmpl w:val="E1447C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E652EC"/>
    <w:multiLevelType w:val="hybridMultilevel"/>
    <w:tmpl w:val="ED8E0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212073"/>
    <w:multiLevelType w:val="hybridMultilevel"/>
    <w:tmpl w:val="B40E0508"/>
    <w:lvl w:ilvl="0" w:tplc="CE00567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7A32F4"/>
    <w:multiLevelType w:val="hybridMultilevel"/>
    <w:tmpl w:val="C180DEF2"/>
    <w:lvl w:ilvl="0" w:tplc="A61858A0">
      <w:start w:val="1"/>
      <w:numFmt w:val="decimal"/>
      <w:lvlText w:val="%1."/>
      <w:lvlJc w:val="left"/>
      <w:pPr>
        <w:tabs>
          <w:tab w:val="num" w:pos="720"/>
        </w:tabs>
        <w:ind w:left="720" w:hanging="360"/>
      </w:pPr>
    </w:lvl>
    <w:lvl w:ilvl="1" w:tplc="870EA5C8" w:tentative="1">
      <w:start w:val="1"/>
      <w:numFmt w:val="decimal"/>
      <w:lvlText w:val="%2."/>
      <w:lvlJc w:val="left"/>
      <w:pPr>
        <w:tabs>
          <w:tab w:val="num" w:pos="1440"/>
        </w:tabs>
        <w:ind w:left="1440" w:hanging="360"/>
      </w:pPr>
    </w:lvl>
    <w:lvl w:ilvl="2" w:tplc="8BA00BB8" w:tentative="1">
      <w:start w:val="1"/>
      <w:numFmt w:val="decimal"/>
      <w:lvlText w:val="%3."/>
      <w:lvlJc w:val="left"/>
      <w:pPr>
        <w:tabs>
          <w:tab w:val="num" w:pos="2160"/>
        </w:tabs>
        <w:ind w:left="2160" w:hanging="360"/>
      </w:pPr>
    </w:lvl>
    <w:lvl w:ilvl="3" w:tplc="CED662D4" w:tentative="1">
      <w:start w:val="1"/>
      <w:numFmt w:val="decimal"/>
      <w:lvlText w:val="%4."/>
      <w:lvlJc w:val="left"/>
      <w:pPr>
        <w:tabs>
          <w:tab w:val="num" w:pos="2880"/>
        </w:tabs>
        <w:ind w:left="2880" w:hanging="360"/>
      </w:pPr>
    </w:lvl>
    <w:lvl w:ilvl="4" w:tplc="D6F278B6" w:tentative="1">
      <w:start w:val="1"/>
      <w:numFmt w:val="decimal"/>
      <w:lvlText w:val="%5."/>
      <w:lvlJc w:val="left"/>
      <w:pPr>
        <w:tabs>
          <w:tab w:val="num" w:pos="3600"/>
        </w:tabs>
        <w:ind w:left="3600" w:hanging="360"/>
      </w:pPr>
    </w:lvl>
    <w:lvl w:ilvl="5" w:tplc="51468224" w:tentative="1">
      <w:start w:val="1"/>
      <w:numFmt w:val="decimal"/>
      <w:lvlText w:val="%6."/>
      <w:lvlJc w:val="left"/>
      <w:pPr>
        <w:tabs>
          <w:tab w:val="num" w:pos="4320"/>
        </w:tabs>
        <w:ind w:left="4320" w:hanging="360"/>
      </w:pPr>
    </w:lvl>
    <w:lvl w:ilvl="6" w:tplc="361E9D8A" w:tentative="1">
      <w:start w:val="1"/>
      <w:numFmt w:val="decimal"/>
      <w:lvlText w:val="%7."/>
      <w:lvlJc w:val="left"/>
      <w:pPr>
        <w:tabs>
          <w:tab w:val="num" w:pos="5040"/>
        </w:tabs>
        <w:ind w:left="5040" w:hanging="360"/>
      </w:pPr>
    </w:lvl>
    <w:lvl w:ilvl="7" w:tplc="3CB8E000" w:tentative="1">
      <w:start w:val="1"/>
      <w:numFmt w:val="decimal"/>
      <w:lvlText w:val="%8."/>
      <w:lvlJc w:val="left"/>
      <w:pPr>
        <w:tabs>
          <w:tab w:val="num" w:pos="5760"/>
        </w:tabs>
        <w:ind w:left="5760" w:hanging="360"/>
      </w:pPr>
    </w:lvl>
    <w:lvl w:ilvl="8" w:tplc="14881590" w:tentative="1">
      <w:start w:val="1"/>
      <w:numFmt w:val="decimal"/>
      <w:lvlText w:val="%9."/>
      <w:lvlJc w:val="left"/>
      <w:pPr>
        <w:tabs>
          <w:tab w:val="num" w:pos="6480"/>
        </w:tabs>
        <w:ind w:left="6480" w:hanging="360"/>
      </w:pPr>
    </w:lvl>
  </w:abstractNum>
  <w:abstractNum w:abstractNumId="6" w15:restartNumberingAfterBreak="0">
    <w:nsid w:val="524E51BE"/>
    <w:multiLevelType w:val="multilevel"/>
    <w:tmpl w:val="5FDA8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F0289D"/>
    <w:multiLevelType w:val="hybridMultilevel"/>
    <w:tmpl w:val="8E6AF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0E567C"/>
    <w:multiLevelType w:val="hybridMultilevel"/>
    <w:tmpl w:val="5BB4A4D2"/>
    <w:lvl w:ilvl="0" w:tplc="63A077B8">
      <w:start w:val="1"/>
      <w:numFmt w:val="decimal"/>
      <w:lvlText w:val="%1."/>
      <w:lvlJc w:val="left"/>
      <w:pPr>
        <w:ind w:left="218" w:hanging="360"/>
      </w:pPr>
      <w:rPr>
        <w:rFonts w:hint="default"/>
        <w:sz w:val="22"/>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9" w15:restartNumberingAfterBreak="0">
    <w:nsid w:val="6E046A64"/>
    <w:multiLevelType w:val="hybridMultilevel"/>
    <w:tmpl w:val="9BD481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FA442E"/>
    <w:multiLevelType w:val="hybridMultilevel"/>
    <w:tmpl w:val="5E208EB6"/>
    <w:lvl w:ilvl="0" w:tplc="A1548BB6">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num w:numId="1">
    <w:abstractNumId w:val="5"/>
  </w:num>
  <w:num w:numId="2">
    <w:abstractNumId w:val="2"/>
  </w:num>
  <w:num w:numId="3">
    <w:abstractNumId w:val="3"/>
  </w:num>
  <w:num w:numId="4">
    <w:abstractNumId w:val="9"/>
  </w:num>
  <w:num w:numId="5">
    <w:abstractNumId w:val="7"/>
  </w:num>
  <w:num w:numId="6">
    <w:abstractNumId w:val="4"/>
  </w:num>
  <w:num w:numId="7">
    <w:abstractNumId w:val="10"/>
  </w:num>
  <w:num w:numId="8">
    <w:abstractNumId w:val="8"/>
  </w:num>
  <w:num w:numId="9">
    <w:abstractNumId w:val="6"/>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E6C95"/>
    <w:rsid w:val="00000061"/>
    <w:rsid w:val="00001898"/>
    <w:rsid w:val="00001EE6"/>
    <w:rsid w:val="00002BD6"/>
    <w:rsid w:val="0000324C"/>
    <w:rsid w:val="00007226"/>
    <w:rsid w:val="000077B7"/>
    <w:rsid w:val="00010B02"/>
    <w:rsid w:val="00010E91"/>
    <w:rsid w:val="00011AA2"/>
    <w:rsid w:val="0001239D"/>
    <w:rsid w:val="000136F7"/>
    <w:rsid w:val="000140D1"/>
    <w:rsid w:val="00014CBF"/>
    <w:rsid w:val="0001509E"/>
    <w:rsid w:val="000174CA"/>
    <w:rsid w:val="0001765D"/>
    <w:rsid w:val="00020B9A"/>
    <w:rsid w:val="00020E8F"/>
    <w:rsid w:val="00021AFA"/>
    <w:rsid w:val="00022486"/>
    <w:rsid w:val="00022695"/>
    <w:rsid w:val="000228A9"/>
    <w:rsid w:val="000234FF"/>
    <w:rsid w:val="00023A3F"/>
    <w:rsid w:val="00024265"/>
    <w:rsid w:val="00024B61"/>
    <w:rsid w:val="00025466"/>
    <w:rsid w:val="00025F3C"/>
    <w:rsid w:val="000268D3"/>
    <w:rsid w:val="00026966"/>
    <w:rsid w:val="00027BDD"/>
    <w:rsid w:val="00027EC9"/>
    <w:rsid w:val="00030624"/>
    <w:rsid w:val="00031640"/>
    <w:rsid w:val="000327A7"/>
    <w:rsid w:val="00032B67"/>
    <w:rsid w:val="000334E7"/>
    <w:rsid w:val="00033989"/>
    <w:rsid w:val="00034DCA"/>
    <w:rsid w:val="00035211"/>
    <w:rsid w:val="00035A42"/>
    <w:rsid w:val="00036275"/>
    <w:rsid w:val="00037311"/>
    <w:rsid w:val="000376E1"/>
    <w:rsid w:val="000401D5"/>
    <w:rsid w:val="000406BC"/>
    <w:rsid w:val="000424C4"/>
    <w:rsid w:val="0004350B"/>
    <w:rsid w:val="0004361F"/>
    <w:rsid w:val="00044B91"/>
    <w:rsid w:val="00045F72"/>
    <w:rsid w:val="0004706D"/>
    <w:rsid w:val="00050E8B"/>
    <w:rsid w:val="00052DD4"/>
    <w:rsid w:val="00052F1C"/>
    <w:rsid w:val="00053039"/>
    <w:rsid w:val="00053256"/>
    <w:rsid w:val="000544EE"/>
    <w:rsid w:val="000558AF"/>
    <w:rsid w:val="00055D8D"/>
    <w:rsid w:val="000564B8"/>
    <w:rsid w:val="00056D62"/>
    <w:rsid w:val="0006234F"/>
    <w:rsid w:val="00062642"/>
    <w:rsid w:val="00062F7D"/>
    <w:rsid w:val="00063463"/>
    <w:rsid w:val="000636F5"/>
    <w:rsid w:val="00064D2A"/>
    <w:rsid w:val="00064F7E"/>
    <w:rsid w:val="00065B3B"/>
    <w:rsid w:val="000661AA"/>
    <w:rsid w:val="00066650"/>
    <w:rsid w:val="00066763"/>
    <w:rsid w:val="00066A91"/>
    <w:rsid w:val="00066E16"/>
    <w:rsid w:val="00067559"/>
    <w:rsid w:val="000710D0"/>
    <w:rsid w:val="00071F34"/>
    <w:rsid w:val="0007298F"/>
    <w:rsid w:val="00072C6F"/>
    <w:rsid w:val="00072EDF"/>
    <w:rsid w:val="00072F3C"/>
    <w:rsid w:val="000730D8"/>
    <w:rsid w:val="0007426E"/>
    <w:rsid w:val="00074617"/>
    <w:rsid w:val="000749E0"/>
    <w:rsid w:val="00075A5B"/>
    <w:rsid w:val="000764D4"/>
    <w:rsid w:val="00076E63"/>
    <w:rsid w:val="00077B8D"/>
    <w:rsid w:val="00080167"/>
    <w:rsid w:val="00080B3B"/>
    <w:rsid w:val="0008105A"/>
    <w:rsid w:val="0008460E"/>
    <w:rsid w:val="00084E0C"/>
    <w:rsid w:val="000879B6"/>
    <w:rsid w:val="00090ADD"/>
    <w:rsid w:val="0009134D"/>
    <w:rsid w:val="000915A3"/>
    <w:rsid w:val="00091755"/>
    <w:rsid w:val="0009181C"/>
    <w:rsid w:val="00092535"/>
    <w:rsid w:val="0009329E"/>
    <w:rsid w:val="0009387A"/>
    <w:rsid w:val="00096475"/>
    <w:rsid w:val="000A0CFF"/>
    <w:rsid w:val="000A1617"/>
    <w:rsid w:val="000A1C55"/>
    <w:rsid w:val="000A2861"/>
    <w:rsid w:val="000A2F8D"/>
    <w:rsid w:val="000A3994"/>
    <w:rsid w:val="000A3F0F"/>
    <w:rsid w:val="000A3F9E"/>
    <w:rsid w:val="000A40B8"/>
    <w:rsid w:val="000A4F46"/>
    <w:rsid w:val="000A6441"/>
    <w:rsid w:val="000A6ACB"/>
    <w:rsid w:val="000A6F59"/>
    <w:rsid w:val="000A7445"/>
    <w:rsid w:val="000B0E5E"/>
    <w:rsid w:val="000B0EE3"/>
    <w:rsid w:val="000B110B"/>
    <w:rsid w:val="000B1217"/>
    <w:rsid w:val="000B16D7"/>
    <w:rsid w:val="000B347C"/>
    <w:rsid w:val="000B3BA4"/>
    <w:rsid w:val="000B4A5E"/>
    <w:rsid w:val="000B4BBC"/>
    <w:rsid w:val="000B6F9A"/>
    <w:rsid w:val="000B797D"/>
    <w:rsid w:val="000C03A7"/>
    <w:rsid w:val="000C04B9"/>
    <w:rsid w:val="000C0ADF"/>
    <w:rsid w:val="000C1007"/>
    <w:rsid w:val="000C1709"/>
    <w:rsid w:val="000C1C0C"/>
    <w:rsid w:val="000C24B4"/>
    <w:rsid w:val="000C2AF4"/>
    <w:rsid w:val="000C3FB1"/>
    <w:rsid w:val="000C4D70"/>
    <w:rsid w:val="000C5D8B"/>
    <w:rsid w:val="000C61BD"/>
    <w:rsid w:val="000D03F7"/>
    <w:rsid w:val="000D15B7"/>
    <w:rsid w:val="000D25C2"/>
    <w:rsid w:val="000D4528"/>
    <w:rsid w:val="000D4B48"/>
    <w:rsid w:val="000D50EA"/>
    <w:rsid w:val="000D528F"/>
    <w:rsid w:val="000D6CA5"/>
    <w:rsid w:val="000E1516"/>
    <w:rsid w:val="000E2092"/>
    <w:rsid w:val="000E25D1"/>
    <w:rsid w:val="000E25E1"/>
    <w:rsid w:val="000E27E1"/>
    <w:rsid w:val="000E3FA0"/>
    <w:rsid w:val="000E4733"/>
    <w:rsid w:val="000E4AAC"/>
    <w:rsid w:val="000E4EBA"/>
    <w:rsid w:val="000E5321"/>
    <w:rsid w:val="000E5A46"/>
    <w:rsid w:val="000E5ED4"/>
    <w:rsid w:val="000E69F8"/>
    <w:rsid w:val="000E6C95"/>
    <w:rsid w:val="000F017D"/>
    <w:rsid w:val="000F0729"/>
    <w:rsid w:val="000F1363"/>
    <w:rsid w:val="000F1D15"/>
    <w:rsid w:val="000F1D55"/>
    <w:rsid w:val="000F22E7"/>
    <w:rsid w:val="000F2637"/>
    <w:rsid w:val="000F4925"/>
    <w:rsid w:val="000F4D98"/>
    <w:rsid w:val="000F5141"/>
    <w:rsid w:val="000F5576"/>
    <w:rsid w:val="000F6CBE"/>
    <w:rsid w:val="000F7661"/>
    <w:rsid w:val="000F7743"/>
    <w:rsid w:val="000F7873"/>
    <w:rsid w:val="000F79B3"/>
    <w:rsid w:val="00100C1C"/>
    <w:rsid w:val="001015B2"/>
    <w:rsid w:val="0010206A"/>
    <w:rsid w:val="00102328"/>
    <w:rsid w:val="001028D4"/>
    <w:rsid w:val="00102914"/>
    <w:rsid w:val="001046EA"/>
    <w:rsid w:val="001047EC"/>
    <w:rsid w:val="0010484A"/>
    <w:rsid w:val="001049FD"/>
    <w:rsid w:val="00105F5D"/>
    <w:rsid w:val="00105F70"/>
    <w:rsid w:val="0010620D"/>
    <w:rsid w:val="001067B1"/>
    <w:rsid w:val="001105B4"/>
    <w:rsid w:val="00110CBF"/>
    <w:rsid w:val="00111FFB"/>
    <w:rsid w:val="00112048"/>
    <w:rsid w:val="0011291F"/>
    <w:rsid w:val="00112E66"/>
    <w:rsid w:val="00113C86"/>
    <w:rsid w:val="00113D44"/>
    <w:rsid w:val="0011481B"/>
    <w:rsid w:val="00114FDA"/>
    <w:rsid w:val="00115179"/>
    <w:rsid w:val="00115ADE"/>
    <w:rsid w:val="001164E1"/>
    <w:rsid w:val="001168CF"/>
    <w:rsid w:val="00117D29"/>
    <w:rsid w:val="00120093"/>
    <w:rsid w:val="001207F8"/>
    <w:rsid w:val="00120FF1"/>
    <w:rsid w:val="0012134C"/>
    <w:rsid w:val="00121445"/>
    <w:rsid w:val="0012232D"/>
    <w:rsid w:val="00122738"/>
    <w:rsid w:val="00125371"/>
    <w:rsid w:val="00127A97"/>
    <w:rsid w:val="001305D4"/>
    <w:rsid w:val="001310E6"/>
    <w:rsid w:val="00131CDA"/>
    <w:rsid w:val="001322A2"/>
    <w:rsid w:val="001324F5"/>
    <w:rsid w:val="00132EBF"/>
    <w:rsid w:val="0013396B"/>
    <w:rsid w:val="00133B7F"/>
    <w:rsid w:val="00133F7F"/>
    <w:rsid w:val="0013404E"/>
    <w:rsid w:val="001345D6"/>
    <w:rsid w:val="001346C8"/>
    <w:rsid w:val="00135451"/>
    <w:rsid w:val="00135F37"/>
    <w:rsid w:val="00136096"/>
    <w:rsid w:val="0013639E"/>
    <w:rsid w:val="001403CD"/>
    <w:rsid w:val="00140F05"/>
    <w:rsid w:val="001426F2"/>
    <w:rsid w:val="00144DC4"/>
    <w:rsid w:val="00144E51"/>
    <w:rsid w:val="00146B81"/>
    <w:rsid w:val="00147715"/>
    <w:rsid w:val="00150248"/>
    <w:rsid w:val="00150D39"/>
    <w:rsid w:val="00150E53"/>
    <w:rsid w:val="0015212D"/>
    <w:rsid w:val="001560E8"/>
    <w:rsid w:val="00156357"/>
    <w:rsid w:val="00156EE3"/>
    <w:rsid w:val="0015704D"/>
    <w:rsid w:val="001576E2"/>
    <w:rsid w:val="00157CDB"/>
    <w:rsid w:val="0016089A"/>
    <w:rsid w:val="00161C5A"/>
    <w:rsid w:val="00161F43"/>
    <w:rsid w:val="00162329"/>
    <w:rsid w:val="001633B6"/>
    <w:rsid w:val="00163791"/>
    <w:rsid w:val="00164703"/>
    <w:rsid w:val="0016534D"/>
    <w:rsid w:val="001654B8"/>
    <w:rsid w:val="0016617F"/>
    <w:rsid w:val="00166AEA"/>
    <w:rsid w:val="00166B72"/>
    <w:rsid w:val="00166EB0"/>
    <w:rsid w:val="0016707E"/>
    <w:rsid w:val="001676CE"/>
    <w:rsid w:val="001702AC"/>
    <w:rsid w:val="001705DD"/>
    <w:rsid w:val="00170614"/>
    <w:rsid w:val="00170EEB"/>
    <w:rsid w:val="001722F0"/>
    <w:rsid w:val="001723B0"/>
    <w:rsid w:val="001737A2"/>
    <w:rsid w:val="00173CAE"/>
    <w:rsid w:val="00175ABA"/>
    <w:rsid w:val="00175E5D"/>
    <w:rsid w:val="00176181"/>
    <w:rsid w:val="001766E2"/>
    <w:rsid w:val="00176BE8"/>
    <w:rsid w:val="00177444"/>
    <w:rsid w:val="00177A0F"/>
    <w:rsid w:val="00177E6B"/>
    <w:rsid w:val="001807D3"/>
    <w:rsid w:val="001813F5"/>
    <w:rsid w:val="00181952"/>
    <w:rsid w:val="0018263A"/>
    <w:rsid w:val="00182753"/>
    <w:rsid w:val="00182DBF"/>
    <w:rsid w:val="0018418A"/>
    <w:rsid w:val="001854FE"/>
    <w:rsid w:val="001867ED"/>
    <w:rsid w:val="00186964"/>
    <w:rsid w:val="00186AC9"/>
    <w:rsid w:val="001904A7"/>
    <w:rsid w:val="001911EA"/>
    <w:rsid w:val="001932C8"/>
    <w:rsid w:val="00193FBA"/>
    <w:rsid w:val="001941A1"/>
    <w:rsid w:val="00195941"/>
    <w:rsid w:val="00196256"/>
    <w:rsid w:val="00196C2B"/>
    <w:rsid w:val="00196CDA"/>
    <w:rsid w:val="001A0984"/>
    <w:rsid w:val="001A0CF4"/>
    <w:rsid w:val="001A1187"/>
    <w:rsid w:val="001A2716"/>
    <w:rsid w:val="001B0125"/>
    <w:rsid w:val="001B1429"/>
    <w:rsid w:val="001B164F"/>
    <w:rsid w:val="001B1742"/>
    <w:rsid w:val="001B1F6F"/>
    <w:rsid w:val="001B227C"/>
    <w:rsid w:val="001B24AE"/>
    <w:rsid w:val="001B3653"/>
    <w:rsid w:val="001B5997"/>
    <w:rsid w:val="001B75FD"/>
    <w:rsid w:val="001B7601"/>
    <w:rsid w:val="001B7B28"/>
    <w:rsid w:val="001C1701"/>
    <w:rsid w:val="001C2FCE"/>
    <w:rsid w:val="001C4A32"/>
    <w:rsid w:val="001C4E33"/>
    <w:rsid w:val="001C55CF"/>
    <w:rsid w:val="001C6870"/>
    <w:rsid w:val="001C7EAD"/>
    <w:rsid w:val="001D0E86"/>
    <w:rsid w:val="001D2D9B"/>
    <w:rsid w:val="001D3109"/>
    <w:rsid w:val="001D3BA3"/>
    <w:rsid w:val="001D4CDD"/>
    <w:rsid w:val="001D61B4"/>
    <w:rsid w:val="001D698D"/>
    <w:rsid w:val="001D72AD"/>
    <w:rsid w:val="001D7F1E"/>
    <w:rsid w:val="001E0615"/>
    <w:rsid w:val="001E0D55"/>
    <w:rsid w:val="001E1633"/>
    <w:rsid w:val="001E17AE"/>
    <w:rsid w:val="001E1849"/>
    <w:rsid w:val="001E1B1E"/>
    <w:rsid w:val="001E233E"/>
    <w:rsid w:val="001E280E"/>
    <w:rsid w:val="001E2A96"/>
    <w:rsid w:val="001E2C11"/>
    <w:rsid w:val="001E3345"/>
    <w:rsid w:val="001E3546"/>
    <w:rsid w:val="001E3663"/>
    <w:rsid w:val="001E3A21"/>
    <w:rsid w:val="001E3F41"/>
    <w:rsid w:val="001E470B"/>
    <w:rsid w:val="001E4745"/>
    <w:rsid w:val="001E61ED"/>
    <w:rsid w:val="001E6540"/>
    <w:rsid w:val="001E6A4E"/>
    <w:rsid w:val="001E6B73"/>
    <w:rsid w:val="001E6B7C"/>
    <w:rsid w:val="001E7A7F"/>
    <w:rsid w:val="001F057A"/>
    <w:rsid w:val="001F0C95"/>
    <w:rsid w:val="001F1013"/>
    <w:rsid w:val="001F1A1E"/>
    <w:rsid w:val="001F2E90"/>
    <w:rsid w:val="001F3623"/>
    <w:rsid w:val="001F36C3"/>
    <w:rsid w:val="001F4F6B"/>
    <w:rsid w:val="001F56DD"/>
    <w:rsid w:val="001F5C3B"/>
    <w:rsid w:val="001F6B71"/>
    <w:rsid w:val="001F77EE"/>
    <w:rsid w:val="001F7D03"/>
    <w:rsid w:val="001F7F9E"/>
    <w:rsid w:val="0020013B"/>
    <w:rsid w:val="0020167D"/>
    <w:rsid w:val="002016BE"/>
    <w:rsid w:val="00201C49"/>
    <w:rsid w:val="002020C1"/>
    <w:rsid w:val="00202FD5"/>
    <w:rsid w:val="002033E1"/>
    <w:rsid w:val="00205144"/>
    <w:rsid w:val="00205E2E"/>
    <w:rsid w:val="002063E7"/>
    <w:rsid w:val="00206D8B"/>
    <w:rsid w:val="00207166"/>
    <w:rsid w:val="0021043E"/>
    <w:rsid w:val="002104AE"/>
    <w:rsid w:val="0021191C"/>
    <w:rsid w:val="00211DB7"/>
    <w:rsid w:val="00212512"/>
    <w:rsid w:val="00212C6C"/>
    <w:rsid w:val="00212C98"/>
    <w:rsid w:val="00213463"/>
    <w:rsid w:val="00213703"/>
    <w:rsid w:val="002146D3"/>
    <w:rsid w:val="002149C5"/>
    <w:rsid w:val="00214F9E"/>
    <w:rsid w:val="00215092"/>
    <w:rsid w:val="002153D2"/>
    <w:rsid w:val="00216066"/>
    <w:rsid w:val="00216FD3"/>
    <w:rsid w:val="0022008B"/>
    <w:rsid w:val="0022040D"/>
    <w:rsid w:val="00223867"/>
    <w:rsid w:val="00223D67"/>
    <w:rsid w:val="00225A68"/>
    <w:rsid w:val="00225CFF"/>
    <w:rsid w:val="00226329"/>
    <w:rsid w:val="002266DD"/>
    <w:rsid w:val="00226F48"/>
    <w:rsid w:val="00230666"/>
    <w:rsid w:val="00231271"/>
    <w:rsid w:val="00231EC6"/>
    <w:rsid w:val="002321F0"/>
    <w:rsid w:val="00232204"/>
    <w:rsid w:val="0023251F"/>
    <w:rsid w:val="00232713"/>
    <w:rsid w:val="00232998"/>
    <w:rsid w:val="00232BB7"/>
    <w:rsid w:val="00232E73"/>
    <w:rsid w:val="002339B2"/>
    <w:rsid w:val="00233A95"/>
    <w:rsid w:val="002340A9"/>
    <w:rsid w:val="002346B3"/>
    <w:rsid w:val="00236DF7"/>
    <w:rsid w:val="002375BF"/>
    <w:rsid w:val="00237DA3"/>
    <w:rsid w:val="0024004E"/>
    <w:rsid w:val="00240208"/>
    <w:rsid w:val="0024123A"/>
    <w:rsid w:val="00243228"/>
    <w:rsid w:val="002436FA"/>
    <w:rsid w:val="0024374E"/>
    <w:rsid w:val="00244593"/>
    <w:rsid w:val="00244835"/>
    <w:rsid w:val="00244B9A"/>
    <w:rsid w:val="002450EC"/>
    <w:rsid w:val="002453AC"/>
    <w:rsid w:val="00245B66"/>
    <w:rsid w:val="00246613"/>
    <w:rsid w:val="0024751B"/>
    <w:rsid w:val="00247DF5"/>
    <w:rsid w:val="00247EAD"/>
    <w:rsid w:val="002503FF"/>
    <w:rsid w:val="00251F7A"/>
    <w:rsid w:val="00253326"/>
    <w:rsid w:val="00253783"/>
    <w:rsid w:val="002547A1"/>
    <w:rsid w:val="0025594B"/>
    <w:rsid w:val="0025598E"/>
    <w:rsid w:val="002568C0"/>
    <w:rsid w:val="00260642"/>
    <w:rsid w:val="0026178A"/>
    <w:rsid w:val="00263A78"/>
    <w:rsid w:val="00264654"/>
    <w:rsid w:val="00265450"/>
    <w:rsid w:val="00265FA8"/>
    <w:rsid w:val="002661C3"/>
    <w:rsid w:val="00267459"/>
    <w:rsid w:val="00267677"/>
    <w:rsid w:val="00267F61"/>
    <w:rsid w:val="002716F9"/>
    <w:rsid w:val="00272200"/>
    <w:rsid w:val="002722C4"/>
    <w:rsid w:val="00272AB7"/>
    <w:rsid w:val="0027323A"/>
    <w:rsid w:val="002737FA"/>
    <w:rsid w:val="00275AB4"/>
    <w:rsid w:val="00276966"/>
    <w:rsid w:val="0027729F"/>
    <w:rsid w:val="002800C4"/>
    <w:rsid w:val="0028124F"/>
    <w:rsid w:val="00281D36"/>
    <w:rsid w:val="00281F92"/>
    <w:rsid w:val="002822E0"/>
    <w:rsid w:val="00283C65"/>
    <w:rsid w:val="002847F5"/>
    <w:rsid w:val="00284950"/>
    <w:rsid w:val="00285765"/>
    <w:rsid w:val="00285FCD"/>
    <w:rsid w:val="00286F69"/>
    <w:rsid w:val="0028759F"/>
    <w:rsid w:val="00287815"/>
    <w:rsid w:val="00287D0D"/>
    <w:rsid w:val="00291167"/>
    <w:rsid w:val="002913FE"/>
    <w:rsid w:val="00291BE9"/>
    <w:rsid w:val="002932D1"/>
    <w:rsid w:val="00293B07"/>
    <w:rsid w:val="0029446B"/>
    <w:rsid w:val="00294C6C"/>
    <w:rsid w:val="00295BCD"/>
    <w:rsid w:val="00295F37"/>
    <w:rsid w:val="0029621B"/>
    <w:rsid w:val="0029671F"/>
    <w:rsid w:val="00296B73"/>
    <w:rsid w:val="002A17DB"/>
    <w:rsid w:val="002A213F"/>
    <w:rsid w:val="002A228F"/>
    <w:rsid w:val="002A2747"/>
    <w:rsid w:val="002A2C2F"/>
    <w:rsid w:val="002A4218"/>
    <w:rsid w:val="002A73C4"/>
    <w:rsid w:val="002B0713"/>
    <w:rsid w:val="002B1FD6"/>
    <w:rsid w:val="002B716D"/>
    <w:rsid w:val="002B79E7"/>
    <w:rsid w:val="002C2C53"/>
    <w:rsid w:val="002C4A30"/>
    <w:rsid w:val="002C4D5D"/>
    <w:rsid w:val="002C6FA6"/>
    <w:rsid w:val="002C7779"/>
    <w:rsid w:val="002C77A4"/>
    <w:rsid w:val="002D149A"/>
    <w:rsid w:val="002D15F7"/>
    <w:rsid w:val="002D432A"/>
    <w:rsid w:val="002D4B66"/>
    <w:rsid w:val="002D57C3"/>
    <w:rsid w:val="002D636E"/>
    <w:rsid w:val="002D67B0"/>
    <w:rsid w:val="002E0275"/>
    <w:rsid w:val="002E032A"/>
    <w:rsid w:val="002E0B0F"/>
    <w:rsid w:val="002E17AD"/>
    <w:rsid w:val="002E3697"/>
    <w:rsid w:val="002E3C8E"/>
    <w:rsid w:val="002E536B"/>
    <w:rsid w:val="002E59FE"/>
    <w:rsid w:val="002E7609"/>
    <w:rsid w:val="002F05BB"/>
    <w:rsid w:val="002F095B"/>
    <w:rsid w:val="002F18D4"/>
    <w:rsid w:val="002F2D0F"/>
    <w:rsid w:val="002F32EC"/>
    <w:rsid w:val="002F46A6"/>
    <w:rsid w:val="002F6BC1"/>
    <w:rsid w:val="002F6C84"/>
    <w:rsid w:val="002F7EFD"/>
    <w:rsid w:val="00300774"/>
    <w:rsid w:val="00300D5A"/>
    <w:rsid w:val="00300F6B"/>
    <w:rsid w:val="00302601"/>
    <w:rsid w:val="0030379D"/>
    <w:rsid w:val="00306AFD"/>
    <w:rsid w:val="00310286"/>
    <w:rsid w:val="0031125C"/>
    <w:rsid w:val="0031245A"/>
    <w:rsid w:val="0031248D"/>
    <w:rsid w:val="00312B5D"/>
    <w:rsid w:val="003137F5"/>
    <w:rsid w:val="00313EB6"/>
    <w:rsid w:val="00314F83"/>
    <w:rsid w:val="00316A59"/>
    <w:rsid w:val="003171B1"/>
    <w:rsid w:val="00321169"/>
    <w:rsid w:val="003217B0"/>
    <w:rsid w:val="0032182C"/>
    <w:rsid w:val="003219FE"/>
    <w:rsid w:val="00321B26"/>
    <w:rsid w:val="00322F20"/>
    <w:rsid w:val="003230C0"/>
    <w:rsid w:val="0032374D"/>
    <w:rsid w:val="0032480F"/>
    <w:rsid w:val="00325D2C"/>
    <w:rsid w:val="00325E69"/>
    <w:rsid w:val="00325F07"/>
    <w:rsid w:val="00326F6F"/>
    <w:rsid w:val="00327F7B"/>
    <w:rsid w:val="0033051C"/>
    <w:rsid w:val="00330679"/>
    <w:rsid w:val="003311EB"/>
    <w:rsid w:val="00331961"/>
    <w:rsid w:val="00331A42"/>
    <w:rsid w:val="00331F99"/>
    <w:rsid w:val="003322E1"/>
    <w:rsid w:val="00334FC5"/>
    <w:rsid w:val="00335AF8"/>
    <w:rsid w:val="00336467"/>
    <w:rsid w:val="003365CF"/>
    <w:rsid w:val="00337011"/>
    <w:rsid w:val="00337D64"/>
    <w:rsid w:val="00340CFE"/>
    <w:rsid w:val="003417BD"/>
    <w:rsid w:val="0034228D"/>
    <w:rsid w:val="003426A6"/>
    <w:rsid w:val="00343B90"/>
    <w:rsid w:val="00345272"/>
    <w:rsid w:val="00345C9D"/>
    <w:rsid w:val="00346BBB"/>
    <w:rsid w:val="00350B1F"/>
    <w:rsid w:val="00350D05"/>
    <w:rsid w:val="00350F90"/>
    <w:rsid w:val="00351092"/>
    <w:rsid w:val="00352556"/>
    <w:rsid w:val="003534A0"/>
    <w:rsid w:val="003540C3"/>
    <w:rsid w:val="00354746"/>
    <w:rsid w:val="00354B6E"/>
    <w:rsid w:val="00354BE7"/>
    <w:rsid w:val="00355044"/>
    <w:rsid w:val="0035580E"/>
    <w:rsid w:val="0035663B"/>
    <w:rsid w:val="00356873"/>
    <w:rsid w:val="00356F78"/>
    <w:rsid w:val="003573E9"/>
    <w:rsid w:val="00357D44"/>
    <w:rsid w:val="00357FF5"/>
    <w:rsid w:val="003604CA"/>
    <w:rsid w:val="00361AD4"/>
    <w:rsid w:val="003626C1"/>
    <w:rsid w:val="003636E0"/>
    <w:rsid w:val="00363AE0"/>
    <w:rsid w:val="00363C1E"/>
    <w:rsid w:val="00364503"/>
    <w:rsid w:val="00365CDD"/>
    <w:rsid w:val="00365ECC"/>
    <w:rsid w:val="0036647F"/>
    <w:rsid w:val="00366F49"/>
    <w:rsid w:val="003672FA"/>
    <w:rsid w:val="0036780D"/>
    <w:rsid w:val="00367B6A"/>
    <w:rsid w:val="0037064A"/>
    <w:rsid w:val="003707F5"/>
    <w:rsid w:val="003711D8"/>
    <w:rsid w:val="003728D5"/>
    <w:rsid w:val="00374A34"/>
    <w:rsid w:val="003758DF"/>
    <w:rsid w:val="00376AAA"/>
    <w:rsid w:val="00376B0A"/>
    <w:rsid w:val="003771E3"/>
    <w:rsid w:val="003775A1"/>
    <w:rsid w:val="00377BA9"/>
    <w:rsid w:val="00380E90"/>
    <w:rsid w:val="00381192"/>
    <w:rsid w:val="00381305"/>
    <w:rsid w:val="003820EF"/>
    <w:rsid w:val="00382E99"/>
    <w:rsid w:val="00383182"/>
    <w:rsid w:val="003831CA"/>
    <w:rsid w:val="003831DD"/>
    <w:rsid w:val="00385E17"/>
    <w:rsid w:val="00386ED6"/>
    <w:rsid w:val="00386FEE"/>
    <w:rsid w:val="00387F43"/>
    <w:rsid w:val="00390B73"/>
    <w:rsid w:val="00392A6C"/>
    <w:rsid w:val="0039368A"/>
    <w:rsid w:val="00393E44"/>
    <w:rsid w:val="00394702"/>
    <w:rsid w:val="003952AB"/>
    <w:rsid w:val="00396023"/>
    <w:rsid w:val="0039651E"/>
    <w:rsid w:val="00396570"/>
    <w:rsid w:val="003972AE"/>
    <w:rsid w:val="0039793F"/>
    <w:rsid w:val="00397C1A"/>
    <w:rsid w:val="00397CFD"/>
    <w:rsid w:val="003A0032"/>
    <w:rsid w:val="003A4745"/>
    <w:rsid w:val="003A57A9"/>
    <w:rsid w:val="003A5B5B"/>
    <w:rsid w:val="003A6199"/>
    <w:rsid w:val="003A631F"/>
    <w:rsid w:val="003A6738"/>
    <w:rsid w:val="003A7CC7"/>
    <w:rsid w:val="003B1CEC"/>
    <w:rsid w:val="003B1D8F"/>
    <w:rsid w:val="003B206F"/>
    <w:rsid w:val="003B3A19"/>
    <w:rsid w:val="003B45C6"/>
    <w:rsid w:val="003B4901"/>
    <w:rsid w:val="003B4A40"/>
    <w:rsid w:val="003B5668"/>
    <w:rsid w:val="003B584E"/>
    <w:rsid w:val="003B6140"/>
    <w:rsid w:val="003B6B4B"/>
    <w:rsid w:val="003B6D11"/>
    <w:rsid w:val="003B731B"/>
    <w:rsid w:val="003C0724"/>
    <w:rsid w:val="003C121F"/>
    <w:rsid w:val="003C28AA"/>
    <w:rsid w:val="003C30F1"/>
    <w:rsid w:val="003C3921"/>
    <w:rsid w:val="003C466D"/>
    <w:rsid w:val="003C4988"/>
    <w:rsid w:val="003C5188"/>
    <w:rsid w:val="003C5ADC"/>
    <w:rsid w:val="003D0B04"/>
    <w:rsid w:val="003D1A0D"/>
    <w:rsid w:val="003D2CBB"/>
    <w:rsid w:val="003D2D89"/>
    <w:rsid w:val="003D3EC5"/>
    <w:rsid w:val="003D405D"/>
    <w:rsid w:val="003D49E9"/>
    <w:rsid w:val="003D4A02"/>
    <w:rsid w:val="003D4EF9"/>
    <w:rsid w:val="003D7952"/>
    <w:rsid w:val="003D7AB4"/>
    <w:rsid w:val="003E03AA"/>
    <w:rsid w:val="003E10E6"/>
    <w:rsid w:val="003E1359"/>
    <w:rsid w:val="003E14F0"/>
    <w:rsid w:val="003E2048"/>
    <w:rsid w:val="003E2626"/>
    <w:rsid w:val="003E2715"/>
    <w:rsid w:val="003E3199"/>
    <w:rsid w:val="003E4025"/>
    <w:rsid w:val="003E5834"/>
    <w:rsid w:val="003E592D"/>
    <w:rsid w:val="003E5AD0"/>
    <w:rsid w:val="003E627C"/>
    <w:rsid w:val="003E64D3"/>
    <w:rsid w:val="003E681F"/>
    <w:rsid w:val="003E6F78"/>
    <w:rsid w:val="003F0F6C"/>
    <w:rsid w:val="003F1E77"/>
    <w:rsid w:val="003F29D2"/>
    <w:rsid w:val="003F31B3"/>
    <w:rsid w:val="003F38E8"/>
    <w:rsid w:val="003F3E88"/>
    <w:rsid w:val="003F4131"/>
    <w:rsid w:val="003F41CE"/>
    <w:rsid w:val="003F5E4E"/>
    <w:rsid w:val="003F60DB"/>
    <w:rsid w:val="003F614F"/>
    <w:rsid w:val="003F62B1"/>
    <w:rsid w:val="003F7408"/>
    <w:rsid w:val="003F7A6F"/>
    <w:rsid w:val="004007A6"/>
    <w:rsid w:val="00402AF4"/>
    <w:rsid w:val="0040445B"/>
    <w:rsid w:val="004065D7"/>
    <w:rsid w:val="00406627"/>
    <w:rsid w:val="00406B76"/>
    <w:rsid w:val="00406BB1"/>
    <w:rsid w:val="00406D2F"/>
    <w:rsid w:val="00406E8E"/>
    <w:rsid w:val="00407079"/>
    <w:rsid w:val="00407AC3"/>
    <w:rsid w:val="004100B3"/>
    <w:rsid w:val="00410355"/>
    <w:rsid w:val="0041072A"/>
    <w:rsid w:val="004107BC"/>
    <w:rsid w:val="00410973"/>
    <w:rsid w:val="00411646"/>
    <w:rsid w:val="0041173F"/>
    <w:rsid w:val="00411877"/>
    <w:rsid w:val="00412309"/>
    <w:rsid w:val="0041238D"/>
    <w:rsid w:val="0041292A"/>
    <w:rsid w:val="004129EE"/>
    <w:rsid w:val="00412AD8"/>
    <w:rsid w:val="004130AA"/>
    <w:rsid w:val="00413563"/>
    <w:rsid w:val="00413F10"/>
    <w:rsid w:val="00414ACA"/>
    <w:rsid w:val="00415349"/>
    <w:rsid w:val="004158F1"/>
    <w:rsid w:val="00416A04"/>
    <w:rsid w:val="00416E8A"/>
    <w:rsid w:val="00417250"/>
    <w:rsid w:val="0041749C"/>
    <w:rsid w:val="00417552"/>
    <w:rsid w:val="0042024C"/>
    <w:rsid w:val="004203DF"/>
    <w:rsid w:val="00420800"/>
    <w:rsid w:val="0042151C"/>
    <w:rsid w:val="0042305C"/>
    <w:rsid w:val="00425D47"/>
    <w:rsid w:val="00426C6D"/>
    <w:rsid w:val="00427030"/>
    <w:rsid w:val="00427399"/>
    <w:rsid w:val="004300C5"/>
    <w:rsid w:val="004310D3"/>
    <w:rsid w:val="0043489B"/>
    <w:rsid w:val="00435573"/>
    <w:rsid w:val="00435645"/>
    <w:rsid w:val="004367E8"/>
    <w:rsid w:val="00437D1F"/>
    <w:rsid w:val="0044084A"/>
    <w:rsid w:val="00440DD5"/>
    <w:rsid w:val="00442046"/>
    <w:rsid w:val="00442914"/>
    <w:rsid w:val="00442F3D"/>
    <w:rsid w:val="0044358B"/>
    <w:rsid w:val="004436DD"/>
    <w:rsid w:val="004438C7"/>
    <w:rsid w:val="00443913"/>
    <w:rsid w:val="00443ED7"/>
    <w:rsid w:val="00445BB3"/>
    <w:rsid w:val="00445F36"/>
    <w:rsid w:val="004463A4"/>
    <w:rsid w:val="004503F1"/>
    <w:rsid w:val="00451893"/>
    <w:rsid w:val="004519B5"/>
    <w:rsid w:val="00451F90"/>
    <w:rsid w:val="004531F5"/>
    <w:rsid w:val="00453C62"/>
    <w:rsid w:val="0045427F"/>
    <w:rsid w:val="004550A2"/>
    <w:rsid w:val="0045554D"/>
    <w:rsid w:val="00455B6B"/>
    <w:rsid w:val="00456158"/>
    <w:rsid w:val="00456F4E"/>
    <w:rsid w:val="00460505"/>
    <w:rsid w:val="00461C0D"/>
    <w:rsid w:val="00462733"/>
    <w:rsid w:val="00464768"/>
    <w:rsid w:val="00464AA7"/>
    <w:rsid w:val="00464E7B"/>
    <w:rsid w:val="004659EF"/>
    <w:rsid w:val="00466CC0"/>
    <w:rsid w:val="0046787F"/>
    <w:rsid w:val="00467C99"/>
    <w:rsid w:val="00467E17"/>
    <w:rsid w:val="00470A44"/>
    <w:rsid w:val="00471DC1"/>
    <w:rsid w:val="00471FD1"/>
    <w:rsid w:val="004729F8"/>
    <w:rsid w:val="00473EE5"/>
    <w:rsid w:val="004740CB"/>
    <w:rsid w:val="00474100"/>
    <w:rsid w:val="004745A8"/>
    <w:rsid w:val="004758F7"/>
    <w:rsid w:val="00476AE8"/>
    <w:rsid w:val="00477900"/>
    <w:rsid w:val="00480B65"/>
    <w:rsid w:val="00481490"/>
    <w:rsid w:val="00481C41"/>
    <w:rsid w:val="00484CCF"/>
    <w:rsid w:val="00485A30"/>
    <w:rsid w:val="0048625E"/>
    <w:rsid w:val="00486C87"/>
    <w:rsid w:val="00486D4B"/>
    <w:rsid w:val="00486EDA"/>
    <w:rsid w:val="00486F08"/>
    <w:rsid w:val="00487B38"/>
    <w:rsid w:val="00487C69"/>
    <w:rsid w:val="0049094D"/>
    <w:rsid w:val="00491E62"/>
    <w:rsid w:val="00491EF8"/>
    <w:rsid w:val="004926B9"/>
    <w:rsid w:val="00492996"/>
    <w:rsid w:val="004940DF"/>
    <w:rsid w:val="00494CD6"/>
    <w:rsid w:val="00495076"/>
    <w:rsid w:val="00495354"/>
    <w:rsid w:val="004958CA"/>
    <w:rsid w:val="00496D3E"/>
    <w:rsid w:val="004970D2"/>
    <w:rsid w:val="004A0578"/>
    <w:rsid w:val="004A0D76"/>
    <w:rsid w:val="004A190C"/>
    <w:rsid w:val="004A1D78"/>
    <w:rsid w:val="004A67FD"/>
    <w:rsid w:val="004A6810"/>
    <w:rsid w:val="004A6EA3"/>
    <w:rsid w:val="004A79DE"/>
    <w:rsid w:val="004A7FFE"/>
    <w:rsid w:val="004B0422"/>
    <w:rsid w:val="004B0B0D"/>
    <w:rsid w:val="004B2F16"/>
    <w:rsid w:val="004B32AB"/>
    <w:rsid w:val="004B36F8"/>
    <w:rsid w:val="004B3D62"/>
    <w:rsid w:val="004B4A39"/>
    <w:rsid w:val="004B5BAE"/>
    <w:rsid w:val="004B6A94"/>
    <w:rsid w:val="004B7130"/>
    <w:rsid w:val="004B7D2E"/>
    <w:rsid w:val="004C116E"/>
    <w:rsid w:val="004C1A61"/>
    <w:rsid w:val="004C2070"/>
    <w:rsid w:val="004C3E2A"/>
    <w:rsid w:val="004C400E"/>
    <w:rsid w:val="004C49E4"/>
    <w:rsid w:val="004C4F0C"/>
    <w:rsid w:val="004C5AD0"/>
    <w:rsid w:val="004C68DB"/>
    <w:rsid w:val="004C6C4E"/>
    <w:rsid w:val="004C6C8C"/>
    <w:rsid w:val="004D0B9C"/>
    <w:rsid w:val="004D0F4C"/>
    <w:rsid w:val="004D1036"/>
    <w:rsid w:val="004D1F80"/>
    <w:rsid w:val="004D242C"/>
    <w:rsid w:val="004D26EE"/>
    <w:rsid w:val="004D32C1"/>
    <w:rsid w:val="004D4483"/>
    <w:rsid w:val="004D5D06"/>
    <w:rsid w:val="004D5F3E"/>
    <w:rsid w:val="004D66F3"/>
    <w:rsid w:val="004D709D"/>
    <w:rsid w:val="004D7FB7"/>
    <w:rsid w:val="004E03BC"/>
    <w:rsid w:val="004E2002"/>
    <w:rsid w:val="004E3107"/>
    <w:rsid w:val="004E502D"/>
    <w:rsid w:val="004E51CB"/>
    <w:rsid w:val="004E65EE"/>
    <w:rsid w:val="004E6AE1"/>
    <w:rsid w:val="004F0BD1"/>
    <w:rsid w:val="004F218B"/>
    <w:rsid w:val="004F24AC"/>
    <w:rsid w:val="004F32CD"/>
    <w:rsid w:val="004F39E2"/>
    <w:rsid w:val="004F6761"/>
    <w:rsid w:val="00500D51"/>
    <w:rsid w:val="00501B77"/>
    <w:rsid w:val="00502043"/>
    <w:rsid w:val="005024A3"/>
    <w:rsid w:val="00502F3E"/>
    <w:rsid w:val="005046FB"/>
    <w:rsid w:val="005048F5"/>
    <w:rsid w:val="00504F94"/>
    <w:rsid w:val="00505F67"/>
    <w:rsid w:val="00506BA8"/>
    <w:rsid w:val="00506CA7"/>
    <w:rsid w:val="005101D7"/>
    <w:rsid w:val="0051070E"/>
    <w:rsid w:val="00514EC9"/>
    <w:rsid w:val="00516777"/>
    <w:rsid w:val="0051720C"/>
    <w:rsid w:val="005175A6"/>
    <w:rsid w:val="0052100F"/>
    <w:rsid w:val="00521DCF"/>
    <w:rsid w:val="00522DD2"/>
    <w:rsid w:val="00523DF2"/>
    <w:rsid w:val="00525EC9"/>
    <w:rsid w:val="005308C9"/>
    <w:rsid w:val="0053259B"/>
    <w:rsid w:val="00532A19"/>
    <w:rsid w:val="00532FB0"/>
    <w:rsid w:val="005334E2"/>
    <w:rsid w:val="0053388A"/>
    <w:rsid w:val="00533F98"/>
    <w:rsid w:val="00534125"/>
    <w:rsid w:val="00534F28"/>
    <w:rsid w:val="00535738"/>
    <w:rsid w:val="005379E0"/>
    <w:rsid w:val="00540050"/>
    <w:rsid w:val="0054178A"/>
    <w:rsid w:val="00541A2B"/>
    <w:rsid w:val="005422CC"/>
    <w:rsid w:val="00542782"/>
    <w:rsid w:val="005431D0"/>
    <w:rsid w:val="00544370"/>
    <w:rsid w:val="00545E8E"/>
    <w:rsid w:val="00546A83"/>
    <w:rsid w:val="005472A3"/>
    <w:rsid w:val="00547BC6"/>
    <w:rsid w:val="00551F59"/>
    <w:rsid w:val="00552A39"/>
    <w:rsid w:val="00554DA9"/>
    <w:rsid w:val="005554CA"/>
    <w:rsid w:val="0055579A"/>
    <w:rsid w:val="00555B6B"/>
    <w:rsid w:val="00555E6D"/>
    <w:rsid w:val="005563F4"/>
    <w:rsid w:val="005565E1"/>
    <w:rsid w:val="00556A5C"/>
    <w:rsid w:val="0056009B"/>
    <w:rsid w:val="00560DE4"/>
    <w:rsid w:val="005610F0"/>
    <w:rsid w:val="00561746"/>
    <w:rsid w:val="00562672"/>
    <w:rsid w:val="00562C41"/>
    <w:rsid w:val="005632E6"/>
    <w:rsid w:val="00564234"/>
    <w:rsid w:val="0056671F"/>
    <w:rsid w:val="00566AC8"/>
    <w:rsid w:val="00566F42"/>
    <w:rsid w:val="005675D7"/>
    <w:rsid w:val="0057085A"/>
    <w:rsid w:val="00572601"/>
    <w:rsid w:val="0057338A"/>
    <w:rsid w:val="00573400"/>
    <w:rsid w:val="005744CE"/>
    <w:rsid w:val="0057563A"/>
    <w:rsid w:val="00576849"/>
    <w:rsid w:val="00576D9C"/>
    <w:rsid w:val="005775ED"/>
    <w:rsid w:val="00577714"/>
    <w:rsid w:val="00577C1D"/>
    <w:rsid w:val="005800BE"/>
    <w:rsid w:val="005819AA"/>
    <w:rsid w:val="005825CE"/>
    <w:rsid w:val="005831A8"/>
    <w:rsid w:val="005834A5"/>
    <w:rsid w:val="00585CD6"/>
    <w:rsid w:val="00585F60"/>
    <w:rsid w:val="00585FFA"/>
    <w:rsid w:val="00587A96"/>
    <w:rsid w:val="00587CA5"/>
    <w:rsid w:val="005904C3"/>
    <w:rsid w:val="0059109D"/>
    <w:rsid w:val="00591EA9"/>
    <w:rsid w:val="00592027"/>
    <w:rsid w:val="0059256C"/>
    <w:rsid w:val="00592ED0"/>
    <w:rsid w:val="00593CB4"/>
    <w:rsid w:val="005941EC"/>
    <w:rsid w:val="005943D2"/>
    <w:rsid w:val="0059664D"/>
    <w:rsid w:val="00596B02"/>
    <w:rsid w:val="00597667"/>
    <w:rsid w:val="00597E84"/>
    <w:rsid w:val="005A0541"/>
    <w:rsid w:val="005A0E2B"/>
    <w:rsid w:val="005A1997"/>
    <w:rsid w:val="005A1B2F"/>
    <w:rsid w:val="005A1BA4"/>
    <w:rsid w:val="005A1FD6"/>
    <w:rsid w:val="005A262C"/>
    <w:rsid w:val="005A29DE"/>
    <w:rsid w:val="005A2A7C"/>
    <w:rsid w:val="005A2C37"/>
    <w:rsid w:val="005A4069"/>
    <w:rsid w:val="005A4FB8"/>
    <w:rsid w:val="005A53C3"/>
    <w:rsid w:val="005A5764"/>
    <w:rsid w:val="005A6931"/>
    <w:rsid w:val="005A6A3E"/>
    <w:rsid w:val="005A7601"/>
    <w:rsid w:val="005B01CE"/>
    <w:rsid w:val="005B04D4"/>
    <w:rsid w:val="005B2D2C"/>
    <w:rsid w:val="005B381B"/>
    <w:rsid w:val="005B3B94"/>
    <w:rsid w:val="005B3FE9"/>
    <w:rsid w:val="005B4944"/>
    <w:rsid w:val="005B5748"/>
    <w:rsid w:val="005B6ECF"/>
    <w:rsid w:val="005B7574"/>
    <w:rsid w:val="005C0AFF"/>
    <w:rsid w:val="005C2183"/>
    <w:rsid w:val="005C22C1"/>
    <w:rsid w:val="005C4471"/>
    <w:rsid w:val="005C44CC"/>
    <w:rsid w:val="005C4666"/>
    <w:rsid w:val="005C5144"/>
    <w:rsid w:val="005C5695"/>
    <w:rsid w:val="005C658B"/>
    <w:rsid w:val="005C6DE3"/>
    <w:rsid w:val="005D36F0"/>
    <w:rsid w:val="005D47BD"/>
    <w:rsid w:val="005D5035"/>
    <w:rsid w:val="005D5061"/>
    <w:rsid w:val="005D540B"/>
    <w:rsid w:val="005D598D"/>
    <w:rsid w:val="005D687B"/>
    <w:rsid w:val="005D6EA2"/>
    <w:rsid w:val="005D70CC"/>
    <w:rsid w:val="005D7D03"/>
    <w:rsid w:val="005E14A3"/>
    <w:rsid w:val="005E1E1E"/>
    <w:rsid w:val="005E1E87"/>
    <w:rsid w:val="005E1F59"/>
    <w:rsid w:val="005E22D9"/>
    <w:rsid w:val="005E3642"/>
    <w:rsid w:val="005E4839"/>
    <w:rsid w:val="005E4C7E"/>
    <w:rsid w:val="005E4FB8"/>
    <w:rsid w:val="005F0675"/>
    <w:rsid w:val="005F15AA"/>
    <w:rsid w:val="005F2805"/>
    <w:rsid w:val="005F53CE"/>
    <w:rsid w:val="005F5F9D"/>
    <w:rsid w:val="005F6F83"/>
    <w:rsid w:val="005F703C"/>
    <w:rsid w:val="005F7E20"/>
    <w:rsid w:val="0060004B"/>
    <w:rsid w:val="00600979"/>
    <w:rsid w:val="00601EC8"/>
    <w:rsid w:val="00602947"/>
    <w:rsid w:val="0060346E"/>
    <w:rsid w:val="00603F08"/>
    <w:rsid w:val="00604345"/>
    <w:rsid w:val="00605913"/>
    <w:rsid w:val="00610538"/>
    <w:rsid w:val="0061070B"/>
    <w:rsid w:val="0061117F"/>
    <w:rsid w:val="00611DE4"/>
    <w:rsid w:val="00612CCC"/>
    <w:rsid w:val="00613A3D"/>
    <w:rsid w:val="00614B0F"/>
    <w:rsid w:val="006157E9"/>
    <w:rsid w:val="0061795C"/>
    <w:rsid w:val="006213CD"/>
    <w:rsid w:val="0062199A"/>
    <w:rsid w:val="00621F6E"/>
    <w:rsid w:val="006220AD"/>
    <w:rsid w:val="00622547"/>
    <w:rsid w:val="006225CA"/>
    <w:rsid w:val="006243D7"/>
    <w:rsid w:val="00624695"/>
    <w:rsid w:val="00624DA9"/>
    <w:rsid w:val="00625420"/>
    <w:rsid w:val="006254F0"/>
    <w:rsid w:val="006257AA"/>
    <w:rsid w:val="006257E6"/>
    <w:rsid w:val="00626155"/>
    <w:rsid w:val="00626A7B"/>
    <w:rsid w:val="00626E29"/>
    <w:rsid w:val="0063034D"/>
    <w:rsid w:val="00630E82"/>
    <w:rsid w:val="0063134A"/>
    <w:rsid w:val="00631E37"/>
    <w:rsid w:val="00631F49"/>
    <w:rsid w:val="00631FFF"/>
    <w:rsid w:val="006320EC"/>
    <w:rsid w:val="006327EF"/>
    <w:rsid w:val="006328A5"/>
    <w:rsid w:val="00633590"/>
    <w:rsid w:val="00634620"/>
    <w:rsid w:val="00634AB7"/>
    <w:rsid w:val="00635267"/>
    <w:rsid w:val="00636AC8"/>
    <w:rsid w:val="0063729B"/>
    <w:rsid w:val="00640B1E"/>
    <w:rsid w:val="00641691"/>
    <w:rsid w:val="00642D00"/>
    <w:rsid w:val="0064344B"/>
    <w:rsid w:val="00644071"/>
    <w:rsid w:val="006441F7"/>
    <w:rsid w:val="006441FD"/>
    <w:rsid w:val="0064431C"/>
    <w:rsid w:val="00644A9E"/>
    <w:rsid w:val="00645EFA"/>
    <w:rsid w:val="00646CFF"/>
    <w:rsid w:val="0064770A"/>
    <w:rsid w:val="00647746"/>
    <w:rsid w:val="00650CC1"/>
    <w:rsid w:val="00651362"/>
    <w:rsid w:val="006524D5"/>
    <w:rsid w:val="006527AC"/>
    <w:rsid w:val="006533A7"/>
    <w:rsid w:val="00654B71"/>
    <w:rsid w:val="006552DD"/>
    <w:rsid w:val="00660343"/>
    <w:rsid w:val="00662735"/>
    <w:rsid w:val="00664575"/>
    <w:rsid w:val="00664B42"/>
    <w:rsid w:val="00664FCA"/>
    <w:rsid w:val="00665577"/>
    <w:rsid w:val="006656DE"/>
    <w:rsid w:val="006659BB"/>
    <w:rsid w:val="006659E1"/>
    <w:rsid w:val="0066768C"/>
    <w:rsid w:val="0067049D"/>
    <w:rsid w:val="0067073E"/>
    <w:rsid w:val="00672388"/>
    <w:rsid w:val="00672CA8"/>
    <w:rsid w:val="006741A1"/>
    <w:rsid w:val="0067517D"/>
    <w:rsid w:val="006756E5"/>
    <w:rsid w:val="006763AE"/>
    <w:rsid w:val="00682472"/>
    <w:rsid w:val="006824B7"/>
    <w:rsid w:val="006827A1"/>
    <w:rsid w:val="0068357C"/>
    <w:rsid w:val="00683973"/>
    <w:rsid w:val="00684A4C"/>
    <w:rsid w:val="006877AB"/>
    <w:rsid w:val="00687A09"/>
    <w:rsid w:val="00687FA4"/>
    <w:rsid w:val="006902A9"/>
    <w:rsid w:val="00690CCA"/>
    <w:rsid w:val="006938FF"/>
    <w:rsid w:val="006944D8"/>
    <w:rsid w:val="0069491D"/>
    <w:rsid w:val="0069516F"/>
    <w:rsid w:val="006958DC"/>
    <w:rsid w:val="00696C3D"/>
    <w:rsid w:val="006A0288"/>
    <w:rsid w:val="006A075B"/>
    <w:rsid w:val="006A0898"/>
    <w:rsid w:val="006A0C9E"/>
    <w:rsid w:val="006A14F5"/>
    <w:rsid w:val="006A25EC"/>
    <w:rsid w:val="006A322B"/>
    <w:rsid w:val="006A34D4"/>
    <w:rsid w:val="006A4611"/>
    <w:rsid w:val="006A48CB"/>
    <w:rsid w:val="006A4B28"/>
    <w:rsid w:val="006A6115"/>
    <w:rsid w:val="006A6D93"/>
    <w:rsid w:val="006A77BD"/>
    <w:rsid w:val="006B0000"/>
    <w:rsid w:val="006B108C"/>
    <w:rsid w:val="006B1435"/>
    <w:rsid w:val="006B2533"/>
    <w:rsid w:val="006B28A7"/>
    <w:rsid w:val="006B33DF"/>
    <w:rsid w:val="006B464A"/>
    <w:rsid w:val="006B49F9"/>
    <w:rsid w:val="006B50EB"/>
    <w:rsid w:val="006B51B3"/>
    <w:rsid w:val="006B5D28"/>
    <w:rsid w:val="006B6D36"/>
    <w:rsid w:val="006C02E6"/>
    <w:rsid w:val="006C0EE8"/>
    <w:rsid w:val="006C108E"/>
    <w:rsid w:val="006C1C64"/>
    <w:rsid w:val="006C3125"/>
    <w:rsid w:val="006C33D9"/>
    <w:rsid w:val="006C4C48"/>
    <w:rsid w:val="006C5B22"/>
    <w:rsid w:val="006C6B69"/>
    <w:rsid w:val="006C7B50"/>
    <w:rsid w:val="006C7BBC"/>
    <w:rsid w:val="006D0896"/>
    <w:rsid w:val="006D241E"/>
    <w:rsid w:val="006D24E5"/>
    <w:rsid w:val="006D25E4"/>
    <w:rsid w:val="006D5C9D"/>
    <w:rsid w:val="006D5DC4"/>
    <w:rsid w:val="006D609E"/>
    <w:rsid w:val="006D67F7"/>
    <w:rsid w:val="006D7D31"/>
    <w:rsid w:val="006E0D4E"/>
    <w:rsid w:val="006E0F97"/>
    <w:rsid w:val="006E15B0"/>
    <w:rsid w:val="006E2224"/>
    <w:rsid w:val="006E2F67"/>
    <w:rsid w:val="006E4785"/>
    <w:rsid w:val="006E4A3B"/>
    <w:rsid w:val="006E5892"/>
    <w:rsid w:val="006E5C78"/>
    <w:rsid w:val="006E5DF4"/>
    <w:rsid w:val="006E620A"/>
    <w:rsid w:val="006E664C"/>
    <w:rsid w:val="006E715A"/>
    <w:rsid w:val="006F039F"/>
    <w:rsid w:val="006F0BC2"/>
    <w:rsid w:val="006F0E8A"/>
    <w:rsid w:val="006F3AF9"/>
    <w:rsid w:val="006F450B"/>
    <w:rsid w:val="006F482B"/>
    <w:rsid w:val="006F4A38"/>
    <w:rsid w:val="006F4FA1"/>
    <w:rsid w:val="006F51B5"/>
    <w:rsid w:val="006F5A63"/>
    <w:rsid w:val="006F5BD1"/>
    <w:rsid w:val="006F6194"/>
    <w:rsid w:val="006F6FF8"/>
    <w:rsid w:val="00700C3D"/>
    <w:rsid w:val="007029AF"/>
    <w:rsid w:val="007041EE"/>
    <w:rsid w:val="00706571"/>
    <w:rsid w:val="00706BBB"/>
    <w:rsid w:val="00707FEA"/>
    <w:rsid w:val="0071006B"/>
    <w:rsid w:val="007105D1"/>
    <w:rsid w:val="00710786"/>
    <w:rsid w:val="007115FE"/>
    <w:rsid w:val="00711DB2"/>
    <w:rsid w:val="00712415"/>
    <w:rsid w:val="0071345A"/>
    <w:rsid w:val="007138A1"/>
    <w:rsid w:val="0071597E"/>
    <w:rsid w:val="007171F7"/>
    <w:rsid w:val="00717432"/>
    <w:rsid w:val="0072062D"/>
    <w:rsid w:val="00723E08"/>
    <w:rsid w:val="007241D3"/>
    <w:rsid w:val="007250B5"/>
    <w:rsid w:val="00725539"/>
    <w:rsid w:val="00725B14"/>
    <w:rsid w:val="00725C6B"/>
    <w:rsid w:val="00725D27"/>
    <w:rsid w:val="007308B9"/>
    <w:rsid w:val="00732646"/>
    <w:rsid w:val="0073299B"/>
    <w:rsid w:val="00732D19"/>
    <w:rsid w:val="007332E1"/>
    <w:rsid w:val="00733503"/>
    <w:rsid w:val="0073396D"/>
    <w:rsid w:val="007344AC"/>
    <w:rsid w:val="007349A3"/>
    <w:rsid w:val="00734E81"/>
    <w:rsid w:val="007350EB"/>
    <w:rsid w:val="00736EC8"/>
    <w:rsid w:val="00737927"/>
    <w:rsid w:val="007407F5"/>
    <w:rsid w:val="00741E59"/>
    <w:rsid w:val="0074214D"/>
    <w:rsid w:val="007432C9"/>
    <w:rsid w:val="00745AE8"/>
    <w:rsid w:val="007515AD"/>
    <w:rsid w:val="00751AD2"/>
    <w:rsid w:val="007521E8"/>
    <w:rsid w:val="00753685"/>
    <w:rsid w:val="00753EE8"/>
    <w:rsid w:val="00754E34"/>
    <w:rsid w:val="00754E55"/>
    <w:rsid w:val="00754FE3"/>
    <w:rsid w:val="007567DD"/>
    <w:rsid w:val="0075726D"/>
    <w:rsid w:val="0075738D"/>
    <w:rsid w:val="007576B9"/>
    <w:rsid w:val="00762F9A"/>
    <w:rsid w:val="00763161"/>
    <w:rsid w:val="00763169"/>
    <w:rsid w:val="00764182"/>
    <w:rsid w:val="00764475"/>
    <w:rsid w:val="00764686"/>
    <w:rsid w:val="00764816"/>
    <w:rsid w:val="00764B67"/>
    <w:rsid w:val="00765472"/>
    <w:rsid w:val="0076661A"/>
    <w:rsid w:val="00766FF6"/>
    <w:rsid w:val="00767CCA"/>
    <w:rsid w:val="00770240"/>
    <w:rsid w:val="007708BE"/>
    <w:rsid w:val="00771578"/>
    <w:rsid w:val="00771C2C"/>
    <w:rsid w:val="00772336"/>
    <w:rsid w:val="007731C8"/>
    <w:rsid w:val="0077412C"/>
    <w:rsid w:val="00775D01"/>
    <w:rsid w:val="00775E3D"/>
    <w:rsid w:val="00776476"/>
    <w:rsid w:val="00776505"/>
    <w:rsid w:val="007769BB"/>
    <w:rsid w:val="00777BE6"/>
    <w:rsid w:val="007803EC"/>
    <w:rsid w:val="00781197"/>
    <w:rsid w:val="00782013"/>
    <w:rsid w:val="00782636"/>
    <w:rsid w:val="00782C98"/>
    <w:rsid w:val="007859E6"/>
    <w:rsid w:val="007871BE"/>
    <w:rsid w:val="007902B8"/>
    <w:rsid w:val="00790416"/>
    <w:rsid w:val="00791534"/>
    <w:rsid w:val="007920D9"/>
    <w:rsid w:val="0079263C"/>
    <w:rsid w:val="007931A9"/>
    <w:rsid w:val="007934CF"/>
    <w:rsid w:val="00794E1A"/>
    <w:rsid w:val="00795A91"/>
    <w:rsid w:val="0079633C"/>
    <w:rsid w:val="007967D3"/>
    <w:rsid w:val="007A09FD"/>
    <w:rsid w:val="007A0F3F"/>
    <w:rsid w:val="007A1076"/>
    <w:rsid w:val="007A127E"/>
    <w:rsid w:val="007A131F"/>
    <w:rsid w:val="007A1593"/>
    <w:rsid w:val="007A2028"/>
    <w:rsid w:val="007A2048"/>
    <w:rsid w:val="007A3615"/>
    <w:rsid w:val="007A3CEE"/>
    <w:rsid w:val="007A4335"/>
    <w:rsid w:val="007A52A5"/>
    <w:rsid w:val="007A5927"/>
    <w:rsid w:val="007B00B0"/>
    <w:rsid w:val="007B0168"/>
    <w:rsid w:val="007B0AF6"/>
    <w:rsid w:val="007B0F3B"/>
    <w:rsid w:val="007B1672"/>
    <w:rsid w:val="007B17DF"/>
    <w:rsid w:val="007B1845"/>
    <w:rsid w:val="007B21A2"/>
    <w:rsid w:val="007B2526"/>
    <w:rsid w:val="007B2B94"/>
    <w:rsid w:val="007B335F"/>
    <w:rsid w:val="007B3F9F"/>
    <w:rsid w:val="007B4927"/>
    <w:rsid w:val="007B4CB8"/>
    <w:rsid w:val="007B4F0A"/>
    <w:rsid w:val="007B624D"/>
    <w:rsid w:val="007B7866"/>
    <w:rsid w:val="007C02F9"/>
    <w:rsid w:val="007C0304"/>
    <w:rsid w:val="007C14B8"/>
    <w:rsid w:val="007C44BC"/>
    <w:rsid w:val="007C4DBA"/>
    <w:rsid w:val="007C5513"/>
    <w:rsid w:val="007C615F"/>
    <w:rsid w:val="007C694B"/>
    <w:rsid w:val="007C76C7"/>
    <w:rsid w:val="007D0927"/>
    <w:rsid w:val="007D3AD7"/>
    <w:rsid w:val="007D46CF"/>
    <w:rsid w:val="007D63C1"/>
    <w:rsid w:val="007D63EA"/>
    <w:rsid w:val="007D7600"/>
    <w:rsid w:val="007E1A8C"/>
    <w:rsid w:val="007E1E6C"/>
    <w:rsid w:val="007E23F8"/>
    <w:rsid w:val="007E2DBA"/>
    <w:rsid w:val="007E4234"/>
    <w:rsid w:val="007E442B"/>
    <w:rsid w:val="007E5E0E"/>
    <w:rsid w:val="007E5E84"/>
    <w:rsid w:val="007E5FEC"/>
    <w:rsid w:val="007E6525"/>
    <w:rsid w:val="007E6FFD"/>
    <w:rsid w:val="007E7644"/>
    <w:rsid w:val="007E7D48"/>
    <w:rsid w:val="007F02C9"/>
    <w:rsid w:val="007F0CAE"/>
    <w:rsid w:val="007F43F9"/>
    <w:rsid w:val="007F5EF9"/>
    <w:rsid w:val="007F6223"/>
    <w:rsid w:val="007F65A2"/>
    <w:rsid w:val="007F7202"/>
    <w:rsid w:val="007F7A64"/>
    <w:rsid w:val="008001E1"/>
    <w:rsid w:val="00801705"/>
    <w:rsid w:val="008039DB"/>
    <w:rsid w:val="00804223"/>
    <w:rsid w:val="00804C9B"/>
    <w:rsid w:val="00806FFF"/>
    <w:rsid w:val="008073D7"/>
    <w:rsid w:val="008076A7"/>
    <w:rsid w:val="00807AA2"/>
    <w:rsid w:val="00810F4F"/>
    <w:rsid w:val="008117F5"/>
    <w:rsid w:val="0081253D"/>
    <w:rsid w:val="00812C1A"/>
    <w:rsid w:val="00812DB1"/>
    <w:rsid w:val="0081325E"/>
    <w:rsid w:val="00813268"/>
    <w:rsid w:val="008134B1"/>
    <w:rsid w:val="00814749"/>
    <w:rsid w:val="00814AC8"/>
    <w:rsid w:val="0081510E"/>
    <w:rsid w:val="008155A6"/>
    <w:rsid w:val="00816528"/>
    <w:rsid w:val="008202B8"/>
    <w:rsid w:val="00821550"/>
    <w:rsid w:val="0082157E"/>
    <w:rsid w:val="0082191A"/>
    <w:rsid w:val="00822A22"/>
    <w:rsid w:val="008231A6"/>
    <w:rsid w:val="008232CA"/>
    <w:rsid w:val="00823673"/>
    <w:rsid w:val="00824D0B"/>
    <w:rsid w:val="00824E25"/>
    <w:rsid w:val="008257E3"/>
    <w:rsid w:val="008265CA"/>
    <w:rsid w:val="00830A54"/>
    <w:rsid w:val="008311C9"/>
    <w:rsid w:val="00832350"/>
    <w:rsid w:val="00833F1D"/>
    <w:rsid w:val="00834666"/>
    <w:rsid w:val="008349F1"/>
    <w:rsid w:val="0083742E"/>
    <w:rsid w:val="0083785D"/>
    <w:rsid w:val="00840141"/>
    <w:rsid w:val="00840521"/>
    <w:rsid w:val="00840C7B"/>
    <w:rsid w:val="00841290"/>
    <w:rsid w:val="00844364"/>
    <w:rsid w:val="00844A80"/>
    <w:rsid w:val="00844DB1"/>
    <w:rsid w:val="00845237"/>
    <w:rsid w:val="008452AD"/>
    <w:rsid w:val="00845BD9"/>
    <w:rsid w:val="00846258"/>
    <w:rsid w:val="008507A4"/>
    <w:rsid w:val="00851240"/>
    <w:rsid w:val="008517B8"/>
    <w:rsid w:val="008529BA"/>
    <w:rsid w:val="00852B8B"/>
    <w:rsid w:val="00853FB7"/>
    <w:rsid w:val="0085428D"/>
    <w:rsid w:val="00854EA8"/>
    <w:rsid w:val="00855082"/>
    <w:rsid w:val="0085552B"/>
    <w:rsid w:val="0085613B"/>
    <w:rsid w:val="00856964"/>
    <w:rsid w:val="00857E4A"/>
    <w:rsid w:val="008614BB"/>
    <w:rsid w:val="008617A0"/>
    <w:rsid w:val="00862B6B"/>
    <w:rsid w:val="00863000"/>
    <w:rsid w:val="0086311E"/>
    <w:rsid w:val="00863FE8"/>
    <w:rsid w:val="00864548"/>
    <w:rsid w:val="00864A96"/>
    <w:rsid w:val="0086628F"/>
    <w:rsid w:val="00866416"/>
    <w:rsid w:val="00866EDD"/>
    <w:rsid w:val="00866F03"/>
    <w:rsid w:val="008715A3"/>
    <w:rsid w:val="00871AA2"/>
    <w:rsid w:val="00872310"/>
    <w:rsid w:val="00872D82"/>
    <w:rsid w:val="008750EC"/>
    <w:rsid w:val="00875736"/>
    <w:rsid w:val="00876BBB"/>
    <w:rsid w:val="00876F00"/>
    <w:rsid w:val="00876FB1"/>
    <w:rsid w:val="00877277"/>
    <w:rsid w:val="00877794"/>
    <w:rsid w:val="00877935"/>
    <w:rsid w:val="00877FDD"/>
    <w:rsid w:val="008802CC"/>
    <w:rsid w:val="008817C5"/>
    <w:rsid w:val="00882F82"/>
    <w:rsid w:val="00882FDD"/>
    <w:rsid w:val="0088460E"/>
    <w:rsid w:val="00885340"/>
    <w:rsid w:val="00886289"/>
    <w:rsid w:val="008868EE"/>
    <w:rsid w:val="008874FB"/>
    <w:rsid w:val="00891368"/>
    <w:rsid w:val="00892780"/>
    <w:rsid w:val="0089324C"/>
    <w:rsid w:val="00895CCC"/>
    <w:rsid w:val="0089667B"/>
    <w:rsid w:val="0089763F"/>
    <w:rsid w:val="008A5247"/>
    <w:rsid w:val="008A7561"/>
    <w:rsid w:val="008A7816"/>
    <w:rsid w:val="008A7A5D"/>
    <w:rsid w:val="008A7F1F"/>
    <w:rsid w:val="008B1BFF"/>
    <w:rsid w:val="008B2610"/>
    <w:rsid w:val="008B2848"/>
    <w:rsid w:val="008B4DA8"/>
    <w:rsid w:val="008B59C9"/>
    <w:rsid w:val="008B5A8F"/>
    <w:rsid w:val="008B5CBD"/>
    <w:rsid w:val="008B623D"/>
    <w:rsid w:val="008B6276"/>
    <w:rsid w:val="008B6520"/>
    <w:rsid w:val="008B6EAC"/>
    <w:rsid w:val="008B715E"/>
    <w:rsid w:val="008C11A8"/>
    <w:rsid w:val="008C15EA"/>
    <w:rsid w:val="008C33B8"/>
    <w:rsid w:val="008C36F5"/>
    <w:rsid w:val="008C3A60"/>
    <w:rsid w:val="008C4DC0"/>
    <w:rsid w:val="008C5243"/>
    <w:rsid w:val="008C586E"/>
    <w:rsid w:val="008C5B31"/>
    <w:rsid w:val="008C5F5A"/>
    <w:rsid w:val="008C6B63"/>
    <w:rsid w:val="008D1A50"/>
    <w:rsid w:val="008D3584"/>
    <w:rsid w:val="008D388D"/>
    <w:rsid w:val="008D4848"/>
    <w:rsid w:val="008D4A82"/>
    <w:rsid w:val="008D4B1A"/>
    <w:rsid w:val="008D5779"/>
    <w:rsid w:val="008D6C1D"/>
    <w:rsid w:val="008E00FC"/>
    <w:rsid w:val="008E0A6B"/>
    <w:rsid w:val="008E0C1A"/>
    <w:rsid w:val="008E2025"/>
    <w:rsid w:val="008E26A8"/>
    <w:rsid w:val="008E2E59"/>
    <w:rsid w:val="008E3A2E"/>
    <w:rsid w:val="008E4094"/>
    <w:rsid w:val="008E51A9"/>
    <w:rsid w:val="008E5771"/>
    <w:rsid w:val="008E6220"/>
    <w:rsid w:val="008E65E5"/>
    <w:rsid w:val="008E681F"/>
    <w:rsid w:val="008E7C6E"/>
    <w:rsid w:val="008E7DDB"/>
    <w:rsid w:val="008F086B"/>
    <w:rsid w:val="008F0B80"/>
    <w:rsid w:val="008F16DF"/>
    <w:rsid w:val="008F418E"/>
    <w:rsid w:val="008F6480"/>
    <w:rsid w:val="008F6D50"/>
    <w:rsid w:val="008F7248"/>
    <w:rsid w:val="009007DB"/>
    <w:rsid w:val="00900A2D"/>
    <w:rsid w:val="00900B00"/>
    <w:rsid w:val="00904460"/>
    <w:rsid w:val="009047AF"/>
    <w:rsid w:val="009077D4"/>
    <w:rsid w:val="00907B18"/>
    <w:rsid w:val="0091009F"/>
    <w:rsid w:val="009109D2"/>
    <w:rsid w:val="0091161C"/>
    <w:rsid w:val="009120C9"/>
    <w:rsid w:val="0091219C"/>
    <w:rsid w:val="0091271A"/>
    <w:rsid w:val="00913EF7"/>
    <w:rsid w:val="0091540E"/>
    <w:rsid w:val="00916956"/>
    <w:rsid w:val="00916D89"/>
    <w:rsid w:val="009200F5"/>
    <w:rsid w:val="00921CA5"/>
    <w:rsid w:val="009232A0"/>
    <w:rsid w:val="00923B22"/>
    <w:rsid w:val="00924E89"/>
    <w:rsid w:val="009252B6"/>
    <w:rsid w:val="00925C67"/>
    <w:rsid w:val="009300C5"/>
    <w:rsid w:val="009306B5"/>
    <w:rsid w:val="009314DF"/>
    <w:rsid w:val="00931975"/>
    <w:rsid w:val="00931F5E"/>
    <w:rsid w:val="009321A3"/>
    <w:rsid w:val="009322AC"/>
    <w:rsid w:val="00932D8F"/>
    <w:rsid w:val="009333C8"/>
    <w:rsid w:val="00933F63"/>
    <w:rsid w:val="00935501"/>
    <w:rsid w:val="0093595C"/>
    <w:rsid w:val="00936B9C"/>
    <w:rsid w:val="0093721E"/>
    <w:rsid w:val="00937A7C"/>
    <w:rsid w:val="00941061"/>
    <w:rsid w:val="009413E8"/>
    <w:rsid w:val="00941D16"/>
    <w:rsid w:val="00942219"/>
    <w:rsid w:val="009434FC"/>
    <w:rsid w:val="00943F82"/>
    <w:rsid w:val="009447D7"/>
    <w:rsid w:val="00944B35"/>
    <w:rsid w:val="009459C3"/>
    <w:rsid w:val="009466AF"/>
    <w:rsid w:val="009474E3"/>
    <w:rsid w:val="0094783D"/>
    <w:rsid w:val="00950BFB"/>
    <w:rsid w:val="009515DC"/>
    <w:rsid w:val="00951E21"/>
    <w:rsid w:val="00952DB7"/>
    <w:rsid w:val="009545F4"/>
    <w:rsid w:val="009547CD"/>
    <w:rsid w:val="009549FC"/>
    <w:rsid w:val="00954F27"/>
    <w:rsid w:val="00955352"/>
    <w:rsid w:val="00955416"/>
    <w:rsid w:val="00956393"/>
    <w:rsid w:val="00956671"/>
    <w:rsid w:val="0095750E"/>
    <w:rsid w:val="00960F16"/>
    <w:rsid w:val="009614F4"/>
    <w:rsid w:val="00961EA2"/>
    <w:rsid w:val="009636D2"/>
    <w:rsid w:val="00963C2A"/>
    <w:rsid w:val="00963F38"/>
    <w:rsid w:val="00964EFA"/>
    <w:rsid w:val="00967A02"/>
    <w:rsid w:val="009739B5"/>
    <w:rsid w:val="009745B6"/>
    <w:rsid w:val="0097690F"/>
    <w:rsid w:val="00976E52"/>
    <w:rsid w:val="009806DC"/>
    <w:rsid w:val="00981D0A"/>
    <w:rsid w:val="00981DD7"/>
    <w:rsid w:val="009827C9"/>
    <w:rsid w:val="00982A88"/>
    <w:rsid w:val="00984999"/>
    <w:rsid w:val="00985324"/>
    <w:rsid w:val="009863EB"/>
    <w:rsid w:val="00986995"/>
    <w:rsid w:val="00986C66"/>
    <w:rsid w:val="009900B8"/>
    <w:rsid w:val="00990B21"/>
    <w:rsid w:val="00991384"/>
    <w:rsid w:val="009926AB"/>
    <w:rsid w:val="0099459B"/>
    <w:rsid w:val="00995065"/>
    <w:rsid w:val="009961AF"/>
    <w:rsid w:val="0099650C"/>
    <w:rsid w:val="00996720"/>
    <w:rsid w:val="009A316E"/>
    <w:rsid w:val="009A31EF"/>
    <w:rsid w:val="009A3ACF"/>
    <w:rsid w:val="009A3E42"/>
    <w:rsid w:val="009A45FB"/>
    <w:rsid w:val="009A49D3"/>
    <w:rsid w:val="009A5A25"/>
    <w:rsid w:val="009A6905"/>
    <w:rsid w:val="009A699F"/>
    <w:rsid w:val="009A760F"/>
    <w:rsid w:val="009B09D8"/>
    <w:rsid w:val="009B1337"/>
    <w:rsid w:val="009B1F76"/>
    <w:rsid w:val="009B290C"/>
    <w:rsid w:val="009B3906"/>
    <w:rsid w:val="009B50DC"/>
    <w:rsid w:val="009B5462"/>
    <w:rsid w:val="009B56E5"/>
    <w:rsid w:val="009B56F6"/>
    <w:rsid w:val="009B5C7F"/>
    <w:rsid w:val="009B7258"/>
    <w:rsid w:val="009C173A"/>
    <w:rsid w:val="009C440A"/>
    <w:rsid w:val="009C4A1F"/>
    <w:rsid w:val="009C6178"/>
    <w:rsid w:val="009C6426"/>
    <w:rsid w:val="009C7D1E"/>
    <w:rsid w:val="009C7F84"/>
    <w:rsid w:val="009D092C"/>
    <w:rsid w:val="009D0D11"/>
    <w:rsid w:val="009D13B0"/>
    <w:rsid w:val="009D140D"/>
    <w:rsid w:val="009D167A"/>
    <w:rsid w:val="009D4BF2"/>
    <w:rsid w:val="009D4D6D"/>
    <w:rsid w:val="009D5AB2"/>
    <w:rsid w:val="009D5B67"/>
    <w:rsid w:val="009D603C"/>
    <w:rsid w:val="009D6BFD"/>
    <w:rsid w:val="009D6DE4"/>
    <w:rsid w:val="009D70D3"/>
    <w:rsid w:val="009D7B57"/>
    <w:rsid w:val="009D7C73"/>
    <w:rsid w:val="009E04C0"/>
    <w:rsid w:val="009E11A0"/>
    <w:rsid w:val="009E26B2"/>
    <w:rsid w:val="009E2F5E"/>
    <w:rsid w:val="009E3187"/>
    <w:rsid w:val="009E3AB2"/>
    <w:rsid w:val="009E4054"/>
    <w:rsid w:val="009E5439"/>
    <w:rsid w:val="009E5D40"/>
    <w:rsid w:val="009E5DDB"/>
    <w:rsid w:val="009E62C1"/>
    <w:rsid w:val="009E6B5F"/>
    <w:rsid w:val="009E7B00"/>
    <w:rsid w:val="009F0018"/>
    <w:rsid w:val="009F00B4"/>
    <w:rsid w:val="009F09DA"/>
    <w:rsid w:val="009F1350"/>
    <w:rsid w:val="009F1D5B"/>
    <w:rsid w:val="009F2C4C"/>
    <w:rsid w:val="009F3144"/>
    <w:rsid w:val="009F3247"/>
    <w:rsid w:val="009F4944"/>
    <w:rsid w:val="009F4C02"/>
    <w:rsid w:val="009F4DAA"/>
    <w:rsid w:val="009F66B6"/>
    <w:rsid w:val="009F7117"/>
    <w:rsid w:val="009F787D"/>
    <w:rsid w:val="00A00085"/>
    <w:rsid w:val="00A00D26"/>
    <w:rsid w:val="00A0187D"/>
    <w:rsid w:val="00A01DB9"/>
    <w:rsid w:val="00A03082"/>
    <w:rsid w:val="00A0399C"/>
    <w:rsid w:val="00A049AA"/>
    <w:rsid w:val="00A0517E"/>
    <w:rsid w:val="00A055A2"/>
    <w:rsid w:val="00A07106"/>
    <w:rsid w:val="00A07467"/>
    <w:rsid w:val="00A075D2"/>
    <w:rsid w:val="00A10D55"/>
    <w:rsid w:val="00A115D7"/>
    <w:rsid w:val="00A116BB"/>
    <w:rsid w:val="00A12B0A"/>
    <w:rsid w:val="00A12D5E"/>
    <w:rsid w:val="00A12F26"/>
    <w:rsid w:val="00A13847"/>
    <w:rsid w:val="00A1395F"/>
    <w:rsid w:val="00A147DF"/>
    <w:rsid w:val="00A14E03"/>
    <w:rsid w:val="00A15591"/>
    <w:rsid w:val="00A17C2B"/>
    <w:rsid w:val="00A17EA4"/>
    <w:rsid w:val="00A21D22"/>
    <w:rsid w:val="00A2321A"/>
    <w:rsid w:val="00A23710"/>
    <w:rsid w:val="00A23838"/>
    <w:rsid w:val="00A23A7E"/>
    <w:rsid w:val="00A23B92"/>
    <w:rsid w:val="00A23C94"/>
    <w:rsid w:val="00A23F7A"/>
    <w:rsid w:val="00A246BF"/>
    <w:rsid w:val="00A255BB"/>
    <w:rsid w:val="00A25F76"/>
    <w:rsid w:val="00A279BA"/>
    <w:rsid w:val="00A34C4F"/>
    <w:rsid w:val="00A3529B"/>
    <w:rsid w:val="00A3599B"/>
    <w:rsid w:val="00A36A85"/>
    <w:rsid w:val="00A37F5A"/>
    <w:rsid w:val="00A4137C"/>
    <w:rsid w:val="00A415F0"/>
    <w:rsid w:val="00A4232A"/>
    <w:rsid w:val="00A42795"/>
    <w:rsid w:val="00A43A2E"/>
    <w:rsid w:val="00A459E2"/>
    <w:rsid w:val="00A46086"/>
    <w:rsid w:val="00A47117"/>
    <w:rsid w:val="00A504BA"/>
    <w:rsid w:val="00A5075F"/>
    <w:rsid w:val="00A51150"/>
    <w:rsid w:val="00A515B5"/>
    <w:rsid w:val="00A524D9"/>
    <w:rsid w:val="00A5260D"/>
    <w:rsid w:val="00A53423"/>
    <w:rsid w:val="00A5457F"/>
    <w:rsid w:val="00A5586B"/>
    <w:rsid w:val="00A566BD"/>
    <w:rsid w:val="00A60737"/>
    <w:rsid w:val="00A61E1C"/>
    <w:rsid w:val="00A627EE"/>
    <w:rsid w:val="00A631E0"/>
    <w:rsid w:val="00A6341D"/>
    <w:rsid w:val="00A63479"/>
    <w:rsid w:val="00A6630A"/>
    <w:rsid w:val="00A67B8C"/>
    <w:rsid w:val="00A721E6"/>
    <w:rsid w:val="00A73290"/>
    <w:rsid w:val="00A747EF"/>
    <w:rsid w:val="00A75594"/>
    <w:rsid w:val="00A770CF"/>
    <w:rsid w:val="00A808E0"/>
    <w:rsid w:val="00A82097"/>
    <w:rsid w:val="00A821D0"/>
    <w:rsid w:val="00A832C8"/>
    <w:rsid w:val="00A8449B"/>
    <w:rsid w:val="00A844DC"/>
    <w:rsid w:val="00A84A6C"/>
    <w:rsid w:val="00A85386"/>
    <w:rsid w:val="00A85C6E"/>
    <w:rsid w:val="00A902BB"/>
    <w:rsid w:val="00A90A23"/>
    <w:rsid w:val="00A911DF"/>
    <w:rsid w:val="00A91223"/>
    <w:rsid w:val="00A915E7"/>
    <w:rsid w:val="00A9173B"/>
    <w:rsid w:val="00A91871"/>
    <w:rsid w:val="00A92173"/>
    <w:rsid w:val="00A92B46"/>
    <w:rsid w:val="00A93182"/>
    <w:rsid w:val="00A93CD6"/>
    <w:rsid w:val="00A946D8"/>
    <w:rsid w:val="00A97856"/>
    <w:rsid w:val="00A978BB"/>
    <w:rsid w:val="00AA0648"/>
    <w:rsid w:val="00AA066F"/>
    <w:rsid w:val="00AA0B22"/>
    <w:rsid w:val="00AA0BF5"/>
    <w:rsid w:val="00AA3EAB"/>
    <w:rsid w:val="00AA4857"/>
    <w:rsid w:val="00AA4E45"/>
    <w:rsid w:val="00AA4EF7"/>
    <w:rsid w:val="00AA4FC3"/>
    <w:rsid w:val="00AA5B9F"/>
    <w:rsid w:val="00AA5E97"/>
    <w:rsid w:val="00AA5EE6"/>
    <w:rsid w:val="00AA6404"/>
    <w:rsid w:val="00AA6B45"/>
    <w:rsid w:val="00AB0545"/>
    <w:rsid w:val="00AB0C79"/>
    <w:rsid w:val="00AB3548"/>
    <w:rsid w:val="00AB5C04"/>
    <w:rsid w:val="00AB6081"/>
    <w:rsid w:val="00AB663C"/>
    <w:rsid w:val="00AB6E16"/>
    <w:rsid w:val="00AB7A84"/>
    <w:rsid w:val="00AC035B"/>
    <w:rsid w:val="00AC18B1"/>
    <w:rsid w:val="00AC1EF3"/>
    <w:rsid w:val="00AC2786"/>
    <w:rsid w:val="00AC2B9A"/>
    <w:rsid w:val="00AC35F6"/>
    <w:rsid w:val="00AC6020"/>
    <w:rsid w:val="00AC65AE"/>
    <w:rsid w:val="00AC68F3"/>
    <w:rsid w:val="00AC782F"/>
    <w:rsid w:val="00AD04D0"/>
    <w:rsid w:val="00AD09BD"/>
    <w:rsid w:val="00AD1448"/>
    <w:rsid w:val="00AD167B"/>
    <w:rsid w:val="00AD1C45"/>
    <w:rsid w:val="00AD3341"/>
    <w:rsid w:val="00AD3B40"/>
    <w:rsid w:val="00AD4D1F"/>
    <w:rsid w:val="00AD504C"/>
    <w:rsid w:val="00AD7B73"/>
    <w:rsid w:val="00AD7D8C"/>
    <w:rsid w:val="00AD7DBC"/>
    <w:rsid w:val="00AD7F73"/>
    <w:rsid w:val="00AE0605"/>
    <w:rsid w:val="00AE115C"/>
    <w:rsid w:val="00AE28F9"/>
    <w:rsid w:val="00AE355E"/>
    <w:rsid w:val="00AE3F16"/>
    <w:rsid w:val="00AE46E1"/>
    <w:rsid w:val="00AE4DF0"/>
    <w:rsid w:val="00AE5D7B"/>
    <w:rsid w:val="00AE632F"/>
    <w:rsid w:val="00AE66B1"/>
    <w:rsid w:val="00AE776C"/>
    <w:rsid w:val="00AF2687"/>
    <w:rsid w:val="00AF3023"/>
    <w:rsid w:val="00AF593C"/>
    <w:rsid w:val="00AF5DE1"/>
    <w:rsid w:val="00AF6F23"/>
    <w:rsid w:val="00AF7038"/>
    <w:rsid w:val="00B00770"/>
    <w:rsid w:val="00B015AE"/>
    <w:rsid w:val="00B03EA6"/>
    <w:rsid w:val="00B040E0"/>
    <w:rsid w:val="00B045E5"/>
    <w:rsid w:val="00B04787"/>
    <w:rsid w:val="00B0521F"/>
    <w:rsid w:val="00B0525A"/>
    <w:rsid w:val="00B05287"/>
    <w:rsid w:val="00B06088"/>
    <w:rsid w:val="00B06A9B"/>
    <w:rsid w:val="00B06E6C"/>
    <w:rsid w:val="00B07476"/>
    <w:rsid w:val="00B1018E"/>
    <w:rsid w:val="00B1041E"/>
    <w:rsid w:val="00B10BE5"/>
    <w:rsid w:val="00B118E9"/>
    <w:rsid w:val="00B11CC7"/>
    <w:rsid w:val="00B1406A"/>
    <w:rsid w:val="00B1480F"/>
    <w:rsid w:val="00B14AC1"/>
    <w:rsid w:val="00B15823"/>
    <w:rsid w:val="00B173FE"/>
    <w:rsid w:val="00B17847"/>
    <w:rsid w:val="00B203FD"/>
    <w:rsid w:val="00B2068B"/>
    <w:rsid w:val="00B214D9"/>
    <w:rsid w:val="00B22119"/>
    <w:rsid w:val="00B2345E"/>
    <w:rsid w:val="00B2388D"/>
    <w:rsid w:val="00B248C0"/>
    <w:rsid w:val="00B26E19"/>
    <w:rsid w:val="00B27A80"/>
    <w:rsid w:val="00B27DC8"/>
    <w:rsid w:val="00B300F7"/>
    <w:rsid w:val="00B30320"/>
    <w:rsid w:val="00B3045C"/>
    <w:rsid w:val="00B30C32"/>
    <w:rsid w:val="00B30E92"/>
    <w:rsid w:val="00B311AD"/>
    <w:rsid w:val="00B31E29"/>
    <w:rsid w:val="00B32552"/>
    <w:rsid w:val="00B32E7B"/>
    <w:rsid w:val="00B33249"/>
    <w:rsid w:val="00B33473"/>
    <w:rsid w:val="00B3438C"/>
    <w:rsid w:val="00B36A99"/>
    <w:rsid w:val="00B37110"/>
    <w:rsid w:val="00B43EC8"/>
    <w:rsid w:val="00B448EC"/>
    <w:rsid w:val="00B467F8"/>
    <w:rsid w:val="00B4685A"/>
    <w:rsid w:val="00B47CBE"/>
    <w:rsid w:val="00B47E89"/>
    <w:rsid w:val="00B508DC"/>
    <w:rsid w:val="00B5103A"/>
    <w:rsid w:val="00B52EB7"/>
    <w:rsid w:val="00B531B9"/>
    <w:rsid w:val="00B53DD8"/>
    <w:rsid w:val="00B54071"/>
    <w:rsid w:val="00B5498B"/>
    <w:rsid w:val="00B563F0"/>
    <w:rsid w:val="00B56F31"/>
    <w:rsid w:val="00B5704E"/>
    <w:rsid w:val="00B57088"/>
    <w:rsid w:val="00B632D6"/>
    <w:rsid w:val="00B632FF"/>
    <w:rsid w:val="00B6352B"/>
    <w:rsid w:val="00B6362A"/>
    <w:rsid w:val="00B63845"/>
    <w:rsid w:val="00B63871"/>
    <w:rsid w:val="00B65AD9"/>
    <w:rsid w:val="00B660FE"/>
    <w:rsid w:val="00B66400"/>
    <w:rsid w:val="00B66604"/>
    <w:rsid w:val="00B66EF2"/>
    <w:rsid w:val="00B670A5"/>
    <w:rsid w:val="00B70FBA"/>
    <w:rsid w:val="00B72D29"/>
    <w:rsid w:val="00B73746"/>
    <w:rsid w:val="00B75871"/>
    <w:rsid w:val="00B75D12"/>
    <w:rsid w:val="00B75E72"/>
    <w:rsid w:val="00B75E7E"/>
    <w:rsid w:val="00B7626C"/>
    <w:rsid w:val="00B76A6A"/>
    <w:rsid w:val="00B77D41"/>
    <w:rsid w:val="00B81030"/>
    <w:rsid w:val="00B855D0"/>
    <w:rsid w:val="00B85F33"/>
    <w:rsid w:val="00B86DB0"/>
    <w:rsid w:val="00B87018"/>
    <w:rsid w:val="00B90924"/>
    <w:rsid w:val="00B913D3"/>
    <w:rsid w:val="00B93548"/>
    <w:rsid w:val="00B94108"/>
    <w:rsid w:val="00B94376"/>
    <w:rsid w:val="00B953B2"/>
    <w:rsid w:val="00B95F28"/>
    <w:rsid w:val="00B95F8A"/>
    <w:rsid w:val="00B96208"/>
    <w:rsid w:val="00B96618"/>
    <w:rsid w:val="00B9758E"/>
    <w:rsid w:val="00BA0735"/>
    <w:rsid w:val="00BA0A22"/>
    <w:rsid w:val="00BA1AE5"/>
    <w:rsid w:val="00BA1D2E"/>
    <w:rsid w:val="00BA34D6"/>
    <w:rsid w:val="00BA40ED"/>
    <w:rsid w:val="00BA55F7"/>
    <w:rsid w:val="00BA58B6"/>
    <w:rsid w:val="00BA6FB1"/>
    <w:rsid w:val="00BB0BB8"/>
    <w:rsid w:val="00BB1188"/>
    <w:rsid w:val="00BB1919"/>
    <w:rsid w:val="00BB1C42"/>
    <w:rsid w:val="00BB2CC4"/>
    <w:rsid w:val="00BB31FA"/>
    <w:rsid w:val="00BB3567"/>
    <w:rsid w:val="00BB4DFF"/>
    <w:rsid w:val="00BB4E28"/>
    <w:rsid w:val="00BB5EA4"/>
    <w:rsid w:val="00BB647C"/>
    <w:rsid w:val="00BB74FF"/>
    <w:rsid w:val="00BB7762"/>
    <w:rsid w:val="00BC2DD3"/>
    <w:rsid w:val="00BC33E1"/>
    <w:rsid w:val="00BC3718"/>
    <w:rsid w:val="00BC53CC"/>
    <w:rsid w:val="00BC5F11"/>
    <w:rsid w:val="00BC5F29"/>
    <w:rsid w:val="00BC6B6E"/>
    <w:rsid w:val="00BC6D94"/>
    <w:rsid w:val="00BC7B7B"/>
    <w:rsid w:val="00BD08D0"/>
    <w:rsid w:val="00BD1D9A"/>
    <w:rsid w:val="00BD23B1"/>
    <w:rsid w:val="00BD2AA7"/>
    <w:rsid w:val="00BD2F95"/>
    <w:rsid w:val="00BD44A5"/>
    <w:rsid w:val="00BD53EF"/>
    <w:rsid w:val="00BD5892"/>
    <w:rsid w:val="00BD6C00"/>
    <w:rsid w:val="00BE1DCA"/>
    <w:rsid w:val="00BE1E8C"/>
    <w:rsid w:val="00BE2FF5"/>
    <w:rsid w:val="00BE319B"/>
    <w:rsid w:val="00BE33AE"/>
    <w:rsid w:val="00BE459C"/>
    <w:rsid w:val="00BE5ED4"/>
    <w:rsid w:val="00BE6122"/>
    <w:rsid w:val="00BE6814"/>
    <w:rsid w:val="00BF05CA"/>
    <w:rsid w:val="00BF1C71"/>
    <w:rsid w:val="00BF2643"/>
    <w:rsid w:val="00BF2760"/>
    <w:rsid w:val="00BF27A5"/>
    <w:rsid w:val="00BF3255"/>
    <w:rsid w:val="00BF3613"/>
    <w:rsid w:val="00BF5890"/>
    <w:rsid w:val="00BF5DDD"/>
    <w:rsid w:val="00BF5EE4"/>
    <w:rsid w:val="00BF68FE"/>
    <w:rsid w:val="00BF6A53"/>
    <w:rsid w:val="00BF7CC5"/>
    <w:rsid w:val="00C007DB"/>
    <w:rsid w:val="00C012C1"/>
    <w:rsid w:val="00C01A05"/>
    <w:rsid w:val="00C01C64"/>
    <w:rsid w:val="00C01F75"/>
    <w:rsid w:val="00C02854"/>
    <w:rsid w:val="00C0393B"/>
    <w:rsid w:val="00C039B8"/>
    <w:rsid w:val="00C03EB5"/>
    <w:rsid w:val="00C040FB"/>
    <w:rsid w:val="00C05AF8"/>
    <w:rsid w:val="00C05FB0"/>
    <w:rsid w:val="00C0612A"/>
    <w:rsid w:val="00C074EB"/>
    <w:rsid w:val="00C0782C"/>
    <w:rsid w:val="00C109FF"/>
    <w:rsid w:val="00C10FB5"/>
    <w:rsid w:val="00C116E8"/>
    <w:rsid w:val="00C12CB8"/>
    <w:rsid w:val="00C13854"/>
    <w:rsid w:val="00C139FC"/>
    <w:rsid w:val="00C14272"/>
    <w:rsid w:val="00C1439A"/>
    <w:rsid w:val="00C161A5"/>
    <w:rsid w:val="00C162E7"/>
    <w:rsid w:val="00C16515"/>
    <w:rsid w:val="00C16DDC"/>
    <w:rsid w:val="00C17A65"/>
    <w:rsid w:val="00C207F0"/>
    <w:rsid w:val="00C21F48"/>
    <w:rsid w:val="00C22BD8"/>
    <w:rsid w:val="00C22C1C"/>
    <w:rsid w:val="00C23279"/>
    <w:rsid w:val="00C23479"/>
    <w:rsid w:val="00C23B04"/>
    <w:rsid w:val="00C23E14"/>
    <w:rsid w:val="00C24058"/>
    <w:rsid w:val="00C24F30"/>
    <w:rsid w:val="00C25696"/>
    <w:rsid w:val="00C2786D"/>
    <w:rsid w:val="00C30D7C"/>
    <w:rsid w:val="00C32C58"/>
    <w:rsid w:val="00C32CEF"/>
    <w:rsid w:val="00C33249"/>
    <w:rsid w:val="00C33961"/>
    <w:rsid w:val="00C33CB2"/>
    <w:rsid w:val="00C3430D"/>
    <w:rsid w:val="00C35095"/>
    <w:rsid w:val="00C3725E"/>
    <w:rsid w:val="00C37790"/>
    <w:rsid w:val="00C400E8"/>
    <w:rsid w:val="00C40810"/>
    <w:rsid w:val="00C40FA8"/>
    <w:rsid w:val="00C40FF3"/>
    <w:rsid w:val="00C42366"/>
    <w:rsid w:val="00C42BE0"/>
    <w:rsid w:val="00C4313C"/>
    <w:rsid w:val="00C4333C"/>
    <w:rsid w:val="00C4346B"/>
    <w:rsid w:val="00C44304"/>
    <w:rsid w:val="00C44CD1"/>
    <w:rsid w:val="00C45C36"/>
    <w:rsid w:val="00C47634"/>
    <w:rsid w:val="00C478CE"/>
    <w:rsid w:val="00C5000D"/>
    <w:rsid w:val="00C50224"/>
    <w:rsid w:val="00C50EFF"/>
    <w:rsid w:val="00C51A17"/>
    <w:rsid w:val="00C52A69"/>
    <w:rsid w:val="00C5381C"/>
    <w:rsid w:val="00C53EA7"/>
    <w:rsid w:val="00C54B3D"/>
    <w:rsid w:val="00C55177"/>
    <w:rsid w:val="00C55505"/>
    <w:rsid w:val="00C5559D"/>
    <w:rsid w:val="00C5591C"/>
    <w:rsid w:val="00C560F5"/>
    <w:rsid w:val="00C56EDA"/>
    <w:rsid w:val="00C57D71"/>
    <w:rsid w:val="00C6095E"/>
    <w:rsid w:val="00C61830"/>
    <w:rsid w:val="00C61CAD"/>
    <w:rsid w:val="00C62B4C"/>
    <w:rsid w:val="00C63398"/>
    <w:rsid w:val="00C651BF"/>
    <w:rsid w:val="00C676E3"/>
    <w:rsid w:val="00C67925"/>
    <w:rsid w:val="00C679AC"/>
    <w:rsid w:val="00C70344"/>
    <w:rsid w:val="00C7128F"/>
    <w:rsid w:val="00C71AD0"/>
    <w:rsid w:val="00C71F3E"/>
    <w:rsid w:val="00C7220C"/>
    <w:rsid w:val="00C72C03"/>
    <w:rsid w:val="00C73264"/>
    <w:rsid w:val="00C733F1"/>
    <w:rsid w:val="00C7369E"/>
    <w:rsid w:val="00C776B1"/>
    <w:rsid w:val="00C77FF5"/>
    <w:rsid w:val="00C80D13"/>
    <w:rsid w:val="00C80D5D"/>
    <w:rsid w:val="00C812DA"/>
    <w:rsid w:val="00C813EC"/>
    <w:rsid w:val="00C8172E"/>
    <w:rsid w:val="00C81AE5"/>
    <w:rsid w:val="00C83227"/>
    <w:rsid w:val="00C848EC"/>
    <w:rsid w:val="00C856E3"/>
    <w:rsid w:val="00C86710"/>
    <w:rsid w:val="00C86D50"/>
    <w:rsid w:val="00C87830"/>
    <w:rsid w:val="00C9061B"/>
    <w:rsid w:val="00C910F4"/>
    <w:rsid w:val="00C9193C"/>
    <w:rsid w:val="00C92551"/>
    <w:rsid w:val="00C94B9A"/>
    <w:rsid w:val="00C95C73"/>
    <w:rsid w:val="00C95C8C"/>
    <w:rsid w:val="00C95F74"/>
    <w:rsid w:val="00C97168"/>
    <w:rsid w:val="00CA0B5E"/>
    <w:rsid w:val="00CA1782"/>
    <w:rsid w:val="00CA195B"/>
    <w:rsid w:val="00CA2706"/>
    <w:rsid w:val="00CA278F"/>
    <w:rsid w:val="00CA2B6A"/>
    <w:rsid w:val="00CA4CFC"/>
    <w:rsid w:val="00CA5976"/>
    <w:rsid w:val="00CA603E"/>
    <w:rsid w:val="00CB2063"/>
    <w:rsid w:val="00CB2533"/>
    <w:rsid w:val="00CB342B"/>
    <w:rsid w:val="00CB4074"/>
    <w:rsid w:val="00CB489F"/>
    <w:rsid w:val="00CB4EC7"/>
    <w:rsid w:val="00CB5259"/>
    <w:rsid w:val="00CB540A"/>
    <w:rsid w:val="00CB56E6"/>
    <w:rsid w:val="00CB6048"/>
    <w:rsid w:val="00CB62F2"/>
    <w:rsid w:val="00CB70E1"/>
    <w:rsid w:val="00CC0449"/>
    <w:rsid w:val="00CC1442"/>
    <w:rsid w:val="00CC14AF"/>
    <w:rsid w:val="00CC1A08"/>
    <w:rsid w:val="00CC2367"/>
    <w:rsid w:val="00CC3304"/>
    <w:rsid w:val="00CC38C2"/>
    <w:rsid w:val="00CC53F6"/>
    <w:rsid w:val="00CC547D"/>
    <w:rsid w:val="00CC5688"/>
    <w:rsid w:val="00CC63C0"/>
    <w:rsid w:val="00CC6F07"/>
    <w:rsid w:val="00CC733E"/>
    <w:rsid w:val="00CD1E46"/>
    <w:rsid w:val="00CD2228"/>
    <w:rsid w:val="00CD24BB"/>
    <w:rsid w:val="00CD2A1A"/>
    <w:rsid w:val="00CD2DE7"/>
    <w:rsid w:val="00CD3E32"/>
    <w:rsid w:val="00CD4309"/>
    <w:rsid w:val="00CD45F8"/>
    <w:rsid w:val="00CD4A45"/>
    <w:rsid w:val="00CD51F7"/>
    <w:rsid w:val="00CD58BF"/>
    <w:rsid w:val="00CD5AEB"/>
    <w:rsid w:val="00CD5C1D"/>
    <w:rsid w:val="00CD725D"/>
    <w:rsid w:val="00CE0008"/>
    <w:rsid w:val="00CE0B77"/>
    <w:rsid w:val="00CE0F8A"/>
    <w:rsid w:val="00CE17C4"/>
    <w:rsid w:val="00CE1D43"/>
    <w:rsid w:val="00CE2C40"/>
    <w:rsid w:val="00CE2E00"/>
    <w:rsid w:val="00CE3ACD"/>
    <w:rsid w:val="00CE3FF8"/>
    <w:rsid w:val="00CE4F89"/>
    <w:rsid w:val="00CE5C91"/>
    <w:rsid w:val="00CE64E5"/>
    <w:rsid w:val="00CE69C2"/>
    <w:rsid w:val="00CE72A5"/>
    <w:rsid w:val="00CE796F"/>
    <w:rsid w:val="00CF022C"/>
    <w:rsid w:val="00CF031D"/>
    <w:rsid w:val="00CF1091"/>
    <w:rsid w:val="00CF1536"/>
    <w:rsid w:val="00CF1C39"/>
    <w:rsid w:val="00CF482E"/>
    <w:rsid w:val="00CF630B"/>
    <w:rsid w:val="00CF642C"/>
    <w:rsid w:val="00CF73CB"/>
    <w:rsid w:val="00D01102"/>
    <w:rsid w:val="00D03C53"/>
    <w:rsid w:val="00D03EFD"/>
    <w:rsid w:val="00D052E3"/>
    <w:rsid w:val="00D068D0"/>
    <w:rsid w:val="00D071B2"/>
    <w:rsid w:val="00D0725D"/>
    <w:rsid w:val="00D07995"/>
    <w:rsid w:val="00D07F86"/>
    <w:rsid w:val="00D128C3"/>
    <w:rsid w:val="00D12DDD"/>
    <w:rsid w:val="00D12E8A"/>
    <w:rsid w:val="00D12E9D"/>
    <w:rsid w:val="00D14583"/>
    <w:rsid w:val="00D1522F"/>
    <w:rsid w:val="00D15762"/>
    <w:rsid w:val="00D15ECA"/>
    <w:rsid w:val="00D16D64"/>
    <w:rsid w:val="00D17B94"/>
    <w:rsid w:val="00D20116"/>
    <w:rsid w:val="00D21D5E"/>
    <w:rsid w:val="00D22190"/>
    <w:rsid w:val="00D22AE6"/>
    <w:rsid w:val="00D22ED0"/>
    <w:rsid w:val="00D23D4C"/>
    <w:rsid w:val="00D263F2"/>
    <w:rsid w:val="00D26F12"/>
    <w:rsid w:val="00D27A36"/>
    <w:rsid w:val="00D3026E"/>
    <w:rsid w:val="00D324C7"/>
    <w:rsid w:val="00D326DC"/>
    <w:rsid w:val="00D3276D"/>
    <w:rsid w:val="00D32D27"/>
    <w:rsid w:val="00D33077"/>
    <w:rsid w:val="00D3343B"/>
    <w:rsid w:val="00D35F1B"/>
    <w:rsid w:val="00D3623C"/>
    <w:rsid w:val="00D372DD"/>
    <w:rsid w:val="00D37CF1"/>
    <w:rsid w:val="00D41310"/>
    <w:rsid w:val="00D41744"/>
    <w:rsid w:val="00D430AB"/>
    <w:rsid w:val="00D44300"/>
    <w:rsid w:val="00D44608"/>
    <w:rsid w:val="00D4478A"/>
    <w:rsid w:val="00D44C05"/>
    <w:rsid w:val="00D44CE9"/>
    <w:rsid w:val="00D452D2"/>
    <w:rsid w:val="00D458BB"/>
    <w:rsid w:val="00D45EF5"/>
    <w:rsid w:val="00D468D1"/>
    <w:rsid w:val="00D469A2"/>
    <w:rsid w:val="00D46C37"/>
    <w:rsid w:val="00D47C9B"/>
    <w:rsid w:val="00D50061"/>
    <w:rsid w:val="00D5022A"/>
    <w:rsid w:val="00D51CD4"/>
    <w:rsid w:val="00D52E03"/>
    <w:rsid w:val="00D53908"/>
    <w:rsid w:val="00D53F9B"/>
    <w:rsid w:val="00D5547A"/>
    <w:rsid w:val="00D55DE3"/>
    <w:rsid w:val="00D6048B"/>
    <w:rsid w:val="00D60FFB"/>
    <w:rsid w:val="00D6117A"/>
    <w:rsid w:val="00D61EA1"/>
    <w:rsid w:val="00D63864"/>
    <w:rsid w:val="00D64823"/>
    <w:rsid w:val="00D64BA1"/>
    <w:rsid w:val="00D67ABB"/>
    <w:rsid w:val="00D7011C"/>
    <w:rsid w:val="00D701C9"/>
    <w:rsid w:val="00D70CC6"/>
    <w:rsid w:val="00D73403"/>
    <w:rsid w:val="00D73C53"/>
    <w:rsid w:val="00D73D39"/>
    <w:rsid w:val="00D7645B"/>
    <w:rsid w:val="00D76792"/>
    <w:rsid w:val="00D77562"/>
    <w:rsid w:val="00D77C4A"/>
    <w:rsid w:val="00D77E8E"/>
    <w:rsid w:val="00D77FE0"/>
    <w:rsid w:val="00D84056"/>
    <w:rsid w:val="00D84C84"/>
    <w:rsid w:val="00D85B8C"/>
    <w:rsid w:val="00D8661D"/>
    <w:rsid w:val="00D86BEB"/>
    <w:rsid w:val="00D8728C"/>
    <w:rsid w:val="00D87C6C"/>
    <w:rsid w:val="00D87E02"/>
    <w:rsid w:val="00D87E13"/>
    <w:rsid w:val="00D87EE5"/>
    <w:rsid w:val="00D92485"/>
    <w:rsid w:val="00D92990"/>
    <w:rsid w:val="00D930E4"/>
    <w:rsid w:val="00D93A02"/>
    <w:rsid w:val="00D93BA6"/>
    <w:rsid w:val="00D9428C"/>
    <w:rsid w:val="00D94BC3"/>
    <w:rsid w:val="00D9537A"/>
    <w:rsid w:val="00D96400"/>
    <w:rsid w:val="00D96A7E"/>
    <w:rsid w:val="00DA02AE"/>
    <w:rsid w:val="00DA0B73"/>
    <w:rsid w:val="00DA10D4"/>
    <w:rsid w:val="00DA29B0"/>
    <w:rsid w:val="00DA2A64"/>
    <w:rsid w:val="00DA2CDD"/>
    <w:rsid w:val="00DA2DA5"/>
    <w:rsid w:val="00DA2F6D"/>
    <w:rsid w:val="00DA4F15"/>
    <w:rsid w:val="00DA5027"/>
    <w:rsid w:val="00DA695A"/>
    <w:rsid w:val="00DB126D"/>
    <w:rsid w:val="00DB2DAB"/>
    <w:rsid w:val="00DB2EF6"/>
    <w:rsid w:val="00DB3B4F"/>
    <w:rsid w:val="00DB404F"/>
    <w:rsid w:val="00DB50EA"/>
    <w:rsid w:val="00DB5E25"/>
    <w:rsid w:val="00DB65F3"/>
    <w:rsid w:val="00DB6DB0"/>
    <w:rsid w:val="00DB7364"/>
    <w:rsid w:val="00DB74D5"/>
    <w:rsid w:val="00DC2F81"/>
    <w:rsid w:val="00DC3257"/>
    <w:rsid w:val="00DC32BD"/>
    <w:rsid w:val="00DC3722"/>
    <w:rsid w:val="00DC3AA4"/>
    <w:rsid w:val="00DC70B1"/>
    <w:rsid w:val="00DC774D"/>
    <w:rsid w:val="00DD0058"/>
    <w:rsid w:val="00DD0852"/>
    <w:rsid w:val="00DD1187"/>
    <w:rsid w:val="00DD201E"/>
    <w:rsid w:val="00DD2C7D"/>
    <w:rsid w:val="00DD33D1"/>
    <w:rsid w:val="00DD3610"/>
    <w:rsid w:val="00DD386F"/>
    <w:rsid w:val="00DD39AE"/>
    <w:rsid w:val="00DD3AC3"/>
    <w:rsid w:val="00DD54C2"/>
    <w:rsid w:val="00DD57A9"/>
    <w:rsid w:val="00DD57D9"/>
    <w:rsid w:val="00DD5F22"/>
    <w:rsid w:val="00DD62B6"/>
    <w:rsid w:val="00DD71F8"/>
    <w:rsid w:val="00DD77AA"/>
    <w:rsid w:val="00DD79E8"/>
    <w:rsid w:val="00DE03E6"/>
    <w:rsid w:val="00DE0CE3"/>
    <w:rsid w:val="00DE1E11"/>
    <w:rsid w:val="00DE27B9"/>
    <w:rsid w:val="00DE2B64"/>
    <w:rsid w:val="00DE346E"/>
    <w:rsid w:val="00DE34E5"/>
    <w:rsid w:val="00DE4EB9"/>
    <w:rsid w:val="00DE6586"/>
    <w:rsid w:val="00DE6D4E"/>
    <w:rsid w:val="00DE7A12"/>
    <w:rsid w:val="00DF1307"/>
    <w:rsid w:val="00DF195B"/>
    <w:rsid w:val="00DF27B5"/>
    <w:rsid w:val="00DF2B99"/>
    <w:rsid w:val="00DF2E68"/>
    <w:rsid w:val="00DF397B"/>
    <w:rsid w:val="00DF408F"/>
    <w:rsid w:val="00DF49FE"/>
    <w:rsid w:val="00DF52DA"/>
    <w:rsid w:val="00DF5BC3"/>
    <w:rsid w:val="00DF6262"/>
    <w:rsid w:val="00DF74CB"/>
    <w:rsid w:val="00DF7524"/>
    <w:rsid w:val="00DF753B"/>
    <w:rsid w:val="00DF7E48"/>
    <w:rsid w:val="00E003B9"/>
    <w:rsid w:val="00E01152"/>
    <w:rsid w:val="00E01B8D"/>
    <w:rsid w:val="00E02A24"/>
    <w:rsid w:val="00E03357"/>
    <w:rsid w:val="00E0351F"/>
    <w:rsid w:val="00E03A54"/>
    <w:rsid w:val="00E03A91"/>
    <w:rsid w:val="00E04167"/>
    <w:rsid w:val="00E058BC"/>
    <w:rsid w:val="00E05C38"/>
    <w:rsid w:val="00E06278"/>
    <w:rsid w:val="00E06A62"/>
    <w:rsid w:val="00E106F9"/>
    <w:rsid w:val="00E10939"/>
    <w:rsid w:val="00E12CE2"/>
    <w:rsid w:val="00E14AB2"/>
    <w:rsid w:val="00E14EA3"/>
    <w:rsid w:val="00E15103"/>
    <w:rsid w:val="00E15141"/>
    <w:rsid w:val="00E15183"/>
    <w:rsid w:val="00E16C8C"/>
    <w:rsid w:val="00E17350"/>
    <w:rsid w:val="00E17714"/>
    <w:rsid w:val="00E20836"/>
    <w:rsid w:val="00E214AD"/>
    <w:rsid w:val="00E23093"/>
    <w:rsid w:val="00E23367"/>
    <w:rsid w:val="00E24F94"/>
    <w:rsid w:val="00E2555A"/>
    <w:rsid w:val="00E25AE3"/>
    <w:rsid w:val="00E261C3"/>
    <w:rsid w:val="00E268B3"/>
    <w:rsid w:val="00E26B3E"/>
    <w:rsid w:val="00E26C9F"/>
    <w:rsid w:val="00E277E8"/>
    <w:rsid w:val="00E27D04"/>
    <w:rsid w:val="00E30112"/>
    <w:rsid w:val="00E30EB4"/>
    <w:rsid w:val="00E317AA"/>
    <w:rsid w:val="00E327FB"/>
    <w:rsid w:val="00E337B6"/>
    <w:rsid w:val="00E352EE"/>
    <w:rsid w:val="00E35505"/>
    <w:rsid w:val="00E36033"/>
    <w:rsid w:val="00E36A50"/>
    <w:rsid w:val="00E3746E"/>
    <w:rsid w:val="00E3764B"/>
    <w:rsid w:val="00E41C1A"/>
    <w:rsid w:val="00E4286A"/>
    <w:rsid w:val="00E43CC4"/>
    <w:rsid w:val="00E43ED0"/>
    <w:rsid w:val="00E44678"/>
    <w:rsid w:val="00E4487E"/>
    <w:rsid w:val="00E44C59"/>
    <w:rsid w:val="00E44DB2"/>
    <w:rsid w:val="00E454CE"/>
    <w:rsid w:val="00E45AE9"/>
    <w:rsid w:val="00E47714"/>
    <w:rsid w:val="00E47CFF"/>
    <w:rsid w:val="00E50C92"/>
    <w:rsid w:val="00E511CB"/>
    <w:rsid w:val="00E51208"/>
    <w:rsid w:val="00E515BF"/>
    <w:rsid w:val="00E51CD8"/>
    <w:rsid w:val="00E523B9"/>
    <w:rsid w:val="00E52691"/>
    <w:rsid w:val="00E529D0"/>
    <w:rsid w:val="00E5305E"/>
    <w:rsid w:val="00E530BF"/>
    <w:rsid w:val="00E54518"/>
    <w:rsid w:val="00E5476C"/>
    <w:rsid w:val="00E56736"/>
    <w:rsid w:val="00E56E5F"/>
    <w:rsid w:val="00E5719D"/>
    <w:rsid w:val="00E57223"/>
    <w:rsid w:val="00E60DB0"/>
    <w:rsid w:val="00E616AF"/>
    <w:rsid w:val="00E6215F"/>
    <w:rsid w:val="00E62D14"/>
    <w:rsid w:val="00E63DE7"/>
    <w:rsid w:val="00E645AD"/>
    <w:rsid w:val="00E6485F"/>
    <w:rsid w:val="00E656FB"/>
    <w:rsid w:val="00E665DD"/>
    <w:rsid w:val="00E66C3A"/>
    <w:rsid w:val="00E66D2C"/>
    <w:rsid w:val="00E70E7B"/>
    <w:rsid w:val="00E7100D"/>
    <w:rsid w:val="00E71D41"/>
    <w:rsid w:val="00E7300C"/>
    <w:rsid w:val="00E73224"/>
    <w:rsid w:val="00E7351C"/>
    <w:rsid w:val="00E73A25"/>
    <w:rsid w:val="00E74360"/>
    <w:rsid w:val="00E747D1"/>
    <w:rsid w:val="00E74951"/>
    <w:rsid w:val="00E75193"/>
    <w:rsid w:val="00E75288"/>
    <w:rsid w:val="00E76DC4"/>
    <w:rsid w:val="00E76F5C"/>
    <w:rsid w:val="00E773AD"/>
    <w:rsid w:val="00E801A3"/>
    <w:rsid w:val="00E802E6"/>
    <w:rsid w:val="00E8073B"/>
    <w:rsid w:val="00E80926"/>
    <w:rsid w:val="00E80D75"/>
    <w:rsid w:val="00E80E6E"/>
    <w:rsid w:val="00E8151D"/>
    <w:rsid w:val="00E82394"/>
    <w:rsid w:val="00E82CBD"/>
    <w:rsid w:val="00E82CCB"/>
    <w:rsid w:val="00E8349A"/>
    <w:rsid w:val="00E8350D"/>
    <w:rsid w:val="00E85515"/>
    <w:rsid w:val="00E859CA"/>
    <w:rsid w:val="00E85AF0"/>
    <w:rsid w:val="00E862FB"/>
    <w:rsid w:val="00E8639E"/>
    <w:rsid w:val="00E86BAB"/>
    <w:rsid w:val="00E86D1C"/>
    <w:rsid w:val="00E87BFF"/>
    <w:rsid w:val="00E90382"/>
    <w:rsid w:val="00E904B1"/>
    <w:rsid w:val="00E9078F"/>
    <w:rsid w:val="00E92E35"/>
    <w:rsid w:val="00E937DA"/>
    <w:rsid w:val="00E93DA5"/>
    <w:rsid w:val="00E941A3"/>
    <w:rsid w:val="00E94E54"/>
    <w:rsid w:val="00E95650"/>
    <w:rsid w:val="00E96E87"/>
    <w:rsid w:val="00E97F27"/>
    <w:rsid w:val="00EA14B9"/>
    <w:rsid w:val="00EA3447"/>
    <w:rsid w:val="00EA4AEE"/>
    <w:rsid w:val="00EA4DC6"/>
    <w:rsid w:val="00EB12E7"/>
    <w:rsid w:val="00EB177E"/>
    <w:rsid w:val="00EB1FF7"/>
    <w:rsid w:val="00EB242F"/>
    <w:rsid w:val="00EB2FEE"/>
    <w:rsid w:val="00EB300D"/>
    <w:rsid w:val="00EB3380"/>
    <w:rsid w:val="00EB4817"/>
    <w:rsid w:val="00EB4C3D"/>
    <w:rsid w:val="00EB58B6"/>
    <w:rsid w:val="00EB5F73"/>
    <w:rsid w:val="00EB6070"/>
    <w:rsid w:val="00EB6723"/>
    <w:rsid w:val="00EB6E36"/>
    <w:rsid w:val="00EB7691"/>
    <w:rsid w:val="00EB779E"/>
    <w:rsid w:val="00EC1060"/>
    <w:rsid w:val="00EC20A8"/>
    <w:rsid w:val="00EC3FA2"/>
    <w:rsid w:val="00EC48E2"/>
    <w:rsid w:val="00EC4C4A"/>
    <w:rsid w:val="00EC56A6"/>
    <w:rsid w:val="00EC56EF"/>
    <w:rsid w:val="00EC6A0A"/>
    <w:rsid w:val="00EC77D9"/>
    <w:rsid w:val="00EC7A20"/>
    <w:rsid w:val="00EC7D94"/>
    <w:rsid w:val="00ED04BD"/>
    <w:rsid w:val="00ED08B2"/>
    <w:rsid w:val="00ED111E"/>
    <w:rsid w:val="00ED25BF"/>
    <w:rsid w:val="00ED289A"/>
    <w:rsid w:val="00ED2DC0"/>
    <w:rsid w:val="00ED335E"/>
    <w:rsid w:val="00ED4D97"/>
    <w:rsid w:val="00ED5079"/>
    <w:rsid w:val="00ED5928"/>
    <w:rsid w:val="00ED68E3"/>
    <w:rsid w:val="00ED6E1F"/>
    <w:rsid w:val="00ED7F35"/>
    <w:rsid w:val="00EE0009"/>
    <w:rsid w:val="00EE08FC"/>
    <w:rsid w:val="00EE2266"/>
    <w:rsid w:val="00EE27CF"/>
    <w:rsid w:val="00EE3553"/>
    <w:rsid w:val="00EE39F1"/>
    <w:rsid w:val="00EE412D"/>
    <w:rsid w:val="00EE511E"/>
    <w:rsid w:val="00EE5907"/>
    <w:rsid w:val="00EE59EF"/>
    <w:rsid w:val="00EE659D"/>
    <w:rsid w:val="00EE6AA7"/>
    <w:rsid w:val="00EE79A8"/>
    <w:rsid w:val="00EE7BE2"/>
    <w:rsid w:val="00EF0618"/>
    <w:rsid w:val="00EF07A6"/>
    <w:rsid w:val="00EF12C5"/>
    <w:rsid w:val="00EF29FB"/>
    <w:rsid w:val="00EF58AC"/>
    <w:rsid w:val="00EF5AF8"/>
    <w:rsid w:val="00EF7498"/>
    <w:rsid w:val="00EF752F"/>
    <w:rsid w:val="00F00C84"/>
    <w:rsid w:val="00F0149C"/>
    <w:rsid w:val="00F01826"/>
    <w:rsid w:val="00F02360"/>
    <w:rsid w:val="00F03AC3"/>
    <w:rsid w:val="00F04DBD"/>
    <w:rsid w:val="00F063ED"/>
    <w:rsid w:val="00F064F0"/>
    <w:rsid w:val="00F0712B"/>
    <w:rsid w:val="00F07318"/>
    <w:rsid w:val="00F07AD3"/>
    <w:rsid w:val="00F1197B"/>
    <w:rsid w:val="00F13433"/>
    <w:rsid w:val="00F138D5"/>
    <w:rsid w:val="00F13A7F"/>
    <w:rsid w:val="00F142C0"/>
    <w:rsid w:val="00F1442D"/>
    <w:rsid w:val="00F15271"/>
    <w:rsid w:val="00F1635E"/>
    <w:rsid w:val="00F165C6"/>
    <w:rsid w:val="00F1738E"/>
    <w:rsid w:val="00F173C0"/>
    <w:rsid w:val="00F1774B"/>
    <w:rsid w:val="00F21F2C"/>
    <w:rsid w:val="00F22DD4"/>
    <w:rsid w:val="00F232F2"/>
    <w:rsid w:val="00F23ADA"/>
    <w:rsid w:val="00F23D95"/>
    <w:rsid w:val="00F23DDE"/>
    <w:rsid w:val="00F2463B"/>
    <w:rsid w:val="00F255A6"/>
    <w:rsid w:val="00F2576B"/>
    <w:rsid w:val="00F26AC0"/>
    <w:rsid w:val="00F2715E"/>
    <w:rsid w:val="00F273BE"/>
    <w:rsid w:val="00F27892"/>
    <w:rsid w:val="00F30468"/>
    <w:rsid w:val="00F30F26"/>
    <w:rsid w:val="00F328F8"/>
    <w:rsid w:val="00F329E9"/>
    <w:rsid w:val="00F32BCB"/>
    <w:rsid w:val="00F32F00"/>
    <w:rsid w:val="00F35564"/>
    <w:rsid w:val="00F359A0"/>
    <w:rsid w:val="00F35C0E"/>
    <w:rsid w:val="00F35C6B"/>
    <w:rsid w:val="00F3603C"/>
    <w:rsid w:val="00F3641B"/>
    <w:rsid w:val="00F3672F"/>
    <w:rsid w:val="00F367A8"/>
    <w:rsid w:val="00F36F63"/>
    <w:rsid w:val="00F40303"/>
    <w:rsid w:val="00F405F0"/>
    <w:rsid w:val="00F40F9F"/>
    <w:rsid w:val="00F41D1C"/>
    <w:rsid w:val="00F420E8"/>
    <w:rsid w:val="00F441C8"/>
    <w:rsid w:val="00F46BEB"/>
    <w:rsid w:val="00F47783"/>
    <w:rsid w:val="00F5017F"/>
    <w:rsid w:val="00F51A40"/>
    <w:rsid w:val="00F5310D"/>
    <w:rsid w:val="00F531B9"/>
    <w:rsid w:val="00F539C3"/>
    <w:rsid w:val="00F53C57"/>
    <w:rsid w:val="00F549F5"/>
    <w:rsid w:val="00F55A68"/>
    <w:rsid w:val="00F55C5B"/>
    <w:rsid w:val="00F563AD"/>
    <w:rsid w:val="00F57816"/>
    <w:rsid w:val="00F57D5F"/>
    <w:rsid w:val="00F6209A"/>
    <w:rsid w:val="00F637BD"/>
    <w:rsid w:val="00F64300"/>
    <w:rsid w:val="00F6549A"/>
    <w:rsid w:val="00F70312"/>
    <w:rsid w:val="00F723EE"/>
    <w:rsid w:val="00F7247E"/>
    <w:rsid w:val="00F727D8"/>
    <w:rsid w:val="00F729DD"/>
    <w:rsid w:val="00F73B14"/>
    <w:rsid w:val="00F74D9B"/>
    <w:rsid w:val="00F75048"/>
    <w:rsid w:val="00F75080"/>
    <w:rsid w:val="00F75D5D"/>
    <w:rsid w:val="00F75EBF"/>
    <w:rsid w:val="00F77130"/>
    <w:rsid w:val="00F81C60"/>
    <w:rsid w:val="00F82CDD"/>
    <w:rsid w:val="00F833F1"/>
    <w:rsid w:val="00F83961"/>
    <w:rsid w:val="00F83B3E"/>
    <w:rsid w:val="00F84115"/>
    <w:rsid w:val="00F8707C"/>
    <w:rsid w:val="00F87E40"/>
    <w:rsid w:val="00F87EE6"/>
    <w:rsid w:val="00F904F6"/>
    <w:rsid w:val="00F91A3B"/>
    <w:rsid w:val="00F92F02"/>
    <w:rsid w:val="00F948C9"/>
    <w:rsid w:val="00F957CE"/>
    <w:rsid w:val="00F958DF"/>
    <w:rsid w:val="00F96E57"/>
    <w:rsid w:val="00F97CCE"/>
    <w:rsid w:val="00FA1102"/>
    <w:rsid w:val="00FA160B"/>
    <w:rsid w:val="00FA249C"/>
    <w:rsid w:val="00FA28B8"/>
    <w:rsid w:val="00FA2D2E"/>
    <w:rsid w:val="00FA3698"/>
    <w:rsid w:val="00FA3B93"/>
    <w:rsid w:val="00FA3FDA"/>
    <w:rsid w:val="00FA51EF"/>
    <w:rsid w:val="00FA5E96"/>
    <w:rsid w:val="00FA617D"/>
    <w:rsid w:val="00FA62CE"/>
    <w:rsid w:val="00FA6B9F"/>
    <w:rsid w:val="00FA72ED"/>
    <w:rsid w:val="00FA7C6A"/>
    <w:rsid w:val="00FB0281"/>
    <w:rsid w:val="00FB095F"/>
    <w:rsid w:val="00FB1064"/>
    <w:rsid w:val="00FB16D9"/>
    <w:rsid w:val="00FB1BF9"/>
    <w:rsid w:val="00FB2523"/>
    <w:rsid w:val="00FB36B8"/>
    <w:rsid w:val="00FB3898"/>
    <w:rsid w:val="00FB4A09"/>
    <w:rsid w:val="00FB4BE0"/>
    <w:rsid w:val="00FB4D0D"/>
    <w:rsid w:val="00FB5011"/>
    <w:rsid w:val="00FB6122"/>
    <w:rsid w:val="00FB6853"/>
    <w:rsid w:val="00FB69E9"/>
    <w:rsid w:val="00FB70A5"/>
    <w:rsid w:val="00FB76E4"/>
    <w:rsid w:val="00FB7DC5"/>
    <w:rsid w:val="00FC251E"/>
    <w:rsid w:val="00FC27D6"/>
    <w:rsid w:val="00FC2BD5"/>
    <w:rsid w:val="00FC3276"/>
    <w:rsid w:val="00FC3A07"/>
    <w:rsid w:val="00FC4310"/>
    <w:rsid w:val="00FC4874"/>
    <w:rsid w:val="00FC5333"/>
    <w:rsid w:val="00FC5C55"/>
    <w:rsid w:val="00FC5CAB"/>
    <w:rsid w:val="00FC7001"/>
    <w:rsid w:val="00FD01FB"/>
    <w:rsid w:val="00FD13CF"/>
    <w:rsid w:val="00FD28C0"/>
    <w:rsid w:val="00FD2D17"/>
    <w:rsid w:val="00FD4619"/>
    <w:rsid w:val="00FD5543"/>
    <w:rsid w:val="00FD64E4"/>
    <w:rsid w:val="00FD65D4"/>
    <w:rsid w:val="00FD72DB"/>
    <w:rsid w:val="00FD7B40"/>
    <w:rsid w:val="00FE019A"/>
    <w:rsid w:val="00FE1ED9"/>
    <w:rsid w:val="00FE2C3E"/>
    <w:rsid w:val="00FE398B"/>
    <w:rsid w:val="00FE3B36"/>
    <w:rsid w:val="00FE4443"/>
    <w:rsid w:val="00FE516C"/>
    <w:rsid w:val="00FE5220"/>
    <w:rsid w:val="00FE709A"/>
    <w:rsid w:val="00FE72A4"/>
    <w:rsid w:val="00FE7CDF"/>
    <w:rsid w:val="00FF09B5"/>
    <w:rsid w:val="00FF19F0"/>
    <w:rsid w:val="00FF4919"/>
    <w:rsid w:val="00FF51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allout" idref="#_x0000_s1107"/>
        <o:r id="V:Rule2" type="connector" idref="#_x0000_s1062"/>
        <o:r id="V:Rule3" type="connector" idref="#_x0000_s1075"/>
        <o:r id="V:Rule4" type="connector" idref="#_x0000_s1055"/>
        <o:r id="V:Rule5" type="connector" idref="#_x0000_s1078"/>
        <o:r id="V:Rule6" type="connector" idref="#_x0000_s1060"/>
        <o:r id="V:Rule7" type="connector" idref="#_x0000_s1076"/>
        <o:r id="V:Rule8" type="connector" idref="#_x0000_s1061"/>
        <o:r id="V:Rule9" type="connector" idref="#_x0000_s1084"/>
        <o:r id="V:Rule10" type="connector" idref="#_x0000_s1089"/>
        <o:r id="V:Rule11" type="connector" idref="#_x0000_s1077"/>
        <o:r id="V:Rule12" type="connector" idref="#_x0000_s1054"/>
        <o:r id="V:Rule13" type="connector" idref="#_x0000_s1088"/>
        <o:r id="V:Rule14" type="connector" idref="#_x0000_s1085"/>
        <o:r id="V:Rule15" type="connector" idref="#_x0000_s1063"/>
        <o:r id="V:Rule16" type="connector" idref="#_x0000_s1056"/>
      </o:rules>
    </o:shapelayout>
  </w:shapeDefaults>
  <w:decimalSymbol w:val="."/>
  <w:listSeparator w:val=","/>
  <w15:docId w15:val="{F1C35FAA-A733-459F-A9C4-F177959BE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D55"/>
  </w:style>
  <w:style w:type="paragraph" w:styleId="Heading1">
    <w:name w:val="heading 1"/>
    <w:basedOn w:val="Normal"/>
    <w:next w:val="Normal"/>
    <w:link w:val="Heading1Char"/>
    <w:uiPriority w:val="9"/>
    <w:qFormat/>
    <w:rsid w:val="00CC0449"/>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IN"/>
    </w:rPr>
  </w:style>
  <w:style w:type="paragraph" w:styleId="Heading3">
    <w:name w:val="heading 3"/>
    <w:basedOn w:val="Normal"/>
    <w:next w:val="Normal"/>
    <w:link w:val="Heading3Char"/>
    <w:uiPriority w:val="9"/>
    <w:unhideWhenUsed/>
    <w:qFormat/>
    <w:rsid w:val="008B5CB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7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ibdegrees">
    <w:name w:val="contribdegrees"/>
    <w:basedOn w:val="DefaultParagraphFont"/>
    <w:rsid w:val="00E95650"/>
  </w:style>
  <w:style w:type="paragraph" w:styleId="ListParagraph">
    <w:name w:val="List Paragraph"/>
    <w:basedOn w:val="Normal"/>
    <w:uiPriority w:val="34"/>
    <w:qFormat/>
    <w:rsid w:val="00411646"/>
    <w:pPr>
      <w:ind w:left="720"/>
      <w:contextualSpacing/>
    </w:pPr>
  </w:style>
  <w:style w:type="paragraph" w:styleId="BalloonText">
    <w:name w:val="Balloon Text"/>
    <w:basedOn w:val="Normal"/>
    <w:link w:val="BalloonTextChar"/>
    <w:uiPriority w:val="99"/>
    <w:semiHidden/>
    <w:unhideWhenUsed/>
    <w:rsid w:val="00D70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CC6"/>
    <w:rPr>
      <w:rFonts w:ascii="Tahoma" w:hAnsi="Tahoma" w:cs="Tahoma"/>
      <w:sz w:val="16"/>
      <w:szCs w:val="16"/>
    </w:rPr>
  </w:style>
  <w:style w:type="character" w:styleId="Hyperlink">
    <w:name w:val="Hyperlink"/>
    <w:basedOn w:val="DefaultParagraphFont"/>
    <w:uiPriority w:val="99"/>
    <w:semiHidden/>
    <w:unhideWhenUsed/>
    <w:rsid w:val="00D96A7E"/>
    <w:rPr>
      <w:color w:val="0000FF"/>
      <w:u w:val="single"/>
    </w:rPr>
  </w:style>
  <w:style w:type="paragraph" w:styleId="Header">
    <w:name w:val="header"/>
    <w:basedOn w:val="Normal"/>
    <w:link w:val="HeaderChar"/>
    <w:uiPriority w:val="99"/>
    <w:unhideWhenUsed/>
    <w:rsid w:val="008F08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086B"/>
  </w:style>
  <w:style w:type="paragraph" w:styleId="Footer">
    <w:name w:val="footer"/>
    <w:basedOn w:val="Normal"/>
    <w:link w:val="FooterChar"/>
    <w:uiPriority w:val="99"/>
    <w:unhideWhenUsed/>
    <w:rsid w:val="008F08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086B"/>
  </w:style>
  <w:style w:type="character" w:customStyle="1" w:styleId="Heading1Char">
    <w:name w:val="Heading 1 Char"/>
    <w:basedOn w:val="DefaultParagraphFont"/>
    <w:link w:val="Heading1"/>
    <w:uiPriority w:val="9"/>
    <w:rsid w:val="00CC0449"/>
    <w:rPr>
      <w:rFonts w:asciiTheme="majorHAnsi" w:eastAsiaTheme="majorEastAsia" w:hAnsiTheme="majorHAnsi" w:cstheme="majorBidi"/>
      <w:color w:val="365F91" w:themeColor="accent1" w:themeShade="BF"/>
      <w:sz w:val="32"/>
      <w:szCs w:val="32"/>
      <w:lang w:val="en-IN"/>
    </w:rPr>
  </w:style>
  <w:style w:type="character" w:styleId="LineNumber">
    <w:name w:val="line number"/>
    <w:basedOn w:val="DefaultParagraphFont"/>
    <w:uiPriority w:val="99"/>
    <w:semiHidden/>
    <w:unhideWhenUsed/>
    <w:rsid w:val="00F6549A"/>
  </w:style>
  <w:style w:type="table" w:styleId="LightShading">
    <w:name w:val="Light Shading"/>
    <w:basedOn w:val="TableNormal"/>
    <w:uiPriority w:val="60"/>
    <w:rsid w:val="008D1A50"/>
    <w:pPr>
      <w:spacing w:before="0"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5">
    <w:name w:val="Light Shading Accent 5"/>
    <w:basedOn w:val="TableNormal"/>
    <w:uiPriority w:val="60"/>
    <w:rsid w:val="00F21F2C"/>
    <w:pPr>
      <w:spacing w:before="0"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Strong">
    <w:name w:val="Strong"/>
    <w:basedOn w:val="DefaultParagraphFont"/>
    <w:uiPriority w:val="22"/>
    <w:qFormat/>
    <w:rsid w:val="00C03EB5"/>
    <w:rPr>
      <w:b/>
      <w:bCs/>
    </w:rPr>
  </w:style>
  <w:style w:type="character" w:customStyle="1" w:styleId="Heading3Char">
    <w:name w:val="Heading 3 Char"/>
    <w:basedOn w:val="DefaultParagraphFont"/>
    <w:link w:val="Heading3"/>
    <w:uiPriority w:val="9"/>
    <w:rsid w:val="008B5CBD"/>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8B5CBD"/>
    <w:pPr>
      <w:spacing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947272">
      <w:bodyDiv w:val="1"/>
      <w:marLeft w:val="0"/>
      <w:marRight w:val="0"/>
      <w:marTop w:val="0"/>
      <w:marBottom w:val="0"/>
      <w:divBdr>
        <w:top w:val="none" w:sz="0" w:space="0" w:color="auto"/>
        <w:left w:val="none" w:sz="0" w:space="0" w:color="auto"/>
        <w:bottom w:val="none" w:sz="0" w:space="0" w:color="auto"/>
        <w:right w:val="none" w:sz="0" w:space="0" w:color="auto"/>
      </w:divBdr>
    </w:div>
    <w:div w:id="547574492">
      <w:bodyDiv w:val="1"/>
      <w:marLeft w:val="0"/>
      <w:marRight w:val="0"/>
      <w:marTop w:val="0"/>
      <w:marBottom w:val="0"/>
      <w:divBdr>
        <w:top w:val="none" w:sz="0" w:space="0" w:color="auto"/>
        <w:left w:val="none" w:sz="0" w:space="0" w:color="auto"/>
        <w:bottom w:val="none" w:sz="0" w:space="0" w:color="auto"/>
        <w:right w:val="none" w:sz="0" w:space="0" w:color="auto"/>
      </w:divBdr>
    </w:div>
    <w:div w:id="694308699">
      <w:bodyDiv w:val="1"/>
      <w:marLeft w:val="0"/>
      <w:marRight w:val="0"/>
      <w:marTop w:val="0"/>
      <w:marBottom w:val="0"/>
      <w:divBdr>
        <w:top w:val="none" w:sz="0" w:space="0" w:color="auto"/>
        <w:left w:val="none" w:sz="0" w:space="0" w:color="auto"/>
        <w:bottom w:val="none" w:sz="0" w:space="0" w:color="auto"/>
        <w:right w:val="none" w:sz="0" w:space="0" w:color="auto"/>
      </w:divBdr>
    </w:div>
    <w:div w:id="996110160">
      <w:bodyDiv w:val="1"/>
      <w:marLeft w:val="0"/>
      <w:marRight w:val="0"/>
      <w:marTop w:val="0"/>
      <w:marBottom w:val="0"/>
      <w:divBdr>
        <w:top w:val="none" w:sz="0" w:space="0" w:color="auto"/>
        <w:left w:val="none" w:sz="0" w:space="0" w:color="auto"/>
        <w:bottom w:val="none" w:sz="0" w:space="0" w:color="auto"/>
        <w:right w:val="none" w:sz="0" w:space="0" w:color="auto"/>
      </w:divBdr>
    </w:div>
    <w:div w:id="1402564259">
      <w:bodyDiv w:val="1"/>
      <w:marLeft w:val="0"/>
      <w:marRight w:val="0"/>
      <w:marTop w:val="0"/>
      <w:marBottom w:val="0"/>
      <w:divBdr>
        <w:top w:val="none" w:sz="0" w:space="0" w:color="auto"/>
        <w:left w:val="none" w:sz="0" w:space="0" w:color="auto"/>
        <w:bottom w:val="none" w:sz="0" w:space="0" w:color="auto"/>
        <w:right w:val="none" w:sz="0" w:space="0" w:color="auto"/>
      </w:divBdr>
    </w:div>
    <w:div w:id="1429426847">
      <w:bodyDiv w:val="1"/>
      <w:marLeft w:val="0"/>
      <w:marRight w:val="0"/>
      <w:marTop w:val="0"/>
      <w:marBottom w:val="0"/>
      <w:divBdr>
        <w:top w:val="none" w:sz="0" w:space="0" w:color="auto"/>
        <w:left w:val="none" w:sz="0" w:space="0" w:color="auto"/>
        <w:bottom w:val="none" w:sz="0" w:space="0" w:color="auto"/>
        <w:right w:val="none" w:sz="0" w:space="0" w:color="auto"/>
      </w:divBdr>
      <w:divsChild>
        <w:div w:id="1078013057">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C41F531-3E2E-4395-BF38-9A079E8BE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3867</TotalTime>
  <Pages>35</Pages>
  <Words>110073</Words>
  <Characters>627419</Characters>
  <Application>Microsoft Office Word</Application>
  <DocSecurity>0</DocSecurity>
  <Lines>5228</Lines>
  <Paragraphs>1472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Microsoft account</cp:lastModifiedBy>
  <cp:revision>646</cp:revision>
  <dcterms:created xsi:type="dcterms:W3CDTF">2021-09-10T09:25:00Z</dcterms:created>
  <dcterms:modified xsi:type="dcterms:W3CDTF">2024-11-26T08:32:00Z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5c4dd705-2330-3556-a56e-7fef639d3631</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