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F560B" w14:textId="752E63CB" w:rsidR="006E5623" w:rsidRPr="006E5623" w:rsidRDefault="006E5623" w:rsidP="006E5623">
      <w:pPr>
        <w:pStyle w:val="NormalWeb"/>
        <w:rPr>
          <w:rStyle w:val="Strong"/>
          <w:sz w:val="48"/>
          <w:szCs w:val="48"/>
        </w:rPr>
      </w:pPr>
      <w:r>
        <w:rPr>
          <w:rStyle w:val="Strong"/>
          <w:sz w:val="48"/>
          <w:szCs w:val="48"/>
        </w:rPr>
        <w:t xml:space="preserve">         </w:t>
      </w:r>
      <w:r w:rsidRPr="006E5623">
        <w:rPr>
          <w:rStyle w:val="Strong"/>
          <w:sz w:val="48"/>
          <w:szCs w:val="48"/>
        </w:rPr>
        <w:t xml:space="preserve">Evolution of Antibiotic Resistance in </w:t>
      </w:r>
    </w:p>
    <w:p w14:paraId="4C7CD4AC" w14:textId="5ADDBC76" w:rsidR="006E5623" w:rsidRPr="006E5623" w:rsidRDefault="006E5623" w:rsidP="006E5623">
      <w:pPr>
        <w:pStyle w:val="NormalWeb"/>
        <w:rPr>
          <w:sz w:val="48"/>
          <w:szCs w:val="48"/>
        </w:rPr>
      </w:pPr>
      <w:r w:rsidRPr="006E5623">
        <w:rPr>
          <w:rStyle w:val="Strong"/>
          <w:sz w:val="48"/>
          <w:szCs w:val="48"/>
        </w:rPr>
        <w:t xml:space="preserve">                       </w:t>
      </w:r>
      <w:r w:rsidRPr="006E5623">
        <w:rPr>
          <w:rStyle w:val="Strong"/>
          <w:sz w:val="48"/>
          <w:szCs w:val="48"/>
        </w:rPr>
        <w:t>Microbial Populations</w:t>
      </w:r>
    </w:p>
    <w:p w14:paraId="705DB2EC" w14:textId="77777777" w:rsidR="006E5623" w:rsidRPr="00F44791" w:rsidRDefault="006E5623" w:rsidP="006E5623">
      <w:pPr>
        <w:pStyle w:val="Author"/>
        <w:spacing w:before="100" w:beforeAutospacing="1"/>
        <w:rPr>
          <w:b/>
          <w:bCs/>
          <w:sz w:val="18"/>
          <w:szCs w:val="18"/>
        </w:rPr>
      </w:pPr>
      <w:r w:rsidRPr="00F44791">
        <w:rPr>
          <w:b/>
          <w:bCs/>
          <w:sz w:val="18"/>
          <w:szCs w:val="18"/>
        </w:rPr>
        <w:t>Md Kazi Al Kuddus Shakib</w:t>
      </w:r>
      <w:r w:rsidRPr="00F44791">
        <w:rPr>
          <w:b/>
          <w:bCs/>
          <w:i/>
          <w:iCs/>
          <w:sz w:val="18"/>
          <w:szCs w:val="18"/>
        </w:rPr>
        <w:br/>
        <w:t>University Of Dhaka</w:t>
      </w:r>
      <w:r w:rsidRPr="00F44791">
        <w:rPr>
          <w:b/>
          <w:bCs/>
          <w:i/>
          <w:sz w:val="18"/>
          <w:szCs w:val="18"/>
        </w:rPr>
        <w:br/>
      </w:r>
      <w:r w:rsidRPr="00F44791">
        <w:rPr>
          <w:b/>
          <w:bCs/>
          <w:sz w:val="18"/>
          <w:szCs w:val="18"/>
        </w:rPr>
        <w:t>Dhaka, Bangladesh</w:t>
      </w:r>
      <w:r w:rsidRPr="00F44791">
        <w:rPr>
          <w:b/>
          <w:bCs/>
          <w:sz w:val="18"/>
          <w:szCs w:val="18"/>
        </w:rPr>
        <w:br/>
        <w:t>kazi.shakib110@gmail.com</w:t>
      </w:r>
    </w:p>
    <w:p w14:paraId="79B00430" w14:textId="1D642EBD" w:rsidR="006E5623" w:rsidRDefault="006E5623" w:rsidP="006E5623">
      <w:pPr>
        <w:pStyle w:val="NormalWeb"/>
        <w:sectPr w:rsidR="006E5623">
          <w:pgSz w:w="12240" w:h="15840"/>
          <w:pgMar w:top="1440" w:right="1440" w:bottom="1440" w:left="1440" w:header="720" w:footer="720" w:gutter="0"/>
          <w:cols w:space="720"/>
          <w:docGrid w:linePitch="360"/>
        </w:sectPr>
      </w:pPr>
    </w:p>
    <w:p w14:paraId="28BE639E" w14:textId="36EFE2FB" w:rsidR="006E5623" w:rsidRPr="006E5623" w:rsidRDefault="006E5623" w:rsidP="006E5623">
      <w:pPr>
        <w:pStyle w:val="NormalWeb"/>
        <w:rPr>
          <w:i/>
          <w:iCs/>
        </w:rPr>
      </w:pPr>
      <w:r w:rsidRPr="006E5623">
        <w:rPr>
          <w:b/>
          <w:bCs/>
          <w:i/>
          <w:iCs/>
        </w:rPr>
        <w:t>Abstract</w:t>
      </w:r>
      <w:r w:rsidRPr="006E5623">
        <w:rPr>
          <w:b/>
          <w:bCs/>
        </w:rPr>
        <w:t>—</w:t>
      </w:r>
      <w:r w:rsidRPr="006E5623">
        <w:rPr>
          <w:i/>
          <w:iCs/>
        </w:rPr>
        <w:t>The rise of antibiotic resistance among microbial populations is one of the most pressing challenges to public health. Antibiotic resistance occurs when microorganisms evolve mechanisms that reduce the effectiveness of drugs designed to cure or prevent infections. This phenomenon is driven by genetic mutations, horizontal gene transfer (HGT), and various environmental factors, including antibiotic misuse in human healthcare and agriculture. As microbial populations adapt, their ability to resist multiple antibiotics intensifies, making treatment strategies less effective and leading to an increase in mortality rates. This paper explores the mechanisms of resistance, factors contributing to its spread, and the implications for future treatment strategies and public health policies. Comprehensive approaches to addressing antibiotic resistance, including innovative therapeutic methods and improved stewardship practices, are essential to mitigating the global health threat.</w:t>
      </w:r>
    </w:p>
    <w:p w14:paraId="2B005AA6"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5DCFFF08">
          <v:rect id="_x0000_i1025" style="width:0;height:1.5pt" o:hralign="center" o:hrstd="t" o:hr="t" fillcolor="#a0a0a0" stroked="f"/>
        </w:pict>
      </w:r>
    </w:p>
    <w:p w14:paraId="47A25943"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I. Introduction</w:t>
      </w:r>
    </w:p>
    <w:p w14:paraId="3A4739B4"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Antibiotic resistance has become a critical issue in contemporary medicine. Initially heralded as a solution to bacterial infections, antibiotics are losing their effectiveness as bacteria evolve resistance mechanisms. Antibiotic resistance has emerged not only due to the over-</w:t>
      </w:r>
      <w:r w:rsidRPr="006E5623">
        <w:rPr>
          <w:rFonts w:ascii="Times New Roman" w:eastAsia="Times New Roman" w:hAnsi="Times New Roman" w:cs="Times New Roman"/>
          <w:i/>
          <w:iCs/>
          <w:sz w:val="24"/>
          <w:szCs w:val="24"/>
        </w:rPr>
        <w:t>prescription of antibiotics in healthcare but also due to their extensive use in agriculture and livestock farming. Microbial populations have developed resistance through mutations and horizontal gene transfer, making resistant strains more difficult to treat. Understanding the mechanisms of resistance, such as genetic mutation, efflux pumps, and biofilm formation, is key to developing better treatment strategies.</w:t>
      </w:r>
    </w:p>
    <w:p w14:paraId="597D8A7A"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0F77C8B3">
          <v:rect id="_x0000_i1026" style="width:0;height:1.5pt" o:hralign="center" o:hrstd="t" o:hr="t" fillcolor="#a0a0a0" stroked="f"/>
        </w:pict>
      </w:r>
    </w:p>
    <w:p w14:paraId="40364D3A"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II. Overview of Antibiotic Resistance and Its Significance in Public Health</w:t>
      </w:r>
    </w:p>
    <w:p w14:paraId="7E3D7AEA"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Antibiotic resistance is a growing concern for global public health. The spread of resistant strains complicates the treatment of common infections, leading to longer hospital stays, higher medical costs, and increased mortality. Resistance arises due to the overuse and misuse of antibiotics, particularly in healthcare and agriculture. For example, the human microbiome serves as a reservoir for resistance genes, facilitating their transfer to pathogenic bacteria. Understanding the role of genetic mutations and lateral gene transfer is crucial for combating resistance, particularly in high-burden pathogens such as Staphylococcus aureus, which has seen increased resistance rates (A Holzinger et al., 2014).</w:t>
      </w:r>
    </w:p>
    <w:p w14:paraId="17A162D7"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015B38FF">
          <v:rect id="_x0000_i1027" style="width:0;height:1.5pt" o:hralign="center" o:hrstd="t" o:hr="t" fillcolor="#a0a0a0" stroked="f"/>
        </w:pict>
      </w:r>
    </w:p>
    <w:p w14:paraId="25598116"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lastRenderedPageBreak/>
        <w:t>III. Mechanisms of Antibiotic Resistance</w:t>
      </w:r>
    </w:p>
    <w:p w14:paraId="75B9FE8F"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Microbial populations employ a range of mechanisms to resist antibiotics. These include:</w:t>
      </w:r>
    </w:p>
    <w:p w14:paraId="7B679E6B" w14:textId="77777777" w:rsidR="006E5623" w:rsidRPr="006E5623" w:rsidRDefault="006E5623" w:rsidP="006E5623">
      <w:pPr>
        <w:numPr>
          <w:ilvl w:val="0"/>
          <w:numId w:val="1"/>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Genetic Mutations:</w:t>
      </w:r>
      <w:r w:rsidRPr="006E5623">
        <w:rPr>
          <w:rFonts w:ascii="Times New Roman" w:eastAsia="Times New Roman" w:hAnsi="Times New Roman" w:cs="Times New Roman"/>
          <w:i/>
          <w:iCs/>
          <w:sz w:val="24"/>
          <w:szCs w:val="24"/>
        </w:rPr>
        <w:t xml:space="preserve"> Genetic changes in bacterial genomes may confer resistance to certain antibiotics, allowing them to survive in environments where others cannot.</w:t>
      </w:r>
    </w:p>
    <w:p w14:paraId="5135736B" w14:textId="77777777" w:rsidR="006E5623" w:rsidRPr="006E5623" w:rsidRDefault="006E5623" w:rsidP="006E5623">
      <w:pPr>
        <w:numPr>
          <w:ilvl w:val="0"/>
          <w:numId w:val="1"/>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Efflux Pumps:</w:t>
      </w:r>
      <w:r w:rsidRPr="006E5623">
        <w:rPr>
          <w:rFonts w:ascii="Times New Roman" w:eastAsia="Times New Roman" w:hAnsi="Times New Roman" w:cs="Times New Roman"/>
          <w:i/>
          <w:iCs/>
          <w:sz w:val="24"/>
          <w:szCs w:val="24"/>
        </w:rPr>
        <w:t xml:space="preserve"> Bacteria use efflux pumps to expel antibiotics, preventing them from reaching toxic levels inside the cell (Langevin et al., 2021).</w:t>
      </w:r>
    </w:p>
    <w:p w14:paraId="0A99B627" w14:textId="77777777" w:rsidR="006E5623" w:rsidRPr="006E5623" w:rsidRDefault="006E5623" w:rsidP="006E5623">
      <w:pPr>
        <w:numPr>
          <w:ilvl w:val="0"/>
          <w:numId w:val="1"/>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Biofilm Formation:</w:t>
      </w:r>
      <w:r w:rsidRPr="006E5623">
        <w:rPr>
          <w:rFonts w:ascii="Times New Roman" w:eastAsia="Times New Roman" w:hAnsi="Times New Roman" w:cs="Times New Roman"/>
          <w:i/>
          <w:iCs/>
          <w:sz w:val="24"/>
          <w:szCs w:val="24"/>
        </w:rPr>
        <w:t xml:space="preserve"> Biofilms protect bacteria from antibiotics and host immune responses, leading to chronic infections that are harder to treat.</w:t>
      </w:r>
    </w:p>
    <w:p w14:paraId="45EDA752" w14:textId="77777777" w:rsidR="006E5623" w:rsidRPr="006E5623" w:rsidRDefault="006E5623" w:rsidP="006E5623">
      <w:pPr>
        <w:numPr>
          <w:ilvl w:val="0"/>
          <w:numId w:val="1"/>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Horizontal Gene Transfer (HGT):</w:t>
      </w:r>
      <w:r w:rsidRPr="006E5623">
        <w:rPr>
          <w:rFonts w:ascii="Times New Roman" w:eastAsia="Times New Roman" w:hAnsi="Times New Roman" w:cs="Times New Roman"/>
          <w:i/>
          <w:iCs/>
          <w:sz w:val="24"/>
          <w:szCs w:val="24"/>
        </w:rPr>
        <w:t xml:space="preserve"> HGT allows bacteria to acquire resistance genes from other bacteria, including those of different species. This process accelerates the spread of antibiotic resistance across microbial populations (Paolo I </w:t>
      </w:r>
      <w:proofErr w:type="gramStart"/>
      <w:r w:rsidRPr="006E5623">
        <w:rPr>
          <w:rFonts w:ascii="Times New Roman" w:eastAsia="Times New Roman" w:hAnsi="Times New Roman" w:cs="Times New Roman"/>
          <w:i/>
          <w:iCs/>
          <w:sz w:val="24"/>
          <w:szCs w:val="24"/>
        </w:rPr>
        <w:t>A</w:t>
      </w:r>
      <w:proofErr w:type="gramEnd"/>
      <w:r w:rsidRPr="006E5623">
        <w:rPr>
          <w:rFonts w:ascii="Times New Roman" w:eastAsia="Times New Roman" w:hAnsi="Times New Roman" w:cs="Times New Roman"/>
          <w:i/>
          <w:iCs/>
          <w:sz w:val="24"/>
          <w:szCs w:val="24"/>
        </w:rPr>
        <w:t xml:space="preserve"> Lee et al., 2021).</w:t>
      </w:r>
    </w:p>
    <w:p w14:paraId="4938D49F"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23A64A6E">
          <v:rect id="_x0000_i1028" style="width:0;height:1.5pt" o:hralign="center" o:hrstd="t" o:hr="t" fillcolor="#a0a0a0" stroked="f"/>
        </w:pict>
      </w:r>
    </w:p>
    <w:p w14:paraId="2441BDD1"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IV. Factors Contributing to the Rise of Antibiotic Resistance</w:t>
      </w:r>
    </w:p>
    <w:p w14:paraId="091BBD8A"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The rise of antibiotic resistance is attributed to several factors, including:</w:t>
      </w:r>
    </w:p>
    <w:p w14:paraId="08431CF8" w14:textId="77777777" w:rsidR="006E5623" w:rsidRPr="006E5623" w:rsidRDefault="006E5623" w:rsidP="006E5623">
      <w:pPr>
        <w:numPr>
          <w:ilvl w:val="0"/>
          <w:numId w:val="2"/>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Overuse and Misuse of Antibiotics in Healthcare and Agriculture:</w:t>
      </w:r>
      <w:r w:rsidRPr="006E5623">
        <w:rPr>
          <w:rFonts w:ascii="Times New Roman" w:eastAsia="Times New Roman" w:hAnsi="Times New Roman" w:cs="Times New Roman"/>
          <w:i/>
          <w:iCs/>
          <w:sz w:val="24"/>
          <w:szCs w:val="24"/>
        </w:rPr>
        <w:t xml:space="preserve"> Inappropriate prescribing, self-medication, and over-prescription of antibiotics foster an environment where resistant bacteria can thrive. Similarly, agricultural use of antibiotics for growth promotion and </w:t>
      </w:r>
      <w:r w:rsidRPr="006E5623">
        <w:rPr>
          <w:rFonts w:ascii="Times New Roman" w:eastAsia="Times New Roman" w:hAnsi="Times New Roman" w:cs="Times New Roman"/>
          <w:i/>
          <w:iCs/>
          <w:sz w:val="24"/>
          <w:szCs w:val="24"/>
        </w:rPr>
        <w:t>disease prevention further exacerbates the problem (</w:t>
      </w:r>
      <w:proofErr w:type="spellStart"/>
      <w:r w:rsidRPr="006E5623">
        <w:rPr>
          <w:rFonts w:ascii="Times New Roman" w:eastAsia="Times New Roman" w:hAnsi="Times New Roman" w:cs="Times New Roman"/>
          <w:i/>
          <w:iCs/>
          <w:sz w:val="24"/>
          <w:szCs w:val="24"/>
        </w:rPr>
        <w:t>Muteeb</w:t>
      </w:r>
      <w:proofErr w:type="spellEnd"/>
      <w:r w:rsidRPr="006E5623">
        <w:rPr>
          <w:rFonts w:ascii="Times New Roman" w:eastAsia="Times New Roman" w:hAnsi="Times New Roman" w:cs="Times New Roman"/>
          <w:i/>
          <w:iCs/>
          <w:sz w:val="24"/>
          <w:szCs w:val="24"/>
        </w:rPr>
        <w:t xml:space="preserve"> G et al., 2023).</w:t>
      </w:r>
    </w:p>
    <w:p w14:paraId="11BB14A9" w14:textId="77777777" w:rsidR="006E5623" w:rsidRPr="006E5623" w:rsidRDefault="006E5623" w:rsidP="006E5623">
      <w:pPr>
        <w:numPr>
          <w:ilvl w:val="0"/>
          <w:numId w:val="2"/>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Environmental Factors:</w:t>
      </w:r>
      <w:r w:rsidRPr="006E5623">
        <w:rPr>
          <w:rFonts w:ascii="Times New Roman" w:eastAsia="Times New Roman" w:hAnsi="Times New Roman" w:cs="Times New Roman"/>
          <w:i/>
          <w:iCs/>
          <w:sz w:val="24"/>
          <w:szCs w:val="24"/>
        </w:rPr>
        <w:t xml:space="preserve"> The dynamics of microbial populations are shaped by environmental conditions, including antibiotic exposure rates. Slow rates of antibiotic exposure can promote higher levels of resistance (Abeles et al., 2014).</w:t>
      </w:r>
    </w:p>
    <w:p w14:paraId="51146492" w14:textId="77777777" w:rsidR="006E5623" w:rsidRPr="006E5623" w:rsidRDefault="006E5623" w:rsidP="006E5623">
      <w:pPr>
        <w:numPr>
          <w:ilvl w:val="0"/>
          <w:numId w:val="2"/>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Microbiome Composition:</w:t>
      </w:r>
      <w:r w:rsidRPr="006E5623">
        <w:rPr>
          <w:rFonts w:ascii="Times New Roman" w:eastAsia="Times New Roman" w:hAnsi="Times New Roman" w:cs="Times New Roman"/>
          <w:i/>
          <w:iCs/>
          <w:sz w:val="24"/>
          <w:szCs w:val="24"/>
        </w:rPr>
        <w:t xml:space="preserve"> The human microbiome serves as both a reservoir and a vehicle for antibiotic resistance genes. These genes can be transferred to pathogenic bacteria, exacerbating the problem (John F. Cryan et al., 2019).</w:t>
      </w:r>
    </w:p>
    <w:p w14:paraId="16631254"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3D8235DA">
          <v:rect id="_x0000_i1029" style="width:0;height:1.5pt" o:hralign="center" o:hrstd="t" o:hr="t" fillcolor="#a0a0a0" stroked="f"/>
        </w:pict>
      </w:r>
    </w:p>
    <w:p w14:paraId="71C2D975"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V. Implications for Future Treatment Strategies</w:t>
      </w:r>
    </w:p>
    <w:p w14:paraId="5B1D5F81"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Antibiotic resistance poses serious challenges for future treatment strategies. As resistant bacteria proliferate, there is a need for alternative therapeutic approaches, such as:</w:t>
      </w:r>
    </w:p>
    <w:p w14:paraId="10E5B766" w14:textId="77777777" w:rsidR="006E5623" w:rsidRPr="006E5623" w:rsidRDefault="006E5623" w:rsidP="006E5623">
      <w:pPr>
        <w:numPr>
          <w:ilvl w:val="0"/>
          <w:numId w:val="3"/>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Bacteriophage Therapy:</w:t>
      </w:r>
      <w:r w:rsidRPr="006E5623">
        <w:rPr>
          <w:rFonts w:ascii="Times New Roman" w:eastAsia="Times New Roman" w:hAnsi="Times New Roman" w:cs="Times New Roman"/>
          <w:i/>
          <w:iCs/>
          <w:sz w:val="24"/>
          <w:szCs w:val="24"/>
        </w:rPr>
        <w:t xml:space="preserve"> The use of viruses that infect and kill bacteria may offer a novel treatment option against resistant strains.</w:t>
      </w:r>
    </w:p>
    <w:p w14:paraId="57B98E3C" w14:textId="77777777" w:rsidR="006E5623" w:rsidRPr="006E5623" w:rsidRDefault="006E5623" w:rsidP="006E5623">
      <w:pPr>
        <w:numPr>
          <w:ilvl w:val="0"/>
          <w:numId w:val="3"/>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New Antimicrobial Compounds:</w:t>
      </w:r>
      <w:r w:rsidRPr="006E5623">
        <w:rPr>
          <w:rFonts w:ascii="Times New Roman" w:eastAsia="Times New Roman" w:hAnsi="Times New Roman" w:cs="Times New Roman"/>
          <w:i/>
          <w:iCs/>
          <w:sz w:val="24"/>
          <w:szCs w:val="24"/>
        </w:rPr>
        <w:t xml:space="preserve"> Research into new classes of antibiotics and antimicrobial peptides is essential to stay ahead of evolving resistance mechanisms.</w:t>
      </w:r>
    </w:p>
    <w:p w14:paraId="049266E5" w14:textId="77777777" w:rsidR="006E5623" w:rsidRPr="006E5623" w:rsidRDefault="006E5623" w:rsidP="006E5623">
      <w:pPr>
        <w:numPr>
          <w:ilvl w:val="0"/>
          <w:numId w:val="3"/>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Rapid Diagnostic Techniques:</w:t>
      </w:r>
      <w:r w:rsidRPr="006E5623">
        <w:rPr>
          <w:rFonts w:ascii="Times New Roman" w:eastAsia="Times New Roman" w:hAnsi="Times New Roman" w:cs="Times New Roman"/>
          <w:i/>
          <w:iCs/>
          <w:sz w:val="24"/>
          <w:szCs w:val="24"/>
        </w:rPr>
        <w:t xml:space="preserve"> Early and accurate diagnostics can help in tailoring antibiotic treatments to specific pathogens, reducing unnecessary use and preventing resistance development.</w:t>
      </w:r>
    </w:p>
    <w:p w14:paraId="7F822386" w14:textId="77777777" w:rsidR="006E5623" w:rsidRPr="006E5623" w:rsidRDefault="006E5623" w:rsidP="006E5623">
      <w:pPr>
        <w:numPr>
          <w:ilvl w:val="0"/>
          <w:numId w:val="3"/>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lastRenderedPageBreak/>
        <w:t>Antimicrobial Stewardship Programs:</w:t>
      </w:r>
      <w:r w:rsidRPr="006E5623">
        <w:rPr>
          <w:rFonts w:ascii="Times New Roman" w:eastAsia="Times New Roman" w:hAnsi="Times New Roman" w:cs="Times New Roman"/>
          <w:i/>
          <w:iCs/>
          <w:sz w:val="24"/>
          <w:szCs w:val="24"/>
        </w:rPr>
        <w:t xml:space="preserve"> These programs focus on promoting responsible antibiotic use in both healthcare and agriculture to slow the development of resistance.</w:t>
      </w:r>
    </w:p>
    <w:p w14:paraId="3E99BEB2"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4758D402">
          <v:rect id="_x0000_i1030" style="width:0;height:1.5pt" o:hralign="center" o:hrstd="t" o:hr="t" fillcolor="#a0a0a0" stroked="f"/>
        </w:pict>
      </w:r>
    </w:p>
    <w:p w14:paraId="2B35859C"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VI. Conclusion</w:t>
      </w:r>
    </w:p>
    <w:p w14:paraId="3F538E6F"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The emergence of antibiotic resistance in microbial populations is a multifaceted challenge that threatens public health globally. The evolution of resistance is driven by genetic mutations, horizontal gene transfer, and environmental pressures such as antibiotic overuse and misuse. Understanding the mechanisms behind resistance and the factors contributing to its spread is crucial for developing effective treatment strategies. Future efforts should focus on innovative therapies, improved stewardship practices, and coordinated public health policies to mitigate the rise of resistant bacteria and safeguard global health.</w:t>
      </w:r>
    </w:p>
    <w:p w14:paraId="038C0D39" w14:textId="77777777" w:rsidR="006E5623" w:rsidRPr="006E5623" w:rsidRDefault="006E5623" w:rsidP="006E5623">
      <w:pPr>
        <w:spacing w:after="0"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pict w14:anchorId="35CA30C9">
          <v:rect id="_x0000_i1031" style="width:0;height:1.5pt" o:hralign="center" o:hrstd="t" o:hr="t" fillcolor="#a0a0a0" stroked="f"/>
        </w:pict>
      </w:r>
    </w:p>
    <w:p w14:paraId="2EE3EF77" w14:textId="77777777" w:rsidR="006E5623" w:rsidRPr="006E5623" w:rsidRDefault="006E5623" w:rsidP="006E5623">
      <w:p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b/>
          <w:bCs/>
          <w:i/>
          <w:iCs/>
          <w:sz w:val="24"/>
          <w:szCs w:val="24"/>
        </w:rPr>
        <w:t>VII. References</w:t>
      </w:r>
    </w:p>
    <w:p w14:paraId="79668510"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 xml:space="preserve">Abeles, Shira R, Pride, David T. "Molecular bases and role of viruses in the human microbiome." </w:t>
      </w:r>
      <w:proofErr w:type="spellStart"/>
      <w:r w:rsidRPr="006E5623">
        <w:rPr>
          <w:rFonts w:ascii="Times New Roman" w:eastAsia="Times New Roman" w:hAnsi="Times New Roman" w:cs="Times New Roman"/>
          <w:i/>
          <w:iCs/>
          <w:sz w:val="24"/>
          <w:szCs w:val="24"/>
        </w:rPr>
        <w:t>eScholarship</w:t>
      </w:r>
      <w:proofErr w:type="spellEnd"/>
      <w:r w:rsidRPr="006E5623">
        <w:rPr>
          <w:rFonts w:ascii="Times New Roman" w:eastAsia="Times New Roman" w:hAnsi="Times New Roman" w:cs="Times New Roman"/>
          <w:i/>
          <w:iCs/>
          <w:sz w:val="24"/>
          <w:szCs w:val="24"/>
        </w:rPr>
        <w:t xml:space="preserve">, University of California, 2014. </w:t>
      </w:r>
      <w:hyperlink r:id="rId5" w:tgtFrame="_new" w:history="1">
        <w:r w:rsidRPr="006E5623">
          <w:rPr>
            <w:rFonts w:ascii="Times New Roman" w:eastAsia="Times New Roman" w:hAnsi="Times New Roman" w:cs="Times New Roman"/>
            <w:i/>
            <w:iCs/>
            <w:color w:val="0000FF"/>
            <w:sz w:val="24"/>
            <w:szCs w:val="24"/>
            <w:u w:val="single"/>
          </w:rPr>
          <w:t>Link</w:t>
        </w:r>
      </w:hyperlink>
    </w:p>
    <w:p w14:paraId="6D0BB909"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 xml:space="preserve">Langevin, Ariel Marie. "Dynamics and evolution of efflux pump-mediated antibiotic resistance". 2021. </w:t>
      </w:r>
      <w:hyperlink r:id="rId6" w:tgtFrame="_new" w:history="1">
        <w:r w:rsidRPr="006E5623">
          <w:rPr>
            <w:rFonts w:ascii="Times New Roman" w:eastAsia="Times New Roman" w:hAnsi="Times New Roman" w:cs="Times New Roman"/>
            <w:i/>
            <w:iCs/>
            <w:color w:val="0000FF"/>
            <w:sz w:val="24"/>
            <w:szCs w:val="24"/>
            <w:u w:val="single"/>
          </w:rPr>
          <w:t>Link</w:t>
        </w:r>
      </w:hyperlink>
    </w:p>
    <w:p w14:paraId="75C682C8"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Niemeyer, Christof M., Rabe, Kersten S., Späth, Georg P., Zoheir, et al. "Microfluidic Evolution-On-A-</w:t>
      </w:r>
      <w:r w:rsidRPr="006E5623">
        <w:rPr>
          <w:rFonts w:ascii="Times New Roman" w:eastAsia="Times New Roman" w:hAnsi="Times New Roman" w:cs="Times New Roman"/>
          <w:i/>
          <w:iCs/>
          <w:sz w:val="24"/>
          <w:szCs w:val="24"/>
        </w:rPr>
        <w:t xml:space="preserve">Chip Reveals New Mutations that Cause Antibiotic Resistance". John Wiley and Sons, 2021. </w:t>
      </w:r>
      <w:hyperlink r:id="rId7" w:tgtFrame="_new" w:history="1">
        <w:r w:rsidRPr="006E5623">
          <w:rPr>
            <w:rFonts w:ascii="Times New Roman" w:eastAsia="Times New Roman" w:hAnsi="Times New Roman" w:cs="Times New Roman"/>
            <w:i/>
            <w:iCs/>
            <w:color w:val="0000FF"/>
            <w:sz w:val="24"/>
            <w:szCs w:val="24"/>
            <w:u w:val="single"/>
          </w:rPr>
          <w:t>Link</w:t>
        </w:r>
      </w:hyperlink>
    </w:p>
    <w:p w14:paraId="5B941DE1"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 xml:space="preserve">Holzinger, A., Fraser, C., Thomas, C.M., </w:t>
      </w:r>
      <w:proofErr w:type="spellStart"/>
      <w:r w:rsidRPr="006E5623">
        <w:rPr>
          <w:rFonts w:ascii="Times New Roman" w:eastAsia="Times New Roman" w:hAnsi="Times New Roman" w:cs="Times New Roman"/>
          <w:i/>
          <w:iCs/>
          <w:sz w:val="24"/>
          <w:szCs w:val="24"/>
        </w:rPr>
        <w:t>Woese</w:t>
      </w:r>
      <w:proofErr w:type="spellEnd"/>
      <w:r w:rsidRPr="006E5623">
        <w:rPr>
          <w:rFonts w:ascii="Times New Roman" w:eastAsia="Times New Roman" w:hAnsi="Times New Roman" w:cs="Times New Roman"/>
          <w:i/>
          <w:iCs/>
          <w:sz w:val="24"/>
          <w:szCs w:val="24"/>
        </w:rPr>
        <w:t xml:space="preserve">, C.R., Meyer, F., Carlsson, G., Ochman, H., et al. "Characterizing Scales of Genetic Recombination and Antibiotic Resistance in Pathogenic Bacteria Using Topological Data Analysis." 2014. </w:t>
      </w:r>
      <w:hyperlink r:id="rId8" w:tgtFrame="_new" w:history="1">
        <w:r w:rsidRPr="006E5623">
          <w:rPr>
            <w:rFonts w:ascii="Times New Roman" w:eastAsia="Times New Roman" w:hAnsi="Times New Roman" w:cs="Times New Roman"/>
            <w:i/>
            <w:iCs/>
            <w:color w:val="0000FF"/>
            <w:sz w:val="24"/>
            <w:szCs w:val="24"/>
            <w:u w:val="single"/>
          </w:rPr>
          <w:t>Link</w:t>
        </w:r>
      </w:hyperlink>
    </w:p>
    <w:p w14:paraId="5C4B17E1"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proofErr w:type="spellStart"/>
      <w:r w:rsidRPr="006E5623">
        <w:rPr>
          <w:rFonts w:ascii="Times New Roman" w:eastAsia="Times New Roman" w:hAnsi="Times New Roman" w:cs="Times New Roman"/>
          <w:i/>
          <w:iCs/>
          <w:sz w:val="24"/>
          <w:szCs w:val="24"/>
        </w:rPr>
        <w:t>Vandeplassche</w:t>
      </w:r>
      <w:proofErr w:type="spellEnd"/>
      <w:r w:rsidRPr="006E5623">
        <w:rPr>
          <w:rFonts w:ascii="Times New Roman" w:eastAsia="Times New Roman" w:hAnsi="Times New Roman" w:cs="Times New Roman"/>
          <w:i/>
          <w:iCs/>
          <w:sz w:val="24"/>
          <w:szCs w:val="24"/>
        </w:rPr>
        <w:t xml:space="preserve">, E., </w:t>
      </w:r>
      <w:proofErr w:type="spellStart"/>
      <w:r w:rsidRPr="006E5623">
        <w:rPr>
          <w:rFonts w:ascii="Times New Roman" w:eastAsia="Times New Roman" w:hAnsi="Times New Roman" w:cs="Times New Roman"/>
          <w:i/>
          <w:iCs/>
          <w:sz w:val="24"/>
          <w:szCs w:val="24"/>
        </w:rPr>
        <w:t>Saß</w:t>
      </w:r>
      <w:proofErr w:type="spellEnd"/>
      <w:r w:rsidRPr="006E5623">
        <w:rPr>
          <w:rFonts w:ascii="Times New Roman" w:eastAsia="Times New Roman" w:hAnsi="Times New Roman" w:cs="Times New Roman"/>
          <w:i/>
          <w:iCs/>
          <w:sz w:val="24"/>
          <w:szCs w:val="24"/>
        </w:rPr>
        <w:t xml:space="preserve">, A., </w:t>
      </w:r>
      <w:proofErr w:type="spellStart"/>
      <w:r w:rsidRPr="006E5623">
        <w:rPr>
          <w:rFonts w:ascii="Times New Roman" w:eastAsia="Times New Roman" w:hAnsi="Times New Roman" w:cs="Times New Roman"/>
          <w:i/>
          <w:iCs/>
          <w:sz w:val="24"/>
          <w:szCs w:val="24"/>
        </w:rPr>
        <w:t>Lemarcq</w:t>
      </w:r>
      <w:proofErr w:type="spellEnd"/>
      <w:r w:rsidRPr="006E5623">
        <w:rPr>
          <w:rFonts w:ascii="Times New Roman" w:eastAsia="Times New Roman" w:hAnsi="Times New Roman" w:cs="Times New Roman"/>
          <w:i/>
          <w:iCs/>
          <w:sz w:val="24"/>
          <w:szCs w:val="24"/>
        </w:rPr>
        <w:t xml:space="preserve">, A., Dandekar, A.A., </w:t>
      </w:r>
      <w:proofErr w:type="spellStart"/>
      <w:r w:rsidRPr="006E5623">
        <w:rPr>
          <w:rFonts w:ascii="Times New Roman" w:eastAsia="Times New Roman" w:hAnsi="Times New Roman" w:cs="Times New Roman"/>
          <w:i/>
          <w:iCs/>
          <w:sz w:val="24"/>
          <w:szCs w:val="24"/>
        </w:rPr>
        <w:t>Coenye</w:t>
      </w:r>
      <w:proofErr w:type="spellEnd"/>
      <w:r w:rsidRPr="006E5623">
        <w:rPr>
          <w:rFonts w:ascii="Times New Roman" w:eastAsia="Times New Roman" w:hAnsi="Times New Roman" w:cs="Times New Roman"/>
          <w:i/>
          <w:iCs/>
          <w:sz w:val="24"/>
          <w:szCs w:val="24"/>
        </w:rPr>
        <w:t xml:space="preserve">, T., </w:t>
      </w:r>
      <w:proofErr w:type="spellStart"/>
      <w:r w:rsidRPr="006E5623">
        <w:rPr>
          <w:rFonts w:ascii="Times New Roman" w:eastAsia="Times New Roman" w:hAnsi="Times New Roman" w:cs="Times New Roman"/>
          <w:i/>
          <w:iCs/>
          <w:sz w:val="24"/>
          <w:szCs w:val="24"/>
        </w:rPr>
        <w:t>Crabbé</w:t>
      </w:r>
      <w:proofErr w:type="spellEnd"/>
      <w:r w:rsidRPr="006E5623">
        <w:rPr>
          <w:rFonts w:ascii="Times New Roman" w:eastAsia="Times New Roman" w:hAnsi="Times New Roman" w:cs="Times New Roman"/>
          <w:i/>
          <w:iCs/>
          <w:sz w:val="24"/>
          <w:szCs w:val="24"/>
        </w:rPr>
        <w:t xml:space="preserve">, A. "In vitro evolution of Pseudomonas aeruginosa AA2 biofilms in the presence of cystic fibrosis lung microbiome members." Scientific Reports, 2019. </w:t>
      </w:r>
      <w:hyperlink r:id="rId9" w:tgtFrame="_new" w:history="1">
        <w:r w:rsidRPr="006E5623">
          <w:rPr>
            <w:rFonts w:ascii="Times New Roman" w:eastAsia="Times New Roman" w:hAnsi="Times New Roman" w:cs="Times New Roman"/>
            <w:i/>
            <w:iCs/>
            <w:color w:val="0000FF"/>
            <w:sz w:val="24"/>
            <w:szCs w:val="24"/>
            <w:u w:val="single"/>
          </w:rPr>
          <w:t>Link</w:t>
        </w:r>
      </w:hyperlink>
    </w:p>
    <w:p w14:paraId="47DFF618"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 xml:space="preserve">Cryan, J.F., O’Riordan, K.J., Cowan, C.S.M., Sandhu, K.V., </w:t>
      </w:r>
      <w:proofErr w:type="spellStart"/>
      <w:r w:rsidRPr="006E5623">
        <w:rPr>
          <w:rFonts w:ascii="Times New Roman" w:eastAsia="Times New Roman" w:hAnsi="Times New Roman" w:cs="Times New Roman"/>
          <w:i/>
          <w:iCs/>
          <w:sz w:val="24"/>
          <w:szCs w:val="24"/>
        </w:rPr>
        <w:t>Bastiaanssen</w:t>
      </w:r>
      <w:proofErr w:type="spellEnd"/>
      <w:r w:rsidRPr="006E5623">
        <w:rPr>
          <w:rFonts w:ascii="Times New Roman" w:eastAsia="Times New Roman" w:hAnsi="Times New Roman" w:cs="Times New Roman"/>
          <w:i/>
          <w:iCs/>
          <w:sz w:val="24"/>
          <w:szCs w:val="24"/>
        </w:rPr>
        <w:t xml:space="preserve">, T.F.S., Boehme, M., </w:t>
      </w:r>
      <w:proofErr w:type="spellStart"/>
      <w:r w:rsidRPr="006E5623">
        <w:rPr>
          <w:rFonts w:ascii="Times New Roman" w:eastAsia="Times New Roman" w:hAnsi="Times New Roman" w:cs="Times New Roman"/>
          <w:i/>
          <w:iCs/>
          <w:sz w:val="24"/>
          <w:szCs w:val="24"/>
        </w:rPr>
        <w:t>Codagnone</w:t>
      </w:r>
      <w:proofErr w:type="spellEnd"/>
      <w:r w:rsidRPr="006E5623">
        <w:rPr>
          <w:rFonts w:ascii="Times New Roman" w:eastAsia="Times New Roman" w:hAnsi="Times New Roman" w:cs="Times New Roman"/>
          <w:i/>
          <w:iCs/>
          <w:sz w:val="24"/>
          <w:szCs w:val="24"/>
        </w:rPr>
        <w:t xml:space="preserve">, M.G., et al. "The Microbiota-Gut-Brain Axis." Physiological Reviews, 2019. </w:t>
      </w:r>
      <w:hyperlink r:id="rId10" w:tgtFrame="_new" w:history="1">
        <w:r w:rsidRPr="006E5623">
          <w:rPr>
            <w:rFonts w:ascii="Times New Roman" w:eastAsia="Times New Roman" w:hAnsi="Times New Roman" w:cs="Times New Roman"/>
            <w:i/>
            <w:iCs/>
            <w:color w:val="0000FF"/>
            <w:sz w:val="24"/>
            <w:szCs w:val="24"/>
            <w:u w:val="single"/>
          </w:rPr>
          <w:t>Link</w:t>
        </w:r>
      </w:hyperlink>
    </w:p>
    <w:p w14:paraId="75F0CB03"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proofErr w:type="spellStart"/>
      <w:r w:rsidRPr="006E5623">
        <w:rPr>
          <w:rFonts w:ascii="Times New Roman" w:eastAsia="Times New Roman" w:hAnsi="Times New Roman" w:cs="Times New Roman"/>
          <w:i/>
          <w:iCs/>
          <w:sz w:val="24"/>
          <w:szCs w:val="24"/>
        </w:rPr>
        <w:t>Muteeb</w:t>
      </w:r>
      <w:proofErr w:type="spellEnd"/>
      <w:r w:rsidRPr="006E5623">
        <w:rPr>
          <w:rFonts w:ascii="Times New Roman" w:eastAsia="Times New Roman" w:hAnsi="Times New Roman" w:cs="Times New Roman"/>
          <w:i/>
          <w:iCs/>
          <w:sz w:val="24"/>
          <w:szCs w:val="24"/>
        </w:rPr>
        <w:t xml:space="preserve">, G., Rehman, M.T., Shahwan, M., Aatif, M. "Origin of Antibiotics and Antibiotic Resistance, and Their Impacts on Drug Development: A Narrative Review". Pharmaceuticals, 2023. </w:t>
      </w:r>
      <w:hyperlink r:id="rId11" w:tgtFrame="_new" w:history="1">
        <w:r w:rsidRPr="006E5623">
          <w:rPr>
            <w:rFonts w:ascii="Times New Roman" w:eastAsia="Times New Roman" w:hAnsi="Times New Roman" w:cs="Times New Roman"/>
            <w:i/>
            <w:iCs/>
            <w:color w:val="0000FF"/>
            <w:sz w:val="24"/>
            <w:szCs w:val="24"/>
            <w:u w:val="single"/>
          </w:rPr>
          <w:t>Link</w:t>
        </w:r>
      </w:hyperlink>
    </w:p>
    <w:p w14:paraId="31A91931"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 xml:space="preserve">Cella, E., Giovanetti, M., Benedetti, F., Scarpa, F., Johnston, C., </w:t>
      </w:r>
      <w:proofErr w:type="spellStart"/>
      <w:r w:rsidRPr="006E5623">
        <w:rPr>
          <w:rFonts w:ascii="Times New Roman" w:eastAsia="Times New Roman" w:hAnsi="Times New Roman" w:cs="Times New Roman"/>
          <w:i/>
          <w:iCs/>
          <w:sz w:val="24"/>
          <w:szCs w:val="24"/>
        </w:rPr>
        <w:t>Borsetti</w:t>
      </w:r>
      <w:proofErr w:type="spellEnd"/>
      <w:r w:rsidRPr="006E5623">
        <w:rPr>
          <w:rFonts w:ascii="Times New Roman" w:eastAsia="Times New Roman" w:hAnsi="Times New Roman" w:cs="Times New Roman"/>
          <w:i/>
          <w:iCs/>
          <w:sz w:val="24"/>
          <w:szCs w:val="24"/>
        </w:rPr>
        <w:t xml:space="preserve">, A., Ceccarelli, G., et al. "Joining Forces against Antibiotic Resistance: The One Health Solution". Pathogens, 2023. </w:t>
      </w:r>
      <w:hyperlink r:id="rId12" w:tgtFrame="_new" w:history="1">
        <w:r w:rsidRPr="006E5623">
          <w:rPr>
            <w:rFonts w:ascii="Times New Roman" w:eastAsia="Times New Roman" w:hAnsi="Times New Roman" w:cs="Times New Roman"/>
            <w:i/>
            <w:iCs/>
            <w:color w:val="0000FF"/>
            <w:sz w:val="24"/>
            <w:szCs w:val="24"/>
            <w:u w:val="single"/>
          </w:rPr>
          <w:t>Link</w:t>
        </w:r>
      </w:hyperlink>
    </w:p>
    <w:p w14:paraId="3F38443E" w14:textId="77777777" w:rsidR="006E5623" w:rsidRPr="006E5623" w:rsidRDefault="006E5623" w:rsidP="006E5623">
      <w:pPr>
        <w:numPr>
          <w:ilvl w:val="0"/>
          <w:numId w:val="4"/>
        </w:numPr>
        <w:spacing w:before="100" w:beforeAutospacing="1" w:after="100" w:afterAutospacing="1" w:line="240" w:lineRule="auto"/>
        <w:rPr>
          <w:rFonts w:ascii="Times New Roman" w:eastAsia="Times New Roman" w:hAnsi="Times New Roman" w:cs="Times New Roman"/>
          <w:i/>
          <w:iCs/>
          <w:sz w:val="24"/>
          <w:szCs w:val="24"/>
        </w:rPr>
      </w:pPr>
      <w:r w:rsidRPr="006E5623">
        <w:rPr>
          <w:rFonts w:ascii="Times New Roman" w:eastAsia="Times New Roman" w:hAnsi="Times New Roman" w:cs="Times New Roman"/>
          <w:i/>
          <w:iCs/>
          <w:sz w:val="24"/>
          <w:szCs w:val="24"/>
        </w:rPr>
        <w:t xml:space="preserve">Lee, I.P.A., </w:t>
      </w:r>
      <w:proofErr w:type="spellStart"/>
      <w:r w:rsidRPr="006E5623">
        <w:rPr>
          <w:rFonts w:ascii="Times New Roman" w:eastAsia="Times New Roman" w:hAnsi="Times New Roman" w:cs="Times New Roman"/>
          <w:i/>
          <w:iCs/>
          <w:sz w:val="24"/>
          <w:szCs w:val="24"/>
        </w:rPr>
        <w:t>Eldakar</w:t>
      </w:r>
      <w:proofErr w:type="spellEnd"/>
      <w:r w:rsidRPr="006E5623">
        <w:rPr>
          <w:rFonts w:ascii="Times New Roman" w:eastAsia="Times New Roman" w:hAnsi="Times New Roman" w:cs="Times New Roman"/>
          <w:i/>
          <w:iCs/>
          <w:sz w:val="24"/>
          <w:szCs w:val="24"/>
        </w:rPr>
        <w:t xml:space="preserve">, O.T., </w:t>
      </w:r>
      <w:proofErr w:type="spellStart"/>
      <w:r w:rsidRPr="006E5623">
        <w:rPr>
          <w:rFonts w:ascii="Times New Roman" w:eastAsia="Times New Roman" w:hAnsi="Times New Roman" w:cs="Times New Roman"/>
          <w:i/>
          <w:iCs/>
          <w:sz w:val="24"/>
          <w:szCs w:val="24"/>
        </w:rPr>
        <w:t>Gogarten</w:t>
      </w:r>
      <w:proofErr w:type="spellEnd"/>
      <w:r w:rsidRPr="006E5623">
        <w:rPr>
          <w:rFonts w:ascii="Times New Roman" w:eastAsia="Times New Roman" w:hAnsi="Times New Roman" w:cs="Times New Roman"/>
          <w:i/>
          <w:iCs/>
          <w:sz w:val="24"/>
          <w:szCs w:val="24"/>
        </w:rPr>
        <w:t xml:space="preserve">, J.P., Andam, C.P. "Bacterial cooperation through horizontal gene transfer". Trends in Ecology &amp; Evolution, 2021. </w:t>
      </w:r>
      <w:hyperlink r:id="rId13" w:tgtFrame="_new" w:history="1">
        <w:r w:rsidRPr="006E5623">
          <w:rPr>
            <w:rFonts w:ascii="Times New Roman" w:eastAsia="Times New Roman" w:hAnsi="Times New Roman" w:cs="Times New Roman"/>
            <w:i/>
            <w:iCs/>
            <w:color w:val="0000FF"/>
            <w:sz w:val="24"/>
            <w:szCs w:val="24"/>
            <w:u w:val="single"/>
          </w:rPr>
          <w:t>Link</w:t>
        </w:r>
      </w:hyperlink>
    </w:p>
    <w:p w14:paraId="6B3312F6" w14:textId="77777777" w:rsidR="006E5623" w:rsidRDefault="006E5623" w:rsidP="006E5623">
      <w:pPr>
        <w:spacing w:line="240" w:lineRule="auto"/>
        <w:rPr>
          <w:i/>
          <w:iCs/>
        </w:rPr>
        <w:sectPr w:rsidR="006E5623" w:rsidSect="006E5623">
          <w:type w:val="continuous"/>
          <w:pgSz w:w="12240" w:h="15840"/>
          <w:pgMar w:top="1440" w:right="1440" w:bottom="1440" w:left="1440" w:header="720" w:footer="720" w:gutter="0"/>
          <w:cols w:num="2" w:space="720"/>
          <w:docGrid w:linePitch="360"/>
        </w:sectPr>
      </w:pPr>
    </w:p>
    <w:p w14:paraId="3795A0F0" w14:textId="709DA796" w:rsidR="00C24048" w:rsidRPr="006E5623" w:rsidRDefault="00C24048" w:rsidP="006E5623">
      <w:pPr>
        <w:spacing w:line="240" w:lineRule="auto"/>
        <w:rPr>
          <w:i/>
          <w:iCs/>
        </w:rPr>
      </w:pPr>
    </w:p>
    <w:sectPr w:rsidR="00C24048" w:rsidRPr="006E5623" w:rsidSect="006E5623">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105EF9"/>
    <w:multiLevelType w:val="multilevel"/>
    <w:tmpl w:val="8B5CF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E625A"/>
    <w:multiLevelType w:val="multilevel"/>
    <w:tmpl w:val="A6F8E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1E6C8C"/>
    <w:multiLevelType w:val="multilevel"/>
    <w:tmpl w:val="30E04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5D7F8C"/>
    <w:multiLevelType w:val="multilevel"/>
    <w:tmpl w:val="043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623"/>
    <w:rsid w:val="0014028A"/>
    <w:rsid w:val="006E5623"/>
    <w:rsid w:val="00C24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13445"/>
  <w15:chartTrackingRefBased/>
  <w15:docId w15:val="{AAA13E24-BC94-46A3-AEAF-AF29D2EF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E56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5623"/>
    <w:rPr>
      <w:b/>
      <w:bCs/>
    </w:rPr>
  </w:style>
  <w:style w:type="paragraph" w:customStyle="1" w:styleId="Author">
    <w:name w:val="Author"/>
    <w:rsid w:val="006E5623"/>
    <w:pPr>
      <w:spacing w:before="360" w:after="40" w:line="240" w:lineRule="auto"/>
      <w:jc w:val="center"/>
    </w:pPr>
    <w:rPr>
      <w:rFonts w:ascii="Times New Roman" w:eastAsia="SimSun" w:hAnsi="Times New Roman" w:cs="Times New Roman"/>
      <w:noProof/>
    </w:rPr>
  </w:style>
  <w:style w:type="character" w:styleId="Emphasis">
    <w:name w:val="Emphasis"/>
    <w:basedOn w:val="DefaultParagraphFont"/>
    <w:uiPriority w:val="20"/>
    <w:qFormat/>
    <w:rsid w:val="006E5623"/>
    <w:rPr>
      <w:i/>
      <w:iCs/>
    </w:rPr>
  </w:style>
  <w:style w:type="character" w:styleId="Hyperlink">
    <w:name w:val="Hyperlink"/>
    <w:basedOn w:val="DefaultParagraphFont"/>
    <w:uiPriority w:val="99"/>
    <w:semiHidden/>
    <w:unhideWhenUsed/>
    <w:rsid w:val="006E562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326056">
      <w:bodyDiv w:val="1"/>
      <w:marLeft w:val="0"/>
      <w:marRight w:val="0"/>
      <w:marTop w:val="0"/>
      <w:marBottom w:val="0"/>
      <w:divBdr>
        <w:top w:val="none" w:sz="0" w:space="0" w:color="auto"/>
        <w:left w:val="none" w:sz="0" w:space="0" w:color="auto"/>
        <w:bottom w:val="none" w:sz="0" w:space="0" w:color="auto"/>
        <w:right w:val="none" w:sz="0" w:space="0" w:color="auto"/>
      </w:divBdr>
    </w:div>
    <w:div w:id="183567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rxiv.org/abs/1406.1219" TargetMode="External"/><Relationship Id="rId13" Type="http://schemas.openxmlformats.org/officeDocument/2006/relationships/hyperlink" Target="https://doi.org/10.1016/j.tree.2021.11.006" TargetMode="External"/><Relationship Id="rId3" Type="http://schemas.openxmlformats.org/officeDocument/2006/relationships/settings" Target="settings.xml"/><Relationship Id="rId7" Type="http://schemas.openxmlformats.org/officeDocument/2006/relationships/hyperlink" Target="https://core.ac.uk/download/395743107.pdf" TargetMode="External"/><Relationship Id="rId12" Type="http://schemas.openxmlformats.org/officeDocument/2006/relationships/hyperlink" Target="https://doi.org/10.3390/pathogens120910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e.ac.uk/download/372779535.pdf" TargetMode="External"/><Relationship Id="rId11" Type="http://schemas.openxmlformats.org/officeDocument/2006/relationships/hyperlink" Target="https://doi.org/10.3390/ph16111615" TargetMode="External"/><Relationship Id="rId5" Type="http://schemas.openxmlformats.org/officeDocument/2006/relationships/hyperlink" Target="https://core.ac.uk/download/323066351.pdf" TargetMode="External"/><Relationship Id="rId15" Type="http://schemas.openxmlformats.org/officeDocument/2006/relationships/theme" Target="theme/theme1.xml"/><Relationship Id="rId10" Type="http://schemas.openxmlformats.org/officeDocument/2006/relationships/hyperlink" Target="https://doi.org/10.1152/physrev.00018.2018" TargetMode="External"/><Relationship Id="rId4" Type="http://schemas.openxmlformats.org/officeDocument/2006/relationships/webSettings" Target="webSettings.xml"/><Relationship Id="rId9" Type="http://schemas.openxmlformats.org/officeDocument/2006/relationships/hyperlink" Target="https://doi.org/10.1038/s41598-019-49371-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1235</Words>
  <Characters>7044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Shakib</dc:creator>
  <cp:keywords/>
  <dc:description/>
  <cp:lastModifiedBy>Kazi Shakib</cp:lastModifiedBy>
  <cp:revision>1</cp:revision>
  <dcterms:created xsi:type="dcterms:W3CDTF">2025-01-08T19:19:00Z</dcterms:created>
  <dcterms:modified xsi:type="dcterms:W3CDTF">2025-01-08T20:09:00Z</dcterms:modified>
</cp:coreProperties>
</file>