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mbria" w:eastAsia="Times New Roman" w:hAnsi="Cambria" w:cs="Times New Roman"/>
          <w:color w:val="000000"/>
          <w:sz w:val="24"/>
          <w:szCs w:val="24"/>
        </w:rPr>
        <w:id w:val="280926913"/>
        <w:docPartObj>
          <w:docPartGallery w:val="Cover Pages"/>
          <w:docPartUnique/>
        </w:docPartObj>
      </w:sdtPr>
      <w:sdtContent>
        <w:p w14:paraId="377554A3" w14:textId="754A0399" w:rsidR="00D2196C" w:rsidRPr="00D2196C" w:rsidRDefault="00D2196C" w:rsidP="00D2196C">
          <w:pPr>
            <w:spacing w:after="0" w:line="240" w:lineRule="auto"/>
            <w:jc w:val="center"/>
            <w:textAlignment w:val="baseline"/>
            <w:rPr>
              <w:rFonts w:ascii="Cambria" w:eastAsia="Times New Roman" w:hAnsi="Cambria" w:cs="Times New Roman"/>
              <w:b/>
              <w:bCs/>
              <w:color w:val="000000"/>
              <w:sz w:val="36"/>
              <w:szCs w:val="36"/>
            </w:rPr>
          </w:pPr>
          <w:r>
            <w:rPr>
              <w:rFonts w:ascii="Cambria" w:eastAsia="Times New Roman" w:hAnsi="Cambria" w:cs="Times New Roman"/>
              <w:b/>
              <w:bCs/>
              <w:color w:val="000000"/>
              <w:sz w:val="36"/>
              <w:szCs w:val="36"/>
            </w:rPr>
            <w:t>Research Article</w:t>
          </w:r>
        </w:p>
        <w:p w14:paraId="2B3CCDD4" w14:textId="77777777" w:rsidR="00D2196C" w:rsidRPr="00D2196C" w:rsidRDefault="00D2196C" w:rsidP="00D2196C">
          <w:pPr>
            <w:spacing w:after="0" w:line="240" w:lineRule="auto"/>
            <w:textAlignment w:val="baseline"/>
            <w:rPr>
              <w:rFonts w:ascii="Cambria" w:eastAsia="Times New Roman" w:hAnsi="Cambria" w:cs="Times New Roman"/>
              <w:color w:val="000000"/>
              <w:sz w:val="24"/>
              <w:szCs w:val="24"/>
            </w:rPr>
          </w:pPr>
        </w:p>
        <w:p w14:paraId="56B11070"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36"/>
              <w:szCs w:val="36"/>
            </w:rPr>
          </w:pPr>
        </w:p>
        <w:p w14:paraId="61D06B08"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18"/>
              <w:szCs w:val="18"/>
            </w:rPr>
          </w:pPr>
          <w:r w:rsidRPr="00D2196C">
            <w:rPr>
              <w:rFonts w:ascii="Cambria" w:eastAsia="Calibri" w:hAnsi="Cambria" w:cs="Times New Roman"/>
              <w:noProof/>
              <w:color w:val="000000"/>
            </w:rPr>
            <w:drawing>
              <wp:inline distT="0" distB="0" distL="0" distR="0" wp14:anchorId="6528E653" wp14:editId="6D18E208">
                <wp:extent cx="2428875" cy="2438400"/>
                <wp:effectExtent l="0" t="0" r="9525"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8875" cy="2438400"/>
                        </a:xfrm>
                        <a:prstGeom prst="rect">
                          <a:avLst/>
                        </a:prstGeom>
                        <a:noFill/>
                        <a:ln>
                          <a:noFill/>
                        </a:ln>
                      </pic:spPr>
                    </pic:pic>
                  </a:graphicData>
                </a:graphic>
              </wp:inline>
            </w:drawing>
          </w:r>
        </w:p>
        <w:p w14:paraId="13A703A7"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28"/>
              <w:szCs w:val="28"/>
            </w:rPr>
          </w:pPr>
        </w:p>
        <w:p w14:paraId="0943C6CF"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28"/>
              <w:szCs w:val="28"/>
            </w:rPr>
          </w:pPr>
        </w:p>
        <w:p w14:paraId="082E9BF7" w14:textId="65AA4F08" w:rsidR="00D2196C" w:rsidRPr="00D2196C" w:rsidRDefault="00D2196C" w:rsidP="00D2196C">
          <w:pPr>
            <w:spacing w:after="0" w:line="276" w:lineRule="auto"/>
            <w:jc w:val="center"/>
            <w:textAlignment w:val="baseline"/>
            <w:rPr>
              <w:rFonts w:ascii="Cambria" w:eastAsia="Times New Roman" w:hAnsi="Cambria" w:cs="Times New Roman"/>
              <w:b/>
              <w:bCs/>
              <w:color w:val="000000"/>
              <w:sz w:val="32"/>
              <w:szCs w:val="28"/>
            </w:rPr>
          </w:pPr>
          <w:r w:rsidRPr="00D2196C">
            <w:rPr>
              <w:rFonts w:ascii="Cambria" w:eastAsia="Times New Roman" w:hAnsi="Cambria" w:cs="Times New Roman"/>
              <w:b/>
              <w:bCs/>
              <w:color w:val="000000"/>
              <w:sz w:val="32"/>
              <w:szCs w:val="28"/>
            </w:rPr>
            <w:t>The Role of Green Finance in Achieving SDG 7: Affordable and Clean Energy in Developing Countries</w:t>
          </w:r>
        </w:p>
        <w:p w14:paraId="7F21FF02"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28"/>
              <w:szCs w:val="28"/>
            </w:rPr>
          </w:pPr>
        </w:p>
        <w:p w14:paraId="5640FD57" w14:textId="77777777" w:rsidR="00D2196C" w:rsidRPr="00D2196C" w:rsidRDefault="00D2196C" w:rsidP="00D2196C">
          <w:pPr>
            <w:spacing w:after="0" w:line="240" w:lineRule="auto"/>
            <w:textAlignment w:val="baseline"/>
            <w:rPr>
              <w:rFonts w:ascii="Cambria" w:eastAsia="Times New Roman" w:hAnsi="Cambria" w:cs="Times New Roman"/>
              <w:b/>
              <w:bCs/>
              <w:color w:val="000000"/>
              <w:sz w:val="24"/>
              <w:szCs w:val="24"/>
            </w:rPr>
          </w:pPr>
          <w:r w:rsidRPr="00D2196C">
            <w:rPr>
              <w:rFonts w:ascii="Cambria" w:eastAsia="Times New Roman" w:hAnsi="Cambria" w:cs="Times New Roman"/>
              <w:b/>
              <w:bCs/>
              <w:color w:val="000000"/>
              <w:sz w:val="28"/>
              <w:szCs w:val="28"/>
            </w:rPr>
            <w:t>Submitted by</w:t>
          </w:r>
        </w:p>
        <w:p w14:paraId="1643D823" w14:textId="77777777" w:rsidR="00D2196C" w:rsidRPr="00D2196C" w:rsidRDefault="00D2196C" w:rsidP="00D2196C">
          <w:pPr>
            <w:spacing w:after="0" w:line="240" w:lineRule="auto"/>
            <w:jc w:val="both"/>
            <w:textAlignment w:val="baseline"/>
            <w:rPr>
              <w:rFonts w:ascii="Cambria" w:eastAsia="Times New Roman" w:hAnsi="Cambria" w:cs="Times New Roman"/>
              <w:color w:val="000000"/>
              <w:sz w:val="16"/>
              <w:szCs w:val="16"/>
            </w:rPr>
          </w:pPr>
        </w:p>
        <w:p w14:paraId="435917F6" w14:textId="77777777" w:rsidR="00D2196C" w:rsidRDefault="00D2196C" w:rsidP="00D2196C">
          <w:pPr>
            <w:numPr>
              <w:ilvl w:val="0"/>
              <w:numId w:val="14"/>
            </w:numPr>
            <w:spacing w:after="0" w:line="276" w:lineRule="auto"/>
            <w:textAlignment w:val="baseline"/>
            <w:rPr>
              <w:rFonts w:ascii="Cambria" w:eastAsia="Times New Roman" w:hAnsi="Cambria" w:cs="Times New Roman"/>
              <w:b/>
              <w:bCs/>
              <w:color w:val="000000"/>
              <w:sz w:val="28"/>
              <w:szCs w:val="28"/>
            </w:rPr>
          </w:pPr>
          <w:r w:rsidRPr="00D2196C">
            <w:rPr>
              <w:rFonts w:ascii="Cambria" w:eastAsia="Times New Roman" w:hAnsi="Cambria" w:cs="Times New Roman"/>
              <w:b/>
              <w:bCs/>
              <w:color w:val="000000"/>
              <w:sz w:val="28"/>
              <w:szCs w:val="28"/>
            </w:rPr>
            <w:t>Ahmed Ali Qureshi</w:t>
          </w:r>
          <w:r w:rsidRPr="00D2196C">
            <w:rPr>
              <w:rFonts w:ascii="Cambria" w:eastAsia="Times New Roman" w:hAnsi="Cambria" w:cs="Times New Roman"/>
              <w:b/>
              <w:bCs/>
              <w:color w:val="000000"/>
              <w:sz w:val="28"/>
              <w:szCs w:val="28"/>
            </w:rPr>
            <w:tab/>
            <w:t>-</w:t>
          </w:r>
          <w:r w:rsidRPr="00D2196C">
            <w:rPr>
              <w:rFonts w:ascii="Cambria" w:eastAsia="Times New Roman" w:hAnsi="Cambria" w:cs="Times New Roman"/>
              <w:b/>
              <w:bCs/>
              <w:color w:val="000000"/>
              <w:sz w:val="28"/>
              <w:szCs w:val="28"/>
            </w:rPr>
            <w:tab/>
            <w:t>Reg. No: 498822</w:t>
          </w:r>
          <w:r w:rsidRPr="00D2196C">
            <w:rPr>
              <w:rFonts w:ascii="Cambria" w:eastAsia="Times New Roman" w:hAnsi="Cambria" w:cs="Times New Roman"/>
              <w:b/>
              <w:bCs/>
              <w:color w:val="000000"/>
              <w:sz w:val="28"/>
              <w:szCs w:val="28"/>
            </w:rPr>
            <w:tab/>
          </w:r>
        </w:p>
        <w:p w14:paraId="43C76EE9" w14:textId="4BF9070B" w:rsidR="00D2196C" w:rsidRPr="00D2196C" w:rsidRDefault="00D2196C" w:rsidP="00D2196C">
          <w:pPr>
            <w:numPr>
              <w:ilvl w:val="0"/>
              <w:numId w:val="14"/>
            </w:numPr>
            <w:spacing w:after="0" w:line="276" w:lineRule="auto"/>
            <w:textAlignment w:val="baseline"/>
            <w:rPr>
              <w:rFonts w:ascii="Cambria" w:eastAsia="Times New Roman" w:hAnsi="Cambria" w:cs="Times New Roman"/>
              <w:b/>
              <w:bCs/>
              <w:color w:val="000000"/>
              <w:sz w:val="28"/>
              <w:szCs w:val="28"/>
            </w:rPr>
          </w:pPr>
          <w:r w:rsidRPr="00D2196C">
            <w:rPr>
              <w:rFonts w:ascii="Cambria" w:eastAsia="Times New Roman" w:hAnsi="Cambria" w:cs="Times New Roman"/>
              <w:b/>
              <w:bCs/>
              <w:color w:val="000000"/>
              <w:sz w:val="28"/>
              <w:szCs w:val="28"/>
            </w:rPr>
            <w:tab/>
          </w:r>
        </w:p>
        <w:p w14:paraId="16335356" w14:textId="77777777" w:rsid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0A499155"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4A10B7F3"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7E6DB778"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522480C3" w14:textId="78429D3D" w:rsidR="00D2196C" w:rsidRPr="00D2196C" w:rsidRDefault="00D2196C" w:rsidP="00D2196C">
          <w:pPr>
            <w:spacing w:after="0" w:line="240" w:lineRule="auto"/>
            <w:jc w:val="center"/>
            <w:textAlignment w:val="baseline"/>
            <w:rPr>
              <w:rFonts w:ascii="Cambria" w:eastAsia="Times New Roman" w:hAnsi="Cambria" w:cs="Times New Roman"/>
              <w:color w:val="000000"/>
              <w:sz w:val="24"/>
              <w:szCs w:val="24"/>
            </w:rPr>
          </w:pPr>
          <w:r w:rsidRPr="00D2196C">
            <w:rPr>
              <w:rFonts w:ascii="Cambria" w:eastAsia="Times New Roman" w:hAnsi="Cambria" w:cs="Times New Roman"/>
              <w:b/>
              <w:bCs/>
              <w:color w:val="000000"/>
              <w:sz w:val="28"/>
              <w:szCs w:val="28"/>
            </w:rPr>
            <w:t xml:space="preserve">Course: </w:t>
          </w:r>
          <w:r>
            <w:rPr>
              <w:rFonts w:ascii="Cambria" w:eastAsia="Times New Roman" w:hAnsi="Cambria" w:cs="Times New Roman"/>
              <w:b/>
              <w:bCs/>
              <w:color w:val="000000"/>
              <w:sz w:val="28"/>
              <w:szCs w:val="28"/>
            </w:rPr>
            <w:t>Topics in Sustainable Development</w:t>
          </w:r>
          <w:r w:rsidRPr="00D2196C">
            <w:rPr>
              <w:rFonts w:ascii="Cambria" w:eastAsia="Times New Roman" w:hAnsi="Cambria" w:cs="Times New Roman"/>
              <w:b/>
              <w:bCs/>
              <w:color w:val="000000"/>
              <w:sz w:val="28"/>
              <w:szCs w:val="28"/>
            </w:rPr>
            <w:t xml:space="preserve"> (ECO-775)</w:t>
          </w:r>
        </w:p>
        <w:p w14:paraId="5D6C9094"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28F37281"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1E7C988E"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r w:rsidRPr="00D2196C">
            <w:rPr>
              <w:rFonts w:ascii="Cambria" w:eastAsia="Times New Roman" w:hAnsi="Cambria" w:cs="Times New Roman"/>
              <w:b/>
              <w:bCs/>
              <w:color w:val="000000"/>
              <w:sz w:val="28"/>
              <w:szCs w:val="28"/>
            </w:rPr>
            <w:t>Submitted to</w:t>
          </w:r>
        </w:p>
        <w:p w14:paraId="2CF54353" w14:textId="4183A4F4" w:rsidR="00D2196C" w:rsidRPr="00D2196C" w:rsidRDefault="00D2196C" w:rsidP="00D2196C">
          <w:pPr>
            <w:spacing w:after="0" w:line="240" w:lineRule="auto"/>
            <w:jc w:val="center"/>
            <w:textAlignment w:val="baseline"/>
            <w:rPr>
              <w:rFonts w:ascii="Cambria" w:eastAsia="Times New Roman" w:hAnsi="Cambria" w:cs="Times New Roman"/>
              <w:color w:val="000000"/>
              <w:sz w:val="24"/>
              <w:szCs w:val="24"/>
            </w:rPr>
          </w:pPr>
          <w:r w:rsidRPr="00D2196C">
            <w:rPr>
              <w:rFonts w:ascii="Cambria" w:eastAsia="Times New Roman" w:hAnsi="Cambria" w:cs="Times New Roman"/>
              <w:b/>
              <w:bCs/>
              <w:color w:val="000000"/>
              <w:sz w:val="28"/>
              <w:szCs w:val="28"/>
            </w:rPr>
            <w:t xml:space="preserve">Dr. </w:t>
          </w:r>
          <w:r>
            <w:rPr>
              <w:rFonts w:ascii="Cambria" w:eastAsia="Times New Roman" w:hAnsi="Cambria" w:cs="Times New Roman"/>
              <w:b/>
              <w:bCs/>
              <w:color w:val="000000"/>
              <w:sz w:val="28"/>
              <w:szCs w:val="28"/>
            </w:rPr>
            <w:t>Ume Laila</w:t>
          </w:r>
        </w:p>
        <w:p w14:paraId="5824826B"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p>
        <w:p w14:paraId="0BAC36B7"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24"/>
              <w:szCs w:val="24"/>
            </w:rPr>
          </w:pPr>
        </w:p>
        <w:p w14:paraId="68BBB6E9"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r w:rsidRPr="00D2196C">
            <w:rPr>
              <w:rFonts w:ascii="Cambria" w:eastAsia="Times New Roman" w:hAnsi="Cambria" w:cs="Times New Roman"/>
              <w:b/>
              <w:bCs/>
              <w:color w:val="000000"/>
              <w:sz w:val="28"/>
              <w:szCs w:val="28"/>
            </w:rPr>
            <w:t>Department of Climate Change and Sustainable Development,</w:t>
          </w:r>
        </w:p>
        <w:p w14:paraId="0464FDD6" w14:textId="77777777" w:rsidR="00D2196C" w:rsidRPr="00D2196C" w:rsidRDefault="00D2196C" w:rsidP="00D2196C">
          <w:pPr>
            <w:spacing w:after="0" w:line="240" w:lineRule="auto"/>
            <w:jc w:val="center"/>
            <w:textAlignment w:val="baseline"/>
            <w:rPr>
              <w:rFonts w:ascii="Cambria" w:eastAsia="Times New Roman" w:hAnsi="Cambria" w:cs="Times New Roman"/>
              <w:color w:val="000000"/>
              <w:sz w:val="24"/>
              <w:szCs w:val="24"/>
            </w:rPr>
          </w:pPr>
          <w:r w:rsidRPr="00D2196C">
            <w:rPr>
              <w:rFonts w:ascii="Cambria" w:eastAsia="Times New Roman" w:hAnsi="Cambria" w:cs="Times New Roman"/>
              <w:b/>
              <w:bCs/>
              <w:color w:val="000000"/>
              <w:sz w:val="28"/>
              <w:szCs w:val="28"/>
            </w:rPr>
            <w:t>School of Interdisciplinary Engineering and Sciences</w:t>
          </w:r>
        </w:p>
        <w:p w14:paraId="316AB184" w14:textId="77777777" w:rsidR="00D2196C" w:rsidRPr="00D2196C" w:rsidRDefault="00D2196C" w:rsidP="00D2196C">
          <w:pPr>
            <w:spacing w:after="0" w:line="240" w:lineRule="auto"/>
            <w:jc w:val="center"/>
            <w:textAlignment w:val="baseline"/>
            <w:rPr>
              <w:rFonts w:ascii="Cambria" w:eastAsia="Times New Roman" w:hAnsi="Cambria" w:cs="Times New Roman"/>
              <w:b/>
              <w:bCs/>
              <w:color w:val="000000"/>
              <w:sz w:val="28"/>
              <w:szCs w:val="28"/>
            </w:rPr>
          </w:pPr>
          <w:r w:rsidRPr="00D2196C">
            <w:rPr>
              <w:rFonts w:ascii="Cambria" w:eastAsia="Times New Roman" w:hAnsi="Cambria" w:cs="Times New Roman"/>
              <w:b/>
              <w:bCs/>
              <w:color w:val="000000"/>
              <w:sz w:val="28"/>
              <w:szCs w:val="28"/>
            </w:rPr>
            <w:t>National University of Sciences and Technology Islamabad Pakistan</w:t>
          </w:r>
        </w:p>
      </w:sdtContent>
    </w:sdt>
    <w:p w14:paraId="41236C90" w14:textId="725C078B" w:rsidR="00690C0A" w:rsidRPr="00690C0A" w:rsidRDefault="00D2196C" w:rsidP="00D2196C">
      <w:pPr>
        <w:rPr>
          <w:rFonts w:eastAsia="Times New Roman" w:cstheme="minorHAnsi"/>
          <w:b/>
          <w:bCs/>
          <w:sz w:val="28"/>
          <w:szCs w:val="27"/>
        </w:rPr>
      </w:pPr>
      <w:r>
        <w:rPr>
          <w:rFonts w:eastAsia="Times New Roman" w:cstheme="minorHAnsi"/>
          <w:b/>
          <w:bCs/>
          <w:sz w:val="28"/>
          <w:szCs w:val="27"/>
        </w:rPr>
        <w:br w:type="page"/>
      </w:r>
      <w:r w:rsidR="00690C0A" w:rsidRPr="004A1AF7">
        <w:rPr>
          <w:rFonts w:eastAsia="Times New Roman" w:cstheme="minorHAnsi"/>
          <w:b/>
          <w:bCs/>
          <w:sz w:val="28"/>
          <w:szCs w:val="27"/>
        </w:rPr>
        <w:lastRenderedPageBreak/>
        <w:t>The Role of Green Finance in Achieving SDG 7: Affordable and Clean Energy in Developing Countries</w:t>
      </w:r>
    </w:p>
    <w:p w14:paraId="70832236" w14:textId="77777777" w:rsidR="00690C0A" w:rsidRPr="004A1AF7" w:rsidRDefault="00690C0A" w:rsidP="009C2611">
      <w:pPr>
        <w:spacing w:before="100" w:beforeAutospacing="1" w:after="100" w:afterAutospacing="1" w:line="240" w:lineRule="auto"/>
        <w:jc w:val="both"/>
        <w:outlineLvl w:val="3"/>
        <w:rPr>
          <w:rFonts w:eastAsia="Times New Roman" w:cstheme="minorHAnsi"/>
          <w:b/>
          <w:bCs/>
          <w:sz w:val="24"/>
        </w:rPr>
      </w:pPr>
      <w:r w:rsidRPr="004A1AF7">
        <w:rPr>
          <w:rFonts w:eastAsia="Times New Roman" w:cstheme="minorHAnsi"/>
          <w:b/>
          <w:bCs/>
          <w:sz w:val="24"/>
        </w:rPr>
        <w:t>Abstract</w:t>
      </w:r>
    </w:p>
    <w:p w14:paraId="71C46168" w14:textId="2AEABD41"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The Sustainable Development Goal (SDG) 7—Affordable and Clean Energy—is integral to achieving inclusive and sustainable economic growth. However, developing countries face significant barriers, including inadequate infrastructure and limited access to </w:t>
      </w:r>
      <w:r w:rsidR="009C2611" w:rsidRPr="004A1AF7">
        <w:rPr>
          <w:rFonts w:eastAsia="Times New Roman" w:cstheme="minorHAnsi"/>
        </w:rPr>
        <w:t>finance that</w:t>
      </w:r>
      <w:r w:rsidRPr="004A1AF7">
        <w:rPr>
          <w:rFonts w:eastAsia="Times New Roman" w:cstheme="minorHAnsi"/>
        </w:rPr>
        <w:t xml:space="preserve"> hinder progress toward this goal. Green finance, encompassing mechanisms like green bonds, carbon credits, and public-private partnerships, offers a transformative approach to addressing these challenges. This paper examines the role of green finance in achieving SDG 7, focusing on its potential contributions, existing barriers, and untapped opportunities. Furthermore, it explores how policies and international mechanisms influence the green finance landscape in developing nations. Drawing on an extensive literature review, the findings highlight the necessity of coordinated efforts among governments, private entities, and international stakeholders to scale up renewable energy and energy efficiency projects. Recommendations include de-risking financial investments, enhancing policy coherence, and promoting capacity-building initiatives to align green finance strategies with the energy needs of developing countries.</w:t>
      </w:r>
    </w:p>
    <w:p w14:paraId="608B5EC6" w14:textId="77777777" w:rsidR="00690C0A" w:rsidRPr="004A1AF7" w:rsidRDefault="00690C0A" w:rsidP="004A1AF7">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1. Introduction</w:t>
      </w:r>
    </w:p>
    <w:p w14:paraId="5DBFC82A" w14:textId="17751311"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The quest for sustainable development has placed energy at the core of global priorities. SDG 7, which aims to ensure access to affordable, reliable, and modern energy for all, is a critical enabler of other SDGs, including poverty eradication, education, and economic growth. Yet, progress in developing countries has been sluggish due to </w:t>
      </w:r>
      <w:r w:rsidR="006E0C98">
        <w:rPr>
          <w:rFonts w:eastAsia="Times New Roman" w:cstheme="minorHAnsi"/>
        </w:rPr>
        <w:t>inadequate</w:t>
      </w:r>
      <w:r w:rsidRPr="004A1AF7">
        <w:rPr>
          <w:rFonts w:eastAsia="Times New Roman" w:cstheme="minorHAnsi"/>
        </w:rPr>
        <w:t xml:space="preserve"> financial resources and infrastructure.</w:t>
      </w:r>
    </w:p>
    <w:p w14:paraId="216EE53A"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Green finance, defined as the mobilization of financial resources for environmentally beneficial projects, offers a solution to this challenge. Its instruments, such as green bonds, green loans, and carbon trading, aim to channel private and public funds into renewable energy and energy efficiency projects. Notably, the Paris Agreement and subsequent international frameworks have emphasized the role of green finance in achieving global climate and energy goals.</w:t>
      </w:r>
    </w:p>
    <w:p w14:paraId="365CA01D"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This paper delves into how green finance contributes to SDG 7 in developing countries. By identifying barriers, opportunities, and the influence of policies, it seeks to provide actionable insights for stakeholders aiming to advance the energy transition.</w:t>
      </w:r>
    </w:p>
    <w:p w14:paraId="6B2AA660" w14:textId="77777777" w:rsidR="00690C0A" w:rsidRPr="004A1AF7" w:rsidRDefault="00690C0A" w:rsidP="004A1AF7">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2. Research Objectives</w:t>
      </w:r>
    </w:p>
    <w:p w14:paraId="5E3DB3EC"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 objectives of this study are:</w:t>
      </w:r>
    </w:p>
    <w:p w14:paraId="002C591A" w14:textId="77777777" w:rsidR="00690C0A" w:rsidRPr="004A1AF7" w:rsidRDefault="00690C0A" w:rsidP="009C2611">
      <w:pPr>
        <w:numPr>
          <w:ilvl w:val="0"/>
          <w:numId w:val="1"/>
        </w:numPr>
        <w:spacing w:before="100" w:beforeAutospacing="1" w:after="100" w:afterAutospacing="1" w:line="240" w:lineRule="auto"/>
        <w:jc w:val="both"/>
        <w:rPr>
          <w:rFonts w:eastAsia="Times New Roman" w:cstheme="minorHAnsi"/>
        </w:rPr>
      </w:pPr>
      <w:r w:rsidRPr="004A1AF7">
        <w:rPr>
          <w:rFonts w:eastAsia="Times New Roman" w:cstheme="minorHAnsi"/>
        </w:rPr>
        <w:t>To examine how green finance contributes to achieving SDG 7 in developing countries.</w:t>
      </w:r>
    </w:p>
    <w:p w14:paraId="4062F14B" w14:textId="77777777" w:rsidR="00690C0A" w:rsidRPr="004A1AF7" w:rsidRDefault="00690C0A" w:rsidP="009C2611">
      <w:pPr>
        <w:numPr>
          <w:ilvl w:val="0"/>
          <w:numId w:val="1"/>
        </w:numPr>
        <w:spacing w:before="100" w:beforeAutospacing="1" w:after="100" w:afterAutospacing="1" w:line="240" w:lineRule="auto"/>
        <w:jc w:val="both"/>
        <w:rPr>
          <w:rFonts w:eastAsia="Times New Roman" w:cstheme="minorHAnsi"/>
        </w:rPr>
      </w:pPr>
      <w:r w:rsidRPr="004A1AF7">
        <w:rPr>
          <w:rFonts w:eastAsia="Times New Roman" w:cstheme="minorHAnsi"/>
        </w:rPr>
        <w:t>To identify the main barriers and opportunities for green finance in the energy sector.</w:t>
      </w:r>
    </w:p>
    <w:p w14:paraId="2ECFA297" w14:textId="77777777" w:rsidR="00690C0A" w:rsidRPr="004A1AF7" w:rsidRDefault="00690C0A" w:rsidP="009C2611">
      <w:pPr>
        <w:numPr>
          <w:ilvl w:val="0"/>
          <w:numId w:val="1"/>
        </w:numPr>
        <w:spacing w:before="100" w:beforeAutospacing="1" w:after="100" w:afterAutospacing="1" w:line="240" w:lineRule="auto"/>
        <w:jc w:val="both"/>
        <w:rPr>
          <w:rFonts w:eastAsia="Times New Roman" w:cstheme="minorHAnsi"/>
        </w:rPr>
      </w:pPr>
      <w:r w:rsidRPr="004A1AF7">
        <w:rPr>
          <w:rFonts w:eastAsia="Times New Roman" w:cstheme="minorHAnsi"/>
        </w:rPr>
        <w:t>To explore the influence of policies and international support mechanisms in shaping green finance's role in developing nations.</w:t>
      </w:r>
    </w:p>
    <w:p w14:paraId="22124181" w14:textId="77777777" w:rsidR="00690C0A" w:rsidRPr="004A1AF7" w:rsidRDefault="00690C0A" w:rsidP="004A1AF7">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3. Scope of Study</w:t>
      </w:r>
    </w:p>
    <w:p w14:paraId="3167C70F"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lastRenderedPageBreak/>
        <w:t>This research focuses on the intersection of green finance and sustainable energy development in developing countries. It reviews key literature to analyze trends, barriers, and policies while highlighting successful case studies from emerging markets. The findings aim to guide policymakers, investors, and international organizations in their efforts to scale up renewable energy and energy efficiency initiatives.</w:t>
      </w:r>
    </w:p>
    <w:p w14:paraId="0BF5BBFC" w14:textId="77777777" w:rsidR="00690C0A" w:rsidRPr="004A1AF7" w:rsidRDefault="00690C0A" w:rsidP="004A1AF7">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 Research Methodology</w:t>
      </w:r>
    </w:p>
    <w:p w14:paraId="1A44FC7A" w14:textId="2AB29D41" w:rsidR="00690C0A" w:rsidRPr="004A1AF7" w:rsidRDefault="009C2611"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w:t>
      </w:r>
      <w:r w:rsidR="00850D61" w:rsidRPr="004A1AF7">
        <w:rPr>
          <w:rFonts w:eastAsia="Times New Roman" w:cstheme="minorHAnsi"/>
        </w:rPr>
        <w:t xml:space="preserve"> research integrates a qualitative methodological approach </w:t>
      </w:r>
      <w:proofErr w:type="gramStart"/>
      <w:r w:rsidR="00850D61" w:rsidRPr="004A1AF7">
        <w:rPr>
          <w:rFonts w:eastAsia="Times New Roman" w:cstheme="minorHAnsi"/>
        </w:rPr>
        <w:t>emphasizing on</w:t>
      </w:r>
      <w:proofErr w:type="gramEnd"/>
      <w:r w:rsidR="00850D61" w:rsidRPr="004A1AF7">
        <w:rPr>
          <w:rFonts w:eastAsia="Times New Roman" w:cstheme="minorHAnsi"/>
        </w:rPr>
        <w:t xml:space="preserve"> comprehensive review and integration of academic literature and empirical studies. The methodology for this research seeks to address the research objectives by critically investigating the existing literature on green finance and its contribution to accomplishing SDG 7 in developing nations.</w:t>
      </w:r>
    </w:p>
    <w:p w14:paraId="3A25400F"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4.1 Selection of Research Papers</w:t>
      </w:r>
    </w:p>
    <w:p w14:paraId="711A4A22" w14:textId="77777777" w:rsidR="00850D61" w:rsidRPr="004A1AF7" w:rsidRDefault="00850D61" w:rsidP="009C2611">
      <w:pPr>
        <w:spacing w:before="100" w:beforeAutospacing="1" w:after="100" w:afterAutospacing="1" w:line="240" w:lineRule="auto"/>
        <w:jc w:val="both"/>
        <w:rPr>
          <w:rFonts w:cstheme="minorHAnsi"/>
        </w:rPr>
      </w:pPr>
      <w:r w:rsidRPr="004A1AF7">
        <w:rPr>
          <w:rFonts w:cstheme="minorHAnsi"/>
        </w:rPr>
        <w:t>The research papers analyzed in this study were precisely chosen based on their association with the subjects of green finance, renewable energy, and SDG 7. The key parameters for selection comprised:</w:t>
      </w:r>
    </w:p>
    <w:p w14:paraId="189AF742" w14:textId="77777777" w:rsidR="00850D61" w:rsidRPr="004A1AF7" w:rsidRDefault="00850D61" w:rsidP="009C2611">
      <w:pPr>
        <w:pStyle w:val="ListParagraph"/>
        <w:numPr>
          <w:ilvl w:val="0"/>
          <w:numId w:val="13"/>
        </w:numPr>
        <w:spacing w:before="100" w:beforeAutospacing="1" w:after="100" w:afterAutospacing="1" w:line="240" w:lineRule="auto"/>
        <w:jc w:val="both"/>
        <w:rPr>
          <w:rFonts w:cstheme="minorHAnsi"/>
        </w:rPr>
      </w:pPr>
      <w:r w:rsidRPr="004A1AF7">
        <w:rPr>
          <w:rFonts w:cstheme="minorHAnsi"/>
        </w:rPr>
        <w:t xml:space="preserve">Emphasis on </w:t>
      </w:r>
      <w:proofErr w:type="gramStart"/>
      <w:r w:rsidRPr="004A1AF7">
        <w:rPr>
          <w:rFonts w:cstheme="minorHAnsi"/>
        </w:rPr>
        <w:t>the green</w:t>
      </w:r>
      <w:proofErr w:type="gramEnd"/>
      <w:r w:rsidRPr="004A1AF7">
        <w:rPr>
          <w:rFonts w:cstheme="minorHAnsi"/>
        </w:rPr>
        <w:t xml:space="preserve"> finance and sustainable energy nexus.</w:t>
      </w:r>
    </w:p>
    <w:p w14:paraId="0C0C7107" w14:textId="77777777" w:rsidR="00850D61" w:rsidRPr="004A1AF7" w:rsidRDefault="00850D61" w:rsidP="009C2611">
      <w:pPr>
        <w:pStyle w:val="ListParagraph"/>
        <w:numPr>
          <w:ilvl w:val="0"/>
          <w:numId w:val="13"/>
        </w:numPr>
        <w:spacing w:before="100" w:beforeAutospacing="1" w:after="100" w:afterAutospacing="1" w:line="240" w:lineRule="auto"/>
        <w:jc w:val="both"/>
        <w:rPr>
          <w:rFonts w:cstheme="minorHAnsi"/>
        </w:rPr>
      </w:pPr>
      <w:r w:rsidRPr="004A1AF7">
        <w:rPr>
          <w:rFonts w:cstheme="minorHAnsi"/>
        </w:rPr>
        <w:t>Empirical literature investigating challenges, prospects, and policy frameworks.</w:t>
      </w:r>
    </w:p>
    <w:p w14:paraId="5458C90C" w14:textId="77777777" w:rsidR="00850D61" w:rsidRPr="004A1AF7" w:rsidRDefault="00850D61" w:rsidP="009C2611">
      <w:pPr>
        <w:pStyle w:val="ListParagraph"/>
        <w:numPr>
          <w:ilvl w:val="0"/>
          <w:numId w:val="13"/>
        </w:numPr>
        <w:spacing w:before="100" w:beforeAutospacing="1" w:after="100" w:afterAutospacing="1" w:line="240" w:lineRule="auto"/>
        <w:jc w:val="both"/>
        <w:rPr>
          <w:rFonts w:cstheme="minorHAnsi"/>
        </w:rPr>
      </w:pPr>
      <w:r w:rsidRPr="004A1AF7">
        <w:rPr>
          <w:rFonts w:cstheme="minorHAnsi"/>
        </w:rPr>
        <w:t>Regional case studies, data, or empirical insights from Global South to frame findings.</w:t>
      </w:r>
    </w:p>
    <w:p w14:paraId="7A677C65" w14:textId="6D25B157" w:rsidR="00690C0A" w:rsidRPr="004A1AF7" w:rsidRDefault="00850D61" w:rsidP="009C2611">
      <w:pPr>
        <w:spacing w:before="100" w:beforeAutospacing="1" w:after="100" w:afterAutospacing="1" w:line="240" w:lineRule="auto"/>
        <w:jc w:val="both"/>
        <w:rPr>
          <w:rFonts w:eastAsia="Times New Roman" w:cstheme="minorHAnsi"/>
        </w:rPr>
      </w:pPr>
      <w:r w:rsidRPr="004A1AF7">
        <w:rPr>
          <w:rFonts w:cstheme="minorHAnsi"/>
        </w:rPr>
        <w:t>Significant studies such as Rasoulinezhad &amp; Taghizadeh-Hesary (2022) and Sachs et al. (2019) deliver fundamental insights into the operating procedures of green finance, as well as green bonds and public-private partnerships, while others, like Wan (2020) and Hafner et al. (2020), analyze barriers and challenges at the policy and institutional level.</w:t>
      </w:r>
    </w:p>
    <w:p w14:paraId="136055A0"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4.2 Analytical Framework</w:t>
      </w:r>
    </w:p>
    <w:p w14:paraId="76A56ACC" w14:textId="77777777" w:rsidR="00850D61" w:rsidRPr="004A1AF7" w:rsidRDefault="00850D61" w:rsidP="009C2611">
      <w:pPr>
        <w:spacing w:line="240" w:lineRule="auto"/>
        <w:jc w:val="both"/>
        <w:rPr>
          <w:rFonts w:cstheme="minorHAnsi"/>
        </w:rPr>
      </w:pPr>
      <w:r w:rsidRPr="004A1AF7">
        <w:rPr>
          <w:rFonts w:cstheme="minorHAnsi"/>
        </w:rPr>
        <w:t>The analytical framework for this study comprises the following components:</w:t>
      </w:r>
    </w:p>
    <w:p w14:paraId="42FF1B0E" w14:textId="77777777" w:rsidR="00850D61" w:rsidRPr="004A1AF7" w:rsidRDefault="00850D61" w:rsidP="009C2611">
      <w:pPr>
        <w:numPr>
          <w:ilvl w:val="0"/>
          <w:numId w:val="7"/>
        </w:numPr>
        <w:spacing w:line="240" w:lineRule="auto"/>
        <w:jc w:val="both"/>
        <w:rPr>
          <w:rFonts w:cstheme="minorHAnsi"/>
        </w:rPr>
      </w:pPr>
      <w:r w:rsidRPr="004A1AF7">
        <w:rPr>
          <w:rFonts w:cstheme="minorHAnsi"/>
          <w:b/>
          <w:bCs/>
        </w:rPr>
        <w:t>Thematic Analysis:</w:t>
      </w:r>
      <w:r w:rsidRPr="004A1AF7">
        <w:rPr>
          <w:rFonts w:cstheme="minorHAnsi"/>
        </w:rPr>
        <w:t xml:space="preserve"> Themes such as green financing mechanisms, challenges, prospects, and policy-level interventions were explored and evaluated to create patterns across the examined literature.</w:t>
      </w:r>
    </w:p>
    <w:p w14:paraId="5F69A0B8" w14:textId="6A2B8B7F" w:rsidR="00690C0A" w:rsidRPr="004A1AF7" w:rsidRDefault="00850D61" w:rsidP="009C2611">
      <w:pPr>
        <w:numPr>
          <w:ilvl w:val="0"/>
          <w:numId w:val="7"/>
        </w:numPr>
        <w:spacing w:line="240" w:lineRule="auto"/>
        <w:jc w:val="both"/>
        <w:rPr>
          <w:rFonts w:cstheme="minorHAnsi"/>
        </w:rPr>
      </w:pPr>
      <w:r w:rsidRPr="004A1AF7">
        <w:rPr>
          <w:rFonts w:cstheme="minorHAnsi"/>
          <w:b/>
          <w:bCs/>
        </w:rPr>
        <w:t>Comparative Analysis:</w:t>
      </w:r>
      <w:r w:rsidRPr="004A1AF7">
        <w:rPr>
          <w:rFonts w:cstheme="minorHAnsi"/>
        </w:rPr>
        <w:t xml:space="preserve"> Research studies from diverse geographical and socio-economic backgrounds were compared to accentuate the role of green finance in varying settings. For instance, green bond utilization in Asian countries was compared with the gradual acceptance in African ones due to diverging financial and regulatory settings.</w:t>
      </w:r>
    </w:p>
    <w:p w14:paraId="23937DE6"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4.3 Review of Research Papers</w:t>
      </w:r>
    </w:p>
    <w:p w14:paraId="5C0EB9A0" w14:textId="77777777" w:rsidR="00850D61" w:rsidRPr="004A1AF7" w:rsidRDefault="00850D61" w:rsidP="009C2611">
      <w:pPr>
        <w:spacing w:line="240" w:lineRule="auto"/>
        <w:jc w:val="both"/>
        <w:rPr>
          <w:rFonts w:cstheme="minorHAnsi"/>
        </w:rPr>
      </w:pPr>
      <w:r w:rsidRPr="004A1AF7">
        <w:rPr>
          <w:rFonts w:cstheme="minorHAnsi"/>
        </w:rPr>
        <w:t>The reviewed research papers were characterized based on their main focus points elaborated below:</w:t>
      </w:r>
    </w:p>
    <w:p w14:paraId="3BF42211" w14:textId="77777777" w:rsidR="00850D61" w:rsidRPr="004A1AF7" w:rsidRDefault="00850D61" w:rsidP="009C2611">
      <w:pPr>
        <w:numPr>
          <w:ilvl w:val="0"/>
          <w:numId w:val="8"/>
        </w:numPr>
        <w:spacing w:line="240" w:lineRule="auto"/>
        <w:jc w:val="both"/>
        <w:rPr>
          <w:rFonts w:cstheme="minorHAnsi"/>
        </w:rPr>
      </w:pPr>
      <w:r w:rsidRPr="004A1AF7">
        <w:rPr>
          <w:rFonts w:cstheme="minorHAnsi"/>
          <w:b/>
          <w:bCs/>
        </w:rPr>
        <w:t>Green Financing Mechanisms:</w:t>
      </w:r>
      <w:r w:rsidRPr="004A1AF7">
        <w:rPr>
          <w:rFonts w:cstheme="minorHAnsi"/>
        </w:rPr>
        <w:t xml:space="preserve"> Studies like Rasoulinezhad &amp; Taghizadeh-Hesary (2022) address explicit tools, for instance, green bonds and their influence on renewable energy sector development, </w:t>
      </w:r>
      <w:proofErr w:type="gramStart"/>
      <w:r w:rsidRPr="004A1AF7">
        <w:rPr>
          <w:rFonts w:cstheme="minorHAnsi"/>
        </w:rPr>
        <w:t>as well as,</w:t>
      </w:r>
      <w:proofErr w:type="gramEnd"/>
      <w:r w:rsidRPr="004A1AF7">
        <w:rPr>
          <w:rFonts w:cstheme="minorHAnsi"/>
        </w:rPr>
        <w:t xml:space="preserve"> underline the limitations of green financing mechanisms, with temporary inadequacies and the dearth of robust policy support system in specific regions.</w:t>
      </w:r>
    </w:p>
    <w:p w14:paraId="1FCBB215" w14:textId="77777777" w:rsidR="00850D61" w:rsidRPr="004A1AF7" w:rsidRDefault="00850D61" w:rsidP="009C2611">
      <w:pPr>
        <w:numPr>
          <w:ilvl w:val="0"/>
          <w:numId w:val="8"/>
        </w:numPr>
        <w:spacing w:line="240" w:lineRule="auto"/>
        <w:jc w:val="both"/>
        <w:rPr>
          <w:rFonts w:cstheme="minorHAnsi"/>
        </w:rPr>
      </w:pPr>
      <w:r w:rsidRPr="004A1AF7">
        <w:rPr>
          <w:rFonts w:cstheme="minorHAnsi"/>
          <w:b/>
          <w:bCs/>
        </w:rPr>
        <w:lastRenderedPageBreak/>
        <w:t>Barriers and Challenges:</w:t>
      </w:r>
      <w:r w:rsidRPr="004A1AF7">
        <w:rPr>
          <w:rFonts w:cstheme="minorHAnsi"/>
        </w:rPr>
        <w:t xml:space="preserve"> Studies by Hafner et al. (2020) and Yoshino &amp; Taghizadeh-Hesary (2018) mentioned systemic barriers and challenges such as frail institutional frameworks, inadequate private-sector involvement, and high apparent risks for investors.</w:t>
      </w:r>
    </w:p>
    <w:p w14:paraId="647B832D" w14:textId="77777777" w:rsidR="00850D61" w:rsidRPr="004A1AF7" w:rsidRDefault="00850D61" w:rsidP="009C2611">
      <w:pPr>
        <w:numPr>
          <w:ilvl w:val="0"/>
          <w:numId w:val="8"/>
        </w:numPr>
        <w:spacing w:line="240" w:lineRule="auto"/>
        <w:jc w:val="both"/>
        <w:rPr>
          <w:rFonts w:cstheme="minorHAnsi"/>
        </w:rPr>
      </w:pPr>
      <w:r w:rsidRPr="004A1AF7">
        <w:rPr>
          <w:rFonts w:cstheme="minorHAnsi"/>
          <w:b/>
          <w:bCs/>
        </w:rPr>
        <w:t>Policy and Global Support Mechanisms:</w:t>
      </w:r>
      <w:r w:rsidRPr="004A1AF7">
        <w:rPr>
          <w:rFonts w:cstheme="minorHAnsi"/>
        </w:rPr>
        <w:t xml:space="preserve"> Wan (2020) discussed the significance of Multi-national Environmental Agreements (MEAs) like the Paris Agreement and international financing bodies in determining the green finance landscape, highlighting capacity-building and technology transfer for developing countries.</w:t>
      </w:r>
    </w:p>
    <w:p w14:paraId="4974576C" w14:textId="71645459" w:rsidR="00690C0A" w:rsidRPr="004A1AF7" w:rsidRDefault="00850D61" w:rsidP="009C2611">
      <w:pPr>
        <w:spacing w:before="100" w:beforeAutospacing="1" w:after="100" w:afterAutospacing="1" w:line="240" w:lineRule="auto"/>
        <w:jc w:val="both"/>
        <w:rPr>
          <w:rFonts w:eastAsia="Times New Roman" w:cstheme="minorHAnsi"/>
        </w:rPr>
      </w:pPr>
      <w:r w:rsidRPr="004A1AF7">
        <w:rPr>
          <w:rFonts w:cstheme="minorHAnsi"/>
        </w:rPr>
        <w:t>Each paper was thoroughly reviewed and condensed to extract the main outcomes, which were then charted to the research objectives.</w:t>
      </w:r>
    </w:p>
    <w:p w14:paraId="3104D5F7"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4.4 Case Study Integration</w:t>
      </w:r>
    </w:p>
    <w:p w14:paraId="2162AE87" w14:textId="77777777" w:rsidR="00850D61" w:rsidRPr="004A1AF7" w:rsidRDefault="00850D61" w:rsidP="009C2611">
      <w:pPr>
        <w:spacing w:line="240" w:lineRule="auto"/>
        <w:jc w:val="both"/>
        <w:rPr>
          <w:rFonts w:cstheme="minorHAnsi"/>
        </w:rPr>
      </w:pPr>
      <w:r w:rsidRPr="004A1AF7">
        <w:rPr>
          <w:rFonts w:cstheme="minorHAnsi"/>
        </w:rPr>
        <w:t>Several papers included specific case studies that highlighted real-world insights into how green finance functions in diverse settings and circumstances. For instance:</w:t>
      </w:r>
    </w:p>
    <w:p w14:paraId="61CE2E42" w14:textId="77777777" w:rsidR="00850D61" w:rsidRPr="004A1AF7" w:rsidRDefault="00850D61" w:rsidP="009C2611">
      <w:pPr>
        <w:numPr>
          <w:ilvl w:val="0"/>
          <w:numId w:val="9"/>
        </w:numPr>
        <w:spacing w:line="240" w:lineRule="auto"/>
        <w:jc w:val="both"/>
        <w:rPr>
          <w:rFonts w:cstheme="minorHAnsi"/>
        </w:rPr>
      </w:pPr>
      <w:r w:rsidRPr="004A1AF7">
        <w:rPr>
          <w:rFonts w:cstheme="minorHAnsi"/>
          <w:b/>
          <w:bCs/>
        </w:rPr>
        <w:t>Green Bond Market of China:</w:t>
      </w:r>
      <w:r w:rsidRPr="004A1AF7">
        <w:rPr>
          <w:rFonts w:cstheme="minorHAnsi"/>
        </w:rPr>
        <w:t xml:space="preserve"> Rasoulinezhad &amp; Taghizadeh-Hesary (2022) demonstrated in their study the influence of China's policy-driven green bond market mechanism in significantly enhancing their renewable energy investments. This case study validates the significance of strong government support in scaling up green finance incentives.</w:t>
      </w:r>
    </w:p>
    <w:p w14:paraId="127A47F9" w14:textId="3DD1832D" w:rsidR="00690C0A" w:rsidRPr="004A1AF7" w:rsidRDefault="00850D61" w:rsidP="009C2611">
      <w:pPr>
        <w:numPr>
          <w:ilvl w:val="0"/>
          <w:numId w:val="9"/>
        </w:numPr>
        <w:spacing w:before="100" w:beforeAutospacing="1" w:after="100" w:afterAutospacing="1" w:line="240" w:lineRule="auto"/>
        <w:jc w:val="both"/>
        <w:rPr>
          <w:rFonts w:eastAsia="Times New Roman" w:cstheme="minorHAnsi"/>
        </w:rPr>
      </w:pPr>
      <w:r w:rsidRPr="004A1AF7">
        <w:rPr>
          <w:rFonts w:cstheme="minorHAnsi"/>
          <w:b/>
          <w:bCs/>
        </w:rPr>
        <w:t>Green Energy Financing Market in India:</w:t>
      </w:r>
      <w:r w:rsidRPr="004A1AF7">
        <w:rPr>
          <w:rFonts w:cstheme="minorHAnsi"/>
        </w:rPr>
        <w:t xml:space="preserve"> In another case study, Sarangi (2018) discussed India's attempts to address financing gaps in renewable energy schemes. The study highlighted the role of regulatory frameworks and international funding mechanisms in overcoming their local barriers.</w:t>
      </w:r>
    </w:p>
    <w:p w14:paraId="7DD317DC"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4.5 Data Synthesis and Interpretation</w:t>
      </w:r>
    </w:p>
    <w:p w14:paraId="2DDDCE99" w14:textId="53103929" w:rsidR="00690C0A" w:rsidRPr="004A1AF7" w:rsidRDefault="00850D61" w:rsidP="009C2611">
      <w:pPr>
        <w:spacing w:before="100" w:beforeAutospacing="1" w:after="100" w:afterAutospacing="1" w:line="240" w:lineRule="auto"/>
        <w:jc w:val="both"/>
        <w:rPr>
          <w:rFonts w:eastAsia="Times New Roman" w:cstheme="minorHAnsi"/>
        </w:rPr>
      </w:pPr>
      <w:r w:rsidRPr="004A1AF7">
        <w:rPr>
          <w:rFonts w:cstheme="minorHAnsi"/>
        </w:rPr>
        <w:t>The data from the studied research papers were produced utilizing an explanatory approach. The findings were mapped under the research aims and objectives, pointing to a unified narrative that ties green finance to SDG 7. The literature was critically evaluated and analyzed to detect loopholes, incongruities, and further areas of exploration.</w:t>
      </w:r>
    </w:p>
    <w:p w14:paraId="38373FB5" w14:textId="5D02E0EC" w:rsidR="00850D61" w:rsidRPr="004A1AF7" w:rsidRDefault="00690C0A" w:rsidP="009C2611">
      <w:pPr>
        <w:spacing w:before="100" w:beforeAutospacing="1" w:after="100" w:afterAutospacing="1" w:line="240" w:lineRule="auto"/>
        <w:jc w:val="both"/>
        <w:rPr>
          <w:rFonts w:eastAsia="Times New Roman" w:cstheme="minorHAnsi"/>
          <w:sz w:val="24"/>
        </w:rPr>
      </w:pPr>
      <w:r w:rsidRPr="004A1AF7">
        <w:rPr>
          <w:rFonts w:eastAsia="Times New Roman" w:cstheme="minorHAnsi"/>
          <w:b/>
          <w:bCs/>
          <w:sz w:val="24"/>
        </w:rPr>
        <w:t>4.6 Limitations of Methodology</w:t>
      </w:r>
    </w:p>
    <w:p w14:paraId="6DA5EF37" w14:textId="77777777" w:rsidR="00850D61" w:rsidRPr="004A1AF7" w:rsidRDefault="00850D61" w:rsidP="009C2611">
      <w:pPr>
        <w:spacing w:line="240" w:lineRule="auto"/>
        <w:jc w:val="both"/>
        <w:rPr>
          <w:rFonts w:cstheme="minorHAnsi"/>
        </w:rPr>
      </w:pPr>
      <w:r w:rsidRPr="004A1AF7">
        <w:rPr>
          <w:rFonts w:cstheme="minorHAnsi"/>
        </w:rPr>
        <w:t>Although this comprehensive review-based method provides a thorough understanding of present research, it depends on secondary data and does not include primary data acquisition or fieldwork. Consequently, the findings may be inclined to the scope range and preconceptions of the reviewed studies. Forthcoming research could integrate empirical data sets from stakeholders and investors, for instance, policymakers, financial organizations, and renewable energy sector developers to authenticate and develop the conclusions drawn from this study.</w:t>
      </w:r>
    </w:p>
    <w:p w14:paraId="11D6F922" w14:textId="77777777" w:rsidR="00850D61" w:rsidRPr="004A1AF7" w:rsidRDefault="00850D61" w:rsidP="009C2611">
      <w:pPr>
        <w:spacing w:line="240" w:lineRule="auto"/>
        <w:jc w:val="both"/>
        <w:rPr>
          <w:rFonts w:cstheme="minorHAnsi"/>
        </w:rPr>
      </w:pPr>
      <w:r w:rsidRPr="004A1AF7">
        <w:rPr>
          <w:rFonts w:cstheme="minorHAnsi"/>
        </w:rPr>
        <w:t>The utilization of this multi-faceted strategy in the study confirms a robust analysis of green finance's role in accomplishing SDG 7 in developing countries while conveying the research objectives broadly.</w:t>
      </w:r>
    </w:p>
    <w:p w14:paraId="4380E78A" w14:textId="77777777" w:rsidR="00690C0A" w:rsidRPr="004A1AF7" w:rsidRDefault="00690C0A" w:rsidP="009C2611">
      <w:pPr>
        <w:spacing w:before="100" w:beforeAutospacing="1" w:after="100" w:afterAutospacing="1" w:line="240" w:lineRule="auto"/>
        <w:jc w:val="both"/>
        <w:outlineLvl w:val="3"/>
        <w:rPr>
          <w:rFonts w:eastAsia="Times New Roman" w:cstheme="minorHAnsi"/>
          <w:b/>
          <w:bCs/>
          <w:sz w:val="24"/>
        </w:rPr>
      </w:pPr>
      <w:r w:rsidRPr="004A1AF7">
        <w:rPr>
          <w:rFonts w:eastAsia="Times New Roman" w:cstheme="minorHAnsi"/>
          <w:b/>
          <w:bCs/>
          <w:sz w:val="24"/>
        </w:rPr>
        <w:t>5. Literature Review</w:t>
      </w:r>
    </w:p>
    <w:p w14:paraId="74020075" w14:textId="33B375F0"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lastRenderedPageBreak/>
        <w:t>The literature provides an in-depth analysis of the role of green finance in the advancement of SDG 7, which focuses on universal access to affordable energy and encourages international cooperation in renewable energy research. The key aspects reflected are the mechanism and the challenges to the implementation of green finance projects, the opportunities created, and the role of policy support in sustainable growth.</w:t>
      </w:r>
    </w:p>
    <w:p w14:paraId="3731A799" w14:textId="77777777" w:rsidR="00134D55" w:rsidRPr="004A1AF7" w:rsidRDefault="00690C0A" w:rsidP="009C2611">
      <w:pPr>
        <w:spacing w:before="100" w:beforeAutospacing="1" w:after="100" w:afterAutospacing="1" w:line="240" w:lineRule="auto"/>
        <w:jc w:val="both"/>
        <w:rPr>
          <w:rFonts w:eastAsia="Times New Roman" w:cstheme="minorHAnsi"/>
          <w:sz w:val="24"/>
        </w:rPr>
      </w:pPr>
      <w:r w:rsidRPr="004A1AF7">
        <w:rPr>
          <w:rFonts w:eastAsia="Times New Roman" w:cstheme="minorHAnsi"/>
          <w:b/>
          <w:bCs/>
          <w:sz w:val="24"/>
        </w:rPr>
        <w:t>5.1 The Role of Green Finance in Renewable Energy</w:t>
      </w:r>
    </w:p>
    <w:p w14:paraId="24ED71B2" w14:textId="3AF542C6" w:rsidR="00134D55"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A variety of financial tools such as green bonds, loans, grants, and the carbon market are </w:t>
      </w:r>
      <w:r w:rsidR="009C2611" w:rsidRPr="004A1AF7">
        <w:rPr>
          <w:rFonts w:eastAsia="Times New Roman" w:cstheme="minorHAnsi"/>
        </w:rPr>
        <w:t xml:space="preserve">integrated into green finance, </w:t>
      </w:r>
      <w:r w:rsidRPr="004A1AF7">
        <w:rPr>
          <w:rFonts w:eastAsia="Times New Roman" w:cstheme="minorHAnsi"/>
        </w:rPr>
        <w:t>designed to promote financing for climate-related initiatives including clean energy projects (Alharbi et al., 2023). The main aim is to help developing nations deal with climate change effects and execute mitigation (emission reduction) and adaptation (building resilience) measures (Agrawal et al., 2024). According to Rasoulinezhad and Taghizadeh-Hesary (2022), green bonds have a great potential to fund renewable projects as these instruments are a reliable means of attracting private investment into clean energy projects. To achieve environmental sustainability the nexus between green finance and renewable energy is crucial as it helps mitigate the adverse impacts of urbanization and economic development on CO2 emissions (Han et al., 2024).</w:t>
      </w:r>
    </w:p>
    <w:p w14:paraId="1DD07EA2" w14:textId="442F9261"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 role of green finance is instrumental in the renewable energy transition and in overcoming the systemic challenges posed by dependency on fossil fuels (Sachs et al., 2019). Green finance mobilizes capital for renewable energy and efficiency projects in developing countries, intended for decarbonization and smooth transitions in the energy sector. However, these projects are highly dependent on effective government policy and risk mitigation mechanisms (Ikevuje et al., 2024). The adoption of green bonds and other financial market instruments has been significant in promoting clean energy projects within regions such as Asia. Likewise, green finance innovates and cuts off fossil fuels, which is a necessity for achieving SDG 7 (Nguyen et al., 2021).</w:t>
      </w:r>
    </w:p>
    <w:p w14:paraId="1B3465CD" w14:textId="77777777" w:rsidR="00134D55"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5.2 Barriers to Green Finance in Developing Countries</w:t>
      </w:r>
    </w:p>
    <w:p w14:paraId="63788E99" w14:textId="77777777" w:rsidR="00134D55"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Despite the considerable potential of green finance, various obstacles threaten its effectiveness in developing countries. The key barriers include the lack of adequate market infrastructure, high costs of capital, and insufficient institutional and market depth that are critical to large-scale issuance of green bonds and other financial instruments (Hafner et al., 2020). Many stakeholders including businesses or financial institutions exhibit low awareness of green finance principles and practices, and thus, this limits their engagements (Liu, 2023; </w:t>
      </w:r>
      <w:proofErr w:type="spellStart"/>
      <w:r w:rsidRPr="004A1AF7">
        <w:rPr>
          <w:rFonts w:eastAsia="Times New Roman" w:cstheme="minorHAnsi"/>
        </w:rPr>
        <w:t>Mujuka</w:t>
      </w:r>
      <w:proofErr w:type="spellEnd"/>
      <w:r w:rsidRPr="004A1AF7">
        <w:rPr>
          <w:rFonts w:eastAsia="Times New Roman" w:cstheme="minorHAnsi"/>
        </w:rPr>
        <w:t xml:space="preserve"> &amp; </w:t>
      </w:r>
      <w:proofErr w:type="spellStart"/>
      <w:r w:rsidRPr="004A1AF7">
        <w:rPr>
          <w:rFonts w:eastAsia="Times New Roman" w:cstheme="minorHAnsi"/>
        </w:rPr>
        <w:t>Sporta</w:t>
      </w:r>
      <w:proofErr w:type="spellEnd"/>
      <w:r w:rsidRPr="004A1AF7">
        <w:rPr>
          <w:rFonts w:eastAsia="Times New Roman" w:cstheme="minorHAnsi"/>
        </w:rPr>
        <w:t xml:space="preserve">, 2023). Other factors contributing to poor utilization of resources available for green projects include weak regulatory frameworks and ineffective policies (Chen, 2023). The high financing cost is another constraint that is intensified by economic instability and limited access to international funding (Chowdhury &amp; </w:t>
      </w:r>
      <w:proofErr w:type="spellStart"/>
      <w:r w:rsidRPr="004A1AF7">
        <w:rPr>
          <w:rFonts w:eastAsia="Times New Roman" w:cstheme="minorHAnsi"/>
        </w:rPr>
        <w:t>Tadjoeddin</w:t>
      </w:r>
      <w:proofErr w:type="spellEnd"/>
      <w:r w:rsidRPr="004A1AF7">
        <w:rPr>
          <w:rFonts w:eastAsia="Times New Roman" w:cstheme="minorHAnsi"/>
        </w:rPr>
        <w:t xml:space="preserve">, 2022). The inadequate capacity and ties to austerity measures are the institutional challenges that limit the effective use of international financing in developing nations (Fechter &amp; Corser, 2024). </w:t>
      </w:r>
    </w:p>
    <w:p w14:paraId="0921C5C3" w14:textId="23036D15"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t>Yoshino and Taghizadeh-Hesary (2018) emphasize the necessity of renewable energy projects in developing countries. However, the volatile policies of these regions have deterred private investors from participating. The use of blended finance and public guarantees as risk-sharing mechanisms is encouraged to attract private investors to green projects. For many developing nations, energy policies are not aligned with global sustainability aspirations. This inconsistency introduces uncertainty for the investor and impedes the development of green finance markets Wan (2020).</w:t>
      </w:r>
    </w:p>
    <w:p w14:paraId="678BE916" w14:textId="77777777" w:rsidR="00134D55" w:rsidRPr="004A1AF7" w:rsidRDefault="00690C0A" w:rsidP="009C2611">
      <w:pPr>
        <w:spacing w:before="100" w:beforeAutospacing="1" w:after="100" w:afterAutospacing="1" w:line="240" w:lineRule="auto"/>
        <w:jc w:val="both"/>
        <w:rPr>
          <w:rFonts w:eastAsia="Times New Roman" w:cstheme="minorHAnsi"/>
          <w:sz w:val="24"/>
        </w:rPr>
      </w:pPr>
      <w:r w:rsidRPr="004A1AF7">
        <w:rPr>
          <w:rFonts w:eastAsia="Times New Roman" w:cstheme="minorHAnsi"/>
          <w:b/>
          <w:bCs/>
          <w:sz w:val="24"/>
        </w:rPr>
        <w:lastRenderedPageBreak/>
        <w:t>5.3 Opportunities for Green Finance</w:t>
      </w:r>
    </w:p>
    <w:p w14:paraId="31F2C778" w14:textId="77777777" w:rsidR="00134D55" w:rsidRPr="004A1AF7" w:rsidRDefault="00134D55" w:rsidP="009C2611">
      <w:pPr>
        <w:spacing w:after="0" w:line="240" w:lineRule="auto"/>
        <w:jc w:val="both"/>
        <w:rPr>
          <w:rFonts w:eastAsia="Times New Roman" w:cstheme="minorHAnsi"/>
        </w:rPr>
      </w:pPr>
      <w:r w:rsidRPr="004A1AF7">
        <w:rPr>
          <w:rFonts w:eastAsia="Times New Roman" w:cstheme="minorHAnsi"/>
        </w:rPr>
        <w:t xml:space="preserve">There is significant potential for scaling of the green finance in the developing countries. The government-backed guarantees and insurance procedures are useful in removing the risks involved in an investment which in turn stimulates the private sector to participate. These measures reduce investor hesitation and therefore increase the demand for green bonds and other financial instruments (Tolliver et al., 2020). Public-private partnerships PPPs have a great potential to attract private resources for large-scale renewable energy projects in developing countries. They have been particularly successful in developing economies like India, where the government and private sectors’ strategies have come together to solve the fundamental energy challenges (Sachs et al., 2019). </w:t>
      </w:r>
    </w:p>
    <w:p w14:paraId="29924CC3" w14:textId="7E520B08" w:rsidR="00690C0A" w:rsidRPr="004A1AF7" w:rsidRDefault="00134D55" w:rsidP="009C2611">
      <w:pPr>
        <w:spacing w:after="0" w:line="240" w:lineRule="auto"/>
        <w:jc w:val="both"/>
        <w:rPr>
          <w:rFonts w:eastAsia="Times New Roman" w:cstheme="minorHAnsi"/>
        </w:rPr>
      </w:pPr>
      <w:r w:rsidRPr="004A1AF7">
        <w:rPr>
          <w:rFonts w:eastAsia="Times New Roman" w:cstheme="minorHAnsi"/>
        </w:rPr>
        <w:t>Moreover, emerging financial technologies (fintech) bring along new possibilities for green finance. The application of blockchain and other fintech technologies in green finance may reduce transaction costs and improve trust in these markets which increases transparency. Such innovations are encouraging in enabling increased investment into small- and medium-scale renewable energy projects in marginalized areas (Liu et al., 2021).</w:t>
      </w:r>
    </w:p>
    <w:p w14:paraId="75C2FC24" w14:textId="77777777" w:rsidR="00134D55"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5.4 The Role of Policy and International Support Mechanisms</w:t>
      </w:r>
    </w:p>
    <w:p w14:paraId="0DBECADC" w14:textId="77777777" w:rsidR="00134D55" w:rsidRPr="004A1AF7" w:rsidRDefault="00134D55" w:rsidP="009C2611">
      <w:pPr>
        <w:spacing w:before="100" w:beforeAutospacing="1" w:after="100" w:afterAutospacing="1" w:line="240" w:lineRule="auto"/>
        <w:jc w:val="both"/>
        <w:rPr>
          <w:rFonts w:ascii="Calibri" w:eastAsia="Times New Roman" w:hAnsi="Calibri" w:cs="Calibri"/>
        </w:rPr>
      </w:pPr>
      <w:r w:rsidRPr="004A1AF7">
        <w:rPr>
          <w:rFonts w:ascii="Calibri" w:eastAsia="Times New Roman" w:hAnsi="Calibri" w:cs="Calibri"/>
        </w:rPr>
        <w:t>Policy frameworks and international support mechanisms have significant relevance to the effectiveness of green finance. Wan (2020) emphasizes the importance of global agreements like the Paris Accord in mobilizing green finance in developing countries. These agreements normally ease access to international funding, technology transfers, and development programs for renewable energy projects.</w:t>
      </w:r>
    </w:p>
    <w:p w14:paraId="6B79211A" w14:textId="3FCFF4E8" w:rsidR="00134D55" w:rsidRPr="004A1AF7" w:rsidRDefault="00134D55" w:rsidP="009C2611">
      <w:pPr>
        <w:spacing w:before="100" w:beforeAutospacing="1" w:after="100" w:afterAutospacing="1" w:line="240" w:lineRule="auto"/>
        <w:jc w:val="both"/>
        <w:rPr>
          <w:rFonts w:ascii="Calibri" w:eastAsia="Times New Roman" w:hAnsi="Calibri" w:cs="Calibri"/>
        </w:rPr>
      </w:pPr>
      <w:proofErr w:type="spellStart"/>
      <w:r w:rsidRPr="004A1AF7">
        <w:rPr>
          <w:rFonts w:ascii="Calibri" w:eastAsia="Times New Roman" w:hAnsi="Calibri" w:cs="Calibri"/>
        </w:rPr>
        <w:t>Charfeddine</w:t>
      </w:r>
      <w:proofErr w:type="spellEnd"/>
      <w:r w:rsidRPr="004A1AF7">
        <w:rPr>
          <w:rFonts w:ascii="Calibri" w:eastAsia="Times New Roman" w:hAnsi="Calibri" w:cs="Calibri"/>
        </w:rPr>
        <w:t xml:space="preserve"> and Kahia (2019) investigate the relationship between financial development, renewable energy policies, and CO2 emissions in the Middle East and North African Region (MENA). It highlights the importance of policies that are coherently designed to match sustainable development goals. Policy clarity, combined with international financial support, significantly improves green finance outcomes.</w:t>
      </w:r>
    </w:p>
    <w:p w14:paraId="724772E4" w14:textId="73018F62"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ascii="Calibri" w:eastAsia="Times New Roman" w:hAnsi="Calibri" w:cs="Calibri"/>
        </w:rPr>
        <w:t>Concessional finance and guarantees provided by the World Bank and the Asian Development Bank among other development institutions have helped to reduce the risk associated with investments. According to Rasoulinezhad and Taghizadeh-Hesary (2022), these support mechanisms are necessary to stimulate private sector investment in risk markets.</w:t>
      </w:r>
    </w:p>
    <w:p w14:paraId="27F35108" w14:textId="77777777" w:rsidR="00134D55"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5.5 Case Studies on Green Finance in Developing Countries</w:t>
      </w:r>
    </w:p>
    <w:p w14:paraId="154DA698" w14:textId="77777777" w:rsidR="00134D55" w:rsidRPr="004A1AF7" w:rsidRDefault="00134D55" w:rsidP="009C2611">
      <w:pPr>
        <w:spacing w:before="100" w:beforeAutospacing="1" w:after="100" w:afterAutospacing="1" w:line="240" w:lineRule="auto"/>
        <w:jc w:val="both"/>
        <w:rPr>
          <w:rFonts w:ascii="Calibri" w:eastAsia="Times New Roman" w:hAnsi="Calibri" w:cs="Calibri"/>
        </w:rPr>
      </w:pPr>
      <w:r w:rsidRPr="004A1AF7">
        <w:rPr>
          <w:rFonts w:ascii="Calibri" w:eastAsia="Times New Roman" w:hAnsi="Calibri" w:cs="Calibri"/>
        </w:rPr>
        <w:t>The green finance market is wide, and its relevance is proven through numerous case studies. An example is the work of Rasoulinezhad and Taghizadeh-Hesary (2022) who extensively investigated the green bond market of China that has managed to mobilize substantial investments in the renewable energy sector. This achievement is attributed to solid government support and well-structured policy frameworks that reduce risks for investors.</w:t>
      </w:r>
    </w:p>
    <w:p w14:paraId="42E3014E" w14:textId="5EFCCED6"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ascii="Calibri" w:eastAsia="Times New Roman" w:hAnsi="Calibri" w:cs="Calibri"/>
        </w:rPr>
        <w:t>In the case of India’s green energy financing landscape, Sarangi (2018) identifies international funding and regulatory incentives as key to removing the local barriers. It has been observed that the International expansion of several renewable energy projects in India has benefited from numerous direct foreign investments and external collaboration.</w:t>
      </w:r>
    </w:p>
    <w:p w14:paraId="5EB5AE2A" w14:textId="77777777" w:rsidR="00134D55"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5.6 Synthesis of Findings</w:t>
      </w:r>
    </w:p>
    <w:p w14:paraId="05CE3F01" w14:textId="17465325" w:rsidR="00690C0A" w:rsidRPr="004A1AF7" w:rsidRDefault="00134D55" w:rsidP="009C2611">
      <w:pPr>
        <w:spacing w:before="100" w:beforeAutospacing="1" w:after="100" w:afterAutospacing="1" w:line="240" w:lineRule="auto"/>
        <w:jc w:val="both"/>
        <w:rPr>
          <w:rFonts w:eastAsia="Times New Roman" w:cstheme="minorHAnsi"/>
        </w:rPr>
      </w:pPr>
      <w:r w:rsidRPr="004A1AF7">
        <w:rPr>
          <w:rFonts w:eastAsia="Times New Roman" w:cstheme="minorHAnsi"/>
        </w:rPr>
        <w:lastRenderedPageBreak/>
        <w:t>The literature reviewed affirms that green finance has considerable potential to transform developing countries’ attainment of SDG 7. However, the success of such initiatives depends on resolving existing structural barriers, improving policies, and externalizing all necessary international support. The results indicate that green finance has made tremendous progress, but because of some economic, technological, and even institutional factors, it is still largely ignored in many parts of the world. Considering the findings of these studies, this review creates a basis for understanding how green finance can be utilized more effectively in achieving SDG 7 in developing regions. The following discussion builds on these findings and further discusses how to overcome barriers and optimize opportunities</w:t>
      </w:r>
    </w:p>
    <w:p w14:paraId="2C802A45" w14:textId="77777777" w:rsidR="00690C0A" w:rsidRPr="004A1AF7" w:rsidRDefault="00690C0A" w:rsidP="009C2611">
      <w:pPr>
        <w:spacing w:before="100" w:beforeAutospacing="1" w:after="100" w:afterAutospacing="1" w:line="240" w:lineRule="auto"/>
        <w:jc w:val="both"/>
        <w:outlineLvl w:val="3"/>
        <w:rPr>
          <w:rFonts w:eastAsia="Times New Roman" w:cstheme="minorHAnsi"/>
          <w:b/>
          <w:bCs/>
          <w:sz w:val="24"/>
        </w:rPr>
      </w:pPr>
      <w:r w:rsidRPr="004A1AF7">
        <w:rPr>
          <w:rFonts w:eastAsia="Times New Roman" w:cstheme="minorHAnsi"/>
          <w:b/>
          <w:bCs/>
          <w:sz w:val="24"/>
        </w:rPr>
        <w:t>6. Discussion</w:t>
      </w:r>
    </w:p>
    <w:p w14:paraId="2B58F6FD"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 discussion section delves deeper into the findings from the literature review, analyzing how green finance contributes to SDG 7, identifying barriers and opportunities, and exploring the influence of policies and international mechanisms in shaping the role of green finance in developing countries.</w:t>
      </w:r>
    </w:p>
    <w:p w14:paraId="37C0ACE7"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6.1 How Green Finance Contributes to Achieving SDG 7</w:t>
      </w:r>
    </w:p>
    <w:p w14:paraId="28B4E632" w14:textId="77777777" w:rsidR="00850D61" w:rsidRPr="004A1AF7" w:rsidRDefault="00850D61"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Green finance plays a critical role in bridging the funding gap for renewable energy projects in developing countries. The deployment of green bonds, carbon credits, and public-private partnerships (PPPs) has shown promising results in mobilizing both public and private capital for clean energy initiatives. </w:t>
      </w:r>
    </w:p>
    <w:p w14:paraId="2842218A" w14:textId="3EEFDA77" w:rsidR="00850D61" w:rsidRPr="004A1AF7" w:rsidRDefault="00850D61" w:rsidP="009C2611">
      <w:pPr>
        <w:spacing w:before="100" w:beforeAutospacing="1" w:after="100" w:afterAutospacing="1" w:line="240" w:lineRule="auto"/>
        <w:jc w:val="both"/>
        <w:rPr>
          <w:rFonts w:cstheme="minorHAnsi"/>
        </w:rPr>
      </w:pPr>
      <w:r w:rsidRPr="004A1AF7">
        <w:rPr>
          <w:rFonts w:cstheme="minorHAnsi"/>
        </w:rPr>
        <w:t xml:space="preserve">According to </w:t>
      </w:r>
      <w:r w:rsidRPr="004A1AF7">
        <w:rPr>
          <w:rFonts w:cstheme="minorHAnsi"/>
        </w:rPr>
        <w:fldChar w:fldCharType="begin" w:fldLock="1"/>
      </w:r>
      <w:r w:rsidRPr="004A1AF7">
        <w:rPr>
          <w:rFonts w:cstheme="minorHAnsi"/>
        </w:rPr>
        <w:instrText>ADDIN CSL_CITATION {"citationItems":[{"id":"ITEM-1","itemData":{"DOI":"10.1007/978-981-13-0227-5_13","abstract":"In 2017 global investment in renewables and energy efficiency declined by 3% and there is a risk that it will slow further; clearly fossil fuels still dominate energy investment. This could threaten the expansion of green energy needed to provide energy security and meet climate and clean air goals. Several developed and developing economies are still following pro-coal energy policies and the extra CO2 generated by new coal-fired power plants could more than wipe out any reductions in emissions made by other nations. Finance is the engine of development of infrastructure projects, including energy projects. Generally financial institutions show more interest in fossil fuel projects than green projects, mainly because there are still several risks associated with these new technologies and they offer a lower rate of return. If we want to achieve sustainable development goals, we need to open a new file for green projects and scale up the financing of investments that provide environmental benefits, through new financial instruments and new policies, such as green bonds, green banks, carbon market instruments, fiscal policy, green central banking, financial technologies, community-based green funds, etc., which are collectively known as \"green finance\".","author":[{"dropping-particle":"","family":"Sachs","given":"Jeffrey D.","non-dropping-particle":"","parse-names":false,"suffix":""},{"dropping-particle":"","family":"Woo","given":"Wing Thye","non-dropping-particle":"","parse-names":false,"suffix":""},{"dropping-particle":"","family":"Yoshino","given":"Naoyuki","non-dropping-particle":"","parse-names":false,"suffix":""},{"dropping-particle":"","family":"Taghizadeh-Hesary","given":"Farhad","non-dropping-particle":"","parse-names":false,"suffix":""}],"container-title":"Handbook of Green Finance","id":"ITEM-1","issued":{"date-parts":[["2019"]]},"page":"3-12","title":"Importance of Green Finance for Achieving Sustainable Development Goals and Energy Security","type":"article-journal"},"uris":["http://www.mendeley.com/documents/?uuid=4af8fbb7-e7d4-4c60-84dc-4fc593a6c53b"]}],"mendeley":{"formattedCitation":"(Sachs &lt;i&gt;et al.&lt;/i&gt;, 2019)","manualFormatting":"Sachs et al. (2019)","plainTextFormattedCitation":"(Sachs et al., 2019)","previouslyFormattedCitation":"(Sachs et al., 2019)"},"properties":{"noteIndex":0},"schema":"https://github.com/citation-style-language/schema/raw/master/csl-citation.json"}</w:instrText>
      </w:r>
      <w:r w:rsidRPr="004A1AF7">
        <w:rPr>
          <w:rFonts w:cstheme="minorHAnsi"/>
        </w:rPr>
        <w:fldChar w:fldCharType="separate"/>
      </w:r>
      <w:r w:rsidRPr="004A1AF7">
        <w:rPr>
          <w:rFonts w:cstheme="minorHAnsi"/>
          <w:noProof/>
        </w:rPr>
        <w:t xml:space="preserve">Sachs </w:t>
      </w:r>
      <w:r w:rsidRPr="004A1AF7">
        <w:rPr>
          <w:rFonts w:cstheme="minorHAnsi"/>
          <w:i/>
          <w:noProof/>
        </w:rPr>
        <w:t>et al.</w:t>
      </w:r>
      <w:r w:rsidRPr="004A1AF7">
        <w:rPr>
          <w:rFonts w:cstheme="minorHAnsi"/>
          <w:noProof/>
        </w:rPr>
        <w:t xml:space="preserve"> (2019)</w:t>
      </w:r>
      <w:r w:rsidRPr="004A1AF7">
        <w:rPr>
          <w:rFonts w:cstheme="minorHAnsi"/>
        </w:rPr>
        <w:fldChar w:fldCharType="end"/>
      </w:r>
      <w:r w:rsidRPr="004A1AF7">
        <w:rPr>
          <w:rFonts w:cstheme="minorHAnsi"/>
        </w:rPr>
        <w:t xml:space="preserve"> since the onset of industrial revolution finance has been a powerful enabler of human progress. When </w:t>
      </w:r>
      <w:proofErr w:type="gramStart"/>
      <w:r w:rsidRPr="004A1AF7">
        <w:rPr>
          <w:rFonts w:cstheme="minorHAnsi"/>
        </w:rPr>
        <w:t>financial</w:t>
      </w:r>
      <w:proofErr w:type="gramEnd"/>
      <w:r w:rsidRPr="004A1AF7">
        <w:rPr>
          <w:rFonts w:cstheme="minorHAnsi"/>
        </w:rPr>
        <w:t xml:space="preserve"> system works efficiently it contributes to growth and development and when it malfunctions this can lead to investments in projects that are potentially harmful to environment. Achieving SDG </w:t>
      </w:r>
      <w:proofErr w:type="gramStart"/>
      <w:r w:rsidRPr="004A1AF7">
        <w:rPr>
          <w:rFonts w:cstheme="minorHAnsi"/>
        </w:rPr>
        <w:t>7 which</w:t>
      </w:r>
      <w:proofErr w:type="gramEnd"/>
      <w:r w:rsidRPr="004A1AF7">
        <w:rPr>
          <w:rFonts w:cstheme="minorHAnsi"/>
        </w:rPr>
        <w:t xml:space="preserve"> advocates for affordable, sustainable and reliable supply of clean energy requires considerable financial support. Green finances thus play a critical role in bridging the funding gap between sustainable development and renewable energy development efficiency in developing countries. </w:t>
      </w:r>
    </w:p>
    <w:p w14:paraId="27628719"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6.2 Barriers and Opportunities</w:t>
      </w:r>
    </w:p>
    <w:p w14:paraId="2391C532" w14:textId="2A1E24F2"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Despite its potential, green finance faces significant barriers in developing countries. Limited access to global financial markets remains a key challenge. As Hafner et al. (2020) note, weak financial infrastructure in many developing nations prevents effective utilization of green bonds and similar instruments. Furthermore, the high perceived risk of renewable energy investments in politically or economically unstable regions discourages private-sector </w:t>
      </w:r>
      <w:r w:rsidR="009C2611" w:rsidRPr="004A1AF7">
        <w:rPr>
          <w:rFonts w:eastAsia="Times New Roman" w:cstheme="minorHAnsi"/>
        </w:rPr>
        <w:t>engagement.</w:t>
      </w:r>
    </w:p>
    <w:p w14:paraId="2A46D4ED" w14:textId="7459CD1C"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Policy and regulatory barriers also hinder the scalability of green finance. Wan (2020) points out that inconsistent or unclear energy policies in several developing countries create uncertainties for investors. The lack of standardized green finance frameworks exacerbates these challenges, making it difficult for stakeholders to assess project viability and </w:t>
      </w:r>
      <w:r w:rsidR="009C2611" w:rsidRPr="004A1AF7">
        <w:rPr>
          <w:rFonts w:eastAsia="Times New Roman" w:cstheme="minorHAnsi"/>
        </w:rPr>
        <w:t>returns.</w:t>
      </w:r>
    </w:p>
    <w:p w14:paraId="7A633FB1" w14:textId="172E58CC"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Opportunities, however, abound. De-risking mechanisms such as blended finance and government-backed guarantees can attract private-sector investments by mitigating financial risks. Tolliver et al. (2020) highlight </w:t>
      </w:r>
      <w:proofErr w:type="gramStart"/>
      <w:r w:rsidRPr="004A1AF7">
        <w:rPr>
          <w:rFonts w:eastAsia="Times New Roman" w:cstheme="minorHAnsi"/>
        </w:rPr>
        <w:t>that innovative financial models</w:t>
      </w:r>
      <w:proofErr w:type="gramEnd"/>
      <w:r w:rsidRPr="004A1AF7">
        <w:rPr>
          <w:rFonts w:eastAsia="Times New Roman" w:cstheme="minorHAnsi"/>
        </w:rPr>
        <w:t xml:space="preserve">, like risk-sharing agreements, have successfully mobilized investments in renewable energy projects in Southeast </w:t>
      </w:r>
      <w:r w:rsidR="009C2611" w:rsidRPr="004A1AF7">
        <w:rPr>
          <w:rFonts w:eastAsia="Times New Roman" w:cstheme="minorHAnsi"/>
        </w:rPr>
        <w:t>Asia.</w:t>
      </w:r>
    </w:p>
    <w:p w14:paraId="4C8F60F6" w14:textId="7B237640"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lastRenderedPageBreak/>
        <w:t>Emerging technologies, such as blockchain and other fintech innovations, also present opportunities to enhance green finance's effectiveness. These technologies improve transparency, reduce transaction costs, and build investor confidence, making them valuable tools for scaling up renewable energy projects in underserved regions (Liu et al., 2021</w:t>
      </w:r>
      <w:r w:rsidR="009C2611" w:rsidRPr="004A1AF7">
        <w:rPr>
          <w:rFonts w:eastAsia="Times New Roman" w:cstheme="minorHAnsi"/>
        </w:rPr>
        <w:t>).</w:t>
      </w:r>
    </w:p>
    <w:p w14:paraId="5630C3F7"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6.3 Role of Policies and International Mechanisms</w:t>
      </w:r>
    </w:p>
    <w:p w14:paraId="7439587E" w14:textId="0D762965"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Policies and international frameworks are critical to creating an enabling environment for green finance. The Paris Agreement, for instance, has provided a strategic framework for aligning national energy policies with global sustainability goals. Wan (2020) argues that international agreements and commitments often catalyze green finance by fostering technology transfer and capacity-building initiatives in developing countries​.</w:t>
      </w:r>
    </w:p>
    <w:p w14:paraId="5704C5E5"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National policies also play a pivotal role in shaping the effectiveness of green finance. Countries like China and India have demonstrated that policy clarity and government support are essential for fostering private-sector participation in green energy projects. Rasoulinezhad and Taghizadeh-Hesary (2022) highlight China’s success in creating a robust green bond market through supportive policies and incentives, which have significantly increased investment flows into renewable energy​.</w:t>
      </w:r>
    </w:p>
    <w:p w14:paraId="6D28C039"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Multilateral institutions such as the World Bank and the Asian Development Bank (ADB) have been instrumental in providing concessional financing and guarantees for renewable energy projects. Sachs et al. (2019) emphasize that these institutions play a vital role in de-risking investments and mobilizing private capital, particularly in regions with weak financial markets. Their involvement not only enhances investor confidence but also helps build the technical and institutional capacity needed to implement large-scale renewable energy projects​.</w:t>
      </w:r>
    </w:p>
    <w:p w14:paraId="091EB840"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6.4 Linking Green Finance to Broader Development Goals</w:t>
      </w:r>
    </w:p>
    <w:p w14:paraId="36F8F9AD" w14:textId="44180159" w:rsidR="00690C0A" w:rsidRPr="004A1AF7" w:rsidRDefault="00850D61" w:rsidP="009C2611">
      <w:pPr>
        <w:spacing w:after="0" w:line="240" w:lineRule="auto"/>
        <w:jc w:val="both"/>
        <w:rPr>
          <w:rFonts w:eastAsia="Times New Roman" w:cstheme="minorHAnsi"/>
        </w:rPr>
      </w:pPr>
      <w:r w:rsidRPr="004A1AF7">
        <w:rPr>
          <w:rFonts w:eastAsia="Times New Roman" w:cstheme="minorHAnsi"/>
        </w:rPr>
        <w:t>To advance sustainable growth linking green finance to broader development goals is crucial. The scope of green finance sector extends beyond SDG 7, whereby it addresses key issues such as fostering economic growth through green finances, climate action and responsible consumption and production as targeted in SDG 8, 12 and 13. By directing financial resources towards long term sustainable projects green finances addresses not only climate change but also promote social and economic development.</w:t>
      </w:r>
    </w:p>
    <w:p w14:paraId="701E5A27" w14:textId="77777777" w:rsidR="00850D61"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6.5 Summary of Key Insights</w:t>
      </w:r>
    </w:p>
    <w:p w14:paraId="088F2B95" w14:textId="5775723E"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 discussion reveals that while green finance holds immense potential to advance SDG 7, its success in developing countries hinges on addressing systemic barriers and leveraging opportunities. Policies, de-risking mechanisms, and international cooperation are crucial for scaling green finance initiatives. Furthermore, the integration of green finance into broader development frameworks ensures that its benefits extend beyond energy to encompass economic, social, and environmental dimensions.</w:t>
      </w:r>
    </w:p>
    <w:p w14:paraId="77879C69"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This comprehensive approach positions green finance as a transformative tool for achieving sustainable development in developing countries, provided that stakeholders adopt targeted strategies to overcome existing challenges.</w:t>
      </w:r>
    </w:p>
    <w:p w14:paraId="28886B92" w14:textId="77777777" w:rsidR="00690C0A" w:rsidRPr="004A1AF7" w:rsidRDefault="00690C0A" w:rsidP="009C2611">
      <w:pPr>
        <w:spacing w:before="100" w:beforeAutospacing="1" w:after="100" w:afterAutospacing="1" w:line="240" w:lineRule="auto"/>
        <w:jc w:val="both"/>
        <w:rPr>
          <w:rFonts w:eastAsia="Times New Roman" w:cstheme="minorHAnsi"/>
        </w:rPr>
      </w:pPr>
    </w:p>
    <w:p w14:paraId="47EC0FE9" w14:textId="77777777" w:rsidR="00690C0A" w:rsidRPr="004A1AF7" w:rsidRDefault="00690C0A" w:rsidP="009C2611">
      <w:pPr>
        <w:spacing w:before="100" w:beforeAutospacing="1" w:after="100" w:afterAutospacing="1" w:line="240" w:lineRule="auto"/>
        <w:jc w:val="both"/>
        <w:outlineLvl w:val="2"/>
        <w:rPr>
          <w:rFonts w:eastAsia="Times New Roman" w:cstheme="minorHAnsi"/>
          <w:b/>
          <w:bCs/>
          <w:sz w:val="24"/>
        </w:rPr>
      </w:pPr>
      <w:r w:rsidRPr="004A1AF7">
        <w:rPr>
          <w:rFonts w:eastAsia="Times New Roman" w:cstheme="minorHAnsi"/>
          <w:b/>
          <w:bCs/>
          <w:sz w:val="24"/>
        </w:rPr>
        <w:lastRenderedPageBreak/>
        <w:t>7. Conclusion</w:t>
      </w:r>
    </w:p>
    <w:p w14:paraId="462B46EB" w14:textId="77543A12" w:rsidR="00690C0A"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Green finance plays a crucial role in the worldwide pursuit of Sustainable Development Goal 7 (SDG 7): Affordable and Clean Energy. Poor financial infrastructures, lack of policy coordination and perceived implementation risk in developing countries are some of the challenges that complicate renewables and energy efficiency uptake. This discussion has shown how green finance can help with those issues, scoped the challenges and prospects that come with those means and addressed the impact of diverse policy and international arrangements on the practice.</w:t>
      </w:r>
    </w:p>
    <w:p w14:paraId="26E652A8" w14:textId="77777777" w:rsidR="00CD08EB"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7.1 Contributions of Green Finance</w:t>
      </w:r>
    </w:p>
    <w:p w14:paraId="049EC51E" w14:textId="6CFDC27B" w:rsidR="00CD08EB"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Green finance is not just a means to fund raising, it is a mechanism for systemic reversal of the way energy is produced, consumed and controlled. It may significantly speed up the progress of SDG 7 through green finance by addressing the systemic barriers to its use and leveraging its potential. But in order for it to work, governments alongside private investors, international organizations and local communities need to collaborate.</w:t>
      </w:r>
    </w:p>
    <w:p w14:paraId="2AFABACB" w14:textId="06D826DD" w:rsidR="00690C0A"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Green finance helps achieve more general developmental objectives like job creation, poverty reduction, and climate resilience by meeting energy funding demands. Green finance is in line with international sustainability goals like the 2030 Agenda for Sustainable Development and the Paris Agreement when it is included into national and international policies. </w:t>
      </w:r>
    </w:p>
    <w:p w14:paraId="46C589CA" w14:textId="77777777" w:rsidR="00CD08EB" w:rsidRPr="004A1AF7" w:rsidRDefault="00690C0A" w:rsidP="009C2611">
      <w:pPr>
        <w:spacing w:before="100" w:beforeAutospacing="1" w:after="100" w:afterAutospacing="1" w:line="240" w:lineRule="auto"/>
        <w:jc w:val="both"/>
        <w:rPr>
          <w:rFonts w:eastAsia="Times New Roman" w:cstheme="minorHAnsi"/>
          <w:sz w:val="24"/>
        </w:rPr>
      </w:pPr>
      <w:r w:rsidRPr="004A1AF7">
        <w:rPr>
          <w:rFonts w:eastAsia="Times New Roman" w:cstheme="minorHAnsi"/>
          <w:b/>
          <w:bCs/>
          <w:sz w:val="24"/>
        </w:rPr>
        <w:t>7.2 Key Barriers and Opportunities</w:t>
      </w:r>
    </w:p>
    <w:p w14:paraId="7F073B88" w14:textId="2343DBFB" w:rsidR="00CD08EB"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Although green finance has a lot of promise, there are a number of obstacles that prevent it from being used in poor nations. These include inconsistent regulatory frameworks, underdeveloped financing channels and the perceived high risk of renewable energy projects. Targeted actions, including de-risking procedures, government-backed assurances, and increased technical ability, are necessary to overcome these challenges. </w:t>
      </w:r>
    </w:p>
    <w:p w14:paraId="513ED32C" w14:textId="2D578D68" w:rsidR="00690C0A"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Green financing opportunities are equally important. Scaling up green finance efforts is made possible by the expanding market for green bonds, the development of financial technology, and the growing importance of international support systems. Success stories that can be replicated in other developing nations include China's thriving green bond market and India's incorporation of foreign finance for renewable energy. </w:t>
      </w:r>
    </w:p>
    <w:p w14:paraId="1DC63E59" w14:textId="77777777" w:rsidR="00CD08EB"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t>7.3 Role of Policies and International Mechanisms</w:t>
      </w:r>
    </w:p>
    <w:p w14:paraId="6C3BAF2B" w14:textId="59528FFE" w:rsidR="00CD08EB"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International and policy frameworks have a significant impact on how successful green financing is. Encouraging a climate that is conducive to green investments requires a combination of international mechanisms such as technology transfer and concessional funding, as well as coherent and supportive national policies. De-risking renewable energy projects and encouraging private sector involvement have been made possible by multilateral organizations like the World Bank and the Asian Development Bank. </w:t>
      </w:r>
    </w:p>
    <w:p w14:paraId="105C963C" w14:textId="12D88D33" w:rsidR="00690C0A"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Global accords such as the Paris Agreement also offer a strategic path for coordinating financial flows with environmental objectives. This alignment makes sure that green financing helps with climate change and other interrelated sustainable development goals in addition to addressing energy-related issues. </w:t>
      </w:r>
    </w:p>
    <w:p w14:paraId="488C32A3" w14:textId="77777777" w:rsidR="00CD08EB" w:rsidRPr="004A1AF7" w:rsidRDefault="00690C0A" w:rsidP="009C2611">
      <w:pPr>
        <w:spacing w:before="100" w:beforeAutospacing="1" w:after="100" w:afterAutospacing="1" w:line="240" w:lineRule="auto"/>
        <w:jc w:val="both"/>
        <w:rPr>
          <w:rFonts w:eastAsia="Times New Roman" w:cstheme="minorHAnsi"/>
          <w:b/>
          <w:bCs/>
          <w:sz w:val="24"/>
        </w:rPr>
      </w:pPr>
      <w:r w:rsidRPr="004A1AF7">
        <w:rPr>
          <w:rFonts w:eastAsia="Times New Roman" w:cstheme="minorHAnsi"/>
          <w:b/>
          <w:bCs/>
          <w:sz w:val="24"/>
        </w:rPr>
        <w:lastRenderedPageBreak/>
        <w:t>7.4 Recommendations for Scaling Green Finance</w:t>
      </w:r>
    </w:p>
    <w:p w14:paraId="4AFC3FE8" w14:textId="457F7B3E" w:rsidR="00690C0A" w:rsidRPr="004A1AF7" w:rsidRDefault="00CD08EB" w:rsidP="009C2611">
      <w:pPr>
        <w:spacing w:before="100" w:beforeAutospacing="1" w:after="100" w:afterAutospacing="1" w:line="240" w:lineRule="auto"/>
        <w:jc w:val="both"/>
        <w:rPr>
          <w:rFonts w:eastAsia="Times New Roman" w:cstheme="minorHAnsi"/>
        </w:rPr>
      </w:pPr>
      <w:r w:rsidRPr="004A1AF7">
        <w:rPr>
          <w:rFonts w:eastAsia="Times New Roman" w:cstheme="minorHAnsi"/>
        </w:rPr>
        <w:t>The following suggestions are put out to strengthen the role of green finance in accomplishing SDG 7 in poor nations:</w:t>
      </w:r>
    </w:p>
    <w:p w14:paraId="4A2C8564" w14:textId="258C96F2" w:rsidR="00690C0A" w:rsidRPr="004A1AF7" w:rsidRDefault="00690C0A" w:rsidP="009C2611">
      <w:pPr>
        <w:numPr>
          <w:ilvl w:val="0"/>
          <w:numId w:val="10"/>
        </w:numPr>
        <w:spacing w:before="100" w:beforeAutospacing="1" w:after="100" w:afterAutospacing="1" w:line="240" w:lineRule="auto"/>
        <w:jc w:val="both"/>
        <w:rPr>
          <w:rFonts w:eastAsia="Times New Roman" w:cstheme="minorHAnsi"/>
        </w:rPr>
      </w:pPr>
      <w:r w:rsidRPr="004A1AF7">
        <w:rPr>
          <w:rFonts w:eastAsia="Times New Roman" w:cstheme="minorHAnsi"/>
          <w:b/>
          <w:bCs/>
        </w:rPr>
        <w:t>Expand De-Risking Mechanisms:</w:t>
      </w:r>
      <w:r w:rsidRPr="004A1AF7">
        <w:rPr>
          <w:rFonts w:eastAsia="Times New Roman" w:cstheme="minorHAnsi"/>
        </w:rPr>
        <w:t xml:space="preserve"> Governments and multilateral institutions should offer </w:t>
      </w:r>
      <w:r w:rsidR="00CD08EB" w:rsidRPr="004A1AF7">
        <w:rPr>
          <w:rFonts w:eastAsia="Times New Roman" w:cstheme="minorHAnsi"/>
        </w:rPr>
        <w:t>new and innovative de-risking mechanisms such as guarantees and blended finance options to attract private capital into renewable energy projects.</w:t>
      </w:r>
    </w:p>
    <w:p w14:paraId="29062C90" w14:textId="5D6BF5DB" w:rsidR="00690C0A" w:rsidRPr="004A1AF7" w:rsidRDefault="00690C0A" w:rsidP="009C2611">
      <w:pPr>
        <w:numPr>
          <w:ilvl w:val="0"/>
          <w:numId w:val="10"/>
        </w:numPr>
        <w:spacing w:before="100" w:beforeAutospacing="1" w:after="100" w:afterAutospacing="1" w:line="240" w:lineRule="auto"/>
        <w:jc w:val="both"/>
        <w:rPr>
          <w:rFonts w:eastAsia="Times New Roman" w:cstheme="minorHAnsi"/>
        </w:rPr>
      </w:pPr>
      <w:r w:rsidRPr="004A1AF7">
        <w:rPr>
          <w:rFonts w:eastAsia="Times New Roman" w:cstheme="minorHAnsi"/>
          <w:b/>
          <w:bCs/>
        </w:rPr>
        <w:t>Strengthen Policy Coherence:</w:t>
      </w:r>
      <w:r w:rsidRPr="004A1AF7">
        <w:rPr>
          <w:rFonts w:eastAsia="Times New Roman" w:cstheme="minorHAnsi"/>
        </w:rPr>
        <w:t xml:space="preserve"> </w:t>
      </w:r>
      <w:r w:rsidR="00CD08EB" w:rsidRPr="004A1AF7">
        <w:rPr>
          <w:rFonts w:eastAsia="Times New Roman" w:cstheme="minorHAnsi"/>
        </w:rPr>
        <w:t>To reduce investor uncertainty and encourage long-term commitments, countries need clear and consistent energy policies that align with international sustainability goals.</w:t>
      </w:r>
    </w:p>
    <w:p w14:paraId="6CE864FB" w14:textId="7169870A" w:rsidR="00690C0A" w:rsidRPr="004A1AF7" w:rsidRDefault="00690C0A" w:rsidP="009C2611">
      <w:pPr>
        <w:numPr>
          <w:ilvl w:val="0"/>
          <w:numId w:val="10"/>
        </w:numPr>
        <w:spacing w:before="100" w:beforeAutospacing="1" w:after="100" w:afterAutospacing="1" w:line="240" w:lineRule="auto"/>
        <w:jc w:val="both"/>
        <w:rPr>
          <w:rFonts w:eastAsia="Times New Roman" w:cstheme="minorHAnsi"/>
        </w:rPr>
      </w:pPr>
      <w:r w:rsidRPr="004A1AF7">
        <w:rPr>
          <w:rFonts w:eastAsia="Times New Roman" w:cstheme="minorHAnsi"/>
          <w:b/>
          <w:bCs/>
        </w:rPr>
        <w:t>Enhance International Collaboration:</w:t>
      </w:r>
      <w:r w:rsidRPr="004A1AF7">
        <w:rPr>
          <w:rFonts w:eastAsia="Times New Roman" w:cstheme="minorHAnsi"/>
        </w:rPr>
        <w:t xml:space="preserve"> </w:t>
      </w:r>
      <w:r w:rsidR="00CD08EB" w:rsidRPr="004A1AF7">
        <w:t>For developing countries, external actors are needed to tackle regional barriers in the long run, either through capacity-building projects, technological transfer programs or concessional finance.</w:t>
      </w:r>
    </w:p>
    <w:p w14:paraId="2A76D4C4" w14:textId="790C48E6" w:rsidR="00690C0A" w:rsidRPr="004A1AF7" w:rsidRDefault="00690C0A" w:rsidP="009C2611">
      <w:pPr>
        <w:numPr>
          <w:ilvl w:val="0"/>
          <w:numId w:val="10"/>
        </w:numPr>
        <w:spacing w:before="100" w:beforeAutospacing="1" w:after="100" w:afterAutospacing="1" w:line="240" w:lineRule="auto"/>
        <w:jc w:val="both"/>
        <w:rPr>
          <w:rFonts w:eastAsia="Times New Roman" w:cstheme="minorHAnsi"/>
        </w:rPr>
      </w:pPr>
      <w:r w:rsidRPr="004A1AF7">
        <w:rPr>
          <w:rFonts w:eastAsia="Times New Roman" w:cstheme="minorHAnsi"/>
          <w:b/>
          <w:bCs/>
        </w:rPr>
        <w:t>Leverage Financial Technologies:</w:t>
      </w:r>
      <w:r w:rsidRPr="004A1AF7">
        <w:rPr>
          <w:rFonts w:eastAsia="Times New Roman" w:cstheme="minorHAnsi"/>
        </w:rPr>
        <w:t xml:space="preserve"> </w:t>
      </w:r>
      <w:r w:rsidR="00CD08EB" w:rsidRPr="004A1AF7">
        <w:rPr>
          <w:rFonts w:eastAsia="Times New Roman" w:cstheme="minorHAnsi"/>
        </w:rPr>
        <w:t>Advanced tools such as blockchain and artificial intelligence (AI) can enhance the efficiency of green financing processes, reduce transaction costs and increase transparency.</w:t>
      </w:r>
    </w:p>
    <w:p w14:paraId="783C083D" w14:textId="007A0875"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In conclusion, </w:t>
      </w:r>
      <w:r w:rsidR="00CD08EB" w:rsidRPr="004A1AF7">
        <w:t>green finance is not just a vehicle to mobilize capital, it is a driver for systemic change in how energy is produced, consumed and governed. By addressing systemic barriers and harnessing its potential, green finance could accelerate progress toward achieving SDG 7 significantly. But for its success, governments, private investors, international organizations and local communities must come together. Only by working together in partnership can we unlock the full potential of green finance.</w:t>
      </w:r>
    </w:p>
    <w:p w14:paraId="6BB926D7" w14:textId="77777777" w:rsidR="00690C0A" w:rsidRPr="004A1AF7" w:rsidRDefault="00690C0A" w:rsidP="009C2611">
      <w:pPr>
        <w:spacing w:before="100" w:beforeAutospacing="1" w:after="100" w:afterAutospacing="1" w:line="240" w:lineRule="auto"/>
        <w:jc w:val="both"/>
        <w:outlineLvl w:val="3"/>
        <w:rPr>
          <w:rFonts w:eastAsia="Times New Roman" w:cstheme="minorHAnsi"/>
          <w:b/>
          <w:bCs/>
          <w:sz w:val="24"/>
        </w:rPr>
      </w:pPr>
      <w:r w:rsidRPr="004A1AF7">
        <w:rPr>
          <w:rFonts w:eastAsia="Times New Roman" w:cstheme="minorHAnsi"/>
          <w:b/>
          <w:bCs/>
          <w:sz w:val="24"/>
        </w:rPr>
        <w:t>8. Limitations and Future Directions</w:t>
      </w:r>
    </w:p>
    <w:p w14:paraId="1D4C7EEE" w14:textId="77777777" w:rsidR="00CD08EB" w:rsidRPr="004A1AF7" w:rsidRDefault="00CD08EB" w:rsidP="009C2611">
      <w:pPr>
        <w:spacing w:line="240" w:lineRule="auto"/>
        <w:jc w:val="both"/>
      </w:pPr>
      <w:r w:rsidRPr="004A1AF7">
        <w:t>The empirical depth of this study is constrained by its dependence on secondary literature. This study supports the rather mixed conclusions on how green financing affects progress towards SDG 7, while future studies combining stakeholder primary data and region-specific analysis need to give more insight into how green financing works in practice.</w:t>
      </w:r>
    </w:p>
    <w:p w14:paraId="13B24F01" w14:textId="77777777" w:rsidR="00690C0A" w:rsidRPr="004A1AF7" w:rsidRDefault="00690C0A" w:rsidP="009C2611">
      <w:pPr>
        <w:spacing w:before="100" w:beforeAutospacing="1" w:after="100" w:afterAutospacing="1" w:line="240" w:lineRule="auto"/>
        <w:jc w:val="both"/>
        <w:outlineLvl w:val="3"/>
        <w:rPr>
          <w:rFonts w:eastAsia="Times New Roman" w:cstheme="minorHAnsi"/>
          <w:b/>
          <w:bCs/>
          <w:sz w:val="24"/>
        </w:rPr>
      </w:pPr>
      <w:r w:rsidRPr="004A1AF7">
        <w:rPr>
          <w:rFonts w:eastAsia="Times New Roman" w:cstheme="minorHAnsi"/>
          <w:b/>
          <w:bCs/>
          <w:sz w:val="24"/>
        </w:rPr>
        <w:t>9. References</w:t>
      </w:r>
    </w:p>
    <w:p w14:paraId="3A8D8CFD"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Rasoulinezhad, E. and Taghizadeh-Hesary, F. (2022). Role of green finance in improving energy efficiency and renewable energy development. </w:t>
      </w:r>
      <w:r w:rsidRPr="004A1AF7">
        <w:rPr>
          <w:rFonts w:eastAsia="Times New Roman" w:cstheme="minorHAnsi"/>
          <w:i/>
          <w:iCs/>
        </w:rPr>
        <w:t>Energy Efficiency</w:t>
      </w:r>
      <w:r w:rsidRPr="004A1AF7">
        <w:rPr>
          <w:rFonts w:eastAsia="Times New Roman" w:cstheme="minorHAnsi"/>
        </w:rPr>
        <w:t xml:space="preserve">, 15(14), pp. 1-12. DOI: </w:t>
      </w:r>
      <w:hyperlink r:id="rId8" w:tgtFrame="_new" w:history="1">
        <w:r w:rsidRPr="004A1AF7">
          <w:rPr>
            <w:rFonts w:eastAsia="Times New Roman" w:cstheme="minorHAnsi"/>
            <w:color w:val="0000FF"/>
            <w:u w:val="single"/>
          </w:rPr>
          <w:t>10.1007/s12053-022-10021-4</w:t>
        </w:r>
      </w:hyperlink>
      <w:r w:rsidRPr="004A1AF7">
        <w:rPr>
          <w:rFonts w:eastAsia="Times New Roman" w:cstheme="minorHAnsi"/>
        </w:rPr>
        <w:t>.</w:t>
      </w:r>
    </w:p>
    <w:p w14:paraId="6366A584"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Sachs, J., Woo, W., Yoshino, N., and Taghizadeh-Hesary, F. (2019). Importance of green finance for achieving sustainable development goals and energy security. In: </w:t>
      </w:r>
      <w:r w:rsidRPr="004A1AF7">
        <w:rPr>
          <w:rFonts w:eastAsia="Times New Roman" w:cstheme="minorHAnsi"/>
          <w:i/>
          <w:iCs/>
        </w:rPr>
        <w:t>Handbook of Green Finance: Energy Security and Sustainable Development</w:t>
      </w:r>
      <w:r w:rsidRPr="004A1AF7">
        <w:rPr>
          <w:rFonts w:eastAsia="Times New Roman" w:cstheme="minorHAnsi"/>
        </w:rPr>
        <w:t>. Springer, Tokyo, pp. 1-22. DOI: 10.1007/978-981-10-7620-8.</w:t>
      </w:r>
    </w:p>
    <w:p w14:paraId="73E8B076"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Wan, J. (2020). Green finance and sustainable development goals: The case of China. </w:t>
      </w:r>
      <w:r w:rsidRPr="004A1AF7">
        <w:rPr>
          <w:rFonts w:eastAsia="Times New Roman" w:cstheme="minorHAnsi"/>
          <w:i/>
          <w:iCs/>
        </w:rPr>
        <w:t>Journal of Asian Finance, Economics, and Business</w:t>
      </w:r>
      <w:r w:rsidRPr="004A1AF7">
        <w:rPr>
          <w:rFonts w:eastAsia="Times New Roman" w:cstheme="minorHAnsi"/>
        </w:rPr>
        <w:t>, 7(7), pp. 577–586. DOI: 10.13106/jafeb.2020.vol7.no7.577.</w:t>
      </w:r>
    </w:p>
    <w:p w14:paraId="40C69435"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lastRenderedPageBreak/>
        <w:t>Hafner, S., Jones, A., Anger-</w:t>
      </w:r>
      <w:proofErr w:type="spellStart"/>
      <w:r w:rsidRPr="004A1AF7">
        <w:rPr>
          <w:rFonts w:eastAsia="Times New Roman" w:cstheme="minorHAnsi"/>
        </w:rPr>
        <w:t>Kraavi</w:t>
      </w:r>
      <w:proofErr w:type="spellEnd"/>
      <w:r w:rsidRPr="004A1AF7">
        <w:rPr>
          <w:rFonts w:eastAsia="Times New Roman" w:cstheme="minorHAnsi"/>
        </w:rPr>
        <w:t xml:space="preserve">, A., and Pohl, J. (2020). Closing the green finance gap – A systems perspective. </w:t>
      </w:r>
      <w:r w:rsidRPr="004A1AF7">
        <w:rPr>
          <w:rFonts w:eastAsia="Times New Roman" w:cstheme="minorHAnsi"/>
          <w:i/>
          <w:iCs/>
        </w:rPr>
        <w:t>Environmental Innovation and Societal Transitions</w:t>
      </w:r>
      <w:r w:rsidRPr="004A1AF7">
        <w:rPr>
          <w:rFonts w:eastAsia="Times New Roman" w:cstheme="minorHAnsi"/>
        </w:rPr>
        <w:t>, 34, pp. 26–60. DOI: 10.1016/j.eist.2020.01.004.</w:t>
      </w:r>
    </w:p>
    <w:p w14:paraId="1D307A1E"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Yoshino, N. and Taghizadeh-Hesary, F. (2018). The way to induce private participation in green finance and investment. </w:t>
      </w:r>
      <w:r w:rsidRPr="004A1AF7">
        <w:rPr>
          <w:rFonts w:eastAsia="Times New Roman" w:cstheme="minorHAnsi"/>
          <w:i/>
          <w:iCs/>
        </w:rPr>
        <w:t>Finance Research Letters</w:t>
      </w:r>
      <w:r w:rsidRPr="004A1AF7">
        <w:rPr>
          <w:rFonts w:eastAsia="Times New Roman" w:cstheme="minorHAnsi"/>
        </w:rPr>
        <w:t xml:space="preserve">, 31, pp. 98-103. DOI: </w:t>
      </w:r>
      <w:hyperlink r:id="rId9" w:tgtFrame="_new" w:history="1">
        <w:r w:rsidRPr="004A1AF7">
          <w:rPr>
            <w:rFonts w:eastAsia="Times New Roman" w:cstheme="minorHAnsi"/>
            <w:color w:val="0000FF"/>
            <w:u w:val="single"/>
          </w:rPr>
          <w:t>10.1016/j.frl.2019.04.016</w:t>
        </w:r>
      </w:hyperlink>
      <w:r w:rsidRPr="004A1AF7">
        <w:rPr>
          <w:rFonts w:eastAsia="Times New Roman" w:cstheme="minorHAnsi"/>
        </w:rPr>
        <w:t>.</w:t>
      </w:r>
    </w:p>
    <w:p w14:paraId="67C9819A"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Tolliver, C., Keeley, A., and Managi, S. (2020). Policy targets behind green bonds for renewable energy: Do climate commitments matter? </w:t>
      </w:r>
      <w:r w:rsidRPr="004A1AF7">
        <w:rPr>
          <w:rFonts w:eastAsia="Times New Roman" w:cstheme="minorHAnsi"/>
          <w:i/>
          <w:iCs/>
        </w:rPr>
        <w:t>Technological Forecasting and Social Change</w:t>
      </w:r>
      <w:r w:rsidRPr="004A1AF7">
        <w:rPr>
          <w:rFonts w:eastAsia="Times New Roman" w:cstheme="minorHAnsi"/>
        </w:rPr>
        <w:t xml:space="preserve">, 157, 120051. DOI: </w:t>
      </w:r>
      <w:hyperlink r:id="rId10" w:tgtFrame="_new" w:history="1">
        <w:r w:rsidRPr="004A1AF7">
          <w:rPr>
            <w:rFonts w:eastAsia="Times New Roman" w:cstheme="minorHAnsi"/>
            <w:color w:val="0000FF"/>
            <w:u w:val="single"/>
          </w:rPr>
          <w:t>10.1016/j.techfore.2020.120051</w:t>
        </w:r>
      </w:hyperlink>
      <w:r w:rsidRPr="004A1AF7">
        <w:rPr>
          <w:rFonts w:eastAsia="Times New Roman" w:cstheme="minorHAnsi"/>
        </w:rPr>
        <w:t>.</w:t>
      </w:r>
    </w:p>
    <w:p w14:paraId="387DCD55"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Nguyen, T., Naeem, M., Balli, F., Balli, H., and Vo, X. (2021). Time-frequency </w:t>
      </w:r>
      <w:proofErr w:type="spellStart"/>
      <w:r w:rsidRPr="004A1AF7">
        <w:rPr>
          <w:rFonts w:eastAsia="Times New Roman" w:cstheme="minorHAnsi"/>
        </w:rPr>
        <w:t>comovement</w:t>
      </w:r>
      <w:proofErr w:type="spellEnd"/>
      <w:r w:rsidRPr="004A1AF7">
        <w:rPr>
          <w:rFonts w:eastAsia="Times New Roman" w:cstheme="minorHAnsi"/>
        </w:rPr>
        <w:t xml:space="preserve"> among green bonds, stocks, commodities, clean energy, and conventional bonds. </w:t>
      </w:r>
      <w:r w:rsidRPr="004A1AF7">
        <w:rPr>
          <w:rFonts w:eastAsia="Times New Roman" w:cstheme="minorHAnsi"/>
          <w:i/>
          <w:iCs/>
        </w:rPr>
        <w:t>Finance Research Letters</w:t>
      </w:r>
      <w:r w:rsidRPr="004A1AF7">
        <w:rPr>
          <w:rFonts w:eastAsia="Times New Roman" w:cstheme="minorHAnsi"/>
        </w:rPr>
        <w:t xml:space="preserve">, 40, 101739. DOI: </w:t>
      </w:r>
      <w:hyperlink r:id="rId11" w:tgtFrame="_new" w:history="1">
        <w:r w:rsidRPr="004A1AF7">
          <w:rPr>
            <w:rFonts w:eastAsia="Times New Roman" w:cstheme="minorHAnsi"/>
            <w:color w:val="0000FF"/>
            <w:u w:val="single"/>
          </w:rPr>
          <w:t>10.1016/j.frl.2020.101739</w:t>
        </w:r>
      </w:hyperlink>
      <w:r w:rsidRPr="004A1AF7">
        <w:rPr>
          <w:rFonts w:eastAsia="Times New Roman" w:cstheme="minorHAnsi"/>
        </w:rPr>
        <w:t>.</w:t>
      </w:r>
    </w:p>
    <w:p w14:paraId="4D3B0E4B"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Liu, N., Liu, C., Da, B., Zhang, T., and Guan, F. (2021). Dependence and risk spillovers between green bonds and clean energy markets. </w:t>
      </w:r>
      <w:r w:rsidRPr="004A1AF7">
        <w:rPr>
          <w:rFonts w:eastAsia="Times New Roman" w:cstheme="minorHAnsi"/>
          <w:i/>
          <w:iCs/>
        </w:rPr>
        <w:t>Journal of Cleaner Production</w:t>
      </w:r>
      <w:r w:rsidRPr="004A1AF7">
        <w:rPr>
          <w:rFonts w:eastAsia="Times New Roman" w:cstheme="minorHAnsi"/>
        </w:rPr>
        <w:t xml:space="preserve">, 279, 123595. DOI: </w:t>
      </w:r>
      <w:hyperlink r:id="rId12" w:tgtFrame="_new" w:history="1">
        <w:r w:rsidRPr="004A1AF7">
          <w:rPr>
            <w:rFonts w:eastAsia="Times New Roman" w:cstheme="minorHAnsi"/>
            <w:color w:val="0000FF"/>
            <w:u w:val="single"/>
          </w:rPr>
          <w:t>10.1016/j.jclepro.2020.123595</w:t>
        </w:r>
      </w:hyperlink>
      <w:r w:rsidRPr="004A1AF7">
        <w:rPr>
          <w:rFonts w:eastAsia="Times New Roman" w:cstheme="minorHAnsi"/>
        </w:rPr>
        <w:t>.</w:t>
      </w:r>
    </w:p>
    <w:p w14:paraId="6DA039F8"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Ren, X., Shao, Q., and Zhong, R. (2020). Nexus between green finance, non-fossil energy use, and carbon intensity: Empirical evidence from China based on a vector error correction model. </w:t>
      </w:r>
      <w:r w:rsidRPr="004A1AF7">
        <w:rPr>
          <w:rFonts w:eastAsia="Times New Roman" w:cstheme="minorHAnsi"/>
          <w:i/>
          <w:iCs/>
        </w:rPr>
        <w:t>Journal of Cleaner Production</w:t>
      </w:r>
      <w:r w:rsidRPr="004A1AF7">
        <w:rPr>
          <w:rFonts w:eastAsia="Times New Roman" w:cstheme="minorHAnsi"/>
        </w:rPr>
        <w:t xml:space="preserve">, 277, 122844. DOI: </w:t>
      </w:r>
      <w:hyperlink r:id="rId13" w:tgtFrame="_new" w:history="1">
        <w:r w:rsidRPr="004A1AF7">
          <w:rPr>
            <w:rFonts w:eastAsia="Times New Roman" w:cstheme="minorHAnsi"/>
            <w:color w:val="0000FF"/>
            <w:u w:val="single"/>
          </w:rPr>
          <w:t>10.1016/j.jclepro.2020.122844</w:t>
        </w:r>
      </w:hyperlink>
      <w:r w:rsidRPr="004A1AF7">
        <w:rPr>
          <w:rFonts w:eastAsia="Times New Roman" w:cstheme="minorHAnsi"/>
        </w:rPr>
        <w:t>.</w:t>
      </w:r>
    </w:p>
    <w:p w14:paraId="36DCE06C"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Sarangi, G. K. (2018). Green energy finance in India: Challenges and solutions. </w:t>
      </w:r>
      <w:r w:rsidRPr="004A1AF7">
        <w:rPr>
          <w:rFonts w:eastAsia="Times New Roman" w:cstheme="minorHAnsi"/>
          <w:i/>
          <w:iCs/>
        </w:rPr>
        <w:t>ADBI Working Paper Series</w:t>
      </w:r>
      <w:r w:rsidRPr="004A1AF7">
        <w:rPr>
          <w:rFonts w:eastAsia="Times New Roman" w:cstheme="minorHAnsi"/>
        </w:rPr>
        <w:t>, No. 863. Available at: ADBI.</w:t>
      </w:r>
    </w:p>
    <w:p w14:paraId="529A567E" w14:textId="77777777" w:rsidR="00690C0A" w:rsidRPr="004A1AF7" w:rsidRDefault="00690C0A" w:rsidP="009C2611">
      <w:pPr>
        <w:spacing w:before="100" w:beforeAutospacing="1" w:after="100" w:afterAutospacing="1" w:line="240" w:lineRule="auto"/>
        <w:jc w:val="both"/>
        <w:rPr>
          <w:rFonts w:eastAsia="Times New Roman" w:cstheme="minorHAnsi"/>
        </w:rPr>
      </w:pPr>
      <w:proofErr w:type="spellStart"/>
      <w:r w:rsidRPr="004A1AF7">
        <w:rPr>
          <w:rFonts w:eastAsia="Times New Roman" w:cstheme="minorHAnsi"/>
        </w:rPr>
        <w:t>Charfeddine</w:t>
      </w:r>
      <w:proofErr w:type="spellEnd"/>
      <w:r w:rsidRPr="004A1AF7">
        <w:rPr>
          <w:rFonts w:eastAsia="Times New Roman" w:cstheme="minorHAnsi"/>
        </w:rPr>
        <w:t xml:space="preserve">, L. and Kahia, M. (2019). Impact of renewable energy consumption and financial development on CO2 emissions and economic growth in the MENA region: A panel vector autoregressive (PVAR) analysis. </w:t>
      </w:r>
      <w:r w:rsidRPr="004A1AF7">
        <w:rPr>
          <w:rFonts w:eastAsia="Times New Roman" w:cstheme="minorHAnsi"/>
          <w:i/>
          <w:iCs/>
        </w:rPr>
        <w:t>Renewable Energy</w:t>
      </w:r>
      <w:r w:rsidRPr="004A1AF7">
        <w:rPr>
          <w:rFonts w:eastAsia="Times New Roman" w:cstheme="minorHAnsi"/>
        </w:rPr>
        <w:t>, 139, pp. 198–213. DOI: 10.1016/j.renene.2019.02.010.</w:t>
      </w:r>
    </w:p>
    <w:p w14:paraId="05F4EFA7"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Zhang, B. and Wang, Y. (2019). The effect of green finance on energy sustainable development: A case study in China. </w:t>
      </w:r>
      <w:r w:rsidRPr="004A1AF7">
        <w:rPr>
          <w:rFonts w:eastAsia="Times New Roman" w:cstheme="minorHAnsi"/>
          <w:i/>
          <w:iCs/>
        </w:rPr>
        <w:t>Emerging Markets Finance and Trade</w:t>
      </w:r>
      <w:r w:rsidRPr="004A1AF7">
        <w:rPr>
          <w:rFonts w:eastAsia="Times New Roman" w:cstheme="minorHAnsi"/>
        </w:rPr>
        <w:t xml:space="preserve">. DOI: </w:t>
      </w:r>
      <w:hyperlink r:id="rId14" w:tgtFrame="_new" w:history="1">
        <w:r w:rsidRPr="004A1AF7">
          <w:rPr>
            <w:rFonts w:eastAsia="Times New Roman" w:cstheme="minorHAnsi"/>
            <w:color w:val="0000FF"/>
            <w:u w:val="single"/>
          </w:rPr>
          <w:t>10.1080/1540496X.2019.1695595</w:t>
        </w:r>
      </w:hyperlink>
      <w:r w:rsidRPr="004A1AF7">
        <w:rPr>
          <w:rFonts w:eastAsia="Times New Roman" w:cstheme="minorHAnsi"/>
        </w:rPr>
        <w:t>.</w:t>
      </w:r>
    </w:p>
    <w:p w14:paraId="209A7EE9"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Polzin, F. and Sanders, M. (2020). How to finance the transition to low-carbon energy in Europe? </w:t>
      </w:r>
      <w:r w:rsidRPr="004A1AF7">
        <w:rPr>
          <w:rFonts w:eastAsia="Times New Roman" w:cstheme="minorHAnsi"/>
          <w:i/>
          <w:iCs/>
        </w:rPr>
        <w:t>Energy Policy</w:t>
      </w:r>
      <w:r w:rsidRPr="004A1AF7">
        <w:rPr>
          <w:rFonts w:eastAsia="Times New Roman" w:cstheme="minorHAnsi"/>
        </w:rPr>
        <w:t xml:space="preserve">, 147, 111863. DOI: </w:t>
      </w:r>
      <w:hyperlink r:id="rId15" w:tgtFrame="_new" w:history="1">
        <w:r w:rsidRPr="004A1AF7">
          <w:rPr>
            <w:rFonts w:eastAsia="Times New Roman" w:cstheme="minorHAnsi"/>
            <w:color w:val="0000FF"/>
            <w:u w:val="single"/>
          </w:rPr>
          <w:t>10.1016/j.enpol.2020.111863</w:t>
        </w:r>
      </w:hyperlink>
      <w:r w:rsidRPr="004A1AF7">
        <w:rPr>
          <w:rFonts w:eastAsia="Times New Roman" w:cstheme="minorHAnsi"/>
        </w:rPr>
        <w:t>.</w:t>
      </w:r>
    </w:p>
    <w:p w14:paraId="62036EAF"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Sachs, J., </w:t>
      </w:r>
      <w:proofErr w:type="spellStart"/>
      <w:r w:rsidRPr="004A1AF7">
        <w:rPr>
          <w:rFonts w:eastAsia="Times New Roman" w:cstheme="minorHAnsi"/>
        </w:rPr>
        <w:t>Thye</w:t>
      </w:r>
      <w:proofErr w:type="spellEnd"/>
      <w:r w:rsidRPr="004A1AF7">
        <w:rPr>
          <w:rFonts w:eastAsia="Times New Roman" w:cstheme="minorHAnsi"/>
        </w:rPr>
        <w:t xml:space="preserve">, W., Yoshino, N., and Taghizadeh-Hesary, F. (2019). Why is green finance important? </w:t>
      </w:r>
      <w:r w:rsidRPr="004A1AF7">
        <w:rPr>
          <w:rFonts w:eastAsia="Times New Roman" w:cstheme="minorHAnsi"/>
          <w:i/>
          <w:iCs/>
        </w:rPr>
        <w:t>ADBI Working Paper Series</w:t>
      </w:r>
      <w:r w:rsidRPr="004A1AF7">
        <w:rPr>
          <w:rFonts w:eastAsia="Times New Roman" w:cstheme="minorHAnsi"/>
        </w:rPr>
        <w:t>, No. 917. Available at: ADBI.</w:t>
      </w:r>
    </w:p>
    <w:p w14:paraId="38BA18B3" w14:textId="77777777" w:rsidR="00690C0A" w:rsidRPr="004A1AF7" w:rsidRDefault="00690C0A" w:rsidP="009C2611">
      <w:pPr>
        <w:spacing w:before="100" w:beforeAutospacing="1" w:after="100" w:afterAutospacing="1" w:line="240" w:lineRule="auto"/>
        <w:jc w:val="both"/>
        <w:rPr>
          <w:rFonts w:eastAsia="Times New Roman" w:cstheme="minorHAnsi"/>
        </w:rPr>
      </w:pPr>
      <w:r w:rsidRPr="004A1AF7">
        <w:rPr>
          <w:rFonts w:eastAsia="Times New Roman" w:cstheme="minorHAnsi"/>
        </w:rPr>
        <w:t xml:space="preserve">Taghizadeh-Hesary, F. and Yoshino, N. (2020). Sustainable solutions for green financing and investments in renewable energy projects. </w:t>
      </w:r>
      <w:r w:rsidRPr="004A1AF7">
        <w:rPr>
          <w:rFonts w:eastAsia="Times New Roman" w:cstheme="minorHAnsi"/>
          <w:i/>
          <w:iCs/>
        </w:rPr>
        <w:t>Energies</w:t>
      </w:r>
      <w:r w:rsidRPr="004A1AF7">
        <w:rPr>
          <w:rFonts w:eastAsia="Times New Roman" w:cstheme="minorHAnsi"/>
        </w:rPr>
        <w:t xml:space="preserve">, 13(4), 788. DOI: </w:t>
      </w:r>
      <w:hyperlink r:id="rId16" w:tgtFrame="_new" w:history="1">
        <w:r w:rsidRPr="004A1AF7">
          <w:rPr>
            <w:rFonts w:eastAsia="Times New Roman" w:cstheme="minorHAnsi"/>
            <w:color w:val="0000FF"/>
            <w:u w:val="single"/>
          </w:rPr>
          <w:t>10.3390/en13040788</w:t>
        </w:r>
      </w:hyperlink>
      <w:r w:rsidRPr="004A1AF7">
        <w:rPr>
          <w:rFonts w:eastAsia="Times New Roman" w:cstheme="minorHAnsi"/>
        </w:rPr>
        <w:t>.</w:t>
      </w:r>
    </w:p>
    <w:p w14:paraId="3B723A5F" w14:textId="77777777" w:rsidR="00134D55" w:rsidRPr="004A1AF7" w:rsidRDefault="00134D55" w:rsidP="009C2611">
      <w:pPr>
        <w:tabs>
          <w:tab w:val="left" w:pos="8266"/>
        </w:tabs>
        <w:spacing w:line="240" w:lineRule="auto"/>
        <w:jc w:val="both"/>
        <w:rPr>
          <w:rFonts w:ascii="Calibri" w:hAnsi="Calibri" w:cs="Calibri"/>
        </w:rPr>
      </w:pPr>
      <w:r w:rsidRPr="004A1AF7">
        <w:rPr>
          <w:rFonts w:ascii="Calibri" w:hAnsi="Calibri" w:cs="Calibri"/>
        </w:rPr>
        <w:t xml:space="preserve">Agrawal, R., Agrawal, S., </w:t>
      </w:r>
      <w:proofErr w:type="spellStart"/>
      <w:r w:rsidRPr="004A1AF7">
        <w:rPr>
          <w:rFonts w:ascii="Calibri" w:hAnsi="Calibri" w:cs="Calibri"/>
        </w:rPr>
        <w:t>Samadhiya</w:t>
      </w:r>
      <w:proofErr w:type="spellEnd"/>
      <w:r w:rsidRPr="004A1AF7">
        <w:rPr>
          <w:rFonts w:ascii="Calibri" w:hAnsi="Calibri" w:cs="Calibri"/>
        </w:rPr>
        <w:t>, A., Kumar, A., Luthra, S., &amp; Jain, V. (2024). Adoption of green finance and green innovation for achieving circularity: An exploratory review and future directions. </w:t>
      </w:r>
      <w:r w:rsidRPr="004A1AF7">
        <w:rPr>
          <w:rFonts w:ascii="Calibri" w:hAnsi="Calibri" w:cs="Calibri"/>
          <w:i/>
          <w:iCs/>
        </w:rPr>
        <w:t>Geoscience frontiers</w:t>
      </w:r>
      <w:r w:rsidRPr="004A1AF7">
        <w:rPr>
          <w:rFonts w:ascii="Calibri" w:hAnsi="Calibri" w:cs="Calibri"/>
        </w:rPr>
        <w:t>, </w:t>
      </w:r>
      <w:r w:rsidRPr="004A1AF7">
        <w:rPr>
          <w:rFonts w:ascii="Calibri" w:hAnsi="Calibri" w:cs="Calibri"/>
          <w:i/>
          <w:iCs/>
        </w:rPr>
        <w:t>15</w:t>
      </w:r>
      <w:r w:rsidRPr="004A1AF7">
        <w:rPr>
          <w:rFonts w:ascii="Calibri" w:hAnsi="Calibri" w:cs="Calibri"/>
        </w:rPr>
        <w:t>(4), 101669.</w:t>
      </w:r>
    </w:p>
    <w:p w14:paraId="283621E9" w14:textId="77777777" w:rsidR="00134D55" w:rsidRPr="004A1AF7" w:rsidRDefault="00134D55" w:rsidP="009C2611">
      <w:pPr>
        <w:tabs>
          <w:tab w:val="left" w:pos="8266"/>
        </w:tabs>
        <w:spacing w:line="240" w:lineRule="auto"/>
        <w:jc w:val="both"/>
        <w:rPr>
          <w:rFonts w:ascii="Calibri" w:hAnsi="Calibri" w:cs="Calibri"/>
        </w:rPr>
      </w:pPr>
      <w:r w:rsidRPr="004A1AF7">
        <w:rPr>
          <w:rFonts w:ascii="Calibri" w:hAnsi="Calibri" w:cs="Calibri"/>
        </w:rPr>
        <w:t xml:space="preserve">Alharbi, S. S., Al Mamun, M., Boubaker, S., &amp; Rizvi, S. K. A. (2023). Green finance and renewable energy: </w:t>
      </w:r>
      <w:proofErr w:type="gramStart"/>
      <w:r w:rsidRPr="004A1AF7">
        <w:rPr>
          <w:rFonts w:ascii="Calibri" w:hAnsi="Calibri" w:cs="Calibri"/>
        </w:rPr>
        <w:t>A worldwide evidence</w:t>
      </w:r>
      <w:proofErr w:type="gramEnd"/>
      <w:r w:rsidRPr="004A1AF7">
        <w:rPr>
          <w:rFonts w:ascii="Calibri" w:hAnsi="Calibri" w:cs="Calibri"/>
        </w:rPr>
        <w:t>. </w:t>
      </w:r>
      <w:r w:rsidRPr="004A1AF7">
        <w:rPr>
          <w:rFonts w:ascii="Calibri" w:hAnsi="Calibri" w:cs="Calibri"/>
          <w:i/>
          <w:iCs/>
        </w:rPr>
        <w:t>Energy Economics</w:t>
      </w:r>
      <w:r w:rsidRPr="004A1AF7">
        <w:rPr>
          <w:rFonts w:ascii="Calibri" w:hAnsi="Calibri" w:cs="Calibri"/>
        </w:rPr>
        <w:t>, </w:t>
      </w:r>
      <w:r w:rsidRPr="004A1AF7">
        <w:rPr>
          <w:rFonts w:ascii="Calibri" w:hAnsi="Calibri" w:cs="Calibri"/>
          <w:i/>
          <w:iCs/>
        </w:rPr>
        <w:t>118</w:t>
      </w:r>
      <w:r w:rsidRPr="004A1AF7">
        <w:rPr>
          <w:rFonts w:ascii="Calibri" w:hAnsi="Calibri" w:cs="Calibri"/>
        </w:rPr>
        <w:t>, 106499.</w:t>
      </w:r>
    </w:p>
    <w:p w14:paraId="3FBFA17D" w14:textId="77777777" w:rsidR="00134D55" w:rsidRPr="004A1AF7" w:rsidRDefault="00134D55" w:rsidP="009C2611">
      <w:pPr>
        <w:tabs>
          <w:tab w:val="left" w:pos="8266"/>
        </w:tabs>
        <w:spacing w:line="240" w:lineRule="auto"/>
        <w:jc w:val="both"/>
        <w:rPr>
          <w:rFonts w:ascii="Calibri" w:hAnsi="Calibri" w:cs="Calibri"/>
        </w:rPr>
      </w:pPr>
      <w:r w:rsidRPr="004A1AF7">
        <w:rPr>
          <w:rFonts w:ascii="Calibri" w:hAnsi="Calibri" w:cs="Calibri"/>
        </w:rPr>
        <w:lastRenderedPageBreak/>
        <w:t xml:space="preserve">Augusta, Heavens, Ikevuje., David, </w:t>
      </w:r>
      <w:proofErr w:type="spellStart"/>
      <w:r w:rsidRPr="004A1AF7">
        <w:rPr>
          <w:rFonts w:ascii="Calibri" w:hAnsi="Calibri" w:cs="Calibri"/>
        </w:rPr>
        <w:t>Chinalu</w:t>
      </w:r>
      <w:proofErr w:type="spellEnd"/>
      <w:r w:rsidRPr="004A1AF7">
        <w:rPr>
          <w:rFonts w:ascii="Calibri" w:hAnsi="Calibri" w:cs="Calibri"/>
        </w:rPr>
        <w:t xml:space="preserve">, Anaba., Uche, </w:t>
      </w:r>
      <w:proofErr w:type="spellStart"/>
      <w:r w:rsidRPr="004A1AF7">
        <w:rPr>
          <w:rFonts w:ascii="Calibri" w:hAnsi="Calibri" w:cs="Calibri"/>
        </w:rPr>
        <w:t>Thankgod</w:t>
      </w:r>
      <w:proofErr w:type="spellEnd"/>
      <w:r w:rsidRPr="004A1AF7">
        <w:rPr>
          <w:rFonts w:ascii="Calibri" w:hAnsi="Calibri" w:cs="Calibri"/>
        </w:rPr>
        <w:t xml:space="preserve">, </w:t>
      </w:r>
      <w:proofErr w:type="spellStart"/>
      <w:r w:rsidRPr="004A1AF7">
        <w:rPr>
          <w:rFonts w:ascii="Calibri" w:hAnsi="Calibri" w:cs="Calibri"/>
        </w:rPr>
        <w:t>Iheanyichukwu</w:t>
      </w:r>
      <w:proofErr w:type="spellEnd"/>
      <w:r w:rsidRPr="004A1AF7">
        <w:rPr>
          <w:rFonts w:ascii="Calibri" w:hAnsi="Calibri" w:cs="Calibri"/>
        </w:rPr>
        <w:t xml:space="preserve">. (2024). Exploring sustainable finance mechanisms for green energy transition: A comprehensive review and analysis. Finance &amp; Accounting Research Journal, 6(7):1224-1247. </w:t>
      </w:r>
    </w:p>
    <w:p w14:paraId="35A31AF1" w14:textId="77777777" w:rsidR="00134D55" w:rsidRPr="004A1AF7" w:rsidRDefault="00134D55" w:rsidP="009C2611">
      <w:pPr>
        <w:tabs>
          <w:tab w:val="left" w:pos="8266"/>
        </w:tabs>
        <w:spacing w:line="240" w:lineRule="auto"/>
        <w:jc w:val="both"/>
        <w:rPr>
          <w:rFonts w:ascii="Calibri" w:hAnsi="Calibri" w:cs="Calibri"/>
        </w:rPr>
      </w:pPr>
      <w:proofErr w:type="spellStart"/>
      <w:r w:rsidRPr="004A1AF7">
        <w:rPr>
          <w:rFonts w:ascii="Calibri" w:hAnsi="Calibri" w:cs="Calibri"/>
        </w:rPr>
        <w:t>Jiaojiao</w:t>
      </w:r>
      <w:proofErr w:type="spellEnd"/>
      <w:r w:rsidRPr="004A1AF7">
        <w:rPr>
          <w:rFonts w:ascii="Calibri" w:hAnsi="Calibri" w:cs="Calibri"/>
        </w:rPr>
        <w:t xml:space="preserve">, Han., Nida, Shah., Muhammad, Awais, Baloch. (2024). Modeling the effects of green finance and renewable energy on environmental sustainability: Fresh insights for BICST economies. </w:t>
      </w:r>
    </w:p>
    <w:p w14:paraId="4D4D63EB" w14:textId="77777777" w:rsidR="00134D55" w:rsidRPr="004A1AF7" w:rsidRDefault="00134D55" w:rsidP="009C2611">
      <w:pPr>
        <w:tabs>
          <w:tab w:val="left" w:pos="8266"/>
        </w:tabs>
        <w:spacing w:line="240" w:lineRule="auto"/>
        <w:jc w:val="both"/>
        <w:rPr>
          <w:rFonts w:ascii="Calibri" w:hAnsi="Calibri" w:cs="Calibri"/>
        </w:rPr>
      </w:pPr>
      <w:r w:rsidRPr="004A1AF7">
        <w:rPr>
          <w:rFonts w:ascii="Calibri" w:hAnsi="Calibri" w:cs="Calibri"/>
        </w:rPr>
        <w:t xml:space="preserve">Anis, Chowdhury., Mohammad, </w:t>
      </w:r>
      <w:proofErr w:type="spellStart"/>
      <w:r w:rsidRPr="004A1AF7">
        <w:rPr>
          <w:rFonts w:ascii="Calibri" w:hAnsi="Calibri" w:cs="Calibri"/>
        </w:rPr>
        <w:t>Zulfan</w:t>
      </w:r>
      <w:proofErr w:type="spellEnd"/>
      <w:r w:rsidRPr="004A1AF7">
        <w:rPr>
          <w:rFonts w:ascii="Calibri" w:hAnsi="Calibri" w:cs="Calibri"/>
        </w:rPr>
        <w:t xml:space="preserve">, </w:t>
      </w:r>
      <w:proofErr w:type="spellStart"/>
      <w:r w:rsidRPr="004A1AF7">
        <w:rPr>
          <w:rFonts w:ascii="Calibri" w:hAnsi="Calibri" w:cs="Calibri"/>
        </w:rPr>
        <w:t>Tadjoeddin</w:t>
      </w:r>
      <w:proofErr w:type="spellEnd"/>
      <w:r w:rsidRPr="004A1AF7">
        <w:rPr>
          <w:rFonts w:ascii="Calibri" w:hAnsi="Calibri" w:cs="Calibri"/>
        </w:rPr>
        <w:t>. (2022). Financing green transformation in developing countries. 1-24.</w:t>
      </w:r>
    </w:p>
    <w:p w14:paraId="2CFF1C71" w14:textId="77777777" w:rsidR="00134D55" w:rsidRPr="004A1AF7" w:rsidRDefault="00134D55" w:rsidP="009C2611">
      <w:pPr>
        <w:tabs>
          <w:tab w:val="left" w:pos="8266"/>
        </w:tabs>
        <w:spacing w:line="240" w:lineRule="auto"/>
        <w:jc w:val="both"/>
        <w:rPr>
          <w:rFonts w:ascii="Calibri" w:hAnsi="Calibri" w:cs="Calibri"/>
        </w:rPr>
      </w:pPr>
      <w:proofErr w:type="spellStart"/>
      <w:r w:rsidRPr="004A1AF7">
        <w:rPr>
          <w:rFonts w:ascii="Calibri" w:hAnsi="Calibri" w:cs="Calibri"/>
        </w:rPr>
        <w:t>Yuanping</w:t>
      </w:r>
      <w:proofErr w:type="spellEnd"/>
      <w:r w:rsidRPr="004A1AF7">
        <w:rPr>
          <w:rFonts w:ascii="Calibri" w:hAnsi="Calibri" w:cs="Calibri"/>
        </w:rPr>
        <w:t xml:space="preserve">, Liu. (2023). Based on ISM-MICMAC, a study was conducted to identify the barriers to green finance promotion in less developed regions. Highlights in Business, Economics and Management, 12:116-125. </w:t>
      </w:r>
    </w:p>
    <w:p w14:paraId="51F2EE5F" w14:textId="77777777" w:rsidR="00134D55" w:rsidRPr="004A1AF7" w:rsidRDefault="00134D55" w:rsidP="009C2611">
      <w:pPr>
        <w:tabs>
          <w:tab w:val="left" w:pos="8266"/>
        </w:tabs>
        <w:spacing w:line="240" w:lineRule="auto"/>
        <w:jc w:val="both"/>
        <w:rPr>
          <w:rFonts w:ascii="Calibri" w:hAnsi="Calibri" w:cs="Calibri"/>
        </w:rPr>
      </w:pPr>
      <w:r w:rsidRPr="004A1AF7">
        <w:rPr>
          <w:rFonts w:ascii="Calibri" w:hAnsi="Calibri" w:cs="Calibri"/>
        </w:rPr>
        <w:t xml:space="preserve">Edward, </w:t>
      </w:r>
      <w:proofErr w:type="spellStart"/>
      <w:r w:rsidRPr="004A1AF7">
        <w:rPr>
          <w:rFonts w:ascii="Calibri" w:hAnsi="Calibri" w:cs="Calibri"/>
        </w:rPr>
        <w:t>Mujuka</w:t>
      </w:r>
      <w:proofErr w:type="spellEnd"/>
      <w:r w:rsidRPr="004A1AF7">
        <w:rPr>
          <w:rFonts w:ascii="Calibri" w:hAnsi="Calibri" w:cs="Calibri"/>
        </w:rPr>
        <w:t xml:space="preserve">., Fred, </w:t>
      </w:r>
      <w:proofErr w:type="spellStart"/>
      <w:r w:rsidRPr="004A1AF7">
        <w:rPr>
          <w:rFonts w:ascii="Calibri" w:hAnsi="Calibri" w:cs="Calibri"/>
        </w:rPr>
        <w:t>Sporta</w:t>
      </w:r>
      <w:proofErr w:type="spellEnd"/>
      <w:r w:rsidRPr="004A1AF7">
        <w:rPr>
          <w:rFonts w:ascii="Calibri" w:hAnsi="Calibri" w:cs="Calibri"/>
        </w:rPr>
        <w:t>. (2023). Systematic Review on Green Finance in the Banking Industry: Perspectives from a Developing Country. Doi: 10.47747/ijbme.v4i3.1390</w:t>
      </w:r>
    </w:p>
    <w:p w14:paraId="56525ECC" w14:textId="77777777" w:rsidR="00000000" w:rsidRPr="00690C0A" w:rsidRDefault="00000000" w:rsidP="009C2611">
      <w:pPr>
        <w:spacing w:line="240" w:lineRule="auto"/>
        <w:jc w:val="both"/>
        <w:rPr>
          <w:rFonts w:cstheme="minorHAnsi"/>
        </w:rPr>
      </w:pPr>
    </w:p>
    <w:sectPr w:rsidR="00771E89" w:rsidRPr="00690C0A" w:rsidSect="00D2196C">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53417" w14:textId="77777777" w:rsidR="009D6893" w:rsidRDefault="009D6893" w:rsidP="00D523C0">
      <w:pPr>
        <w:spacing w:after="0" w:line="240" w:lineRule="auto"/>
      </w:pPr>
      <w:r>
        <w:separator/>
      </w:r>
    </w:p>
  </w:endnote>
  <w:endnote w:type="continuationSeparator" w:id="0">
    <w:p w14:paraId="342A84CF" w14:textId="77777777" w:rsidR="009D6893" w:rsidRDefault="009D6893" w:rsidP="00D52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981400"/>
      <w:docPartObj>
        <w:docPartGallery w:val="Page Numbers (Bottom of Page)"/>
        <w:docPartUnique/>
      </w:docPartObj>
    </w:sdtPr>
    <w:sdtContent>
      <w:sdt>
        <w:sdtPr>
          <w:id w:val="-1769616900"/>
          <w:docPartObj>
            <w:docPartGallery w:val="Page Numbers (Top of Page)"/>
            <w:docPartUnique/>
          </w:docPartObj>
        </w:sdtPr>
        <w:sdtContent>
          <w:p w14:paraId="23BA7019" w14:textId="27D0E34E" w:rsidR="00D523C0" w:rsidRDefault="00D523C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A1AF7">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A1AF7">
              <w:rPr>
                <w:b/>
                <w:bCs/>
                <w:noProof/>
              </w:rPr>
              <w:t>12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4199F" w14:textId="77777777" w:rsidR="009D6893" w:rsidRDefault="009D6893" w:rsidP="00D523C0">
      <w:pPr>
        <w:spacing w:after="0" w:line="240" w:lineRule="auto"/>
      </w:pPr>
      <w:r>
        <w:separator/>
      </w:r>
    </w:p>
  </w:footnote>
  <w:footnote w:type="continuationSeparator" w:id="0">
    <w:p w14:paraId="4758E11D" w14:textId="77777777" w:rsidR="009D6893" w:rsidRDefault="009D6893" w:rsidP="00D52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E124B"/>
    <w:multiLevelType w:val="multilevel"/>
    <w:tmpl w:val="D7C8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76948"/>
    <w:multiLevelType w:val="multilevel"/>
    <w:tmpl w:val="83BA1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474FC0"/>
    <w:multiLevelType w:val="hybridMultilevel"/>
    <w:tmpl w:val="9BB4C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5356F"/>
    <w:multiLevelType w:val="multilevel"/>
    <w:tmpl w:val="3FA6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B733C"/>
    <w:multiLevelType w:val="multilevel"/>
    <w:tmpl w:val="4DCC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7222C7"/>
    <w:multiLevelType w:val="hybridMultilevel"/>
    <w:tmpl w:val="163C836E"/>
    <w:lvl w:ilvl="0" w:tplc="945654D0">
      <w:start w:val="1"/>
      <w:numFmt w:val="decimal"/>
      <w:lvlText w:val="%1."/>
      <w:lvlJc w:val="left"/>
      <w:pPr>
        <w:ind w:left="720" w:hanging="360"/>
      </w:pPr>
      <w:rPr>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677631"/>
    <w:multiLevelType w:val="multilevel"/>
    <w:tmpl w:val="1CAE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5F1E8D"/>
    <w:multiLevelType w:val="multilevel"/>
    <w:tmpl w:val="B3F409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863EF5"/>
    <w:multiLevelType w:val="multilevel"/>
    <w:tmpl w:val="FB46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F59C7"/>
    <w:multiLevelType w:val="multilevel"/>
    <w:tmpl w:val="F044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18610F"/>
    <w:multiLevelType w:val="hybridMultilevel"/>
    <w:tmpl w:val="7BB8E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B00EE"/>
    <w:multiLevelType w:val="multilevel"/>
    <w:tmpl w:val="9BC0A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4D35A9"/>
    <w:multiLevelType w:val="multilevel"/>
    <w:tmpl w:val="A98C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6F7724"/>
    <w:multiLevelType w:val="multilevel"/>
    <w:tmpl w:val="08B0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4901475">
    <w:abstractNumId w:val="4"/>
  </w:num>
  <w:num w:numId="2" w16cid:durableId="833256745">
    <w:abstractNumId w:val="8"/>
  </w:num>
  <w:num w:numId="3" w16cid:durableId="393937185">
    <w:abstractNumId w:val="0"/>
  </w:num>
  <w:num w:numId="4" w16cid:durableId="264315573">
    <w:abstractNumId w:val="12"/>
  </w:num>
  <w:num w:numId="5" w16cid:durableId="287468456">
    <w:abstractNumId w:val="9"/>
  </w:num>
  <w:num w:numId="6" w16cid:durableId="683900818">
    <w:abstractNumId w:val="13"/>
  </w:num>
  <w:num w:numId="7" w16cid:durableId="860313781">
    <w:abstractNumId w:val="3"/>
  </w:num>
  <w:num w:numId="8" w16cid:durableId="1446075263">
    <w:abstractNumId w:val="11"/>
  </w:num>
  <w:num w:numId="9" w16cid:durableId="1338116720">
    <w:abstractNumId w:val="6"/>
  </w:num>
  <w:num w:numId="10" w16cid:durableId="1468739769">
    <w:abstractNumId w:val="1"/>
  </w:num>
  <w:num w:numId="11" w16cid:durableId="1640377453">
    <w:abstractNumId w:val="7"/>
  </w:num>
  <w:num w:numId="12" w16cid:durableId="630551630">
    <w:abstractNumId w:val="2"/>
  </w:num>
  <w:num w:numId="13" w16cid:durableId="467165151">
    <w:abstractNumId w:val="10"/>
  </w:num>
  <w:num w:numId="14" w16cid:durableId="992829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0A"/>
    <w:rsid w:val="00022011"/>
    <w:rsid w:val="00134D55"/>
    <w:rsid w:val="002A6368"/>
    <w:rsid w:val="004A1AF7"/>
    <w:rsid w:val="00690C0A"/>
    <w:rsid w:val="006E0C98"/>
    <w:rsid w:val="00850D61"/>
    <w:rsid w:val="009C2611"/>
    <w:rsid w:val="009D6893"/>
    <w:rsid w:val="00C2527E"/>
    <w:rsid w:val="00CA34EA"/>
    <w:rsid w:val="00CD08EB"/>
    <w:rsid w:val="00D13916"/>
    <w:rsid w:val="00D2196C"/>
    <w:rsid w:val="00D52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76EF96"/>
  <w15:chartTrackingRefBased/>
  <w15:docId w15:val="{EC797F46-B4B2-4228-82BC-0AAC29B94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9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690C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90C0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90C0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90C0A"/>
    <w:rPr>
      <w:rFonts w:ascii="Times New Roman" w:eastAsia="Times New Roman" w:hAnsi="Times New Roman" w:cs="Times New Roman"/>
      <w:b/>
      <w:bCs/>
      <w:sz w:val="24"/>
      <w:szCs w:val="24"/>
    </w:rPr>
  </w:style>
  <w:style w:type="character" w:styleId="Strong">
    <w:name w:val="Strong"/>
    <w:basedOn w:val="DefaultParagraphFont"/>
    <w:uiPriority w:val="22"/>
    <w:qFormat/>
    <w:rsid w:val="00690C0A"/>
    <w:rPr>
      <w:b/>
      <w:bCs/>
    </w:rPr>
  </w:style>
  <w:style w:type="paragraph" w:styleId="NormalWeb">
    <w:name w:val="Normal (Web)"/>
    <w:basedOn w:val="Normal"/>
    <w:uiPriority w:val="99"/>
    <w:semiHidden/>
    <w:unhideWhenUsed/>
    <w:rsid w:val="00690C0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0C0A"/>
    <w:rPr>
      <w:i/>
      <w:iCs/>
    </w:rPr>
  </w:style>
  <w:style w:type="character" w:styleId="Hyperlink">
    <w:name w:val="Hyperlink"/>
    <w:basedOn w:val="DefaultParagraphFont"/>
    <w:uiPriority w:val="99"/>
    <w:semiHidden/>
    <w:unhideWhenUsed/>
    <w:rsid w:val="00690C0A"/>
    <w:rPr>
      <w:color w:val="0000FF"/>
      <w:u w:val="single"/>
    </w:rPr>
  </w:style>
  <w:style w:type="character" w:styleId="CommentReference">
    <w:name w:val="annotation reference"/>
    <w:basedOn w:val="DefaultParagraphFont"/>
    <w:uiPriority w:val="99"/>
    <w:semiHidden/>
    <w:unhideWhenUsed/>
    <w:rsid w:val="00690C0A"/>
    <w:rPr>
      <w:sz w:val="16"/>
      <w:szCs w:val="16"/>
    </w:rPr>
  </w:style>
  <w:style w:type="paragraph" w:styleId="CommentText">
    <w:name w:val="annotation text"/>
    <w:basedOn w:val="Normal"/>
    <w:link w:val="CommentTextChar"/>
    <w:uiPriority w:val="99"/>
    <w:semiHidden/>
    <w:unhideWhenUsed/>
    <w:rsid w:val="00690C0A"/>
    <w:pPr>
      <w:spacing w:line="240" w:lineRule="auto"/>
    </w:pPr>
    <w:rPr>
      <w:sz w:val="20"/>
      <w:szCs w:val="20"/>
    </w:rPr>
  </w:style>
  <w:style w:type="character" w:customStyle="1" w:styleId="CommentTextChar">
    <w:name w:val="Comment Text Char"/>
    <w:basedOn w:val="DefaultParagraphFont"/>
    <w:link w:val="CommentText"/>
    <w:uiPriority w:val="99"/>
    <w:semiHidden/>
    <w:rsid w:val="00690C0A"/>
    <w:rPr>
      <w:sz w:val="20"/>
      <w:szCs w:val="20"/>
    </w:rPr>
  </w:style>
  <w:style w:type="paragraph" w:styleId="CommentSubject">
    <w:name w:val="annotation subject"/>
    <w:basedOn w:val="CommentText"/>
    <w:next w:val="CommentText"/>
    <w:link w:val="CommentSubjectChar"/>
    <w:uiPriority w:val="99"/>
    <w:semiHidden/>
    <w:unhideWhenUsed/>
    <w:rsid w:val="00690C0A"/>
    <w:rPr>
      <w:b/>
      <w:bCs/>
    </w:rPr>
  </w:style>
  <w:style w:type="character" w:customStyle="1" w:styleId="CommentSubjectChar">
    <w:name w:val="Comment Subject Char"/>
    <w:basedOn w:val="CommentTextChar"/>
    <w:link w:val="CommentSubject"/>
    <w:uiPriority w:val="99"/>
    <w:semiHidden/>
    <w:rsid w:val="00690C0A"/>
    <w:rPr>
      <w:b/>
      <w:bCs/>
      <w:sz w:val="20"/>
      <w:szCs w:val="20"/>
    </w:rPr>
  </w:style>
  <w:style w:type="paragraph" w:styleId="BalloonText">
    <w:name w:val="Balloon Text"/>
    <w:basedOn w:val="Normal"/>
    <w:link w:val="BalloonTextChar"/>
    <w:uiPriority w:val="99"/>
    <w:semiHidden/>
    <w:unhideWhenUsed/>
    <w:rsid w:val="00690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C0A"/>
    <w:rPr>
      <w:rFonts w:ascii="Segoe UI" w:hAnsi="Segoe UI" w:cs="Segoe UI"/>
      <w:sz w:val="18"/>
      <w:szCs w:val="18"/>
    </w:rPr>
  </w:style>
  <w:style w:type="paragraph" w:styleId="ListParagraph">
    <w:name w:val="List Paragraph"/>
    <w:basedOn w:val="Normal"/>
    <w:uiPriority w:val="34"/>
    <w:qFormat/>
    <w:rsid w:val="009C2611"/>
    <w:pPr>
      <w:ind w:left="720"/>
      <w:contextualSpacing/>
    </w:pPr>
  </w:style>
  <w:style w:type="paragraph" w:styleId="Header">
    <w:name w:val="header"/>
    <w:basedOn w:val="Normal"/>
    <w:link w:val="HeaderChar"/>
    <w:uiPriority w:val="99"/>
    <w:unhideWhenUsed/>
    <w:rsid w:val="00D52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3C0"/>
  </w:style>
  <w:style w:type="paragraph" w:styleId="Footer">
    <w:name w:val="footer"/>
    <w:basedOn w:val="Normal"/>
    <w:link w:val="FooterChar"/>
    <w:uiPriority w:val="99"/>
    <w:unhideWhenUsed/>
    <w:rsid w:val="00D523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3C0"/>
  </w:style>
  <w:style w:type="character" w:customStyle="1" w:styleId="Heading1Char">
    <w:name w:val="Heading 1 Char"/>
    <w:basedOn w:val="DefaultParagraphFont"/>
    <w:link w:val="Heading1"/>
    <w:uiPriority w:val="9"/>
    <w:rsid w:val="00D2196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0143">
      <w:bodyDiv w:val="1"/>
      <w:marLeft w:val="0"/>
      <w:marRight w:val="0"/>
      <w:marTop w:val="0"/>
      <w:marBottom w:val="0"/>
      <w:divBdr>
        <w:top w:val="none" w:sz="0" w:space="0" w:color="auto"/>
        <w:left w:val="none" w:sz="0" w:space="0" w:color="auto"/>
        <w:bottom w:val="none" w:sz="0" w:space="0" w:color="auto"/>
        <w:right w:val="none" w:sz="0" w:space="0" w:color="auto"/>
      </w:divBdr>
    </w:div>
    <w:div w:id="249318174">
      <w:bodyDiv w:val="1"/>
      <w:marLeft w:val="0"/>
      <w:marRight w:val="0"/>
      <w:marTop w:val="0"/>
      <w:marBottom w:val="0"/>
      <w:divBdr>
        <w:top w:val="none" w:sz="0" w:space="0" w:color="auto"/>
        <w:left w:val="none" w:sz="0" w:space="0" w:color="auto"/>
        <w:bottom w:val="none" w:sz="0" w:space="0" w:color="auto"/>
        <w:right w:val="none" w:sz="0" w:space="0" w:color="auto"/>
      </w:divBdr>
    </w:div>
    <w:div w:id="454444637">
      <w:bodyDiv w:val="1"/>
      <w:marLeft w:val="0"/>
      <w:marRight w:val="0"/>
      <w:marTop w:val="0"/>
      <w:marBottom w:val="0"/>
      <w:divBdr>
        <w:top w:val="none" w:sz="0" w:space="0" w:color="auto"/>
        <w:left w:val="none" w:sz="0" w:space="0" w:color="auto"/>
        <w:bottom w:val="none" w:sz="0" w:space="0" w:color="auto"/>
        <w:right w:val="none" w:sz="0" w:space="0" w:color="auto"/>
      </w:divBdr>
    </w:div>
    <w:div w:id="1456218163">
      <w:bodyDiv w:val="1"/>
      <w:marLeft w:val="0"/>
      <w:marRight w:val="0"/>
      <w:marTop w:val="0"/>
      <w:marBottom w:val="0"/>
      <w:divBdr>
        <w:top w:val="none" w:sz="0" w:space="0" w:color="auto"/>
        <w:left w:val="none" w:sz="0" w:space="0" w:color="auto"/>
        <w:bottom w:val="none" w:sz="0" w:space="0" w:color="auto"/>
        <w:right w:val="none" w:sz="0" w:space="0" w:color="auto"/>
      </w:divBdr>
    </w:div>
    <w:div w:id="1484156880">
      <w:bodyDiv w:val="1"/>
      <w:marLeft w:val="0"/>
      <w:marRight w:val="0"/>
      <w:marTop w:val="0"/>
      <w:marBottom w:val="0"/>
      <w:divBdr>
        <w:top w:val="none" w:sz="0" w:space="0" w:color="auto"/>
        <w:left w:val="none" w:sz="0" w:space="0" w:color="auto"/>
        <w:bottom w:val="none" w:sz="0" w:space="0" w:color="auto"/>
        <w:right w:val="none" w:sz="0" w:space="0" w:color="auto"/>
      </w:divBdr>
    </w:div>
    <w:div w:id="1553425334">
      <w:bodyDiv w:val="1"/>
      <w:marLeft w:val="0"/>
      <w:marRight w:val="0"/>
      <w:marTop w:val="0"/>
      <w:marBottom w:val="0"/>
      <w:divBdr>
        <w:top w:val="none" w:sz="0" w:space="0" w:color="auto"/>
        <w:left w:val="none" w:sz="0" w:space="0" w:color="auto"/>
        <w:bottom w:val="none" w:sz="0" w:space="0" w:color="auto"/>
        <w:right w:val="none" w:sz="0" w:space="0" w:color="auto"/>
      </w:divBdr>
    </w:div>
    <w:div w:id="18300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053-022-10021-4" TargetMode="External"/><Relationship Id="rId13" Type="http://schemas.openxmlformats.org/officeDocument/2006/relationships/hyperlink" Target="https://doi.org/10.1016/j.jclepro.2020.12284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jclepro.2020.12359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3390/en1304078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frl.2020.101739" TargetMode="External"/><Relationship Id="rId5" Type="http://schemas.openxmlformats.org/officeDocument/2006/relationships/footnotes" Target="footnotes.xml"/><Relationship Id="rId15" Type="http://schemas.openxmlformats.org/officeDocument/2006/relationships/hyperlink" Target="https://doi.org/10.1016/j.enpol.2020.111863" TargetMode="External"/><Relationship Id="rId10" Type="http://schemas.openxmlformats.org/officeDocument/2006/relationships/hyperlink" Target="https://doi.org/10.1016/j.techfore.2020.12005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frl.2019.04.016" TargetMode="External"/><Relationship Id="rId14" Type="http://schemas.openxmlformats.org/officeDocument/2006/relationships/hyperlink" Target="https://doi.org/10.1080/1540496X.2019.16955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4392</Words>
  <Characters>27664</Characters>
  <Application>Microsoft Office Word</Application>
  <DocSecurity>0</DocSecurity>
  <Lines>404</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WWF</dc:creator>
  <cp:keywords/>
  <dc:description/>
  <cp:lastModifiedBy>HIFZA ARIF</cp:lastModifiedBy>
  <cp:revision>4</cp:revision>
  <dcterms:created xsi:type="dcterms:W3CDTF">2025-01-11T12:19:00Z</dcterms:created>
  <dcterms:modified xsi:type="dcterms:W3CDTF">2025-01-11T14:27:00Z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4d22867cf754bf8376d182e3e7b0e66f4908a99d7e5a25b51f744d448734cdc5</vt:lpwstr>
  </property>
</Properties>
</file>