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3BDDD9" w14:textId="77777777" w:rsidR="007D00B0" w:rsidRPr="00B62332" w:rsidRDefault="00000000" w:rsidP="00B62332">
      <w:pPr>
        <w:pStyle w:val="NormalWeb"/>
        <w:rPr>
          <w:rFonts w:eastAsia="Calibri" w:cs="Times New Roman"/>
        </w:rPr>
      </w:pPr>
      <w:r w:rsidRPr="00B62332">
        <w:rPr>
          <w:rFonts w:cs="Times New Roman"/>
        </w:rPr>
        <w:t>Introduction</w:t>
      </w:r>
    </w:p>
    <w:p w14:paraId="71A6495E" w14:textId="36260876" w:rsidR="007D00B0" w:rsidRPr="00B62332" w:rsidRDefault="00000000" w:rsidP="00B62332">
      <w:pPr>
        <w:pStyle w:val="NormalWeb"/>
        <w:rPr>
          <w:rFonts w:eastAsia="Calibri" w:cs="Times New Roman"/>
        </w:rPr>
      </w:pPr>
      <w:r w:rsidRPr="00B62332">
        <w:rPr>
          <w:rFonts w:eastAsia="Calibri" w:cs="Times New Roman"/>
        </w:rPr>
        <w:br/>
      </w:r>
      <w:r w:rsidRPr="00B62332">
        <w:rPr>
          <w:rFonts w:cs="Times New Roman"/>
        </w:rPr>
        <w:t>Blunt cerebrovascular injury (BCVI) is a traumatic insult to the carotid or vertebral arteries caused by non-penetrating mechanisms</w:t>
      </w:r>
      <w:r w:rsidRPr="00B62332">
        <w:rPr>
          <w:rFonts w:cs="Times New Roman"/>
          <w:vertAlign w:val="superscript"/>
        </w:rPr>
        <w:t>1</w:t>
      </w:r>
      <w:r w:rsidRPr="00B62332">
        <w:rPr>
          <w:rFonts w:cs="Times New Roman"/>
        </w:rPr>
        <w:t xml:space="preserve">. The incidence of blunt cerebrovascular injury (BCVI) is estimated to be between 1-3% among all blunt trauma cases, highlighting both its rarity and the critical need for timely diagnosis and management </w:t>
      </w:r>
      <w:proofErr w:type="spellStart"/>
      <w:r w:rsidR="002D0E17" w:rsidRPr="00B62332">
        <w:rPr>
          <w:rFonts w:cs="Times New Roman"/>
        </w:rPr>
        <w:t>management</w:t>
      </w:r>
      <w:proofErr w:type="spellEnd"/>
      <w:r w:rsidR="002D0E17" w:rsidRPr="00B62332">
        <w:rPr>
          <w:rFonts w:cs="Times New Roman"/>
        </w:rPr>
        <w:t xml:space="preserve">.  BCVI encompass a spectrum of vascular abnormalities, ranging from subtle intimal irregularities to more significant defects such as pseudoaneurysms </w:t>
      </w:r>
      <w:sdt>
        <w:sdtPr>
          <w:rPr>
            <w:rFonts w:cs="Times New Roman"/>
            <w:vertAlign w:val="superscript"/>
          </w:rPr>
          <w:tag w:val="MENDELEY_CITATION_v3_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"/>
          <w:id w:val="-859739421"/>
          <w:placeholder>
            <w:docPart w:val="71E8A9A2F31DC24DA2F5821577308A40"/>
          </w:placeholder>
        </w:sdtPr>
        <w:sdtContent>
          <w:r w:rsidR="002D0E17" w:rsidRPr="00B62332">
            <w:rPr>
              <w:rFonts w:cs="Times New Roman"/>
              <w:vertAlign w:val="superscript"/>
            </w:rPr>
            <w:t>2</w:t>
          </w:r>
        </w:sdtContent>
      </w:sdt>
      <w:r w:rsidR="002D0E17" w:rsidRPr="00B62332">
        <w:rPr>
          <w:rFonts w:cs="Times New Roman"/>
        </w:rPr>
        <w:t xml:space="preserve">. </w:t>
      </w:r>
      <w:r w:rsidRPr="00B62332">
        <w:rPr>
          <w:rFonts w:cs="Times New Roman"/>
        </w:rPr>
        <w:t xml:space="preserve"> Traumatic pseudoaneurysms of the head and neck are defined as arterial dissections that are contained by the adventitia, which distinguishes them from true aneurysms </w:t>
      </w:r>
      <w:r w:rsidRPr="00B62332">
        <w:rPr>
          <w:rFonts w:cs="Times New Roman"/>
          <w:vertAlign w:val="superscript"/>
        </w:rPr>
        <w:t>3</w:t>
      </w:r>
      <w:r w:rsidRPr="00B62332">
        <w:rPr>
          <w:rFonts w:cs="Times New Roman"/>
        </w:rPr>
        <w:t xml:space="preserve">. These pseudoaneurysms often result from blunt or penetrating trauma and pose a significant risk of thromboembolic events, particularly stroke, due to the formation of thrombi within the pseudoaneurysm sac </w:t>
      </w:r>
      <w:r w:rsidRPr="00B62332">
        <w:rPr>
          <w:rFonts w:cs="Times New Roman"/>
          <w:vertAlign w:val="superscript"/>
        </w:rPr>
        <w:t>4</w:t>
      </w:r>
      <w:r w:rsidRPr="00B62332">
        <w:rPr>
          <w:rFonts w:cs="Times New Roman"/>
        </w:rPr>
        <w:t xml:space="preserve">. Screening protocols such as the Denver and Memphis criteria are essential for timely intervention, as they can help reduce stroke rates to as low as 0.5% </w:t>
      </w:r>
      <w:r w:rsidRPr="00B62332">
        <w:rPr>
          <w:rFonts w:cs="Times New Roman"/>
          <w:vertAlign w:val="superscript"/>
        </w:rPr>
        <w:t>5,6</w:t>
      </w:r>
      <w:r w:rsidRPr="00B62332">
        <w:rPr>
          <w:rFonts w:cs="Times New Roman"/>
        </w:rPr>
        <w:t xml:space="preserve">. Early detection using Computed Tomography Angiography (CTA) is pivotal tool in reducing stroke risks and managing these traumatic vascular injuries. Research highlights that the incidence of such injuries, though low at about 0.1% of trauma patients, often arises from high-energy traumas like motor vehicle accidents </w:t>
      </w:r>
      <w:r w:rsidRPr="00B62332">
        <w:rPr>
          <w:rFonts w:cs="Times New Roman"/>
          <w:vertAlign w:val="superscript"/>
        </w:rPr>
        <w:t>4,7,8</w:t>
      </w:r>
      <w:r w:rsidRPr="00B62332">
        <w:rPr>
          <w:rFonts w:cs="Times New Roman"/>
        </w:rPr>
        <w:t xml:space="preserve">. </w:t>
      </w:r>
    </w:p>
    <w:p w14:paraId="5CD7A089" w14:textId="77777777" w:rsidR="007D00B0" w:rsidRPr="00B62332" w:rsidRDefault="00000000" w:rsidP="00B62332">
      <w:pPr>
        <w:pStyle w:val="NormalWeb"/>
        <w:rPr>
          <w:rFonts w:eastAsia="Calibri" w:cs="Times New Roman"/>
        </w:rPr>
      </w:pPr>
      <w:r w:rsidRPr="00B62332">
        <w:rPr>
          <w:rFonts w:cs="Times New Roman"/>
        </w:rPr>
        <w:t xml:space="preserve">Pseudoaneurysms, classified as Grade 3 injuries on the </w:t>
      </w:r>
      <w:proofErr w:type="spellStart"/>
      <w:r w:rsidRPr="00B62332">
        <w:rPr>
          <w:rFonts w:cs="Times New Roman"/>
        </w:rPr>
        <w:t>Biffl</w:t>
      </w:r>
      <w:proofErr w:type="spellEnd"/>
      <w:r w:rsidRPr="00B62332">
        <w:rPr>
          <w:rFonts w:cs="Times New Roman"/>
        </w:rPr>
        <w:t xml:space="preserve"> scale, carry an untreated stroke risk of approximately 25%, signifying the importance of early and effective intervention </w:t>
      </w:r>
      <w:r w:rsidRPr="00B62332">
        <w:rPr>
          <w:rFonts w:cs="Times New Roman"/>
          <w:vertAlign w:val="superscript"/>
        </w:rPr>
        <w:t>9</w:t>
      </w:r>
      <w:r w:rsidRPr="00B62332">
        <w:rPr>
          <w:rFonts w:cs="Times New Roman"/>
        </w:rPr>
        <w:t xml:space="preserve">. The management of BCVI grade 3 presents a clinical challenge due to the lack of large, high-quality studies that guide treatment decisions </w:t>
      </w:r>
      <w:r w:rsidRPr="00B62332">
        <w:rPr>
          <w:rFonts w:cs="Times New Roman"/>
          <w:vertAlign w:val="superscript"/>
        </w:rPr>
        <w:t>10</w:t>
      </w:r>
      <w:r w:rsidRPr="00B62332">
        <w:rPr>
          <w:rFonts w:cs="Times New Roman"/>
        </w:rPr>
        <w:t xml:space="preserve">. Current management strategies typically involve antiplatelet or anticoagulant therapy to reduce the risk of thromboembolic events, with invasive interventions such as stenting or surgery reserved for cases with specific indications, such as the presence of multiple ischemic events while on optimized conservative measures and significant size progression despite conservative measures </w:t>
      </w:r>
      <w:r w:rsidRPr="00B62332">
        <w:rPr>
          <w:rFonts w:cs="Times New Roman"/>
          <w:vertAlign w:val="superscript"/>
        </w:rPr>
        <w:t>11–14</w:t>
      </w:r>
      <w:r w:rsidRPr="00B62332">
        <w:rPr>
          <w:rFonts w:cs="Times New Roman"/>
        </w:rPr>
        <w:t xml:space="preserve">. However, the optimal treatment approach remains controversial, particularly for asymptomatic patients or those with small pseudoaneurysms, however, there is good evidence in support to the use of antiplatelet therapy to mitigate the risk of stroke. Both antiplatelet agents, like aspirin, and anticoagulants are effective, though there remains no definite consensus on which is superior in higher grade BCVI cases </w:t>
      </w:r>
      <w:r w:rsidRPr="00B62332">
        <w:rPr>
          <w:rFonts w:cs="Times New Roman"/>
          <w:vertAlign w:val="superscript"/>
        </w:rPr>
        <w:t>3,4,10</w:t>
      </w:r>
      <w:r w:rsidRPr="00B62332">
        <w:rPr>
          <w:rFonts w:cs="Times New Roman"/>
        </w:rPr>
        <w:t xml:space="preserve">. </w:t>
      </w:r>
      <w:commentRangeStart w:id="0"/>
      <w:r w:rsidRPr="00B62332">
        <w:rPr>
          <w:rFonts w:cs="Times New Roman"/>
        </w:rPr>
        <w:t xml:space="preserve"> </w:t>
      </w:r>
      <w:commentRangeEnd w:id="0"/>
      <w:r w:rsidRPr="00B62332">
        <w:rPr>
          <w:rFonts w:cs="Times New Roman"/>
        </w:rPr>
        <w:commentReference w:id="0"/>
      </w:r>
      <w:r w:rsidRPr="00B62332">
        <w:rPr>
          <w:rFonts w:cs="Times New Roman"/>
        </w:rPr>
        <w:t xml:space="preserve">Endovascular management, including the use of tools like detachable balloons, coils, and stents, offers a minimally invasive and reliable solution for pseudoaneurysms, with a high rate of lesion occlusion and is usually reserved for specific cases where medical treatment is not sufficient </w:t>
      </w:r>
      <w:r w:rsidRPr="00B62332">
        <w:rPr>
          <w:rFonts w:cs="Times New Roman"/>
          <w:vertAlign w:val="superscript"/>
        </w:rPr>
        <w:t>11</w:t>
      </w:r>
      <w:r w:rsidRPr="00B62332">
        <w:rPr>
          <w:rFonts w:cs="Times New Roman"/>
        </w:rPr>
        <w:t>.</w:t>
      </w:r>
    </w:p>
    <w:p w14:paraId="62C63BF1" w14:textId="77777777" w:rsidR="007D00B0" w:rsidRPr="00B62332" w:rsidRDefault="00000000" w:rsidP="00B62332">
      <w:pPr>
        <w:pStyle w:val="NormalWeb"/>
        <w:rPr>
          <w:rFonts w:eastAsia="Calibri" w:cs="Times New Roman"/>
        </w:rPr>
      </w:pPr>
      <w:r w:rsidRPr="00B62332">
        <w:rPr>
          <w:rFonts w:cs="Times New Roman"/>
        </w:rPr>
        <w:t xml:space="preserve">This study aims to fill this gap by providing a detailed retrospective analysis of traumatic pseudoaneurysms of the head and neck. </w:t>
      </w:r>
      <w:commentRangeStart w:id="1"/>
      <w:r w:rsidRPr="00B62332">
        <w:rPr>
          <w:rFonts w:cs="Times New Roman"/>
        </w:rPr>
        <w:t>We hypothesize that conservative management with antiplatelet therapy is generally sufficient for most patients.</w:t>
      </w:r>
      <w:r w:rsidRPr="00B62332">
        <w:rPr>
          <w:rFonts w:eastAsia="Calibri" w:cs="Times New Roman"/>
        </w:rPr>
        <w:br/>
      </w:r>
      <w:commentRangeEnd w:id="1"/>
      <w:r w:rsidRPr="00B62332">
        <w:rPr>
          <w:rFonts w:cs="Times New Roman"/>
        </w:rPr>
        <w:commentReference w:id="1"/>
      </w:r>
    </w:p>
    <w:p w14:paraId="454A7BF0" w14:textId="77777777" w:rsidR="00B62332" w:rsidRDefault="00000000" w:rsidP="00B62332">
      <w:pPr>
        <w:pStyle w:val="NormalWeb"/>
        <w:rPr>
          <w:rFonts w:cs="Times New Roman"/>
        </w:rPr>
      </w:pPr>
      <w:r w:rsidRPr="00B62332">
        <w:rPr>
          <w:rFonts w:cs="Times New Roman"/>
        </w:rPr>
        <w:t xml:space="preserve">Methodology </w:t>
      </w:r>
    </w:p>
    <w:p w14:paraId="31CAA210" w14:textId="0BF15B5B" w:rsidR="007D00B0" w:rsidRPr="00B62332" w:rsidRDefault="00000000" w:rsidP="00B62332">
      <w:pPr>
        <w:pStyle w:val="NormalWeb"/>
        <w:rPr>
          <w:rFonts w:eastAsia="Calibri" w:cs="Times New Roman"/>
        </w:rPr>
      </w:pPr>
      <w:r w:rsidRPr="00B62332">
        <w:rPr>
          <w:rFonts w:eastAsia="Calibri" w:cs="Times New Roman"/>
        </w:rPr>
        <w:br/>
      </w:r>
      <w:r w:rsidRPr="00B62332">
        <w:rPr>
          <w:rFonts w:cs="Times New Roman"/>
        </w:rPr>
        <w:t>This is a retrospective study assessing patients presenting with grade 3 blunt cerebrovascular injury from 2017 to 2020. We specifically searched for individuals with traumatic pseudoaneurysms by allocating specific search terms.</w:t>
      </w:r>
    </w:p>
    <w:p w14:paraId="45B81468" w14:textId="7FEA4595" w:rsidR="007D00B0" w:rsidRDefault="00000000" w:rsidP="00B62332">
      <w:pPr>
        <w:pStyle w:val="NormalWeb"/>
        <w:rPr>
          <w:rFonts w:cs="Times New Roman"/>
        </w:rPr>
      </w:pPr>
      <w:r w:rsidRPr="00B62332">
        <w:rPr>
          <w:rFonts w:cs="Times New Roman"/>
        </w:rPr>
        <w:t>We included patients who were 18 years or older with confirmed acute traumatic pseudoaneurysms on imaging. We excluded any cases where the pseudoaneurysms were non-</w:t>
      </w:r>
      <w:r w:rsidRPr="00B62332">
        <w:rPr>
          <w:rFonts w:cs="Times New Roman"/>
        </w:rPr>
        <w:lastRenderedPageBreak/>
        <w:t xml:space="preserve">traumatic, of unclear etiology, or chronic pseudoaneurysms. We also excluded patients with history or evidence of connective tissue disease as they could develop spontaneous pseudoaneurysm formation. Patients with external carotid artery pseudoaneurysms were excluded from the study as they are considered a different entity disease. Cases with inadequate follow-up were excluded from the study. </w:t>
      </w:r>
    </w:p>
    <w:p w14:paraId="2679063F" w14:textId="77777777" w:rsidR="00B62332" w:rsidRPr="00B62332" w:rsidRDefault="00B62332" w:rsidP="00B62332">
      <w:pPr>
        <w:pStyle w:val="NormalWeb"/>
        <w:rPr>
          <w:rFonts w:eastAsia="Calibri" w:cs="Times New Roman"/>
        </w:rPr>
      </w:pPr>
    </w:p>
    <w:p w14:paraId="3DA907A6" w14:textId="361DC9EF" w:rsidR="007D00B0" w:rsidRDefault="00000000" w:rsidP="00B62332">
      <w:pPr>
        <w:pStyle w:val="NormalWeb"/>
        <w:rPr>
          <w:rFonts w:cs="Times New Roman"/>
        </w:rPr>
      </w:pPr>
      <w:commentRangeStart w:id="2"/>
      <w:commentRangeEnd w:id="2"/>
      <w:r w:rsidRPr="00B62332">
        <w:rPr>
          <w:rFonts w:cs="Times New Roman"/>
        </w:rPr>
        <w:commentReference w:id="2"/>
      </w:r>
      <w:r w:rsidRPr="00B62332">
        <w:rPr>
          <w:rFonts w:cs="Times New Roman"/>
        </w:rPr>
        <w:t xml:space="preserve">Our Initial search using key terms </w:t>
      </w:r>
      <w:proofErr w:type="gramStart"/>
      <w:r w:rsidRPr="00B62332">
        <w:rPr>
          <w:rFonts w:cs="Times New Roman"/>
        </w:rPr>
        <w:t>like  “</w:t>
      </w:r>
      <w:proofErr w:type="gramEnd"/>
      <w:r w:rsidRPr="00B62332">
        <w:rPr>
          <w:rFonts w:cs="Times New Roman"/>
        </w:rPr>
        <w:t>Grade 3 BCVI” and “</w:t>
      </w:r>
      <w:proofErr w:type="spellStart"/>
      <w:r w:rsidRPr="00B62332">
        <w:rPr>
          <w:rFonts w:cs="Times New Roman"/>
        </w:rPr>
        <w:t>Pseudoaneurysms”identified</w:t>
      </w:r>
      <w:proofErr w:type="spellEnd"/>
      <w:r w:rsidRPr="00B62332">
        <w:rPr>
          <w:rFonts w:cs="Times New Roman"/>
        </w:rPr>
        <w:t xml:space="preserve"> 156 potential cases, of which 51 were confirmed as traumatic pseudoaneurysms satisfying the inclusion criteria. After applying the exclusion criteria, our sample was narrowed down to 32 patients. The data collected included demographic information (age, sex), type of trauma (motor vehicle collision, pedestrian struck, fall, penetrating injury), Glasgow Coma Scale (GCS) score and Stroke at presentation, pseudoaneurysm characteristics (location, size), and the management strategy employed (antiplatelet therapy, anticoagulation, stenting, or no treatment). Assessment of the clinical outcomes was specific to delayed stroke incidence, pseudoaneurysm progression, and complications related to the treatment.</w:t>
      </w:r>
    </w:p>
    <w:p w14:paraId="561CFB71" w14:textId="77777777" w:rsidR="00B62332" w:rsidRPr="00B62332" w:rsidRDefault="00B62332" w:rsidP="00B62332">
      <w:pPr>
        <w:pStyle w:val="NormalWeb"/>
        <w:rPr>
          <w:rFonts w:eastAsia="Calibri" w:cs="Times New Roman"/>
        </w:rPr>
      </w:pPr>
    </w:p>
    <w:p w14:paraId="7E588D34" w14:textId="77777777" w:rsidR="007D00B0" w:rsidRPr="00B62332" w:rsidRDefault="00000000" w:rsidP="00B62332">
      <w:pPr>
        <w:pStyle w:val="NormalWeb"/>
        <w:rPr>
          <w:rFonts w:eastAsia="Calibri" w:cs="Times New Roman"/>
        </w:rPr>
      </w:pPr>
      <w:r w:rsidRPr="00B62332">
        <w:rPr>
          <w:rFonts w:cs="Times New Roman"/>
        </w:rPr>
        <w:t>Statistical Analysis</w:t>
      </w:r>
    </w:p>
    <w:p w14:paraId="17CF4EE8" w14:textId="77777777" w:rsidR="00B62332" w:rsidRDefault="00B62332" w:rsidP="00B62332">
      <w:pPr>
        <w:pStyle w:val="NormalWeb"/>
        <w:rPr>
          <w:rFonts w:cs="Times New Roman"/>
        </w:rPr>
      </w:pPr>
    </w:p>
    <w:p w14:paraId="262E0D29" w14:textId="1FA1A8A4" w:rsidR="007D00B0" w:rsidRPr="00B62332" w:rsidRDefault="00000000" w:rsidP="00B62332">
      <w:pPr>
        <w:pStyle w:val="NormalWeb"/>
        <w:rPr>
          <w:rFonts w:eastAsia="Calibri" w:cs="Times New Roman"/>
        </w:rPr>
      </w:pPr>
      <w:r w:rsidRPr="00B62332">
        <w:rPr>
          <w:rFonts w:cs="Times New Roman"/>
        </w:rPr>
        <w:t>Statistical analyses were conducted using SPSS. Descriptive statistics were applied to summarize the cohort's demographic and clinical characteristics, including age, gender, trauma mechanisms, Glasgow Coma Scale (GCS) scores, pseudoaneurysm locations, treatments, and outcomes. Categorical variables, such as gender, trauma type, and treatment types, were presented as percentages and counts (n). Continuous variables, including patient age, were summarized using mean and range. For specific clinical features like arterial narrowing, size progression, and stent placement, descriptive statistics were also employed. The distribution of arterial narrowing, which was categorized as present or absent, was presented as percentages of the cohort. Similarly, the occurrence of pseudoaneurysm size progression and the corresponding placement of stents were summarized using simple counts and percentages.</w:t>
      </w:r>
    </w:p>
    <w:p w14:paraId="5F2EC0A7" w14:textId="77777777" w:rsidR="00B62332" w:rsidRDefault="00B62332" w:rsidP="00B62332">
      <w:pPr>
        <w:pStyle w:val="NormalWeb"/>
        <w:rPr>
          <w:rFonts w:cs="Times New Roman"/>
        </w:rPr>
      </w:pPr>
    </w:p>
    <w:p w14:paraId="4FBBAEBE" w14:textId="0FFFB0CF" w:rsidR="007D00B0" w:rsidRPr="00B62332" w:rsidRDefault="00000000" w:rsidP="00B62332">
      <w:pPr>
        <w:pStyle w:val="NormalWeb"/>
        <w:rPr>
          <w:rFonts w:eastAsia="Calibri" w:cs="Times New Roman"/>
        </w:rPr>
      </w:pPr>
      <w:r w:rsidRPr="00B62332">
        <w:rPr>
          <w:rFonts w:cs="Times New Roman"/>
        </w:rPr>
        <w:t>The Shapiro-Wilk test was employed to assess the normality of pseudoaneurysm size data. The result indicated that pseudoaneurysm size was not normally distributed (Shapiro-Wilk p &lt; 0.001). Therefore, non-parametric tests were applied where appropriate.</w:t>
      </w:r>
    </w:p>
    <w:p w14:paraId="015AB5DE" w14:textId="77777777" w:rsidR="00B62332" w:rsidRDefault="00B62332" w:rsidP="00B62332">
      <w:pPr>
        <w:pStyle w:val="NormalWeb"/>
        <w:rPr>
          <w:rFonts w:cs="Times New Roman"/>
        </w:rPr>
      </w:pPr>
    </w:p>
    <w:p w14:paraId="6E2B887C" w14:textId="2C66DDE0" w:rsidR="007D00B0" w:rsidRPr="00B62332" w:rsidRDefault="00000000" w:rsidP="00B62332">
      <w:pPr>
        <w:pStyle w:val="NormalWeb"/>
        <w:rPr>
          <w:rFonts w:eastAsia="Calibri" w:cs="Times New Roman"/>
        </w:rPr>
      </w:pPr>
      <w:r w:rsidRPr="00B62332">
        <w:rPr>
          <w:rFonts w:cs="Times New Roman"/>
        </w:rPr>
        <w:t>Since the pseudoaneurysm size data was non-normally distributed, the Mann-Whitney U test was used to compare pseudoaneurysm sizes between patients with and without stroke. This non-parametric test compares the medians of the two independent groups and assesses whether there is a significant difference between them.</w:t>
      </w:r>
      <w:r w:rsidR="00B62332">
        <w:rPr>
          <w:rFonts w:cs="Times New Roman"/>
        </w:rPr>
        <w:br/>
      </w:r>
    </w:p>
    <w:p w14:paraId="171FF89B" w14:textId="77777777" w:rsidR="007D00B0" w:rsidRDefault="00000000" w:rsidP="00B62332">
      <w:pPr>
        <w:pStyle w:val="NormalWeb"/>
        <w:rPr>
          <w:rFonts w:cs="Times New Roman"/>
        </w:rPr>
      </w:pPr>
      <w:r w:rsidRPr="00B62332">
        <w:rPr>
          <w:rFonts w:cs="Times New Roman"/>
        </w:rPr>
        <w:t>Given the small sample size and categorical nature of our variables, a one-sided Fisher’s Exact Test was utilized to evaluate the association between stroke and pseudoaneurysm size progression and arterial narrowing. A significance level of p &lt; 0.05 was used for all statistical tests.</w:t>
      </w:r>
    </w:p>
    <w:p w14:paraId="64A917BF" w14:textId="77777777" w:rsidR="00B62332" w:rsidRPr="00B62332" w:rsidRDefault="00B62332" w:rsidP="00B62332">
      <w:pPr>
        <w:pStyle w:val="NormalWeb"/>
        <w:rPr>
          <w:rFonts w:eastAsia="Calibri" w:cs="Times New Roman"/>
        </w:rPr>
      </w:pPr>
    </w:p>
    <w:p w14:paraId="40911A04" w14:textId="77777777" w:rsidR="007D00B0" w:rsidRPr="00B62332" w:rsidRDefault="00000000" w:rsidP="00B62332">
      <w:pPr>
        <w:pStyle w:val="NormalWeb"/>
        <w:rPr>
          <w:rFonts w:eastAsia="Calibri" w:cs="Times New Roman"/>
        </w:rPr>
      </w:pPr>
      <w:r w:rsidRPr="00B62332">
        <w:rPr>
          <w:rFonts w:cs="Times New Roman"/>
        </w:rPr>
        <w:t xml:space="preserve">Results </w:t>
      </w:r>
    </w:p>
    <w:p w14:paraId="144A7134" w14:textId="77777777" w:rsidR="00B62332" w:rsidRPr="00B62332" w:rsidRDefault="00B62332" w:rsidP="00B62332">
      <w:pPr>
        <w:pStyle w:val="NormalWeb"/>
        <w:rPr>
          <w:rFonts w:cs="Times New Roman"/>
        </w:rPr>
      </w:pPr>
      <w:r w:rsidRPr="00B62332">
        <w:rPr>
          <w:rFonts w:cs="Times New Roman"/>
        </w:rPr>
        <w:t>The study cohort consisted of 32 patients (n=32), with a mean age of 43.8 years (range: 20 to 88 years). Males comprised 62.5% (n=20), and females 37.5% (n=12). The leading cause of trauma was motor vehicle collisions (MVC), accounting for 53.1% (n=17) of cases, followed by falls (25%, n=8) and pedestrian strikes (15.6%, n=5). Less common mechanisms included biking accidents and gunshot wounds (GSW), each observed in 3.1% (n=1).</w:t>
      </w:r>
    </w:p>
    <w:p w14:paraId="06E58959" w14:textId="77777777" w:rsidR="00B62332" w:rsidRPr="00B62332" w:rsidRDefault="00B62332" w:rsidP="00B62332">
      <w:pPr>
        <w:pStyle w:val="NormalWeb"/>
        <w:rPr>
          <w:rFonts w:cs="Times New Roman"/>
        </w:rPr>
      </w:pPr>
    </w:p>
    <w:p w14:paraId="2ED2CA50" w14:textId="05319CAA" w:rsidR="00B62332" w:rsidRPr="00B62332" w:rsidRDefault="00B62332" w:rsidP="00B62332">
      <w:pPr>
        <w:pStyle w:val="NormalWeb"/>
        <w:rPr>
          <w:rFonts w:cs="Times New Roman"/>
        </w:rPr>
      </w:pPr>
      <w:r w:rsidRPr="00B62332">
        <w:rPr>
          <w:rFonts w:cs="Times New Roman"/>
        </w:rPr>
        <w:t xml:space="preserve">Upon hospital presentation, Glasgow Coma Scale (GCS) scores varied across patients. </w:t>
      </w:r>
      <w:r>
        <w:rPr>
          <w:rFonts w:cs="Times New Roman"/>
        </w:rPr>
        <w:t xml:space="preserve">Majority of the patients </w:t>
      </w:r>
      <w:r w:rsidRPr="00B62332">
        <w:rPr>
          <w:rFonts w:cs="Times New Roman"/>
        </w:rPr>
        <w:t>(46.9%, n=15) had a GCS of 8 or less, while 9.4% (n=3) scored between 9 and 12. The remaining 43.8% (n=14) had a GCS of 13 or higher. Stroke was present at initial assessment in 9.4% (n=3) of patients, while no delayed strokes were observed throughout follow-up.</w:t>
      </w:r>
    </w:p>
    <w:p w14:paraId="67A834A1" w14:textId="77777777" w:rsidR="00B62332" w:rsidRPr="00B62332" w:rsidRDefault="00B62332" w:rsidP="00B62332">
      <w:pPr>
        <w:pStyle w:val="NormalWeb"/>
        <w:rPr>
          <w:rFonts w:cs="Times New Roman"/>
        </w:rPr>
      </w:pPr>
    </w:p>
    <w:p w14:paraId="3AF7EEF6" w14:textId="77777777" w:rsidR="00B62332" w:rsidRPr="00B62332" w:rsidRDefault="00B62332" w:rsidP="00B62332">
      <w:pPr>
        <w:pStyle w:val="NormalWeb"/>
        <w:rPr>
          <w:rFonts w:cs="Times New Roman"/>
        </w:rPr>
      </w:pPr>
      <w:r w:rsidRPr="00B62332">
        <w:rPr>
          <w:rFonts w:cs="Times New Roman"/>
        </w:rPr>
        <w:t xml:space="preserve">Pseudoaneurysms were most frequently located in the cervical internal carotid artery (ICA), affecting 46.9% (n=15) of cases. The vertebral artery V2 segment was involved in 18.8% (n=6), while less common sites included the cavernous ICA (6.3%, n=2), vertebral artery V3 segment (6.3%, n=2), </w:t>
      </w:r>
      <w:proofErr w:type="spellStart"/>
      <w:r w:rsidRPr="00B62332">
        <w:rPr>
          <w:rFonts w:cs="Times New Roman"/>
        </w:rPr>
        <w:t>supraclinoid</w:t>
      </w:r>
      <w:proofErr w:type="spellEnd"/>
      <w:r w:rsidRPr="00B62332">
        <w:rPr>
          <w:rFonts w:cs="Times New Roman"/>
        </w:rPr>
        <w:t xml:space="preserve"> ICA (3.1%, n=1), and various other locations such as the common carotid artery (CCA), vertebral artery segments V1 and V4, anterior cerebral artery (ACA) A4 segment, middle cerebral artery (MCA) M4 segment, and </w:t>
      </w:r>
      <w:proofErr w:type="spellStart"/>
      <w:r w:rsidRPr="00B62332">
        <w:rPr>
          <w:rFonts w:cs="Times New Roman"/>
        </w:rPr>
        <w:t>paraophthalmic</w:t>
      </w:r>
      <w:proofErr w:type="spellEnd"/>
      <w:r w:rsidRPr="00B62332">
        <w:rPr>
          <w:rFonts w:cs="Times New Roman"/>
        </w:rPr>
        <w:t xml:space="preserve"> ICA, each occurring in 3.1% (n=1).</w:t>
      </w:r>
    </w:p>
    <w:p w14:paraId="5497317A" w14:textId="77777777" w:rsidR="00B62332" w:rsidRPr="00B62332" w:rsidRDefault="00B62332" w:rsidP="00B62332">
      <w:pPr>
        <w:pStyle w:val="NormalWeb"/>
        <w:rPr>
          <w:rFonts w:cs="Times New Roman"/>
        </w:rPr>
      </w:pPr>
    </w:p>
    <w:p w14:paraId="4751F48E" w14:textId="77777777" w:rsidR="00B62332" w:rsidRPr="00B62332" w:rsidRDefault="00B62332" w:rsidP="00B62332">
      <w:pPr>
        <w:pStyle w:val="NormalWeb"/>
        <w:rPr>
          <w:rFonts w:cs="Times New Roman"/>
        </w:rPr>
      </w:pPr>
      <w:r w:rsidRPr="00B62332">
        <w:rPr>
          <w:rFonts w:cs="Times New Roman"/>
        </w:rPr>
        <w:t>The initial pseudoaneurysm size ranged from 1.0 mm to 9.5 mm. Among patients without stroke (n=29), the mean pseudoaneurysm size was 3.31 ± 2.26 mm, while in those with stroke (n=3), it was slightly smaller at 3.17 ± 0.29 mm. The median size was 2.00 mm in patients without stroke and 3.00 mm in those with stroke.</w:t>
      </w:r>
    </w:p>
    <w:p w14:paraId="2E1FC042" w14:textId="77777777" w:rsidR="00B62332" w:rsidRPr="00B62332" w:rsidRDefault="00B62332" w:rsidP="00B62332">
      <w:pPr>
        <w:pStyle w:val="NormalWeb"/>
        <w:rPr>
          <w:rFonts w:cs="Times New Roman"/>
        </w:rPr>
      </w:pPr>
    </w:p>
    <w:p w14:paraId="131F6132" w14:textId="0208E3D9" w:rsidR="00B62332" w:rsidRPr="00B62332" w:rsidRDefault="00B62332" w:rsidP="00B62332">
      <w:pPr>
        <w:pStyle w:val="NormalWeb"/>
        <w:rPr>
          <w:rFonts w:cs="Times New Roman"/>
        </w:rPr>
      </w:pPr>
      <w:r w:rsidRPr="00B62332">
        <w:rPr>
          <w:rFonts w:cs="Times New Roman"/>
        </w:rPr>
        <w:t xml:space="preserve">Arterial narrowing was identified in 25% (n=8) of cases, while the remaining 75% (n=24) exhibited no narrowing. Pseudoaneurysm size progression was documented in 28.1% (n=9) of patients, whereas 40.6% (n=13) showed regression, and 31.3% (n=10) remained stable. </w:t>
      </w:r>
      <w:r w:rsidR="00BC117E">
        <w:rPr>
          <w:rFonts w:cs="Times New Roman"/>
        </w:rPr>
        <w:t>N</w:t>
      </w:r>
      <w:r w:rsidRPr="00B62332">
        <w:rPr>
          <w:rFonts w:cs="Times New Roman"/>
        </w:rPr>
        <w:t>o significant association was found between size progression and stroke occurrence (One-sided Fisher’s Exact, p=0.64). Among the nine patients with size progression, only one experienced a stroke, while two out of 23 patients without progression also had a stroke. Similarly, no significant correlation was observed between arterial narrowing and stroke (One-sided Fisher’s Exact, p=0.64).</w:t>
      </w:r>
    </w:p>
    <w:p w14:paraId="35E07E00" w14:textId="77777777" w:rsidR="00B62332" w:rsidRPr="00B62332" w:rsidRDefault="00B62332" w:rsidP="00B62332">
      <w:pPr>
        <w:pStyle w:val="NormalWeb"/>
        <w:rPr>
          <w:rFonts w:cs="Times New Roman"/>
        </w:rPr>
      </w:pPr>
    </w:p>
    <w:p w14:paraId="004EA0BE" w14:textId="6BAAA5A2" w:rsidR="00B62332" w:rsidRPr="00B62332" w:rsidRDefault="00B62332" w:rsidP="00B62332">
      <w:pPr>
        <w:pStyle w:val="NormalWeb"/>
        <w:rPr>
          <w:rFonts w:cs="Times New Roman"/>
        </w:rPr>
      </w:pPr>
      <w:r w:rsidRPr="00B62332">
        <w:rPr>
          <w:rFonts w:cs="Times New Roman"/>
        </w:rPr>
        <w:t xml:space="preserve">Regarding treatment strategies, </w:t>
      </w:r>
      <w:r>
        <w:rPr>
          <w:rFonts w:cs="Times New Roman"/>
        </w:rPr>
        <w:t xml:space="preserve">as shown on figure 1, </w:t>
      </w:r>
      <w:r w:rsidRPr="00B62332">
        <w:rPr>
          <w:rFonts w:cs="Times New Roman"/>
        </w:rPr>
        <w:t xml:space="preserve">antiplatelet therapy was the </w:t>
      </w:r>
      <w:r w:rsidRPr="00B62332">
        <w:rPr>
          <w:rFonts w:cs="Times New Roman"/>
        </w:rPr>
        <w:t>most utilized</w:t>
      </w:r>
      <w:r w:rsidRPr="00B62332">
        <w:rPr>
          <w:rFonts w:cs="Times New Roman"/>
        </w:rPr>
        <w:t xml:space="preserve"> approach, administered to 53% (n=17) of patients. A combination of anticoagulation and antiplatelet therapy was used in 13% (n=4), while 28% (n=9) received no treatment. </w:t>
      </w:r>
    </w:p>
    <w:p w14:paraId="63794B39" w14:textId="77777777" w:rsidR="00B62332" w:rsidRPr="00B62332" w:rsidRDefault="00B62332" w:rsidP="00B62332">
      <w:pPr>
        <w:pStyle w:val="NormalWeb"/>
        <w:rPr>
          <w:rFonts w:cs="Times New Roman"/>
        </w:rPr>
      </w:pPr>
    </w:p>
    <w:p w14:paraId="141CE9CC" w14:textId="77777777" w:rsidR="00B62332" w:rsidRDefault="00B62332" w:rsidP="00B62332">
      <w:pPr>
        <w:pStyle w:val="NormalWeb"/>
        <w:rPr>
          <w:rFonts w:cs="Times New Roman"/>
        </w:rPr>
      </w:pPr>
      <w:r w:rsidRPr="00B62332">
        <w:rPr>
          <w:rFonts w:cs="Times New Roman"/>
        </w:rPr>
        <w:t xml:space="preserve">Complications within the cohort included deep vein thrombosis (DVT) in 3.1% (n=1) of patients and cerebral venous thrombosis (CVT) in 9.4% (n=3). The overall mortality rate was 18.8% </w:t>
      </w:r>
      <w:r w:rsidRPr="00B62332">
        <w:rPr>
          <w:rFonts w:cs="Times New Roman"/>
        </w:rPr>
        <w:lastRenderedPageBreak/>
        <w:t>(n=6), though fatalities were primarily attributed to systemic injuries rather than pseudoaneurysm-related stroke.</w:t>
      </w:r>
    </w:p>
    <w:p w14:paraId="4F4380A2" w14:textId="77777777" w:rsidR="00B62332" w:rsidRDefault="00B62332" w:rsidP="00B62332">
      <w:pPr>
        <w:pStyle w:val="NormalWeb"/>
        <w:rPr>
          <w:rFonts w:cs="Times New Roman"/>
        </w:rPr>
      </w:pPr>
    </w:p>
    <w:p w14:paraId="2705578B" w14:textId="77777777" w:rsidR="007D00B0" w:rsidRPr="00B62332" w:rsidRDefault="00000000" w:rsidP="00B62332">
      <w:pPr>
        <w:pStyle w:val="NormalWeb"/>
        <w:rPr>
          <w:rFonts w:eastAsia="Calibri" w:cs="Times New Roman"/>
        </w:rPr>
      </w:pPr>
      <w:r w:rsidRPr="00B62332">
        <w:rPr>
          <w:rFonts w:cs="Times New Roman"/>
        </w:rPr>
        <w:t>Two patients (n=2) (6%) in the cohort had gone under endovascular intervention with stenting in conjunction with combined antiplatelet and anticoagulation therapy due to significant size progression in their pseudoaneurysms. One of those two patients subsequently developed luminal re-stenosis but had not undergone treatment at the last recorded follow up given the absence of symptoms.</w:t>
      </w:r>
    </w:p>
    <w:p w14:paraId="12FC25BF" w14:textId="77777777" w:rsidR="007D00B0" w:rsidRPr="00B62332" w:rsidRDefault="007D00B0" w:rsidP="00B62332">
      <w:pPr>
        <w:pStyle w:val="NormalWeb"/>
        <w:rPr>
          <w:rFonts w:eastAsia="Calibri" w:cs="Times New Roman"/>
        </w:rPr>
      </w:pPr>
    </w:p>
    <w:p w14:paraId="7E37CE98" w14:textId="77777777" w:rsidR="007D00B0" w:rsidRPr="00B62332" w:rsidRDefault="00000000" w:rsidP="00B62332">
      <w:pPr>
        <w:pStyle w:val="NormalWeb"/>
        <w:rPr>
          <w:rFonts w:eastAsia="Calibri" w:cs="Times New Roman"/>
        </w:rPr>
      </w:pPr>
      <w:r w:rsidRPr="00B62332">
        <w:rPr>
          <w:rFonts w:cs="Times New Roman"/>
        </w:rPr>
        <w:t>Discussion</w:t>
      </w:r>
    </w:p>
    <w:p w14:paraId="3DFD91CF" w14:textId="7DA266F4" w:rsidR="007D00B0" w:rsidRPr="00B62332" w:rsidRDefault="00000000" w:rsidP="00B62332">
      <w:pPr>
        <w:pStyle w:val="NormalWeb"/>
        <w:rPr>
          <w:rFonts w:eastAsia="Calibri" w:cs="Times New Roman"/>
        </w:rPr>
      </w:pPr>
      <w:r w:rsidRPr="00B62332">
        <w:rPr>
          <w:rFonts w:cs="Times New Roman"/>
        </w:rPr>
        <w:t xml:space="preserve">In our study, we reviewed a cohort of patients with traumatic pseudoaneurysms in the head and neck, examining various clinical and management factors, including the use of antithrombotic therapies as part of the broader evaluation. This approach aligns closely with current clinical guidelines, which focus on reducing the risk of thromboembolic events while carefully avoiding the potential bleeding risks that come with anticoagulation. By following these guidelines, we aim to find a balance that ensures better outcomes for our patients. </w:t>
      </w:r>
      <w:r w:rsidRPr="00B62332">
        <w:rPr>
          <w:rFonts w:cs="Times New Roman"/>
          <w:vertAlign w:val="superscript"/>
        </w:rPr>
        <w:t>4</w:t>
      </w:r>
      <w:r w:rsidRPr="00B62332">
        <w:rPr>
          <w:rFonts w:cs="Times New Roman"/>
        </w:rPr>
        <w:t>.</w:t>
      </w:r>
    </w:p>
    <w:p w14:paraId="43CF7DF4" w14:textId="77777777" w:rsidR="007D00B0" w:rsidRPr="00B62332" w:rsidRDefault="00000000" w:rsidP="00B62332">
      <w:pPr>
        <w:pStyle w:val="NormalWeb"/>
        <w:rPr>
          <w:rFonts w:eastAsia="Calibri" w:cs="Times New Roman"/>
        </w:rPr>
      </w:pPr>
      <w:r w:rsidRPr="00B62332">
        <w:rPr>
          <w:rFonts w:cs="Times New Roman"/>
        </w:rPr>
        <w:t xml:space="preserve">Recent research, particularly from meta-analyses, has shown that antiplatelet therapy—especially aspirin—can significantly lower the risk of both stroke and bleeding when compared to anticoagulants which is in support of antiplatelets treatment for BCVI, given their safer profile </w:t>
      </w:r>
      <w:r w:rsidRPr="00B62332">
        <w:rPr>
          <w:rFonts w:cs="Times New Roman"/>
          <w:vertAlign w:val="superscript"/>
        </w:rPr>
        <w:t>15</w:t>
      </w:r>
      <w:r w:rsidRPr="00B62332">
        <w:rPr>
          <w:rFonts w:cs="Times New Roman"/>
        </w:rPr>
        <w:t xml:space="preserve">. </w:t>
      </w:r>
    </w:p>
    <w:p w14:paraId="0A1FC59F" w14:textId="77777777" w:rsidR="007D00B0" w:rsidRPr="00B62332" w:rsidRDefault="00000000" w:rsidP="00B62332">
      <w:pPr>
        <w:pStyle w:val="NormalWeb"/>
        <w:rPr>
          <w:rFonts w:eastAsia="Calibri" w:cs="Times New Roman"/>
        </w:rPr>
      </w:pPr>
      <w:r w:rsidRPr="00B62332">
        <w:rPr>
          <w:rFonts w:cs="Times New Roman"/>
        </w:rPr>
        <w:t xml:space="preserve">Our results suggest that using antiplatelet agents alone can be effective for most patients with traumatic pseudoaneurysms. We did not observe any delayed strokes in our cohort. This outcome is </w:t>
      </w:r>
      <w:proofErr w:type="gramStart"/>
      <w:r w:rsidRPr="00B62332">
        <w:rPr>
          <w:rFonts w:cs="Times New Roman"/>
        </w:rPr>
        <w:t>similar to</w:t>
      </w:r>
      <w:proofErr w:type="gramEnd"/>
      <w:r w:rsidRPr="00B62332">
        <w:rPr>
          <w:rFonts w:cs="Times New Roman"/>
        </w:rPr>
        <w:t xml:space="preserve"> what </w:t>
      </w:r>
      <w:proofErr w:type="spellStart"/>
      <w:r w:rsidRPr="00B62332">
        <w:rPr>
          <w:rFonts w:cs="Times New Roman"/>
        </w:rPr>
        <w:t>Zineddine</w:t>
      </w:r>
      <w:proofErr w:type="spellEnd"/>
      <w:r w:rsidRPr="00B62332">
        <w:rPr>
          <w:rFonts w:cs="Times New Roman"/>
        </w:rPr>
        <w:t xml:space="preserve"> et al. found in their study of patients with vertebral artery injuries, where aspirin was the main treatment </w:t>
      </w:r>
      <w:r w:rsidRPr="00B62332">
        <w:rPr>
          <w:rFonts w:cs="Times New Roman"/>
          <w:vertAlign w:val="superscript"/>
        </w:rPr>
        <w:t>10</w:t>
      </w:r>
      <w:r w:rsidRPr="00B62332">
        <w:rPr>
          <w:rFonts w:cs="Times New Roman"/>
        </w:rPr>
        <w:t xml:space="preserve">. </w:t>
      </w:r>
    </w:p>
    <w:p w14:paraId="7FED1F47" w14:textId="77777777" w:rsidR="007D00B0" w:rsidRPr="00B62332" w:rsidRDefault="00000000" w:rsidP="00B62332">
      <w:pPr>
        <w:pStyle w:val="NormalWeb"/>
        <w:rPr>
          <w:rFonts w:eastAsia="Calibri" w:cs="Times New Roman"/>
        </w:rPr>
      </w:pPr>
      <w:r w:rsidRPr="00B62332">
        <w:rPr>
          <w:rFonts w:cs="Times New Roman"/>
        </w:rPr>
        <w:t xml:space="preserve">The importance of follow-up in the setting of traumatic pseudoaneurysms is highlighted by the significant proportion of patients who demonstrated progression of the pseudoaneurysm. </w:t>
      </w:r>
      <w:commentRangeStart w:id="3"/>
      <w:r w:rsidRPr="00B62332">
        <w:rPr>
          <w:rFonts w:cs="Times New Roman"/>
        </w:rPr>
        <w:t>Endovascular treatment remains an option for pseudoaneurysms which continue to progress, however, there remains a paucity of evidence on the correct approach in this situation and patients are treated on a case-by-case basis</w:t>
      </w:r>
      <w:r w:rsidRPr="00B62332">
        <w:rPr>
          <w:rFonts w:cs="Times New Roman"/>
          <w:vertAlign w:val="superscript"/>
        </w:rPr>
        <w:t>1</w:t>
      </w:r>
      <w:commentRangeEnd w:id="3"/>
      <w:r w:rsidRPr="00B62332">
        <w:rPr>
          <w:rFonts w:cs="Times New Roman"/>
        </w:rPr>
        <w:commentReference w:id="3"/>
      </w:r>
      <w:r w:rsidRPr="00B62332">
        <w:rPr>
          <w:rFonts w:cs="Times New Roman"/>
          <w:vertAlign w:val="superscript"/>
        </w:rPr>
        <w:t>6</w:t>
      </w:r>
      <w:r w:rsidRPr="00B62332">
        <w:rPr>
          <w:rFonts w:cs="Times New Roman"/>
        </w:rPr>
        <w:t xml:space="preserve">. The primary consideration for progressive pseudoaneurysm treatment at our institution is </w:t>
      </w:r>
      <w:commentRangeStart w:id="4"/>
      <w:r w:rsidRPr="00B62332">
        <w:rPr>
          <w:rFonts w:cs="Times New Roman"/>
        </w:rPr>
        <w:t xml:space="preserve">perilesional parent vessel stenosis, </w:t>
      </w:r>
      <w:commentRangeEnd w:id="4"/>
      <w:r w:rsidRPr="00B62332">
        <w:rPr>
          <w:rFonts w:cs="Times New Roman"/>
        </w:rPr>
        <w:commentReference w:id="4"/>
      </w:r>
      <w:r w:rsidRPr="00B62332">
        <w:rPr>
          <w:rFonts w:cs="Times New Roman"/>
        </w:rPr>
        <w:t xml:space="preserve">which in our experience accompanies pseudoaneurysm progression. The decision to pursue invasive endovascular treatment, such as stenting, should be carefully considered and tailored to the individual patient’s case and risks with a multidisciplinary approach </w:t>
      </w:r>
      <w:r w:rsidRPr="00B62332">
        <w:rPr>
          <w:rFonts w:cs="Times New Roman"/>
          <w:vertAlign w:val="superscript"/>
        </w:rPr>
        <w:t>10,16</w:t>
      </w:r>
      <w:r w:rsidRPr="00B62332">
        <w:rPr>
          <w:rFonts w:cs="Times New Roman"/>
        </w:rPr>
        <w:t xml:space="preserve">. </w:t>
      </w:r>
    </w:p>
    <w:p w14:paraId="1D0ACFDB" w14:textId="77777777" w:rsidR="007D00B0" w:rsidRPr="00B62332" w:rsidRDefault="00000000" w:rsidP="00B62332">
      <w:pPr>
        <w:pStyle w:val="NormalWeb"/>
        <w:rPr>
          <w:rFonts w:eastAsia="Calibri" w:cs="Times New Roman"/>
        </w:rPr>
      </w:pPr>
      <w:r w:rsidRPr="00B62332">
        <w:rPr>
          <w:rFonts w:cs="Times New Roman"/>
        </w:rPr>
        <w:t xml:space="preserve">Most of the pseudoaneurysms in our cohort did not resolve during the follow-up period. However, most either remained stable or demonstrated a reduction in size. This is consistent with findings from other studies, which have shown that pseudoaneurysms may not fully heal but often remain stable without further progression </w:t>
      </w:r>
      <w:r w:rsidRPr="00B62332">
        <w:rPr>
          <w:rFonts w:cs="Times New Roman"/>
          <w:vertAlign w:val="superscript"/>
        </w:rPr>
        <w:t>16,17</w:t>
      </w:r>
      <w:r w:rsidRPr="00B62332">
        <w:rPr>
          <w:rFonts w:cs="Times New Roman"/>
        </w:rPr>
        <w:t xml:space="preserve">. In our experience, stabilization of size utilized as a surrogate for healing and often used as an endpoint to discontinue antiplatelet therapy. </w:t>
      </w:r>
    </w:p>
    <w:p w14:paraId="42D4B82F" w14:textId="77777777" w:rsidR="007D00B0" w:rsidRPr="00B62332" w:rsidRDefault="007D00B0" w:rsidP="00B62332">
      <w:pPr>
        <w:pStyle w:val="NormalWeb"/>
        <w:rPr>
          <w:rFonts w:eastAsia="Calibri" w:cs="Times New Roman"/>
        </w:rPr>
      </w:pPr>
    </w:p>
    <w:p w14:paraId="75AAC2AE" w14:textId="77777777" w:rsidR="007D00B0" w:rsidRPr="00B62332" w:rsidRDefault="00000000" w:rsidP="00B62332">
      <w:pPr>
        <w:pStyle w:val="NormalWeb"/>
        <w:rPr>
          <w:rFonts w:eastAsia="Calibri" w:cs="Times New Roman"/>
        </w:rPr>
      </w:pPr>
      <w:r w:rsidRPr="00B62332">
        <w:rPr>
          <w:rFonts w:cs="Times New Roman"/>
        </w:rPr>
        <w:t>Limitations:</w:t>
      </w:r>
    </w:p>
    <w:p w14:paraId="32FB84B9" w14:textId="77777777" w:rsidR="007D00B0" w:rsidRDefault="00000000" w:rsidP="00B62332">
      <w:pPr>
        <w:pStyle w:val="NormalWeb"/>
        <w:rPr>
          <w:rFonts w:cs="Times New Roman"/>
        </w:rPr>
      </w:pPr>
      <w:r w:rsidRPr="00B62332">
        <w:rPr>
          <w:rFonts w:cs="Times New Roman"/>
        </w:rPr>
        <w:t xml:space="preserve">While this study provides valuable insights, it’s important to acknowledge several limitations. Since this is a retrospective study, we can’t firmly establish cause and effect between treatments </w:t>
      </w:r>
      <w:r w:rsidRPr="00B62332">
        <w:rPr>
          <w:rFonts w:cs="Times New Roman"/>
        </w:rPr>
        <w:lastRenderedPageBreak/>
        <w:t>and outcomes. Our small sample size, along with excluding patients without complete follow-up, could introduce some bias, making it harder to generalize our findings to a larger population. Additionally, a few patients died during the study, often due to the severity of their systemic injuries, before we could complete follow-up, which could skew the results toward more favorable outcomes in those who survived. Because this was a single-center study, the findings may not apply to other institutions that have different practices. Lastly, relying on our institution’s data means we might have missed some confounding factors, such as differences in timing of interventions or post-discharge care. Future randomized controlled trials are necessary to better compare treatment options and develop stronger evidence-based guidelines for managing traumatic pseudoaneurysms.</w:t>
      </w:r>
    </w:p>
    <w:p w14:paraId="7EB8EAC0" w14:textId="77777777" w:rsidR="00581380" w:rsidRPr="00B62332" w:rsidRDefault="00581380" w:rsidP="00B62332">
      <w:pPr>
        <w:pStyle w:val="NormalWeb"/>
        <w:rPr>
          <w:rFonts w:eastAsia="Calibri" w:cs="Times New Roman"/>
        </w:rPr>
      </w:pPr>
    </w:p>
    <w:p w14:paraId="761F7C41" w14:textId="77777777" w:rsidR="007D00B0" w:rsidRPr="00B62332" w:rsidRDefault="00000000" w:rsidP="00B62332">
      <w:pPr>
        <w:pStyle w:val="NormalWeb"/>
        <w:rPr>
          <w:rFonts w:eastAsia="Calibri" w:cs="Times New Roman"/>
        </w:rPr>
      </w:pPr>
      <w:r w:rsidRPr="00B62332">
        <w:rPr>
          <w:rFonts w:cs="Times New Roman"/>
        </w:rPr>
        <w:t>Conclusion</w:t>
      </w:r>
    </w:p>
    <w:p w14:paraId="30EEBBA8" w14:textId="43355D6D" w:rsidR="007D00B0" w:rsidRPr="00B62332" w:rsidRDefault="00000000" w:rsidP="00B62332">
      <w:pPr>
        <w:pStyle w:val="NormalWeb"/>
        <w:rPr>
          <w:rFonts w:eastAsia="Calibri" w:cs="Times New Roman"/>
        </w:rPr>
      </w:pPr>
      <w:r w:rsidRPr="00B62332">
        <w:rPr>
          <w:rFonts w:cs="Times New Roman"/>
        </w:rPr>
        <w:t>In our experience, antiplatelet therapy is sufficient as a first-line treatment for traumatic pseudoaneurysms of the head and neck, with no delayed strokes observed in our cohort. We have found that most pseudoaneurysms either stabilize or decrease in size, which we believe supports using size stabilization as a practical treatment endpoint marker. While intervention, such as endovascular approaches, remains an option for cases of pseudoaneurysm progression or associated parent vessel stenosis, the need for such interventions appears limited based on our data and the current literature. We recommend regular follow-up to monitor pseudoaneurysm progression, as this allows for timely identification of the rare cases requiring intervention. Larger, multi-center prospective studies are needed to validate these findings, refine treatment guidelines, and confirm the long-term outcomes of various management strategies.</w:t>
      </w:r>
      <w:r w:rsidRPr="00B62332">
        <w:rPr>
          <w:rFonts w:eastAsia="Calibri" w:cs="Times New Roman"/>
        </w:rPr>
        <w:br/>
      </w:r>
    </w:p>
    <w:p w14:paraId="51A1E10A"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rPr>
        <w:br w:type="page"/>
      </w:r>
    </w:p>
    <w:p w14:paraId="4A4321A3" w14:textId="77777777" w:rsidR="007D00B0" w:rsidRPr="00B62332" w:rsidRDefault="00000000" w:rsidP="00B62332">
      <w:pPr>
        <w:pStyle w:val="NormalWeb"/>
        <w:rPr>
          <w:rFonts w:eastAsia="Calibri" w:cs="Times New Roman"/>
        </w:rPr>
      </w:pPr>
      <w:r w:rsidRPr="00B62332">
        <w:rPr>
          <w:rFonts w:cs="Times New Roman"/>
        </w:rPr>
        <w:lastRenderedPageBreak/>
        <w:t xml:space="preserve">References: </w:t>
      </w:r>
    </w:p>
    <w:p w14:paraId="0C6E3E5D" w14:textId="77777777" w:rsidR="007D00B0" w:rsidRPr="00B62332" w:rsidRDefault="007D00B0" w:rsidP="00B62332">
      <w:pPr>
        <w:pStyle w:val="NormalWeb"/>
        <w:rPr>
          <w:rFonts w:eastAsia="Calibri" w:cs="Times New Roman"/>
        </w:rPr>
      </w:pPr>
    </w:p>
    <w:p w14:paraId="7C5B2895"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1. </w:t>
      </w:r>
      <w:r w:rsidRPr="00B62332">
        <w:rPr>
          <w:rFonts w:ascii="Times New Roman" w:eastAsia="Arial Unicode MS" w:hAnsi="Times New Roman" w:cs="Times New Roman"/>
          <w:sz w:val="24"/>
          <w:szCs w:val="24"/>
          <w:lang w:val="en-US"/>
        </w:rPr>
        <w:tab/>
      </w:r>
      <w:proofErr w:type="spellStart"/>
      <w:r w:rsidRPr="00B62332">
        <w:rPr>
          <w:rFonts w:ascii="Times New Roman" w:eastAsia="Arial Unicode MS" w:hAnsi="Times New Roman" w:cs="Times New Roman"/>
          <w:sz w:val="24"/>
          <w:szCs w:val="24"/>
          <w:lang w:val="en-US"/>
        </w:rPr>
        <w:t>Brommeland</w:t>
      </w:r>
      <w:proofErr w:type="spellEnd"/>
      <w:r w:rsidRPr="00B62332">
        <w:rPr>
          <w:rFonts w:ascii="Times New Roman" w:eastAsia="Arial Unicode MS" w:hAnsi="Times New Roman" w:cs="Times New Roman"/>
          <w:sz w:val="24"/>
          <w:szCs w:val="24"/>
          <w:lang w:val="en-US"/>
        </w:rPr>
        <w:t xml:space="preserve"> T, </w:t>
      </w:r>
      <w:proofErr w:type="spellStart"/>
      <w:r w:rsidRPr="00B62332">
        <w:rPr>
          <w:rFonts w:ascii="Times New Roman" w:eastAsia="Arial Unicode MS" w:hAnsi="Times New Roman" w:cs="Times New Roman"/>
          <w:sz w:val="24"/>
          <w:szCs w:val="24"/>
          <w:lang w:val="en-US"/>
        </w:rPr>
        <w:t>Helseth</w:t>
      </w:r>
      <w:proofErr w:type="spellEnd"/>
      <w:r w:rsidRPr="00B62332">
        <w:rPr>
          <w:rFonts w:ascii="Times New Roman" w:eastAsia="Arial Unicode MS" w:hAnsi="Times New Roman" w:cs="Times New Roman"/>
          <w:sz w:val="24"/>
          <w:szCs w:val="24"/>
          <w:lang w:val="en-US"/>
        </w:rPr>
        <w:t xml:space="preserve"> E, Aarhus M, et al. </w:t>
      </w:r>
      <w:proofErr w:type="gramStart"/>
      <w:r w:rsidRPr="00B62332">
        <w:rPr>
          <w:rFonts w:ascii="Times New Roman" w:eastAsia="Arial Unicode MS" w:hAnsi="Times New Roman" w:cs="Times New Roman"/>
          <w:sz w:val="24"/>
          <w:szCs w:val="24"/>
          <w:lang w:val="en-US"/>
        </w:rPr>
        <w:t>Best</w:t>
      </w:r>
      <w:proofErr w:type="gramEnd"/>
      <w:r w:rsidRPr="00B62332">
        <w:rPr>
          <w:rFonts w:ascii="Times New Roman" w:eastAsia="Arial Unicode MS" w:hAnsi="Times New Roman" w:cs="Times New Roman"/>
          <w:sz w:val="24"/>
          <w:szCs w:val="24"/>
          <w:lang w:val="en-US"/>
        </w:rPr>
        <w:t xml:space="preserve"> practice guidelines for blunt cerebrovascular injury (BCVI). </w:t>
      </w:r>
      <w:proofErr w:type="spellStart"/>
      <w:r w:rsidRPr="00B62332">
        <w:rPr>
          <w:rFonts w:ascii="Times New Roman" w:eastAsia="Arial Unicode MS" w:hAnsi="Times New Roman" w:cs="Times New Roman"/>
          <w:i/>
          <w:iCs/>
          <w:sz w:val="24"/>
          <w:szCs w:val="24"/>
          <w:lang w:val="de-DE"/>
        </w:rPr>
        <w:t>Scand</w:t>
      </w:r>
      <w:proofErr w:type="spellEnd"/>
      <w:r w:rsidRPr="00B62332">
        <w:rPr>
          <w:rFonts w:ascii="Times New Roman" w:eastAsia="Arial Unicode MS" w:hAnsi="Times New Roman" w:cs="Times New Roman"/>
          <w:i/>
          <w:iCs/>
          <w:sz w:val="24"/>
          <w:szCs w:val="24"/>
          <w:lang w:val="de-DE"/>
        </w:rPr>
        <w:t xml:space="preserve"> J Trauma </w:t>
      </w:r>
      <w:proofErr w:type="spellStart"/>
      <w:r w:rsidRPr="00B62332">
        <w:rPr>
          <w:rFonts w:ascii="Times New Roman" w:eastAsia="Arial Unicode MS" w:hAnsi="Times New Roman" w:cs="Times New Roman"/>
          <w:i/>
          <w:iCs/>
          <w:sz w:val="24"/>
          <w:szCs w:val="24"/>
          <w:lang w:val="de-DE"/>
        </w:rPr>
        <w:t>Resusc</w:t>
      </w:r>
      <w:proofErr w:type="spellEnd"/>
      <w:r w:rsidRPr="00B62332">
        <w:rPr>
          <w:rFonts w:ascii="Times New Roman" w:eastAsia="Arial Unicode MS" w:hAnsi="Times New Roman" w:cs="Times New Roman"/>
          <w:i/>
          <w:iCs/>
          <w:sz w:val="24"/>
          <w:szCs w:val="24"/>
          <w:lang w:val="de-DE"/>
        </w:rPr>
        <w:t xml:space="preserve"> </w:t>
      </w:r>
      <w:proofErr w:type="spellStart"/>
      <w:r w:rsidRPr="00B62332">
        <w:rPr>
          <w:rFonts w:ascii="Times New Roman" w:eastAsia="Arial Unicode MS" w:hAnsi="Times New Roman" w:cs="Times New Roman"/>
          <w:i/>
          <w:iCs/>
          <w:sz w:val="24"/>
          <w:szCs w:val="24"/>
          <w:lang w:val="de-DE"/>
        </w:rPr>
        <w:t>Emerg</w:t>
      </w:r>
      <w:proofErr w:type="spellEnd"/>
      <w:r w:rsidRPr="00B62332">
        <w:rPr>
          <w:rFonts w:ascii="Times New Roman" w:eastAsia="Arial Unicode MS" w:hAnsi="Times New Roman" w:cs="Times New Roman"/>
          <w:i/>
          <w:iCs/>
          <w:sz w:val="24"/>
          <w:szCs w:val="24"/>
          <w:lang w:val="de-DE"/>
        </w:rPr>
        <w:t xml:space="preserve"> </w:t>
      </w:r>
      <w:proofErr w:type="spellStart"/>
      <w:r w:rsidRPr="00B62332">
        <w:rPr>
          <w:rFonts w:ascii="Times New Roman" w:eastAsia="Arial Unicode MS" w:hAnsi="Times New Roman" w:cs="Times New Roman"/>
          <w:i/>
          <w:iCs/>
          <w:sz w:val="24"/>
          <w:szCs w:val="24"/>
          <w:lang w:val="de-DE"/>
        </w:rPr>
        <w:t>Med</w:t>
      </w:r>
      <w:proofErr w:type="spellEnd"/>
      <w:r w:rsidRPr="00B62332">
        <w:rPr>
          <w:rFonts w:ascii="Times New Roman" w:eastAsia="Arial Unicode MS" w:hAnsi="Times New Roman" w:cs="Times New Roman"/>
          <w:sz w:val="24"/>
          <w:szCs w:val="24"/>
        </w:rPr>
        <w:t xml:space="preserve"> 2018;26.</w:t>
      </w:r>
    </w:p>
    <w:p w14:paraId="5030E22D"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2. </w:t>
      </w:r>
      <w:r w:rsidRPr="00B62332">
        <w:rPr>
          <w:rFonts w:ascii="Times New Roman" w:eastAsia="Arial Unicode MS" w:hAnsi="Times New Roman" w:cs="Times New Roman"/>
          <w:sz w:val="24"/>
          <w:szCs w:val="24"/>
          <w:lang w:val="en-US"/>
        </w:rPr>
        <w:tab/>
        <w:t xml:space="preserve">Stein DM, Boswell S, </w:t>
      </w:r>
      <w:proofErr w:type="spellStart"/>
      <w:r w:rsidRPr="00B62332">
        <w:rPr>
          <w:rFonts w:ascii="Times New Roman" w:eastAsia="Arial Unicode MS" w:hAnsi="Times New Roman" w:cs="Times New Roman"/>
          <w:sz w:val="24"/>
          <w:szCs w:val="24"/>
          <w:lang w:val="en-US"/>
        </w:rPr>
        <w:t>Sliker</w:t>
      </w:r>
      <w:proofErr w:type="spellEnd"/>
      <w:r w:rsidRPr="00B62332">
        <w:rPr>
          <w:rFonts w:ascii="Times New Roman" w:eastAsia="Arial Unicode MS" w:hAnsi="Times New Roman" w:cs="Times New Roman"/>
          <w:sz w:val="24"/>
          <w:szCs w:val="24"/>
          <w:lang w:val="en-US"/>
        </w:rPr>
        <w:t xml:space="preserve"> CW, et al. Blunt cerebrovascular injuries: Does treatment always matter? </w:t>
      </w:r>
      <w:r w:rsidRPr="00B62332">
        <w:rPr>
          <w:rFonts w:ascii="Times New Roman" w:eastAsia="Arial Unicode MS" w:hAnsi="Times New Roman" w:cs="Times New Roman"/>
          <w:i/>
          <w:iCs/>
          <w:sz w:val="24"/>
          <w:szCs w:val="24"/>
          <w:lang w:val="en-US"/>
        </w:rPr>
        <w:t>Journal of Trauma - Injury, Infection and Critical Care</w:t>
      </w:r>
      <w:r w:rsidRPr="00B62332">
        <w:rPr>
          <w:rFonts w:ascii="Times New Roman" w:eastAsia="Arial Unicode MS" w:hAnsi="Times New Roman" w:cs="Times New Roman"/>
          <w:sz w:val="24"/>
          <w:szCs w:val="24"/>
        </w:rPr>
        <w:t xml:space="preserve"> 2009;66:132–43.</w:t>
      </w:r>
    </w:p>
    <w:p w14:paraId="7E61B089"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3. </w:t>
      </w:r>
      <w:r w:rsidRPr="00B62332">
        <w:rPr>
          <w:rFonts w:ascii="Times New Roman" w:eastAsia="Arial Unicode MS" w:hAnsi="Times New Roman" w:cs="Times New Roman"/>
          <w:sz w:val="24"/>
          <w:szCs w:val="24"/>
          <w:lang w:val="en-US"/>
        </w:rPr>
        <w:tab/>
        <w:t xml:space="preserve">Wei CW, </w:t>
      </w:r>
      <w:proofErr w:type="spellStart"/>
      <w:r w:rsidRPr="00B62332">
        <w:rPr>
          <w:rFonts w:ascii="Times New Roman" w:eastAsia="Arial Unicode MS" w:hAnsi="Times New Roman" w:cs="Times New Roman"/>
          <w:sz w:val="24"/>
          <w:szCs w:val="24"/>
          <w:lang w:val="en-US"/>
        </w:rPr>
        <w:t>Montanera</w:t>
      </w:r>
      <w:proofErr w:type="spellEnd"/>
      <w:r w:rsidRPr="00B62332">
        <w:rPr>
          <w:rFonts w:ascii="Times New Roman" w:eastAsia="Arial Unicode MS" w:hAnsi="Times New Roman" w:cs="Times New Roman"/>
          <w:sz w:val="24"/>
          <w:szCs w:val="24"/>
          <w:lang w:val="en-US"/>
        </w:rPr>
        <w:t xml:space="preserve"> W, </w:t>
      </w:r>
      <w:proofErr w:type="spellStart"/>
      <w:r w:rsidRPr="00B62332">
        <w:rPr>
          <w:rFonts w:ascii="Times New Roman" w:eastAsia="Arial Unicode MS" w:hAnsi="Times New Roman" w:cs="Times New Roman"/>
          <w:sz w:val="24"/>
          <w:szCs w:val="24"/>
          <w:lang w:val="en-US"/>
        </w:rPr>
        <w:t>Selchen</w:t>
      </w:r>
      <w:proofErr w:type="spellEnd"/>
      <w:r w:rsidRPr="00B62332">
        <w:rPr>
          <w:rFonts w:ascii="Times New Roman" w:eastAsia="Arial Unicode MS" w:hAnsi="Times New Roman" w:cs="Times New Roman"/>
          <w:sz w:val="24"/>
          <w:szCs w:val="24"/>
          <w:lang w:val="en-US"/>
        </w:rPr>
        <w:t xml:space="preserve"> D, et al. Blunt cerebrovascular injuries: Diagnosis and management outcomes. </w:t>
      </w:r>
      <w:r w:rsidRPr="00B62332">
        <w:rPr>
          <w:rFonts w:ascii="Times New Roman" w:eastAsia="Arial Unicode MS" w:hAnsi="Times New Roman" w:cs="Times New Roman"/>
          <w:i/>
          <w:iCs/>
          <w:sz w:val="24"/>
          <w:szCs w:val="24"/>
          <w:lang w:val="en-US"/>
        </w:rPr>
        <w:t>Canadian Journal of Neurological Sciences</w:t>
      </w:r>
      <w:r w:rsidRPr="00B62332">
        <w:rPr>
          <w:rFonts w:ascii="Times New Roman" w:eastAsia="Arial Unicode MS" w:hAnsi="Times New Roman" w:cs="Times New Roman"/>
          <w:sz w:val="24"/>
          <w:szCs w:val="24"/>
        </w:rPr>
        <w:t xml:space="preserve"> </w:t>
      </w:r>
      <w:proofErr w:type="gramStart"/>
      <w:r w:rsidRPr="00B62332">
        <w:rPr>
          <w:rFonts w:ascii="Times New Roman" w:eastAsia="Arial Unicode MS" w:hAnsi="Times New Roman" w:cs="Times New Roman"/>
          <w:sz w:val="24"/>
          <w:szCs w:val="24"/>
        </w:rPr>
        <w:t>2010;37:574</w:t>
      </w:r>
      <w:proofErr w:type="gramEnd"/>
      <w:r w:rsidRPr="00B62332">
        <w:rPr>
          <w:rFonts w:ascii="Times New Roman" w:eastAsia="Arial Unicode MS" w:hAnsi="Times New Roman" w:cs="Times New Roman"/>
          <w:sz w:val="24"/>
          <w:szCs w:val="24"/>
        </w:rPr>
        <w:t>–9.</w:t>
      </w:r>
    </w:p>
    <w:p w14:paraId="04BE6FF5"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4. </w:t>
      </w:r>
      <w:r w:rsidRPr="00B62332">
        <w:rPr>
          <w:rFonts w:ascii="Times New Roman" w:eastAsia="Arial Unicode MS" w:hAnsi="Times New Roman" w:cs="Times New Roman"/>
          <w:sz w:val="24"/>
          <w:szCs w:val="24"/>
          <w:lang w:val="en-US"/>
        </w:rPr>
        <w:tab/>
        <w:t xml:space="preserve">Murphy PB, Severance S, Holler E, et al. Treatment of asymptomatic blunt cerebrovascular injury (BCVI): A systematic review. </w:t>
      </w:r>
      <w:r w:rsidRPr="00B62332">
        <w:rPr>
          <w:rFonts w:ascii="Times New Roman" w:eastAsia="Arial Unicode MS" w:hAnsi="Times New Roman" w:cs="Times New Roman"/>
          <w:i/>
          <w:iCs/>
          <w:sz w:val="24"/>
          <w:szCs w:val="24"/>
        </w:rPr>
        <w:t>Trauma Surg Acute Care Open</w:t>
      </w:r>
      <w:r w:rsidRPr="00B62332">
        <w:rPr>
          <w:rFonts w:ascii="Times New Roman" w:eastAsia="Arial Unicode MS" w:hAnsi="Times New Roman" w:cs="Times New Roman"/>
          <w:sz w:val="24"/>
          <w:szCs w:val="24"/>
        </w:rPr>
        <w:t xml:space="preserve"> 2021;6.</w:t>
      </w:r>
    </w:p>
    <w:p w14:paraId="18D9CAF8"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5. </w:t>
      </w:r>
      <w:r w:rsidRPr="00B62332">
        <w:rPr>
          <w:rFonts w:ascii="Times New Roman" w:eastAsia="Arial Unicode MS" w:hAnsi="Times New Roman" w:cs="Times New Roman"/>
          <w:sz w:val="24"/>
          <w:szCs w:val="24"/>
          <w:lang w:val="en-US"/>
        </w:rPr>
        <w:tab/>
      </w:r>
      <w:proofErr w:type="spellStart"/>
      <w:r w:rsidRPr="00B62332">
        <w:rPr>
          <w:rFonts w:ascii="Times New Roman" w:eastAsia="Arial Unicode MS" w:hAnsi="Times New Roman" w:cs="Times New Roman"/>
          <w:sz w:val="24"/>
          <w:szCs w:val="24"/>
          <w:lang w:val="en-US"/>
        </w:rPr>
        <w:t>Cutts</w:t>
      </w:r>
      <w:proofErr w:type="spellEnd"/>
      <w:r w:rsidRPr="00B62332">
        <w:rPr>
          <w:rFonts w:ascii="Times New Roman" w:eastAsia="Arial Unicode MS" w:hAnsi="Times New Roman" w:cs="Times New Roman"/>
          <w:sz w:val="24"/>
          <w:szCs w:val="24"/>
          <w:lang w:val="en-US"/>
        </w:rPr>
        <w:t xml:space="preserve"> L, Gray C, Gill N, et al. Best Evidence Topic report: Antithrombotic therapy and endovascular intervention for blunt cerebrovascular injury. </w:t>
      </w:r>
      <w:r w:rsidRPr="00B62332">
        <w:rPr>
          <w:rFonts w:ascii="Times New Roman" w:eastAsia="Arial Unicode MS" w:hAnsi="Times New Roman" w:cs="Times New Roman"/>
          <w:i/>
          <w:iCs/>
          <w:sz w:val="24"/>
          <w:szCs w:val="24"/>
          <w:lang w:val="en-US"/>
        </w:rPr>
        <w:t>Emergency Medicine Journal</w:t>
      </w:r>
      <w:r w:rsidRPr="00B62332">
        <w:rPr>
          <w:rFonts w:ascii="Times New Roman" w:eastAsia="Arial Unicode MS" w:hAnsi="Times New Roman" w:cs="Times New Roman"/>
          <w:sz w:val="24"/>
          <w:szCs w:val="24"/>
          <w:lang w:val="en-US"/>
        </w:rPr>
        <w:t xml:space="preserve"> </w:t>
      </w:r>
      <w:proofErr w:type="gramStart"/>
      <w:r w:rsidRPr="00B62332">
        <w:rPr>
          <w:rFonts w:ascii="Times New Roman" w:eastAsia="Arial Unicode MS" w:hAnsi="Times New Roman" w:cs="Times New Roman"/>
          <w:sz w:val="24"/>
          <w:szCs w:val="24"/>
          <w:lang w:val="en-US"/>
        </w:rPr>
        <w:t>2024;41:337</w:t>
      </w:r>
      <w:proofErr w:type="gramEnd"/>
      <w:r w:rsidRPr="00B62332">
        <w:rPr>
          <w:rFonts w:ascii="Times New Roman" w:eastAsia="Arial Unicode MS" w:hAnsi="Times New Roman" w:cs="Times New Roman"/>
          <w:sz w:val="24"/>
          <w:szCs w:val="24"/>
        </w:rPr>
        <w:t>–9.</w:t>
      </w:r>
    </w:p>
    <w:p w14:paraId="764C5213"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rPr>
        <w:t xml:space="preserve">6. </w:t>
      </w:r>
      <w:r w:rsidRPr="00B62332">
        <w:rPr>
          <w:rFonts w:ascii="Times New Roman" w:eastAsia="Arial Unicode MS" w:hAnsi="Times New Roman" w:cs="Times New Roman"/>
          <w:sz w:val="24"/>
          <w:szCs w:val="24"/>
        </w:rPr>
        <w:tab/>
      </w:r>
      <w:proofErr w:type="spellStart"/>
      <w:r w:rsidRPr="00B62332">
        <w:rPr>
          <w:rFonts w:ascii="Times New Roman" w:eastAsia="Arial Unicode MS" w:hAnsi="Times New Roman" w:cs="Times New Roman"/>
          <w:sz w:val="24"/>
          <w:szCs w:val="24"/>
        </w:rPr>
        <w:t>Biffl</w:t>
      </w:r>
      <w:proofErr w:type="spellEnd"/>
      <w:r w:rsidRPr="00B62332">
        <w:rPr>
          <w:rFonts w:ascii="Times New Roman" w:eastAsia="Arial Unicode MS" w:hAnsi="Times New Roman" w:cs="Times New Roman"/>
          <w:sz w:val="24"/>
          <w:szCs w:val="24"/>
        </w:rPr>
        <w:t xml:space="preserve"> WL, Moore EE, Elliott JP, et al. </w:t>
      </w:r>
      <w:r w:rsidRPr="00B62332">
        <w:rPr>
          <w:rFonts w:ascii="Times New Roman" w:eastAsia="Arial Unicode MS" w:hAnsi="Times New Roman" w:cs="Times New Roman"/>
          <w:i/>
          <w:iCs/>
          <w:sz w:val="24"/>
          <w:szCs w:val="24"/>
          <w:lang w:val="en-US"/>
        </w:rPr>
        <w:t>The Devastating Potential of Blunt Vertebral Arterial Injuries</w:t>
      </w:r>
      <w:r w:rsidRPr="00B62332">
        <w:rPr>
          <w:rFonts w:ascii="Times New Roman" w:eastAsia="Arial Unicode MS" w:hAnsi="Times New Roman" w:cs="Times New Roman"/>
          <w:sz w:val="24"/>
          <w:szCs w:val="24"/>
        </w:rPr>
        <w:t>.; 2000.</w:t>
      </w:r>
    </w:p>
    <w:p w14:paraId="68F595C4"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7. </w:t>
      </w:r>
      <w:r w:rsidRPr="00B62332">
        <w:rPr>
          <w:rFonts w:ascii="Times New Roman" w:eastAsia="Arial Unicode MS" w:hAnsi="Times New Roman" w:cs="Times New Roman"/>
          <w:sz w:val="24"/>
          <w:szCs w:val="24"/>
          <w:lang w:val="en-US"/>
        </w:rPr>
        <w:tab/>
        <w:t xml:space="preserve">Anaya C, </w:t>
      </w:r>
      <w:proofErr w:type="spellStart"/>
      <w:r w:rsidRPr="00B62332">
        <w:rPr>
          <w:rFonts w:ascii="Times New Roman" w:eastAsia="Arial Unicode MS" w:hAnsi="Times New Roman" w:cs="Times New Roman"/>
          <w:sz w:val="24"/>
          <w:szCs w:val="24"/>
          <w:lang w:val="en-US"/>
        </w:rPr>
        <w:t>Munera</w:t>
      </w:r>
      <w:proofErr w:type="spellEnd"/>
      <w:r w:rsidRPr="00B62332">
        <w:rPr>
          <w:rFonts w:ascii="Times New Roman" w:eastAsia="Arial Unicode MS" w:hAnsi="Times New Roman" w:cs="Times New Roman"/>
          <w:sz w:val="24"/>
          <w:szCs w:val="24"/>
          <w:lang w:val="en-US"/>
        </w:rPr>
        <w:t xml:space="preserve"> F, Bloomer CW, et al. Screening Multidetector Computed Tomography Angiography in the Evaluation on Blunt Neck Injuries: An Evidence-Based Approach. </w:t>
      </w:r>
      <w:r w:rsidRPr="00B62332">
        <w:rPr>
          <w:rFonts w:ascii="Times New Roman" w:eastAsia="Arial Unicode MS" w:hAnsi="Times New Roman" w:cs="Times New Roman"/>
          <w:i/>
          <w:iCs/>
          <w:sz w:val="24"/>
          <w:szCs w:val="24"/>
          <w:lang w:val="en-US"/>
        </w:rPr>
        <w:t xml:space="preserve">Seminars in Ultrasound, </w:t>
      </w:r>
      <w:proofErr w:type="gramStart"/>
      <w:r w:rsidRPr="00B62332">
        <w:rPr>
          <w:rFonts w:ascii="Times New Roman" w:eastAsia="Arial Unicode MS" w:hAnsi="Times New Roman" w:cs="Times New Roman"/>
          <w:i/>
          <w:iCs/>
          <w:sz w:val="24"/>
          <w:szCs w:val="24"/>
          <w:lang w:val="en-US"/>
        </w:rPr>
        <w:t>CT</w:t>
      </w:r>
      <w:proofErr w:type="gramEnd"/>
      <w:r w:rsidRPr="00B62332">
        <w:rPr>
          <w:rFonts w:ascii="Times New Roman" w:eastAsia="Arial Unicode MS" w:hAnsi="Times New Roman" w:cs="Times New Roman"/>
          <w:i/>
          <w:iCs/>
          <w:sz w:val="24"/>
          <w:szCs w:val="24"/>
          <w:lang w:val="en-US"/>
        </w:rPr>
        <w:t xml:space="preserve"> and MRI</w:t>
      </w:r>
      <w:r w:rsidRPr="00B62332">
        <w:rPr>
          <w:rFonts w:ascii="Times New Roman" w:eastAsia="Arial Unicode MS" w:hAnsi="Times New Roman" w:cs="Times New Roman"/>
          <w:sz w:val="24"/>
          <w:szCs w:val="24"/>
        </w:rPr>
        <w:t xml:space="preserve"> 2009;30:205–14.</w:t>
      </w:r>
    </w:p>
    <w:p w14:paraId="307F6B94"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8. </w:t>
      </w:r>
      <w:r w:rsidRPr="00B62332">
        <w:rPr>
          <w:rFonts w:ascii="Times New Roman" w:eastAsia="Arial Unicode MS" w:hAnsi="Times New Roman" w:cs="Times New Roman"/>
          <w:sz w:val="24"/>
          <w:szCs w:val="24"/>
          <w:lang w:val="en-US"/>
        </w:rPr>
        <w:tab/>
        <w:t xml:space="preserve">Shibata J, Okada Y, </w:t>
      </w:r>
      <w:proofErr w:type="spellStart"/>
      <w:r w:rsidRPr="00B62332">
        <w:rPr>
          <w:rFonts w:ascii="Times New Roman" w:eastAsia="Arial Unicode MS" w:hAnsi="Times New Roman" w:cs="Times New Roman"/>
          <w:sz w:val="24"/>
          <w:szCs w:val="24"/>
          <w:lang w:val="en-US"/>
        </w:rPr>
        <w:t>Osawa</w:t>
      </w:r>
      <w:proofErr w:type="spellEnd"/>
      <w:r w:rsidRPr="00B62332">
        <w:rPr>
          <w:rFonts w:ascii="Times New Roman" w:eastAsia="Arial Unicode MS" w:hAnsi="Times New Roman" w:cs="Times New Roman"/>
          <w:sz w:val="24"/>
          <w:szCs w:val="24"/>
          <w:lang w:val="en-US"/>
        </w:rPr>
        <w:t xml:space="preserve"> I, et al. Trauma mechanisms and patterns of blunt cervical vascular injury: A descriptive study using a nationwide trauma registry. </w:t>
      </w:r>
      <w:r w:rsidRPr="00B62332">
        <w:rPr>
          <w:rFonts w:ascii="Times New Roman" w:eastAsia="Arial Unicode MS" w:hAnsi="Times New Roman" w:cs="Times New Roman"/>
          <w:i/>
          <w:iCs/>
          <w:sz w:val="24"/>
          <w:szCs w:val="24"/>
          <w:lang w:val="en-US"/>
        </w:rPr>
        <w:t>American Journal of Emergency Medicine</w:t>
      </w:r>
      <w:r w:rsidRPr="00B62332">
        <w:rPr>
          <w:rFonts w:ascii="Times New Roman" w:eastAsia="Arial Unicode MS" w:hAnsi="Times New Roman" w:cs="Times New Roman"/>
          <w:sz w:val="24"/>
          <w:szCs w:val="24"/>
        </w:rPr>
        <w:t xml:space="preserve"> </w:t>
      </w:r>
      <w:proofErr w:type="gramStart"/>
      <w:r w:rsidRPr="00B62332">
        <w:rPr>
          <w:rFonts w:ascii="Times New Roman" w:eastAsia="Arial Unicode MS" w:hAnsi="Times New Roman" w:cs="Times New Roman"/>
          <w:sz w:val="24"/>
          <w:szCs w:val="24"/>
        </w:rPr>
        <w:t>2023;71:117</w:t>
      </w:r>
      <w:proofErr w:type="gramEnd"/>
      <w:r w:rsidRPr="00B62332">
        <w:rPr>
          <w:rFonts w:ascii="Times New Roman" w:eastAsia="Arial Unicode MS" w:hAnsi="Times New Roman" w:cs="Times New Roman"/>
          <w:sz w:val="24"/>
          <w:szCs w:val="24"/>
        </w:rPr>
        <w:t>–22.</w:t>
      </w:r>
    </w:p>
    <w:p w14:paraId="234ECB68"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de-DE"/>
        </w:rPr>
        <w:t xml:space="preserve">9. </w:t>
      </w:r>
      <w:r w:rsidRPr="00B62332">
        <w:rPr>
          <w:rFonts w:ascii="Times New Roman" w:eastAsia="Arial Unicode MS" w:hAnsi="Times New Roman" w:cs="Times New Roman"/>
          <w:sz w:val="24"/>
          <w:szCs w:val="24"/>
          <w:lang w:val="de-DE"/>
        </w:rPr>
        <w:tab/>
      </w:r>
      <w:proofErr w:type="spellStart"/>
      <w:r w:rsidRPr="00B62332">
        <w:rPr>
          <w:rFonts w:ascii="Times New Roman" w:eastAsia="Arial Unicode MS" w:hAnsi="Times New Roman" w:cs="Times New Roman"/>
          <w:sz w:val="24"/>
          <w:szCs w:val="24"/>
          <w:lang w:val="de-DE"/>
        </w:rPr>
        <w:t>Biffl</w:t>
      </w:r>
      <w:proofErr w:type="spellEnd"/>
      <w:r w:rsidRPr="00B62332">
        <w:rPr>
          <w:rFonts w:ascii="Times New Roman" w:eastAsia="Arial Unicode MS" w:hAnsi="Times New Roman" w:cs="Times New Roman"/>
          <w:sz w:val="24"/>
          <w:szCs w:val="24"/>
          <w:lang w:val="de-DE"/>
        </w:rPr>
        <w:t xml:space="preserve"> WL, Moore EE, Offner PJ, et al. </w:t>
      </w:r>
      <w:r w:rsidRPr="00B62332">
        <w:rPr>
          <w:rFonts w:ascii="Times New Roman" w:eastAsia="Arial Unicode MS" w:hAnsi="Times New Roman" w:cs="Times New Roman"/>
          <w:i/>
          <w:iCs/>
          <w:sz w:val="24"/>
          <w:szCs w:val="24"/>
          <w:lang w:val="en-US"/>
        </w:rPr>
        <w:t>Optimizing Screening for Blunt Cerebrovascular Injuries</w:t>
      </w:r>
      <w:r w:rsidRPr="00B62332">
        <w:rPr>
          <w:rFonts w:ascii="Times New Roman" w:eastAsia="Arial Unicode MS" w:hAnsi="Times New Roman" w:cs="Times New Roman"/>
          <w:sz w:val="24"/>
          <w:szCs w:val="24"/>
        </w:rPr>
        <w:t>.; 1999.</w:t>
      </w:r>
    </w:p>
    <w:p w14:paraId="20DE28EE"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10. </w:t>
      </w:r>
      <w:r w:rsidRPr="00B62332">
        <w:rPr>
          <w:rFonts w:ascii="Times New Roman" w:eastAsia="Arial Unicode MS" w:hAnsi="Times New Roman" w:cs="Times New Roman"/>
          <w:sz w:val="24"/>
          <w:szCs w:val="24"/>
          <w:lang w:val="en-US"/>
        </w:rPr>
        <w:tab/>
      </w:r>
      <w:proofErr w:type="spellStart"/>
      <w:r w:rsidRPr="00B62332">
        <w:rPr>
          <w:rFonts w:ascii="Times New Roman" w:eastAsia="Arial Unicode MS" w:hAnsi="Times New Roman" w:cs="Times New Roman"/>
          <w:sz w:val="24"/>
          <w:szCs w:val="24"/>
          <w:lang w:val="en-US"/>
        </w:rPr>
        <w:t>Zeineddine</w:t>
      </w:r>
      <w:proofErr w:type="spellEnd"/>
      <w:r w:rsidRPr="00B62332">
        <w:rPr>
          <w:rFonts w:ascii="Times New Roman" w:eastAsia="Arial Unicode MS" w:hAnsi="Times New Roman" w:cs="Times New Roman"/>
          <w:sz w:val="24"/>
          <w:szCs w:val="24"/>
          <w:lang w:val="en-US"/>
        </w:rPr>
        <w:t xml:space="preserve"> HA, King N, Lewis CT, et al. Blunt Traumatic Vertebral Artery Injuries: Incidence, Therapeutic Management, and Outcomes. </w:t>
      </w:r>
      <w:r w:rsidRPr="00B62332">
        <w:rPr>
          <w:rFonts w:ascii="Times New Roman" w:eastAsia="Arial Unicode MS" w:hAnsi="Times New Roman" w:cs="Times New Roman"/>
          <w:i/>
          <w:iCs/>
          <w:sz w:val="24"/>
          <w:szCs w:val="24"/>
          <w:lang w:val="es-ES_tradnl"/>
        </w:rPr>
        <w:t xml:space="preserve">J </w:t>
      </w:r>
      <w:proofErr w:type="spellStart"/>
      <w:r w:rsidRPr="00B62332">
        <w:rPr>
          <w:rFonts w:ascii="Times New Roman" w:eastAsia="Arial Unicode MS" w:hAnsi="Times New Roman" w:cs="Times New Roman"/>
          <w:i/>
          <w:iCs/>
          <w:sz w:val="24"/>
          <w:szCs w:val="24"/>
          <w:lang w:val="es-ES_tradnl"/>
        </w:rPr>
        <w:t>Vasc</w:t>
      </w:r>
      <w:proofErr w:type="spellEnd"/>
      <w:r w:rsidRPr="00B62332">
        <w:rPr>
          <w:rFonts w:ascii="Times New Roman" w:eastAsia="Arial Unicode MS" w:hAnsi="Times New Roman" w:cs="Times New Roman"/>
          <w:i/>
          <w:iCs/>
          <w:sz w:val="24"/>
          <w:szCs w:val="24"/>
          <w:lang w:val="es-ES_tradnl"/>
        </w:rPr>
        <w:t xml:space="preserve"> </w:t>
      </w:r>
      <w:proofErr w:type="spellStart"/>
      <w:r w:rsidRPr="00B62332">
        <w:rPr>
          <w:rFonts w:ascii="Times New Roman" w:eastAsia="Arial Unicode MS" w:hAnsi="Times New Roman" w:cs="Times New Roman"/>
          <w:i/>
          <w:iCs/>
          <w:sz w:val="24"/>
          <w:szCs w:val="24"/>
          <w:lang w:val="es-ES_tradnl"/>
        </w:rPr>
        <w:t>Surg</w:t>
      </w:r>
      <w:proofErr w:type="spellEnd"/>
      <w:r w:rsidRPr="00B62332">
        <w:rPr>
          <w:rFonts w:ascii="Times New Roman" w:eastAsia="Arial Unicode MS" w:hAnsi="Times New Roman" w:cs="Times New Roman"/>
          <w:sz w:val="24"/>
          <w:szCs w:val="24"/>
        </w:rPr>
        <w:t xml:space="preserve"> </w:t>
      </w:r>
      <w:proofErr w:type="gramStart"/>
      <w:r w:rsidRPr="00B62332">
        <w:rPr>
          <w:rFonts w:ascii="Times New Roman" w:eastAsia="Arial Unicode MS" w:hAnsi="Times New Roman" w:cs="Times New Roman"/>
          <w:sz w:val="24"/>
          <w:szCs w:val="24"/>
        </w:rPr>
        <w:t>2022;75:1786</w:t>
      </w:r>
      <w:proofErr w:type="gramEnd"/>
      <w:r w:rsidRPr="00B62332">
        <w:rPr>
          <w:rFonts w:ascii="Times New Roman" w:eastAsia="Arial Unicode MS" w:hAnsi="Times New Roman" w:cs="Times New Roman"/>
          <w:sz w:val="24"/>
          <w:szCs w:val="24"/>
        </w:rPr>
        <w:t>–7.</w:t>
      </w:r>
    </w:p>
    <w:p w14:paraId="05D4E544"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11. </w:t>
      </w:r>
      <w:r w:rsidRPr="00B62332">
        <w:rPr>
          <w:rFonts w:ascii="Times New Roman" w:eastAsia="Arial Unicode MS" w:hAnsi="Times New Roman" w:cs="Times New Roman"/>
          <w:sz w:val="24"/>
          <w:szCs w:val="24"/>
          <w:lang w:val="en-US"/>
        </w:rPr>
        <w:tab/>
        <w:t xml:space="preserve">Herrera DA, Vargas SA, Dublin AB. Endovascular treatment of traumatic injuries of the vertebral artery. </w:t>
      </w:r>
      <w:r w:rsidRPr="00B62332">
        <w:rPr>
          <w:rFonts w:ascii="Times New Roman" w:eastAsia="Arial Unicode MS" w:hAnsi="Times New Roman" w:cs="Times New Roman"/>
          <w:i/>
          <w:iCs/>
          <w:sz w:val="24"/>
          <w:szCs w:val="24"/>
          <w:lang w:val="en-US"/>
        </w:rPr>
        <w:t>American Journal of Neuroradiology</w:t>
      </w:r>
      <w:r w:rsidRPr="00B62332">
        <w:rPr>
          <w:rFonts w:ascii="Times New Roman" w:eastAsia="Arial Unicode MS" w:hAnsi="Times New Roman" w:cs="Times New Roman"/>
          <w:sz w:val="24"/>
          <w:szCs w:val="24"/>
        </w:rPr>
        <w:t xml:space="preserve"> </w:t>
      </w:r>
      <w:proofErr w:type="gramStart"/>
      <w:r w:rsidRPr="00B62332">
        <w:rPr>
          <w:rFonts w:ascii="Times New Roman" w:eastAsia="Arial Unicode MS" w:hAnsi="Times New Roman" w:cs="Times New Roman"/>
          <w:sz w:val="24"/>
          <w:szCs w:val="24"/>
        </w:rPr>
        <w:t>2008;29:1585</w:t>
      </w:r>
      <w:proofErr w:type="gramEnd"/>
      <w:r w:rsidRPr="00B62332">
        <w:rPr>
          <w:rFonts w:ascii="Times New Roman" w:eastAsia="Arial Unicode MS" w:hAnsi="Times New Roman" w:cs="Times New Roman"/>
          <w:sz w:val="24"/>
          <w:szCs w:val="24"/>
        </w:rPr>
        <w:t>–9.</w:t>
      </w:r>
    </w:p>
    <w:p w14:paraId="536C1B06"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12. </w:t>
      </w:r>
      <w:r w:rsidRPr="00B62332">
        <w:rPr>
          <w:rFonts w:ascii="Times New Roman" w:eastAsia="Arial Unicode MS" w:hAnsi="Times New Roman" w:cs="Times New Roman"/>
          <w:sz w:val="24"/>
          <w:szCs w:val="24"/>
          <w:lang w:val="en-US"/>
        </w:rPr>
        <w:tab/>
        <w:t xml:space="preserve">Yi AC, Palmer E, </w:t>
      </w:r>
      <w:proofErr w:type="spellStart"/>
      <w:r w:rsidRPr="00B62332">
        <w:rPr>
          <w:rFonts w:ascii="Times New Roman" w:eastAsia="Arial Unicode MS" w:hAnsi="Times New Roman" w:cs="Times New Roman"/>
          <w:sz w:val="24"/>
          <w:szCs w:val="24"/>
          <w:lang w:val="en-US"/>
        </w:rPr>
        <w:t>Luh</w:t>
      </w:r>
      <w:proofErr w:type="spellEnd"/>
      <w:r w:rsidRPr="00B62332">
        <w:rPr>
          <w:rFonts w:ascii="Times New Roman" w:eastAsia="Arial Unicode MS" w:hAnsi="Times New Roman" w:cs="Times New Roman"/>
          <w:sz w:val="24"/>
          <w:szCs w:val="24"/>
          <w:lang w:val="en-US"/>
        </w:rPr>
        <w:t xml:space="preserve"> G, et al. Endovascular treatment of carotid and vertebral pseudoaneurysms with covered stents. In: </w:t>
      </w:r>
      <w:r w:rsidRPr="00B62332">
        <w:rPr>
          <w:rFonts w:ascii="Times New Roman" w:eastAsia="Arial Unicode MS" w:hAnsi="Times New Roman" w:cs="Times New Roman"/>
          <w:i/>
          <w:iCs/>
          <w:sz w:val="24"/>
          <w:szCs w:val="24"/>
          <w:lang w:val="en-US"/>
        </w:rPr>
        <w:t>American Journal of Neuroradiology</w:t>
      </w:r>
      <w:r w:rsidRPr="00B62332">
        <w:rPr>
          <w:rFonts w:ascii="Times New Roman" w:eastAsia="Arial Unicode MS" w:hAnsi="Times New Roman" w:cs="Times New Roman"/>
          <w:sz w:val="24"/>
          <w:szCs w:val="24"/>
        </w:rPr>
        <w:t>.Vol 29.; 2008:983–7.</w:t>
      </w:r>
    </w:p>
    <w:p w14:paraId="75558D4B"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13. </w:t>
      </w:r>
      <w:r w:rsidRPr="00B62332">
        <w:rPr>
          <w:rFonts w:ascii="Times New Roman" w:eastAsia="Arial Unicode MS" w:hAnsi="Times New Roman" w:cs="Times New Roman"/>
          <w:sz w:val="24"/>
          <w:szCs w:val="24"/>
          <w:lang w:val="en-US"/>
        </w:rPr>
        <w:tab/>
        <w:t xml:space="preserve">Stone DK, Viswanathan VT, Wilson CA. Management of Blunt Cerebrovascular Injury. </w:t>
      </w:r>
      <w:proofErr w:type="spellStart"/>
      <w:r w:rsidRPr="00B62332">
        <w:rPr>
          <w:rFonts w:ascii="Times New Roman" w:eastAsia="Arial Unicode MS" w:hAnsi="Times New Roman" w:cs="Times New Roman"/>
          <w:i/>
          <w:iCs/>
          <w:sz w:val="24"/>
          <w:szCs w:val="24"/>
          <w:lang w:val="de-DE"/>
        </w:rPr>
        <w:t>Curr</w:t>
      </w:r>
      <w:proofErr w:type="spellEnd"/>
      <w:r w:rsidRPr="00B62332">
        <w:rPr>
          <w:rFonts w:ascii="Times New Roman" w:eastAsia="Arial Unicode MS" w:hAnsi="Times New Roman" w:cs="Times New Roman"/>
          <w:i/>
          <w:iCs/>
          <w:sz w:val="24"/>
          <w:szCs w:val="24"/>
          <w:lang w:val="de-DE"/>
        </w:rPr>
        <w:t xml:space="preserve"> </w:t>
      </w:r>
      <w:proofErr w:type="spellStart"/>
      <w:r w:rsidRPr="00B62332">
        <w:rPr>
          <w:rFonts w:ascii="Times New Roman" w:eastAsia="Arial Unicode MS" w:hAnsi="Times New Roman" w:cs="Times New Roman"/>
          <w:i/>
          <w:iCs/>
          <w:sz w:val="24"/>
          <w:szCs w:val="24"/>
          <w:lang w:val="de-DE"/>
        </w:rPr>
        <w:t>Neurol</w:t>
      </w:r>
      <w:proofErr w:type="spellEnd"/>
      <w:r w:rsidRPr="00B62332">
        <w:rPr>
          <w:rFonts w:ascii="Times New Roman" w:eastAsia="Arial Unicode MS" w:hAnsi="Times New Roman" w:cs="Times New Roman"/>
          <w:i/>
          <w:iCs/>
          <w:sz w:val="24"/>
          <w:szCs w:val="24"/>
          <w:lang w:val="de-DE"/>
        </w:rPr>
        <w:t xml:space="preserve"> </w:t>
      </w:r>
      <w:proofErr w:type="spellStart"/>
      <w:r w:rsidRPr="00B62332">
        <w:rPr>
          <w:rFonts w:ascii="Times New Roman" w:eastAsia="Arial Unicode MS" w:hAnsi="Times New Roman" w:cs="Times New Roman"/>
          <w:i/>
          <w:iCs/>
          <w:sz w:val="24"/>
          <w:szCs w:val="24"/>
          <w:lang w:val="de-DE"/>
        </w:rPr>
        <w:t>Neurosci</w:t>
      </w:r>
      <w:proofErr w:type="spellEnd"/>
      <w:r w:rsidRPr="00B62332">
        <w:rPr>
          <w:rFonts w:ascii="Times New Roman" w:eastAsia="Arial Unicode MS" w:hAnsi="Times New Roman" w:cs="Times New Roman"/>
          <w:i/>
          <w:iCs/>
          <w:sz w:val="24"/>
          <w:szCs w:val="24"/>
          <w:lang w:val="de-DE"/>
        </w:rPr>
        <w:t xml:space="preserve"> Rep</w:t>
      </w:r>
      <w:r w:rsidRPr="00B62332">
        <w:rPr>
          <w:rFonts w:ascii="Times New Roman" w:eastAsia="Arial Unicode MS" w:hAnsi="Times New Roman" w:cs="Times New Roman"/>
          <w:sz w:val="24"/>
          <w:szCs w:val="24"/>
        </w:rPr>
        <w:t xml:space="preserve"> 2018;18.</w:t>
      </w:r>
    </w:p>
    <w:p w14:paraId="6E1A6776"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de-DE"/>
        </w:rPr>
        <w:t xml:space="preserve">14. </w:t>
      </w:r>
      <w:r w:rsidRPr="00B62332">
        <w:rPr>
          <w:rFonts w:ascii="Times New Roman" w:eastAsia="Arial Unicode MS" w:hAnsi="Times New Roman" w:cs="Times New Roman"/>
          <w:sz w:val="24"/>
          <w:szCs w:val="24"/>
          <w:lang w:val="de-DE"/>
        </w:rPr>
        <w:tab/>
      </w:r>
      <w:proofErr w:type="spellStart"/>
      <w:r w:rsidRPr="00B62332">
        <w:rPr>
          <w:rFonts w:ascii="Times New Roman" w:eastAsia="Arial Unicode MS" w:hAnsi="Times New Roman" w:cs="Times New Roman"/>
          <w:sz w:val="24"/>
          <w:szCs w:val="24"/>
          <w:lang w:val="de-DE"/>
        </w:rPr>
        <w:t>Cothren</w:t>
      </w:r>
      <w:proofErr w:type="spellEnd"/>
      <w:r w:rsidRPr="00B62332">
        <w:rPr>
          <w:rFonts w:ascii="Times New Roman" w:eastAsia="Arial Unicode MS" w:hAnsi="Times New Roman" w:cs="Times New Roman"/>
          <w:sz w:val="24"/>
          <w:szCs w:val="24"/>
          <w:lang w:val="de-DE"/>
        </w:rPr>
        <w:t xml:space="preserve"> CC, </w:t>
      </w:r>
      <w:proofErr w:type="spellStart"/>
      <w:r w:rsidRPr="00B62332">
        <w:rPr>
          <w:rFonts w:ascii="Times New Roman" w:eastAsia="Arial Unicode MS" w:hAnsi="Times New Roman" w:cs="Times New Roman"/>
          <w:sz w:val="24"/>
          <w:szCs w:val="24"/>
          <w:lang w:val="de-DE"/>
        </w:rPr>
        <w:t>Biffl</w:t>
      </w:r>
      <w:proofErr w:type="spellEnd"/>
      <w:r w:rsidRPr="00B62332">
        <w:rPr>
          <w:rFonts w:ascii="Times New Roman" w:eastAsia="Arial Unicode MS" w:hAnsi="Times New Roman" w:cs="Times New Roman"/>
          <w:sz w:val="24"/>
          <w:szCs w:val="24"/>
          <w:lang w:val="de-DE"/>
        </w:rPr>
        <w:t xml:space="preserve"> WL, Moore EE, et al. </w:t>
      </w:r>
      <w:r w:rsidRPr="00B62332">
        <w:rPr>
          <w:rFonts w:ascii="Times New Roman" w:eastAsia="Arial Unicode MS" w:hAnsi="Times New Roman" w:cs="Times New Roman"/>
          <w:i/>
          <w:iCs/>
          <w:sz w:val="24"/>
          <w:szCs w:val="24"/>
          <w:lang w:val="en-US"/>
        </w:rPr>
        <w:t>Treatment for Blunt Cerebrovascular Injuries Equivalence of Anticoagulation and Antiplatelet Agents</w:t>
      </w:r>
      <w:r w:rsidRPr="00B62332">
        <w:rPr>
          <w:rFonts w:ascii="Times New Roman" w:eastAsia="Arial Unicode MS" w:hAnsi="Times New Roman" w:cs="Times New Roman"/>
          <w:sz w:val="24"/>
          <w:szCs w:val="24"/>
        </w:rPr>
        <w:t>.; 2009.</w:t>
      </w:r>
    </w:p>
    <w:p w14:paraId="06000565"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15. </w:t>
      </w:r>
      <w:r w:rsidRPr="00B62332">
        <w:rPr>
          <w:rFonts w:ascii="Times New Roman" w:eastAsia="Arial Unicode MS" w:hAnsi="Times New Roman" w:cs="Times New Roman"/>
          <w:sz w:val="24"/>
          <w:szCs w:val="24"/>
          <w:lang w:val="en-US"/>
        </w:rPr>
        <w:tab/>
      </w:r>
      <w:proofErr w:type="spellStart"/>
      <w:r w:rsidRPr="00B62332">
        <w:rPr>
          <w:rFonts w:ascii="Times New Roman" w:eastAsia="Arial Unicode MS" w:hAnsi="Times New Roman" w:cs="Times New Roman"/>
          <w:sz w:val="24"/>
          <w:szCs w:val="24"/>
          <w:lang w:val="en-US"/>
        </w:rPr>
        <w:t>Momic</w:t>
      </w:r>
      <w:proofErr w:type="spellEnd"/>
      <w:r w:rsidRPr="00B62332">
        <w:rPr>
          <w:rFonts w:ascii="Times New Roman" w:eastAsia="Arial Unicode MS" w:hAnsi="Times New Roman" w:cs="Times New Roman"/>
          <w:sz w:val="24"/>
          <w:szCs w:val="24"/>
          <w:lang w:val="en-US"/>
        </w:rPr>
        <w:t xml:space="preserve"> J, Yassin N, Kim MY, et al. Antiplatelets versus anticoagulants in the treatment of blunt cerebrovascular injury (BCVI) </w:t>
      </w:r>
      <w:r w:rsidRPr="00B62332">
        <w:rPr>
          <w:rFonts w:ascii="Times New Roman" w:eastAsia="Arial Unicode MS" w:hAnsi="Times New Roman" w:cs="Times New Roman"/>
          <w:sz w:val="24"/>
          <w:szCs w:val="24"/>
        </w:rPr>
        <w:t xml:space="preserve">– </w:t>
      </w:r>
      <w:r w:rsidRPr="00B62332">
        <w:rPr>
          <w:rFonts w:ascii="Times New Roman" w:eastAsia="Arial Unicode MS" w:hAnsi="Times New Roman" w:cs="Times New Roman"/>
          <w:sz w:val="24"/>
          <w:szCs w:val="24"/>
          <w:lang w:val="en-US"/>
        </w:rPr>
        <w:t xml:space="preserve">A systematic review and meta-analysis. </w:t>
      </w:r>
      <w:r w:rsidRPr="00B62332">
        <w:rPr>
          <w:rFonts w:ascii="Times New Roman" w:eastAsia="Arial Unicode MS" w:hAnsi="Times New Roman" w:cs="Times New Roman"/>
          <w:i/>
          <w:iCs/>
          <w:sz w:val="24"/>
          <w:szCs w:val="24"/>
          <w:lang w:val="en-US"/>
        </w:rPr>
        <w:t>Injury</w:t>
      </w:r>
      <w:r w:rsidRPr="00B62332">
        <w:rPr>
          <w:rFonts w:ascii="Times New Roman" w:eastAsia="Arial Unicode MS" w:hAnsi="Times New Roman" w:cs="Times New Roman"/>
          <w:sz w:val="24"/>
          <w:szCs w:val="24"/>
          <w:lang w:val="en-US"/>
        </w:rPr>
        <w:t xml:space="preserve"> </w:t>
      </w:r>
      <w:proofErr w:type="gramStart"/>
      <w:r w:rsidRPr="00B62332">
        <w:rPr>
          <w:rFonts w:ascii="Times New Roman" w:eastAsia="Arial Unicode MS" w:hAnsi="Times New Roman" w:cs="Times New Roman"/>
          <w:sz w:val="24"/>
          <w:szCs w:val="24"/>
          <w:lang w:val="en-US"/>
        </w:rPr>
        <w:t>2024;55:111485</w:t>
      </w:r>
      <w:proofErr w:type="gramEnd"/>
      <w:r w:rsidRPr="00B62332">
        <w:rPr>
          <w:rFonts w:ascii="Times New Roman" w:eastAsia="Arial Unicode MS" w:hAnsi="Times New Roman" w:cs="Times New Roman"/>
          <w:sz w:val="24"/>
          <w:szCs w:val="24"/>
          <w:lang w:val="en-US"/>
        </w:rPr>
        <w:t>.</w:t>
      </w:r>
    </w:p>
    <w:p w14:paraId="49DB99FB"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t xml:space="preserve">16. </w:t>
      </w:r>
      <w:r w:rsidRPr="00B62332">
        <w:rPr>
          <w:rFonts w:ascii="Times New Roman" w:eastAsia="Arial Unicode MS" w:hAnsi="Times New Roman" w:cs="Times New Roman"/>
          <w:sz w:val="24"/>
          <w:szCs w:val="24"/>
          <w:lang w:val="en-US"/>
        </w:rPr>
        <w:tab/>
      </w:r>
      <w:proofErr w:type="spellStart"/>
      <w:r w:rsidRPr="00B62332">
        <w:rPr>
          <w:rFonts w:ascii="Times New Roman" w:eastAsia="Arial Unicode MS" w:hAnsi="Times New Roman" w:cs="Times New Roman"/>
          <w:sz w:val="24"/>
          <w:szCs w:val="24"/>
          <w:lang w:val="en-US"/>
        </w:rPr>
        <w:t>DiCocco</w:t>
      </w:r>
      <w:proofErr w:type="spellEnd"/>
      <w:r w:rsidRPr="00B62332">
        <w:rPr>
          <w:rFonts w:ascii="Times New Roman" w:eastAsia="Arial Unicode MS" w:hAnsi="Times New Roman" w:cs="Times New Roman"/>
          <w:sz w:val="24"/>
          <w:szCs w:val="24"/>
          <w:lang w:val="en-US"/>
        </w:rPr>
        <w:t xml:space="preserve"> JM, Fabian TC, Emmett KP, et al. Optimal outcomes for patients with blunt cerebrovascular injury (BCVI): Tailoring treatment to the lesion. </w:t>
      </w:r>
      <w:r w:rsidRPr="00B62332">
        <w:rPr>
          <w:rFonts w:ascii="Times New Roman" w:eastAsia="Arial Unicode MS" w:hAnsi="Times New Roman" w:cs="Times New Roman"/>
          <w:i/>
          <w:iCs/>
          <w:sz w:val="24"/>
          <w:szCs w:val="24"/>
          <w:lang w:val="de-DE"/>
        </w:rPr>
        <w:t xml:space="preserve">J Am Coll </w:t>
      </w:r>
      <w:proofErr w:type="spellStart"/>
      <w:r w:rsidRPr="00B62332">
        <w:rPr>
          <w:rFonts w:ascii="Times New Roman" w:eastAsia="Arial Unicode MS" w:hAnsi="Times New Roman" w:cs="Times New Roman"/>
          <w:i/>
          <w:iCs/>
          <w:sz w:val="24"/>
          <w:szCs w:val="24"/>
          <w:lang w:val="de-DE"/>
        </w:rPr>
        <w:t>Surg</w:t>
      </w:r>
      <w:proofErr w:type="spellEnd"/>
      <w:r w:rsidRPr="00B62332">
        <w:rPr>
          <w:rFonts w:ascii="Times New Roman" w:eastAsia="Arial Unicode MS" w:hAnsi="Times New Roman" w:cs="Times New Roman"/>
          <w:sz w:val="24"/>
          <w:szCs w:val="24"/>
        </w:rPr>
        <w:t xml:space="preserve"> </w:t>
      </w:r>
      <w:proofErr w:type="gramStart"/>
      <w:r w:rsidRPr="00B62332">
        <w:rPr>
          <w:rFonts w:ascii="Times New Roman" w:eastAsia="Arial Unicode MS" w:hAnsi="Times New Roman" w:cs="Times New Roman"/>
          <w:sz w:val="24"/>
          <w:szCs w:val="24"/>
        </w:rPr>
        <w:t>2011;212:549</w:t>
      </w:r>
      <w:proofErr w:type="gramEnd"/>
      <w:r w:rsidRPr="00B62332">
        <w:rPr>
          <w:rFonts w:ascii="Times New Roman" w:eastAsia="Arial Unicode MS" w:hAnsi="Times New Roman" w:cs="Times New Roman"/>
          <w:sz w:val="24"/>
          <w:szCs w:val="24"/>
        </w:rPr>
        <w:t>–57.</w:t>
      </w:r>
    </w:p>
    <w:p w14:paraId="08AF050F" w14:textId="77777777" w:rsidR="007D00B0" w:rsidRPr="00B62332" w:rsidRDefault="00000000" w:rsidP="00B62332">
      <w:pPr>
        <w:pStyle w:val="Body"/>
        <w:spacing w:before="100" w:after="100" w:line="240" w:lineRule="auto"/>
        <w:rPr>
          <w:rFonts w:ascii="Times New Roman" w:hAnsi="Times New Roman" w:cs="Times New Roman"/>
          <w:sz w:val="24"/>
          <w:szCs w:val="24"/>
        </w:rPr>
      </w:pPr>
      <w:r w:rsidRPr="00B62332">
        <w:rPr>
          <w:rFonts w:ascii="Times New Roman" w:eastAsia="Arial Unicode MS" w:hAnsi="Times New Roman" w:cs="Times New Roman"/>
          <w:sz w:val="24"/>
          <w:szCs w:val="24"/>
          <w:lang w:val="en-US"/>
        </w:rPr>
        <w:lastRenderedPageBreak/>
        <w:t xml:space="preserve">17. </w:t>
      </w:r>
      <w:r w:rsidRPr="00B62332">
        <w:rPr>
          <w:rFonts w:ascii="Times New Roman" w:eastAsia="Arial Unicode MS" w:hAnsi="Times New Roman" w:cs="Times New Roman"/>
          <w:sz w:val="24"/>
          <w:szCs w:val="24"/>
          <w:lang w:val="en-US"/>
        </w:rPr>
        <w:tab/>
        <w:t>Snow H, O</w:t>
      </w:r>
      <w:r w:rsidRPr="00B62332">
        <w:rPr>
          <w:rFonts w:ascii="Times New Roman" w:eastAsia="Arial Unicode MS" w:hAnsi="Times New Roman" w:cs="Times New Roman"/>
          <w:sz w:val="24"/>
          <w:szCs w:val="24"/>
          <w:rtl/>
        </w:rPr>
        <w:t>’</w:t>
      </w:r>
      <w:proofErr w:type="spellStart"/>
      <w:r w:rsidRPr="00B62332">
        <w:rPr>
          <w:rFonts w:ascii="Times New Roman" w:eastAsia="Arial Unicode MS" w:hAnsi="Times New Roman" w:cs="Times New Roman"/>
          <w:sz w:val="24"/>
          <w:szCs w:val="24"/>
          <w:lang w:val="en-US"/>
        </w:rPr>
        <w:t>donohoe</w:t>
      </w:r>
      <w:proofErr w:type="spellEnd"/>
      <w:r w:rsidRPr="00B62332">
        <w:rPr>
          <w:rFonts w:ascii="Times New Roman" w:eastAsia="Arial Unicode MS" w:hAnsi="Times New Roman" w:cs="Times New Roman"/>
          <w:sz w:val="24"/>
          <w:szCs w:val="24"/>
          <w:lang w:val="en-US"/>
        </w:rPr>
        <w:t xml:space="preserve"> T, Martin K, et al. Antithrombotic therapy in blunt cerebrovascular injury—Do we need more information? </w:t>
      </w:r>
      <w:r w:rsidRPr="00B62332">
        <w:rPr>
          <w:rFonts w:ascii="Times New Roman" w:eastAsia="Arial Unicode MS" w:hAnsi="Times New Roman" w:cs="Times New Roman"/>
          <w:i/>
          <w:iCs/>
          <w:sz w:val="24"/>
          <w:szCs w:val="24"/>
          <w:lang w:val="de-DE"/>
        </w:rPr>
        <w:t>Trauma</w:t>
      </w:r>
      <w:r w:rsidRPr="00B62332">
        <w:rPr>
          <w:rFonts w:ascii="Times New Roman" w:eastAsia="Arial Unicode MS" w:hAnsi="Times New Roman" w:cs="Times New Roman"/>
          <w:sz w:val="24"/>
          <w:szCs w:val="24"/>
        </w:rPr>
        <w:t xml:space="preserve"> </w:t>
      </w:r>
      <w:proofErr w:type="gramStart"/>
      <w:r w:rsidRPr="00B62332">
        <w:rPr>
          <w:rFonts w:ascii="Times New Roman" w:eastAsia="Arial Unicode MS" w:hAnsi="Times New Roman" w:cs="Times New Roman"/>
          <w:sz w:val="24"/>
          <w:szCs w:val="24"/>
        </w:rPr>
        <w:t>2015;17:208</w:t>
      </w:r>
      <w:proofErr w:type="gramEnd"/>
      <w:r w:rsidRPr="00B62332">
        <w:rPr>
          <w:rFonts w:ascii="Times New Roman" w:eastAsia="Arial Unicode MS" w:hAnsi="Times New Roman" w:cs="Times New Roman"/>
          <w:sz w:val="24"/>
          <w:szCs w:val="24"/>
        </w:rPr>
        <w:t>–13. </w:t>
      </w:r>
    </w:p>
    <w:sectPr w:rsidR="007D00B0" w:rsidRPr="00B62332">
      <w:headerReference w:type="default" r:id="rId9"/>
      <w:footerReference w:type="default" r:id="rId10"/>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Kapadia, Dr. Anish" w:date="2024-11-15T14:54:00Z" w:initials="">
    <w:p w14:paraId="11120005" w14:textId="77777777" w:rsidR="007D00B0" w:rsidRDefault="007D00B0">
      <w:pPr>
        <w:pStyle w:val="Default"/>
      </w:pPr>
    </w:p>
    <w:p w14:paraId="11120006" w14:textId="77777777" w:rsidR="007D00B0" w:rsidRDefault="00000000">
      <w:pPr>
        <w:pStyle w:val="Default"/>
      </w:pPr>
      <w:r>
        <w:t>Add a sentence on interventional treatment.</w:t>
      </w:r>
    </w:p>
  </w:comment>
  <w:comment w:id="1" w:author="Q2Q\=" w:date="2025-01-18T19:16:00Z" w:initials="">
    <w:p w14:paraId="11120007" w14:textId="77777777" w:rsidR="007D00B0" w:rsidRDefault="007D00B0">
      <w:pPr>
        <w:pStyle w:val="Default"/>
      </w:pPr>
    </w:p>
    <w:p w14:paraId="11120008" w14:textId="77777777" w:rsidR="007D00B0" w:rsidRDefault="00000000">
      <w:pPr>
        <w:pStyle w:val="Default"/>
      </w:pPr>
      <w:r>
        <w:t>Do we need to write hypothesis for a retrograde study?</w:t>
      </w:r>
    </w:p>
  </w:comment>
  <w:comment w:id="2" w:author="Kapadia, Dr. Anish" w:date="2024-11-15T15:01:00Z" w:initials="">
    <w:p w14:paraId="11120009" w14:textId="77777777" w:rsidR="007D00B0" w:rsidRDefault="007D00B0">
      <w:pPr>
        <w:pStyle w:val="Default"/>
      </w:pPr>
    </w:p>
    <w:p w14:paraId="1112000A" w14:textId="77777777" w:rsidR="007D00B0" w:rsidRDefault="00000000">
      <w:pPr>
        <w:pStyle w:val="Default"/>
      </w:pPr>
      <w:r>
        <w:t>Can put search criteria here.</w:t>
      </w:r>
    </w:p>
  </w:comment>
  <w:comment w:id="3" w:author="Q2Q\=" w:date="2025-01-18T19:51:00Z" w:initials="">
    <w:p w14:paraId="11120019" w14:textId="77777777" w:rsidR="007D00B0" w:rsidRDefault="007D00B0">
      <w:pPr>
        <w:pStyle w:val="Default"/>
      </w:pPr>
    </w:p>
    <w:p w14:paraId="1112001A" w14:textId="77777777" w:rsidR="007D00B0" w:rsidRDefault="00000000">
      <w:pPr>
        <w:pStyle w:val="Default"/>
      </w:pPr>
      <w:r>
        <w:t>We must add the DSA stenting pictures of 2  patients who underwent stenting as Illustrative cases</w:t>
      </w:r>
    </w:p>
  </w:comment>
  <w:comment w:id="4" w:author="Q2Q\=" w:date="2025-01-18T19:53:00Z" w:initials="">
    <w:p w14:paraId="1112001B" w14:textId="77777777" w:rsidR="007D00B0" w:rsidRDefault="007D00B0">
      <w:pPr>
        <w:pStyle w:val="Default"/>
      </w:pPr>
    </w:p>
    <w:p w14:paraId="1112001C" w14:textId="77777777" w:rsidR="007D00B0" w:rsidRDefault="00000000">
      <w:pPr>
        <w:pStyle w:val="Default"/>
      </w:pPr>
      <w:r>
        <w:t xml:space="preserve">Role of CTP in these patiuents with gradual ICA stenosis as it confirms hemodynamic compromise /penumbra on RAPID. I have a case outside of the study period with clear penumbra associated with ICA true lumen compromise. Can we add that as an example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1120006" w15:done="0"/>
  <w15:commentEx w15:paraId="11120008" w15:done="0"/>
  <w15:commentEx w15:paraId="1112000A" w15:done="0"/>
  <w15:commentEx w15:paraId="1112001A" w15:done="0"/>
  <w15:commentEx w15:paraId="111200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1120006" w16cid:durableId="320F1B3E"/>
  <w16cid:commentId w16cid:paraId="11120008" w16cid:durableId="43F852DA"/>
  <w16cid:commentId w16cid:paraId="1112000A" w16cid:durableId="46F9845E"/>
  <w16cid:commentId w16cid:paraId="1112001A" w16cid:durableId="0B34AAD0"/>
  <w16cid:commentId w16cid:paraId="1112001C" w16cid:durableId="023BBE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3CBD4" w14:textId="77777777" w:rsidR="00686A56" w:rsidRDefault="00686A56">
      <w:r>
        <w:separator/>
      </w:r>
    </w:p>
  </w:endnote>
  <w:endnote w:type="continuationSeparator" w:id="0">
    <w:p w14:paraId="0F4025C4" w14:textId="77777777" w:rsidR="00686A56" w:rsidRDefault="00686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1E68E" w14:textId="77777777" w:rsidR="007D00B0" w:rsidRDefault="007D00B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6FA94" w14:textId="77777777" w:rsidR="00686A56" w:rsidRDefault="00686A56">
      <w:r>
        <w:separator/>
      </w:r>
    </w:p>
  </w:footnote>
  <w:footnote w:type="continuationSeparator" w:id="0">
    <w:p w14:paraId="1B920A6C" w14:textId="77777777" w:rsidR="00686A56" w:rsidRDefault="00686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667BD" w14:textId="77777777" w:rsidR="007D00B0" w:rsidRDefault="007D00B0">
    <w:pPr>
      <w:pStyle w:val="HeaderFoot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apadia, Dr. Anish">
    <w15:presenceInfo w15:providerId="None" w15:userId="Kapadia, Dr. Anis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0B0"/>
    <w:rsid w:val="002C29D2"/>
    <w:rsid w:val="002D0E17"/>
    <w:rsid w:val="00581380"/>
    <w:rsid w:val="00686A56"/>
    <w:rsid w:val="007D00B0"/>
    <w:rsid w:val="007F1CF3"/>
    <w:rsid w:val="00B62332"/>
    <w:rsid w:val="00BC117E"/>
    <w:rsid w:val="00BD40A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4BC086D3"/>
  <w15:docId w15:val="{ADE52B3F-DCDD-7E4D-85AB-F09485E6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D0E1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glossaryDocument" Target="glossary/document.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1E8A9A2F31DC24DA2F5821577308A40"/>
        <w:category>
          <w:name w:val="General"/>
          <w:gallery w:val="placeholder"/>
        </w:category>
        <w:types>
          <w:type w:val="bbPlcHdr"/>
        </w:types>
        <w:behaviors>
          <w:behavior w:val="content"/>
        </w:behaviors>
        <w:guid w:val="{D9FA0140-8100-E447-8B37-0D54AB8F7B39}"/>
      </w:docPartPr>
      <w:docPartBody>
        <w:p w:rsidR="003E2893" w:rsidRDefault="001823A0" w:rsidP="001823A0">
          <w:pPr>
            <w:pStyle w:val="71E8A9A2F31DC24DA2F5821577308A40"/>
          </w:pPr>
          <w:r w:rsidRPr="00E557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3A0"/>
    <w:rsid w:val="001823A0"/>
    <w:rsid w:val="003E2893"/>
    <w:rsid w:val="0055168C"/>
    <w:rsid w:val="00BD40AD"/>
    <w:rsid w:val="00C47D5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23A0"/>
    <w:rPr>
      <w:color w:val="666666"/>
    </w:rPr>
  </w:style>
  <w:style w:type="paragraph" w:customStyle="1" w:styleId="71E8A9A2F31DC24DA2F5821577308A40">
    <w:name w:val="71E8A9A2F31DC24DA2F5821577308A40"/>
    <w:rsid w:val="001823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2548</Words>
  <Characters>14528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Rayyan Kinsara</cp:lastModifiedBy>
  <cp:revision>5</cp:revision>
  <dcterms:created xsi:type="dcterms:W3CDTF">2025-01-19T01:32:00Z</dcterms:created>
  <dcterms:modified xsi:type="dcterms:W3CDTF">2025-01-20T00:57:00Z</dcterms:modified>
</cp:coreProperties>
</file>