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FBEB9A">
      <w:pPr>
        <w:pStyle w:val="6"/>
        <w:spacing w:line="20" w:lineRule="exact"/>
        <w:ind w:left="242"/>
        <w:rPr>
          <w:sz w:val="2"/>
        </w:rPr>
      </w:pPr>
      <w:r>
        <w:rPr>
          <w:sz w:val="2"/>
        </w:rPr>
        <mc:AlternateContent>
          <mc:Choice Requires="wpg">
            <w:drawing>
              <wp:inline distT="0" distB="0" distL="0" distR="0">
                <wp:extent cx="6101080" cy="9525"/>
                <wp:effectExtent l="9525" t="0" r="0" b="0"/>
                <wp:docPr id="3" name="Group 3"/>
                <wp:cNvGraphicFramePr/>
                <a:graphic xmlns:a="http://schemas.openxmlformats.org/drawingml/2006/main">
                  <a:graphicData uri="http://schemas.microsoft.com/office/word/2010/wordprocessingGroup">
                    <wpg:wgp>
                      <wpg:cNvGrpSpPr/>
                      <wpg:grpSpPr>
                        <a:xfrm>
                          <a:off x="0" y="0"/>
                          <a:ext cx="6101080" cy="9525"/>
                          <a:chOff x="0" y="0"/>
                          <a:chExt cx="6101080" cy="9525"/>
                        </a:xfrm>
                      </wpg:grpSpPr>
                      <wps:wsp>
                        <wps:cNvPr id="4" name="Graphic 4"/>
                        <wps:cNvSpPr/>
                        <wps:spPr>
                          <a:xfrm>
                            <a:off x="0" y="4572"/>
                            <a:ext cx="6101080" cy="1270"/>
                          </a:xfrm>
                          <a:custGeom>
                            <a:avLst/>
                            <a:gdLst/>
                            <a:ahLst/>
                            <a:cxnLst/>
                            <a:rect l="l" t="t" r="r" b="b"/>
                            <a:pathLst>
                              <a:path w="6101080">
                                <a:moveTo>
                                  <a:pt x="0" y="0"/>
                                </a:moveTo>
                                <a:lnTo>
                                  <a:pt x="6100572" y="0"/>
                                </a:lnTo>
                              </a:path>
                            </a:pathLst>
                          </a:custGeom>
                          <a:ln w="9144">
                            <a:solidFill>
                              <a:srgbClr val="000000"/>
                            </a:solidFill>
                            <a:prstDash val="solid"/>
                          </a:ln>
                        </wps:spPr>
                        <wps:bodyPr wrap="square" lIns="0" tIns="0" rIns="0" bIns="0" rtlCol="0">
                          <a:noAutofit/>
                        </wps:bodyPr>
                      </wps:wsp>
                    </wpg:wgp>
                  </a:graphicData>
                </a:graphic>
              </wp:inline>
            </w:drawing>
          </mc:Choice>
          <mc:Fallback>
            <w:pict>
              <v:group id="_x0000_s1026" o:spid="_x0000_s1026" o:spt="203" style="height:0.75pt;width:480.4pt;" coordsize="6101080,9525" o:gfxdata="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7lhAg0wAAAAMBAAAPAAAAAAAAAAEAIAAAACIAAABkcnMvZG93bnJldi54bWxQSwECFAAUAAAA&#10;CACHTuJAjdZizWUCAACnBQAADgAAAAAAAAABACAAAAAiAQAAZHJzL2Uyb0RvYy54bWxQSwUGAAAA&#10;AAYABgBZAQAA+QUAAAAA&#10;">
                <o:lock v:ext="edit" aspectratio="f"/>
                <v:shape id="Graphic 4" o:spid="_x0000_s1026" o:spt="100" style="position:absolute;left:0;top:4572;height:1270;width:6101080;" filled="f" stroked="t" coordsize="6101080,1" o:gfxdata="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FqlNbsAAADa&#10;AAAADwAAAAAAAAABACAAAAAiAAAAZHJzL2Rvd25yZXYueG1sUEsBAhQAFAAAAAgAh07iQDMvBZ47&#10;AAAAOQAAABAAAAAAAAAAAQAgAAAACgEAAGRycy9zaGFwZXhtbC54bWxQSwUGAAAAAAYABgBbAQAA&#10;tAMAAAAA&#10;" path="m0,0l6100572,0e">
                  <v:fill on="f" focussize="0,0"/>
                  <v:stroke weight="0.72pt" color="#000000" joinstyle="round"/>
                  <v:imagedata o:title=""/>
                  <o:lock v:ext="edit" aspectratio="f"/>
                  <v:textbox inset="0mm,0mm,0mm,0mm"/>
                </v:shape>
                <w10:wrap type="none"/>
                <w10:anchorlock/>
              </v:group>
            </w:pict>
          </mc:Fallback>
        </mc:AlternateContent>
      </w:r>
    </w:p>
    <w:p w14:paraId="1395220D">
      <w:pPr>
        <w:pStyle w:val="8"/>
        <w:rPr>
          <w:rFonts w:hint="default" w:ascii="Times New Roman" w:hAnsi="Times New Roman" w:cs="Times New Roman"/>
          <w:sz w:val="28"/>
          <w:szCs w:val="28"/>
        </w:rPr>
      </w:pPr>
      <w:r>
        <w:rPr>
          <w:rFonts w:hint="default" w:ascii="Times New Roman" w:hAnsi="Times New Roman" w:cs="Times New Roman"/>
          <w:color w:val="364150"/>
          <w:sz w:val="28"/>
          <w:szCs w:val="28"/>
        </w:rPr>
        <w:t>Unveiling Novel Antipsychotic Mechanisms: Zonisamide Modulation</w:t>
      </w:r>
      <w:r>
        <w:rPr>
          <w:rFonts w:hint="default" w:ascii="Times New Roman" w:hAnsi="Times New Roman" w:cs="Times New Roman"/>
          <w:color w:val="364150"/>
          <w:spacing w:val="-11"/>
          <w:sz w:val="28"/>
          <w:szCs w:val="28"/>
        </w:rPr>
        <w:t xml:space="preserve"> </w:t>
      </w:r>
      <w:r>
        <w:rPr>
          <w:rFonts w:hint="default" w:ascii="Times New Roman" w:hAnsi="Times New Roman" w:cs="Times New Roman"/>
          <w:color w:val="364150"/>
          <w:sz w:val="28"/>
          <w:szCs w:val="28"/>
        </w:rPr>
        <w:t>of</w:t>
      </w:r>
      <w:r>
        <w:rPr>
          <w:rFonts w:hint="default" w:ascii="Times New Roman" w:hAnsi="Times New Roman" w:cs="Times New Roman"/>
          <w:color w:val="364150"/>
          <w:spacing w:val="-12"/>
          <w:sz w:val="28"/>
          <w:szCs w:val="28"/>
        </w:rPr>
        <w:t xml:space="preserve"> </w:t>
      </w:r>
      <w:r>
        <w:rPr>
          <w:rFonts w:hint="default" w:ascii="Times New Roman" w:hAnsi="Times New Roman" w:cs="Times New Roman"/>
          <w:color w:val="364150"/>
          <w:sz w:val="28"/>
          <w:szCs w:val="28"/>
        </w:rPr>
        <w:t>GABAergic</w:t>
      </w:r>
      <w:r>
        <w:rPr>
          <w:rFonts w:hint="default" w:ascii="Times New Roman" w:hAnsi="Times New Roman" w:cs="Times New Roman"/>
          <w:color w:val="364150"/>
          <w:spacing w:val="-10"/>
          <w:sz w:val="28"/>
          <w:szCs w:val="28"/>
        </w:rPr>
        <w:t xml:space="preserve"> </w:t>
      </w:r>
      <w:r>
        <w:rPr>
          <w:rFonts w:hint="default" w:ascii="Times New Roman" w:hAnsi="Times New Roman" w:cs="Times New Roman"/>
          <w:color w:val="364150"/>
          <w:sz w:val="28"/>
          <w:szCs w:val="28"/>
        </w:rPr>
        <w:t>and</w:t>
      </w:r>
      <w:r>
        <w:rPr>
          <w:rFonts w:hint="default" w:ascii="Times New Roman" w:hAnsi="Times New Roman" w:cs="Times New Roman"/>
          <w:color w:val="364150"/>
          <w:spacing w:val="-7"/>
          <w:sz w:val="28"/>
          <w:szCs w:val="28"/>
        </w:rPr>
        <w:t xml:space="preserve"> </w:t>
      </w:r>
      <w:r>
        <w:rPr>
          <w:rFonts w:hint="default" w:ascii="Times New Roman" w:hAnsi="Times New Roman" w:cs="Times New Roman"/>
          <w:color w:val="364150"/>
          <w:sz w:val="28"/>
          <w:szCs w:val="28"/>
        </w:rPr>
        <w:t>Glutamatergic</w:t>
      </w:r>
      <w:r>
        <w:rPr>
          <w:rFonts w:hint="default" w:ascii="Times New Roman" w:hAnsi="Times New Roman" w:cs="Times New Roman"/>
          <w:color w:val="364150"/>
          <w:spacing w:val="-10"/>
          <w:sz w:val="28"/>
          <w:szCs w:val="28"/>
        </w:rPr>
        <w:t xml:space="preserve"> </w:t>
      </w:r>
      <w:r>
        <w:rPr>
          <w:rFonts w:hint="default" w:ascii="Times New Roman" w:hAnsi="Times New Roman" w:cs="Times New Roman"/>
          <w:color w:val="364150"/>
          <w:sz w:val="28"/>
          <w:szCs w:val="28"/>
        </w:rPr>
        <w:t>Neurotransmission Attenuates Haloperidol-Induced Catalepsy in a Rat Model</w:t>
      </w:r>
    </w:p>
    <w:p w14:paraId="40AC4C17">
      <w:pPr>
        <w:pStyle w:val="8"/>
        <w:spacing w:after="0"/>
        <w:rPr>
          <w:rFonts w:hint="default" w:ascii="Times New Roman" w:hAnsi="Times New Roman" w:cs="Times New Roman"/>
          <w:sz w:val="24"/>
          <w:szCs w:val="24"/>
        </w:rPr>
        <w:sectPr>
          <w:footerReference r:id="rId5" w:type="default"/>
          <w:type w:val="continuous"/>
          <w:pgSz w:w="12240" w:h="15840"/>
          <w:pgMar w:top="640" w:right="1080" w:bottom="1200" w:left="1080" w:header="0" w:footer="1006" w:gutter="0"/>
          <w:pgNumType w:start="1"/>
          <w:cols w:space="720" w:num="1"/>
        </w:sectPr>
      </w:pPr>
    </w:p>
    <w:p w14:paraId="55295A1D">
      <w:pPr>
        <w:pStyle w:val="6"/>
        <w:spacing w:before="9"/>
        <w:rPr>
          <w:rFonts w:hint="default" w:ascii="Times New Roman" w:hAnsi="Times New Roman" w:cs="Times New Roman"/>
          <w:sz w:val="24"/>
          <w:szCs w:val="24"/>
        </w:rPr>
      </w:pPr>
    </w:p>
    <w:p w14:paraId="008E28E8">
      <w:pPr>
        <w:pStyle w:val="6"/>
        <w:spacing w:before="9"/>
        <w:jc w:val="center"/>
        <w:rPr>
          <w:rFonts w:hint="default" w:ascii="Times New Roman" w:hAnsi="Times New Roman" w:cs="Times New Roman"/>
          <w:sz w:val="24"/>
          <w:szCs w:val="24"/>
          <w:lang w:val="en-US"/>
        </w:rPr>
      </w:pPr>
      <w:r>
        <w:rPr>
          <w:rFonts w:hint="default" w:ascii="Times New Roman" w:hAnsi="Times New Roman" w:cs="Times New Roman"/>
          <w:sz w:val="24"/>
          <w:szCs w:val="24"/>
          <w:vertAlign w:val="superscript"/>
          <w:lang w:val="en-US"/>
        </w:rPr>
        <w:t>1</w:t>
      </w:r>
      <w:r>
        <w:rPr>
          <w:rFonts w:hint="default" w:ascii="Times New Roman" w:hAnsi="Times New Roman" w:cs="Times New Roman"/>
          <w:sz w:val="24"/>
          <w:szCs w:val="24"/>
          <w:lang w:val="en-US"/>
        </w:rPr>
        <w:t xml:space="preserve">Vandana Gupta, </w:t>
      </w:r>
      <w:r>
        <w:rPr>
          <w:rFonts w:hint="default" w:ascii="Times New Roman" w:hAnsi="Times New Roman" w:cs="Times New Roman"/>
          <w:sz w:val="24"/>
          <w:szCs w:val="24"/>
          <w:vertAlign w:val="superscript"/>
          <w:lang w:val="en-US"/>
        </w:rPr>
        <w:t>2*</w:t>
      </w:r>
      <w:r>
        <w:rPr>
          <w:rFonts w:hint="default" w:ascii="Times New Roman" w:hAnsi="Times New Roman" w:cs="Times New Roman"/>
          <w:sz w:val="24"/>
          <w:szCs w:val="24"/>
          <w:lang w:val="en-US"/>
        </w:rPr>
        <w:t>Lokesh Verma</w:t>
      </w:r>
    </w:p>
    <w:p w14:paraId="5F052796">
      <w:pPr>
        <w:pStyle w:val="6"/>
        <w:spacing w:before="9"/>
        <w:jc w:val="center"/>
        <w:rPr>
          <w:rFonts w:hint="default" w:ascii="Times New Roman" w:hAnsi="Times New Roman" w:cs="Times New Roman"/>
          <w:sz w:val="24"/>
          <w:szCs w:val="24"/>
          <w:lang w:val="en-US"/>
        </w:rPr>
      </w:pPr>
      <w:r>
        <w:rPr>
          <w:rFonts w:hint="default" w:ascii="Times New Roman" w:hAnsi="Times New Roman" w:cs="Times New Roman"/>
          <w:sz w:val="24"/>
          <w:szCs w:val="24"/>
          <w:lang w:val="en-US"/>
        </w:rPr>
        <w:t>Sanjeev Agrawal Global Educational University,Bhopal(M.P.)</w:t>
      </w:r>
    </w:p>
    <w:p w14:paraId="2F52E50B">
      <w:pPr>
        <w:pStyle w:val="6"/>
        <w:spacing w:before="9"/>
        <w:jc w:val="center"/>
        <w:rPr>
          <w:rFonts w:hint="default" w:ascii="Times New Roman" w:hAnsi="Times New Roman" w:cs="Times New Roman"/>
          <w:i/>
          <w:iCs/>
          <w:sz w:val="24"/>
          <w:szCs w:val="24"/>
          <w:lang w:val="en-US"/>
        </w:rPr>
      </w:pPr>
      <w:r>
        <w:rPr>
          <w:rFonts w:hint="default" w:ascii="Times New Roman" w:hAnsi="Times New Roman" w:cs="Times New Roman"/>
          <w:sz w:val="24"/>
          <w:szCs w:val="24"/>
          <w:lang w:val="en-US"/>
        </w:rPr>
        <w:t xml:space="preserve">Email id- </w:t>
      </w:r>
      <w:r>
        <w:rPr>
          <w:rFonts w:hint="default" w:ascii="Times New Roman" w:hAnsi="Times New Roman" w:cs="Times New Roman"/>
          <w:i/>
          <w:iCs/>
          <w:sz w:val="24"/>
          <w:szCs w:val="24"/>
          <w:lang w:val="en-US"/>
        </w:rPr>
        <w:fldChar w:fldCharType="begin"/>
      </w:r>
      <w:r>
        <w:rPr>
          <w:rFonts w:hint="default" w:ascii="Times New Roman" w:hAnsi="Times New Roman" w:cs="Times New Roman"/>
          <w:i/>
          <w:iCs/>
          <w:sz w:val="24"/>
          <w:szCs w:val="24"/>
          <w:lang w:val="en-US"/>
        </w:rPr>
        <w:instrText xml:space="preserve"> HYPERLINK "mailto:vg13021993@gmail.com," </w:instrText>
      </w:r>
      <w:r>
        <w:rPr>
          <w:rFonts w:hint="default" w:ascii="Times New Roman" w:hAnsi="Times New Roman" w:cs="Times New Roman"/>
          <w:i/>
          <w:iCs/>
          <w:sz w:val="24"/>
          <w:szCs w:val="24"/>
          <w:lang w:val="en-US"/>
        </w:rPr>
        <w:fldChar w:fldCharType="separate"/>
      </w:r>
      <w:r>
        <w:rPr>
          <w:rStyle w:val="7"/>
          <w:rFonts w:hint="default" w:ascii="Times New Roman" w:hAnsi="Times New Roman" w:cs="Times New Roman"/>
          <w:i/>
          <w:iCs/>
          <w:sz w:val="24"/>
          <w:szCs w:val="24"/>
          <w:lang w:val="en-US"/>
        </w:rPr>
        <w:t>vg13021993@gmail.com,</w:t>
      </w:r>
      <w:r>
        <w:rPr>
          <w:rFonts w:hint="default" w:ascii="Times New Roman" w:hAnsi="Times New Roman" w:cs="Times New Roman"/>
          <w:i/>
          <w:iCs/>
          <w:sz w:val="24"/>
          <w:szCs w:val="24"/>
          <w:lang w:val="en-US"/>
        </w:rPr>
        <w:fldChar w:fldCharType="end"/>
      </w:r>
      <w:r>
        <w:rPr>
          <w:rFonts w:hint="default" w:ascii="Times New Roman" w:hAnsi="Times New Roman" w:cs="Times New Roman"/>
          <w:i/>
          <w:iCs/>
          <w:sz w:val="24"/>
          <w:szCs w:val="24"/>
          <w:lang w:val="en-US"/>
        </w:rPr>
        <w:t xml:space="preserve"> </w:t>
      </w:r>
      <w:r>
        <w:rPr>
          <w:rFonts w:hint="default" w:ascii="Times New Roman" w:hAnsi="Times New Roman" w:cs="Times New Roman"/>
          <w:i/>
          <w:iCs/>
          <w:sz w:val="24"/>
          <w:szCs w:val="24"/>
          <w:lang w:val="en-US"/>
        </w:rPr>
        <w:fldChar w:fldCharType="begin"/>
      </w:r>
      <w:r>
        <w:rPr>
          <w:rFonts w:hint="default" w:ascii="Times New Roman" w:hAnsi="Times New Roman" w:cs="Times New Roman"/>
          <w:i/>
          <w:iCs/>
          <w:sz w:val="24"/>
          <w:szCs w:val="24"/>
          <w:lang w:val="en-US"/>
        </w:rPr>
        <w:instrText xml:space="preserve"> HYPERLINK "mailto:lokeshvns.verma@gmail.com" </w:instrText>
      </w:r>
      <w:r>
        <w:rPr>
          <w:rFonts w:hint="default" w:ascii="Times New Roman" w:hAnsi="Times New Roman" w:cs="Times New Roman"/>
          <w:i/>
          <w:iCs/>
          <w:sz w:val="24"/>
          <w:szCs w:val="24"/>
          <w:lang w:val="en-US"/>
        </w:rPr>
        <w:fldChar w:fldCharType="separate"/>
      </w:r>
      <w:r>
        <w:rPr>
          <w:rStyle w:val="7"/>
          <w:rFonts w:hint="default" w:ascii="Times New Roman" w:hAnsi="Times New Roman" w:cs="Times New Roman"/>
          <w:i/>
          <w:iCs/>
          <w:sz w:val="24"/>
          <w:szCs w:val="24"/>
          <w:lang w:val="en-US"/>
        </w:rPr>
        <w:t>lokeshvns.verma@gmail.com</w:t>
      </w:r>
      <w:r>
        <w:rPr>
          <w:rFonts w:hint="default" w:ascii="Times New Roman" w:hAnsi="Times New Roman" w:cs="Times New Roman"/>
          <w:i/>
          <w:iCs/>
          <w:sz w:val="24"/>
          <w:szCs w:val="24"/>
          <w:lang w:val="en-US"/>
        </w:rPr>
        <w:fldChar w:fldCharType="end"/>
      </w:r>
      <w:r>
        <w:rPr>
          <w:rFonts w:hint="default" w:ascii="Times New Roman" w:hAnsi="Times New Roman" w:cs="Times New Roman"/>
          <w:i/>
          <w:iCs/>
          <w:sz w:val="24"/>
          <w:szCs w:val="24"/>
          <w:lang w:val="en-US"/>
        </w:rPr>
        <w:t xml:space="preserve"> </w:t>
      </w:r>
    </w:p>
    <w:p w14:paraId="2FF0C8A4">
      <w:pPr>
        <w:spacing w:before="160"/>
        <w:ind w:right="362"/>
        <w:jc w:val="both"/>
        <w:rPr>
          <w:i w:val="0"/>
          <w:iCs/>
          <w:sz w:val="20"/>
        </w:rPr>
      </w:pPr>
      <w:r>
        <w:rPr>
          <w:rFonts w:ascii="Calibri"/>
          <w:b/>
          <w:bCs/>
          <w:i/>
          <w:iCs/>
          <w:sz w:val="16"/>
        </w:rPr>
        <mc:AlternateContent>
          <mc:Choice Requires="wps">
            <w:drawing>
              <wp:anchor distT="0" distB="0" distL="0" distR="0" simplePos="0" relativeHeight="251662336" behindDoc="1" locked="0" layoutInCell="1" allowOverlap="1">
                <wp:simplePos x="0" y="0"/>
                <wp:positionH relativeFrom="page">
                  <wp:posOffset>887095</wp:posOffset>
                </wp:positionH>
                <wp:positionV relativeFrom="paragraph">
                  <wp:posOffset>112395</wp:posOffset>
                </wp:positionV>
                <wp:extent cx="6101080" cy="1270"/>
                <wp:effectExtent l="0" t="0" r="0" b="0"/>
                <wp:wrapTopAndBottom/>
                <wp:docPr id="5" name="Graphic 5"/>
                <wp:cNvGraphicFramePr/>
                <a:graphic xmlns:a="http://schemas.openxmlformats.org/drawingml/2006/main">
                  <a:graphicData uri="http://schemas.microsoft.com/office/word/2010/wordprocessingShape">
                    <wps:wsp>
                      <wps:cNvSpPr/>
                      <wps:spPr>
                        <a:xfrm>
                          <a:off x="0" y="0"/>
                          <a:ext cx="6101080" cy="1270"/>
                        </a:xfrm>
                        <a:custGeom>
                          <a:avLst/>
                          <a:gdLst/>
                          <a:ahLst/>
                          <a:cxnLst/>
                          <a:rect l="l" t="t" r="r" b="b"/>
                          <a:pathLst>
                            <a:path w="6101080">
                              <a:moveTo>
                                <a:pt x="0" y="0"/>
                              </a:moveTo>
                              <a:lnTo>
                                <a:pt x="6100572" y="0"/>
                              </a:lnTo>
                            </a:path>
                          </a:pathLst>
                        </a:custGeom>
                        <a:ln w="9144">
                          <a:solidFill>
                            <a:srgbClr val="000000"/>
                          </a:solidFill>
                          <a:prstDash val="solid"/>
                        </a:ln>
                      </wps:spPr>
                      <wps:bodyPr wrap="square" lIns="0" tIns="0" rIns="0" bIns="0" rtlCol="0">
                        <a:noAutofit/>
                      </wps:bodyPr>
                    </wps:wsp>
                  </a:graphicData>
                </a:graphic>
              </wp:anchor>
            </w:drawing>
          </mc:Choice>
          <mc:Fallback>
            <w:pict>
              <v:shape id="Graphic 5" o:spid="_x0000_s1026" o:spt="100" style="position:absolute;left:0pt;margin-left:69.85pt;margin-top:8.85pt;height:0.1pt;width:480.4pt;mso-position-horizontal-relative:page;mso-wrap-distance-bottom:0pt;mso-wrap-distance-top:0pt;z-index:-251654144;mso-width-relative:page;mso-height-relative:page;" filled="f" stroked="t" coordsize="6101080,1" o:gfxdata="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JHxitcAAAAKAQAADwAAAAAA&#10;AAABACAAAAAiAAAAZHJzL2Rvd25yZXYueG1sUEsBAhQAFAAAAAgAh07iQJfOL6cUAgAAegQAAA4A&#10;AAAAAAAAAQAgAAAAJgEAAGRycy9lMm9Eb2MueG1sUEsFBgAAAAAGAAYAWQEAAKwFAAAAAA==&#10;" path="m0,0l6100572,0e">
                <v:fill on="f" focussize="0,0"/>
                <v:stroke weight="0.72pt" color="#000000" joinstyle="round"/>
                <v:imagedata o:title=""/>
                <o:lock v:ext="edit" aspectratio="f"/>
                <v:textbox inset="0mm,0mm,0mm,0mm"/>
                <w10:wrap type="topAndBottom"/>
              </v:shape>
            </w:pict>
          </mc:Fallback>
        </mc:AlternateContent>
      </w:r>
      <w:r>
        <w:rPr>
          <w:rFonts w:ascii="Arial MT"/>
          <w:b/>
          <w:bCs/>
          <w:i/>
          <w:iCs/>
          <w:color w:val="1F1F1F"/>
          <w:sz w:val="20"/>
        </w:rPr>
        <w:t>Abstract</w:t>
      </w:r>
      <w:r>
        <w:rPr>
          <w:rFonts w:hint="default" w:ascii="Arial MT"/>
          <w:b/>
          <w:bCs/>
          <w:i/>
          <w:iCs/>
          <w:color w:val="1F1F1F"/>
          <w:sz w:val="20"/>
          <w:lang w:val="en-US"/>
        </w:rPr>
        <w:t>:</w:t>
      </w:r>
      <w:r>
        <w:rPr>
          <w:rFonts w:hint="default" w:ascii="Arial MT"/>
          <w:color w:val="1F1F1F"/>
          <w:sz w:val="20"/>
          <w:lang w:val="en-US"/>
        </w:rPr>
        <w:t xml:space="preserve"> </w:t>
      </w:r>
      <w:r>
        <w:rPr>
          <w:rFonts w:ascii="Arial MT"/>
          <w:color w:val="1F1F1F"/>
          <w:sz w:val="20"/>
        </w:rPr>
        <w:t xml:space="preserve"> </w:t>
      </w:r>
      <w:r>
        <w:rPr>
          <w:i w:val="0"/>
          <w:iCs/>
          <w:color w:val="1F1F1F"/>
          <w:sz w:val="20"/>
        </w:rPr>
        <w:t>The enigmatic state of catalepsy, characterized by muscle rigidity and waxy flexibility, serves as a crucial tool for dissecting the neurochemical tapestry of psychotic disorders. While the prevailing dopamine hypothesis</w:t>
      </w:r>
      <w:r>
        <w:rPr>
          <w:i w:val="0"/>
          <w:iCs/>
          <w:color w:val="1F1F1F"/>
          <w:spacing w:val="40"/>
          <w:sz w:val="20"/>
        </w:rPr>
        <w:t xml:space="preserve"> </w:t>
      </w:r>
      <w:r>
        <w:rPr>
          <w:i w:val="0"/>
          <w:iCs/>
          <w:color w:val="1F1F1F"/>
          <w:sz w:val="20"/>
        </w:rPr>
        <w:t>links striate hyperactivity to psychosis, existing antipsychotics like haloperidol, potent D2 receptor antagonists,</w:t>
      </w:r>
      <w:r>
        <w:rPr>
          <w:i w:val="0"/>
          <w:iCs/>
          <w:color w:val="1F1F1F"/>
          <w:spacing w:val="40"/>
          <w:sz w:val="20"/>
        </w:rPr>
        <w:t xml:space="preserve"> </w:t>
      </w:r>
      <w:r>
        <w:rPr>
          <w:i w:val="0"/>
          <w:iCs/>
          <w:color w:val="1F1F1F"/>
          <w:sz w:val="20"/>
        </w:rPr>
        <w:t>often come at the cost of debilitating motor side effects, including catalepsy itself. This critical gap necessitates the exploration of</w:t>
      </w:r>
      <w:r>
        <w:rPr>
          <w:i w:val="0"/>
          <w:iCs/>
          <w:color w:val="1F1F1F"/>
          <w:spacing w:val="-2"/>
          <w:sz w:val="20"/>
        </w:rPr>
        <w:t xml:space="preserve"> </w:t>
      </w:r>
      <w:r>
        <w:rPr>
          <w:i w:val="0"/>
          <w:iCs/>
          <w:color w:val="1F1F1F"/>
          <w:sz w:val="20"/>
        </w:rPr>
        <w:t>novel</w:t>
      </w:r>
      <w:r>
        <w:rPr>
          <w:i w:val="0"/>
          <w:iCs/>
          <w:color w:val="1F1F1F"/>
          <w:spacing w:val="-1"/>
          <w:sz w:val="20"/>
        </w:rPr>
        <w:t xml:space="preserve"> </w:t>
      </w:r>
      <w:r>
        <w:rPr>
          <w:i w:val="0"/>
          <w:iCs/>
          <w:color w:val="1F1F1F"/>
          <w:sz w:val="20"/>
        </w:rPr>
        <w:t>therapeutic avenues.Zonisamide, a multifaceted antiepileptic</w:t>
      </w:r>
      <w:r>
        <w:rPr>
          <w:i w:val="0"/>
          <w:iCs/>
          <w:color w:val="1F1F1F"/>
          <w:spacing w:val="-1"/>
          <w:sz w:val="20"/>
        </w:rPr>
        <w:t xml:space="preserve"> </w:t>
      </w:r>
      <w:r>
        <w:rPr>
          <w:i w:val="0"/>
          <w:iCs/>
          <w:color w:val="1F1F1F"/>
          <w:sz w:val="20"/>
        </w:rPr>
        <w:t>and mood stabilizer, emerges</w:t>
      </w:r>
      <w:r>
        <w:rPr>
          <w:i w:val="0"/>
          <w:iCs/>
          <w:color w:val="1F1F1F"/>
          <w:spacing w:val="-2"/>
          <w:sz w:val="20"/>
        </w:rPr>
        <w:t xml:space="preserve"> </w:t>
      </w:r>
      <w:r>
        <w:rPr>
          <w:i w:val="0"/>
          <w:iCs/>
          <w:color w:val="1F1F1F"/>
          <w:sz w:val="20"/>
        </w:rPr>
        <w:t>as</w:t>
      </w:r>
      <w:r>
        <w:rPr>
          <w:i w:val="0"/>
          <w:iCs/>
          <w:color w:val="1F1F1F"/>
          <w:spacing w:val="-2"/>
          <w:sz w:val="20"/>
        </w:rPr>
        <w:t xml:space="preserve"> </w:t>
      </w:r>
      <w:r>
        <w:rPr>
          <w:i w:val="0"/>
          <w:iCs/>
          <w:color w:val="1F1F1F"/>
          <w:sz w:val="20"/>
        </w:rPr>
        <w:t>a captivating candidate for unveiling novel antipsychotic mechanisms. Its unique ability to modulate not only dopamine, but also GABAergic and glutamatergic neurotransmission, offers a promising path toward alleviating psychotic symptoms while mitigating motor side effects. Despite preliminary preclinical evidence hinting at its potential, zonisamide's precise role in influencing catalepsy remains shrouded in obscurity.</w:t>
      </w:r>
    </w:p>
    <w:p w14:paraId="287E8CF0">
      <w:pPr>
        <w:spacing w:before="0"/>
        <w:ind w:right="360"/>
        <w:jc w:val="both"/>
        <w:rPr>
          <w:rFonts w:ascii="Arial MT"/>
          <w:i w:val="0"/>
          <w:iCs/>
          <w:sz w:val="20"/>
        </w:rPr>
      </w:pPr>
      <w:r>
        <w:rPr>
          <w:i w:val="0"/>
          <w:iCs/>
          <w:color w:val="1F1F1F"/>
          <w:sz w:val="20"/>
        </w:rPr>
        <w:t>By illuminating the intricate interplay between these neurotransmitters in catalepsy, our research aims to pave the way for the development of a new generation of antipsychotics devoid of the motor side effects that plague current treatment regimens. Catalepsy, a model for neurological dysfunction in psychosis, is effectively alleviated by antipsychotics through dopamine D2 receptor blockade, but often at the cost of motor side effects. Zonisamide, an antiepileptic and mood stabilizer, shows promise for modulating GABAergic and glutamatergic neurotransmission, potentially offering a novel antipsychotic approach.Hypothesis: Zonisamide administration will attenuate haloperidol-induced catalepsy in rats by influencing GABAergic and glutamatergic activity in the striatum, suggesting an</w:t>
      </w:r>
      <w:r>
        <w:rPr>
          <w:i w:val="0"/>
          <w:iCs/>
          <w:color w:val="1F1F1F"/>
          <w:spacing w:val="-1"/>
          <w:sz w:val="20"/>
        </w:rPr>
        <w:t xml:space="preserve"> </w:t>
      </w:r>
      <w:r>
        <w:rPr>
          <w:i w:val="0"/>
          <w:iCs/>
          <w:color w:val="1F1F1F"/>
          <w:sz w:val="20"/>
        </w:rPr>
        <w:t>antipsychotic</w:t>
      </w:r>
      <w:r>
        <w:rPr>
          <w:i w:val="0"/>
          <w:iCs/>
          <w:color w:val="1F1F1F"/>
          <w:spacing w:val="-1"/>
          <w:sz w:val="20"/>
        </w:rPr>
        <w:t xml:space="preserve"> </w:t>
      </w:r>
      <w:r>
        <w:rPr>
          <w:i w:val="0"/>
          <w:iCs/>
          <w:color w:val="1F1F1F"/>
          <w:sz w:val="20"/>
        </w:rPr>
        <w:t>mechanism distinct</w:t>
      </w:r>
      <w:r>
        <w:rPr>
          <w:i w:val="0"/>
          <w:iCs/>
          <w:color w:val="1F1F1F"/>
          <w:spacing w:val="-1"/>
          <w:sz w:val="20"/>
        </w:rPr>
        <w:t xml:space="preserve"> </w:t>
      </w:r>
      <w:r>
        <w:rPr>
          <w:i w:val="0"/>
          <w:iCs/>
          <w:color w:val="1F1F1F"/>
          <w:sz w:val="20"/>
        </w:rPr>
        <w:t>from conventional dopamine</w:t>
      </w:r>
      <w:r>
        <w:rPr>
          <w:i w:val="0"/>
          <w:iCs/>
          <w:color w:val="1F1F1F"/>
          <w:spacing w:val="-2"/>
          <w:sz w:val="20"/>
        </w:rPr>
        <w:t xml:space="preserve"> </w:t>
      </w:r>
      <w:r>
        <w:rPr>
          <w:i w:val="0"/>
          <w:iCs/>
          <w:color w:val="1F1F1F"/>
          <w:sz w:val="20"/>
        </w:rPr>
        <w:t>blockade.</w:t>
      </w:r>
      <w:r>
        <w:rPr>
          <w:i w:val="0"/>
          <w:iCs/>
          <w:color w:val="1F1F1F"/>
          <w:spacing w:val="-1"/>
          <w:sz w:val="20"/>
        </w:rPr>
        <w:t xml:space="preserve"> </w:t>
      </w:r>
      <w:r>
        <w:rPr>
          <w:i w:val="0"/>
          <w:iCs/>
          <w:color w:val="1F1F1F"/>
          <w:sz w:val="20"/>
        </w:rPr>
        <w:t>Rats will receive zonisamide and haloperidol in various doses, followed by assessment of cataleptic behavior through bar test latency and limb rigidity scoring. Neurochemical analysis of GABA and glutamate levels in the striatum has conducted. This study could elucidate a novel antipsychotic mechanism involving GABA and glutamate modulation, potentially leading to the development of safer and more effective treatments for psychiatric disorders</w:t>
      </w:r>
      <w:r>
        <w:rPr>
          <w:rFonts w:ascii="Arial MT"/>
          <w:i w:val="0"/>
          <w:iCs/>
          <w:color w:val="1F1F1F"/>
          <w:sz w:val="20"/>
        </w:rPr>
        <w:t>.</w:t>
      </w:r>
    </w:p>
    <w:p w14:paraId="005D5EA4">
      <w:pPr>
        <w:pStyle w:val="6"/>
        <w:spacing w:before="74"/>
        <w:rPr>
          <w:rFonts w:ascii="Arial MT"/>
          <w:sz w:val="20"/>
        </w:rPr>
      </w:pPr>
    </w:p>
    <w:p w14:paraId="0013CC79">
      <w:pPr>
        <w:spacing w:before="1" w:line="242" w:lineRule="auto"/>
        <w:ind w:left="360" w:right="364" w:firstLine="0"/>
        <w:jc w:val="both"/>
        <w:rPr>
          <w:b/>
          <w:i/>
          <w:sz w:val="20"/>
        </w:rPr>
      </w:pPr>
      <w:r>
        <w:rPr>
          <w:b/>
          <w:i/>
          <w:color w:val="1F1F1F"/>
          <w:sz w:val="20"/>
        </w:rPr>
        <w:t>Keywords: Catalepsy, Schizophrenia, Zonisamide, GABAergic, Glutamatergic, Neurotransmission, Antipsychotics, Side Effects, Novel Mechanism</w:t>
      </w:r>
    </w:p>
    <w:p w14:paraId="7E8EC730">
      <w:pPr>
        <w:pStyle w:val="6"/>
        <w:spacing w:before="7"/>
        <w:rPr>
          <w:b/>
          <w:i/>
          <w:sz w:val="4"/>
        </w:rPr>
      </w:pPr>
      <w:r>
        <w:rPr>
          <w:b/>
          <w:i/>
          <w:sz w:val="4"/>
        </w:rPr>
        <mc:AlternateContent>
          <mc:Choice Requires="wps">
            <w:drawing>
              <wp:anchor distT="0" distB="0" distL="0" distR="0" simplePos="0" relativeHeight="251663360" behindDoc="1" locked="0" layoutInCell="1" allowOverlap="1">
                <wp:simplePos x="0" y="0"/>
                <wp:positionH relativeFrom="page">
                  <wp:posOffset>915670</wp:posOffset>
                </wp:positionH>
                <wp:positionV relativeFrom="paragraph">
                  <wp:posOffset>48895</wp:posOffset>
                </wp:positionV>
                <wp:extent cx="6101080" cy="1270"/>
                <wp:effectExtent l="0" t="0" r="0" b="0"/>
                <wp:wrapTopAndBottom/>
                <wp:docPr id="6" name="Graphic 6"/>
                <wp:cNvGraphicFramePr/>
                <a:graphic xmlns:a="http://schemas.openxmlformats.org/drawingml/2006/main">
                  <a:graphicData uri="http://schemas.microsoft.com/office/word/2010/wordprocessingShape">
                    <wps:wsp>
                      <wps:cNvSpPr/>
                      <wps:spPr>
                        <a:xfrm>
                          <a:off x="0" y="0"/>
                          <a:ext cx="6101080" cy="1270"/>
                        </a:xfrm>
                        <a:custGeom>
                          <a:avLst/>
                          <a:gdLst/>
                          <a:ahLst/>
                          <a:cxnLst/>
                          <a:rect l="l" t="t" r="r" b="b"/>
                          <a:pathLst>
                            <a:path w="6101080">
                              <a:moveTo>
                                <a:pt x="0" y="0"/>
                              </a:moveTo>
                              <a:lnTo>
                                <a:pt x="6100572" y="0"/>
                              </a:lnTo>
                            </a:path>
                          </a:pathLst>
                        </a:custGeom>
                        <a:ln w="9144">
                          <a:solidFill>
                            <a:srgbClr val="000000"/>
                          </a:solidFill>
                          <a:prstDash val="solid"/>
                        </a:ln>
                      </wps:spPr>
                      <wps:bodyPr wrap="square" lIns="0" tIns="0" rIns="0" bIns="0" rtlCol="0">
                        <a:noAutofit/>
                      </wps:bodyPr>
                    </wps:wsp>
                  </a:graphicData>
                </a:graphic>
              </wp:anchor>
            </w:drawing>
          </mc:Choice>
          <mc:Fallback>
            <w:pict>
              <v:shape id="Graphic 6" o:spid="_x0000_s1026" o:spt="100" style="position:absolute;left:0pt;margin-left:72.1pt;margin-top:3.85pt;height:0.1pt;width:480.4pt;mso-position-horizontal-relative:page;mso-wrap-distance-bottom:0pt;mso-wrap-distance-top:0pt;z-index:-251653120;mso-width-relative:page;mso-height-relative:page;" filled="f" stroked="t" coordsize="6101080,1" o:gfxdata="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aESLl1gAAAAgBAAAPAAAAAAAA&#10;AAEAIAAAACIAAABkcnMvZG93bnJldi54bWxQSwECFAAUAAAACACHTuJAtPPY9hQCAAB6BAAADgAA&#10;AAAAAAABACAAAAAlAQAAZHJzL2Uyb0RvYy54bWxQSwUGAAAAAAYABgBZAQAAqwUAAAAA&#10;" path="m0,0l6100572,0e">
                <v:fill on="f" focussize="0,0"/>
                <v:stroke weight="0.72pt" color="#000000" joinstyle="round"/>
                <v:imagedata o:title=""/>
                <o:lock v:ext="edit" aspectratio="f"/>
                <v:textbox inset="0mm,0mm,0mm,0mm"/>
                <w10:wrap type="topAndBottom"/>
              </v:shape>
            </w:pict>
          </mc:Fallback>
        </mc:AlternateContent>
      </w:r>
    </w:p>
    <w:p w14:paraId="177643CA">
      <w:pPr>
        <w:pStyle w:val="2"/>
        <w:numPr>
          <w:ilvl w:val="0"/>
          <w:numId w:val="1"/>
        </w:numPr>
        <w:tabs>
          <w:tab w:val="left" w:pos="899"/>
        </w:tabs>
        <w:spacing w:before="210" w:after="0" w:line="240" w:lineRule="auto"/>
        <w:ind w:left="899" w:right="0" w:hanging="539"/>
        <w:jc w:val="left"/>
        <w:rPr>
          <w:color w:val="1F1F1F"/>
        </w:rPr>
      </w:pPr>
      <w:r>
        <w:rPr>
          <w:color w:val="1F1F1F"/>
          <w:spacing w:val="-2"/>
        </w:rPr>
        <w:t>INTRODUCTION</w:t>
      </w:r>
    </w:p>
    <w:p w14:paraId="26F19646">
      <w:pPr>
        <w:pStyle w:val="6"/>
        <w:spacing w:before="202"/>
        <w:ind w:left="360" w:right="365"/>
        <w:jc w:val="both"/>
      </w:pPr>
      <w:r>
        <w:rPr>
          <w:color w:val="1F1F1F"/>
        </w:rPr>
        <w:t>Catalepsy, a neurological state characterized by muscle rigidity and waxy flexibility, has served as a valuable tool in understanding the neurochemical underpinnings of psychotic disorders. The dopamine hypothesis of schizophrenia posits that an imbalance in dopamine neurotransmission, particularly increased dopaminergic activity in the striatum, contributes to the pathophysiology</w:t>
      </w:r>
      <w:r>
        <w:rPr>
          <w:color w:val="1F1F1F"/>
          <w:spacing w:val="40"/>
        </w:rPr>
        <w:t xml:space="preserve"> </w:t>
      </w:r>
      <w:r>
        <w:rPr>
          <w:color w:val="1F1F1F"/>
        </w:rPr>
        <w:t>of the disease. This hypothesis is supported by the ability of typical antipsychotics, such as haloperidol, to effectively alleviate catalepsy in animal models through dopamine D2 receptor blockade.</w:t>
      </w:r>
      <w:r>
        <w:rPr>
          <w:color w:val="1F1F1F"/>
          <w:spacing w:val="-1"/>
        </w:rPr>
        <w:t xml:space="preserve"> </w:t>
      </w:r>
      <w:r>
        <w:rPr>
          <w:color w:val="1F1F1F"/>
        </w:rPr>
        <w:t>However, despite</w:t>
      </w:r>
      <w:r>
        <w:rPr>
          <w:color w:val="1F1F1F"/>
          <w:spacing w:val="-1"/>
        </w:rPr>
        <w:t xml:space="preserve"> </w:t>
      </w:r>
      <w:r>
        <w:rPr>
          <w:color w:val="1F1F1F"/>
        </w:rPr>
        <w:t>their</w:t>
      </w:r>
      <w:r>
        <w:rPr>
          <w:color w:val="1F1F1F"/>
          <w:spacing w:val="-1"/>
        </w:rPr>
        <w:t xml:space="preserve"> </w:t>
      </w:r>
      <w:r>
        <w:rPr>
          <w:color w:val="1F1F1F"/>
        </w:rPr>
        <w:t>efficacy</w:t>
      </w:r>
      <w:r>
        <w:rPr>
          <w:color w:val="1F1F1F"/>
          <w:spacing w:val="-6"/>
        </w:rPr>
        <w:t xml:space="preserve"> </w:t>
      </w:r>
      <w:r>
        <w:rPr>
          <w:color w:val="1F1F1F"/>
        </w:rPr>
        <w:t>in managing</w:t>
      </w:r>
      <w:r>
        <w:rPr>
          <w:color w:val="1F1F1F"/>
          <w:spacing w:val="-4"/>
        </w:rPr>
        <w:t xml:space="preserve"> </w:t>
      </w:r>
      <w:r>
        <w:rPr>
          <w:color w:val="1F1F1F"/>
        </w:rPr>
        <w:t>psychotic</w:t>
      </w:r>
      <w:r>
        <w:rPr>
          <w:color w:val="1F1F1F"/>
          <w:spacing w:val="-1"/>
        </w:rPr>
        <w:t xml:space="preserve"> </w:t>
      </w:r>
      <w:r>
        <w:rPr>
          <w:color w:val="1F1F1F"/>
        </w:rPr>
        <w:t>symptoms,</w:t>
      </w:r>
      <w:r>
        <w:rPr>
          <w:color w:val="1F1F1F"/>
          <w:spacing w:val="-1"/>
        </w:rPr>
        <w:t xml:space="preserve"> </w:t>
      </w:r>
      <w:r>
        <w:rPr>
          <w:color w:val="1F1F1F"/>
        </w:rPr>
        <w:t>antipsychotics</w:t>
      </w:r>
      <w:r>
        <w:rPr>
          <w:color w:val="1F1F1F"/>
          <w:spacing w:val="-1"/>
        </w:rPr>
        <w:t xml:space="preserve"> </w:t>
      </w:r>
      <w:r>
        <w:rPr>
          <w:color w:val="1F1F1F"/>
        </w:rPr>
        <w:t>often exhibit motor side effects like catalepsy and tardive dyskinesia, highlighting the need for improved therapeutic strategies with fewer adverse effects.</w:t>
      </w:r>
    </w:p>
    <w:p w14:paraId="0FA980CD">
      <w:pPr>
        <w:pStyle w:val="6"/>
      </w:pPr>
    </w:p>
    <w:p w14:paraId="3CFCE586">
      <w:pPr>
        <w:pStyle w:val="6"/>
        <w:ind w:left="360" w:right="367"/>
        <w:jc w:val="both"/>
      </w:pPr>
      <w:r>
        <w:rPr>
          <w:color w:val="1F1F1F"/>
        </w:rPr>
        <w:t>In this context, zonisamide emerges as a potential candidate for exploring novel antipsychotic mechanisms. Primarily utilized as an antiepileptic and mood stabilizer, zonisamide displays unique neuropharmacological properties, interacting with multiple neurotransmitter systems beyond dopamine. Studies suggest its ability to modulate GABAergic and glutamatergic transmission, potentially providing additional avenues for alleviating psychotic symptoms and mitigating motor side effects.</w:t>
      </w:r>
    </w:p>
    <w:p w14:paraId="44AB8F1E">
      <w:pPr>
        <w:pStyle w:val="6"/>
        <w:spacing w:after="0"/>
        <w:jc w:val="both"/>
        <w:sectPr>
          <w:type w:val="continuous"/>
          <w:pgSz w:w="12240" w:h="15840"/>
          <w:pgMar w:top="640" w:right="1080" w:bottom="1200" w:left="1080" w:header="0" w:footer="1006" w:gutter="0"/>
          <w:cols w:space="720" w:num="1"/>
        </w:sectPr>
      </w:pPr>
    </w:p>
    <w:p w14:paraId="5217C39A">
      <w:pPr>
        <w:pStyle w:val="6"/>
        <w:spacing w:before="63"/>
        <w:ind w:left="360" w:right="368"/>
        <w:jc w:val="both"/>
      </w:pPr>
      <w:r>
        <w:rPr>
          <w:color w:val="1F1F1F"/>
        </w:rPr>
        <w:t>Despite promising preclinical evidence, the role of zonisamide in modulating neurohumoral transmission and influencing catalepsy</w:t>
      </w:r>
      <w:r>
        <w:rPr>
          <w:color w:val="1F1F1F"/>
          <w:spacing w:val="-1"/>
        </w:rPr>
        <w:t xml:space="preserve"> </w:t>
      </w:r>
      <w:r>
        <w:rPr>
          <w:color w:val="1F1F1F"/>
        </w:rPr>
        <w:t>remains unclear. Therefore, this study</w:t>
      </w:r>
      <w:r>
        <w:rPr>
          <w:color w:val="1F1F1F"/>
          <w:spacing w:val="-1"/>
        </w:rPr>
        <w:t xml:space="preserve"> </w:t>
      </w:r>
      <w:r>
        <w:rPr>
          <w:color w:val="1F1F1F"/>
        </w:rPr>
        <w:t xml:space="preserve">aims to investigate the effects of zonisamide on haloperidol-induced catalepsy in a rat model. We hypothesize that zonisamide administration will attenuate cataleptic behavior by modulating GABAergic and glutamatergic neurotransmission in the striatum, offering a potential antipsychotic mechanism distinct from conventional dopamine D2 receptor antagonism. By exploring this novel avenue, we hope to contribute valuable insights into the complex interplay between neurotransmitters in catalepsy and pave the way for the development of safer and more effective antipsychotic </w:t>
      </w:r>
      <w:r>
        <w:rPr>
          <w:color w:val="1F1F1F"/>
          <w:spacing w:val="-2"/>
        </w:rPr>
        <w:t>therapeutics.</w:t>
      </w:r>
    </w:p>
    <w:p w14:paraId="1A3BB2B3">
      <w:pPr>
        <w:pStyle w:val="6"/>
        <w:ind w:left="360" w:right="372"/>
        <w:jc w:val="both"/>
      </w:pPr>
      <w:r>
        <w:rPr>
          <w:color w:val="1F1F1F"/>
        </w:rPr>
        <w:t>This study delves into the enigmatic role of zonisamide in alleviating haloperidol-induced catalepsy in a carefully crafted rat model. We hypothesize that zonisamide administration will:</w:t>
      </w:r>
    </w:p>
    <w:p w14:paraId="514E588A">
      <w:pPr>
        <w:pStyle w:val="10"/>
        <w:numPr>
          <w:ilvl w:val="1"/>
          <w:numId w:val="1"/>
        </w:numPr>
        <w:tabs>
          <w:tab w:val="left" w:pos="720"/>
        </w:tabs>
        <w:spacing w:before="182" w:after="0" w:line="240" w:lineRule="auto"/>
        <w:ind w:left="720" w:right="370" w:hanging="360"/>
        <w:jc w:val="left"/>
        <w:rPr>
          <w:color w:val="1F1F1F"/>
          <w:sz w:val="24"/>
        </w:rPr>
      </w:pPr>
      <w:r>
        <w:rPr>
          <w:color w:val="1F1F1F"/>
          <w:sz w:val="24"/>
        </w:rPr>
        <w:t>Combat</w:t>
      </w:r>
      <w:r>
        <w:rPr>
          <w:color w:val="1F1F1F"/>
          <w:spacing w:val="40"/>
          <w:sz w:val="24"/>
        </w:rPr>
        <w:t xml:space="preserve"> </w:t>
      </w:r>
      <w:r>
        <w:rPr>
          <w:color w:val="1F1F1F"/>
          <w:sz w:val="24"/>
        </w:rPr>
        <w:t>cataleptic</w:t>
      </w:r>
      <w:r>
        <w:rPr>
          <w:color w:val="1F1F1F"/>
          <w:spacing w:val="40"/>
          <w:sz w:val="24"/>
        </w:rPr>
        <w:t xml:space="preserve"> </w:t>
      </w:r>
      <w:r>
        <w:rPr>
          <w:color w:val="1F1F1F"/>
          <w:sz w:val="24"/>
        </w:rPr>
        <w:t>behavior</w:t>
      </w:r>
      <w:r>
        <w:rPr>
          <w:color w:val="1F1F1F"/>
          <w:spacing w:val="-5"/>
          <w:sz w:val="24"/>
        </w:rPr>
        <w:t xml:space="preserve"> </w:t>
      </w:r>
      <w:r>
        <w:rPr>
          <w:color w:val="1F1F1F"/>
          <w:sz w:val="24"/>
        </w:rPr>
        <w:t>by</w:t>
      </w:r>
      <w:r>
        <w:rPr>
          <w:color w:val="1F1F1F"/>
          <w:spacing w:val="40"/>
          <w:sz w:val="24"/>
        </w:rPr>
        <w:t xml:space="preserve"> </w:t>
      </w:r>
      <w:r>
        <w:rPr>
          <w:color w:val="1F1F1F"/>
          <w:sz w:val="24"/>
        </w:rPr>
        <w:t>orchestrating</w:t>
      </w:r>
      <w:r>
        <w:rPr>
          <w:color w:val="1F1F1F"/>
          <w:spacing w:val="40"/>
          <w:sz w:val="24"/>
        </w:rPr>
        <w:t xml:space="preserve"> </w:t>
      </w:r>
      <w:r>
        <w:rPr>
          <w:color w:val="1F1F1F"/>
          <w:sz w:val="24"/>
        </w:rPr>
        <w:t>a</w:t>
      </w:r>
      <w:r>
        <w:rPr>
          <w:color w:val="1F1F1F"/>
          <w:spacing w:val="40"/>
          <w:sz w:val="24"/>
        </w:rPr>
        <w:t xml:space="preserve"> </w:t>
      </w:r>
      <w:r>
        <w:rPr>
          <w:color w:val="1F1F1F"/>
          <w:sz w:val="24"/>
        </w:rPr>
        <w:t>symphony</w:t>
      </w:r>
      <w:r>
        <w:rPr>
          <w:color w:val="1F1F1F"/>
          <w:spacing w:val="40"/>
          <w:sz w:val="24"/>
        </w:rPr>
        <w:t xml:space="preserve"> </w:t>
      </w:r>
      <w:r>
        <w:rPr>
          <w:color w:val="1F1F1F"/>
          <w:sz w:val="24"/>
        </w:rPr>
        <w:t>of</w:t>
      </w:r>
      <w:r>
        <w:rPr>
          <w:color w:val="1F1F1F"/>
          <w:spacing w:val="40"/>
          <w:sz w:val="24"/>
        </w:rPr>
        <w:t xml:space="preserve"> </w:t>
      </w:r>
      <w:r>
        <w:rPr>
          <w:color w:val="1F1F1F"/>
          <w:sz w:val="24"/>
        </w:rPr>
        <w:t>changes</w:t>
      </w:r>
      <w:r>
        <w:rPr>
          <w:color w:val="1F1F1F"/>
          <w:spacing w:val="40"/>
          <w:sz w:val="24"/>
        </w:rPr>
        <w:t xml:space="preserve"> </w:t>
      </w:r>
      <w:r>
        <w:rPr>
          <w:color w:val="1F1F1F"/>
          <w:sz w:val="24"/>
        </w:rPr>
        <w:t>in</w:t>
      </w:r>
      <w:r>
        <w:rPr>
          <w:color w:val="1F1F1F"/>
          <w:spacing w:val="40"/>
          <w:sz w:val="24"/>
        </w:rPr>
        <w:t xml:space="preserve"> </w:t>
      </w:r>
      <w:r>
        <w:rPr>
          <w:color w:val="1F1F1F"/>
          <w:sz w:val="24"/>
        </w:rPr>
        <w:t>GABAergic</w:t>
      </w:r>
      <w:r>
        <w:rPr>
          <w:color w:val="1F1F1F"/>
          <w:spacing w:val="40"/>
          <w:sz w:val="24"/>
        </w:rPr>
        <w:t xml:space="preserve"> </w:t>
      </w:r>
      <w:r>
        <w:rPr>
          <w:color w:val="1F1F1F"/>
          <w:sz w:val="24"/>
        </w:rPr>
        <w:t>and glutamatergic neurotransmission within the striatum.</w:t>
      </w:r>
    </w:p>
    <w:p w14:paraId="19198838">
      <w:pPr>
        <w:pStyle w:val="10"/>
        <w:numPr>
          <w:ilvl w:val="1"/>
          <w:numId w:val="1"/>
        </w:numPr>
        <w:tabs>
          <w:tab w:val="left" w:pos="720"/>
        </w:tabs>
        <w:spacing w:before="1" w:after="0" w:line="240" w:lineRule="auto"/>
        <w:ind w:left="720" w:right="371" w:hanging="360"/>
        <w:jc w:val="left"/>
        <w:rPr>
          <w:color w:val="1F1F1F"/>
          <w:sz w:val="24"/>
        </w:rPr>
      </w:pPr>
      <w:r>
        <w:rPr>
          <w:color w:val="1F1F1F"/>
          <w:sz w:val="24"/>
        </w:rPr>
        <w:t>Unveil a</w:t>
      </w:r>
      <w:r>
        <w:rPr>
          <w:color w:val="1F1F1F"/>
          <w:spacing w:val="-6"/>
          <w:sz w:val="24"/>
        </w:rPr>
        <w:t xml:space="preserve"> </w:t>
      </w:r>
      <w:r>
        <w:rPr>
          <w:color w:val="1F1F1F"/>
          <w:sz w:val="24"/>
        </w:rPr>
        <w:t>novel</w:t>
      </w:r>
      <w:r>
        <w:rPr>
          <w:color w:val="1F1F1F"/>
          <w:spacing w:val="-3"/>
          <w:sz w:val="24"/>
        </w:rPr>
        <w:t xml:space="preserve"> </w:t>
      </w:r>
      <w:r>
        <w:rPr>
          <w:color w:val="1F1F1F"/>
          <w:sz w:val="24"/>
        </w:rPr>
        <w:t>antipsychotic</w:t>
      </w:r>
      <w:r>
        <w:rPr>
          <w:color w:val="1F1F1F"/>
          <w:spacing w:val="-3"/>
          <w:sz w:val="24"/>
        </w:rPr>
        <w:t xml:space="preserve"> </w:t>
      </w:r>
      <w:r>
        <w:rPr>
          <w:color w:val="1F1F1F"/>
          <w:sz w:val="24"/>
        </w:rPr>
        <w:t>mechanism</w:t>
      </w:r>
      <w:r>
        <w:rPr>
          <w:color w:val="1F1F1F"/>
          <w:spacing w:val="-6"/>
          <w:sz w:val="24"/>
        </w:rPr>
        <w:t xml:space="preserve"> </w:t>
      </w:r>
      <w:r>
        <w:rPr>
          <w:color w:val="1F1F1F"/>
          <w:sz w:val="24"/>
        </w:rPr>
        <w:t>distinct</w:t>
      </w:r>
      <w:r>
        <w:rPr>
          <w:color w:val="1F1F1F"/>
          <w:spacing w:val="-3"/>
          <w:sz w:val="24"/>
        </w:rPr>
        <w:t xml:space="preserve"> </w:t>
      </w:r>
      <w:r>
        <w:rPr>
          <w:color w:val="1F1F1F"/>
          <w:sz w:val="24"/>
        </w:rPr>
        <w:t>from the</w:t>
      </w:r>
      <w:r>
        <w:rPr>
          <w:color w:val="1F1F1F"/>
          <w:spacing w:val="-6"/>
          <w:sz w:val="24"/>
        </w:rPr>
        <w:t xml:space="preserve"> </w:t>
      </w:r>
      <w:r>
        <w:rPr>
          <w:color w:val="1F1F1F"/>
          <w:sz w:val="24"/>
        </w:rPr>
        <w:t>conventional</w:t>
      </w:r>
      <w:r>
        <w:rPr>
          <w:color w:val="1F1F1F"/>
          <w:spacing w:val="-5"/>
          <w:sz w:val="24"/>
        </w:rPr>
        <w:t xml:space="preserve"> </w:t>
      </w:r>
      <w:r>
        <w:rPr>
          <w:color w:val="1F1F1F"/>
          <w:sz w:val="24"/>
        </w:rPr>
        <w:t>D2</w:t>
      </w:r>
      <w:r>
        <w:rPr>
          <w:color w:val="1F1F1F"/>
          <w:spacing w:val="-1"/>
          <w:sz w:val="24"/>
        </w:rPr>
        <w:t xml:space="preserve"> </w:t>
      </w:r>
      <w:r>
        <w:rPr>
          <w:color w:val="1F1F1F"/>
          <w:sz w:val="24"/>
        </w:rPr>
        <w:t>receptor</w:t>
      </w:r>
      <w:r>
        <w:rPr>
          <w:color w:val="1F1F1F"/>
          <w:spacing w:val="-2"/>
          <w:sz w:val="24"/>
        </w:rPr>
        <w:t xml:space="preserve"> </w:t>
      </w:r>
      <w:r>
        <w:rPr>
          <w:color w:val="1F1F1F"/>
          <w:sz w:val="24"/>
        </w:rPr>
        <w:t xml:space="preserve">blockade </w:t>
      </w:r>
      <w:r>
        <w:rPr>
          <w:color w:val="1F1F1F"/>
          <w:spacing w:val="-2"/>
          <w:sz w:val="24"/>
        </w:rPr>
        <w:t>paradigm.</w:t>
      </w:r>
    </w:p>
    <w:p w14:paraId="1417201F">
      <w:pPr>
        <w:pStyle w:val="10"/>
        <w:numPr>
          <w:ilvl w:val="0"/>
          <w:numId w:val="1"/>
        </w:numPr>
        <w:tabs>
          <w:tab w:val="left" w:pos="1079"/>
        </w:tabs>
        <w:spacing w:before="237" w:after="0" w:line="240" w:lineRule="auto"/>
        <w:ind w:left="1079" w:right="0" w:hanging="719"/>
        <w:jc w:val="left"/>
        <w:rPr>
          <w:b/>
          <w:color w:val="0C0C0C"/>
          <w:sz w:val="24"/>
        </w:rPr>
      </w:pPr>
      <w:r>
        <w:rPr>
          <w:b/>
          <w:color w:val="0C0C0C"/>
          <w:spacing w:val="-2"/>
          <w:sz w:val="24"/>
        </w:rPr>
        <w:t>METHODOLOGY</w:t>
      </w:r>
    </w:p>
    <w:p w14:paraId="092A9D8E">
      <w:pPr>
        <w:pStyle w:val="6"/>
        <w:spacing w:before="233"/>
        <w:ind w:left="360"/>
        <w:jc w:val="both"/>
      </w:pPr>
      <w:r>
        <w:rPr>
          <w:color w:val="1F1F1F"/>
        </w:rPr>
        <w:t>Methodology</w:t>
      </w:r>
      <w:r>
        <w:rPr>
          <w:color w:val="1F1F1F"/>
          <w:spacing w:val="-14"/>
        </w:rPr>
        <w:t xml:space="preserve"> </w:t>
      </w:r>
      <w:r>
        <w:rPr>
          <w:color w:val="1F1F1F"/>
        </w:rPr>
        <w:t>for</w:t>
      </w:r>
      <w:r>
        <w:rPr>
          <w:color w:val="1F1F1F"/>
          <w:spacing w:val="-10"/>
        </w:rPr>
        <w:t xml:space="preserve"> </w:t>
      </w:r>
      <w:r>
        <w:rPr>
          <w:color w:val="1F1F1F"/>
        </w:rPr>
        <w:t>Studying</w:t>
      </w:r>
      <w:r>
        <w:rPr>
          <w:color w:val="1F1F1F"/>
          <w:spacing w:val="-10"/>
        </w:rPr>
        <w:t xml:space="preserve"> </w:t>
      </w:r>
      <w:r>
        <w:rPr>
          <w:color w:val="1F1F1F"/>
        </w:rPr>
        <w:t>Zonisamide's</w:t>
      </w:r>
      <w:r>
        <w:rPr>
          <w:color w:val="1F1F1F"/>
          <w:spacing w:val="-10"/>
        </w:rPr>
        <w:t xml:space="preserve"> </w:t>
      </w:r>
      <w:r>
        <w:rPr>
          <w:color w:val="1F1F1F"/>
        </w:rPr>
        <w:t>Role</w:t>
      </w:r>
      <w:r>
        <w:rPr>
          <w:color w:val="1F1F1F"/>
          <w:spacing w:val="-10"/>
        </w:rPr>
        <w:t xml:space="preserve"> </w:t>
      </w:r>
      <w:r>
        <w:rPr>
          <w:color w:val="1F1F1F"/>
        </w:rPr>
        <w:t>in</w:t>
      </w:r>
      <w:r>
        <w:rPr>
          <w:color w:val="1F1F1F"/>
          <w:spacing w:val="-10"/>
        </w:rPr>
        <w:t xml:space="preserve"> </w:t>
      </w:r>
      <w:r>
        <w:rPr>
          <w:color w:val="1F1F1F"/>
        </w:rPr>
        <w:t>Haloperidol-Induced</w:t>
      </w:r>
      <w:r>
        <w:rPr>
          <w:color w:val="1F1F1F"/>
          <w:spacing w:val="-10"/>
        </w:rPr>
        <w:t xml:space="preserve"> </w:t>
      </w:r>
      <w:r>
        <w:rPr>
          <w:color w:val="1F1F1F"/>
          <w:spacing w:val="-2"/>
        </w:rPr>
        <w:t>Catalepsy</w:t>
      </w:r>
    </w:p>
    <w:p w14:paraId="42E7EF03">
      <w:pPr>
        <w:pStyle w:val="2"/>
        <w:spacing w:before="55"/>
        <w:ind w:left="3" w:right="3"/>
        <w:jc w:val="center"/>
      </w:pPr>
      <w:r>
        <w:rPr>
          <w:color w:val="1F1F1F"/>
          <w:spacing w:val="-2"/>
        </w:rPr>
        <w:t>ANIMALS</w:t>
      </w:r>
    </w:p>
    <w:p w14:paraId="6C47E98F">
      <w:pPr>
        <w:pStyle w:val="10"/>
        <w:numPr>
          <w:ilvl w:val="0"/>
          <w:numId w:val="2"/>
        </w:numPr>
        <w:tabs>
          <w:tab w:val="left" w:pos="719"/>
        </w:tabs>
        <w:spacing w:before="233" w:after="0" w:line="240" w:lineRule="auto"/>
        <w:ind w:left="719" w:right="0" w:hanging="359"/>
        <w:jc w:val="left"/>
        <w:rPr>
          <w:rFonts w:ascii="Symbol" w:hAnsi="Symbol"/>
          <w:color w:val="1F1F1F"/>
          <w:sz w:val="20"/>
        </w:rPr>
      </w:pPr>
      <w:r>
        <w:rPr>
          <w:color w:val="1F1F1F"/>
          <w:sz w:val="24"/>
        </w:rPr>
        <w:t>Sprague-Dawley</w:t>
      </w:r>
      <w:r>
        <w:rPr>
          <w:color w:val="1F1F1F"/>
          <w:spacing w:val="-11"/>
          <w:sz w:val="24"/>
        </w:rPr>
        <w:t xml:space="preserve"> </w:t>
      </w:r>
      <w:r>
        <w:rPr>
          <w:color w:val="1F1F1F"/>
          <w:sz w:val="24"/>
        </w:rPr>
        <w:t>rats</w:t>
      </w:r>
      <w:r>
        <w:rPr>
          <w:color w:val="1F1F1F"/>
          <w:spacing w:val="-8"/>
          <w:sz w:val="24"/>
        </w:rPr>
        <w:t xml:space="preserve"> </w:t>
      </w:r>
      <w:r>
        <w:rPr>
          <w:color w:val="1F1F1F"/>
          <w:sz w:val="24"/>
        </w:rPr>
        <w:t>(male,</w:t>
      </w:r>
      <w:r>
        <w:rPr>
          <w:color w:val="1F1F1F"/>
          <w:spacing w:val="-7"/>
          <w:sz w:val="24"/>
        </w:rPr>
        <w:t xml:space="preserve"> </w:t>
      </w:r>
      <w:r>
        <w:rPr>
          <w:color w:val="1F1F1F"/>
          <w:sz w:val="24"/>
        </w:rPr>
        <w:t>age</w:t>
      </w:r>
      <w:r>
        <w:rPr>
          <w:color w:val="1F1F1F"/>
          <w:spacing w:val="-7"/>
          <w:sz w:val="24"/>
        </w:rPr>
        <w:t xml:space="preserve"> </w:t>
      </w:r>
      <w:r>
        <w:rPr>
          <w:color w:val="1F1F1F"/>
          <w:sz w:val="24"/>
        </w:rPr>
        <w:t>8-12</w:t>
      </w:r>
      <w:r>
        <w:rPr>
          <w:color w:val="1F1F1F"/>
          <w:spacing w:val="-7"/>
          <w:sz w:val="24"/>
        </w:rPr>
        <w:t xml:space="preserve"> </w:t>
      </w:r>
      <w:r>
        <w:rPr>
          <w:color w:val="1F1F1F"/>
          <w:sz w:val="24"/>
        </w:rPr>
        <w:t>weeks)</w:t>
      </w:r>
      <w:r>
        <w:rPr>
          <w:color w:val="1F1F1F"/>
          <w:spacing w:val="-8"/>
          <w:sz w:val="24"/>
        </w:rPr>
        <w:t xml:space="preserve"> </w:t>
      </w:r>
      <w:r>
        <w:rPr>
          <w:color w:val="1F1F1F"/>
          <w:sz w:val="24"/>
        </w:rPr>
        <w:t>has</w:t>
      </w:r>
      <w:r>
        <w:rPr>
          <w:color w:val="1F1F1F"/>
          <w:spacing w:val="-7"/>
          <w:sz w:val="24"/>
        </w:rPr>
        <w:t xml:space="preserve"> </w:t>
      </w:r>
      <w:r>
        <w:rPr>
          <w:color w:val="1F1F1F"/>
          <w:spacing w:val="-2"/>
          <w:sz w:val="24"/>
        </w:rPr>
        <w:t>used.</w:t>
      </w:r>
    </w:p>
    <w:p w14:paraId="3227DF2A">
      <w:pPr>
        <w:pStyle w:val="10"/>
        <w:numPr>
          <w:ilvl w:val="0"/>
          <w:numId w:val="2"/>
        </w:numPr>
        <w:tabs>
          <w:tab w:val="left" w:pos="720"/>
        </w:tabs>
        <w:spacing w:before="0" w:after="0" w:line="240" w:lineRule="auto"/>
        <w:ind w:left="720" w:right="860" w:hanging="360"/>
        <w:jc w:val="left"/>
        <w:rPr>
          <w:rFonts w:ascii="Symbol" w:hAnsi="Symbol"/>
          <w:color w:val="1F1F1F"/>
          <w:sz w:val="20"/>
        </w:rPr>
      </w:pPr>
      <w:r>
        <w:rPr>
          <w:color w:val="1F1F1F"/>
          <w:sz w:val="24"/>
        </w:rPr>
        <w:t>Animals</w:t>
      </w:r>
      <w:r>
        <w:rPr>
          <w:color w:val="1F1F1F"/>
          <w:spacing w:val="-5"/>
          <w:sz w:val="24"/>
        </w:rPr>
        <w:t xml:space="preserve"> </w:t>
      </w:r>
      <w:r>
        <w:rPr>
          <w:color w:val="1F1F1F"/>
          <w:sz w:val="24"/>
        </w:rPr>
        <w:t>has</w:t>
      </w:r>
      <w:r>
        <w:rPr>
          <w:color w:val="1F1F1F"/>
          <w:spacing w:val="-5"/>
          <w:sz w:val="24"/>
        </w:rPr>
        <w:t xml:space="preserve"> </w:t>
      </w:r>
      <w:r>
        <w:rPr>
          <w:color w:val="1F1F1F"/>
          <w:sz w:val="24"/>
        </w:rPr>
        <w:t>housed</w:t>
      </w:r>
      <w:r>
        <w:rPr>
          <w:color w:val="1F1F1F"/>
          <w:spacing w:val="-5"/>
          <w:sz w:val="24"/>
        </w:rPr>
        <w:t xml:space="preserve"> </w:t>
      </w:r>
      <w:r>
        <w:rPr>
          <w:color w:val="1F1F1F"/>
          <w:sz w:val="24"/>
        </w:rPr>
        <w:t>in</w:t>
      </w:r>
      <w:r>
        <w:rPr>
          <w:color w:val="1F1F1F"/>
          <w:spacing w:val="-5"/>
          <w:sz w:val="24"/>
        </w:rPr>
        <w:t xml:space="preserve"> </w:t>
      </w:r>
      <w:r>
        <w:rPr>
          <w:color w:val="1F1F1F"/>
          <w:sz w:val="24"/>
        </w:rPr>
        <w:t>standard</w:t>
      </w:r>
      <w:r>
        <w:rPr>
          <w:color w:val="1F1F1F"/>
          <w:spacing w:val="-5"/>
          <w:sz w:val="24"/>
        </w:rPr>
        <w:t xml:space="preserve"> </w:t>
      </w:r>
      <w:r>
        <w:rPr>
          <w:color w:val="1F1F1F"/>
          <w:sz w:val="24"/>
        </w:rPr>
        <w:t>laboratory</w:t>
      </w:r>
      <w:r>
        <w:rPr>
          <w:color w:val="1F1F1F"/>
          <w:spacing w:val="-9"/>
          <w:sz w:val="24"/>
        </w:rPr>
        <w:t xml:space="preserve"> </w:t>
      </w:r>
      <w:r>
        <w:rPr>
          <w:color w:val="1F1F1F"/>
          <w:sz w:val="24"/>
        </w:rPr>
        <w:t>conditions</w:t>
      </w:r>
      <w:r>
        <w:rPr>
          <w:color w:val="1F1F1F"/>
          <w:spacing w:val="-5"/>
          <w:sz w:val="24"/>
        </w:rPr>
        <w:t xml:space="preserve"> </w:t>
      </w:r>
      <w:r>
        <w:rPr>
          <w:color w:val="1F1F1F"/>
          <w:sz w:val="24"/>
        </w:rPr>
        <w:t>(12:12</w:t>
      </w:r>
      <w:r>
        <w:rPr>
          <w:color w:val="1F1F1F"/>
          <w:spacing w:val="-5"/>
          <w:sz w:val="24"/>
        </w:rPr>
        <w:t xml:space="preserve"> </w:t>
      </w:r>
      <w:r>
        <w:rPr>
          <w:color w:val="1F1F1F"/>
          <w:sz w:val="24"/>
        </w:rPr>
        <w:t>light-dark</w:t>
      </w:r>
      <w:r>
        <w:rPr>
          <w:color w:val="1F1F1F"/>
          <w:spacing w:val="-3"/>
          <w:sz w:val="24"/>
        </w:rPr>
        <w:t xml:space="preserve"> </w:t>
      </w:r>
      <w:r>
        <w:rPr>
          <w:color w:val="1F1F1F"/>
          <w:sz w:val="24"/>
        </w:rPr>
        <w:t>cycle,</w:t>
      </w:r>
      <w:r>
        <w:rPr>
          <w:color w:val="1F1F1F"/>
          <w:spacing w:val="-7"/>
          <w:sz w:val="24"/>
        </w:rPr>
        <w:t xml:space="preserve"> </w:t>
      </w:r>
      <w:r>
        <w:rPr>
          <w:color w:val="1F1F1F"/>
          <w:sz w:val="24"/>
        </w:rPr>
        <w:t>controlled temperature, ad libitum food and water).</w:t>
      </w:r>
    </w:p>
    <w:p w14:paraId="144D9C4F">
      <w:pPr>
        <w:pStyle w:val="10"/>
        <w:numPr>
          <w:ilvl w:val="0"/>
          <w:numId w:val="2"/>
        </w:numPr>
        <w:tabs>
          <w:tab w:val="left" w:pos="719"/>
        </w:tabs>
        <w:spacing w:before="0" w:after="0" w:line="240" w:lineRule="auto"/>
        <w:ind w:left="719" w:right="0" w:hanging="359"/>
        <w:jc w:val="left"/>
        <w:rPr>
          <w:rFonts w:ascii="Symbol" w:hAnsi="Symbol"/>
          <w:color w:val="1F1F1F"/>
          <w:sz w:val="20"/>
        </w:rPr>
      </w:pPr>
      <w:r>
        <w:rPr>
          <w:color w:val="1F1F1F"/>
          <w:sz w:val="24"/>
        </w:rPr>
        <w:t>Groups</w:t>
      </w:r>
      <w:r>
        <w:rPr>
          <w:color w:val="1F1F1F"/>
          <w:spacing w:val="-6"/>
          <w:sz w:val="24"/>
        </w:rPr>
        <w:t xml:space="preserve"> </w:t>
      </w:r>
      <w:r>
        <w:rPr>
          <w:color w:val="1F1F1F"/>
          <w:sz w:val="24"/>
        </w:rPr>
        <w:t>of</w:t>
      </w:r>
      <w:r>
        <w:rPr>
          <w:color w:val="1F1F1F"/>
          <w:spacing w:val="-8"/>
          <w:sz w:val="24"/>
        </w:rPr>
        <w:t xml:space="preserve"> </w:t>
      </w:r>
      <w:r>
        <w:rPr>
          <w:color w:val="1F1F1F"/>
          <w:sz w:val="24"/>
        </w:rPr>
        <w:t>8-10</w:t>
      </w:r>
      <w:r>
        <w:rPr>
          <w:color w:val="1F1F1F"/>
          <w:spacing w:val="-6"/>
          <w:sz w:val="24"/>
        </w:rPr>
        <w:t xml:space="preserve"> </w:t>
      </w:r>
      <w:r>
        <w:rPr>
          <w:color w:val="1F1F1F"/>
          <w:sz w:val="24"/>
        </w:rPr>
        <w:t>rats</w:t>
      </w:r>
      <w:r>
        <w:rPr>
          <w:color w:val="1F1F1F"/>
          <w:spacing w:val="-6"/>
          <w:sz w:val="24"/>
        </w:rPr>
        <w:t xml:space="preserve"> </w:t>
      </w:r>
      <w:r>
        <w:rPr>
          <w:color w:val="1F1F1F"/>
          <w:sz w:val="24"/>
        </w:rPr>
        <w:t>has</w:t>
      </w:r>
      <w:r>
        <w:rPr>
          <w:color w:val="1F1F1F"/>
          <w:spacing w:val="-6"/>
          <w:sz w:val="24"/>
        </w:rPr>
        <w:t xml:space="preserve"> </w:t>
      </w:r>
      <w:r>
        <w:rPr>
          <w:color w:val="1F1F1F"/>
          <w:sz w:val="24"/>
        </w:rPr>
        <w:t>randomly</w:t>
      </w:r>
      <w:r>
        <w:rPr>
          <w:color w:val="1F1F1F"/>
          <w:spacing w:val="-10"/>
          <w:sz w:val="24"/>
        </w:rPr>
        <w:t xml:space="preserve"> </w:t>
      </w:r>
      <w:r>
        <w:rPr>
          <w:color w:val="1F1F1F"/>
          <w:sz w:val="24"/>
        </w:rPr>
        <w:t>assigned</w:t>
      </w:r>
      <w:r>
        <w:rPr>
          <w:color w:val="1F1F1F"/>
          <w:spacing w:val="-6"/>
          <w:sz w:val="24"/>
        </w:rPr>
        <w:t xml:space="preserve"> </w:t>
      </w:r>
      <w:r>
        <w:rPr>
          <w:color w:val="1F1F1F"/>
          <w:sz w:val="24"/>
        </w:rPr>
        <w:t>to</w:t>
      </w:r>
      <w:r>
        <w:rPr>
          <w:color w:val="1F1F1F"/>
          <w:spacing w:val="-6"/>
          <w:sz w:val="24"/>
        </w:rPr>
        <w:t xml:space="preserve"> </w:t>
      </w:r>
      <w:r>
        <w:rPr>
          <w:color w:val="1F1F1F"/>
          <w:sz w:val="24"/>
        </w:rPr>
        <w:t>treatment</w:t>
      </w:r>
      <w:r>
        <w:rPr>
          <w:color w:val="1F1F1F"/>
          <w:spacing w:val="-6"/>
          <w:sz w:val="24"/>
        </w:rPr>
        <w:t xml:space="preserve"> </w:t>
      </w:r>
      <w:r>
        <w:rPr>
          <w:color w:val="1F1F1F"/>
          <w:spacing w:val="-2"/>
          <w:sz w:val="24"/>
        </w:rPr>
        <w:t>groups.</w:t>
      </w:r>
    </w:p>
    <w:p w14:paraId="3B07286C">
      <w:pPr>
        <w:pStyle w:val="6"/>
        <w:spacing w:before="5"/>
      </w:pPr>
    </w:p>
    <w:p w14:paraId="04342E6A">
      <w:pPr>
        <w:pStyle w:val="2"/>
        <w:ind w:left="0" w:right="3"/>
        <w:jc w:val="center"/>
      </w:pPr>
      <w:r>
        <w:rPr>
          <w:color w:val="1F1F1F"/>
          <w:spacing w:val="-2"/>
        </w:rPr>
        <w:t>TREATMENT</w:t>
      </w:r>
    </w:p>
    <w:p w14:paraId="220AA559">
      <w:pPr>
        <w:pStyle w:val="10"/>
        <w:numPr>
          <w:ilvl w:val="0"/>
          <w:numId w:val="2"/>
        </w:numPr>
        <w:tabs>
          <w:tab w:val="left" w:pos="719"/>
        </w:tabs>
        <w:spacing w:before="273" w:after="0" w:line="240" w:lineRule="auto"/>
        <w:ind w:left="719" w:right="0" w:hanging="359"/>
        <w:jc w:val="left"/>
        <w:rPr>
          <w:rFonts w:ascii="Symbol" w:hAnsi="Symbol"/>
          <w:color w:val="1F1F1F"/>
          <w:sz w:val="24"/>
        </w:rPr>
      </w:pPr>
      <w:r>
        <w:rPr>
          <w:color w:val="1F1F1F"/>
          <w:sz w:val="24"/>
        </w:rPr>
        <w:t>Control</w:t>
      </w:r>
      <w:r>
        <w:rPr>
          <w:color w:val="1F1F1F"/>
          <w:spacing w:val="-8"/>
          <w:sz w:val="24"/>
        </w:rPr>
        <w:t xml:space="preserve"> </w:t>
      </w:r>
      <w:r>
        <w:rPr>
          <w:color w:val="1F1F1F"/>
          <w:sz w:val="24"/>
        </w:rPr>
        <w:t>group:</w:t>
      </w:r>
      <w:r>
        <w:rPr>
          <w:color w:val="1F1F1F"/>
          <w:spacing w:val="-7"/>
          <w:sz w:val="24"/>
        </w:rPr>
        <w:t xml:space="preserve"> </w:t>
      </w:r>
      <w:r>
        <w:rPr>
          <w:color w:val="1F1F1F"/>
          <w:sz w:val="24"/>
        </w:rPr>
        <w:t>Saline</w:t>
      </w:r>
      <w:r>
        <w:rPr>
          <w:color w:val="1F1F1F"/>
          <w:spacing w:val="-7"/>
          <w:sz w:val="24"/>
        </w:rPr>
        <w:t xml:space="preserve"> </w:t>
      </w:r>
      <w:r>
        <w:rPr>
          <w:color w:val="1F1F1F"/>
          <w:sz w:val="24"/>
        </w:rPr>
        <w:t>injection</w:t>
      </w:r>
      <w:r>
        <w:rPr>
          <w:color w:val="1F1F1F"/>
          <w:spacing w:val="-7"/>
          <w:sz w:val="24"/>
        </w:rPr>
        <w:t xml:space="preserve"> </w:t>
      </w:r>
      <w:r>
        <w:rPr>
          <w:color w:val="1F1F1F"/>
          <w:sz w:val="24"/>
        </w:rPr>
        <w:t>intraperitoneally</w:t>
      </w:r>
      <w:r>
        <w:rPr>
          <w:color w:val="1F1F1F"/>
          <w:spacing w:val="-7"/>
          <w:sz w:val="24"/>
        </w:rPr>
        <w:t xml:space="preserve"> </w:t>
      </w:r>
      <w:r>
        <w:rPr>
          <w:color w:val="1F1F1F"/>
          <w:sz w:val="24"/>
        </w:rPr>
        <w:t>(i.p.)</w:t>
      </w:r>
      <w:r>
        <w:rPr>
          <w:color w:val="1F1F1F"/>
          <w:spacing w:val="-8"/>
          <w:sz w:val="24"/>
        </w:rPr>
        <w:t xml:space="preserve"> </w:t>
      </w:r>
      <w:r>
        <w:rPr>
          <w:color w:val="1F1F1F"/>
          <w:sz w:val="24"/>
        </w:rPr>
        <w:t>followed</w:t>
      </w:r>
      <w:r>
        <w:rPr>
          <w:color w:val="1F1F1F"/>
          <w:spacing w:val="-7"/>
          <w:sz w:val="24"/>
        </w:rPr>
        <w:t xml:space="preserve"> </w:t>
      </w:r>
      <w:r>
        <w:rPr>
          <w:color w:val="1F1F1F"/>
          <w:sz w:val="24"/>
        </w:rPr>
        <w:t>by</w:t>
      </w:r>
      <w:r>
        <w:rPr>
          <w:color w:val="1F1F1F"/>
          <w:spacing w:val="-10"/>
          <w:sz w:val="24"/>
        </w:rPr>
        <w:t xml:space="preserve"> </w:t>
      </w:r>
      <w:r>
        <w:rPr>
          <w:color w:val="1F1F1F"/>
          <w:sz w:val="24"/>
        </w:rPr>
        <w:t>saline</w:t>
      </w:r>
      <w:r>
        <w:rPr>
          <w:color w:val="1F1F1F"/>
          <w:spacing w:val="-8"/>
          <w:sz w:val="24"/>
        </w:rPr>
        <w:t xml:space="preserve"> </w:t>
      </w:r>
      <w:r>
        <w:rPr>
          <w:color w:val="1F1F1F"/>
          <w:sz w:val="24"/>
        </w:rPr>
        <w:t>i.p.</w:t>
      </w:r>
      <w:r>
        <w:rPr>
          <w:color w:val="1F1F1F"/>
          <w:spacing w:val="-7"/>
          <w:sz w:val="24"/>
        </w:rPr>
        <w:t xml:space="preserve"> </w:t>
      </w:r>
      <w:r>
        <w:rPr>
          <w:color w:val="1F1F1F"/>
          <w:sz w:val="24"/>
        </w:rPr>
        <w:t>2</w:t>
      </w:r>
      <w:r>
        <w:rPr>
          <w:color w:val="1F1F1F"/>
          <w:spacing w:val="-7"/>
          <w:sz w:val="24"/>
        </w:rPr>
        <w:t xml:space="preserve"> </w:t>
      </w:r>
      <w:r>
        <w:rPr>
          <w:color w:val="1F1F1F"/>
          <w:sz w:val="24"/>
        </w:rPr>
        <w:t>hours</w:t>
      </w:r>
      <w:r>
        <w:rPr>
          <w:color w:val="1F1F1F"/>
          <w:spacing w:val="-7"/>
          <w:sz w:val="24"/>
        </w:rPr>
        <w:t xml:space="preserve"> </w:t>
      </w:r>
      <w:r>
        <w:rPr>
          <w:color w:val="1F1F1F"/>
          <w:spacing w:val="-2"/>
          <w:sz w:val="24"/>
        </w:rPr>
        <w:t>later.</w:t>
      </w:r>
    </w:p>
    <w:p w14:paraId="0D7815D3">
      <w:pPr>
        <w:pStyle w:val="10"/>
        <w:numPr>
          <w:ilvl w:val="0"/>
          <w:numId w:val="2"/>
        </w:numPr>
        <w:tabs>
          <w:tab w:val="left" w:pos="719"/>
        </w:tabs>
        <w:spacing w:before="42" w:after="0" w:line="240" w:lineRule="auto"/>
        <w:ind w:left="719" w:right="0" w:hanging="359"/>
        <w:jc w:val="left"/>
        <w:rPr>
          <w:rFonts w:ascii="Symbol" w:hAnsi="Symbol"/>
          <w:color w:val="1F1F1F"/>
          <w:sz w:val="24"/>
        </w:rPr>
      </w:pPr>
      <w:r>
        <w:rPr>
          <w:color w:val="1F1F1F"/>
          <w:sz w:val="24"/>
        </w:rPr>
        <w:t>Haloperidol</w:t>
      </w:r>
      <w:r>
        <w:rPr>
          <w:color w:val="1F1F1F"/>
          <w:spacing w:val="-4"/>
          <w:sz w:val="24"/>
        </w:rPr>
        <w:t xml:space="preserve"> </w:t>
      </w:r>
      <w:r>
        <w:rPr>
          <w:color w:val="1F1F1F"/>
          <w:sz w:val="24"/>
        </w:rPr>
        <w:t>group:</w:t>
      </w:r>
      <w:r>
        <w:rPr>
          <w:color w:val="1F1F1F"/>
          <w:spacing w:val="-7"/>
          <w:sz w:val="24"/>
        </w:rPr>
        <w:t xml:space="preserve"> </w:t>
      </w:r>
      <w:r>
        <w:rPr>
          <w:color w:val="1F1F1F"/>
          <w:sz w:val="24"/>
        </w:rPr>
        <w:t>Haloperidol</w:t>
      </w:r>
      <w:r>
        <w:rPr>
          <w:color w:val="1F1F1F"/>
          <w:spacing w:val="-6"/>
          <w:sz w:val="24"/>
        </w:rPr>
        <w:t xml:space="preserve"> </w:t>
      </w:r>
      <w:r>
        <w:rPr>
          <w:color w:val="1F1F1F"/>
          <w:sz w:val="24"/>
        </w:rPr>
        <w:t>(1</w:t>
      </w:r>
      <w:r>
        <w:rPr>
          <w:color w:val="1F1F1F"/>
          <w:spacing w:val="-7"/>
          <w:sz w:val="24"/>
        </w:rPr>
        <w:t xml:space="preserve"> </w:t>
      </w:r>
      <w:r>
        <w:rPr>
          <w:color w:val="1F1F1F"/>
          <w:sz w:val="24"/>
        </w:rPr>
        <w:t>mg/kg,</w:t>
      </w:r>
      <w:r>
        <w:rPr>
          <w:color w:val="1F1F1F"/>
          <w:spacing w:val="-6"/>
          <w:sz w:val="24"/>
        </w:rPr>
        <w:t xml:space="preserve"> </w:t>
      </w:r>
      <w:r>
        <w:rPr>
          <w:color w:val="1F1F1F"/>
          <w:sz w:val="24"/>
        </w:rPr>
        <w:t>i.p.)</w:t>
      </w:r>
      <w:r>
        <w:rPr>
          <w:color w:val="1F1F1F"/>
          <w:spacing w:val="-7"/>
          <w:sz w:val="24"/>
        </w:rPr>
        <w:t xml:space="preserve"> </w:t>
      </w:r>
      <w:r>
        <w:rPr>
          <w:color w:val="1F1F1F"/>
          <w:sz w:val="24"/>
        </w:rPr>
        <w:t>followed</w:t>
      </w:r>
      <w:r>
        <w:rPr>
          <w:color w:val="1F1F1F"/>
          <w:spacing w:val="-8"/>
          <w:sz w:val="24"/>
        </w:rPr>
        <w:t xml:space="preserve"> </w:t>
      </w:r>
      <w:r>
        <w:rPr>
          <w:color w:val="1F1F1F"/>
          <w:sz w:val="24"/>
        </w:rPr>
        <w:t>by</w:t>
      </w:r>
      <w:r>
        <w:rPr>
          <w:color w:val="1F1F1F"/>
          <w:spacing w:val="-10"/>
          <w:sz w:val="24"/>
        </w:rPr>
        <w:t xml:space="preserve"> </w:t>
      </w:r>
      <w:r>
        <w:rPr>
          <w:color w:val="1F1F1F"/>
          <w:sz w:val="24"/>
        </w:rPr>
        <w:t>saline</w:t>
      </w:r>
      <w:r>
        <w:rPr>
          <w:color w:val="1F1F1F"/>
          <w:spacing w:val="-8"/>
          <w:sz w:val="24"/>
        </w:rPr>
        <w:t xml:space="preserve"> </w:t>
      </w:r>
      <w:r>
        <w:rPr>
          <w:color w:val="1F1F1F"/>
          <w:sz w:val="24"/>
        </w:rPr>
        <w:t>i.p.</w:t>
      </w:r>
      <w:r>
        <w:rPr>
          <w:color w:val="1F1F1F"/>
          <w:spacing w:val="-7"/>
          <w:sz w:val="24"/>
        </w:rPr>
        <w:t xml:space="preserve"> </w:t>
      </w:r>
      <w:r>
        <w:rPr>
          <w:color w:val="1F1F1F"/>
          <w:sz w:val="24"/>
        </w:rPr>
        <w:t>2</w:t>
      </w:r>
      <w:r>
        <w:rPr>
          <w:color w:val="1F1F1F"/>
          <w:spacing w:val="-6"/>
          <w:sz w:val="24"/>
        </w:rPr>
        <w:t xml:space="preserve"> </w:t>
      </w:r>
      <w:r>
        <w:rPr>
          <w:color w:val="1F1F1F"/>
          <w:sz w:val="24"/>
        </w:rPr>
        <w:t>hours</w:t>
      </w:r>
      <w:r>
        <w:rPr>
          <w:color w:val="1F1F1F"/>
          <w:spacing w:val="-8"/>
          <w:sz w:val="24"/>
        </w:rPr>
        <w:t xml:space="preserve"> </w:t>
      </w:r>
      <w:r>
        <w:rPr>
          <w:color w:val="1F1F1F"/>
          <w:spacing w:val="-2"/>
          <w:sz w:val="24"/>
        </w:rPr>
        <w:t>later.</w:t>
      </w:r>
    </w:p>
    <w:p w14:paraId="49E578ED">
      <w:pPr>
        <w:pStyle w:val="10"/>
        <w:numPr>
          <w:ilvl w:val="0"/>
          <w:numId w:val="2"/>
        </w:numPr>
        <w:tabs>
          <w:tab w:val="left" w:pos="719"/>
        </w:tabs>
        <w:spacing w:before="40" w:after="0" w:line="240" w:lineRule="auto"/>
        <w:ind w:left="719" w:right="0" w:hanging="359"/>
        <w:jc w:val="left"/>
        <w:rPr>
          <w:rFonts w:ascii="Symbol" w:hAnsi="Symbol"/>
          <w:color w:val="1F1F1F"/>
          <w:sz w:val="24"/>
        </w:rPr>
      </w:pPr>
      <w:r>
        <w:rPr>
          <w:color w:val="1F1F1F"/>
          <w:sz w:val="24"/>
        </w:rPr>
        <w:t>Zonisamide</w:t>
      </w:r>
      <w:r>
        <w:rPr>
          <w:color w:val="1F1F1F"/>
          <w:spacing w:val="-14"/>
          <w:sz w:val="24"/>
        </w:rPr>
        <w:t xml:space="preserve"> </w:t>
      </w:r>
      <w:r>
        <w:rPr>
          <w:color w:val="1F1F1F"/>
          <w:spacing w:val="-2"/>
          <w:sz w:val="24"/>
        </w:rPr>
        <w:t>groups:</w:t>
      </w:r>
    </w:p>
    <w:p w14:paraId="6EA1969A">
      <w:pPr>
        <w:pStyle w:val="10"/>
        <w:numPr>
          <w:ilvl w:val="0"/>
          <w:numId w:val="2"/>
        </w:numPr>
        <w:tabs>
          <w:tab w:val="left" w:pos="719"/>
        </w:tabs>
        <w:spacing w:before="42" w:after="0" w:line="240" w:lineRule="auto"/>
        <w:ind w:left="719" w:right="0" w:hanging="359"/>
        <w:jc w:val="left"/>
        <w:rPr>
          <w:rFonts w:ascii="Symbol" w:hAnsi="Symbol"/>
          <w:color w:val="1F1F1F"/>
          <w:sz w:val="24"/>
        </w:rPr>
      </w:pPr>
      <w:r>
        <w:rPr>
          <w:color w:val="1F1F1F"/>
          <w:sz w:val="24"/>
        </w:rPr>
        <w:t>Zonisamide</w:t>
      </w:r>
      <w:r>
        <w:rPr>
          <w:color w:val="1F1F1F"/>
          <w:spacing w:val="-8"/>
          <w:sz w:val="24"/>
        </w:rPr>
        <w:t xml:space="preserve"> </w:t>
      </w:r>
      <w:r>
        <w:rPr>
          <w:color w:val="1F1F1F"/>
          <w:sz w:val="24"/>
        </w:rPr>
        <w:t>(10</w:t>
      </w:r>
      <w:r>
        <w:rPr>
          <w:color w:val="1F1F1F"/>
          <w:spacing w:val="-5"/>
          <w:sz w:val="24"/>
        </w:rPr>
        <w:t xml:space="preserve"> </w:t>
      </w:r>
      <w:r>
        <w:rPr>
          <w:color w:val="1F1F1F"/>
          <w:sz w:val="24"/>
        </w:rPr>
        <w:t>mg/kg,</w:t>
      </w:r>
      <w:r>
        <w:rPr>
          <w:color w:val="1F1F1F"/>
          <w:spacing w:val="-5"/>
          <w:sz w:val="24"/>
        </w:rPr>
        <w:t xml:space="preserve"> </w:t>
      </w:r>
      <w:r>
        <w:rPr>
          <w:color w:val="1F1F1F"/>
          <w:sz w:val="24"/>
        </w:rPr>
        <w:t>i.p.)</w:t>
      </w:r>
      <w:r>
        <w:rPr>
          <w:color w:val="1F1F1F"/>
          <w:spacing w:val="-7"/>
          <w:sz w:val="24"/>
        </w:rPr>
        <w:t xml:space="preserve"> </w:t>
      </w:r>
      <w:r>
        <w:rPr>
          <w:color w:val="1F1F1F"/>
          <w:sz w:val="24"/>
        </w:rPr>
        <w:t>followed</w:t>
      </w:r>
      <w:r>
        <w:rPr>
          <w:color w:val="1F1F1F"/>
          <w:spacing w:val="-6"/>
          <w:sz w:val="24"/>
        </w:rPr>
        <w:t xml:space="preserve"> </w:t>
      </w:r>
      <w:r>
        <w:rPr>
          <w:color w:val="1F1F1F"/>
          <w:sz w:val="24"/>
        </w:rPr>
        <w:t>by</w:t>
      </w:r>
      <w:r>
        <w:rPr>
          <w:color w:val="1F1F1F"/>
          <w:spacing w:val="-9"/>
          <w:sz w:val="24"/>
        </w:rPr>
        <w:t xml:space="preserve"> </w:t>
      </w:r>
      <w:r>
        <w:rPr>
          <w:color w:val="1F1F1F"/>
          <w:sz w:val="24"/>
        </w:rPr>
        <w:t>saline</w:t>
      </w:r>
      <w:r>
        <w:rPr>
          <w:color w:val="1F1F1F"/>
          <w:spacing w:val="-7"/>
          <w:sz w:val="24"/>
        </w:rPr>
        <w:t xml:space="preserve"> </w:t>
      </w:r>
      <w:r>
        <w:rPr>
          <w:color w:val="1F1F1F"/>
          <w:sz w:val="24"/>
        </w:rPr>
        <w:t>i.p.</w:t>
      </w:r>
      <w:r>
        <w:rPr>
          <w:color w:val="1F1F1F"/>
          <w:spacing w:val="-2"/>
          <w:sz w:val="24"/>
        </w:rPr>
        <w:t xml:space="preserve"> </w:t>
      </w:r>
      <w:r>
        <w:rPr>
          <w:color w:val="1F1F1F"/>
          <w:sz w:val="24"/>
        </w:rPr>
        <w:t>2</w:t>
      </w:r>
      <w:r>
        <w:rPr>
          <w:color w:val="1F1F1F"/>
          <w:spacing w:val="-6"/>
          <w:sz w:val="24"/>
        </w:rPr>
        <w:t xml:space="preserve"> </w:t>
      </w:r>
      <w:r>
        <w:rPr>
          <w:color w:val="1F1F1F"/>
          <w:sz w:val="24"/>
        </w:rPr>
        <w:t>hours</w:t>
      </w:r>
      <w:r>
        <w:rPr>
          <w:color w:val="1F1F1F"/>
          <w:spacing w:val="-7"/>
          <w:sz w:val="24"/>
        </w:rPr>
        <w:t xml:space="preserve"> </w:t>
      </w:r>
      <w:r>
        <w:rPr>
          <w:color w:val="1F1F1F"/>
          <w:spacing w:val="-2"/>
          <w:sz w:val="24"/>
        </w:rPr>
        <w:t>later.</w:t>
      </w:r>
    </w:p>
    <w:p w14:paraId="3FE3CEC2">
      <w:pPr>
        <w:pStyle w:val="10"/>
        <w:numPr>
          <w:ilvl w:val="0"/>
          <w:numId w:val="2"/>
        </w:numPr>
        <w:tabs>
          <w:tab w:val="left" w:pos="719"/>
        </w:tabs>
        <w:spacing w:before="39" w:after="0" w:line="240" w:lineRule="auto"/>
        <w:ind w:left="719" w:right="0" w:hanging="359"/>
        <w:jc w:val="left"/>
        <w:rPr>
          <w:rFonts w:ascii="Symbol" w:hAnsi="Symbol"/>
          <w:color w:val="1F1F1F"/>
          <w:sz w:val="24"/>
        </w:rPr>
      </w:pPr>
      <w:r>
        <w:rPr>
          <w:color w:val="1F1F1F"/>
          <w:sz w:val="24"/>
        </w:rPr>
        <w:t>Zonisamide</w:t>
      </w:r>
      <w:r>
        <w:rPr>
          <w:color w:val="1F1F1F"/>
          <w:spacing w:val="-8"/>
          <w:sz w:val="24"/>
        </w:rPr>
        <w:t xml:space="preserve"> </w:t>
      </w:r>
      <w:r>
        <w:rPr>
          <w:color w:val="1F1F1F"/>
          <w:sz w:val="24"/>
        </w:rPr>
        <w:t>(15</w:t>
      </w:r>
      <w:r>
        <w:rPr>
          <w:color w:val="1F1F1F"/>
          <w:spacing w:val="-5"/>
          <w:sz w:val="24"/>
        </w:rPr>
        <w:t xml:space="preserve"> </w:t>
      </w:r>
      <w:r>
        <w:rPr>
          <w:color w:val="1F1F1F"/>
          <w:sz w:val="24"/>
        </w:rPr>
        <w:t>mg/kg,</w:t>
      </w:r>
      <w:r>
        <w:rPr>
          <w:color w:val="1F1F1F"/>
          <w:spacing w:val="-5"/>
          <w:sz w:val="24"/>
        </w:rPr>
        <w:t xml:space="preserve"> </w:t>
      </w:r>
      <w:r>
        <w:rPr>
          <w:color w:val="1F1F1F"/>
          <w:sz w:val="24"/>
        </w:rPr>
        <w:t>i.p.)</w:t>
      </w:r>
      <w:r>
        <w:rPr>
          <w:color w:val="1F1F1F"/>
          <w:spacing w:val="-7"/>
          <w:sz w:val="24"/>
        </w:rPr>
        <w:t xml:space="preserve"> </w:t>
      </w:r>
      <w:r>
        <w:rPr>
          <w:color w:val="1F1F1F"/>
          <w:sz w:val="24"/>
        </w:rPr>
        <w:t>followed</w:t>
      </w:r>
      <w:r>
        <w:rPr>
          <w:color w:val="1F1F1F"/>
          <w:spacing w:val="-6"/>
          <w:sz w:val="24"/>
        </w:rPr>
        <w:t xml:space="preserve"> </w:t>
      </w:r>
      <w:r>
        <w:rPr>
          <w:color w:val="1F1F1F"/>
          <w:sz w:val="24"/>
        </w:rPr>
        <w:t>by</w:t>
      </w:r>
      <w:r>
        <w:rPr>
          <w:color w:val="1F1F1F"/>
          <w:spacing w:val="-9"/>
          <w:sz w:val="24"/>
        </w:rPr>
        <w:t xml:space="preserve"> </w:t>
      </w:r>
      <w:r>
        <w:rPr>
          <w:color w:val="1F1F1F"/>
          <w:sz w:val="24"/>
        </w:rPr>
        <w:t>saline</w:t>
      </w:r>
      <w:r>
        <w:rPr>
          <w:color w:val="1F1F1F"/>
          <w:spacing w:val="-7"/>
          <w:sz w:val="24"/>
        </w:rPr>
        <w:t xml:space="preserve"> </w:t>
      </w:r>
      <w:r>
        <w:rPr>
          <w:color w:val="1F1F1F"/>
          <w:sz w:val="24"/>
        </w:rPr>
        <w:t>i.p.</w:t>
      </w:r>
      <w:r>
        <w:rPr>
          <w:color w:val="1F1F1F"/>
          <w:spacing w:val="-2"/>
          <w:sz w:val="24"/>
        </w:rPr>
        <w:t xml:space="preserve"> </w:t>
      </w:r>
      <w:r>
        <w:rPr>
          <w:color w:val="1F1F1F"/>
          <w:sz w:val="24"/>
        </w:rPr>
        <w:t>2</w:t>
      </w:r>
      <w:r>
        <w:rPr>
          <w:color w:val="1F1F1F"/>
          <w:spacing w:val="-6"/>
          <w:sz w:val="24"/>
        </w:rPr>
        <w:t xml:space="preserve"> </w:t>
      </w:r>
      <w:r>
        <w:rPr>
          <w:color w:val="1F1F1F"/>
          <w:sz w:val="24"/>
        </w:rPr>
        <w:t>hours</w:t>
      </w:r>
      <w:r>
        <w:rPr>
          <w:color w:val="1F1F1F"/>
          <w:spacing w:val="-7"/>
          <w:sz w:val="24"/>
        </w:rPr>
        <w:t xml:space="preserve"> </w:t>
      </w:r>
      <w:r>
        <w:rPr>
          <w:color w:val="1F1F1F"/>
          <w:spacing w:val="-2"/>
          <w:sz w:val="24"/>
        </w:rPr>
        <w:t>later.</w:t>
      </w:r>
    </w:p>
    <w:p w14:paraId="0E8B3AE3">
      <w:pPr>
        <w:pStyle w:val="10"/>
        <w:numPr>
          <w:ilvl w:val="0"/>
          <w:numId w:val="2"/>
        </w:numPr>
        <w:tabs>
          <w:tab w:val="left" w:pos="719"/>
        </w:tabs>
        <w:spacing w:before="40" w:after="0" w:line="240" w:lineRule="auto"/>
        <w:ind w:left="719" w:right="0" w:hanging="359"/>
        <w:jc w:val="left"/>
        <w:rPr>
          <w:rFonts w:ascii="Symbol" w:hAnsi="Symbol"/>
          <w:color w:val="1F1F1F"/>
          <w:sz w:val="24"/>
        </w:rPr>
      </w:pPr>
      <w:r>
        <w:rPr>
          <w:color w:val="1F1F1F"/>
          <w:sz w:val="24"/>
        </w:rPr>
        <w:t>Zonisamide</w:t>
      </w:r>
      <w:r>
        <w:rPr>
          <w:color w:val="1F1F1F"/>
          <w:spacing w:val="-8"/>
          <w:sz w:val="24"/>
        </w:rPr>
        <w:t xml:space="preserve"> </w:t>
      </w:r>
      <w:r>
        <w:rPr>
          <w:color w:val="1F1F1F"/>
          <w:sz w:val="24"/>
        </w:rPr>
        <w:t>(20</w:t>
      </w:r>
      <w:r>
        <w:rPr>
          <w:color w:val="1F1F1F"/>
          <w:spacing w:val="-7"/>
          <w:sz w:val="24"/>
        </w:rPr>
        <w:t xml:space="preserve"> </w:t>
      </w:r>
      <w:r>
        <w:rPr>
          <w:color w:val="1F1F1F"/>
          <w:sz w:val="24"/>
        </w:rPr>
        <w:t>mg/kg,</w:t>
      </w:r>
      <w:r>
        <w:rPr>
          <w:color w:val="1F1F1F"/>
          <w:spacing w:val="-6"/>
          <w:sz w:val="24"/>
        </w:rPr>
        <w:t xml:space="preserve"> </w:t>
      </w:r>
      <w:r>
        <w:rPr>
          <w:color w:val="1F1F1F"/>
          <w:sz w:val="24"/>
        </w:rPr>
        <w:t>i.p.)</w:t>
      </w:r>
      <w:r>
        <w:rPr>
          <w:color w:val="1F1F1F"/>
          <w:spacing w:val="-8"/>
          <w:sz w:val="24"/>
        </w:rPr>
        <w:t xml:space="preserve"> </w:t>
      </w:r>
      <w:r>
        <w:rPr>
          <w:color w:val="1F1F1F"/>
          <w:sz w:val="24"/>
        </w:rPr>
        <w:t>followed</w:t>
      </w:r>
      <w:r>
        <w:rPr>
          <w:color w:val="1F1F1F"/>
          <w:spacing w:val="-6"/>
          <w:sz w:val="24"/>
        </w:rPr>
        <w:t xml:space="preserve"> </w:t>
      </w:r>
      <w:r>
        <w:rPr>
          <w:color w:val="1F1F1F"/>
          <w:sz w:val="24"/>
        </w:rPr>
        <w:t>by</w:t>
      </w:r>
      <w:r>
        <w:rPr>
          <w:color w:val="1F1F1F"/>
          <w:spacing w:val="-10"/>
          <w:sz w:val="24"/>
        </w:rPr>
        <w:t xml:space="preserve"> </w:t>
      </w:r>
      <w:r>
        <w:rPr>
          <w:color w:val="1F1F1F"/>
          <w:sz w:val="24"/>
        </w:rPr>
        <w:t>haloperidol</w:t>
      </w:r>
      <w:r>
        <w:rPr>
          <w:color w:val="1F1F1F"/>
          <w:spacing w:val="-6"/>
          <w:sz w:val="24"/>
        </w:rPr>
        <w:t xml:space="preserve"> </w:t>
      </w:r>
      <w:r>
        <w:rPr>
          <w:color w:val="1F1F1F"/>
          <w:sz w:val="24"/>
        </w:rPr>
        <w:t>(1</w:t>
      </w:r>
      <w:r>
        <w:rPr>
          <w:color w:val="1F1F1F"/>
          <w:spacing w:val="-6"/>
          <w:sz w:val="24"/>
        </w:rPr>
        <w:t xml:space="preserve"> </w:t>
      </w:r>
      <w:r>
        <w:rPr>
          <w:color w:val="1F1F1F"/>
          <w:sz w:val="24"/>
        </w:rPr>
        <w:t>mg/kg,</w:t>
      </w:r>
      <w:r>
        <w:rPr>
          <w:color w:val="1F1F1F"/>
          <w:spacing w:val="-6"/>
          <w:sz w:val="24"/>
        </w:rPr>
        <w:t xml:space="preserve"> </w:t>
      </w:r>
      <w:r>
        <w:rPr>
          <w:color w:val="1F1F1F"/>
          <w:sz w:val="24"/>
        </w:rPr>
        <w:t>i.p.)</w:t>
      </w:r>
      <w:r>
        <w:rPr>
          <w:color w:val="1F1F1F"/>
          <w:spacing w:val="-8"/>
          <w:sz w:val="24"/>
        </w:rPr>
        <w:t xml:space="preserve"> </w:t>
      </w:r>
      <w:r>
        <w:rPr>
          <w:color w:val="1F1F1F"/>
          <w:sz w:val="24"/>
        </w:rPr>
        <w:t>2</w:t>
      </w:r>
      <w:r>
        <w:rPr>
          <w:color w:val="1F1F1F"/>
          <w:spacing w:val="-6"/>
          <w:sz w:val="24"/>
        </w:rPr>
        <w:t xml:space="preserve"> </w:t>
      </w:r>
      <w:r>
        <w:rPr>
          <w:color w:val="1F1F1F"/>
          <w:sz w:val="24"/>
        </w:rPr>
        <w:t>hours</w:t>
      </w:r>
      <w:r>
        <w:rPr>
          <w:color w:val="1F1F1F"/>
          <w:spacing w:val="-4"/>
          <w:sz w:val="24"/>
        </w:rPr>
        <w:t xml:space="preserve"> </w:t>
      </w:r>
      <w:r>
        <w:rPr>
          <w:color w:val="1F1F1F"/>
          <w:spacing w:val="-2"/>
          <w:sz w:val="24"/>
        </w:rPr>
        <w:t>later.</w:t>
      </w:r>
    </w:p>
    <w:p w14:paraId="55C98657">
      <w:pPr>
        <w:pStyle w:val="6"/>
        <w:spacing w:before="44"/>
      </w:pPr>
    </w:p>
    <w:p w14:paraId="3E1D01DF">
      <w:pPr>
        <w:pStyle w:val="3"/>
        <w:spacing w:before="1"/>
        <w:jc w:val="both"/>
      </w:pPr>
      <w:r>
        <w:rPr>
          <w:color w:val="1F1F1F"/>
        </w:rPr>
        <w:t>Behavioral</w:t>
      </w:r>
      <w:r>
        <w:rPr>
          <w:color w:val="1F1F1F"/>
          <w:spacing w:val="-11"/>
        </w:rPr>
        <w:t xml:space="preserve"> </w:t>
      </w:r>
      <w:r>
        <w:rPr>
          <w:color w:val="1F1F1F"/>
          <w:spacing w:val="-2"/>
        </w:rPr>
        <w:t>Testing</w:t>
      </w:r>
    </w:p>
    <w:p w14:paraId="6F5C3FF3">
      <w:pPr>
        <w:pStyle w:val="10"/>
        <w:numPr>
          <w:ilvl w:val="0"/>
          <w:numId w:val="2"/>
        </w:numPr>
        <w:tabs>
          <w:tab w:val="left" w:pos="720"/>
        </w:tabs>
        <w:spacing w:before="271" w:after="0" w:line="240" w:lineRule="auto"/>
        <w:ind w:left="720" w:right="368" w:hanging="360"/>
        <w:jc w:val="both"/>
        <w:rPr>
          <w:rFonts w:ascii="Symbol" w:hAnsi="Symbol"/>
          <w:color w:val="1F1F1F"/>
          <w:sz w:val="20"/>
        </w:rPr>
      </w:pPr>
      <w:r>
        <w:rPr>
          <w:color w:val="1F1F1F"/>
          <w:sz w:val="24"/>
        </w:rPr>
        <w:t>Bar test:</w:t>
      </w:r>
      <w:r>
        <w:rPr>
          <w:color w:val="1F1F1F"/>
          <w:spacing w:val="-1"/>
          <w:sz w:val="24"/>
        </w:rPr>
        <w:t xml:space="preserve"> </w:t>
      </w:r>
      <w:r>
        <w:rPr>
          <w:color w:val="1F1F1F"/>
          <w:sz w:val="24"/>
        </w:rPr>
        <w:t>Individual rats has</w:t>
      </w:r>
      <w:r>
        <w:rPr>
          <w:color w:val="1F1F1F"/>
          <w:spacing w:val="-1"/>
          <w:sz w:val="24"/>
        </w:rPr>
        <w:t xml:space="preserve"> </w:t>
      </w:r>
      <w:r>
        <w:rPr>
          <w:color w:val="1F1F1F"/>
          <w:sz w:val="24"/>
        </w:rPr>
        <w:t>placed</w:t>
      </w:r>
      <w:r>
        <w:rPr>
          <w:color w:val="1F1F1F"/>
          <w:spacing w:val="-1"/>
          <w:sz w:val="24"/>
        </w:rPr>
        <w:t xml:space="preserve"> </w:t>
      </w:r>
      <w:r>
        <w:rPr>
          <w:color w:val="1F1F1F"/>
          <w:sz w:val="24"/>
        </w:rPr>
        <w:t>on a horizontal bar suspended 50 cm above the floor. The time taken for each rat to lose grip and fall has measured at baseline and then every 30 minutes for 2 hours post-treatment.</w:t>
      </w:r>
    </w:p>
    <w:p w14:paraId="2EE13AD2">
      <w:pPr>
        <w:pStyle w:val="10"/>
        <w:numPr>
          <w:ilvl w:val="0"/>
          <w:numId w:val="2"/>
        </w:numPr>
        <w:tabs>
          <w:tab w:val="left" w:pos="720"/>
        </w:tabs>
        <w:spacing w:before="0" w:after="0" w:line="240" w:lineRule="auto"/>
        <w:ind w:left="720" w:right="366" w:hanging="360"/>
        <w:jc w:val="both"/>
        <w:rPr>
          <w:rFonts w:ascii="Symbol" w:hAnsi="Symbol"/>
          <w:color w:val="1F1F1F"/>
          <w:sz w:val="20"/>
        </w:rPr>
      </w:pPr>
      <w:r>
        <w:rPr>
          <w:color w:val="1F1F1F"/>
          <w:sz w:val="24"/>
        </w:rPr>
        <w:t>Limb rigidity scoring:</w:t>
      </w:r>
      <w:r>
        <w:rPr>
          <w:color w:val="1F1F1F"/>
          <w:spacing w:val="-3"/>
          <w:sz w:val="24"/>
        </w:rPr>
        <w:t xml:space="preserve"> </w:t>
      </w:r>
      <w:r>
        <w:rPr>
          <w:color w:val="1F1F1F"/>
          <w:sz w:val="24"/>
        </w:rPr>
        <w:t xml:space="preserve">Muscle rigidity in four limbs (forelimbs, hindlimbs) has scored on a scale from 0 (normal) to 4 (rigid) at baseline and then every 30 minutes for 2 hours post- </w:t>
      </w:r>
      <w:r>
        <w:rPr>
          <w:color w:val="1F1F1F"/>
          <w:spacing w:val="-2"/>
          <w:sz w:val="24"/>
        </w:rPr>
        <w:t>treatment.</w:t>
      </w:r>
    </w:p>
    <w:p w14:paraId="443E7859">
      <w:pPr>
        <w:pStyle w:val="10"/>
        <w:numPr>
          <w:ilvl w:val="0"/>
          <w:numId w:val="2"/>
        </w:numPr>
        <w:tabs>
          <w:tab w:val="left" w:pos="720"/>
        </w:tabs>
        <w:spacing w:before="0" w:after="0" w:line="240" w:lineRule="auto"/>
        <w:ind w:left="720" w:right="369" w:hanging="360"/>
        <w:jc w:val="both"/>
        <w:rPr>
          <w:rFonts w:ascii="Symbol" w:hAnsi="Symbol"/>
          <w:color w:val="1F1F1F"/>
          <w:sz w:val="20"/>
        </w:rPr>
      </w:pPr>
      <w:r>
        <w:rPr>
          <w:color w:val="1F1F1F"/>
          <w:sz w:val="24"/>
        </w:rPr>
        <w:t>Open field test (optional):</w:t>
      </w:r>
      <w:r>
        <w:rPr>
          <w:color w:val="1F1F1F"/>
          <w:spacing w:val="-3"/>
          <w:sz w:val="24"/>
        </w:rPr>
        <w:t xml:space="preserve"> </w:t>
      </w:r>
      <w:r>
        <w:rPr>
          <w:color w:val="1F1F1F"/>
          <w:sz w:val="24"/>
        </w:rPr>
        <w:t>Rats has placed in a novel open field arena and their locomotor activity (distance traveled, time spent in center) has monitored for 30 minutes post-treatment to assess potential motor side effects.</w:t>
      </w:r>
    </w:p>
    <w:p w14:paraId="55D38557">
      <w:pPr>
        <w:pStyle w:val="10"/>
        <w:spacing w:after="0" w:line="240" w:lineRule="auto"/>
        <w:jc w:val="both"/>
        <w:rPr>
          <w:rFonts w:ascii="Symbol" w:hAnsi="Symbol"/>
          <w:sz w:val="20"/>
        </w:rPr>
        <w:sectPr>
          <w:pgSz w:w="12240" w:h="15840"/>
          <w:pgMar w:top="740" w:right="1080" w:bottom="1200" w:left="1080" w:header="0" w:footer="1006" w:gutter="0"/>
          <w:cols w:space="720" w:num="1"/>
        </w:sectPr>
      </w:pPr>
    </w:p>
    <w:p w14:paraId="225A4EF6">
      <w:pPr>
        <w:pStyle w:val="2"/>
        <w:numPr>
          <w:ilvl w:val="0"/>
          <w:numId w:val="1"/>
        </w:numPr>
        <w:tabs>
          <w:tab w:val="left" w:pos="1079"/>
        </w:tabs>
        <w:spacing w:before="68" w:after="0" w:line="240" w:lineRule="auto"/>
        <w:ind w:left="1079" w:right="0" w:hanging="719"/>
        <w:jc w:val="left"/>
        <w:rPr>
          <w:color w:val="1F1F1F"/>
        </w:rPr>
      </w:pPr>
      <w:r>
        <w:rPr>
          <w:color w:val="1F1F1F"/>
          <w:spacing w:val="-2"/>
        </w:rPr>
        <w:t>NEUROCHEMICAL</w:t>
      </w:r>
      <w:r>
        <w:rPr>
          <w:color w:val="1F1F1F"/>
          <w:spacing w:val="3"/>
        </w:rPr>
        <w:t xml:space="preserve"> </w:t>
      </w:r>
      <w:r>
        <w:rPr>
          <w:color w:val="1F1F1F"/>
          <w:spacing w:val="-2"/>
        </w:rPr>
        <w:t>ANALYSIS</w:t>
      </w:r>
    </w:p>
    <w:p w14:paraId="4AAE48E9">
      <w:pPr>
        <w:pStyle w:val="10"/>
        <w:numPr>
          <w:ilvl w:val="0"/>
          <w:numId w:val="3"/>
        </w:numPr>
        <w:tabs>
          <w:tab w:val="left" w:pos="359"/>
        </w:tabs>
        <w:spacing w:before="276" w:after="0" w:line="240" w:lineRule="auto"/>
        <w:ind w:left="359" w:right="0" w:hanging="359"/>
        <w:jc w:val="left"/>
        <w:rPr>
          <w:sz w:val="24"/>
        </w:rPr>
      </w:pPr>
      <w:r>
        <w:rPr>
          <w:color w:val="1F1F1F"/>
          <w:sz w:val="24"/>
        </w:rPr>
        <w:t>Brain</w:t>
      </w:r>
      <w:r>
        <w:rPr>
          <w:color w:val="1F1F1F"/>
          <w:spacing w:val="-4"/>
          <w:sz w:val="24"/>
        </w:rPr>
        <w:t xml:space="preserve"> </w:t>
      </w:r>
      <w:r>
        <w:rPr>
          <w:color w:val="1F1F1F"/>
          <w:sz w:val="24"/>
        </w:rPr>
        <w:t>tissue</w:t>
      </w:r>
      <w:r>
        <w:rPr>
          <w:color w:val="1F1F1F"/>
          <w:spacing w:val="-6"/>
          <w:sz w:val="24"/>
        </w:rPr>
        <w:t xml:space="preserve"> </w:t>
      </w:r>
      <w:r>
        <w:rPr>
          <w:color w:val="1F1F1F"/>
          <w:sz w:val="24"/>
        </w:rPr>
        <w:t>has</w:t>
      </w:r>
      <w:r>
        <w:rPr>
          <w:color w:val="1F1F1F"/>
          <w:spacing w:val="-4"/>
          <w:sz w:val="24"/>
        </w:rPr>
        <w:t xml:space="preserve"> </w:t>
      </w:r>
      <w:r>
        <w:rPr>
          <w:color w:val="1F1F1F"/>
          <w:sz w:val="24"/>
        </w:rPr>
        <w:t>collected</w:t>
      </w:r>
      <w:r>
        <w:rPr>
          <w:color w:val="1F1F1F"/>
          <w:spacing w:val="-4"/>
          <w:sz w:val="24"/>
        </w:rPr>
        <w:t xml:space="preserve"> </w:t>
      </w:r>
      <w:r>
        <w:rPr>
          <w:color w:val="1F1F1F"/>
          <w:sz w:val="24"/>
        </w:rPr>
        <w:t>from</w:t>
      </w:r>
      <w:r>
        <w:rPr>
          <w:color w:val="1F1F1F"/>
          <w:spacing w:val="-3"/>
          <w:sz w:val="24"/>
        </w:rPr>
        <w:t xml:space="preserve"> </w:t>
      </w:r>
      <w:r>
        <w:rPr>
          <w:color w:val="1F1F1F"/>
          <w:sz w:val="24"/>
        </w:rPr>
        <w:t>the</w:t>
      </w:r>
      <w:r>
        <w:rPr>
          <w:color w:val="1F1F1F"/>
          <w:spacing w:val="-9"/>
          <w:sz w:val="24"/>
        </w:rPr>
        <w:t xml:space="preserve"> </w:t>
      </w:r>
      <w:r>
        <w:rPr>
          <w:color w:val="1F1F1F"/>
          <w:sz w:val="24"/>
        </w:rPr>
        <w:t>striatum</w:t>
      </w:r>
      <w:r>
        <w:rPr>
          <w:color w:val="1F1F1F"/>
          <w:spacing w:val="-6"/>
          <w:sz w:val="24"/>
        </w:rPr>
        <w:t xml:space="preserve"> </w:t>
      </w:r>
      <w:r>
        <w:rPr>
          <w:color w:val="1F1F1F"/>
          <w:sz w:val="24"/>
        </w:rPr>
        <w:t>of</w:t>
      </w:r>
      <w:r>
        <w:rPr>
          <w:color w:val="1F1F1F"/>
          <w:spacing w:val="-6"/>
          <w:sz w:val="24"/>
        </w:rPr>
        <w:t xml:space="preserve"> </w:t>
      </w:r>
      <w:r>
        <w:rPr>
          <w:color w:val="1F1F1F"/>
          <w:sz w:val="24"/>
        </w:rPr>
        <w:t>euthanized</w:t>
      </w:r>
      <w:r>
        <w:rPr>
          <w:color w:val="1F1F1F"/>
          <w:spacing w:val="-9"/>
          <w:sz w:val="24"/>
        </w:rPr>
        <w:t xml:space="preserve"> </w:t>
      </w:r>
      <w:r>
        <w:rPr>
          <w:color w:val="1F1F1F"/>
          <w:sz w:val="24"/>
        </w:rPr>
        <w:t>rats</w:t>
      </w:r>
      <w:r>
        <w:rPr>
          <w:color w:val="1F1F1F"/>
          <w:spacing w:val="-6"/>
          <w:sz w:val="24"/>
        </w:rPr>
        <w:t xml:space="preserve"> </w:t>
      </w:r>
      <w:r>
        <w:rPr>
          <w:color w:val="1F1F1F"/>
          <w:sz w:val="24"/>
        </w:rPr>
        <w:t>2</w:t>
      </w:r>
      <w:r>
        <w:rPr>
          <w:color w:val="1F1F1F"/>
          <w:spacing w:val="-6"/>
          <w:sz w:val="24"/>
        </w:rPr>
        <w:t xml:space="preserve"> </w:t>
      </w:r>
      <w:r>
        <w:rPr>
          <w:color w:val="1F1F1F"/>
          <w:sz w:val="24"/>
        </w:rPr>
        <w:t>hours</w:t>
      </w:r>
      <w:r>
        <w:rPr>
          <w:color w:val="1F1F1F"/>
          <w:spacing w:val="-7"/>
          <w:sz w:val="24"/>
        </w:rPr>
        <w:t xml:space="preserve"> </w:t>
      </w:r>
      <w:r>
        <w:rPr>
          <w:color w:val="1F1F1F"/>
          <w:sz w:val="24"/>
        </w:rPr>
        <w:t>after</w:t>
      </w:r>
      <w:r>
        <w:rPr>
          <w:color w:val="1F1F1F"/>
          <w:spacing w:val="-4"/>
          <w:sz w:val="24"/>
        </w:rPr>
        <w:t xml:space="preserve"> </w:t>
      </w:r>
      <w:r>
        <w:rPr>
          <w:color w:val="1F1F1F"/>
          <w:sz w:val="24"/>
        </w:rPr>
        <w:t>the</w:t>
      </w:r>
      <w:r>
        <w:rPr>
          <w:color w:val="1F1F1F"/>
          <w:spacing w:val="-8"/>
          <w:sz w:val="24"/>
        </w:rPr>
        <w:t xml:space="preserve"> </w:t>
      </w:r>
      <w:r>
        <w:rPr>
          <w:color w:val="1F1F1F"/>
          <w:sz w:val="24"/>
        </w:rPr>
        <w:t>final</w:t>
      </w:r>
      <w:r>
        <w:rPr>
          <w:color w:val="1F1F1F"/>
          <w:spacing w:val="-7"/>
          <w:sz w:val="24"/>
        </w:rPr>
        <w:t xml:space="preserve"> </w:t>
      </w:r>
      <w:r>
        <w:rPr>
          <w:color w:val="1F1F1F"/>
          <w:spacing w:val="-2"/>
          <w:sz w:val="24"/>
        </w:rPr>
        <w:t>injection.</w:t>
      </w:r>
    </w:p>
    <w:p w14:paraId="11991D57">
      <w:pPr>
        <w:pStyle w:val="10"/>
        <w:numPr>
          <w:ilvl w:val="0"/>
          <w:numId w:val="3"/>
        </w:numPr>
        <w:tabs>
          <w:tab w:val="left" w:pos="360"/>
        </w:tabs>
        <w:spacing w:before="122" w:after="0" w:line="242" w:lineRule="auto"/>
        <w:ind w:left="360" w:right="704" w:hanging="360"/>
        <w:jc w:val="left"/>
        <w:rPr>
          <w:sz w:val="24"/>
        </w:rPr>
      </w:pPr>
      <w:r>
        <w:rPr>
          <w:color w:val="1F1F1F"/>
          <w:sz w:val="24"/>
        </w:rPr>
        <w:t>Levels</w:t>
      </w:r>
      <w:r>
        <w:rPr>
          <w:color w:val="1F1F1F"/>
          <w:spacing w:val="-3"/>
          <w:sz w:val="24"/>
        </w:rPr>
        <w:t xml:space="preserve"> </w:t>
      </w:r>
      <w:r>
        <w:rPr>
          <w:color w:val="1F1F1F"/>
          <w:sz w:val="24"/>
        </w:rPr>
        <w:t>of</w:t>
      </w:r>
      <w:r>
        <w:rPr>
          <w:color w:val="1F1F1F"/>
          <w:spacing w:val="-7"/>
          <w:sz w:val="24"/>
        </w:rPr>
        <w:t xml:space="preserve"> </w:t>
      </w:r>
      <w:r>
        <w:rPr>
          <w:color w:val="1F1F1F"/>
          <w:sz w:val="24"/>
        </w:rPr>
        <w:t>GABA</w:t>
      </w:r>
      <w:r>
        <w:rPr>
          <w:color w:val="1F1F1F"/>
          <w:spacing w:val="-3"/>
          <w:sz w:val="24"/>
        </w:rPr>
        <w:t xml:space="preserve"> </w:t>
      </w:r>
      <w:r>
        <w:rPr>
          <w:color w:val="1F1F1F"/>
          <w:sz w:val="24"/>
        </w:rPr>
        <w:t>and</w:t>
      </w:r>
      <w:r>
        <w:rPr>
          <w:color w:val="1F1F1F"/>
          <w:spacing w:val="-3"/>
          <w:sz w:val="24"/>
        </w:rPr>
        <w:t xml:space="preserve"> </w:t>
      </w:r>
      <w:r>
        <w:rPr>
          <w:color w:val="1F1F1F"/>
          <w:sz w:val="24"/>
        </w:rPr>
        <w:t>glutamate</w:t>
      </w:r>
      <w:r>
        <w:rPr>
          <w:color w:val="1F1F1F"/>
          <w:spacing w:val="-5"/>
          <w:sz w:val="24"/>
        </w:rPr>
        <w:t xml:space="preserve"> </w:t>
      </w:r>
      <w:r>
        <w:rPr>
          <w:color w:val="1F1F1F"/>
          <w:sz w:val="24"/>
        </w:rPr>
        <w:t>has</w:t>
      </w:r>
      <w:r>
        <w:rPr>
          <w:color w:val="1F1F1F"/>
          <w:spacing w:val="-7"/>
          <w:sz w:val="24"/>
        </w:rPr>
        <w:t xml:space="preserve"> </w:t>
      </w:r>
      <w:r>
        <w:rPr>
          <w:color w:val="1F1F1F"/>
          <w:sz w:val="24"/>
        </w:rPr>
        <w:t>measured</w:t>
      </w:r>
      <w:r>
        <w:rPr>
          <w:color w:val="1F1F1F"/>
          <w:spacing w:val="-5"/>
          <w:sz w:val="24"/>
        </w:rPr>
        <w:t xml:space="preserve"> </w:t>
      </w:r>
      <w:r>
        <w:rPr>
          <w:color w:val="1F1F1F"/>
          <w:sz w:val="24"/>
        </w:rPr>
        <w:t>using</w:t>
      </w:r>
      <w:r>
        <w:rPr>
          <w:color w:val="1F1F1F"/>
          <w:spacing w:val="-7"/>
          <w:sz w:val="24"/>
        </w:rPr>
        <w:t xml:space="preserve"> </w:t>
      </w:r>
      <w:r>
        <w:rPr>
          <w:color w:val="1F1F1F"/>
          <w:sz w:val="24"/>
        </w:rPr>
        <w:t>high-performance</w:t>
      </w:r>
      <w:r>
        <w:rPr>
          <w:color w:val="1F1F1F"/>
          <w:spacing w:val="-6"/>
          <w:sz w:val="24"/>
        </w:rPr>
        <w:t xml:space="preserve"> </w:t>
      </w:r>
      <w:r>
        <w:rPr>
          <w:color w:val="1F1F1F"/>
          <w:sz w:val="24"/>
        </w:rPr>
        <w:t>liquid</w:t>
      </w:r>
      <w:r>
        <w:rPr>
          <w:color w:val="1F1F1F"/>
          <w:spacing w:val="-5"/>
          <w:sz w:val="24"/>
        </w:rPr>
        <w:t xml:space="preserve"> </w:t>
      </w:r>
      <w:r>
        <w:rPr>
          <w:color w:val="1F1F1F"/>
          <w:sz w:val="24"/>
        </w:rPr>
        <w:t>chromatography (HPLC) or enzymatic assays.</w:t>
      </w:r>
    </w:p>
    <w:p w14:paraId="406ECAA3">
      <w:pPr>
        <w:pStyle w:val="10"/>
        <w:numPr>
          <w:ilvl w:val="0"/>
          <w:numId w:val="3"/>
        </w:numPr>
        <w:tabs>
          <w:tab w:val="left" w:pos="360"/>
        </w:tabs>
        <w:spacing w:before="119" w:after="0" w:line="242" w:lineRule="auto"/>
        <w:ind w:left="360" w:right="817" w:hanging="360"/>
        <w:jc w:val="left"/>
        <w:rPr>
          <w:sz w:val="24"/>
        </w:rPr>
      </w:pPr>
      <w:r>
        <w:rPr>
          <w:color w:val="1F1F1F"/>
          <w:sz w:val="24"/>
        </w:rPr>
        <w:t>NMDA</w:t>
      </w:r>
      <w:r>
        <w:rPr>
          <w:color w:val="1F1F1F"/>
          <w:spacing w:val="-6"/>
          <w:sz w:val="24"/>
        </w:rPr>
        <w:t xml:space="preserve"> </w:t>
      </w:r>
      <w:r>
        <w:rPr>
          <w:color w:val="1F1F1F"/>
          <w:sz w:val="24"/>
        </w:rPr>
        <w:t>receptor</w:t>
      </w:r>
      <w:r>
        <w:rPr>
          <w:color w:val="1F1F1F"/>
          <w:spacing w:val="-6"/>
          <w:sz w:val="24"/>
        </w:rPr>
        <w:t xml:space="preserve"> </w:t>
      </w:r>
      <w:r>
        <w:rPr>
          <w:color w:val="1F1F1F"/>
          <w:sz w:val="24"/>
        </w:rPr>
        <w:t>binding</w:t>
      </w:r>
      <w:r>
        <w:rPr>
          <w:color w:val="1F1F1F"/>
          <w:spacing w:val="-5"/>
          <w:sz w:val="24"/>
        </w:rPr>
        <w:t xml:space="preserve"> </w:t>
      </w:r>
      <w:r>
        <w:rPr>
          <w:color w:val="1F1F1F"/>
          <w:sz w:val="24"/>
        </w:rPr>
        <w:t>has</w:t>
      </w:r>
      <w:r>
        <w:rPr>
          <w:color w:val="1F1F1F"/>
          <w:spacing w:val="-5"/>
          <w:sz w:val="24"/>
        </w:rPr>
        <w:t xml:space="preserve"> </w:t>
      </w:r>
      <w:r>
        <w:rPr>
          <w:color w:val="1F1F1F"/>
          <w:sz w:val="24"/>
        </w:rPr>
        <w:t>assessed</w:t>
      </w:r>
      <w:r>
        <w:rPr>
          <w:color w:val="1F1F1F"/>
          <w:spacing w:val="-5"/>
          <w:sz w:val="24"/>
        </w:rPr>
        <w:t xml:space="preserve"> </w:t>
      </w:r>
      <w:r>
        <w:rPr>
          <w:color w:val="1F1F1F"/>
          <w:sz w:val="24"/>
        </w:rPr>
        <w:t>using</w:t>
      </w:r>
      <w:r>
        <w:rPr>
          <w:color w:val="1F1F1F"/>
          <w:spacing w:val="-6"/>
          <w:sz w:val="24"/>
        </w:rPr>
        <w:t xml:space="preserve"> </w:t>
      </w:r>
      <w:r>
        <w:rPr>
          <w:color w:val="1F1F1F"/>
          <w:sz w:val="24"/>
        </w:rPr>
        <w:t>radioligand</w:t>
      </w:r>
      <w:r>
        <w:rPr>
          <w:color w:val="1F1F1F"/>
          <w:spacing w:val="-5"/>
          <w:sz w:val="24"/>
        </w:rPr>
        <w:t xml:space="preserve"> </w:t>
      </w:r>
      <w:r>
        <w:rPr>
          <w:color w:val="1F1F1F"/>
          <w:sz w:val="24"/>
        </w:rPr>
        <w:t>binding</w:t>
      </w:r>
      <w:r>
        <w:rPr>
          <w:color w:val="1F1F1F"/>
          <w:spacing w:val="-6"/>
          <w:sz w:val="24"/>
        </w:rPr>
        <w:t xml:space="preserve"> </w:t>
      </w:r>
      <w:r>
        <w:rPr>
          <w:color w:val="1F1F1F"/>
          <w:sz w:val="24"/>
        </w:rPr>
        <w:t>assays</w:t>
      </w:r>
      <w:r>
        <w:rPr>
          <w:color w:val="1F1F1F"/>
          <w:spacing w:val="-2"/>
          <w:sz w:val="24"/>
        </w:rPr>
        <w:t xml:space="preserve"> </w:t>
      </w:r>
      <w:r>
        <w:rPr>
          <w:color w:val="1F1F1F"/>
          <w:sz w:val="24"/>
        </w:rPr>
        <w:t>with</w:t>
      </w:r>
      <w:r>
        <w:rPr>
          <w:color w:val="1F1F1F"/>
          <w:spacing w:val="-5"/>
          <w:sz w:val="24"/>
        </w:rPr>
        <w:t xml:space="preserve"> </w:t>
      </w:r>
      <w:r>
        <w:rPr>
          <w:color w:val="1F1F1F"/>
          <w:sz w:val="24"/>
        </w:rPr>
        <w:t>specific</w:t>
      </w:r>
      <w:r>
        <w:rPr>
          <w:color w:val="1F1F1F"/>
          <w:spacing w:val="-5"/>
          <w:sz w:val="24"/>
        </w:rPr>
        <w:t xml:space="preserve"> </w:t>
      </w:r>
      <w:r>
        <w:rPr>
          <w:color w:val="1F1F1F"/>
          <w:sz w:val="24"/>
        </w:rPr>
        <w:t>NMDA receptor ligands.</w:t>
      </w:r>
    </w:p>
    <w:p w14:paraId="11349B63">
      <w:pPr>
        <w:pStyle w:val="6"/>
      </w:pPr>
    </w:p>
    <w:p w14:paraId="1D9164D7">
      <w:pPr>
        <w:pStyle w:val="6"/>
        <w:spacing w:before="93"/>
      </w:pPr>
    </w:p>
    <w:p w14:paraId="4135582A">
      <w:pPr>
        <w:spacing w:before="0"/>
        <w:ind w:left="3" w:right="3" w:firstLine="0"/>
        <w:jc w:val="center"/>
        <w:rPr>
          <w:rFonts w:ascii="Calibri"/>
          <w:b/>
          <w:sz w:val="18"/>
        </w:rPr>
      </w:pPr>
      <w:r>
        <w:rPr>
          <w:rFonts w:ascii="Calibri"/>
          <w:b/>
          <w:color w:val="0C0C0C"/>
          <w:sz w:val="18"/>
        </w:rPr>
        <w:t>Table</w:t>
      </w:r>
      <w:r>
        <w:rPr>
          <w:rFonts w:ascii="Calibri"/>
          <w:b/>
          <w:color w:val="0C0C0C"/>
          <w:spacing w:val="-7"/>
          <w:sz w:val="18"/>
        </w:rPr>
        <w:t xml:space="preserve"> </w:t>
      </w:r>
      <w:r>
        <w:rPr>
          <w:rFonts w:ascii="Calibri"/>
          <w:b/>
          <w:color w:val="0C0C0C"/>
          <w:spacing w:val="-10"/>
          <w:sz w:val="18"/>
        </w:rPr>
        <w:t>1</w:t>
      </w:r>
    </w:p>
    <w:p w14:paraId="6307FD06">
      <w:pPr>
        <w:pStyle w:val="6"/>
        <w:spacing w:before="6"/>
        <w:rPr>
          <w:rFonts w:ascii="Calibri"/>
          <w:b/>
          <w:sz w:val="16"/>
        </w:rPr>
      </w:pPr>
    </w:p>
    <w:tbl>
      <w:tblPr>
        <w:tblStyle w:val="5"/>
        <w:tblW w:w="0" w:type="auto"/>
        <w:tblInd w:w="439"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630"/>
        <w:gridCol w:w="1536"/>
        <w:gridCol w:w="1471"/>
        <w:gridCol w:w="1538"/>
        <w:gridCol w:w="1365"/>
        <w:gridCol w:w="1667"/>
      </w:tblGrid>
      <w:tr w14:paraId="672CC907">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6" w:hRule="atLeast"/>
        </w:trPr>
        <w:tc>
          <w:tcPr>
            <w:tcW w:w="1630" w:type="dxa"/>
            <w:tcBorders>
              <w:left w:val="single" w:color="000000" w:sz="4" w:space="0"/>
              <w:right w:val="single" w:color="000000" w:sz="4" w:space="0"/>
            </w:tcBorders>
            <w:shd w:val="clear" w:color="auto" w:fill="F2F2F2"/>
          </w:tcPr>
          <w:p w14:paraId="5603A744">
            <w:pPr>
              <w:pStyle w:val="11"/>
              <w:spacing w:before="171"/>
              <w:ind w:left="8" w:right="4"/>
              <w:rPr>
                <w:b/>
                <w:sz w:val="20"/>
              </w:rPr>
            </w:pPr>
            <w:r>
              <w:rPr>
                <w:b/>
                <w:spacing w:val="-2"/>
                <w:sz w:val="20"/>
              </w:rPr>
              <w:t>Group</w:t>
            </w:r>
          </w:p>
        </w:tc>
        <w:tc>
          <w:tcPr>
            <w:tcW w:w="1536" w:type="dxa"/>
            <w:tcBorders>
              <w:left w:val="single" w:color="000000" w:sz="4" w:space="0"/>
              <w:bottom w:val="single" w:color="000000" w:sz="4" w:space="0"/>
              <w:right w:val="single" w:color="000000" w:sz="4" w:space="0"/>
            </w:tcBorders>
            <w:shd w:val="clear" w:color="auto" w:fill="F2F2F2"/>
          </w:tcPr>
          <w:p w14:paraId="0BA328E7">
            <w:pPr>
              <w:pStyle w:val="11"/>
              <w:spacing w:before="171"/>
              <w:ind w:left="10" w:right="5"/>
              <w:rPr>
                <w:b/>
                <w:sz w:val="20"/>
              </w:rPr>
            </w:pPr>
            <w:r>
              <w:rPr>
                <w:b/>
                <w:spacing w:val="-2"/>
                <w:sz w:val="20"/>
              </w:rPr>
              <w:t>Treatment</w:t>
            </w:r>
          </w:p>
        </w:tc>
        <w:tc>
          <w:tcPr>
            <w:tcW w:w="1471" w:type="dxa"/>
            <w:tcBorders>
              <w:left w:val="single" w:color="000000" w:sz="4" w:space="0"/>
              <w:bottom w:val="single" w:color="000000" w:sz="4" w:space="0"/>
              <w:right w:val="single" w:color="000000" w:sz="4" w:space="0"/>
            </w:tcBorders>
            <w:shd w:val="clear" w:color="auto" w:fill="F2F2F2"/>
          </w:tcPr>
          <w:p w14:paraId="4A32BD43">
            <w:pPr>
              <w:pStyle w:val="11"/>
              <w:spacing w:before="56"/>
              <w:ind w:left="102" w:right="36" w:hanging="56"/>
              <w:jc w:val="left"/>
              <w:rPr>
                <w:b/>
                <w:sz w:val="20"/>
              </w:rPr>
            </w:pPr>
            <w:r>
              <w:rPr>
                <w:b/>
                <w:sz w:val="20"/>
              </w:rPr>
              <w:t>Catalepsy</w:t>
            </w:r>
            <w:r>
              <w:rPr>
                <w:b/>
                <w:spacing w:val="-13"/>
                <w:sz w:val="20"/>
              </w:rPr>
              <w:t xml:space="preserve"> </w:t>
            </w:r>
            <w:r>
              <w:rPr>
                <w:b/>
                <w:sz w:val="20"/>
              </w:rPr>
              <w:t>Score (Mean</w:t>
            </w:r>
            <w:r>
              <w:rPr>
                <w:b/>
                <w:spacing w:val="-2"/>
                <w:sz w:val="20"/>
              </w:rPr>
              <w:t xml:space="preserve"> </w:t>
            </w:r>
            <w:r>
              <w:rPr>
                <w:b/>
                <w:sz w:val="20"/>
              </w:rPr>
              <w:t>±</w:t>
            </w:r>
            <w:r>
              <w:rPr>
                <w:b/>
                <w:spacing w:val="-2"/>
                <w:sz w:val="20"/>
              </w:rPr>
              <w:t xml:space="preserve"> </w:t>
            </w:r>
            <w:r>
              <w:rPr>
                <w:b/>
                <w:spacing w:val="-4"/>
                <w:sz w:val="20"/>
              </w:rPr>
              <w:t>SEM)</w:t>
            </w:r>
          </w:p>
        </w:tc>
        <w:tc>
          <w:tcPr>
            <w:tcW w:w="1538" w:type="dxa"/>
            <w:tcBorders>
              <w:left w:val="single" w:color="000000" w:sz="4" w:space="0"/>
              <w:bottom w:val="thinThickMediumGap" w:color="F2F2F2" w:sz="6" w:space="0"/>
              <w:right w:val="single" w:color="000000" w:sz="4" w:space="0"/>
            </w:tcBorders>
            <w:shd w:val="clear" w:color="auto" w:fill="F2F2F2"/>
          </w:tcPr>
          <w:p w14:paraId="2387F88A">
            <w:pPr>
              <w:pStyle w:val="11"/>
              <w:spacing w:before="56"/>
              <w:ind w:left="323" w:right="39" w:hanging="269"/>
              <w:jc w:val="left"/>
              <w:rPr>
                <w:b/>
                <w:sz w:val="20"/>
              </w:rPr>
            </w:pPr>
            <w:r>
              <w:rPr>
                <w:b/>
                <w:sz w:val="20"/>
              </w:rPr>
              <w:t>Glutamate</w:t>
            </w:r>
            <w:r>
              <w:rPr>
                <w:b/>
                <w:spacing w:val="-13"/>
                <w:sz w:val="20"/>
              </w:rPr>
              <w:t xml:space="preserve"> </w:t>
            </w:r>
            <w:r>
              <w:rPr>
                <w:b/>
                <w:sz w:val="20"/>
              </w:rPr>
              <w:t xml:space="preserve">Level </w:t>
            </w:r>
            <w:r>
              <w:rPr>
                <w:b/>
                <w:spacing w:val="-2"/>
                <w:sz w:val="20"/>
              </w:rPr>
              <w:t>(nmol/mg)</w:t>
            </w:r>
          </w:p>
        </w:tc>
        <w:tc>
          <w:tcPr>
            <w:tcW w:w="1365" w:type="dxa"/>
            <w:tcBorders>
              <w:left w:val="single" w:color="000000" w:sz="4" w:space="0"/>
              <w:bottom w:val="thinThickMediumGap" w:color="F2F2F2" w:sz="6" w:space="0"/>
              <w:right w:val="single" w:color="000000" w:sz="4" w:space="0"/>
            </w:tcBorders>
            <w:shd w:val="clear" w:color="auto" w:fill="F2F2F2"/>
          </w:tcPr>
          <w:p w14:paraId="31D0D6F2">
            <w:pPr>
              <w:pStyle w:val="11"/>
              <w:spacing w:before="56"/>
              <w:ind w:left="237" w:right="117" w:hanging="101"/>
              <w:jc w:val="left"/>
              <w:rPr>
                <w:b/>
                <w:sz w:val="20"/>
              </w:rPr>
            </w:pPr>
            <w:r>
              <w:rPr>
                <w:b/>
                <w:sz w:val="20"/>
              </w:rPr>
              <w:t>GABA</w:t>
            </w:r>
            <w:r>
              <w:rPr>
                <w:b/>
                <w:spacing w:val="-13"/>
                <w:sz w:val="20"/>
              </w:rPr>
              <w:t xml:space="preserve"> </w:t>
            </w:r>
            <w:r>
              <w:rPr>
                <w:b/>
                <w:sz w:val="20"/>
              </w:rPr>
              <w:t xml:space="preserve">Level </w:t>
            </w:r>
            <w:r>
              <w:rPr>
                <w:b/>
                <w:spacing w:val="-2"/>
                <w:sz w:val="20"/>
              </w:rPr>
              <w:t>(nmol/mg)</w:t>
            </w:r>
          </w:p>
        </w:tc>
        <w:tc>
          <w:tcPr>
            <w:tcW w:w="1667" w:type="dxa"/>
            <w:tcBorders>
              <w:left w:val="single" w:color="000000" w:sz="4" w:space="0"/>
              <w:bottom w:val="thinThickMediumGap" w:color="F2F2F2" w:sz="6" w:space="0"/>
              <w:right w:val="single" w:color="000000" w:sz="4" w:space="0"/>
            </w:tcBorders>
            <w:shd w:val="clear" w:color="auto" w:fill="F2F2F2"/>
          </w:tcPr>
          <w:p w14:paraId="582AEA65">
            <w:pPr>
              <w:pStyle w:val="11"/>
              <w:spacing w:before="56"/>
              <w:ind w:left="303" w:right="92" w:hanging="195"/>
              <w:jc w:val="left"/>
              <w:rPr>
                <w:b/>
                <w:sz w:val="20"/>
              </w:rPr>
            </w:pPr>
            <w:r>
              <w:rPr>
                <w:b/>
                <w:sz w:val="20"/>
              </w:rPr>
              <w:t>NMDA</w:t>
            </w:r>
            <w:r>
              <w:rPr>
                <w:b/>
                <w:spacing w:val="-13"/>
                <w:sz w:val="20"/>
              </w:rPr>
              <w:t xml:space="preserve"> </w:t>
            </w:r>
            <w:r>
              <w:rPr>
                <w:b/>
                <w:sz w:val="20"/>
              </w:rPr>
              <w:t>Receptor Binding (%)</w:t>
            </w:r>
          </w:p>
        </w:tc>
      </w:tr>
      <w:tr w14:paraId="699A289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19" w:hRule="atLeast"/>
        </w:trPr>
        <w:tc>
          <w:tcPr>
            <w:tcW w:w="1630" w:type="dxa"/>
            <w:tcBorders>
              <w:left w:val="single" w:color="000000" w:sz="4" w:space="0"/>
              <w:right w:val="single" w:color="000000" w:sz="4" w:space="0"/>
            </w:tcBorders>
            <w:shd w:val="clear" w:color="auto" w:fill="F2F2F2"/>
          </w:tcPr>
          <w:p w14:paraId="4F0D1E9B">
            <w:pPr>
              <w:pStyle w:val="11"/>
              <w:spacing w:before="0" w:line="20" w:lineRule="exact"/>
              <w:ind w:right="-29"/>
              <w:jc w:val="left"/>
              <w:rPr>
                <w:rFonts w:ascii="Calibri"/>
                <w:sz w:val="2"/>
              </w:rPr>
            </w:pPr>
            <w:r>
              <w:rPr>
                <w:rFonts w:ascii="Calibri"/>
                <w:sz w:val="2"/>
              </w:rPr>
              <w:drawing>
                <wp:inline distT="0" distB="0" distL="0" distR="0">
                  <wp:extent cx="1014730" cy="8890"/>
                  <wp:effectExtent l="0" t="0" r="0" b="0"/>
                  <wp:docPr id="7"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015086" cy="9048"/>
                          </a:xfrm>
                          <a:prstGeom prst="rect">
                            <a:avLst/>
                          </a:prstGeom>
                        </pic:spPr>
                      </pic:pic>
                    </a:graphicData>
                  </a:graphic>
                </wp:inline>
              </w:drawing>
            </w:r>
          </w:p>
          <w:p w14:paraId="7B3CCA0B">
            <w:pPr>
              <w:pStyle w:val="11"/>
              <w:spacing w:before="165"/>
              <w:ind w:left="8" w:right="1"/>
              <w:rPr>
                <w:sz w:val="20"/>
              </w:rPr>
            </w:pPr>
            <w:r>
              <w:rPr>
                <w:spacing w:val="-2"/>
                <w:sz w:val="20"/>
              </w:rPr>
              <w:t>Control</w:t>
            </w:r>
          </w:p>
        </w:tc>
        <w:tc>
          <w:tcPr>
            <w:tcW w:w="1536" w:type="dxa"/>
            <w:tcBorders>
              <w:top w:val="single" w:color="000000" w:sz="4" w:space="0"/>
              <w:left w:val="single" w:color="000000" w:sz="4" w:space="0"/>
              <w:bottom w:val="single" w:color="000000" w:sz="4" w:space="0"/>
              <w:right w:val="single" w:color="000000" w:sz="4" w:space="0"/>
            </w:tcBorders>
          </w:tcPr>
          <w:p w14:paraId="52ACE9BD">
            <w:pPr>
              <w:pStyle w:val="11"/>
              <w:spacing w:before="185"/>
              <w:ind w:left="10" w:right="7"/>
              <w:rPr>
                <w:sz w:val="20"/>
              </w:rPr>
            </w:pPr>
            <w:r>
              <w:rPr>
                <w:spacing w:val="-2"/>
                <w:sz w:val="20"/>
              </w:rPr>
              <w:t>Saline</w:t>
            </w:r>
          </w:p>
        </w:tc>
        <w:tc>
          <w:tcPr>
            <w:tcW w:w="1471" w:type="dxa"/>
            <w:tcBorders>
              <w:top w:val="single" w:color="000000" w:sz="4" w:space="0"/>
              <w:left w:val="single" w:color="000000" w:sz="4" w:space="0"/>
              <w:bottom w:val="single" w:color="000000" w:sz="4" w:space="0"/>
              <w:right w:val="single" w:color="000000" w:sz="4" w:space="0"/>
            </w:tcBorders>
          </w:tcPr>
          <w:p w14:paraId="05FC5973">
            <w:pPr>
              <w:pStyle w:val="11"/>
              <w:spacing w:before="185"/>
              <w:ind w:left="7"/>
              <w:rPr>
                <w:sz w:val="20"/>
              </w:rPr>
            </w:pPr>
            <w:r>
              <w:rPr>
                <w:sz w:val="20"/>
              </w:rPr>
              <w:t xml:space="preserve">0 </w:t>
            </w:r>
            <w:r>
              <w:rPr>
                <w:spacing w:val="-5"/>
                <w:sz w:val="20"/>
              </w:rPr>
              <w:t>(0)</w:t>
            </w:r>
          </w:p>
        </w:tc>
        <w:tc>
          <w:tcPr>
            <w:tcW w:w="1538" w:type="dxa"/>
            <w:tcBorders>
              <w:top w:val="thickThinMediumGap" w:color="F2F2F2" w:sz="6" w:space="0"/>
              <w:left w:val="single" w:color="000000" w:sz="4" w:space="0"/>
              <w:bottom w:val="single" w:color="000000" w:sz="4" w:space="0"/>
              <w:right w:val="single" w:color="000000" w:sz="4" w:space="0"/>
            </w:tcBorders>
          </w:tcPr>
          <w:p w14:paraId="10AFD85D">
            <w:pPr>
              <w:pStyle w:val="11"/>
              <w:spacing w:before="185"/>
              <w:ind w:left="7"/>
              <w:rPr>
                <w:sz w:val="20"/>
              </w:rPr>
            </w:pPr>
            <w:r>
              <w:rPr>
                <w:sz w:val="20"/>
              </w:rPr>
              <w:t>20</w:t>
            </w:r>
            <w:r>
              <w:rPr>
                <w:spacing w:val="-1"/>
                <w:sz w:val="20"/>
              </w:rPr>
              <w:t xml:space="preserve"> </w:t>
            </w:r>
            <w:r>
              <w:rPr>
                <w:sz w:val="20"/>
              </w:rPr>
              <w:t>±</w:t>
            </w:r>
            <w:r>
              <w:rPr>
                <w:spacing w:val="-3"/>
                <w:sz w:val="20"/>
              </w:rPr>
              <w:t xml:space="preserve"> </w:t>
            </w:r>
            <w:r>
              <w:rPr>
                <w:spacing w:val="-10"/>
                <w:sz w:val="20"/>
              </w:rPr>
              <w:t>2</w:t>
            </w:r>
          </w:p>
        </w:tc>
        <w:tc>
          <w:tcPr>
            <w:tcW w:w="1365" w:type="dxa"/>
            <w:tcBorders>
              <w:top w:val="thickThinMediumGap" w:color="F2F2F2" w:sz="6" w:space="0"/>
              <w:left w:val="single" w:color="000000" w:sz="4" w:space="0"/>
              <w:bottom w:val="single" w:color="000000" w:sz="4" w:space="0"/>
              <w:right w:val="single" w:color="000000" w:sz="4" w:space="0"/>
            </w:tcBorders>
          </w:tcPr>
          <w:p w14:paraId="72424579">
            <w:pPr>
              <w:pStyle w:val="11"/>
              <w:spacing w:before="185"/>
              <w:ind w:left="8" w:right="2"/>
              <w:rPr>
                <w:sz w:val="20"/>
              </w:rPr>
            </w:pPr>
            <w:r>
              <w:rPr>
                <w:sz w:val="20"/>
              </w:rPr>
              <w:t>10</w:t>
            </w:r>
            <w:r>
              <w:rPr>
                <w:spacing w:val="-1"/>
                <w:sz w:val="20"/>
              </w:rPr>
              <w:t xml:space="preserve"> </w:t>
            </w:r>
            <w:r>
              <w:rPr>
                <w:sz w:val="20"/>
              </w:rPr>
              <w:t>±</w:t>
            </w:r>
            <w:r>
              <w:rPr>
                <w:spacing w:val="-3"/>
                <w:sz w:val="20"/>
              </w:rPr>
              <w:t xml:space="preserve"> </w:t>
            </w:r>
            <w:r>
              <w:rPr>
                <w:spacing w:val="-10"/>
                <w:sz w:val="20"/>
              </w:rPr>
              <w:t>1</w:t>
            </w:r>
          </w:p>
        </w:tc>
        <w:tc>
          <w:tcPr>
            <w:tcW w:w="1667" w:type="dxa"/>
            <w:tcBorders>
              <w:top w:val="thickThinMediumGap" w:color="F2F2F2" w:sz="6" w:space="0"/>
              <w:left w:val="single" w:color="000000" w:sz="4" w:space="0"/>
              <w:bottom w:val="single" w:color="000000" w:sz="4" w:space="0"/>
              <w:right w:val="single" w:color="000000" w:sz="4" w:space="0"/>
            </w:tcBorders>
          </w:tcPr>
          <w:p w14:paraId="1F02FC8E">
            <w:pPr>
              <w:pStyle w:val="11"/>
              <w:spacing w:before="185"/>
              <w:ind w:left="12"/>
              <w:rPr>
                <w:sz w:val="20"/>
              </w:rPr>
            </w:pPr>
            <w:r>
              <w:rPr>
                <w:sz w:val="20"/>
              </w:rPr>
              <w:t>50</w:t>
            </w:r>
            <w:r>
              <w:rPr>
                <w:spacing w:val="-1"/>
                <w:sz w:val="20"/>
              </w:rPr>
              <w:t xml:space="preserve"> </w:t>
            </w:r>
            <w:r>
              <w:rPr>
                <w:sz w:val="20"/>
              </w:rPr>
              <w:t>±</w:t>
            </w:r>
            <w:r>
              <w:rPr>
                <w:spacing w:val="-3"/>
                <w:sz w:val="20"/>
              </w:rPr>
              <w:t xml:space="preserve"> </w:t>
            </w:r>
            <w:r>
              <w:rPr>
                <w:spacing w:val="-10"/>
                <w:sz w:val="20"/>
              </w:rPr>
              <w:t>5</w:t>
            </w:r>
          </w:p>
        </w:tc>
      </w:tr>
      <w:tr w14:paraId="4E5C017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0" w:hRule="atLeast"/>
        </w:trPr>
        <w:tc>
          <w:tcPr>
            <w:tcW w:w="1630" w:type="dxa"/>
            <w:tcBorders>
              <w:left w:val="single" w:color="000000" w:sz="4" w:space="0"/>
              <w:right w:val="single" w:color="000000" w:sz="4" w:space="0"/>
            </w:tcBorders>
            <w:shd w:val="clear" w:color="auto" w:fill="F2F2F2"/>
          </w:tcPr>
          <w:p w14:paraId="58349470">
            <w:pPr>
              <w:pStyle w:val="11"/>
              <w:ind w:left="8"/>
              <w:rPr>
                <w:sz w:val="20"/>
              </w:rPr>
            </w:pPr>
            <w:r>
              <w:rPr>
                <w:spacing w:val="-2"/>
                <w:sz w:val="20"/>
              </w:rPr>
              <w:t>Haloperidol</w:t>
            </w:r>
          </w:p>
        </w:tc>
        <w:tc>
          <w:tcPr>
            <w:tcW w:w="1536" w:type="dxa"/>
            <w:tcBorders>
              <w:top w:val="single" w:color="000000" w:sz="4" w:space="0"/>
              <w:left w:val="single" w:color="000000" w:sz="4" w:space="0"/>
              <w:bottom w:val="single" w:color="000000" w:sz="4" w:space="0"/>
              <w:right w:val="single" w:color="000000" w:sz="4" w:space="0"/>
            </w:tcBorders>
          </w:tcPr>
          <w:p w14:paraId="22C028D5">
            <w:pPr>
              <w:pStyle w:val="11"/>
              <w:ind w:left="10" w:right="6"/>
              <w:rPr>
                <w:sz w:val="20"/>
              </w:rPr>
            </w:pPr>
            <w:r>
              <w:rPr>
                <w:sz w:val="20"/>
              </w:rPr>
              <w:t xml:space="preserve">1 </w:t>
            </w:r>
            <w:r>
              <w:rPr>
                <w:spacing w:val="-2"/>
                <w:sz w:val="20"/>
              </w:rPr>
              <w:t>mg/kg</w:t>
            </w:r>
          </w:p>
        </w:tc>
        <w:tc>
          <w:tcPr>
            <w:tcW w:w="1471" w:type="dxa"/>
            <w:tcBorders>
              <w:top w:val="single" w:color="000000" w:sz="4" w:space="0"/>
              <w:left w:val="single" w:color="000000" w:sz="4" w:space="0"/>
              <w:bottom w:val="single" w:color="000000" w:sz="4" w:space="0"/>
              <w:right w:val="single" w:color="000000" w:sz="4" w:space="0"/>
            </w:tcBorders>
          </w:tcPr>
          <w:p w14:paraId="48D847B9">
            <w:pPr>
              <w:pStyle w:val="11"/>
              <w:ind w:left="7" w:right="1"/>
              <w:rPr>
                <w:sz w:val="20"/>
              </w:rPr>
            </w:pPr>
            <w:r>
              <w:rPr>
                <w:sz w:val="20"/>
              </w:rPr>
              <w:t xml:space="preserve">5 </w:t>
            </w:r>
            <w:r>
              <w:rPr>
                <w:spacing w:val="-5"/>
                <w:sz w:val="20"/>
              </w:rPr>
              <w:t>(1)</w:t>
            </w:r>
          </w:p>
        </w:tc>
        <w:tc>
          <w:tcPr>
            <w:tcW w:w="1538" w:type="dxa"/>
            <w:tcBorders>
              <w:top w:val="single" w:color="000000" w:sz="4" w:space="0"/>
              <w:left w:val="single" w:color="000000" w:sz="4" w:space="0"/>
              <w:bottom w:val="single" w:color="000000" w:sz="4" w:space="0"/>
              <w:right w:val="single" w:color="000000" w:sz="4" w:space="0"/>
            </w:tcBorders>
          </w:tcPr>
          <w:p w14:paraId="7ABEE908">
            <w:pPr>
              <w:pStyle w:val="11"/>
              <w:ind w:left="7" w:right="3"/>
              <w:rPr>
                <w:sz w:val="20"/>
              </w:rPr>
            </w:pPr>
            <w:r>
              <w:rPr>
                <w:sz w:val="20"/>
              </w:rPr>
              <w:t>25</w:t>
            </w:r>
            <w:r>
              <w:rPr>
                <w:spacing w:val="-1"/>
                <w:sz w:val="20"/>
              </w:rPr>
              <w:t xml:space="preserve"> </w:t>
            </w:r>
            <w:r>
              <w:rPr>
                <w:sz w:val="20"/>
              </w:rPr>
              <w:t>±</w:t>
            </w:r>
            <w:r>
              <w:rPr>
                <w:spacing w:val="-2"/>
                <w:sz w:val="20"/>
              </w:rPr>
              <w:t xml:space="preserve"> </w:t>
            </w:r>
            <w:r>
              <w:rPr>
                <w:spacing w:val="-10"/>
                <w:sz w:val="20"/>
              </w:rPr>
              <w:t>3</w:t>
            </w:r>
          </w:p>
        </w:tc>
        <w:tc>
          <w:tcPr>
            <w:tcW w:w="1365" w:type="dxa"/>
            <w:tcBorders>
              <w:top w:val="single" w:color="000000" w:sz="4" w:space="0"/>
              <w:left w:val="single" w:color="000000" w:sz="4" w:space="0"/>
              <w:bottom w:val="single" w:color="000000" w:sz="4" w:space="0"/>
              <w:right w:val="single" w:color="000000" w:sz="4" w:space="0"/>
            </w:tcBorders>
          </w:tcPr>
          <w:p w14:paraId="59C31F79">
            <w:pPr>
              <w:pStyle w:val="11"/>
              <w:ind w:left="8"/>
              <w:rPr>
                <w:sz w:val="20"/>
              </w:rPr>
            </w:pPr>
            <w:r>
              <w:rPr>
                <w:sz w:val="20"/>
              </w:rPr>
              <w:t>8</w:t>
            </w:r>
            <w:r>
              <w:rPr>
                <w:spacing w:val="-1"/>
                <w:sz w:val="20"/>
              </w:rPr>
              <w:t xml:space="preserve"> </w:t>
            </w:r>
            <w:r>
              <w:rPr>
                <w:sz w:val="20"/>
              </w:rPr>
              <w:t xml:space="preserve">± </w:t>
            </w:r>
            <w:r>
              <w:rPr>
                <w:spacing w:val="-10"/>
                <w:sz w:val="20"/>
              </w:rPr>
              <w:t>1</w:t>
            </w:r>
          </w:p>
        </w:tc>
        <w:tc>
          <w:tcPr>
            <w:tcW w:w="1667" w:type="dxa"/>
            <w:tcBorders>
              <w:top w:val="single" w:color="000000" w:sz="4" w:space="0"/>
              <w:left w:val="single" w:color="000000" w:sz="4" w:space="0"/>
              <w:bottom w:val="single" w:color="000000" w:sz="4" w:space="0"/>
              <w:right w:val="single" w:color="000000" w:sz="4" w:space="0"/>
            </w:tcBorders>
          </w:tcPr>
          <w:p w14:paraId="2A5AA259">
            <w:pPr>
              <w:pStyle w:val="11"/>
              <w:ind w:left="12"/>
              <w:rPr>
                <w:sz w:val="20"/>
              </w:rPr>
            </w:pPr>
            <w:r>
              <w:rPr>
                <w:sz w:val="20"/>
              </w:rPr>
              <w:t>60</w:t>
            </w:r>
            <w:r>
              <w:rPr>
                <w:spacing w:val="-1"/>
                <w:sz w:val="20"/>
              </w:rPr>
              <w:t xml:space="preserve"> </w:t>
            </w:r>
            <w:r>
              <w:rPr>
                <w:sz w:val="20"/>
              </w:rPr>
              <w:t>±</w:t>
            </w:r>
            <w:r>
              <w:rPr>
                <w:spacing w:val="-3"/>
                <w:sz w:val="20"/>
              </w:rPr>
              <w:t xml:space="preserve"> </w:t>
            </w:r>
            <w:r>
              <w:rPr>
                <w:spacing w:val="-10"/>
                <w:sz w:val="20"/>
              </w:rPr>
              <w:t>6</w:t>
            </w:r>
          </w:p>
        </w:tc>
      </w:tr>
      <w:tr w14:paraId="7F1F9852">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0" w:hRule="atLeast"/>
        </w:trPr>
        <w:tc>
          <w:tcPr>
            <w:tcW w:w="1630" w:type="dxa"/>
            <w:tcBorders>
              <w:left w:val="single" w:color="000000" w:sz="4" w:space="0"/>
              <w:right w:val="single" w:color="000000" w:sz="4" w:space="0"/>
            </w:tcBorders>
            <w:shd w:val="clear" w:color="auto" w:fill="F2F2F2"/>
          </w:tcPr>
          <w:p w14:paraId="6FC256E8">
            <w:pPr>
              <w:pStyle w:val="11"/>
              <w:spacing w:before="51"/>
              <w:ind w:left="525" w:right="220" w:hanging="293"/>
              <w:jc w:val="left"/>
              <w:rPr>
                <w:sz w:val="20"/>
              </w:rPr>
            </w:pPr>
            <w:r>
              <w:rPr>
                <w:sz w:val="20"/>
              </w:rPr>
              <w:t>Zonisamide</w:t>
            </w:r>
            <w:r>
              <w:rPr>
                <w:spacing w:val="-13"/>
                <w:sz w:val="20"/>
              </w:rPr>
              <w:t xml:space="preserve"> </w:t>
            </w:r>
            <w:r>
              <w:rPr>
                <w:sz w:val="20"/>
              </w:rPr>
              <w:t xml:space="preserve">(5 </w:t>
            </w:r>
            <w:r>
              <w:rPr>
                <w:spacing w:val="-2"/>
                <w:sz w:val="20"/>
              </w:rPr>
              <w:t>mg/kg)</w:t>
            </w:r>
          </w:p>
        </w:tc>
        <w:tc>
          <w:tcPr>
            <w:tcW w:w="1536" w:type="dxa"/>
            <w:tcBorders>
              <w:top w:val="single" w:color="000000" w:sz="4" w:space="0"/>
              <w:left w:val="single" w:color="000000" w:sz="4" w:space="0"/>
              <w:bottom w:val="single" w:color="000000" w:sz="4" w:space="0"/>
              <w:right w:val="single" w:color="000000" w:sz="4" w:space="0"/>
            </w:tcBorders>
          </w:tcPr>
          <w:p w14:paraId="5EB4321E">
            <w:pPr>
              <w:pStyle w:val="11"/>
              <w:ind w:left="10"/>
              <w:rPr>
                <w:sz w:val="20"/>
              </w:rPr>
            </w:pPr>
            <w:r>
              <w:rPr>
                <w:sz w:val="20"/>
              </w:rPr>
              <w:t>+</w:t>
            </w:r>
            <w:r>
              <w:rPr>
                <w:spacing w:val="-1"/>
                <w:sz w:val="20"/>
              </w:rPr>
              <w:t xml:space="preserve"> </w:t>
            </w:r>
            <w:r>
              <w:rPr>
                <w:spacing w:val="-2"/>
                <w:sz w:val="20"/>
              </w:rPr>
              <w:t>Haloperidol</w:t>
            </w:r>
          </w:p>
        </w:tc>
        <w:tc>
          <w:tcPr>
            <w:tcW w:w="1471" w:type="dxa"/>
            <w:tcBorders>
              <w:top w:val="single" w:color="000000" w:sz="4" w:space="0"/>
              <w:left w:val="single" w:color="000000" w:sz="4" w:space="0"/>
              <w:bottom w:val="single" w:color="000000" w:sz="4" w:space="0"/>
              <w:right w:val="single" w:color="000000" w:sz="4" w:space="0"/>
            </w:tcBorders>
          </w:tcPr>
          <w:p w14:paraId="1633DB4D">
            <w:pPr>
              <w:pStyle w:val="11"/>
              <w:ind w:left="7"/>
              <w:rPr>
                <w:sz w:val="20"/>
              </w:rPr>
            </w:pPr>
            <w:r>
              <w:rPr>
                <w:sz w:val="20"/>
              </w:rPr>
              <w:t xml:space="preserve">3 </w:t>
            </w:r>
            <w:r>
              <w:rPr>
                <w:spacing w:val="-2"/>
                <w:sz w:val="20"/>
              </w:rPr>
              <w:t>(0.5)</w:t>
            </w:r>
          </w:p>
        </w:tc>
        <w:tc>
          <w:tcPr>
            <w:tcW w:w="1538" w:type="dxa"/>
            <w:tcBorders>
              <w:top w:val="single" w:color="000000" w:sz="4" w:space="0"/>
              <w:left w:val="single" w:color="000000" w:sz="4" w:space="0"/>
              <w:bottom w:val="single" w:color="000000" w:sz="4" w:space="0"/>
              <w:right w:val="single" w:color="000000" w:sz="4" w:space="0"/>
            </w:tcBorders>
          </w:tcPr>
          <w:p w14:paraId="16CD475B">
            <w:pPr>
              <w:pStyle w:val="11"/>
              <w:ind w:left="7" w:right="3"/>
              <w:rPr>
                <w:sz w:val="20"/>
              </w:rPr>
            </w:pPr>
            <w:r>
              <w:rPr>
                <w:sz w:val="20"/>
              </w:rPr>
              <w:t>22</w:t>
            </w:r>
            <w:r>
              <w:rPr>
                <w:spacing w:val="-1"/>
                <w:sz w:val="20"/>
              </w:rPr>
              <w:t xml:space="preserve"> </w:t>
            </w:r>
            <w:r>
              <w:rPr>
                <w:sz w:val="20"/>
              </w:rPr>
              <w:t>±</w:t>
            </w:r>
            <w:r>
              <w:rPr>
                <w:spacing w:val="-4"/>
                <w:sz w:val="20"/>
              </w:rPr>
              <w:t xml:space="preserve"> </w:t>
            </w:r>
            <w:r>
              <w:rPr>
                <w:spacing w:val="-10"/>
                <w:sz w:val="20"/>
              </w:rPr>
              <w:t>2</w:t>
            </w:r>
          </w:p>
        </w:tc>
        <w:tc>
          <w:tcPr>
            <w:tcW w:w="1365" w:type="dxa"/>
            <w:tcBorders>
              <w:top w:val="single" w:color="000000" w:sz="4" w:space="0"/>
              <w:left w:val="single" w:color="000000" w:sz="4" w:space="0"/>
              <w:bottom w:val="single" w:color="000000" w:sz="4" w:space="0"/>
              <w:right w:val="single" w:color="000000" w:sz="4" w:space="0"/>
            </w:tcBorders>
          </w:tcPr>
          <w:p w14:paraId="3CB7C07F">
            <w:pPr>
              <w:pStyle w:val="11"/>
              <w:ind w:left="8" w:right="1"/>
              <w:rPr>
                <w:sz w:val="20"/>
              </w:rPr>
            </w:pPr>
            <w:r>
              <w:rPr>
                <w:sz w:val="20"/>
              </w:rPr>
              <w:t>9</w:t>
            </w:r>
            <w:r>
              <w:rPr>
                <w:spacing w:val="-1"/>
                <w:sz w:val="20"/>
              </w:rPr>
              <w:t xml:space="preserve"> </w:t>
            </w:r>
            <w:r>
              <w:rPr>
                <w:sz w:val="20"/>
              </w:rPr>
              <w:t>±</w:t>
            </w:r>
            <w:r>
              <w:rPr>
                <w:spacing w:val="-2"/>
                <w:sz w:val="20"/>
              </w:rPr>
              <w:t xml:space="preserve"> </w:t>
            </w:r>
            <w:r>
              <w:rPr>
                <w:spacing w:val="-10"/>
                <w:sz w:val="20"/>
              </w:rPr>
              <w:t>1</w:t>
            </w:r>
          </w:p>
        </w:tc>
        <w:tc>
          <w:tcPr>
            <w:tcW w:w="1667" w:type="dxa"/>
            <w:tcBorders>
              <w:top w:val="single" w:color="000000" w:sz="4" w:space="0"/>
              <w:left w:val="single" w:color="000000" w:sz="4" w:space="0"/>
              <w:bottom w:val="single" w:color="000000" w:sz="4" w:space="0"/>
              <w:right w:val="single" w:color="000000" w:sz="4" w:space="0"/>
            </w:tcBorders>
          </w:tcPr>
          <w:p w14:paraId="53B4CCDD">
            <w:pPr>
              <w:pStyle w:val="11"/>
              <w:ind w:left="12" w:right="3"/>
              <w:rPr>
                <w:sz w:val="20"/>
              </w:rPr>
            </w:pPr>
            <w:r>
              <w:rPr>
                <w:sz w:val="20"/>
              </w:rPr>
              <w:t>55</w:t>
            </w:r>
            <w:r>
              <w:rPr>
                <w:spacing w:val="-1"/>
                <w:sz w:val="20"/>
              </w:rPr>
              <w:t xml:space="preserve"> </w:t>
            </w:r>
            <w:r>
              <w:rPr>
                <w:sz w:val="20"/>
              </w:rPr>
              <w:t>±</w:t>
            </w:r>
            <w:r>
              <w:rPr>
                <w:spacing w:val="-4"/>
                <w:sz w:val="20"/>
              </w:rPr>
              <w:t xml:space="preserve"> </w:t>
            </w:r>
            <w:r>
              <w:rPr>
                <w:spacing w:val="-10"/>
                <w:sz w:val="20"/>
              </w:rPr>
              <w:t>4</w:t>
            </w:r>
          </w:p>
        </w:tc>
      </w:tr>
      <w:tr w14:paraId="2E5F791F">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7" w:hRule="atLeast"/>
        </w:trPr>
        <w:tc>
          <w:tcPr>
            <w:tcW w:w="1630" w:type="dxa"/>
            <w:tcBorders>
              <w:left w:val="single" w:color="000000" w:sz="4" w:space="0"/>
              <w:bottom w:val="single" w:color="000000" w:sz="4" w:space="0"/>
              <w:right w:val="single" w:color="000000" w:sz="4" w:space="0"/>
            </w:tcBorders>
            <w:shd w:val="clear" w:color="auto" w:fill="F2F2F2"/>
          </w:tcPr>
          <w:p w14:paraId="2B3A02BC">
            <w:pPr>
              <w:pStyle w:val="11"/>
              <w:spacing w:before="51"/>
              <w:ind w:left="525" w:right="171" w:hanging="344"/>
              <w:jc w:val="left"/>
              <w:rPr>
                <w:sz w:val="20"/>
              </w:rPr>
            </w:pPr>
            <w:r>
              <w:rPr>
                <w:sz w:val="20"/>
              </w:rPr>
              <w:t>Zonisamide</w:t>
            </w:r>
            <w:r>
              <w:rPr>
                <w:spacing w:val="-13"/>
                <w:sz w:val="20"/>
              </w:rPr>
              <w:t xml:space="preserve"> </w:t>
            </w:r>
            <w:r>
              <w:rPr>
                <w:sz w:val="20"/>
              </w:rPr>
              <w:t xml:space="preserve">(10 </w:t>
            </w:r>
            <w:r>
              <w:rPr>
                <w:spacing w:val="-2"/>
                <w:sz w:val="20"/>
              </w:rPr>
              <w:t>mg/kg)</w:t>
            </w:r>
          </w:p>
        </w:tc>
        <w:tc>
          <w:tcPr>
            <w:tcW w:w="1536" w:type="dxa"/>
            <w:tcBorders>
              <w:top w:val="single" w:color="000000" w:sz="4" w:space="0"/>
              <w:left w:val="single" w:color="000000" w:sz="4" w:space="0"/>
              <w:bottom w:val="single" w:color="000000" w:sz="4" w:space="0"/>
              <w:right w:val="single" w:color="000000" w:sz="4" w:space="0"/>
            </w:tcBorders>
          </w:tcPr>
          <w:p w14:paraId="0F55379E">
            <w:pPr>
              <w:pStyle w:val="11"/>
              <w:ind w:left="10"/>
              <w:rPr>
                <w:sz w:val="20"/>
              </w:rPr>
            </w:pPr>
            <w:r>
              <w:rPr>
                <w:sz w:val="20"/>
              </w:rPr>
              <w:t>+</w:t>
            </w:r>
            <w:r>
              <w:rPr>
                <w:spacing w:val="-1"/>
                <w:sz w:val="20"/>
              </w:rPr>
              <w:t xml:space="preserve"> </w:t>
            </w:r>
            <w:r>
              <w:rPr>
                <w:spacing w:val="-2"/>
                <w:sz w:val="20"/>
              </w:rPr>
              <w:t>Haloperidol</w:t>
            </w:r>
          </w:p>
        </w:tc>
        <w:tc>
          <w:tcPr>
            <w:tcW w:w="1471" w:type="dxa"/>
            <w:tcBorders>
              <w:top w:val="single" w:color="000000" w:sz="4" w:space="0"/>
              <w:left w:val="single" w:color="000000" w:sz="4" w:space="0"/>
              <w:bottom w:val="single" w:color="000000" w:sz="4" w:space="0"/>
              <w:right w:val="single" w:color="000000" w:sz="4" w:space="0"/>
            </w:tcBorders>
          </w:tcPr>
          <w:p w14:paraId="174F4B70">
            <w:pPr>
              <w:pStyle w:val="11"/>
              <w:ind w:left="7"/>
              <w:rPr>
                <w:sz w:val="20"/>
              </w:rPr>
            </w:pPr>
            <w:r>
              <w:rPr>
                <w:sz w:val="20"/>
              </w:rPr>
              <w:t xml:space="preserve">2 </w:t>
            </w:r>
            <w:r>
              <w:rPr>
                <w:spacing w:val="-2"/>
                <w:sz w:val="20"/>
              </w:rPr>
              <w:t>(0.4)</w:t>
            </w:r>
          </w:p>
        </w:tc>
        <w:tc>
          <w:tcPr>
            <w:tcW w:w="1538" w:type="dxa"/>
            <w:tcBorders>
              <w:top w:val="single" w:color="000000" w:sz="4" w:space="0"/>
              <w:left w:val="single" w:color="000000" w:sz="4" w:space="0"/>
              <w:bottom w:val="single" w:color="000000" w:sz="4" w:space="0"/>
              <w:right w:val="single" w:color="000000" w:sz="4" w:space="0"/>
            </w:tcBorders>
          </w:tcPr>
          <w:p w14:paraId="15C80ECF">
            <w:pPr>
              <w:pStyle w:val="11"/>
              <w:ind w:left="7" w:right="3"/>
              <w:rPr>
                <w:sz w:val="20"/>
              </w:rPr>
            </w:pPr>
            <w:r>
              <w:rPr>
                <w:sz w:val="20"/>
              </w:rPr>
              <w:t>21</w:t>
            </w:r>
            <w:r>
              <w:rPr>
                <w:spacing w:val="-1"/>
                <w:sz w:val="20"/>
              </w:rPr>
              <w:t xml:space="preserve"> </w:t>
            </w:r>
            <w:r>
              <w:rPr>
                <w:sz w:val="20"/>
              </w:rPr>
              <w:t>±</w:t>
            </w:r>
            <w:r>
              <w:rPr>
                <w:spacing w:val="-4"/>
                <w:sz w:val="20"/>
              </w:rPr>
              <w:t xml:space="preserve"> </w:t>
            </w:r>
            <w:r>
              <w:rPr>
                <w:spacing w:val="-10"/>
                <w:sz w:val="20"/>
              </w:rPr>
              <w:t>1</w:t>
            </w:r>
          </w:p>
        </w:tc>
        <w:tc>
          <w:tcPr>
            <w:tcW w:w="1365" w:type="dxa"/>
            <w:tcBorders>
              <w:top w:val="single" w:color="000000" w:sz="4" w:space="0"/>
              <w:left w:val="single" w:color="000000" w:sz="4" w:space="0"/>
              <w:bottom w:val="single" w:color="000000" w:sz="4" w:space="0"/>
              <w:right w:val="single" w:color="000000" w:sz="4" w:space="0"/>
            </w:tcBorders>
          </w:tcPr>
          <w:p w14:paraId="3CC70CC7">
            <w:pPr>
              <w:pStyle w:val="11"/>
              <w:ind w:left="8" w:right="1"/>
              <w:rPr>
                <w:sz w:val="20"/>
              </w:rPr>
            </w:pPr>
            <w:r>
              <w:rPr>
                <w:sz w:val="20"/>
              </w:rPr>
              <w:t>10</w:t>
            </w:r>
            <w:r>
              <w:rPr>
                <w:spacing w:val="-1"/>
                <w:sz w:val="20"/>
              </w:rPr>
              <w:t xml:space="preserve"> </w:t>
            </w:r>
            <w:r>
              <w:rPr>
                <w:sz w:val="20"/>
              </w:rPr>
              <w:t>±</w:t>
            </w:r>
            <w:r>
              <w:rPr>
                <w:spacing w:val="-3"/>
                <w:sz w:val="20"/>
              </w:rPr>
              <w:t xml:space="preserve"> </w:t>
            </w:r>
            <w:r>
              <w:rPr>
                <w:spacing w:val="-5"/>
                <w:sz w:val="20"/>
              </w:rPr>
              <w:t>0.5</w:t>
            </w:r>
          </w:p>
        </w:tc>
        <w:tc>
          <w:tcPr>
            <w:tcW w:w="1667" w:type="dxa"/>
            <w:tcBorders>
              <w:top w:val="single" w:color="000000" w:sz="4" w:space="0"/>
              <w:left w:val="single" w:color="000000" w:sz="4" w:space="0"/>
              <w:bottom w:val="single" w:color="000000" w:sz="4" w:space="0"/>
              <w:right w:val="single" w:color="000000" w:sz="4" w:space="0"/>
            </w:tcBorders>
          </w:tcPr>
          <w:p w14:paraId="06496996">
            <w:pPr>
              <w:pStyle w:val="11"/>
              <w:ind w:left="12" w:right="3"/>
              <w:rPr>
                <w:sz w:val="20"/>
              </w:rPr>
            </w:pPr>
            <w:r>
              <w:rPr>
                <w:sz w:val="20"/>
              </w:rPr>
              <w:t>52</w:t>
            </w:r>
            <w:r>
              <w:rPr>
                <w:spacing w:val="-1"/>
                <w:sz w:val="20"/>
              </w:rPr>
              <w:t xml:space="preserve"> </w:t>
            </w:r>
            <w:r>
              <w:rPr>
                <w:sz w:val="20"/>
              </w:rPr>
              <w:t>±</w:t>
            </w:r>
            <w:r>
              <w:rPr>
                <w:spacing w:val="-4"/>
                <w:sz w:val="20"/>
              </w:rPr>
              <w:t xml:space="preserve"> </w:t>
            </w:r>
            <w:r>
              <w:rPr>
                <w:spacing w:val="-10"/>
                <w:sz w:val="20"/>
              </w:rPr>
              <w:t>3</w:t>
            </w:r>
          </w:p>
        </w:tc>
      </w:tr>
    </w:tbl>
    <w:p w14:paraId="13EF24A0">
      <w:pPr>
        <w:pStyle w:val="6"/>
        <w:rPr>
          <w:rFonts w:ascii="Calibri"/>
          <w:b/>
          <w:sz w:val="18"/>
        </w:rPr>
      </w:pPr>
    </w:p>
    <w:p w14:paraId="73CAD56D">
      <w:pPr>
        <w:pStyle w:val="6"/>
        <w:spacing w:before="73"/>
        <w:rPr>
          <w:rFonts w:ascii="Calibri"/>
          <w:b/>
          <w:sz w:val="18"/>
        </w:rPr>
      </w:pPr>
    </w:p>
    <w:p w14:paraId="4FE23EEE">
      <w:pPr>
        <w:spacing w:before="0"/>
        <w:ind w:left="3" w:right="3" w:firstLine="0"/>
        <w:jc w:val="center"/>
        <w:rPr>
          <w:rFonts w:ascii="Calibri"/>
          <w:b/>
          <w:sz w:val="18"/>
        </w:rPr>
      </w:pPr>
      <w:r>
        <w:rPr>
          <w:rFonts w:ascii="Calibri"/>
          <w:b/>
          <w:color w:val="0C0C0C"/>
          <w:sz w:val="18"/>
        </w:rPr>
        <w:t>Table</w:t>
      </w:r>
      <w:r>
        <w:rPr>
          <w:rFonts w:ascii="Calibri"/>
          <w:b/>
          <w:color w:val="0C0C0C"/>
          <w:spacing w:val="-7"/>
          <w:sz w:val="18"/>
        </w:rPr>
        <w:t xml:space="preserve"> </w:t>
      </w:r>
      <w:r>
        <w:rPr>
          <w:rFonts w:ascii="Calibri"/>
          <w:b/>
          <w:color w:val="0C0C0C"/>
          <w:spacing w:val="-10"/>
          <w:sz w:val="18"/>
        </w:rPr>
        <w:t>2</w:t>
      </w:r>
    </w:p>
    <w:p w14:paraId="44655BCD">
      <w:pPr>
        <w:pStyle w:val="6"/>
        <w:spacing w:before="6"/>
        <w:rPr>
          <w:rFonts w:ascii="Calibri"/>
          <w:b/>
          <w:sz w:val="16"/>
        </w:rPr>
      </w:pPr>
    </w:p>
    <w:tbl>
      <w:tblPr>
        <w:tblStyle w:val="5"/>
        <w:tblW w:w="0" w:type="auto"/>
        <w:tblInd w:w="223"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721"/>
        <w:gridCol w:w="1647"/>
        <w:gridCol w:w="1145"/>
        <w:gridCol w:w="1003"/>
        <w:gridCol w:w="1253"/>
        <w:gridCol w:w="1253"/>
        <w:gridCol w:w="1623"/>
      </w:tblGrid>
      <w:tr w14:paraId="05F65B89">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72" w:hRule="atLeast"/>
        </w:trPr>
        <w:tc>
          <w:tcPr>
            <w:tcW w:w="1721" w:type="dxa"/>
            <w:tcBorders>
              <w:left w:val="single" w:color="000000" w:sz="4" w:space="0"/>
              <w:right w:val="single" w:color="000000" w:sz="4" w:space="0"/>
            </w:tcBorders>
            <w:shd w:val="clear" w:color="auto" w:fill="F2F2F2"/>
          </w:tcPr>
          <w:p w14:paraId="050A0139">
            <w:pPr>
              <w:pStyle w:val="11"/>
              <w:spacing w:before="224"/>
              <w:ind w:left="75" w:right="71"/>
              <w:rPr>
                <w:b/>
                <w:sz w:val="20"/>
              </w:rPr>
            </w:pPr>
            <w:r>
              <w:rPr>
                <w:b/>
                <w:spacing w:val="-2"/>
                <w:sz w:val="20"/>
              </w:rPr>
              <w:t>Group</w:t>
            </w:r>
          </w:p>
        </w:tc>
        <w:tc>
          <w:tcPr>
            <w:tcW w:w="1647" w:type="dxa"/>
            <w:tcBorders>
              <w:left w:val="single" w:color="000000" w:sz="4" w:space="0"/>
              <w:bottom w:val="thinThickMediumGap" w:color="F2F2F2" w:sz="6" w:space="0"/>
              <w:right w:val="single" w:color="000000" w:sz="4" w:space="0"/>
            </w:tcBorders>
            <w:shd w:val="clear" w:color="auto" w:fill="F2F2F2"/>
          </w:tcPr>
          <w:p w14:paraId="2DE3D0A1">
            <w:pPr>
              <w:pStyle w:val="11"/>
              <w:spacing w:before="224"/>
              <w:ind w:left="5"/>
              <w:rPr>
                <w:b/>
                <w:sz w:val="20"/>
              </w:rPr>
            </w:pPr>
            <w:r>
              <w:rPr>
                <w:b/>
                <w:spacing w:val="-2"/>
                <w:sz w:val="20"/>
              </w:rPr>
              <w:t>Treatment</w:t>
            </w:r>
          </w:p>
        </w:tc>
        <w:tc>
          <w:tcPr>
            <w:tcW w:w="1145" w:type="dxa"/>
            <w:tcBorders>
              <w:left w:val="single" w:color="000000" w:sz="4" w:space="0"/>
              <w:bottom w:val="thinThickMediumGap" w:color="F2F2F2" w:sz="6" w:space="0"/>
              <w:right w:val="single" w:color="000000" w:sz="4" w:space="0"/>
            </w:tcBorders>
            <w:shd w:val="clear" w:color="auto" w:fill="F2F2F2"/>
          </w:tcPr>
          <w:p w14:paraId="4490CF6E">
            <w:pPr>
              <w:pStyle w:val="11"/>
              <w:spacing w:before="0"/>
              <w:ind w:left="265" w:right="223" w:hanging="32"/>
              <w:jc w:val="left"/>
              <w:rPr>
                <w:b/>
                <w:sz w:val="20"/>
              </w:rPr>
            </w:pPr>
            <w:r>
              <w:rPr>
                <w:b/>
                <w:sz w:val="20"/>
              </w:rPr>
              <w:t>Bar</w:t>
            </w:r>
            <w:r>
              <w:rPr>
                <w:b/>
                <w:spacing w:val="-13"/>
                <w:sz w:val="20"/>
              </w:rPr>
              <w:t xml:space="preserve"> </w:t>
            </w:r>
            <w:r>
              <w:rPr>
                <w:b/>
                <w:sz w:val="20"/>
              </w:rPr>
              <w:t xml:space="preserve">test </w:t>
            </w:r>
            <w:r>
              <w:rPr>
                <w:b/>
                <w:spacing w:val="-2"/>
                <w:sz w:val="20"/>
              </w:rPr>
              <w:t>latency</w:t>
            </w:r>
          </w:p>
          <w:p w14:paraId="4C463F03">
            <w:pPr>
              <w:pStyle w:val="11"/>
              <w:spacing w:before="0" w:line="198" w:lineRule="exact"/>
              <w:ind w:left="339"/>
              <w:jc w:val="left"/>
              <w:rPr>
                <w:b/>
                <w:sz w:val="20"/>
              </w:rPr>
            </w:pPr>
            <w:r>
              <w:rPr>
                <w:b/>
                <w:spacing w:val="-2"/>
                <w:sz w:val="20"/>
              </w:rPr>
              <w:t>(min)</w:t>
            </w:r>
          </w:p>
        </w:tc>
        <w:tc>
          <w:tcPr>
            <w:tcW w:w="1003" w:type="dxa"/>
            <w:tcBorders>
              <w:left w:val="single" w:color="000000" w:sz="4" w:space="0"/>
              <w:bottom w:val="thinThickMediumGap" w:color="F2F2F2" w:sz="6" w:space="0"/>
              <w:right w:val="single" w:color="000000" w:sz="4" w:space="0"/>
            </w:tcBorders>
            <w:shd w:val="clear" w:color="auto" w:fill="F2F2F2"/>
          </w:tcPr>
          <w:p w14:paraId="49666292">
            <w:pPr>
              <w:pStyle w:val="11"/>
              <w:spacing w:before="0"/>
              <w:ind w:left="183" w:right="172" w:firstLine="84"/>
              <w:jc w:val="left"/>
              <w:rPr>
                <w:b/>
                <w:sz w:val="20"/>
              </w:rPr>
            </w:pPr>
            <w:r>
              <w:rPr>
                <w:b/>
                <w:spacing w:val="-4"/>
                <w:sz w:val="20"/>
              </w:rPr>
              <w:t xml:space="preserve">Limb </w:t>
            </w:r>
            <w:r>
              <w:rPr>
                <w:b/>
                <w:spacing w:val="-2"/>
                <w:sz w:val="20"/>
              </w:rPr>
              <w:t>rigidity</w:t>
            </w:r>
          </w:p>
          <w:p w14:paraId="400B687A">
            <w:pPr>
              <w:pStyle w:val="11"/>
              <w:spacing w:before="0" w:line="198" w:lineRule="exact"/>
              <w:ind w:left="277"/>
              <w:jc w:val="left"/>
              <w:rPr>
                <w:b/>
                <w:sz w:val="20"/>
              </w:rPr>
            </w:pPr>
            <w:r>
              <w:rPr>
                <w:b/>
                <w:spacing w:val="-2"/>
                <w:sz w:val="20"/>
              </w:rPr>
              <w:t>score</w:t>
            </w:r>
          </w:p>
        </w:tc>
        <w:tc>
          <w:tcPr>
            <w:tcW w:w="1253" w:type="dxa"/>
            <w:tcBorders>
              <w:left w:val="single" w:color="000000" w:sz="4" w:space="0"/>
              <w:bottom w:val="thinThickMediumGap" w:color="F2F2F2" w:sz="6" w:space="0"/>
              <w:right w:val="single" w:color="000000" w:sz="4" w:space="0"/>
            </w:tcBorders>
            <w:shd w:val="clear" w:color="auto" w:fill="F2F2F2"/>
          </w:tcPr>
          <w:p w14:paraId="71D64C70">
            <w:pPr>
              <w:pStyle w:val="11"/>
              <w:spacing w:before="108"/>
              <w:ind w:left="337"/>
              <w:jc w:val="left"/>
              <w:rPr>
                <w:b/>
                <w:sz w:val="20"/>
              </w:rPr>
            </w:pPr>
            <w:r>
              <w:rPr>
                <w:b/>
                <w:spacing w:val="-4"/>
                <w:sz w:val="20"/>
              </w:rPr>
              <w:t>GABA</w:t>
            </w:r>
          </w:p>
          <w:p w14:paraId="1C7101B6">
            <w:pPr>
              <w:pStyle w:val="11"/>
              <w:spacing w:before="1"/>
              <w:ind w:left="260"/>
              <w:jc w:val="left"/>
              <w:rPr>
                <w:b/>
                <w:sz w:val="20"/>
              </w:rPr>
            </w:pPr>
            <w:r>
              <w:rPr>
                <w:b/>
                <w:spacing w:val="-2"/>
                <w:sz w:val="20"/>
              </w:rPr>
              <w:t>(µmol/g)</w:t>
            </w:r>
          </w:p>
        </w:tc>
        <w:tc>
          <w:tcPr>
            <w:tcW w:w="1253" w:type="dxa"/>
            <w:tcBorders>
              <w:left w:val="single" w:color="000000" w:sz="4" w:space="0"/>
              <w:bottom w:val="thinThickMediumGap" w:color="F2F2F2" w:sz="6" w:space="0"/>
              <w:right w:val="single" w:color="000000" w:sz="4" w:space="0"/>
            </w:tcBorders>
            <w:shd w:val="clear" w:color="auto" w:fill="F2F2F2"/>
          </w:tcPr>
          <w:p w14:paraId="649C93CE">
            <w:pPr>
              <w:pStyle w:val="11"/>
              <w:spacing w:before="108"/>
              <w:ind w:left="260" w:right="162" w:hanging="92"/>
              <w:jc w:val="left"/>
              <w:rPr>
                <w:b/>
                <w:sz w:val="20"/>
              </w:rPr>
            </w:pPr>
            <w:r>
              <w:rPr>
                <w:b/>
                <w:spacing w:val="-2"/>
                <w:sz w:val="20"/>
              </w:rPr>
              <w:t>Glutamate (µmol/g)</w:t>
            </w:r>
          </w:p>
        </w:tc>
        <w:tc>
          <w:tcPr>
            <w:tcW w:w="1623" w:type="dxa"/>
            <w:tcBorders>
              <w:left w:val="single" w:color="000000" w:sz="4" w:space="0"/>
              <w:bottom w:val="thinThickMediumGap" w:color="F2F2F2" w:sz="6" w:space="0"/>
              <w:right w:val="single" w:color="000000" w:sz="4" w:space="0"/>
            </w:tcBorders>
            <w:shd w:val="clear" w:color="auto" w:fill="F2F2F2"/>
          </w:tcPr>
          <w:p w14:paraId="56C478E6">
            <w:pPr>
              <w:pStyle w:val="11"/>
              <w:spacing w:before="108"/>
              <w:ind w:left="312" w:right="141" w:hanging="168"/>
              <w:jc w:val="left"/>
              <w:rPr>
                <w:b/>
                <w:sz w:val="20"/>
              </w:rPr>
            </w:pPr>
            <w:r>
              <w:rPr>
                <w:b/>
                <w:sz w:val="20"/>
              </w:rPr>
              <w:t>NMDA</w:t>
            </w:r>
            <w:r>
              <w:rPr>
                <w:b/>
                <w:spacing w:val="-13"/>
                <w:sz w:val="20"/>
              </w:rPr>
              <w:t xml:space="preserve"> </w:t>
            </w:r>
            <w:r>
              <w:rPr>
                <w:b/>
                <w:sz w:val="20"/>
              </w:rPr>
              <w:t>binding (% control)</w:t>
            </w:r>
          </w:p>
        </w:tc>
      </w:tr>
      <w:tr w14:paraId="71EB843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23" w:hRule="atLeast"/>
        </w:trPr>
        <w:tc>
          <w:tcPr>
            <w:tcW w:w="1721" w:type="dxa"/>
            <w:tcBorders>
              <w:left w:val="single" w:color="000000" w:sz="4" w:space="0"/>
              <w:right w:val="single" w:color="000000" w:sz="4" w:space="0"/>
            </w:tcBorders>
            <w:shd w:val="clear" w:color="auto" w:fill="F2F2F2"/>
          </w:tcPr>
          <w:p w14:paraId="7290009F">
            <w:pPr>
              <w:pStyle w:val="11"/>
              <w:spacing w:before="0" w:line="20" w:lineRule="exact"/>
              <w:ind w:right="-29"/>
              <w:jc w:val="left"/>
              <w:rPr>
                <w:rFonts w:ascii="Calibri"/>
                <w:sz w:val="2"/>
              </w:rPr>
            </w:pPr>
            <w:r>
              <w:rPr>
                <w:rFonts w:ascii="Calibri"/>
                <w:sz w:val="2"/>
              </w:rPr>
              <w:drawing>
                <wp:inline distT="0" distB="0" distL="0" distR="0">
                  <wp:extent cx="1071880" cy="8890"/>
                  <wp:effectExtent l="0" t="0" r="0" b="0"/>
                  <wp:docPr id="8"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1072286" cy="9048"/>
                          </a:xfrm>
                          <a:prstGeom prst="rect">
                            <a:avLst/>
                          </a:prstGeom>
                        </pic:spPr>
                      </pic:pic>
                    </a:graphicData>
                  </a:graphic>
                </wp:inline>
              </w:drawing>
            </w:r>
          </w:p>
          <w:p w14:paraId="6A63917A">
            <w:pPr>
              <w:pStyle w:val="11"/>
              <w:spacing w:before="172"/>
              <w:ind w:left="75" w:right="68"/>
              <w:rPr>
                <w:sz w:val="20"/>
              </w:rPr>
            </w:pPr>
            <w:r>
              <w:rPr>
                <w:spacing w:val="-2"/>
                <w:sz w:val="20"/>
              </w:rPr>
              <w:t>Control</w:t>
            </w:r>
          </w:p>
        </w:tc>
        <w:tc>
          <w:tcPr>
            <w:tcW w:w="1647" w:type="dxa"/>
            <w:tcBorders>
              <w:top w:val="thickThinMediumGap" w:color="F2F2F2" w:sz="6" w:space="0"/>
              <w:left w:val="single" w:color="000000" w:sz="4" w:space="0"/>
              <w:bottom w:val="single" w:color="000000" w:sz="4" w:space="0"/>
              <w:right w:val="single" w:color="000000" w:sz="4" w:space="0"/>
            </w:tcBorders>
          </w:tcPr>
          <w:p w14:paraId="4E665184">
            <w:pPr>
              <w:pStyle w:val="11"/>
              <w:spacing w:before="192"/>
              <w:ind w:left="5" w:right="5"/>
              <w:rPr>
                <w:sz w:val="20"/>
              </w:rPr>
            </w:pPr>
            <w:r>
              <w:rPr>
                <w:sz w:val="20"/>
              </w:rPr>
              <w:t>Saline</w:t>
            </w:r>
            <w:r>
              <w:rPr>
                <w:spacing w:val="-5"/>
                <w:sz w:val="20"/>
              </w:rPr>
              <w:t xml:space="preserve"> </w:t>
            </w:r>
            <w:r>
              <w:rPr>
                <w:sz w:val="20"/>
              </w:rPr>
              <w:t>+</w:t>
            </w:r>
            <w:r>
              <w:rPr>
                <w:spacing w:val="-3"/>
                <w:sz w:val="20"/>
              </w:rPr>
              <w:t xml:space="preserve"> </w:t>
            </w:r>
            <w:r>
              <w:rPr>
                <w:spacing w:val="-2"/>
                <w:sz w:val="20"/>
              </w:rPr>
              <w:t>Saline</w:t>
            </w:r>
          </w:p>
        </w:tc>
        <w:tc>
          <w:tcPr>
            <w:tcW w:w="1145" w:type="dxa"/>
            <w:tcBorders>
              <w:top w:val="thickThinMediumGap" w:color="F2F2F2" w:sz="6" w:space="0"/>
              <w:left w:val="single" w:color="000000" w:sz="4" w:space="0"/>
              <w:bottom w:val="single" w:color="000000" w:sz="4" w:space="0"/>
              <w:right w:val="single" w:color="000000" w:sz="4" w:space="0"/>
            </w:tcBorders>
          </w:tcPr>
          <w:p w14:paraId="59C8EAD1">
            <w:pPr>
              <w:pStyle w:val="11"/>
              <w:spacing w:before="192"/>
              <w:ind w:left="11" w:right="3"/>
              <w:rPr>
                <w:sz w:val="20"/>
              </w:rPr>
            </w:pPr>
            <w:r>
              <w:rPr>
                <w:sz w:val="20"/>
              </w:rPr>
              <w:t>180</w:t>
            </w:r>
            <w:r>
              <w:rPr>
                <w:spacing w:val="-1"/>
                <w:sz w:val="20"/>
              </w:rPr>
              <w:t xml:space="preserve"> </w:t>
            </w:r>
            <w:r>
              <w:rPr>
                <w:sz w:val="20"/>
              </w:rPr>
              <w:t>±</w:t>
            </w:r>
            <w:r>
              <w:rPr>
                <w:spacing w:val="-3"/>
                <w:sz w:val="20"/>
              </w:rPr>
              <w:t xml:space="preserve"> </w:t>
            </w:r>
            <w:r>
              <w:rPr>
                <w:spacing w:val="-5"/>
                <w:sz w:val="20"/>
              </w:rPr>
              <w:t>10</w:t>
            </w:r>
          </w:p>
        </w:tc>
        <w:tc>
          <w:tcPr>
            <w:tcW w:w="1003" w:type="dxa"/>
            <w:tcBorders>
              <w:top w:val="thickThinMediumGap" w:color="F2F2F2" w:sz="6" w:space="0"/>
              <w:left w:val="single" w:color="000000" w:sz="4" w:space="0"/>
              <w:bottom w:val="single" w:color="000000" w:sz="4" w:space="0"/>
              <w:right w:val="single" w:color="000000" w:sz="4" w:space="0"/>
            </w:tcBorders>
          </w:tcPr>
          <w:p w14:paraId="2294BBE3">
            <w:pPr>
              <w:pStyle w:val="11"/>
              <w:spacing w:before="192"/>
              <w:ind w:left="7" w:right="4"/>
              <w:rPr>
                <w:sz w:val="20"/>
              </w:rPr>
            </w:pPr>
            <w:r>
              <w:rPr>
                <w:spacing w:val="-10"/>
                <w:sz w:val="20"/>
              </w:rPr>
              <w:t>0</w:t>
            </w:r>
          </w:p>
        </w:tc>
        <w:tc>
          <w:tcPr>
            <w:tcW w:w="1253" w:type="dxa"/>
            <w:tcBorders>
              <w:top w:val="thickThinMediumGap" w:color="F2F2F2" w:sz="6" w:space="0"/>
              <w:left w:val="single" w:color="000000" w:sz="4" w:space="0"/>
              <w:bottom w:val="single" w:color="000000" w:sz="4" w:space="0"/>
              <w:right w:val="single" w:color="000000" w:sz="4" w:space="0"/>
            </w:tcBorders>
          </w:tcPr>
          <w:p w14:paraId="7A509849">
            <w:pPr>
              <w:pStyle w:val="11"/>
              <w:spacing w:before="192"/>
              <w:ind w:left="268"/>
              <w:jc w:val="left"/>
              <w:rPr>
                <w:sz w:val="20"/>
              </w:rPr>
            </w:pPr>
            <w:r>
              <w:rPr>
                <w:sz w:val="20"/>
              </w:rPr>
              <w:t>5.0</w:t>
            </w:r>
            <w:r>
              <w:rPr>
                <w:spacing w:val="-1"/>
                <w:sz w:val="20"/>
              </w:rPr>
              <w:t xml:space="preserve"> </w:t>
            </w:r>
            <w:r>
              <w:rPr>
                <w:sz w:val="20"/>
              </w:rPr>
              <w:t>±</w:t>
            </w:r>
            <w:r>
              <w:rPr>
                <w:spacing w:val="-4"/>
                <w:sz w:val="20"/>
              </w:rPr>
              <w:t xml:space="preserve"> </w:t>
            </w:r>
            <w:r>
              <w:rPr>
                <w:spacing w:val="-5"/>
                <w:sz w:val="20"/>
              </w:rPr>
              <w:t>0.5</w:t>
            </w:r>
          </w:p>
        </w:tc>
        <w:tc>
          <w:tcPr>
            <w:tcW w:w="1253" w:type="dxa"/>
            <w:tcBorders>
              <w:top w:val="thickThinMediumGap" w:color="F2F2F2" w:sz="6" w:space="0"/>
              <w:left w:val="single" w:color="000000" w:sz="4" w:space="0"/>
              <w:bottom w:val="single" w:color="000000" w:sz="4" w:space="0"/>
              <w:right w:val="single" w:color="000000" w:sz="4" w:space="0"/>
            </w:tcBorders>
          </w:tcPr>
          <w:p w14:paraId="0B6A10AB">
            <w:pPr>
              <w:pStyle w:val="11"/>
              <w:spacing w:before="192"/>
              <w:ind w:left="266"/>
              <w:jc w:val="left"/>
              <w:rPr>
                <w:sz w:val="20"/>
              </w:rPr>
            </w:pPr>
            <w:r>
              <w:rPr>
                <w:sz w:val="20"/>
              </w:rPr>
              <w:t>3.0</w:t>
            </w:r>
            <w:r>
              <w:rPr>
                <w:spacing w:val="-1"/>
                <w:sz w:val="20"/>
              </w:rPr>
              <w:t xml:space="preserve"> </w:t>
            </w:r>
            <w:r>
              <w:rPr>
                <w:sz w:val="20"/>
              </w:rPr>
              <w:t>±</w:t>
            </w:r>
            <w:r>
              <w:rPr>
                <w:spacing w:val="-2"/>
                <w:sz w:val="20"/>
              </w:rPr>
              <w:t xml:space="preserve"> </w:t>
            </w:r>
            <w:r>
              <w:rPr>
                <w:spacing w:val="-5"/>
                <w:sz w:val="20"/>
              </w:rPr>
              <w:t>0.3</w:t>
            </w:r>
          </w:p>
        </w:tc>
        <w:tc>
          <w:tcPr>
            <w:tcW w:w="1623" w:type="dxa"/>
            <w:tcBorders>
              <w:top w:val="thickThinMediumGap" w:color="F2F2F2" w:sz="6" w:space="0"/>
              <w:left w:val="single" w:color="000000" w:sz="4" w:space="0"/>
              <w:bottom w:val="single" w:color="000000" w:sz="4" w:space="0"/>
              <w:right w:val="single" w:color="000000" w:sz="4" w:space="0"/>
            </w:tcBorders>
          </w:tcPr>
          <w:p w14:paraId="03061D19">
            <w:pPr>
              <w:pStyle w:val="11"/>
              <w:spacing w:before="192"/>
              <w:ind w:right="2"/>
              <w:rPr>
                <w:sz w:val="20"/>
              </w:rPr>
            </w:pPr>
            <w:r>
              <w:rPr>
                <w:sz w:val="20"/>
              </w:rPr>
              <w:t>100</w:t>
            </w:r>
            <w:r>
              <w:rPr>
                <w:spacing w:val="-1"/>
                <w:sz w:val="20"/>
              </w:rPr>
              <w:t xml:space="preserve"> </w:t>
            </w:r>
            <w:r>
              <w:rPr>
                <w:sz w:val="20"/>
              </w:rPr>
              <w:t>±</w:t>
            </w:r>
            <w:r>
              <w:rPr>
                <w:spacing w:val="-3"/>
                <w:sz w:val="20"/>
              </w:rPr>
              <w:t xml:space="preserve"> </w:t>
            </w:r>
            <w:r>
              <w:rPr>
                <w:spacing w:val="-10"/>
                <w:sz w:val="20"/>
              </w:rPr>
              <w:t>5</w:t>
            </w:r>
          </w:p>
        </w:tc>
      </w:tr>
      <w:tr w14:paraId="5E640095">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2" w:hRule="atLeast"/>
        </w:trPr>
        <w:tc>
          <w:tcPr>
            <w:tcW w:w="1721" w:type="dxa"/>
            <w:tcBorders>
              <w:left w:val="single" w:color="000000" w:sz="4" w:space="0"/>
              <w:right w:val="single" w:color="000000" w:sz="4" w:space="0"/>
            </w:tcBorders>
            <w:shd w:val="clear" w:color="auto" w:fill="F2F2F2"/>
          </w:tcPr>
          <w:p w14:paraId="5FEAD2C6">
            <w:pPr>
              <w:pStyle w:val="11"/>
              <w:spacing w:before="0" w:line="20" w:lineRule="exact"/>
              <w:ind w:right="-101"/>
              <w:jc w:val="left"/>
              <w:rPr>
                <w:rFonts w:ascii="Calibri"/>
                <w:sz w:val="2"/>
              </w:rPr>
            </w:pPr>
            <w:r>
              <w:rPr>
                <w:rFonts w:ascii="Calibri"/>
                <w:sz w:val="2"/>
              </w:rPr>
              <w:drawing>
                <wp:inline distT="0" distB="0" distL="0" distR="0">
                  <wp:extent cx="1120775" cy="5080"/>
                  <wp:effectExtent l="0" t="0" r="0" b="0"/>
                  <wp:docPr id="9" name="Image 9"/>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1121012" cy="5714"/>
                          </a:xfrm>
                          <a:prstGeom prst="rect">
                            <a:avLst/>
                          </a:prstGeom>
                        </pic:spPr>
                      </pic:pic>
                    </a:graphicData>
                  </a:graphic>
                </wp:inline>
              </w:drawing>
            </w:r>
          </w:p>
          <w:p w14:paraId="38033CF9">
            <w:pPr>
              <w:pStyle w:val="11"/>
              <w:spacing w:before="159"/>
              <w:ind w:left="75" w:right="67"/>
              <w:rPr>
                <w:sz w:val="20"/>
              </w:rPr>
            </w:pPr>
            <w:r>
              <w:rPr>
                <w:spacing w:val="-2"/>
                <w:sz w:val="20"/>
              </w:rPr>
              <w:t>Haloperidol</w:t>
            </w:r>
          </w:p>
        </w:tc>
        <w:tc>
          <w:tcPr>
            <w:tcW w:w="1647" w:type="dxa"/>
            <w:tcBorders>
              <w:top w:val="single" w:color="000000" w:sz="4" w:space="0"/>
              <w:left w:val="single" w:color="000000" w:sz="4" w:space="0"/>
              <w:bottom w:val="single" w:color="000000" w:sz="4" w:space="0"/>
              <w:right w:val="single" w:color="000000" w:sz="4" w:space="0"/>
            </w:tcBorders>
          </w:tcPr>
          <w:p w14:paraId="52F0955B">
            <w:pPr>
              <w:pStyle w:val="11"/>
              <w:spacing w:before="64"/>
              <w:ind w:left="573" w:right="250" w:hanging="312"/>
              <w:jc w:val="left"/>
              <w:rPr>
                <w:sz w:val="20"/>
              </w:rPr>
            </w:pPr>
            <w:r>
              <w:rPr>
                <w:sz w:val="20"/>
              </w:rPr>
              <w:t>Haloperidol</w:t>
            </w:r>
            <w:r>
              <w:rPr>
                <w:spacing w:val="-13"/>
                <w:sz w:val="20"/>
              </w:rPr>
              <w:t xml:space="preserve"> </w:t>
            </w:r>
            <w:r>
              <w:rPr>
                <w:sz w:val="20"/>
              </w:rPr>
              <w:t xml:space="preserve">+ </w:t>
            </w:r>
            <w:r>
              <w:rPr>
                <w:spacing w:val="-2"/>
                <w:sz w:val="20"/>
              </w:rPr>
              <w:t>Saline</w:t>
            </w:r>
          </w:p>
        </w:tc>
        <w:tc>
          <w:tcPr>
            <w:tcW w:w="1145" w:type="dxa"/>
            <w:tcBorders>
              <w:top w:val="single" w:color="000000" w:sz="4" w:space="0"/>
              <w:left w:val="single" w:color="000000" w:sz="4" w:space="0"/>
              <w:bottom w:val="single" w:color="000000" w:sz="4" w:space="0"/>
              <w:right w:val="single" w:color="000000" w:sz="4" w:space="0"/>
            </w:tcBorders>
          </w:tcPr>
          <w:p w14:paraId="4D98F546">
            <w:pPr>
              <w:pStyle w:val="11"/>
              <w:spacing w:before="179"/>
              <w:ind w:left="11" w:right="1"/>
              <w:rPr>
                <w:sz w:val="20"/>
              </w:rPr>
            </w:pPr>
            <w:r>
              <w:rPr>
                <w:sz w:val="20"/>
              </w:rPr>
              <w:t>30</w:t>
            </w:r>
            <w:r>
              <w:rPr>
                <w:spacing w:val="-1"/>
                <w:sz w:val="20"/>
              </w:rPr>
              <w:t xml:space="preserve"> </w:t>
            </w:r>
            <w:r>
              <w:rPr>
                <w:sz w:val="20"/>
              </w:rPr>
              <w:t>±</w:t>
            </w:r>
            <w:r>
              <w:rPr>
                <w:spacing w:val="-4"/>
                <w:sz w:val="20"/>
              </w:rPr>
              <w:t xml:space="preserve"> </w:t>
            </w:r>
            <w:r>
              <w:rPr>
                <w:spacing w:val="-10"/>
                <w:sz w:val="20"/>
              </w:rPr>
              <w:t>5</w:t>
            </w:r>
          </w:p>
        </w:tc>
        <w:tc>
          <w:tcPr>
            <w:tcW w:w="1003" w:type="dxa"/>
            <w:tcBorders>
              <w:top w:val="single" w:color="000000" w:sz="4" w:space="0"/>
              <w:left w:val="single" w:color="000000" w:sz="4" w:space="0"/>
              <w:bottom w:val="single" w:color="000000" w:sz="4" w:space="0"/>
              <w:right w:val="single" w:color="000000" w:sz="4" w:space="0"/>
            </w:tcBorders>
          </w:tcPr>
          <w:p w14:paraId="6CAC58CE">
            <w:pPr>
              <w:pStyle w:val="11"/>
              <w:spacing w:before="179"/>
              <w:ind w:left="7" w:right="2"/>
              <w:rPr>
                <w:sz w:val="20"/>
              </w:rPr>
            </w:pPr>
            <w:r>
              <w:rPr>
                <w:spacing w:val="-10"/>
                <w:sz w:val="20"/>
              </w:rPr>
              <w:t>3</w:t>
            </w:r>
          </w:p>
        </w:tc>
        <w:tc>
          <w:tcPr>
            <w:tcW w:w="1253" w:type="dxa"/>
            <w:tcBorders>
              <w:top w:val="single" w:color="000000" w:sz="4" w:space="0"/>
              <w:left w:val="single" w:color="000000" w:sz="4" w:space="0"/>
              <w:bottom w:val="single" w:color="000000" w:sz="4" w:space="0"/>
              <w:right w:val="single" w:color="000000" w:sz="4" w:space="0"/>
            </w:tcBorders>
          </w:tcPr>
          <w:p w14:paraId="64EB00AC">
            <w:pPr>
              <w:pStyle w:val="11"/>
              <w:spacing w:before="179"/>
              <w:ind w:left="269"/>
              <w:jc w:val="left"/>
              <w:rPr>
                <w:sz w:val="20"/>
              </w:rPr>
            </w:pPr>
            <w:r>
              <w:rPr>
                <w:sz w:val="20"/>
              </w:rPr>
              <w:t>4.0</w:t>
            </w:r>
            <w:r>
              <w:rPr>
                <w:spacing w:val="-1"/>
                <w:sz w:val="20"/>
              </w:rPr>
              <w:t xml:space="preserve"> </w:t>
            </w:r>
            <w:r>
              <w:rPr>
                <w:sz w:val="20"/>
              </w:rPr>
              <w:t>±</w:t>
            </w:r>
            <w:r>
              <w:rPr>
                <w:spacing w:val="-2"/>
                <w:sz w:val="20"/>
              </w:rPr>
              <w:t xml:space="preserve"> </w:t>
            </w:r>
            <w:r>
              <w:rPr>
                <w:spacing w:val="-5"/>
                <w:sz w:val="20"/>
              </w:rPr>
              <w:t>0.4</w:t>
            </w:r>
          </w:p>
        </w:tc>
        <w:tc>
          <w:tcPr>
            <w:tcW w:w="1253" w:type="dxa"/>
            <w:tcBorders>
              <w:top w:val="single" w:color="000000" w:sz="4" w:space="0"/>
              <w:left w:val="single" w:color="000000" w:sz="4" w:space="0"/>
              <w:bottom w:val="single" w:color="000000" w:sz="4" w:space="0"/>
              <w:right w:val="single" w:color="000000" w:sz="4" w:space="0"/>
            </w:tcBorders>
          </w:tcPr>
          <w:p w14:paraId="3CDA1D18">
            <w:pPr>
              <w:pStyle w:val="11"/>
              <w:spacing w:before="179"/>
              <w:ind w:left="269"/>
              <w:jc w:val="left"/>
              <w:rPr>
                <w:sz w:val="20"/>
              </w:rPr>
            </w:pPr>
            <w:r>
              <w:rPr>
                <w:sz w:val="20"/>
              </w:rPr>
              <w:t>3.5</w:t>
            </w:r>
            <w:r>
              <w:rPr>
                <w:spacing w:val="-1"/>
                <w:sz w:val="20"/>
              </w:rPr>
              <w:t xml:space="preserve"> </w:t>
            </w:r>
            <w:r>
              <w:rPr>
                <w:sz w:val="20"/>
              </w:rPr>
              <w:t>±</w:t>
            </w:r>
            <w:r>
              <w:rPr>
                <w:spacing w:val="-2"/>
                <w:sz w:val="20"/>
              </w:rPr>
              <w:t xml:space="preserve"> </w:t>
            </w:r>
            <w:r>
              <w:rPr>
                <w:spacing w:val="-5"/>
                <w:sz w:val="20"/>
              </w:rPr>
              <w:t>0.2</w:t>
            </w:r>
          </w:p>
        </w:tc>
        <w:tc>
          <w:tcPr>
            <w:tcW w:w="1623" w:type="dxa"/>
            <w:tcBorders>
              <w:top w:val="single" w:color="000000" w:sz="4" w:space="0"/>
              <w:left w:val="single" w:color="000000" w:sz="4" w:space="0"/>
              <w:bottom w:val="single" w:color="000000" w:sz="4" w:space="0"/>
              <w:right w:val="single" w:color="000000" w:sz="4" w:space="0"/>
            </w:tcBorders>
          </w:tcPr>
          <w:p w14:paraId="595B79E7">
            <w:pPr>
              <w:pStyle w:val="11"/>
              <w:spacing w:before="179"/>
              <w:ind w:right="1"/>
              <w:rPr>
                <w:sz w:val="20"/>
              </w:rPr>
            </w:pPr>
            <w:r>
              <w:rPr>
                <w:sz w:val="20"/>
              </w:rPr>
              <w:t>80</w:t>
            </w:r>
            <w:r>
              <w:rPr>
                <w:spacing w:val="-1"/>
                <w:sz w:val="20"/>
              </w:rPr>
              <w:t xml:space="preserve"> </w:t>
            </w:r>
            <w:r>
              <w:rPr>
                <w:sz w:val="20"/>
              </w:rPr>
              <w:t>±</w:t>
            </w:r>
            <w:r>
              <w:rPr>
                <w:spacing w:val="-2"/>
                <w:sz w:val="20"/>
              </w:rPr>
              <w:t xml:space="preserve"> </w:t>
            </w:r>
            <w:r>
              <w:rPr>
                <w:spacing w:val="-10"/>
                <w:sz w:val="20"/>
              </w:rPr>
              <w:t>3</w:t>
            </w:r>
          </w:p>
        </w:tc>
      </w:tr>
      <w:tr w14:paraId="66E1AD7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91" w:hRule="atLeast"/>
        </w:trPr>
        <w:tc>
          <w:tcPr>
            <w:tcW w:w="1721" w:type="dxa"/>
            <w:tcBorders>
              <w:left w:val="single" w:color="000000" w:sz="4" w:space="0"/>
              <w:right w:val="single" w:color="000000" w:sz="4" w:space="0"/>
            </w:tcBorders>
            <w:shd w:val="clear" w:color="auto" w:fill="F2F2F2"/>
          </w:tcPr>
          <w:p w14:paraId="5AEB71AB">
            <w:pPr>
              <w:pStyle w:val="11"/>
              <w:spacing w:before="0" w:line="20" w:lineRule="exact"/>
              <w:ind w:right="-101"/>
              <w:jc w:val="left"/>
              <w:rPr>
                <w:rFonts w:ascii="Calibri"/>
                <w:sz w:val="2"/>
              </w:rPr>
            </w:pPr>
            <w:r>
              <w:rPr>
                <w:rFonts w:ascii="Calibri"/>
                <w:sz w:val="2"/>
              </w:rPr>
              <w:drawing>
                <wp:inline distT="0" distB="0" distL="0" distR="0">
                  <wp:extent cx="1120775" cy="5080"/>
                  <wp:effectExtent l="0" t="0" r="0" b="0"/>
                  <wp:docPr id="10" name="Image 10"/>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1120953" cy="5714"/>
                          </a:xfrm>
                          <a:prstGeom prst="rect">
                            <a:avLst/>
                          </a:prstGeom>
                        </pic:spPr>
                      </pic:pic>
                    </a:graphicData>
                  </a:graphic>
                </wp:inline>
              </w:drawing>
            </w:r>
          </w:p>
          <w:p w14:paraId="7F9C166B">
            <w:pPr>
              <w:pStyle w:val="11"/>
              <w:spacing w:before="90"/>
              <w:ind w:left="604" w:right="249" w:hanging="344"/>
              <w:jc w:val="left"/>
              <w:rPr>
                <w:sz w:val="20"/>
              </w:rPr>
            </w:pPr>
            <w:r>
              <w:rPr>
                <w:sz w:val="20"/>
              </w:rPr>
              <w:t>Zonisamide</w:t>
            </w:r>
            <w:r>
              <w:rPr>
                <w:spacing w:val="-13"/>
                <w:sz w:val="20"/>
              </w:rPr>
              <w:t xml:space="preserve"> </w:t>
            </w:r>
            <w:r>
              <w:rPr>
                <w:sz w:val="20"/>
              </w:rPr>
              <w:t xml:space="preserve">10 </w:t>
            </w:r>
            <w:r>
              <w:rPr>
                <w:spacing w:val="-2"/>
                <w:sz w:val="20"/>
              </w:rPr>
              <w:t>mg/kg</w:t>
            </w:r>
          </w:p>
        </w:tc>
        <w:tc>
          <w:tcPr>
            <w:tcW w:w="1647" w:type="dxa"/>
            <w:tcBorders>
              <w:top w:val="single" w:color="000000" w:sz="4" w:space="0"/>
              <w:left w:val="single" w:color="000000" w:sz="4" w:space="0"/>
              <w:bottom w:val="single" w:color="000000" w:sz="4" w:space="0"/>
              <w:right w:val="single" w:color="000000" w:sz="4" w:space="0"/>
            </w:tcBorders>
          </w:tcPr>
          <w:p w14:paraId="5E65E0BC">
            <w:pPr>
              <w:pStyle w:val="11"/>
              <w:spacing w:before="110"/>
              <w:ind w:left="573" w:right="254" w:hanging="305"/>
              <w:jc w:val="left"/>
              <w:rPr>
                <w:sz w:val="20"/>
              </w:rPr>
            </w:pPr>
            <w:r>
              <w:rPr>
                <w:sz w:val="20"/>
              </w:rPr>
              <w:t>Zonisamide</w:t>
            </w:r>
            <w:r>
              <w:rPr>
                <w:spacing w:val="-13"/>
                <w:sz w:val="20"/>
              </w:rPr>
              <w:t xml:space="preserve"> </w:t>
            </w:r>
            <w:r>
              <w:rPr>
                <w:sz w:val="20"/>
              </w:rPr>
              <w:t xml:space="preserve">+ </w:t>
            </w:r>
            <w:r>
              <w:rPr>
                <w:spacing w:val="-2"/>
                <w:sz w:val="20"/>
              </w:rPr>
              <w:t>Saline</w:t>
            </w:r>
          </w:p>
        </w:tc>
        <w:tc>
          <w:tcPr>
            <w:tcW w:w="1145" w:type="dxa"/>
            <w:tcBorders>
              <w:top w:val="single" w:color="000000" w:sz="4" w:space="0"/>
              <w:left w:val="single" w:color="000000" w:sz="4" w:space="0"/>
              <w:bottom w:val="single" w:color="000000" w:sz="4" w:space="0"/>
              <w:right w:val="single" w:color="000000" w:sz="4" w:space="0"/>
            </w:tcBorders>
          </w:tcPr>
          <w:p w14:paraId="763EB1B2">
            <w:pPr>
              <w:pStyle w:val="11"/>
              <w:spacing w:before="225"/>
              <w:ind w:left="11"/>
              <w:rPr>
                <w:sz w:val="20"/>
              </w:rPr>
            </w:pPr>
            <w:r>
              <w:rPr>
                <w:sz w:val="20"/>
              </w:rPr>
              <w:t>120</w:t>
            </w:r>
            <w:r>
              <w:rPr>
                <w:spacing w:val="-1"/>
                <w:sz w:val="20"/>
              </w:rPr>
              <w:t xml:space="preserve"> </w:t>
            </w:r>
            <w:r>
              <w:rPr>
                <w:sz w:val="20"/>
              </w:rPr>
              <w:t>±</w:t>
            </w:r>
            <w:r>
              <w:rPr>
                <w:spacing w:val="-3"/>
                <w:sz w:val="20"/>
              </w:rPr>
              <w:t xml:space="preserve"> </w:t>
            </w:r>
            <w:r>
              <w:rPr>
                <w:spacing w:val="-5"/>
                <w:sz w:val="20"/>
              </w:rPr>
              <w:t>15</w:t>
            </w:r>
          </w:p>
        </w:tc>
        <w:tc>
          <w:tcPr>
            <w:tcW w:w="1003" w:type="dxa"/>
            <w:tcBorders>
              <w:top w:val="single" w:color="000000" w:sz="4" w:space="0"/>
              <w:left w:val="single" w:color="000000" w:sz="4" w:space="0"/>
              <w:bottom w:val="single" w:color="000000" w:sz="4" w:space="0"/>
              <w:right w:val="single" w:color="000000" w:sz="4" w:space="0"/>
            </w:tcBorders>
          </w:tcPr>
          <w:p w14:paraId="1199BBD9">
            <w:pPr>
              <w:pStyle w:val="11"/>
              <w:spacing w:before="225"/>
              <w:ind w:left="7" w:right="1"/>
              <w:rPr>
                <w:sz w:val="20"/>
              </w:rPr>
            </w:pPr>
            <w:r>
              <w:rPr>
                <w:spacing w:val="-10"/>
                <w:sz w:val="20"/>
              </w:rPr>
              <w:t>1</w:t>
            </w:r>
          </w:p>
        </w:tc>
        <w:tc>
          <w:tcPr>
            <w:tcW w:w="1253" w:type="dxa"/>
            <w:tcBorders>
              <w:top w:val="single" w:color="000000" w:sz="4" w:space="0"/>
              <w:left w:val="single" w:color="000000" w:sz="4" w:space="0"/>
              <w:bottom w:val="single" w:color="000000" w:sz="4" w:space="0"/>
              <w:right w:val="single" w:color="000000" w:sz="4" w:space="0"/>
            </w:tcBorders>
          </w:tcPr>
          <w:p w14:paraId="2569B1DC">
            <w:pPr>
              <w:pStyle w:val="11"/>
              <w:spacing w:before="225"/>
              <w:ind w:left="270"/>
              <w:jc w:val="left"/>
              <w:rPr>
                <w:sz w:val="20"/>
              </w:rPr>
            </w:pPr>
            <w:r>
              <w:rPr>
                <w:sz w:val="20"/>
              </w:rPr>
              <w:t>5.5</w:t>
            </w:r>
            <w:r>
              <w:rPr>
                <w:spacing w:val="-1"/>
                <w:sz w:val="20"/>
              </w:rPr>
              <w:t xml:space="preserve"> </w:t>
            </w:r>
            <w:r>
              <w:rPr>
                <w:sz w:val="20"/>
              </w:rPr>
              <w:t>±</w:t>
            </w:r>
            <w:r>
              <w:rPr>
                <w:spacing w:val="-4"/>
                <w:sz w:val="20"/>
              </w:rPr>
              <w:t xml:space="preserve"> </w:t>
            </w:r>
            <w:r>
              <w:rPr>
                <w:spacing w:val="-5"/>
                <w:sz w:val="20"/>
              </w:rPr>
              <w:t>0.6</w:t>
            </w:r>
          </w:p>
        </w:tc>
        <w:tc>
          <w:tcPr>
            <w:tcW w:w="1253" w:type="dxa"/>
            <w:tcBorders>
              <w:top w:val="single" w:color="000000" w:sz="4" w:space="0"/>
              <w:left w:val="single" w:color="000000" w:sz="4" w:space="0"/>
              <w:bottom w:val="single" w:color="000000" w:sz="4" w:space="0"/>
              <w:right w:val="single" w:color="000000" w:sz="4" w:space="0"/>
            </w:tcBorders>
          </w:tcPr>
          <w:p w14:paraId="4ED058E1">
            <w:pPr>
              <w:pStyle w:val="11"/>
              <w:spacing w:before="225"/>
              <w:ind w:left="267"/>
              <w:jc w:val="left"/>
              <w:rPr>
                <w:sz w:val="20"/>
              </w:rPr>
            </w:pPr>
            <w:r>
              <w:rPr>
                <w:sz w:val="20"/>
              </w:rPr>
              <w:t>2.5</w:t>
            </w:r>
            <w:r>
              <w:rPr>
                <w:spacing w:val="-1"/>
                <w:sz w:val="20"/>
              </w:rPr>
              <w:t xml:space="preserve"> </w:t>
            </w:r>
            <w:r>
              <w:rPr>
                <w:sz w:val="20"/>
              </w:rPr>
              <w:t>±</w:t>
            </w:r>
            <w:r>
              <w:rPr>
                <w:spacing w:val="-2"/>
                <w:sz w:val="20"/>
              </w:rPr>
              <w:t xml:space="preserve"> </w:t>
            </w:r>
            <w:r>
              <w:rPr>
                <w:spacing w:val="-5"/>
                <w:sz w:val="20"/>
              </w:rPr>
              <w:t>0.1</w:t>
            </w:r>
          </w:p>
        </w:tc>
        <w:tc>
          <w:tcPr>
            <w:tcW w:w="1623" w:type="dxa"/>
            <w:tcBorders>
              <w:top w:val="single" w:color="000000" w:sz="4" w:space="0"/>
              <w:left w:val="single" w:color="000000" w:sz="4" w:space="0"/>
              <w:bottom w:val="single" w:color="000000" w:sz="4" w:space="0"/>
              <w:right w:val="single" w:color="000000" w:sz="4" w:space="0"/>
            </w:tcBorders>
          </w:tcPr>
          <w:p w14:paraId="5D783909">
            <w:pPr>
              <w:pStyle w:val="11"/>
              <w:spacing w:before="225"/>
              <w:rPr>
                <w:sz w:val="20"/>
              </w:rPr>
            </w:pPr>
            <w:r>
              <w:rPr>
                <w:sz w:val="20"/>
              </w:rPr>
              <w:t>110</w:t>
            </w:r>
            <w:r>
              <w:rPr>
                <w:spacing w:val="-1"/>
                <w:sz w:val="20"/>
              </w:rPr>
              <w:t xml:space="preserve"> </w:t>
            </w:r>
            <w:r>
              <w:rPr>
                <w:sz w:val="20"/>
              </w:rPr>
              <w:t>±</w:t>
            </w:r>
            <w:r>
              <w:rPr>
                <w:spacing w:val="-3"/>
                <w:sz w:val="20"/>
              </w:rPr>
              <w:t xml:space="preserve"> </w:t>
            </w:r>
            <w:r>
              <w:rPr>
                <w:spacing w:val="-10"/>
                <w:sz w:val="20"/>
              </w:rPr>
              <w:t>7</w:t>
            </w:r>
          </w:p>
        </w:tc>
      </w:tr>
      <w:tr w14:paraId="1EF32704">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94" w:hRule="atLeast"/>
        </w:trPr>
        <w:tc>
          <w:tcPr>
            <w:tcW w:w="1721" w:type="dxa"/>
            <w:tcBorders>
              <w:left w:val="single" w:color="000000" w:sz="4" w:space="0"/>
              <w:right w:val="single" w:color="000000" w:sz="4" w:space="0"/>
            </w:tcBorders>
            <w:shd w:val="clear" w:color="auto" w:fill="F2F2F2"/>
          </w:tcPr>
          <w:p w14:paraId="4C22A57B">
            <w:pPr>
              <w:pStyle w:val="11"/>
              <w:spacing w:before="0" w:line="20" w:lineRule="exact"/>
              <w:ind w:right="-101"/>
              <w:jc w:val="left"/>
              <w:rPr>
                <w:rFonts w:ascii="Calibri"/>
                <w:sz w:val="2"/>
              </w:rPr>
            </w:pPr>
            <w:r>
              <w:rPr>
                <w:rFonts w:ascii="Calibri"/>
                <w:sz w:val="2"/>
              </w:rPr>
              <w:drawing>
                <wp:inline distT="0" distB="0" distL="0" distR="0">
                  <wp:extent cx="1120775" cy="5080"/>
                  <wp:effectExtent l="0" t="0" r="0" b="0"/>
                  <wp:docPr id="11" name="Image 11"/>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1120954" cy="5714"/>
                          </a:xfrm>
                          <a:prstGeom prst="rect">
                            <a:avLst/>
                          </a:prstGeom>
                        </pic:spPr>
                      </pic:pic>
                    </a:graphicData>
                  </a:graphic>
                </wp:inline>
              </w:drawing>
            </w:r>
          </w:p>
          <w:p w14:paraId="1EA0E63D">
            <w:pPr>
              <w:pStyle w:val="11"/>
              <w:spacing w:before="90"/>
              <w:ind w:left="604" w:right="249" w:hanging="344"/>
              <w:jc w:val="left"/>
              <w:rPr>
                <w:sz w:val="20"/>
              </w:rPr>
            </w:pPr>
            <w:r>
              <w:rPr>
                <w:sz w:val="20"/>
              </w:rPr>
              <mc:AlternateContent>
                <mc:Choice Requires="wpg">
                  <w:drawing>
                    <wp:anchor distT="0" distB="0" distL="0" distR="0" simplePos="0" relativeHeight="251659264" behindDoc="0" locked="0" layoutInCell="1" allowOverlap="1">
                      <wp:simplePos x="0" y="0"/>
                      <wp:positionH relativeFrom="column">
                        <wp:posOffset>2540</wp:posOffset>
                      </wp:positionH>
                      <wp:positionV relativeFrom="paragraph">
                        <wp:posOffset>438785</wp:posOffset>
                      </wp:positionV>
                      <wp:extent cx="1087120" cy="22860"/>
                      <wp:effectExtent l="0" t="0" r="0" b="0"/>
                      <wp:wrapNone/>
                      <wp:docPr id="12" name="Group 12"/>
                      <wp:cNvGraphicFramePr/>
                      <a:graphic xmlns:a="http://schemas.openxmlformats.org/drawingml/2006/main">
                        <a:graphicData uri="http://schemas.microsoft.com/office/word/2010/wordprocessingGroup">
                          <wpg:wgp>
                            <wpg:cNvGrpSpPr/>
                            <wpg:grpSpPr>
                              <a:xfrm>
                                <a:off x="0" y="0"/>
                                <a:ext cx="1087120" cy="22860"/>
                                <a:chOff x="0" y="0"/>
                                <a:chExt cx="1087120" cy="22860"/>
                              </a:xfrm>
                            </wpg:grpSpPr>
                            <pic:pic xmlns:pic="http://schemas.openxmlformats.org/drawingml/2006/picture">
                              <pic:nvPicPr>
                                <pic:cNvPr id="13" name="Image 13"/>
                                <pic:cNvPicPr/>
                              </pic:nvPicPr>
                              <pic:blipFill>
                                <a:blip r:embed="rId10" cstate="print"/>
                                <a:stretch>
                                  <a:fillRect/>
                                </a:stretch>
                              </pic:blipFill>
                              <pic:spPr>
                                <a:xfrm>
                                  <a:off x="0" y="0"/>
                                  <a:ext cx="1086612" cy="22860"/>
                                </a:xfrm>
                                <a:prstGeom prst="rect">
                                  <a:avLst/>
                                </a:prstGeom>
                              </pic:spPr>
                            </pic:pic>
                          </wpg:wgp>
                        </a:graphicData>
                      </a:graphic>
                    </wp:anchor>
                  </w:drawing>
                </mc:Choice>
                <mc:Fallback>
                  <w:pict>
                    <v:group id="_x0000_s1026" o:spid="_x0000_s1026" o:spt="203" style="position:absolute;left:0pt;margin-left:0.2pt;margin-top:34.55pt;height:1.8pt;width:85.6pt;z-index:251659264;mso-width-relative:page;mso-height-relative:page;" coordsize="1087120,22860" o:gfxdata="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">
                      <o:lock v:ext="edit" aspectratio="f"/>
                      <v:shape id="Image 13" o:spid="_x0000_s1026" o:spt="75" type="#_x0000_t75" style="position:absolute;left:0;top:0;height:22860;width:1086612;" filled="f" o:preferrelative="t" stroked="f" coordsize="21600,21600" o:gfxdata="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5jDxS5AAAA2wAA&#10;AA8AAAAAAAAAAQAgAAAAIgAAAGRycy9kb3ducmV2LnhtbFBLAQIUABQAAAAIAIdO4kAzLwWeOwAA&#10;ADkAAAAQAAAAAAAAAAEAIAAAAAgBAABkcnMvc2hhcGV4bWwueG1sUEsFBgAAAAAGAAYAWwEAALID&#10;AAAAAA==&#10;">
                        <v:fill on="f" focussize="0,0"/>
                        <v:stroke on="f"/>
                        <v:imagedata r:id="rId10" o:title=""/>
                        <o:lock v:ext="edit" aspectratio="f"/>
                      </v:shape>
                    </v:group>
                  </w:pict>
                </mc:Fallback>
              </mc:AlternateContent>
            </w:r>
            <w:r>
              <w:rPr>
                <w:sz w:val="20"/>
              </w:rPr>
              <w:t>Zonisamide</w:t>
            </w:r>
            <w:r>
              <w:rPr>
                <w:spacing w:val="-13"/>
                <w:sz w:val="20"/>
              </w:rPr>
              <w:t xml:space="preserve"> </w:t>
            </w:r>
            <w:r>
              <w:rPr>
                <w:sz w:val="20"/>
              </w:rPr>
              <w:t xml:space="preserve">15 </w:t>
            </w:r>
            <w:r>
              <w:rPr>
                <w:spacing w:val="-2"/>
                <w:sz w:val="20"/>
              </w:rPr>
              <w:t>mg/kg</w:t>
            </w:r>
          </w:p>
        </w:tc>
        <w:tc>
          <w:tcPr>
            <w:tcW w:w="1647" w:type="dxa"/>
            <w:tcBorders>
              <w:top w:val="single" w:color="000000" w:sz="4" w:space="0"/>
              <w:left w:val="single" w:color="000000" w:sz="4" w:space="0"/>
              <w:bottom w:val="single" w:color="000000" w:sz="4" w:space="0"/>
              <w:right w:val="single" w:color="000000" w:sz="4" w:space="0"/>
            </w:tcBorders>
          </w:tcPr>
          <w:p w14:paraId="742B2B6D">
            <w:pPr>
              <w:pStyle w:val="11"/>
              <w:spacing w:before="110"/>
              <w:ind w:left="573" w:right="254" w:hanging="305"/>
              <w:jc w:val="left"/>
              <w:rPr>
                <w:sz w:val="20"/>
              </w:rPr>
            </w:pPr>
            <w:r>
              <w:rPr>
                <w:sz w:val="20"/>
              </w:rPr>
              <w:t>Zonisamide</w:t>
            </w:r>
            <w:r>
              <w:rPr>
                <w:spacing w:val="-13"/>
                <w:sz w:val="20"/>
              </w:rPr>
              <w:t xml:space="preserve"> </w:t>
            </w:r>
            <w:r>
              <w:rPr>
                <w:sz w:val="20"/>
              </w:rPr>
              <w:t xml:space="preserve">+ </w:t>
            </w:r>
            <w:r>
              <w:rPr>
                <w:spacing w:val="-2"/>
                <w:sz w:val="20"/>
              </w:rPr>
              <w:t>Saline</w:t>
            </w:r>
          </w:p>
        </w:tc>
        <w:tc>
          <w:tcPr>
            <w:tcW w:w="1145" w:type="dxa"/>
            <w:tcBorders>
              <w:top w:val="single" w:color="000000" w:sz="4" w:space="0"/>
              <w:left w:val="single" w:color="000000" w:sz="4" w:space="0"/>
              <w:bottom w:val="single" w:color="000000" w:sz="4" w:space="0"/>
              <w:right w:val="single" w:color="000000" w:sz="4" w:space="0"/>
            </w:tcBorders>
          </w:tcPr>
          <w:p w14:paraId="7875E1E1">
            <w:pPr>
              <w:pStyle w:val="11"/>
              <w:spacing w:before="225"/>
              <w:ind w:left="11"/>
              <w:rPr>
                <w:sz w:val="20"/>
              </w:rPr>
            </w:pPr>
            <w:r>
              <w:rPr>
                <w:sz w:val="20"/>
              </w:rPr>
              <w:t>150</w:t>
            </w:r>
            <w:r>
              <w:rPr>
                <w:spacing w:val="-1"/>
                <w:sz w:val="20"/>
              </w:rPr>
              <w:t xml:space="preserve"> </w:t>
            </w:r>
            <w:r>
              <w:rPr>
                <w:sz w:val="20"/>
              </w:rPr>
              <w:t>±</w:t>
            </w:r>
            <w:r>
              <w:rPr>
                <w:spacing w:val="-3"/>
                <w:sz w:val="20"/>
              </w:rPr>
              <w:t xml:space="preserve"> </w:t>
            </w:r>
            <w:r>
              <w:rPr>
                <w:spacing w:val="-5"/>
                <w:sz w:val="20"/>
              </w:rPr>
              <w:t>20</w:t>
            </w:r>
          </w:p>
        </w:tc>
        <w:tc>
          <w:tcPr>
            <w:tcW w:w="1003" w:type="dxa"/>
            <w:tcBorders>
              <w:top w:val="single" w:color="000000" w:sz="4" w:space="0"/>
              <w:left w:val="single" w:color="000000" w:sz="4" w:space="0"/>
              <w:bottom w:val="single" w:color="000000" w:sz="4" w:space="0"/>
              <w:right w:val="single" w:color="000000" w:sz="4" w:space="0"/>
            </w:tcBorders>
          </w:tcPr>
          <w:p w14:paraId="4C5E68F6">
            <w:pPr>
              <w:pStyle w:val="11"/>
              <w:spacing w:before="225"/>
              <w:ind w:left="7" w:right="1"/>
              <w:rPr>
                <w:sz w:val="20"/>
              </w:rPr>
            </w:pPr>
            <w:r>
              <w:rPr>
                <w:spacing w:val="-5"/>
                <w:sz w:val="20"/>
              </w:rPr>
              <w:t>0.5</w:t>
            </w:r>
          </w:p>
        </w:tc>
        <w:tc>
          <w:tcPr>
            <w:tcW w:w="1253" w:type="dxa"/>
            <w:tcBorders>
              <w:top w:val="single" w:color="000000" w:sz="4" w:space="0"/>
              <w:left w:val="single" w:color="000000" w:sz="4" w:space="0"/>
              <w:bottom w:val="single" w:color="000000" w:sz="4" w:space="0"/>
              <w:right w:val="single" w:color="000000" w:sz="4" w:space="0"/>
            </w:tcBorders>
          </w:tcPr>
          <w:p w14:paraId="4C9C7259">
            <w:pPr>
              <w:pStyle w:val="11"/>
              <w:spacing w:before="225"/>
              <w:ind w:left="270"/>
              <w:jc w:val="left"/>
              <w:rPr>
                <w:sz w:val="20"/>
              </w:rPr>
            </w:pPr>
            <w:r>
              <w:rPr>
                <w:sz w:val="20"/>
              </w:rPr>
              <w:t>6.0</w:t>
            </w:r>
            <w:r>
              <w:rPr>
                <w:spacing w:val="-1"/>
                <w:sz w:val="20"/>
              </w:rPr>
              <w:t xml:space="preserve"> </w:t>
            </w:r>
            <w:r>
              <w:rPr>
                <w:sz w:val="20"/>
              </w:rPr>
              <w:t>±</w:t>
            </w:r>
            <w:r>
              <w:rPr>
                <w:spacing w:val="-4"/>
                <w:sz w:val="20"/>
              </w:rPr>
              <w:t xml:space="preserve"> </w:t>
            </w:r>
            <w:r>
              <w:rPr>
                <w:spacing w:val="-5"/>
                <w:sz w:val="20"/>
              </w:rPr>
              <w:t>0.7</w:t>
            </w:r>
          </w:p>
        </w:tc>
        <w:tc>
          <w:tcPr>
            <w:tcW w:w="1253" w:type="dxa"/>
            <w:tcBorders>
              <w:top w:val="single" w:color="000000" w:sz="4" w:space="0"/>
              <w:left w:val="single" w:color="000000" w:sz="4" w:space="0"/>
              <w:bottom w:val="single" w:color="000000" w:sz="4" w:space="0"/>
              <w:right w:val="single" w:color="000000" w:sz="4" w:space="0"/>
            </w:tcBorders>
          </w:tcPr>
          <w:p w14:paraId="64646148">
            <w:pPr>
              <w:pStyle w:val="11"/>
              <w:spacing w:before="225"/>
              <w:ind w:left="267"/>
              <w:jc w:val="left"/>
              <w:rPr>
                <w:sz w:val="20"/>
              </w:rPr>
            </w:pPr>
            <w:r>
              <w:rPr>
                <w:sz w:val="20"/>
              </w:rPr>
              <w:t>2.0</w:t>
            </w:r>
            <w:r>
              <w:rPr>
                <w:spacing w:val="-1"/>
                <w:sz w:val="20"/>
              </w:rPr>
              <w:t xml:space="preserve"> </w:t>
            </w:r>
            <w:r>
              <w:rPr>
                <w:sz w:val="20"/>
              </w:rPr>
              <w:t>±</w:t>
            </w:r>
            <w:r>
              <w:rPr>
                <w:spacing w:val="-2"/>
                <w:sz w:val="20"/>
              </w:rPr>
              <w:t xml:space="preserve"> </w:t>
            </w:r>
            <w:r>
              <w:rPr>
                <w:spacing w:val="-5"/>
                <w:sz w:val="20"/>
              </w:rPr>
              <w:t>0.2</w:t>
            </w:r>
          </w:p>
        </w:tc>
        <w:tc>
          <w:tcPr>
            <w:tcW w:w="1623" w:type="dxa"/>
            <w:tcBorders>
              <w:top w:val="single" w:color="000000" w:sz="4" w:space="0"/>
              <w:left w:val="single" w:color="000000" w:sz="4" w:space="0"/>
              <w:bottom w:val="single" w:color="000000" w:sz="4" w:space="0"/>
              <w:right w:val="single" w:color="000000" w:sz="4" w:space="0"/>
            </w:tcBorders>
          </w:tcPr>
          <w:p w14:paraId="060AC056">
            <w:pPr>
              <w:pStyle w:val="11"/>
              <w:spacing w:before="225"/>
              <w:rPr>
                <w:sz w:val="20"/>
              </w:rPr>
            </w:pPr>
            <w:r>
              <w:rPr>
                <w:sz w:val="20"/>
              </w:rPr>
              <w:t>120</w:t>
            </w:r>
            <w:r>
              <w:rPr>
                <w:spacing w:val="-1"/>
                <w:sz w:val="20"/>
              </w:rPr>
              <w:t xml:space="preserve"> </w:t>
            </w:r>
            <w:r>
              <w:rPr>
                <w:sz w:val="20"/>
              </w:rPr>
              <w:t>±</w:t>
            </w:r>
            <w:r>
              <w:rPr>
                <w:spacing w:val="-3"/>
                <w:sz w:val="20"/>
              </w:rPr>
              <w:t xml:space="preserve"> </w:t>
            </w:r>
            <w:r>
              <w:rPr>
                <w:spacing w:val="-10"/>
                <w:sz w:val="20"/>
              </w:rPr>
              <w:t>8</w:t>
            </w:r>
          </w:p>
        </w:tc>
      </w:tr>
      <w:tr w14:paraId="3D4EAC20">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721" w:hRule="atLeast"/>
        </w:trPr>
        <w:tc>
          <w:tcPr>
            <w:tcW w:w="1721" w:type="dxa"/>
            <w:tcBorders>
              <w:left w:val="single" w:color="000000" w:sz="4" w:space="0"/>
              <w:bottom w:val="single" w:color="000000" w:sz="4" w:space="0"/>
              <w:right w:val="single" w:color="000000" w:sz="4" w:space="0"/>
            </w:tcBorders>
            <w:shd w:val="clear" w:color="auto" w:fill="F2F2F2"/>
          </w:tcPr>
          <w:p w14:paraId="533FDB36">
            <w:pPr>
              <w:pStyle w:val="11"/>
              <w:spacing w:before="0"/>
              <w:ind w:left="75" w:right="67"/>
              <w:rPr>
                <w:sz w:val="20"/>
              </w:rPr>
            </w:pPr>
            <w:r>
              <w:rPr>
                <w:sz w:val="20"/>
              </w:rPr>
              <w:t>Zonisamide</w:t>
            </w:r>
            <w:r>
              <w:rPr>
                <w:spacing w:val="-13"/>
                <w:sz w:val="20"/>
              </w:rPr>
              <w:t xml:space="preserve"> </w:t>
            </w:r>
            <w:r>
              <w:rPr>
                <w:sz w:val="20"/>
              </w:rPr>
              <w:t xml:space="preserve">20 mg/kg + </w:t>
            </w:r>
            <w:r>
              <w:rPr>
                <w:spacing w:val="-2"/>
                <w:sz w:val="20"/>
              </w:rPr>
              <w:t>Haloperidol</w:t>
            </w:r>
          </w:p>
        </w:tc>
        <w:tc>
          <w:tcPr>
            <w:tcW w:w="1647" w:type="dxa"/>
            <w:tcBorders>
              <w:top w:val="single" w:color="000000" w:sz="4" w:space="0"/>
              <w:left w:val="single" w:color="000000" w:sz="4" w:space="0"/>
              <w:bottom w:val="single" w:color="000000" w:sz="4" w:space="0"/>
              <w:right w:val="single" w:color="000000" w:sz="4" w:space="0"/>
            </w:tcBorders>
          </w:tcPr>
          <w:p w14:paraId="4D57B0D1">
            <w:pPr>
              <w:pStyle w:val="11"/>
              <w:spacing w:before="114"/>
              <w:ind w:left="345" w:right="254" w:hanging="77"/>
              <w:jc w:val="left"/>
              <w:rPr>
                <w:sz w:val="20"/>
              </w:rPr>
            </w:pPr>
            <w:r>
              <w:rPr>
                <w:sz w:val="20"/>
              </w:rPr>
              <w:t>Zonisamide</w:t>
            </w:r>
            <w:r>
              <w:rPr>
                <w:spacing w:val="-13"/>
                <w:sz w:val="20"/>
              </w:rPr>
              <w:t xml:space="preserve"> </w:t>
            </w:r>
            <w:r>
              <w:rPr>
                <w:sz w:val="20"/>
              </w:rPr>
              <w:t xml:space="preserve">+ </w:t>
            </w:r>
            <w:r>
              <w:rPr>
                <w:spacing w:val="-2"/>
                <w:sz w:val="20"/>
              </w:rPr>
              <w:t>Haloperidol</w:t>
            </w:r>
          </w:p>
        </w:tc>
        <w:tc>
          <w:tcPr>
            <w:tcW w:w="1145" w:type="dxa"/>
            <w:tcBorders>
              <w:top w:val="single" w:color="000000" w:sz="4" w:space="0"/>
              <w:left w:val="single" w:color="000000" w:sz="4" w:space="0"/>
              <w:bottom w:val="single" w:color="000000" w:sz="4" w:space="0"/>
              <w:right w:val="single" w:color="000000" w:sz="4" w:space="0"/>
            </w:tcBorders>
          </w:tcPr>
          <w:p w14:paraId="1C6A3002">
            <w:pPr>
              <w:pStyle w:val="11"/>
              <w:spacing w:before="230"/>
              <w:ind w:left="11" w:right="1"/>
              <w:rPr>
                <w:sz w:val="20"/>
              </w:rPr>
            </w:pPr>
            <w:r>
              <w:rPr>
                <w:sz w:val="20"/>
              </w:rPr>
              <w:t>60</w:t>
            </w:r>
            <w:r>
              <w:rPr>
                <w:spacing w:val="-1"/>
                <w:sz w:val="20"/>
              </w:rPr>
              <w:t xml:space="preserve"> </w:t>
            </w:r>
            <w:r>
              <w:rPr>
                <w:sz w:val="20"/>
              </w:rPr>
              <w:t>±</w:t>
            </w:r>
            <w:r>
              <w:rPr>
                <w:spacing w:val="-4"/>
                <w:sz w:val="20"/>
              </w:rPr>
              <w:t xml:space="preserve"> </w:t>
            </w:r>
            <w:r>
              <w:rPr>
                <w:spacing w:val="-7"/>
                <w:sz w:val="20"/>
              </w:rPr>
              <w:t>10</w:t>
            </w:r>
          </w:p>
        </w:tc>
        <w:tc>
          <w:tcPr>
            <w:tcW w:w="1003" w:type="dxa"/>
            <w:tcBorders>
              <w:top w:val="single" w:color="000000" w:sz="4" w:space="0"/>
              <w:left w:val="single" w:color="000000" w:sz="4" w:space="0"/>
              <w:bottom w:val="single" w:color="000000" w:sz="4" w:space="0"/>
              <w:right w:val="single" w:color="000000" w:sz="4" w:space="0"/>
            </w:tcBorders>
          </w:tcPr>
          <w:p w14:paraId="0F1DC0BD">
            <w:pPr>
              <w:pStyle w:val="11"/>
              <w:spacing w:before="230"/>
              <w:ind w:left="7"/>
              <w:rPr>
                <w:sz w:val="20"/>
              </w:rPr>
            </w:pPr>
            <w:r>
              <w:rPr>
                <w:spacing w:val="-5"/>
                <w:sz w:val="20"/>
              </w:rPr>
              <w:t>1.5</w:t>
            </w:r>
          </w:p>
        </w:tc>
        <w:tc>
          <w:tcPr>
            <w:tcW w:w="1253" w:type="dxa"/>
            <w:tcBorders>
              <w:top w:val="single" w:color="000000" w:sz="4" w:space="0"/>
              <w:left w:val="single" w:color="000000" w:sz="4" w:space="0"/>
              <w:bottom w:val="single" w:color="000000" w:sz="4" w:space="0"/>
              <w:right w:val="single" w:color="000000" w:sz="4" w:space="0"/>
            </w:tcBorders>
          </w:tcPr>
          <w:p w14:paraId="343590F8">
            <w:pPr>
              <w:pStyle w:val="11"/>
              <w:spacing w:before="230"/>
              <w:ind w:left="268"/>
              <w:jc w:val="left"/>
              <w:rPr>
                <w:sz w:val="20"/>
              </w:rPr>
            </w:pPr>
            <w:r>
              <w:rPr>
                <w:sz w:val="20"/>
              </w:rPr>
              <w:t>5.2</w:t>
            </w:r>
            <w:r>
              <w:rPr>
                <w:spacing w:val="-1"/>
                <w:sz w:val="20"/>
              </w:rPr>
              <w:t xml:space="preserve"> </w:t>
            </w:r>
            <w:r>
              <w:rPr>
                <w:sz w:val="20"/>
              </w:rPr>
              <w:t>±</w:t>
            </w:r>
            <w:r>
              <w:rPr>
                <w:spacing w:val="-2"/>
                <w:sz w:val="20"/>
              </w:rPr>
              <w:t xml:space="preserve"> </w:t>
            </w:r>
            <w:r>
              <w:rPr>
                <w:spacing w:val="-5"/>
                <w:sz w:val="20"/>
              </w:rPr>
              <w:t>0.5</w:t>
            </w:r>
          </w:p>
        </w:tc>
        <w:tc>
          <w:tcPr>
            <w:tcW w:w="1253" w:type="dxa"/>
            <w:tcBorders>
              <w:top w:val="single" w:color="000000" w:sz="4" w:space="0"/>
              <w:left w:val="single" w:color="000000" w:sz="4" w:space="0"/>
              <w:bottom w:val="single" w:color="000000" w:sz="4" w:space="0"/>
              <w:right w:val="single" w:color="000000" w:sz="4" w:space="0"/>
            </w:tcBorders>
          </w:tcPr>
          <w:p w14:paraId="57590735">
            <w:pPr>
              <w:pStyle w:val="11"/>
              <w:spacing w:before="230"/>
              <w:ind w:left="268"/>
              <w:jc w:val="left"/>
              <w:rPr>
                <w:sz w:val="20"/>
              </w:rPr>
            </w:pPr>
            <w:r>
              <w:rPr>
                <w:sz w:val="20"/>
              </w:rPr>
              <w:t>3.2</w:t>
            </w:r>
            <w:r>
              <w:rPr>
                <w:spacing w:val="-1"/>
                <w:sz w:val="20"/>
              </w:rPr>
              <w:t xml:space="preserve"> </w:t>
            </w:r>
            <w:r>
              <w:rPr>
                <w:sz w:val="20"/>
              </w:rPr>
              <w:t>±</w:t>
            </w:r>
            <w:r>
              <w:rPr>
                <w:spacing w:val="-2"/>
                <w:sz w:val="20"/>
              </w:rPr>
              <w:t xml:space="preserve"> </w:t>
            </w:r>
            <w:r>
              <w:rPr>
                <w:spacing w:val="-5"/>
                <w:sz w:val="20"/>
              </w:rPr>
              <w:t>0.4</w:t>
            </w:r>
          </w:p>
        </w:tc>
        <w:tc>
          <w:tcPr>
            <w:tcW w:w="1623" w:type="dxa"/>
            <w:tcBorders>
              <w:top w:val="single" w:color="000000" w:sz="4" w:space="0"/>
              <w:left w:val="single" w:color="000000" w:sz="4" w:space="0"/>
              <w:bottom w:val="single" w:color="000000" w:sz="4" w:space="0"/>
              <w:right w:val="single" w:color="000000" w:sz="4" w:space="0"/>
            </w:tcBorders>
          </w:tcPr>
          <w:p w14:paraId="3373F813">
            <w:pPr>
              <w:pStyle w:val="11"/>
              <w:spacing w:before="230"/>
              <w:rPr>
                <w:sz w:val="20"/>
              </w:rPr>
            </w:pPr>
            <w:r>
              <w:rPr>
                <w:sz w:val="20"/>
              </w:rPr>
              <w:t>90</w:t>
            </w:r>
            <w:r>
              <w:rPr>
                <w:spacing w:val="-3"/>
                <w:sz w:val="20"/>
              </w:rPr>
              <w:t xml:space="preserve"> </w:t>
            </w:r>
            <w:r>
              <w:rPr>
                <w:sz w:val="20"/>
              </w:rPr>
              <w:t>±</w:t>
            </w:r>
            <w:r>
              <w:rPr>
                <w:spacing w:val="-2"/>
                <w:sz w:val="20"/>
              </w:rPr>
              <w:t xml:space="preserve"> </w:t>
            </w:r>
            <w:r>
              <w:rPr>
                <w:spacing w:val="-10"/>
                <w:sz w:val="20"/>
              </w:rPr>
              <w:t>6</w:t>
            </w:r>
          </w:p>
        </w:tc>
      </w:tr>
    </w:tbl>
    <w:p w14:paraId="45E0D091">
      <w:pPr>
        <w:pStyle w:val="11"/>
        <w:spacing w:after="0"/>
        <w:rPr>
          <w:sz w:val="20"/>
        </w:rPr>
        <w:sectPr>
          <w:pgSz w:w="12240" w:h="15840"/>
          <w:pgMar w:top="740" w:right="1080" w:bottom="1200" w:left="1080" w:header="0" w:footer="1006" w:gutter="0"/>
          <w:cols w:space="720" w:num="1"/>
        </w:sectPr>
      </w:pPr>
    </w:p>
    <w:p w14:paraId="6C3C4957">
      <w:pPr>
        <w:pStyle w:val="2"/>
        <w:numPr>
          <w:ilvl w:val="0"/>
          <w:numId w:val="1"/>
        </w:numPr>
        <w:tabs>
          <w:tab w:val="left" w:pos="1079"/>
        </w:tabs>
        <w:spacing w:before="70" w:after="0" w:line="240" w:lineRule="auto"/>
        <w:ind w:left="1079" w:right="0" w:hanging="719"/>
        <w:jc w:val="left"/>
        <w:rPr>
          <w:color w:val="1F1F1F"/>
        </w:rPr>
      </w:pPr>
      <w:r>
        <w:rPr>
          <w:color w:val="1F1F1F"/>
        </w:rPr>
        <w:t>DATA</w:t>
      </w:r>
      <w:r>
        <w:rPr>
          <w:color w:val="1F1F1F"/>
          <w:spacing w:val="-8"/>
        </w:rPr>
        <w:t xml:space="preserve"> </w:t>
      </w:r>
      <w:r>
        <w:rPr>
          <w:color w:val="1F1F1F"/>
          <w:spacing w:val="-2"/>
        </w:rPr>
        <w:t>ANALYSIS</w:t>
      </w:r>
    </w:p>
    <w:p w14:paraId="71E6F54B">
      <w:pPr>
        <w:pStyle w:val="6"/>
        <w:spacing w:before="17"/>
        <w:rPr>
          <w:b/>
        </w:rPr>
      </w:pPr>
    </w:p>
    <w:p w14:paraId="4AC55BA8">
      <w:pPr>
        <w:pStyle w:val="10"/>
        <w:numPr>
          <w:ilvl w:val="1"/>
          <w:numId w:val="1"/>
        </w:numPr>
        <w:tabs>
          <w:tab w:val="left" w:pos="720"/>
        </w:tabs>
        <w:spacing w:before="0" w:after="0" w:line="242" w:lineRule="auto"/>
        <w:ind w:left="720" w:right="367" w:hanging="360"/>
        <w:jc w:val="left"/>
        <w:rPr>
          <w:b/>
          <w:color w:val="1F1F1F"/>
          <w:sz w:val="24"/>
        </w:rPr>
      </w:pPr>
      <w:r>
        <w:rPr>
          <w:color w:val="1F1F1F"/>
          <w:sz w:val="24"/>
        </w:rPr>
        <w:t>Behavioral</w:t>
      </w:r>
      <w:r>
        <w:rPr>
          <w:color w:val="1F1F1F"/>
          <w:spacing w:val="32"/>
          <w:sz w:val="24"/>
        </w:rPr>
        <w:t xml:space="preserve"> </w:t>
      </w:r>
      <w:r>
        <w:rPr>
          <w:color w:val="1F1F1F"/>
          <w:sz w:val="24"/>
        </w:rPr>
        <w:t>data</w:t>
      </w:r>
      <w:r>
        <w:rPr>
          <w:color w:val="1F1F1F"/>
          <w:spacing w:val="31"/>
          <w:sz w:val="24"/>
        </w:rPr>
        <w:t xml:space="preserve"> </w:t>
      </w:r>
      <w:r>
        <w:rPr>
          <w:color w:val="1F1F1F"/>
          <w:sz w:val="24"/>
        </w:rPr>
        <w:t>(bar</w:t>
      </w:r>
      <w:r>
        <w:rPr>
          <w:color w:val="1F1F1F"/>
          <w:spacing w:val="29"/>
          <w:sz w:val="24"/>
        </w:rPr>
        <w:t xml:space="preserve"> </w:t>
      </w:r>
      <w:r>
        <w:rPr>
          <w:color w:val="1F1F1F"/>
          <w:sz w:val="24"/>
        </w:rPr>
        <w:t>test,</w:t>
      </w:r>
      <w:r>
        <w:rPr>
          <w:color w:val="1F1F1F"/>
          <w:spacing w:val="30"/>
          <w:sz w:val="24"/>
        </w:rPr>
        <w:t xml:space="preserve"> </w:t>
      </w:r>
      <w:r>
        <w:rPr>
          <w:color w:val="1F1F1F"/>
          <w:sz w:val="24"/>
        </w:rPr>
        <w:t>limb</w:t>
      </w:r>
      <w:r>
        <w:rPr>
          <w:color w:val="1F1F1F"/>
          <w:spacing w:val="32"/>
          <w:sz w:val="24"/>
        </w:rPr>
        <w:t xml:space="preserve"> </w:t>
      </w:r>
      <w:r>
        <w:rPr>
          <w:color w:val="1F1F1F"/>
          <w:sz w:val="24"/>
        </w:rPr>
        <w:t>rigidity</w:t>
      </w:r>
      <w:r>
        <w:rPr>
          <w:color w:val="1F1F1F"/>
          <w:spacing w:val="26"/>
          <w:sz w:val="24"/>
        </w:rPr>
        <w:t xml:space="preserve"> </w:t>
      </w:r>
      <w:r>
        <w:rPr>
          <w:color w:val="1F1F1F"/>
          <w:sz w:val="24"/>
        </w:rPr>
        <w:t>scores)</w:t>
      </w:r>
      <w:r>
        <w:rPr>
          <w:color w:val="1F1F1F"/>
          <w:spacing w:val="29"/>
          <w:sz w:val="24"/>
        </w:rPr>
        <w:t xml:space="preserve"> </w:t>
      </w:r>
      <w:r>
        <w:rPr>
          <w:color w:val="1F1F1F"/>
          <w:sz w:val="24"/>
        </w:rPr>
        <w:t>has</w:t>
      </w:r>
      <w:r>
        <w:rPr>
          <w:color w:val="1F1F1F"/>
          <w:spacing w:val="30"/>
          <w:sz w:val="24"/>
        </w:rPr>
        <w:t xml:space="preserve"> </w:t>
      </w:r>
      <w:r>
        <w:rPr>
          <w:color w:val="1F1F1F"/>
          <w:sz w:val="24"/>
        </w:rPr>
        <w:t>analyzed</w:t>
      </w:r>
      <w:r>
        <w:rPr>
          <w:color w:val="1F1F1F"/>
          <w:spacing w:val="29"/>
          <w:sz w:val="24"/>
        </w:rPr>
        <w:t xml:space="preserve"> </w:t>
      </w:r>
      <w:r>
        <w:rPr>
          <w:color w:val="1F1F1F"/>
          <w:sz w:val="24"/>
        </w:rPr>
        <w:t>using</w:t>
      </w:r>
      <w:r>
        <w:rPr>
          <w:color w:val="1F1F1F"/>
          <w:spacing w:val="29"/>
          <w:sz w:val="24"/>
        </w:rPr>
        <w:t xml:space="preserve"> </w:t>
      </w:r>
      <w:r>
        <w:rPr>
          <w:color w:val="1F1F1F"/>
          <w:sz w:val="24"/>
        </w:rPr>
        <w:t>one-way</w:t>
      </w:r>
      <w:r>
        <w:rPr>
          <w:color w:val="1F1F1F"/>
          <w:spacing w:val="29"/>
          <w:sz w:val="24"/>
        </w:rPr>
        <w:t xml:space="preserve"> </w:t>
      </w:r>
      <w:r>
        <w:rPr>
          <w:color w:val="1F1F1F"/>
          <w:sz w:val="24"/>
        </w:rPr>
        <w:t>ANOVA</w:t>
      </w:r>
      <w:r>
        <w:rPr>
          <w:color w:val="1F1F1F"/>
          <w:spacing w:val="30"/>
          <w:sz w:val="24"/>
        </w:rPr>
        <w:t xml:space="preserve"> </w:t>
      </w:r>
      <w:r>
        <w:rPr>
          <w:color w:val="1F1F1F"/>
          <w:sz w:val="24"/>
        </w:rPr>
        <w:t>with Tukey's post hoc test to compare treatment groups.</w:t>
      </w:r>
    </w:p>
    <w:p w14:paraId="58651052">
      <w:pPr>
        <w:pStyle w:val="10"/>
        <w:numPr>
          <w:ilvl w:val="1"/>
          <w:numId w:val="1"/>
        </w:numPr>
        <w:tabs>
          <w:tab w:val="left" w:pos="720"/>
        </w:tabs>
        <w:spacing w:before="119" w:after="0" w:line="242" w:lineRule="auto"/>
        <w:ind w:left="720" w:right="365" w:hanging="360"/>
        <w:jc w:val="left"/>
        <w:rPr>
          <w:b/>
          <w:color w:val="1F1F1F"/>
          <w:sz w:val="24"/>
        </w:rPr>
      </w:pPr>
      <w:r>
        <w:rPr>
          <w:color w:val="1F1F1F"/>
          <w:sz w:val="24"/>
        </w:rPr>
        <w:t>Neurochemical data (GABA, glutamate levels, NMDA binding) has analyzed using one-way ANOVA with Dunnett's T3 post hoc test to compare treatment groups to control.</w:t>
      </w:r>
    </w:p>
    <w:p w14:paraId="255722FA">
      <w:pPr>
        <w:pStyle w:val="10"/>
        <w:numPr>
          <w:ilvl w:val="1"/>
          <w:numId w:val="1"/>
        </w:numPr>
        <w:tabs>
          <w:tab w:val="left" w:pos="720"/>
        </w:tabs>
        <w:spacing w:before="120" w:after="0" w:line="242" w:lineRule="auto"/>
        <w:ind w:left="720" w:right="366" w:hanging="360"/>
        <w:jc w:val="left"/>
        <w:rPr>
          <w:b/>
          <w:color w:val="1F1F1F"/>
          <w:sz w:val="24"/>
        </w:rPr>
      </w:pPr>
      <w:r>
        <w:rPr>
          <w:color w:val="1F1F1F"/>
          <w:sz w:val="24"/>
        </w:rPr>
        <w:t>Correlations</w:t>
      </w:r>
      <w:r>
        <w:rPr>
          <w:color w:val="1F1F1F"/>
          <w:spacing w:val="80"/>
          <w:sz w:val="24"/>
        </w:rPr>
        <w:t xml:space="preserve"> </w:t>
      </w:r>
      <w:r>
        <w:rPr>
          <w:color w:val="1F1F1F"/>
          <w:sz w:val="24"/>
        </w:rPr>
        <w:t>between</w:t>
      </w:r>
      <w:r>
        <w:rPr>
          <w:color w:val="1F1F1F"/>
          <w:spacing w:val="80"/>
          <w:sz w:val="24"/>
        </w:rPr>
        <w:t xml:space="preserve"> </w:t>
      </w:r>
      <w:r>
        <w:rPr>
          <w:color w:val="1F1F1F"/>
          <w:sz w:val="24"/>
        </w:rPr>
        <w:t>behavioral</w:t>
      </w:r>
      <w:r>
        <w:rPr>
          <w:color w:val="1F1F1F"/>
          <w:spacing w:val="80"/>
          <w:sz w:val="24"/>
        </w:rPr>
        <w:t xml:space="preserve"> </w:t>
      </w:r>
      <w:r>
        <w:rPr>
          <w:color w:val="1F1F1F"/>
          <w:sz w:val="24"/>
        </w:rPr>
        <w:t>and</w:t>
      </w:r>
      <w:r>
        <w:rPr>
          <w:color w:val="1F1F1F"/>
          <w:spacing w:val="80"/>
          <w:sz w:val="24"/>
        </w:rPr>
        <w:t xml:space="preserve"> </w:t>
      </w:r>
      <w:r>
        <w:rPr>
          <w:color w:val="1F1F1F"/>
          <w:sz w:val="24"/>
        </w:rPr>
        <w:t>neurochemical</w:t>
      </w:r>
      <w:r>
        <w:rPr>
          <w:color w:val="1F1F1F"/>
          <w:spacing w:val="80"/>
          <w:sz w:val="24"/>
        </w:rPr>
        <w:t xml:space="preserve"> </w:t>
      </w:r>
      <w:r>
        <w:rPr>
          <w:color w:val="1F1F1F"/>
          <w:sz w:val="24"/>
        </w:rPr>
        <w:t>measures</w:t>
      </w:r>
      <w:r>
        <w:rPr>
          <w:color w:val="1F1F1F"/>
          <w:spacing w:val="80"/>
          <w:sz w:val="24"/>
        </w:rPr>
        <w:t xml:space="preserve"> </w:t>
      </w:r>
      <w:r>
        <w:rPr>
          <w:color w:val="1F1F1F"/>
          <w:sz w:val="24"/>
        </w:rPr>
        <w:t>has</w:t>
      </w:r>
      <w:r>
        <w:rPr>
          <w:color w:val="1F1F1F"/>
          <w:spacing w:val="80"/>
          <w:sz w:val="24"/>
        </w:rPr>
        <w:t xml:space="preserve"> </w:t>
      </w:r>
      <w:r>
        <w:rPr>
          <w:color w:val="1F1F1F"/>
          <w:sz w:val="24"/>
        </w:rPr>
        <w:t>investigated</w:t>
      </w:r>
      <w:r>
        <w:rPr>
          <w:color w:val="1F1F1F"/>
          <w:spacing w:val="80"/>
          <w:sz w:val="24"/>
        </w:rPr>
        <w:t xml:space="preserve"> </w:t>
      </w:r>
      <w:r>
        <w:rPr>
          <w:color w:val="1F1F1F"/>
          <w:sz w:val="24"/>
        </w:rPr>
        <w:t>using Pearson's correlation coefficient.</w:t>
      </w:r>
    </w:p>
    <w:p w14:paraId="79587398">
      <w:pPr>
        <w:pStyle w:val="10"/>
        <w:numPr>
          <w:ilvl w:val="0"/>
          <w:numId w:val="4"/>
        </w:numPr>
        <w:tabs>
          <w:tab w:val="left" w:pos="360"/>
        </w:tabs>
        <w:spacing w:before="275" w:after="0" w:line="242" w:lineRule="auto"/>
        <w:ind w:left="360" w:right="368" w:hanging="360"/>
        <w:jc w:val="left"/>
        <w:rPr>
          <w:sz w:val="24"/>
        </w:rPr>
      </w:pPr>
      <w:r>
        <w:rPr>
          <w:color w:val="1F1F1F"/>
          <w:sz w:val="24"/>
        </w:rPr>
        <w:t>Behavioral</w:t>
      </w:r>
      <w:r>
        <w:rPr>
          <w:color w:val="1F1F1F"/>
          <w:spacing w:val="40"/>
          <w:sz w:val="24"/>
        </w:rPr>
        <w:t xml:space="preserve"> </w:t>
      </w:r>
      <w:r>
        <w:rPr>
          <w:color w:val="1F1F1F"/>
          <w:sz w:val="24"/>
        </w:rPr>
        <w:t>data</w:t>
      </w:r>
      <w:r>
        <w:rPr>
          <w:color w:val="1F1F1F"/>
          <w:spacing w:val="40"/>
          <w:sz w:val="24"/>
        </w:rPr>
        <w:t xml:space="preserve"> </w:t>
      </w:r>
      <w:r>
        <w:rPr>
          <w:color w:val="1F1F1F"/>
          <w:sz w:val="24"/>
        </w:rPr>
        <w:t>(bar</w:t>
      </w:r>
      <w:r>
        <w:rPr>
          <w:color w:val="1F1F1F"/>
          <w:spacing w:val="40"/>
          <w:sz w:val="24"/>
        </w:rPr>
        <w:t xml:space="preserve"> </w:t>
      </w:r>
      <w:r>
        <w:rPr>
          <w:color w:val="1F1F1F"/>
          <w:sz w:val="24"/>
        </w:rPr>
        <w:t>test,</w:t>
      </w:r>
      <w:r>
        <w:rPr>
          <w:color w:val="1F1F1F"/>
          <w:spacing w:val="40"/>
          <w:sz w:val="24"/>
        </w:rPr>
        <w:t xml:space="preserve"> </w:t>
      </w:r>
      <w:r>
        <w:rPr>
          <w:color w:val="1F1F1F"/>
          <w:sz w:val="24"/>
        </w:rPr>
        <w:t>limb</w:t>
      </w:r>
      <w:r>
        <w:rPr>
          <w:color w:val="1F1F1F"/>
          <w:spacing w:val="40"/>
          <w:sz w:val="24"/>
        </w:rPr>
        <w:t xml:space="preserve"> </w:t>
      </w:r>
      <w:r>
        <w:rPr>
          <w:color w:val="1F1F1F"/>
          <w:sz w:val="24"/>
        </w:rPr>
        <w:t>rigidity</w:t>
      </w:r>
      <w:r>
        <w:rPr>
          <w:color w:val="1F1F1F"/>
          <w:spacing w:val="40"/>
          <w:sz w:val="24"/>
        </w:rPr>
        <w:t xml:space="preserve"> </w:t>
      </w:r>
      <w:r>
        <w:rPr>
          <w:color w:val="1F1F1F"/>
          <w:sz w:val="24"/>
        </w:rPr>
        <w:t>scores)</w:t>
      </w:r>
      <w:r>
        <w:rPr>
          <w:color w:val="1F1F1F"/>
          <w:spacing w:val="40"/>
          <w:sz w:val="24"/>
        </w:rPr>
        <w:t xml:space="preserve"> </w:t>
      </w:r>
      <w:r>
        <w:rPr>
          <w:color w:val="1F1F1F"/>
          <w:sz w:val="24"/>
        </w:rPr>
        <w:t>has</w:t>
      </w:r>
      <w:r>
        <w:rPr>
          <w:color w:val="1F1F1F"/>
          <w:spacing w:val="40"/>
          <w:sz w:val="24"/>
        </w:rPr>
        <w:t xml:space="preserve"> </w:t>
      </w:r>
      <w:r>
        <w:rPr>
          <w:color w:val="1F1F1F"/>
          <w:sz w:val="24"/>
        </w:rPr>
        <w:t>analyzed</w:t>
      </w:r>
      <w:r>
        <w:rPr>
          <w:color w:val="1F1F1F"/>
          <w:spacing w:val="40"/>
          <w:sz w:val="24"/>
        </w:rPr>
        <w:t xml:space="preserve"> </w:t>
      </w:r>
      <w:r>
        <w:rPr>
          <w:color w:val="1F1F1F"/>
          <w:sz w:val="24"/>
        </w:rPr>
        <w:t>using</w:t>
      </w:r>
      <w:r>
        <w:rPr>
          <w:color w:val="1F1F1F"/>
          <w:spacing w:val="40"/>
          <w:sz w:val="24"/>
        </w:rPr>
        <w:t xml:space="preserve"> </w:t>
      </w:r>
      <w:r>
        <w:rPr>
          <w:color w:val="1F1F1F"/>
          <w:sz w:val="24"/>
        </w:rPr>
        <w:t>one-way</w:t>
      </w:r>
      <w:r>
        <w:rPr>
          <w:color w:val="1F1F1F"/>
          <w:spacing w:val="40"/>
          <w:sz w:val="24"/>
        </w:rPr>
        <w:t xml:space="preserve"> </w:t>
      </w:r>
      <w:r>
        <w:rPr>
          <w:color w:val="1F1F1F"/>
          <w:sz w:val="24"/>
        </w:rPr>
        <w:t>ANOVA</w:t>
      </w:r>
      <w:r>
        <w:rPr>
          <w:color w:val="1F1F1F"/>
          <w:spacing w:val="40"/>
          <w:sz w:val="24"/>
        </w:rPr>
        <w:t xml:space="preserve"> </w:t>
      </w:r>
      <w:r>
        <w:rPr>
          <w:color w:val="1F1F1F"/>
          <w:sz w:val="24"/>
        </w:rPr>
        <w:t>with</w:t>
      </w:r>
      <w:r>
        <w:rPr>
          <w:color w:val="1F1F1F"/>
          <w:spacing w:val="80"/>
          <w:sz w:val="24"/>
        </w:rPr>
        <w:t xml:space="preserve"> </w:t>
      </w:r>
      <w:r>
        <w:rPr>
          <w:color w:val="1F1F1F"/>
          <w:sz w:val="24"/>
        </w:rPr>
        <w:t>Tukey's post hoc test to compare treatment groups.</w:t>
      </w:r>
    </w:p>
    <w:p w14:paraId="7B98D2AE">
      <w:pPr>
        <w:pStyle w:val="6"/>
        <w:spacing w:before="275"/>
        <w:ind w:left="360" w:right="365"/>
        <w:jc w:val="both"/>
      </w:pPr>
      <w:r>
        <w:rPr>
          <w:color w:val="1F1F1F"/>
        </w:rPr>
        <w:t>Calculate</w:t>
      </w:r>
      <w:r>
        <w:rPr>
          <w:color w:val="1F1F1F"/>
          <w:spacing w:val="40"/>
        </w:rPr>
        <w:t xml:space="preserve"> </w:t>
      </w:r>
      <w:r>
        <w:rPr>
          <w:color w:val="1F1F1F"/>
        </w:rPr>
        <w:t>the</w:t>
      </w:r>
      <w:r>
        <w:rPr>
          <w:color w:val="1F1F1F"/>
          <w:spacing w:val="40"/>
        </w:rPr>
        <w:t xml:space="preserve"> </w:t>
      </w:r>
      <w:r>
        <w:rPr>
          <w:color w:val="1F1F1F"/>
        </w:rPr>
        <w:t>total</w:t>
      </w:r>
      <w:r>
        <w:rPr>
          <w:color w:val="1F1F1F"/>
          <w:spacing w:val="40"/>
        </w:rPr>
        <w:t xml:space="preserve"> </w:t>
      </w:r>
      <w:r>
        <w:rPr>
          <w:color w:val="1F1F1F"/>
        </w:rPr>
        <w:t>sum</w:t>
      </w:r>
      <w:r>
        <w:rPr>
          <w:color w:val="1F1F1F"/>
          <w:spacing w:val="40"/>
        </w:rPr>
        <w:t xml:space="preserve"> </w:t>
      </w:r>
      <w:r>
        <w:rPr>
          <w:color w:val="1F1F1F"/>
        </w:rPr>
        <w:t>of</w:t>
      </w:r>
      <w:r>
        <w:rPr>
          <w:color w:val="1F1F1F"/>
          <w:spacing w:val="40"/>
        </w:rPr>
        <w:t xml:space="preserve"> </w:t>
      </w:r>
      <w:r>
        <w:rPr>
          <w:color w:val="1F1F1F"/>
        </w:rPr>
        <w:t>squares</w:t>
      </w:r>
      <w:r>
        <w:rPr>
          <w:color w:val="1F1F1F"/>
          <w:spacing w:val="40"/>
        </w:rPr>
        <w:t xml:space="preserve"> </w:t>
      </w:r>
      <w:r>
        <w:rPr>
          <w:color w:val="1F1F1F"/>
        </w:rPr>
        <w:t>(SST)</w:t>
      </w:r>
      <w:r>
        <w:rPr>
          <w:color w:val="1F1F1F"/>
          <w:spacing w:val="40"/>
        </w:rPr>
        <w:t xml:space="preserve"> </w:t>
      </w:r>
      <w:r>
        <w:rPr>
          <w:color w:val="1F1F1F"/>
        </w:rPr>
        <w:t>for</w:t>
      </w:r>
      <w:r>
        <w:rPr>
          <w:color w:val="1F1F1F"/>
          <w:spacing w:val="40"/>
        </w:rPr>
        <w:t xml:space="preserve"> </w:t>
      </w:r>
      <w:r>
        <w:rPr>
          <w:color w:val="1F1F1F"/>
        </w:rPr>
        <w:t>each</w:t>
      </w:r>
      <w:r>
        <w:rPr>
          <w:color w:val="1F1F1F"/>
          <w:spacing w:val="40"/>
        </w:rPr>
        <w:t xml:space="preserve"> </w:t>
      </w:r>
      <w:r>
        <w:rPr>
          <w:color w:val="1F1F1F"/>
        </w:rPr>
        <w:t>variable</w:t>
      </w:r>
      <w:r>
        <w:rPr>
          <w:color w:val="1F1F1F"/>
          <w:spacing w:val="40"/>
        </w:rPr>
        <w:t xml:space="preserve"> </w:t>
      </w:r>
      <w:r>
        <w:rPr>
          <w:color w:val="1F1F1F"/>
        </w:rPr>
        <w:t>(bar</w:t>
      </w:r>
      <w:r>
        <w:rPr>
          <w:color w:val="1F1F1F"/>
          <w:spacing w:val="40"/>
        </w:rPr>
        <w:t xml:space="preserve"> </w:t>
      </w:r>
      <w:r>
        <w:rPr>
          <w:color w:val="1F1F1F"/>
        </w:rPr>
        <w:t>test</w:t>
      </w:r>
      <w:r>
        <w:rPr>
          <w:color w:val="1F1F1F"/>
          <w:spacing w:val="40"/>
        </w:rPr>
        <w:t xml:space="preserve"> </w:t>
      </w:r>
      <w:r>
        <w:rPr>
          <w:color w:val="1F1F1F"/>
        </w:rPr>
        <w:t>latency,</w:t>
      </w:r>
      <w:r>
        <w:rPr>
          <w:color w:val="1F1F1F"/>
          <w:spacing w:val="-3"/>
        </w:rPr>
        <w:t xml:space="preserve"> </w:t>
      </w:r>
      <w:r>
        <w:rPr>
          <w:color w:val="1F1F1F"/>
        </w:rPr>
        <w:t>limb</w:t>
      </w:r>
      <w:r>
        <w:rPr>
          <w:color w:val="1F1F1F"/>
          <w:spacing w:val="40"/>
        </w:rPr>
        <w:t xml:space="preserve"> </w:t>
      </w:r>
      <w:r>
        <w:rPr>
          <w:color w:val="1F1F1F"/>
        </w:rPr>
        <w:t>rigidity score).</w:t>
      </w:r>
      <w:r>
        <w:rPr>
          <w:color w:val="1F1F1F"/>
          <w:spacing w:val="-3"/>
        </w:rPr>
        <w:t xml:space="preserve"> </w:t>
      </w:r>
      <w:r>
        <w:rPr>
          <w:color w:val="1F1F1F"/>
        </w:rPr>
        <w:t>This involves calculating the squared deviations of all data points from the overall mean.Calculate the sum of squares due to treatment (SSA) for each variable.</w:t>
      </w:r>
      <w:r>
        <w:rPr>
          <w:color w:val="1F1F1F"/>
          <w:spacing w:val="-5"/>
        </w:rPr>
        <w:t xml:space="preserve"> </w:t>
      </w:r>
      <w:r>
        <w:rPr>
          <w:color w:val="1F1F1F"/>
        </w:rPr>
        <w:t>This involves finding</w:t>
      </w:r>
      <w:r>
        <w:rPr>
          <w:color w:val="1F1F1F"/>
          <w:spacing w:val="80"/>
        </w:rPr>
        <w:t xml:space="preserve"> </w:t>
      </w:r>
      <w:r>
        <w:rPr>
          <w:color w:val="1F1F1F"/>
        </w:rPr>
        <w:t>the</w:t>
      </w:r>
      <w:r>
        <w:rPr>
          <w:color w:val="1F1F1F"/>
          <w:spacing w:val="80"/>
        </w:rPr>
        <w:t xml:space="preserve"> </w:t>
      </w:r>
      <w:r>
        <w:rPr>
          <w:color w:val="1F1F1F"/>
        </w:rPr>
        <w:t>squared</w:t>
      </w:r>
      <w:r>
        <w:rPr>
          <w:color w:val="1F1F1F"/>
          <w:spacing w:val="80"/>
        </w:rPr>
        <w:t xml:space="preserve"> </w:t>
      </w:r>
      <w:r>
        <w:rPr>
          <w:color w:val="1F1F1F"/>
        </w:rPr>
        <w:t>deviations</w:t>
      </w:r>
      <w:r>
        <w:rPr>
          <w:color w:val="1F1F1F"/>
          <w:spacing w:val="80"/>
        </w:rPr>
        <w:t xml:space="preserve"> </w:t>
      </w:r>
      <w:r>
        <w:rPr>
          <w:color w:val="1F1F1F"/>
        </w:rPr>
        <w:t>of</w:t>
      </w:r>
      <w:r>
        <w:rPr>
          <w:color w:val="1F1F1F"/>
          <w:spacing w:val="80"/>
        </w:rPr>
        <w:t xml:space="preserve"> </w:t>
      </w:r>
      <w:r>
        <w:rPr>
          <w:color w:val="1F1F1F"/>
        </w:rPr>
        <w:t>the</w:t>
      </w:r>
      <w:r>
        <w:rPr>
          <w:color w:val="1F1F1F"/>
          <w:spacing w:val="80"/>
        </w:rPr>
        <w:t xml:space="preserve"> </w:t>
      </w:r>
      <w:r>
        <w:rPr>
          <w:color w:val="1F1F1F"/>
        </w:rPr>
        <w:t>mean</w:t>
      </w:r>
      <w:r>
        <w:rPr>
          <w:color w:val="1F1F1F"/>
          <w:spacing w:val="80"/>
        </w:rPr>
        <w:t xml:space="preserve"> </w:t>
      </w:r>
      <w:r>
        <w:rPr>
          <w:color w:val="1F1F1F"/>
        </w:rPr>
        <w:t>of</w:t>
      </w:r>
      <w:r>
        <w:rPr>
          <w:color w:val="1F1F1F"/>
          <w:spacing w:val="80"/>
        </w:rPr>
        <w:t xml:space="preserve"> </w:t>
      </w:r>
      <w:r>
        <w:rPr>
          <w:color w:val="1F1F1F"/>
        </w:rPr>
        <w:t>each</w:t>
      </w:r>
      <w:r>
        <w:rPr>
          <w:color w:val="1F1F1F"/>
          <w:spacing w:val="80"/>
        </w:rPr>
        <w:t xml:space="preserve"> </w:t>
      </w:r>
      <w:r>
        <w:rPr>
          <w:color w:val="1F1F1F"/>
        </w:rPr>
        <w:t>treatment</w:t>
      </w:r>
      <w:r>
        <w:rPr>
          <w:color w:val="1F1F1F"/>
          <w:spacing w:val="80"/>
        </w:rPr>
        <w:t xml:space="preserve"> </w:t>
      </w:r>
      <w:r>
        <w:rPr>
          <w:color w:val="1F1F1F"/>
        </w:rPr>
        <w:t>group</w:t>
      </w:r>
      <w:r>
        <w:rPr>
          <w:color w:val="1F1F1F"/>
          <w:spacing w:val="80"/>
        </w:rPr>
        <w:t xml:space="preserve"> </w:t>
      </w:r>
      <w:r>
        <w:rPr>
          <w:color w:val="1F1F1F"/>
        </w:rPr>
        <w:t>from</w:t>
      </w:r>
      <w:r>
        <w:rPr>
          <w:color w:val="1F1F1F"/>
          <w:spacing w:val="80"/>
        </w:rPr>
        <w:t xml:space="preserve"> </w:t>
      </w:r>
      <w:r>
        <w:rPr>
          <w:color w:val="1F1F1F"/>
        </w:rPr>
        <w:t>the</w:t>
      </w:r>
      <w:r>
        <w:rPr>
          <w:color w:val="1F1F1F"/>
          <w:spacing w:val="80"/>
        </w:rPr>
        <w:t xml:space="preserve"> </w:t>
      </w:r>
      <w:r>
        <w:rPr>
          <w:color w:val="1F1F1F"/>
        </w:rPr>
        <w:t>overall mean,</w:t>
      </w:r>
      <w:r>
        <w:rPr>
          <w:color w:val="1F1F1F"/>
          <w:spacing w:val="-4"/>
        </w:rPr>
        <w:t xml:space="preserve"> </w:t>
      </w:r>
      <w:r>
        <w:rPr>
          <w:color w:val="1F1F1F"/>
        </w:rPr>
        <w:t>weighted</w:t>
      </w:r>
      <w:r>
        <w:rPr>
          <w:color w:val="1F1F1F"/>
          <w:spacing w:val="-4"/>
        </w:rPr>
        <w:t xml:space="preserve"> </w:t>
      </w:r>
      <w:r>
        <w:rPr>
          <w:color w:val="1F1F1F"/>
        </w:rPr>
        <w:t>by</w:t>
      </w:r>
      <w:r>
        <w:rPr>
          <w:color w:val="1F1F1F"/>
          <w:spacing w:val="-6"/>
        </w:rPr>
        <w:t xml:space="preserve"> </w:t>
      </w:r>
      <w:r>
        <w:rPr>
          <w:color w:val="1F1F1F"/>
        </w:rPr>
        <w:t>the group</w:t>
      </w:r>
      <w:r>
        <w:rPr>
          <w:color w:val="1F1F1F"/>
          <w:spacing w:val="-1"/>
        </w:rPr>
        <w:t xml:space="preserve"> </w:t>
      </w:r>
      <w:r>
        <w:rPr>
          <w:color w:val="1F1F1F"/>
        </w:rPr>
        <w:t>size.the</w:t>
      </w:r>
      <w:r>
        <w:rPr>
          <w:color w:val="1F1F1F"/>
          <w:spacing w:val="-1"/>
        </w:rPr>
        <w:t xml:space="preserve"> </w:t>
      </w:r>
      <w:r>
        <w:rPr>
          <w:color w:val="1F1F1F"/>
        </w:rPr>
        <w:t>sum</w:t>
      </w:r>
      <w:r>
        <w:rPr>
          <w:color w:val="1F1F1F"/>
          <w:spacing w:val="-1"/>
        </w:rPr>
        <w:t xml:space="preserve"> </w:t>
      </w:r>
      <w:r>
        <w:rPr>
          <w:color w:val="1F1F1F"/>
        </w:rPr>
        <w:t>of</w:t>
      </w:r>
      <w:r>
        <w:rPr>
          <w:color w:val="1F1F1F"/>
          <w:spacing w:val="-1"/>
        </w:rPr>
        <w:t xml:space="preserve"> </w:t>
      </w:r>
      <w:r>
        <w:rPr>
          <w:color w:val="1F1F1F"/>
        </w:rPr>
        <w:t>squares</w:t>
      </w:r>
      <w:r>
        <w:rPr>
          <w:color w:val="1F1F1F"/>
          <w:spacing w:val="-1"/>
        </w:rPr>
        <w:t xml:space="preserve"> </w:t>
      </w:r>
      <w:r>
        <w:rPr>
          <w:color w:val="1F1F1F"/>
        </w:rPr>
        <w:t>due</w:t>
      </w:r>
      <w:r>
        <w:rPr>
          <w:color w:val="1F1F1F"/>
          <w:spacing w:val="-1"/>
        </w:rPr>
        <w:t xml:space="preserve"> </w:t>
      </w:r>
      <w:r>
        <w:rPr>
          <w:color w:val="1F1F1F"/>
        </w:rPr>
        <w:t>to</w:t>
      </w:r>
      <w:r>
        <w:rPr>
          <w:color w:val="1F1F1F"/>
          <w:spacing w:val="-1"/>
        </w:rPr>
        <w:t xml:space="preserve"> </w:t>
      </w:r>
      <w:r>
        <w:rPr>
          <w:color w:val="1F1F1F"/>
        </w:rPr>
        <w:t>error</w:t>
      </w:r>
      <w:r>
        <w:rPr>
          <w:color w:val="1F1F1F"/>
          <w:spacing w:val="-1"/>
        </w:rPr>
        <w:t xml:space="preserve"> </w:t>
      </w:r>
      <w:r>
        <w:rPr>
          <w:color w:val="1F1F1F"/>
        </w:rPr>
        <w:t>(SSE)</w:t>
      </w:r>
      <w:r>
        <w:rPr>
          <w:color w:val="1F1F1F"/>
          <w:spacing w:val="-4"/>
        </w:rPr>
        <w:t xml:space="preserve"> </w:t>
      </w:r>
      <w:r>
        <w:rPr>
          <w:color w:val="1F1F1F"/>
        </w:rPr>
        <w:t>for each</w:t>
      </w:r>
      <w:r>
        <w:rPr>
          <w:color w:val="1F1F1F"/>
          <w:spacing w:val="-1"/>
        </w:rPr>
        <w:t xml:space="preserve"> </w:t>
      </w:r>
      <w:r>
        <w:rPr>
          <w:color w:val="1F1F1F"/>
        </w:rPr>
        <w:t>variable.</w:t>
      </w:r>
      <w:r>
        <w:rPr>
          <w:color w:val="1F1F1F"/>
          <w:spacing w:val="-4"/>
        </w:rPr>
        <w:t xml:space="preserve"> </w:t>
      </w:r>
      <w:r>
        <w:rPr>
          <w:color w:val="1F1F1F"/>
        </w:rPr>
        <w:t>This</w:t>
      </w:r>
      <w:r>
        <w:rPr>
          <w:color w:val="1F1F1F"/>
          <w:spacing w:val="-1"/>
        </w:rPr>
        <w:t xml:space="preserve"> </w:t>
      </w:r>
      <w:r>
        <w:rPr>
          <w:color w:val="1F1F1F"/>
        </w:rPr>
        <w:t>is the difference between SST and SSA.</w:t>
      </w:r>
    </w:p>
    <w:p w14:paraId="0E024AD9">
      <w:pPr>
        <w:pStyle w:val="6"/>
        <w:spacing w:before="3"/>
      </w:pPr>
    </w:p>
    <w:p w14:paraId="6D570D8F">
      <w:pPr>
        <w:pStyle w:val="6"/>
        <w:ind w:left="360"/>
      </w:pPr>
      <w:r>
        <w:rPr>
          <w:color w:val="1F1F1F"/>
        </w:rPr>
        <w:t>Calculate</w:t>
      </w:r>
      <w:r>
        <w:rPr>
          <w:color w:val="1F1F1F"/>
          <w:spacing w:val="-9"/>
        </w:rPr>
        <w:t xml:space="preserve"> </w:t>
      </w:r>
      <w:r>
        <w:rPr>
          <w:color w:val="1F1F1F"/>
        </w:rPr>
        <w:t>the</w:t>
      </w:r>
      <w:r>
        <w:rPr>
          <w:color w:val="1F1F1F"/>
          <w:spacing w:val="-8"/>
        </w:rPr>
        <w:t xml:space="preserve"> </w:t>
      </w:r>
      <w:r>
        <w:rPr>
          <w:color w:val="1F1F1F"/>
        </w:rPr>
        <w:t>degrees</w:t>
      </w:r>
      <w:r>
        <w:rPr>
          <w:color w:val="1F1F1F"/>
          <w:spacing w:val="-6"/>
        </w:rPr>
        <w:t xml:space="preserve"> </w:t>
      </w:r>
      <w:r>
        <w:rPr>
          <w:color w:val="1F1F1F"/>
        </w:rPr>
        <w:t>of</w:t>
      </w:r>
      <w:r>
        <w:rPr>
          <w:color w:val="1F1F1F"/>
          <w:spacing w:val="-6"/>
        </w:rPr>
        <w:t xml:space="preserve"> </w:t>
      </w:r>
      <w:r>
        <w:rPr>
          <w:color w:val="1F1F1F"/>
        </w:rPr>
        <w:t>freedom</w:t>
      </w:r>
      <w:r>
        <w:rPr>
          <w:color w:val="1F1F1F"/>
          <w:spacing w:val="-7"/>
        </w:rPr>
        <w:t xml:space="preserve"> </w:t>
      </w:r>
      <w:r>
        <w:rPr>
          <w:color w:val="1F1F1F"/>
        </w:rPr>
        <w:t>(df)</w:t>
      </w:r>
      <w:r>
        <w:rPr>
          <w:color w:val="1F1F1F"/>
          <w:spacing w:val="-6"/>
        </w:rPr>
        <w:t xml:space="preserve"> </w:t>
      </w:r>
      <w:r>
        <w:rPr>
          <w:color w:val="1F1F1F"/>
        </w:rPr>
        <w:t>for</w:t>
      </w:r>
      <w:r>
        <w:rPr>
          <w:color w:val="1F1F1F"/>
          <w:spacing w:val="-2"/>
        </w:rPr>
        <w:t xml:space="preserve"> </w:t>
      </w:r>
      <w:r>
        <w:rPr>
          <w:color w:val="1F1F1F"/>
        </w:rPr>
        <w:t>each</w:t>
      </w:r>
      <w:r>
        <w:rPr>
          <w:color w:val="1F1F1F"/>
          <w:spacing w:val="-9"/>
        </w:rPr>
        <w:t xml:space="preserve"> </w:t>
      </w:r>
      <w:r>
        <w:rPr>
          <w:color w:val="1F1F1F"/>
          <w:spacing w:val="-2"/>
        </w:rPr>
        <w:t>variable:</w:t>
      </w:r>
    </w:p>
    <w:p w14:paraId="51979402">
      <w:pPr>
        <w:pStyle w:val="6"/>
        <w:spacing w:before="4"/>
      </w:pPr>
    </w:p>
    <w:p w14:paraId="65EBC9F3">
      <w:pPr>
        <w:pStyle w:val="10"/>
        <w:numPr>
          <w:ilvl w:val="1"/>
          <w:numId w:val="4"/>
        </w:numPr>
        <w:tabs>
          <w:tab w:val="left" w:pos="719"/>
        </w:tabs>
        <w:spacing w:before="1" w:after="0" w:line="240" w:lineRule="auto"/>
        <w:ind w:left="719" w:right="0" w:hanging="359"/>
        <w:jc w:val="left"/>
        <w:rPr>
          <w:sz w:val="24"/>
        </w:rPr>
      </w:pPr>
      <w:r>
        <w:rPr>
          <w:color w:val="1F1F1F"/>
          <w:sz w:val="24"/>
        </w:rPr>
        <w:t>Total</w:t>
      </w:r>
      <w:r>
        <w:rPr>
          <w:color w:val="1F1F1F"/>
          <w:spacing w:val="-6"/>
          <w:sz w:val="24"/>
        </w:rPr>
        <w:t xml:space="preserve"> </w:t>
      </w:r>
      <w:r>
        <w:rPr>
          <w:color w:val="1F1F1F"/>
          <w:sz w:val="24"/>
        </w:rPr>
        <w:t>df</w:t>
      </w:r>
      <w:r>
        <w:rPr>
          <w:color w:val="1F1F1F"/>
          <w:spacing w:val="-5"/>
          <w:sz w:val="24"/>
        </w:rPr>
        <w:t xml:space="preserve"> </w:t>
      </w:r>
      <w:r>
        <w:rPr>
          <w:color w:val="1F1F1F"/>
          <w:sz w:val="24"/>
        </w:rPr>
        <w:t>(n-1)</w:t>
      </w:r>
      <w:r>
        <w:rPr>
          <w:color w:val="1F1F1F"/>
          <w:spacing w:val="-5"/>
          <w:sz w:val="24"/>
        </w:rPr>
        <w:t xml:space="preserve"> </w:t>
      </w:r>
      <w:r>
        <w:rPr>
          <w:color w:val="1F1F1F"/>
          <w:sz w:val="24"/>
        </w:rPr>
        <w:t>=</w:t>
      </w:r>
      <w:r>
        <w:rPr>
          <w:color w:val="1F1F1F"/>
          <w:spacing w:val="-6"/>
          <w:sz w:val="24"/>
        </w:rPr>
        <w:t xml:space="preserve"> </w:t>
      </w:r>
      <w:r>
        <w:rPr>
          <w:color w:val="1F1F1F"/>
          <w:sz w:val="24"/>
        </w:rPr>
        <w:t>45</w:t>
      </w:r>
      <w:r>
        <w:rPr>
          <w:color w:val="1F1F1F"/>
          <w:spacing w:val="-5"/>
          <w:sz w:val="24"/>
        </w:rPr>
        <w:t xml:space="preserve"> </w:t>
      </w:r>
      <w:r>
        <w:rPr>
          <w:color w:val="1F1F1F"/>
          <w:sz w:val="24"/>
        </w:rPr>
        <w:t>(4</w:t>
      </w:r>
      <w:r>
        <w:rPr>
          <w:color w:val="1F1F1F"/>
          <w:spacing w:val="-2"/>
          <w:sz w:val="24"/>
        </w:rPr>
        <w:t xml:space="preserve"> </w:t>
      </w:r>
      <w:r>
        <w:rPr>
          <w:color w:val="1F1F1F"/>
          <w:sz w:val="24"/>
        </w:rPr>
        <w:t>groups</w:t>
      </w:r>
      <w:r>
        <w:rPr>
          <w:color w:val="1F1F1F"/>
          <w:spacing w:val="-5"/>
          <w:sz w:val="24"/>
        </w:rPr>
        <w:t xml:space="preserve"> </w:t>
      </w:r>
      <w:r>
        <w:rPr>
          <w:color w:val="1F1F1F"/>
          <w:sz w:val="24"/>
        </w:rPr>
        <w:t>each</w:t>
      </w:r>
      <w:r>
        <w:rPr>
          <w:color w:val="1F1F1F"/>
          <w:spacing w:val="-5"/>
          <w:sz w:val="24"/>
        </w:rPr>
        <w:t xml:space="preserve"> </w:t>
      </w:r>
      <w:r>
        <w:rPr>
          <w:color w:val="1F1F1F"/>
          <w:sz w:val="24"/>
        </w:rPr>
        <w:t>with</w:t>
      </w:r>
      <w:r>
        <w:rPr>
          <w:color w:val="1F1F1F"/>
          <w:spacing w:val="-2"/>
          <w:sz w:val="24"/>
        </w:rPr>
        <w:t xml:space="preserve"> </w:t>
      </w:r>
      <w:r>
        <w:rPr>
          <w:color w:val="1F1F1F"/>
          <w:sz w:val="24"/>
        </w:rPr>
        <w:t>9</w:t>
      </w:r>
      <w:r>
        <w:rPr>
          <w:color w:val="1F1F1F"/>
          <w:spacing w:val="-6"/>
          <w:sz w:val="24"/>
        </w:rPr>
        <w:t xml:space="preserve"> </w:t>
      </w:r>
      <w:r>
        <w:rPr>
          <w:color w:val="1F1F1F"/>
          <w:spacing w:val="-4"/>
          <w:sz w:val="24"/>
        </w:rPr>
        <w:t>rats)</w:t>
      </w:r>
    </w:p>
    <w:p w14:paraId="6EFABAB0">
      <w:pPr>
        <w:pStyle w:val="10"/>
        <w:numPr>
          <w:ilvl w:val="1"/>
          <w:numId w:val="4"/>
        </w:numPr>
        <w:tabs>
          <w:tab w:val="left" w:pos="719"/>
        </w:tabs>
        <w:spacing w:before="127" w:after="0" w:line="240" w:lineRule="auto"/>
        <w:ind w:left="719" w:right="0" w:hanging="359"/>
        <w:jc w:val="left"/>
        <w:rPr>
          <w:sz w:val="24"/>
        </w:rPr>
      </w:pPr>
      <w:r>
        <w:rPr>
          <w:color w:val="1F1F1F"/>
          <w:sz w:val="24"/>
        </w:rPr>
        <w:t>Treatment</w:t>
      </w:r>
      <w:r>
        <w:rPr>
          <w:color w:val="1F1F1F"/>
          <w:spacing w:val="-3"/>
          <w:sz w:val="24"/>
        </w:rPr>
        <w:t xml:space="preserve"> </w:t>
      </w:r>
      <w:r>
        <w:rPr>
          <w:color w:val="1F1F1F"/>
          <w:sz w:val="24"/>
        </w:rPr>
        <w:t>df</w:t>
      </w:r>
      <w:r>
        <w:rPr>
          <w:color w:val="1F1F1F"/>
          <w:spacing w:val="-6"/>
          <w:sz w:val="24"/>
        </w:rPr>
        <w:t xml:space="preserve"> </w:t>
      </w:r>
      <w:r>
        <w:rPr>
          <w:color w:val="1F1F1F"/>
          <w:sz w:val="24"/>
        </w:rPr>
        <w:t>(k-1)</w:t>
      </w:r>
      <w:r>
        <w:rPr>
          <w:color w:val="1F1F1F"/>
          <w:spacing w:val="-5"/>
          <w:sz w:val="24"/>
        </w:rPr>
        <w:t xml:space="preserve"> </w:t>
      </w:r>
      <w:r>
        <w:rPr>
          <w:color w:val="1F1F1F"/>
          <w:sz w:val="24"/>
        </w:rPr>
        <w:t>=</w:t>
      </w:r>
      <w:r>
        <w:rPr>
          <w:color w:val="1F1F1F"/>
          <w:spacing w:val="-6"/>
          <w:sz w:val="24"/>
        </w:rPr>
        <w:t xml:space="preserve"> </w:t>
      </w:r>
      <w:r>
        <w:rPr>
          <w:color w:val="1F1F1F"/>
          <w:sz w:val="24"/>
        </w:rPr>
        <w:t>4</w:t>
      </w:r>
      <w:r>
        <w:rPr>
          <w:color w:val="1F1F1F"/>
          <w:spacing w:val="-5"/>
          <w:sz w:val="24"/>
        </w:rPr>
        <w:t xml:space="preserve"> </w:t>
      </w:r>
      <w:r>
        <w:rPr>
          <w:color w:val="1F1F1F"/>
          <w:sz w:val="24"/>
        </w:rPr>
        <w:t>(5</w:t>
      </w:r>
      <w:r>
        <w:rPr>
          <w:color w:val="1F1F1F"/>
          <w:spacing w:val="-3"/>
          <w:sz w:val="24"/>
        </w:rPr>
        <w:t xml:space="preserve"> </w:t>
      </w:r>
      <w:r>
        <w:rPr>
          <w:color w:val="1F1F1F"/>
          <w:sz w:val="24"/>
        </w:rPr>
        <w:t>groups</w:t>
      </w:r>
      <w:r>
        <w:rPr>
          <w:color w:val="1F1F1F"/>
          <w:spacing w:val="-3"/>
          <w:sz w:val="24"/>
        </w:rPr>
        <w:t xml:space="preserve"> </w:t>
      </w:r>
      <w:r>
        <w:rPr>
          <w:color w:val="1F1F1F"/>
          <w:sz w:val="24"/>
        </w:rPr>
        <w:t>-</w:t>
      </w:r>
      <w:r>
        <w:rPr>
          <w:color w:val="1F1F1F"/>
          <w:spacing w:val="-5"/>
          <w:sz w:val="24"/>
        </w:rPr>
        <w:t xml:space="preserve"> 1)</w:t>
      </w:r>
    </w:p>
    <w:p w14:paraId="289EB704">
      <w:pPr>
        <w:pStyle w:val="10"/>
        <w:numPr>
          <w:ilvl w:val="1"/>
          <w:numId w:val="4"/>
        </w:numPr>
        <w:tabs>
          <w:tab w:val="left" w:pos="719"/>
        </w:tabs>
        <w:spacing w:before="125" w:after="0" w:line="240" w:lineRule="auto"/>
        <w:ind w:left="719" w:right="0" w:hanging="359"/>
        <w:jc w:val="left"/>
        <w:rPr>
          <w:sz w:val="24"/>
        </w:rPr>
      </w:pPr>
      <w:r>
        <w:rPr>
          <w:color w:val="1F1F1F"/>
          <w:sz w:val="24"/>
        </w:rPr>
        <w:t>Error</w:t>
      </w:r>
      <w:r>
        <w:rPr>
          <w:color w:val="1F1F1F"/>
          <w:spacing w:val="-5"/>
          <w:sz w:val="24"/>
        </w:rPr>
        <w:t xml:space="preserve"> </w:t>
      </w:r>
      <w:r>
        <w:rPr>
          <w:color w:val="1F1F1F"/>
          <w:sz w:val="24"/>
        </w:rPr>
        <w:t>df</w:t>
      </w:r>
      <w:r>
        <w:rPr>
          <w:color w:val="1F1F1F"/>
          <w:spacing w:val="-2"/>
          <w:sz w:val="24"/>
        </w:rPr>
        <w:t xml:space="preserve"> </w:t>
      </w:r>
      <w:r>
        <w:rPr>
          <w:color w:val="1F1F1F"/>
          <w:sz w:val="24"/>
        </w:rPr>
        <w:t>(n-k)</w:t>
      </w:r>
      <w:r>
        <w:rPr>
          <w:color w:val="1F1F1F"/>
          <w:spacing w:val="-2"/>
          <w:sz w:val="24"/>
        </w:rPr>
        <w:t xml:space="preserve"> </w:t>
      </w:r>
      <w:r>
        <w:rPr>
          <w:color w:val="1F1F1F"/>
          <w:sz w:val="24"/>
        </w:rPr>
        <w:t>=</w:t>
      </w:r>
      <w:r>
        <w:rPr>
          <w:color w:val="1F1F1F"/>
          <w:spacing w:val="-5"/>
          <w:sz w:val="24"/>
        </w:rPr>
        <w:t xml:space="preserve"> </w:t>
      </w:r>
      <w:r>
        <w:rPr>
          <w:color w:val="1F1F1F"/>
          <w:sz w:val="24"/>
        </w:rPr>
        <w:t>40</w:t>
      </w:r>
      <w:r>
        <w:rPr>
          <w:color w:val="1F1F1F"/>
          <w:spacing w:val="-5"/>
          <w:sz w:val="24"/>
        </w:rPr>
        <w:t xml:space="preserve"> </w:t>
      </w:r>
      <w:r>
        <w:rPr>
          <w:color w:val="1F1F1F"/>
          <w:sz w:val="24"/>
        </w:rPr>
        <w:t>(45</w:t>
      </w:r>
      <w:r>
        <w:rPr>
          <w:color w:val="1F1F1F"/>
          <w:spacing w:val="-4"/>
          <w:sz w:val="24"/>
        </w:rPr>
        <w:t xml:space="preserve"> </w:t>
      </w:r>
      <w:r>
        <w:rPr>
          <w:color w:val="1F1F1F"/>
          <w:sz w:val="24"/>
        </w:rPr>
        <w:t>-</w:t>
      </w:r>
      <w:r>
        <w:rPr>
          <w:color w:val="1F1F1F"/>
          <w:spacing w:val="-2"/>
          <w:sz w:val="24"/>
        </w:rPr>
        <w:t xml:space="preserve"> </w:t>
      </w:r>
      <w:r>
        <w:rPr>
          <w:color w:val="1F1F1F"/>
          <w:spacing w:val="-5"/>
          <w:sz w:val="24"/>
        </w:rPr>
        <w:t>5)</w:t>
      </w:r>
    </w:p>
    <w:p w14:paraId="6AAFFCD2">
      <w:pPr>
        <w:pStyle w:val="6"/>
        <w:spacing w:before="28"/>
      </w:pPr>
    </w:p>
    <w:p w14:paraId="16163434">
      <w:pPr>
        <w:pStyle w:val="3"/>
      </w:pPr>
      <w:r>
        <w:rPr>
          <w:color w:val="1F1F1F"/>
        </w:rPr>
        <w:t>Calculate</w:t>
      </w:r>
      <w:r>
        <w:rPr>
          <w:color w:val="1F1F1F"/>
          <w:spacing w:val="-13"/>
        </w:rPr>
        <w:t xml:space="preserve"> </w:t>
      </w:r>
      <w:r>
        <w:rPr>
          <w:color w:val="1F1F1F"/>
        </w:rPr>
        <w:t>F-</w:t>
      </w:r>
      <w:r>
        <w:rPr>
          <w:color w:val="1F1F1F"/>
          <w:spacing w:val="-2"/>
        </w:rPr>
        <w:t>statistic</w:t>
      </w:r>
    </w:p>
    <w:p w14:paraId="115E89CD">
      <w:pPr>
        <w:pStyle w:val="6"/>
        <w:spacing w:before="22"/>
        <w:rPr>
          <w:b/>
        </w:rPr>
      </w:pPr>
    </w:p>
    <w:p w14:paraId="00AF1961">
      <w:pPr>
        <w:pStyle w:val="10"/>
        <w:numPr>
          <w:ilvl w:val="0"/>
          <w:numId w:val="5"/>
        </w:numPr>
        <w:tabs>
          <w:tab w:val="left" w:pos="359"/>
        </w:tabs>
        <w:spacing w:before="0" w:after="0" w:line="240" w:lineRule="auto"/>
        <w:ind w:left="359" w:right="0" w:hanging="359"/>
        <w:jc w:val="left"/>
        <w:rPr>
          <w:sz w:val="24"/>
        </w:rPr>
      </w:pPr>
      <w:r>
        <w:rPr>
          <w:color w:val="1F1F1F"/>
          <w:sz w:val="24"/>
        </w:rPr>
        <w:t>For</w:t>
      </w:r>
      <w:r>
        <w:rPr>
          <w:color w:val="1F1F1F"/>
          <w:spacing w:val="-6"/>
          <w:sz w:val="24"/>
        </w:rPr>
        <w:t xml:space="preserve"> </w:t>
      </w:r>
      <w:r>
        <w:rPr>
          <w:color w:val="1F1F1F"/>
          <w:sz w:val="24"/>
        </w:rPr>
        <w:t>each</w:t>
      </w:r>
      <w:r>
        <w:rPr>
          <w:color w:val="1F1F1F"/>
          <w:spacing w:val="-7"/>
          <w:sz w:val="24"/>
        </w:rPr>
        <w:t xml:space="preserve"> </w:t>
      </w:r>
      <w:r>
        <w:rPr>
          <w:color w:val="1F1F1F"/>
          <w:sz w:val="24"/>
        </w:rPr>
        <w:t>variable,</w:t>
      </w:r>
      <w:r>
        <w:rPr>
          <w:color w:val="1F1F1F"/>
          <w:spacing w:val="-6"/>
          <w:sz w:val="24"/>
        </w:rPr>
        <w:t xml:space="preserve"> </w:t>
      </w:r>
      <w:r>
        <w:rPr>
          <w:color w:val="1F1F1F"/>
          <w:sz w:val="24"/>
        </w:rPr>
        <w:t>divide</w:t>
      </w:r>
      <w:r>
        <w:rPr>
          <w:color w:val="1F1F1F"/>
          <w:spacing w:val="-2"/>
          <w:sz w:val="24"/>
        </w:rPr>
        <w:t xml:space="preserve"> </w:t>
      </w:r>
      <w:r>
        <w:rPr>
          <w:color w:val="1F1F1F"/>
          <w:sz w:val="24"/>
        </w:rPr>
        <w:t>SSA</w:t>
      </w:r>
      <w:r>
        <w:rPr>
          <w:color w:val="1F1F1F"/>
          <w:spacing w:val="-4"/>
          <w:sz w:val="24"/>
        </w:rPr>
        <w:t xml:space="preserve"> </w:t>
      </w:r>
      <w:r>
        <w:rPr>
          <w:color w:val="1F1F1F"/>
          <w:sz w:val="24"/>
        </w:rPr>
        <w:t>by</w:t>
      </w:r>
      <w:r>
        <w:rPr>
          <w:color w:val="1F1F1F"/>
          <w:spacing w:val="-12"/>
          <w:sz w:val="24"/>
        </w:rPr>
        <w:t xml:space="preserve"> </w:t>
      </w:r>
      <w:r>
        <w:rPr>
          <w:color w:val="1F1F1F"/>
          <w:sz w:val="24"/>
        </w:rPr>
        <w:t>SSE</w:t>
      </w:r>
      <w:r>
        <w:rPr>
          <w:color w:val="1F1F1F"/>
          <w:spacing w:val="-3"/>
          <w:sz w:val="24"/>
        </w:rPr>
        <w:t xml:space="preserve"> </w:t>
      </w:r>
      <w:r>
        <w:rPr>
          <w:color w:val="1F1F1F"/>
          <w:sz w:val="24"/>
        </w:rPr>
        <w:t>to</w:t>
      </w:r>
      <w:r>
        <w:rPr>
          <w:color w:val="1F1F1F"/>
          <w:spacing w:val="-2"/>
          <w:sz w:val="24"/>
        </w:rPr>
        <w:t xml:space="preserve"> </w:t>
      </w:r>
      <w:r>
        <w:rPr>
          <w:color w:val="1F1F1F"/>
          <w:sz w:val="24"/>
        </w:rPr>
        <w:t>get</w:t>
      </w:r>
      <w:r>
        <w:rPr>
          <w:color w:val="1F1F1F"/>
          <w:spacing w:val="-6"/>
          <w:sz w:val="24"/>
        </w:rPr>
        <w:t xml:space="preserve"> </w:t>
      </w:r>
      <w:r>
        <w:rPr>
          <w:color w:val="1F1F1F"/>
          <w:sz w:val="24"/>
        </w:rPr>
        <w:t>the</w:t>
      </w:r>
      <w:r>
        <w:rPr>
          <w:color w:val="1F1F1F"/>
          <w:spacing w:val="-2"/>
          <w:sz w:val="24"/>
        </w:rPr>
        <w:t xml:space="preserve"> </w:t>
      </w:r>
      <w:r>
        <w:rPr>
          <w:color w:val="1F1F1F"/>
          <w:sz w:val="24"/>
        </w:rPr>
        <w:t>F-</w:t>
      </w:r>
      <w:r>
        <w:rPr>
          <w:color w:val="1F1F1F"/>
          <w:spacing w:val="-2"/>
          <w:sz w:val="24"/>
        </w:rPr>
        <w:t>statistic.</w:t>
      </w:r>
    </w:p>
    <w:p w14:paraId="63D30F0A">
      <w:pPr>
        <w:pStyle w:val="6"/>
        <w:spacing w:before="29"/>
      </w:pPr>
    </w:p>
    <w:p w14:paraId="7B0186D9">
      <w:pPr>
        <w:pStyle w:val="3"/>
      </w:pPr>
      <w:r>
        <w:rPr>
          <w:color w:val="1F1F1F"/>
        </w:rPr>
        <w:t>Perform</w:t>
      </w:r>
      <w:r>
        <w:rPr>
          <w:color w:val="1F1F1F"/>
          <w:spacing w:val="-10"/>
        </w:rPr>
        <w:t xml:space="preserve"> </w:t>
      </w:r>
      <w:r>
        <w:rPr>
          <w:color w:val="1F1F1F"/>
        </w:rPr>
        <w:t>Tukey's</w:t>
      </w:r>
      <w:r>
        <w:rPr>
          <w:color w:val="1F1F1F"/>
          <w:spacing w:val="-8"/>
        </w:rPr>
        <w:t xml:space="preserve"> </w:t>
      </w:r>
      <w:r>
        <w:rPr>
          <w:color w:val="1F1F1F"/>
        </w:rPr>
        <w:t>HSD</w:t>
      </w:r>
      <w:r>
        <w:rPr>
          <w:color w:val="1F1F1F"/>
          <w:spacing w:val="-5"/>
        </w:rPr>
        <w:t xml:space="preserve"> </w:t>
      </w:r>
      <w:r>
        <w:rPr>
          <w:color w:val="1F1F1F"/>
          <w:spacing w:val="-4"/>
        </w:rPr>
        <w:t>test</w:t>
      </w:r>
    </w:p>
    <w:p w14:paraId="634CA55B">
      <w:pPr>
        <w:pStyle w:val="6"/>
        <w:spacing w:before="17"/>
        <w:rPr>
          <w:b/>
        </w:rPr>
      </w:pPr>
    </w:p>
    <w:p w14:paraId="1F6275D3">
      <w:pPr>
        <w:pStyle w:val="10"/>
        <w:numPr>
          <w:ilvl w:val="0"/>
          <w:numId w:val="5"/>
        </w:numPr>
        <w:tabs>
          <w:tab w:val="left" w:pos="360"/>
        </w:tabs>
        <w:spacing w:before="0" w:after="0" w:line="242" w:lineRule="auto"/>
        <w:ind w:left="360" w:right="583" w:hanging="360"/>
        <w:jc w:val="left"/>
        <w:rPr>
          <w:sz w:val="24"/>
        </w:rPr>
      </w:pPr>
      <w:r>
        <w:rPr>
          <w:color w:val="1F1F1F"/>
          <w:sz w:val="24"/>
        </w:rPr>
        <w:t>Use</w:t>
      </w:r>
      <w:r>
        <w:rPr>
          <w:color w:val="1F1F1F"/>
          <w:spacing w:val="-4"/>
          <w:sz w:val="24"/>
        </w:rPr>
        <w:t xml:space="preserve"> </w:t>
      </w:r>
      <w:r>
        <w:rPr>
          <w:color w:val="1F1F1F"/>
          <w:sz w:val="24"/>
        </w:rPr>
        <w:t>statistical</w:t>
      </w:r>
      <w:r>
        <w:rPr>
          <w:color w:val="1F1F1F"/>
          <w:spacing w:val="-5"/>
          <w:sz w:val="24"/>
        </w:rPr>
        <w:t xml:space="preserve"> </w:t>
      </w:r>
      <w:r>
        <w:rPr>
          <w:color w:val="1F1F1F"/>
          <w:sz w:val="24"/>
        </w:rPr>
        <w:t>software</w:t>
      </w:r>
      <w:r>
        <w:rPr>
          <w:color w:val="1F1F1F"/>
          <w:spacing w:val="-5"/>
          <w:sz w:val="24"/>
        </w:rPr>
        <w:t xml:space="preserve"> </w:t>
      </w:r>
      <w:r>
        <w:rPr>
          <w:color w:val="1F1F1F"/>
          <w:sz w:val="24"/>
        </w:rPr>
        <w:t>or</w:t>
      </w:r>
      <w:r>
        <w:rPr>
          <w:color w:val="1F1F1F"/>
          <w:spacing w:val="-5"/>
          <w:sz w:val="24"/>
        </w:rPr>
        <w:t xml:space="preserve"> </w:t>
      </w:r>
      <w:r>
        <w:rPr>
          <w:color w:val="1F1F1F"/>
          <w:sz w:val="24"/>
        </w:rPr>
        <w:t>online</w:t>
      </w:r>
      <w:r>
        <w:rPr>
          <w:color w:val="1F1F1F"/>
          <w:spacing w:val="-5"/>
          <w:sz w:val="24"/>
        </w:rPr>
        <w:t xml:space="preserve"> </w:t>
      </w:r>
      <w:r>
        <w:rPr>
          <w:color w:val="1F1F1F"/>
          <w:sz w:val="24"/>
        </w:rPr>
        <w:t>tools</w:t>
      </w:r>
      <w:r>
        <w:rPr>
          <w:color w:val="1F1F1F"/>
          <w:spacing w:val="-4"/>
          <w:sz w:val="24"/>
        </w:rPr>
        <w:t xml:space="preserve"> </w:t>
      </w:r>
      <w:r>
        <w:rPr>
          <w:color w:val="1F1F1F"/>
          <w:sz w:val="24"/>
        </w:rPr>
        <w:t>to</w:t>
      </w:r>
      <w:r>
        <w:rPr>
          <w:color w:val="1F1F1F"/>
          <w:spacing w:val="-4"/>
          <w:sz w:val="24"/>
        </w:rPr>
        <w:t xml:space="preserve"> </w:t>
      </w:r>
      <w:r>
        <w:rPr>
          <w:color w:val="1F1F1F"/>
          <w:sz w:val="24"/>
        </w:rPr>
        <w:t>perform</w:t>
      </w:r>
      <w:r>
        <w:rPr>
          <w:color w:val="1F1F1F"/>
          <w:spacing w:val="-3"/>
          <w:sz w:val="24"/>
        </w:rPr>
        <w:t xml:space="preserve"> </w:t>
      </w:r>
      <w:r>
        <w:rPr>
          <w:color w:val="1F1F1F"/>
          <w:sz w:val="24"/>
        </w:rPr>
        <w:t>Tukey's</w:t>
      </w:r>
      <w:r>
        <w:rPr>
          <w:color w:val="1F1F1F"/>
          <w:spacing w:val="-1"/>
          <w:sz w:val="24"/>
        </w:rPr>
        <w:t xml:space="preserve"> </w:t>
      </w:r>
      <w:r>
        <w:rPr>
          <w:color w:val="1F1F1F"/>
          <w:sz w:val="24"/>
        </w:rPr>
        <w:t>HSD</w:t>
      </w:r>
      <w:r>
        <w:rPr>
          <w:color w:val="1F1F1F"/>
          <w:spacing w:val="-4"/>
          <w:sz w:val="24"/>
        </w:rPr>
        <w:t xml:space="preserve"> </w:t>
      </w:r>
      <w:r>
        <w:rPr>
          <w:color w:val="1F1F1F"/>
          <w:sz w:val="24"/>
        </w:rPr>
        <w:t>test</w:t>
      </w:r>
      <w:r>
        <w:rPr>
          <w:color w:val="1F1F1F"/>
          <w:spacing w:val="-4"/>
          <w:sz w:val="24"/>
        </w:rPr>
        <w:t xml:space="preserve"> </w:t>
      </w:r>
      <w:r>
        <w:rPr>
          <w:color w:val="1F1F1F"/>
          <w:sz w:val="24"/>
        </w:rPr>
        <w:t>for</w:t>
      </w:r>
      <w:r>
        <w:rPr>
          <w:color w:val="1F1F1F"/>
          <w:spacing w:val="-5"/>
          <w:sz w:val="24"/>
        </w:rPr>
        <w:t xml:space="preserve"> </w:t>
      </w:r>
      <w:r>
        <w:rPr>
          <w:color w:val="1F1F1F"/>
          <w:sz w:val="24"/>
        </w:rPr>
        <w:t>each</w:t>
      </w:r>
      <w:r>
        <w:rPr>
          <w:color w:val="1F1F1F"/>
          <w:spacing w:val="-4"/>
          <w:sz w:val="24"/>
        </w:rPr>
        <w:t xml:space="preserve"> </w:t>
      </w:r>
      <w:r>
        <w:rPr>
          <w:color w:val="1F1F1F"/>
          <w:sz w:val="24"/>
        </w:rPr>
        <w:t>variable.</w:t>
      </w:r>
      <w:r>
        <w:rPr>
          <w:color w:val="1F1F1F"/>
          <w:spacing w:val="-4"/>
          <w:sz w:val="24"/>
        </w:rPr>
        <w:t xml:space="preserve"> </w:t>
      </w:r>
      <w:r>
        <w:rPr>
          <w:color w:val="1F1F1F"/>
          <w:sz w:val="24"/>
        </w:rPr>
        <w:t>This</w:t>
      </w:r>
      <w:r>
        <w:rPr>
          <w:color w:val="1F1F1F"/>
          <w:spacing w:val="-4"/>
          <w:sz w:val="24"/>
        </w:rPr>
        <w:t xml:space="preserve"> </w:t>
      </w:r>
      <w:r>
        <w:rPr>
          <w:color w:val="1F1F1F"/>
          <w:sz w:val="24"/>
        </w:rPr>
        <w:t>will provide p-values for all pairwise comparisons between treatment groups.</w:t>
      </w:r>
    </w:p>
    <w:p w14:paraId="63325E1A">
      <w:pPr>
        <w:spacing w:before="126"/>
        <w:ind w:left="3" w:right="3" w:firstLine="0"/>
        <w:jc w:val="center"/>
        <w:rPr>
          <w:rFonts w:ascii="Calibri"/>
          <w:b/>
          <w:sz w:val="18"/>
        </w:rPr>
      </w:pPr>
      <w:r>
        <w:rPr>
          <w:rFonts w:ascii="Calibri"/>
          <w:b/>
          <w:color w:val="0C0C0C"/>
          <w:sz w:val="18"/>
        </w:rPr>
        <w:t>Table</w:t>
      </w:r>
      <w:r>
        <w:rPr>
          <w:rFonts w:ascii="Calibri"/>
          <w:b/>
          <w:color w:val="0C0C0C"/>
          <w:spacing w:val="-7"/>
          <w:sz w:val="18"/>
        </w:rPr>
        <w:t xml:space="preserve"> </w:t>
      </w:r>
      <w:r>
        <w:rPr>
          <w:rFonts w:ascii="Calibri"/>
          <w:b/>
          <w:color w:val="0C0C0C"/>
          <w:spacing w:val="-10"/>
          <w:sz w:val="18"/>
        </w:rPr>
        <w:t>3</w:t>
      </w:r>
    </w:p>
    <w:p w14:paraId="3F017086">
      <w:pPr>
        <w:pStyle w:val="6"/>
        <w:spacing w:before="6"/>
        <w:rPr>
          <w:rFonts w:ascii="Calibri"/>
          <w:b/>
          <w:sz w:val="16"/>
        </w:rPr>
      </w:pPr>
    </w:p>
    <w:tbl>
      <w:tblPr>
        <w:tblStyle w:val="5"/>
        <w:tblW w:w="0" w:type="auto"/>
        <w:tblInd w:w="326"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top w:w="0" w:type="dxa"/>
          <w:left w:w="0" w:type="dxa"/>
          <w:bottom w:w="0" w:type="dxa"/>
          <w:right w:w="0" w:type="dxa"/>
        </w:tblCellMar>
      </w:tblPr>
      <w:tblGrid>
        <w:gridCol w:w="1433"/>
        <w:gridCol w:w="1049"/>
        <w:gridCol w:w="1608"/>
        <w:gridCol w:w="1097"/>
        <w:gridCol w:w="4493"/>
      </w:tblGrid>
      <w:tr w14:paraId="02CC7CC3">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566" w:hRule="atLeast"/>
        </w:trPr>
        <w:tc>
          <w:tcPr>
            <w:tcW w:w="1433" w:type="dxa"/>
            <w:tcBorders>
              <w:left w:val="single" w:color="000000" w:sz="4" w:space="0"/>
              <w:right w:val="single" w:color="000000" w:sz="4" w:space="0"/>
            </w:tcBorders>
            <w:shd w:val="clear" w:color="auto" w:fill="F2F2F2"/>
          </w:tcPr>
          <w:p w14:paraId="7A398190">
            <w:pPr>
              <w:pStyle w:val="11"/>
              <w:ind w:left="7"/>
              <w:rPr>
                <w:sz w:val="20"/>
              </w:rPr>
            </w:pPr>
            <w:r>
              <w:rPr>
                <w:spacing w:val="-2"/>
                <w:sz w:val="20"/>
              </w:rPr>
              <w:t>Variable</w:t>
            </w:r>
          </w:p>
        </w:tc>
        <w:tc>
          <w:tcPr>
            <w:tcW w:w="1049" w:type="dxa"/>
            <w:tcBorders>
              <w:left w:val="single" w:color="000000" w:sz="4" w:space="0"/>
              <w:bottom w:val="thinThickMediumGap" w:color="F2F2F2" w:sz="6" w:space="0"/>
              <w:right w:val="single" w:color="000000" w:sz="4" w:space="0"/>
            </w:tcBorders>
            <w:shd w:val="clear" w:color="auto" w:fill="F2F2F2"/>
          </w:tcPr>
          <w:p w14:paraId="6F6BC7ED">
            <w:pPr>
              <w:pStyle w:val="11"/>
              <w:ind w:left="6" w:right="1"/>
              <w:rPr>
                <w:sz w:val="20"/>
              </w:rPr>
            </w:pPr>
            <w:r>
              <w:rPr>
                <w:spacing w:val="-2"/>
                <w:sz w:val="20"/>
              </w:rPr>
              <w:t>F-statistic</w:t>
            </w:r>
          </w:p>
        </w:tc>
        <w:tc>
          <w:tcPr>
            <w:tcW w:w="1608" w:type="dxa"/>
            <w:tcBorders>
              <w:left w:val="single" w:color="000000" w:sz="4" w:space="0"/>
              <w:bottom w:val="thinThickMediumGap" w:color="F2F2F2" w:sz="6" w:space="0"/>
              <w:right w:val="single" w:color="000000" w:sz="4" w:space="0"/>
            </w:tcBorders>
            <w:shd w:val="clear" w:color="auto" w:fill="F2F2F2"/>
          </w:tcPr>
          <w:p w14:paraId="01AA416D">
            <w:pPr>
              <w:pStyle w:val="11"/>
              <w:spacing w:before="51"/>
              <w:ind w:left="556" w:right="212" w:hanging="332"/>
              <w:jc w:val="left"/>
              <w:rPr>
                <w:sz w:val="20"/>
              </w:rPr>
            </w:pPr>
            <w:r>
              <w:rPr>
                <w:sz w:val="20"/>
              </w:rPr>
              <w:t>df</w:t>
            </w:r>
            <w:r>
              <w:rPr>
                <w:spacing w:val="-13"/>
                <w:sz w:val="20"/>
              </w:rPr>
              <w:t xml:space="preserve"> </w:t>
            </w:r>
            <w:r>
              <w:rPr>
                <w:sz w:val="20"/>
              </w:rPr>
              <w:t xml:space="preserve">(Treatment, </w:t>
            </w:r>
            <w:r>
              <w:rPr>
                <w:spacing w:val="-2"/>
                <w:sz w:val="20"/>
              </w:rPr>
              <w:t>Error)</w:t>
            </w:r>
          </w:p>
        </w:tc>
        <w:tc>
          <w:tcPr>
            <w:tcW w:w="1097" w:type="dxa"/>
            <w:tcBorders>
              <w:left w:val="single" w:color="000000" w:sz="4" w:space="0"/>
              <w:bottom w:val="thinThickMediumGap" w:color="F2F2F2" w:sz="6" w:space="0"/>
              <w:right w:val="single" w:color="000000" w:sz="4" w:space="0"/>
            </w:tcBorders>
            <w:shd w:val="clear" w:color="auto" w:fill="F2F2F2"/>
          </w:tcPr>
          <w:p w14:paraId="0A18AEBA">
            <w:pPr>
              <w:pStyle w:val="11"/>
              <w:ind w:right="2"/>
              <w:rPr>
                <w:sz w:val="20"/>
              </w:rPr>
            </w:pPr>
            <w:r>
              <w:rPr>
                <w:spacing w:val="-2"/>
                <w:sz w:val="20"/>
              </w:rPr>
              <w:t>p-value</w:t>
            </w:r>
          </w:p>
        </w:tc>
        <w:tc>
          <w:tcPr>
            <w:tcW w:w="4493" w:type="dxa"/>
            <w:tcBorders>
              <w:left w:val="single" w:color="000000" w:sz="4" w:space="0"/>
              <w:bottom w:val="thinThickMediumGap" w:color="F2F2F2" w:sz="6" w:space="0"/>
              <w:right w:val="single" w:color="000000" w:sz="4" w:space="0"/>
            </w:tcBorders>
            <w:shd w:val="clear" w:color="auto" w:fill="F2F2F2"/>
          </w:tcPr>
          <w:p w14:paraId="0A901693">
            <w:pPr>
              <w:pStyle w:val="11"/>
              <w:ind w:left="1422"/>
              <w:jc w:val="left"/>
              <w:rPr>
                <w:sz w:val="20"/>
              </w:rPr>
            </w:pPr>
            <w:r>
              <w:rPr>
                <w:sz w:val="20"/>
              </w:rPr>
              <w:t>Tukey's</w:t>
            </w:r>
            <w:r>
              <w:rPr>
                <w:spacing w:val="-7"/>
                <w:sz w:val="20"/>
              </w:rPr>
              <w:t xml:space="preserve"> </w:t>
            </w:r>
            <w:r>
              <w:rPr>
                <w:sz w:val="20"/>
              </w:rPr>
              <w:t>HSD</w:t>
            </w:r>
            <w:r>
              <w:rPr>
                <w:spacing w:val="-4"/>
                <w:sz w:val="20"/>
              </w:rPr>
              <w:t xml:space="preserve"> </w:t>
            </w:r>
            <w:r>
              <w:rPr>
                <w:spacing w:val="-2"/>
                <w:sz w:val="20"/>
              </w:rPr>
              <w:t>results</w:t>
            </w:r>
          </w:p>
        </w:tc>
      </w:tr>
      <w:tr w14:paraId="17A795DD">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08" w:hRule="atLeast"/>
        </w:trPr>
        <w:tc>
          <w:tcPr>
            <w:tcW w:w="1433" w:type="dxa"/>
            <w:tcBorders>
              <w:left w:val="single" w:color="000000" w:sz="4" w:space="0"/>
              <w:right w:val="single" w:color="000000" w:sz="4" w:space="0"/>
            </w:tcBorders>
            <w:shd w:val="clear" w:color="auto" w:fill="F2F2F2"/>
          </w:tcPr>
          <w:p w14:paraId="4982E2C0">
            <w:pPr>
              <w:pStyle w:val="11"/>
              <w:spacing w:before="0" w:line="20" w:lineRule="exact"/>
              <w:ind w:right="-29"/>
              <w:jc w:val="left"/>
              <w:rPr>
                <w:rFonts w:ascii="Calibri"/>
                <w:sz w:val="2"/>
              </w:rPr>
            </w:pPr>
            <w:r>
              <w:rPr>
                <w:rFonts w:ascii="Calibri"/>
                <w:sz w:val="2"/>
              </w:rPr>
              <w:drawing>
                <wp:inline distT="0" distB="0" distL="0" distR="0">
                  <wp:extent cx="890905" cy="8890"/>
                  <wp:effectExtent l="0" t="0" r="0" b="0"/>
                  <wp:docPr id="14" name="Image 14"/>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1" cstate="print"/>
                          <a:stretch>
                            <a:fillRect/>
                          </a:stretch>
                        </pic:blipFill>
                        <pic:spPr>
                          <a:xfrm>
                            <a:off x="0" y="0"/>
                            <a:ext cx="891337" cy="9048"/>
                          </a:xfrm>
                          <a:prstGeom prst="rect">
                            <a:avLst/>
                          </a:prstGeom>
                        </pic:spPr>
                      </pic:pic>
                    </a:graphicData>
                  </a:graphic>
                </wp:inline>
              </w:drawing>
            </w:r>
          </w:p>
          <w:p w14:paraId="77509F41">
            <w:pPr>
              <w:pStyle w:val="11"/>
              <w:spacing w:before="165"/>
              <w:ind w:left="7" w:right="1"/>
              <w:rPr>
                <w:sz w:val="20"/>
              </w:rPr>
            </w:pPr>
            <w:r>
              <w:rPr>
                <w:sz w:val="20"/>
              </w:rPr>
              <w:t>Bar</w:t>
            </w:r>
            <w:r>
              <w:rPr>
                <w:spacing w:val="-1"/>
                <w:sz w:val="20"/>
              </w:rPr>
              <w:t xml:space="preserve"> </w:t>
            </w:r>
            <w:r>
              <w:rPr>
                <w:sz w:val="20"/>
              </w:rPr>
              <w:t>test</w:t>
            </w:r>
            <w:r>
              <w:rPr>
                <w:spacing w:val="-2"/>
                <w:sz w:val="20"/>
              </w:rPr>
              <w:t xml:space="preserve"> latency</w:t>
            </w:r>
          </w:p>
        </w:tc>
        <w:tc>
          <w:tcPr>
            <w:tcW w:w="1049" w:type="dxa"/>
            <w:tcBorders>
              <w:top w:val="thickThinMediumGap" w:color="F2F2F2" w:sz="6" w:space="0"/>
              <w:left w:val="single" w:color="000000" w:sz="4" w:space="0"/>
              <w:bottom w:val="single" w:color="000000" w:sz="4" w:space="0"/>
              <w:right w:val="single" w:color="000000" w:sz="4" w:space="0"/>
            </w:tcBorders>
          </w:tcPr>
          <w:p w14:paraId="0D5325CB">
            <w:pPr>
              <w:pStyle w:val="11"/>
              <w:spacing w:before="185"/>
              <w:ind w:left="6"/>
              <w:rPr>
                <w:sz w:val="20"/>
              </w:rPr>
            </w:pPr>
            <w:r>
              <w:rPr>
                <w:spacing w:val="-2"/>
                <w:sz w:val="20"/>
              </w:rPr>
              <w:t>38.45</w:t>
            </w:r>
          </w:p>
        </w:tc>
        <w:tc>
          <w:tcPr>
            <w:tcW w:w="1608" w:type="dxa"/>
            <w:tcBorders>
              <w:top w:val="thickThinMediumGap" w:color="F2F2F2" w:sz="6" w:space="0"/>
              <w:left w:val="single" w:color="000000" w:sz="4" w:space="0"/>
              <w:bottom w:val="single" w:color="000000" w:sz="4" w:space="0"/>
              <w:right w:val="single" w:color="000000" w:sz="4" w:space="0"/>
            </w:tcBorders>
          </w:tcPr>
          <w:p w14:paraId="70B8916F">
            <w:pPr>
              <w:pStyle w:val="11"/>
              <w:spacing w:before="185"/>
              <w:rPr>
                <w:sz w:val="20"/>
              </w:rPr>
            </w:pPr>
            <w:r>
              <w:rPr>
                <w:sz w:val="20"/>
              </w:rPr>
              <w:t>(4,</w:t>
            </w:r>
            <w:r>
              <w:rPr>
                <w:spacing w:val="-1"/>
                <w:sz w:val="20"/>
              </w:rPr>
              <w:t xml:space="preserve"> </w:t>
            </w:r>
            <w:r>
              <w:rPr>
                <w:spacing w:val="-5"/>
                <w:sz w:val="20"/>
              </w:rPr>
              <w:t>35)</w:t>
            </w:r>
          </w:p>
        </w:tc>
        <w:tc>
          <w:tcPr>
            <w:tcW w:w="1097" w:type="dxa"/>
            <w:tcBorders>
              <w:top w:val="thickThinMediumGap" w:color="F2F2F2" w:sz="6" w:space="0"/>
              <w:left w:val="single" w:color="000000" w:sz="4" w:space="0"/>
              <w:bottom w:val="single" w:color="000000" w:sz="4" w:space="0"/>
              <w:right w:val="single" w:color="000000" w:sz="4" w:space="0"/>
            </w:tcBorders>
          </w:tcPr>
          <w:p w14:paraId="6365CF64">
            <w:pPr>
              <w:pStyle w:val="11"/>
              <w:spacing w:before="185"/>
              <w:rPr>
                <w:sz w:val="20"/>
              </w:rPr>
            </w:pPr>
            <w:r>
              <w:rPr>
                <w:sz w:val="20"/>
              </w:rPr>
              <w:t>&lt;</w:t>
            </w:r>
            <w:r>
              <w:rPr>
                <w:spacing w:val="-2"/>
                <w:sz w:val="20"/>
              </w:rPr>
              <w:t xml:space="preserve"> 0.001</w:t>
            </w:r>
          </w:p>
        </w:tc>
        <w:tc>
          <w:tcPr>
            <w:tcW w:w="4493" w:type="dxa"/>
            <w:tcBorders>
              <w:top w:val="thickThinMediumGap" w:color="F2F2F2" w:sz="6" w:space="0"/>
              <w:left w:val="single" w:color="000000" w:sz="4" w:space="0"/>
              <w:bottom w:val="single" w:color="000000" w:sz="4" w:space="0"/>
              <w:right w:val="single" w:color="000000" w:sz="4" w:space="0"/>
            </w:tcBorders>
          </w:tcPr>
          <w:p w14:paraId="03B8AD72">
            <w:pPr>
              <w:pStyle w:val="11"/>
              <w:spacing w:before="70"/>
              <w:ind w:left="258" w:firstLine="12"/>
              <w:jc w:val="left"/>
              <w:rPr>
                <w:sz w:val="20"/>
              </w:rPr>
            </w:pPr>
            <w:r>
              <w:rPr>
                <w:sz w:val="20"/>
              </w:rPr>
              <w:t>Significant</w:t>
            </w:r>
            <w:r>
              <w:rPr>
                <w:spacing w:val="-4"/>
                <w:sz w:val="20"/>
              </w:rPr>
              <w:t xml:space="preserve"> </w:t>
            </w:r>
            <w:r>
              <w:rPr>
                <w:sz w:val="20"/>
              </w:rPr>
              <w:t>differences</w:t>
            </w:r>
            <w:r>
              <w:rPr>
                <w:spacing w:val="-6"/>
                <w:sz w:val="20"/>
              </w:rPr>
              <w:t xml:space="preserve"> </w:t>
            </w:r>
            <w:r>
              <w:rPr>
                <w:sz w:val="20"/>
              </w:rPr>
              <w:t>between</w:t>
            </w:r>
            <w:r>
              <w:rPr>
                <w:spacing w:val="-7"/>
                <w:sz w:val="20"/>
              </w:rPr>
              <w:t xml:space="preserve"> </w:t>
            </w:r>
            <w:r>
              <w:rPr>
                <w:sz w:val="20"/>
              </w:rPr>
              <w:t>all</w:t>
            </w:r>
            <w:r>
              <w:rPr>
                <w:spacing w:val="-6"/>
                <w:sz w:val="20"/>
              </w:rPr>
              <w:t xml:space="preserve"> </w:t>
            </w:r>
            <w:r>
              <w:rPr>
                <w:sz w:val="20"/>
              </w:rPr>
              <w:t>groups</w:t>
            </w:r>
            <w:r>
              <w:rPr>
                <w:spacing w:val="-6"/>
                <w:sz w:val="20"/>
              </w:rPr>
              <w:t xml:space="preserve"> </w:t>
            </w:r>
            <w:r>
              <w:rPr>
                <w:sz w:val="20"/>
              </w:rPr>
              <w:t>except Zonisamide</w:t>
            </w:r>
            <w:r>
              <w:rPr>
                <w:spacing w:val="-5"/>
                <w:sz w:val="20"/>
              </w:rPr>
              <w:t xml:space="preserve"> </w:t>
            </w:r>
            <w:r>
              <w:rPr>
                <w:sz w:val="20"/>
              </w:rPr>
              <w:t>15mg/kg</w:t>
            </w:r>
            <w:r>
              <w:rPr>
                <w:spacing w:val="-8"/>
                <w:sz w:val="20"/>
              </w:rPr>
              <w:t xml:space="preserve"> </w:t>
            </w:r>
            <w:r>
              <w:rPr>
                <w:sz w:val="20"/>
              </w:rPr>
              <w:t>and</w:t>
            </w:r>
            <w:r>
              <w:rPr>
                <w:spacing w:val="-6"/>
                <w:sz w:val="20"/>
              </w:rPr>
              <w:t xml:space="preserve"> </w:t>
            </w:r>
            <w:r>
              <w:rPr>
                <w:sz w:val="20"/>
              </w:rPr>
              <w:t>20mg/kg</w:t>
            </w:r>
            <w:r>
              <w:rPr>
                <w:spacing w:val="-5"/>
                <w:sz w:val="20"/>
              </w:rPr>
              <w:t xml:space="preserve"> </w:t>
            </w:r>
            <w:r>
              <w:rPr>
                <w:sz w:val="20"/>
              </w:rPr>
              <w:t>+</w:t>
            </w:r>
            <w:r>
              <w:rPr>
                <w:spacing w:val="-5"/>
                <w:sz w:val="20"/>
              </w:rPr>
              <w:t xml:space="preserve"> </w:t>
            </w:r>
            <w:r>
              <w:rPr>
                <w:spacing w:val="-2"/>
                <w:sz w:val="20"/>
              </w:rPr>
              <w:t>Haloperidol</w:t>
            </w:r>
          </w:p>
        </w:tc>
      </w:tr>
      <w:tr w14:paraId="0286293B">
        <w:tblPrEx>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CellMar>
            <w:top w:w="0" w:type="dxa"/>
            <w:left w:w="0" w:type="dxa"/>
            <w:bottom w:w="0" w:type="dxa"/>
            <w:right w:w="0" w:type="dxa"/>
          </w:tblCellMar>
        </w:tblPrEx>
        <w:trPr>
          <w:trHeight w:val="618" w:hRule="atLeast"/>
        </w:trPr>
        <w:tc>
          <w:tcPr>
            <w:tcW w:w="1433" w:type="dxa"/>
            <w:tcBorders>
              <w:left w:val="single" w:color="000000" w:sz="4" w:space="0"/>
              <w:bottom w:val="single" w:color="000000" w:sz="4" w:space="0"/>
              <w:right w:val="single" w:color="000000" w:sz="4" w:space="0"/>
            </w:tcBorders>
            <w:shd w:val="clear" w:color="auto" w:fill="F2F2F2"/>
          </w:tcPr>
          <w:p w14:paraId="6D82ECB5">
            <w:pPr>
              <w:pStyle w:val="11"/>
              <w:spacing w:before="0" w:line="20" w:lineRule="exact"/>
              <w:ind w:right="-101"/>
              <w:jc w:val="left"/>
              <w:rPr>
                <w:rFonts w:ascii="Calibri"/>
                <w:sz w:val="2"/>
              </w:rPr>
            </w:pPr>
            <w:r>
              <w:rPr>
                <w:rFonts w:ascii="Calibri"/>
                <w:sz w:val="2"/>
              </w:rPr>
              <w:drawing>
                <wp:inline distT="0" distB="0" distL="0" distR="0">
                  <wp:extent cx="931545" cy="5080"/>
                  <wp:effectExtent l="0" t="0" r="0" b="0"/>
                  <wp:docPr id="15" name="Image 15"/>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1" cstate="print"/>
                          <a:stretch>
                            <a:fillRect/>
                          </a:stretch>
                        </pic:blipFill>
                        <pic:spPr>
                          <a:xfrm>
                            <a:off x="0" y="0"/>
                            <a:ext cx="931762" cy="5714"/>
                          </a:xfrm>
                          <a:prstGeom prst="rect">
                            <a:avLst/>
                          </a:prstGeom>
                        </pic:spPr>
                      </pic:pic>
                    </a:graphicData>
                  </a:graphic>
                </wp:inline>
              </w:drawing>
            </w:r>
          </w:p>
          <w:p w14:paraId="4CE6A069">
            <w:pPr>
              <w:pStyle w:val="11"/>
              <w:spacing w:before="42"/>
              <w:ind w:left="503" w:right="170" w:hanging="324"/>
              <w:jc w:val="left"/>
              <w:rPr>
                <w:sz w:val="20"/>
              </w:rPr>
            </w:pPr>
            <w:r>
              <w:rPr>
                <w:sz w:val="20"/>
              </w:rPr>
              <w:t>Limb</w:t>
            </w:r>
            <w:r>
              <w:rPr>
                <w:spacing w:val="-13"/>
                <w:sz w:val="20"/>
              </w:rPr>
              <w:t xml:space="preserve"> </w:t>
            </w:r>
            <w:r>
              <w:rPr>
                <w:sz w:val="20"/>
              </w:rPr>
              <w:t xml:space="preserve">rigidity </w:t>
            </w:r>
            <w:r>
              <w:rPr>
                <w:spacing w:val="-2"/>
                <w:sz w:val="20"/>
              </w:rPr>
              <w:t>score</w:t>
            </w:r>
          </w:p>
        </w:tc>
        <w:tc>
          <w:tcPr>
            <w:tcW w:w="1049" w:type="dxa"/>
            <w:tcBorders>
              <w:top w:val="single" w:color="000000" w:sz="4" w:space="0"/>
              <w:left w:val="single" w:color="000000" w:sz="4" w:space="0"/>
              <w:bottom w:val="single" w:color="000000" w:sz="4" w:space="0"/>
              <w:right w:val="single" w:color="000000" w:sz="4" w:space="0"/>
            </w:tcBorders>
          </w:tcPr>
          <w:p w14:paraId="0DEC86B0">
            <w:pPr>
              <w:pStyle w:val="11"/>
              <w:spacing w:before="177"/>
              <w:ind w:left="6"/>
              <w:rPr>
                <w:sz w:val="20"/>
              </w:rPr>
            </w:pPr>
            <w:r>
              <w:rPr>
                <w:spacing w:val="-2"/>
                <w:sz w:val="20"/>
              </w:rPr>
              <w:t>24.12</w:t>
            </w:r>
          </w:p>
        </w:tc>
        <w:tc>
          <w:tcPr>
            <w:tcW w:w="1608" w:type="dxa"/>
            <w:tcBorders>
              <w:top w:val="single" w:color="000000" w:sz="4" w:space="0"/>
              <w:left w:val="single" w:color="000000" w:sz="4" w:space="0"/>
              <w:bottom w:val="single" w:color="000000" w:sz="4" w:space="0"/>
              <w:right w:val="single" w:color="000000" w:sz="4" w:space="0"/>
            </w:tcBorders>
          </w:tcPr>
          <w:p w14:paraId="72388C14">
            <w:pPr>
              <w:pStyle w:val="11"/>
              <w:spacing w:before="177"/>
              <w:rPr>
                <w:sz w:val="20"/>
              </w:rPr>
            </w:pPr>
            <w:r>
              <w:rPr>
                <w:sz w:val="20"/>
              </w:rPr>
              <w:t>(4,</w:t>
            </w:r>
            <w:r>
              <w:rPr>
                <w:spacing w:val="-1"/>
                <w:sz w:val="20"/>
              </w:rPr>
              <w:t xml:space="preserve"> </w:t>
            </w:r>
            <w:r>
              <w:rPr>
                <w:spacing w:val="-5"/>
                <w:sz w:val="20"/>
              </w:rPr>
              <w:t>35)</w:t>
            </w:r>
          </w:p>
        </w:tc>
        <w:tc>
          <w:tcPr>
            <w:tcW w:w="1097" w:type="dxa"/>
            <w:tcBorders>
              <w:top w:val="single" w:color="000000" w:sz="4" w:space="0"/>
              <w:left w:val="single" w:color="000000" w:sz="4" w:space="0"/>
              <w:bottom w:val="single" w:color="000000" w:sz="4" w:space="0"/>
              <w:right w:val="single" w:color="000000" w:sz="4" w:space="0"/>
            </w:tcBorders>
          </w:tcPr>
          <w:p w14:paraId="6D89D755">
            <w:pPr>
              <w:pStyle w:val="11"/>
              <w:spacing w:before="177"/>
              <w:rPr>
                <w:sz w:val="20"/>
              </w:rPr>
            </w:pPr>
            <w:r>
              <w:rPr>
                <w:sz w:val="20"/>
              </w:rPr>
              <w:t>&lt;</w:t>
            </w:r>
            <w:r>
              <w:rPr>
                <w:spacing w:val="-2"/>
                <w:sz w:val="20"/>
              </w:rPr>
              <w:t xml:space="preserve"> 0.001</w:t>
            </w:r>
          </w:p>
        </w:tc>
        <w:tc>
          <w:tcPr>
            <w:tcW w:w="4493" w:type="dxa"/>
            <w:tcBorders>
              <w:top w:val="single" w:color="000000" w:sz="4" w:space="0"/>
              <w:left w:val="single" w:color="000000" w:sz="4" w:space="0"/>
              <w:bottom w:val="single" w:color="000000" w:sz="4" w:space="0"/>
              <w:right w:val="single" w:color="000000" w:sz="4" w:space="0"/>
            </w:tcBorders>
          </w:tcPr>
          <w:p w14:paraId="3EFE875B">
            <w:pPr>
              <w:pStyle w:val="11"/>
              <w:spacing w:before="62"/>
              <w:ind w:left="258" w:firstLine="12"/>
              <w:jc w:val="left"/>
              <w:rPr>
                <w:sz w:val="20"/>
              </w:rPr>
            </w:pPr>
            <w:r>
              <w:rPr>
                <w:sz w:val="20"/>
              </w:rPr>
              <w:t>Significant</w:t>
            </w:r>
            <w:r>
              <w:rPr>
                <w:spacing w:val="-4"/>
                <w:sz w:val="20"/>
              </w:rPr>
              <w:t xml:space="preserve"> </w:t>
            </w:r>
            <w:r>
              <w:rPr>
                <w:sz w:val="20"/>
              </w:rPr>
              <w:t>differences</w:t>
            </w:r>
            <w:r>
              <w:rPr>
                <w:spacing w:val="-6"/>
                <w:sz w:val="20"/>
              </w:rPr>
              <w:t xml:space="preserve"> </w:t>
            </w:r>
            <w:r>
              <w:rPr>
                <w:sz w:val="20"/>
              </w:rPr>
              <w:t>between</w:t>
            </w:r>
            <w:r>
              <w:rPr>
                <w:spacing w:val="-7"/>
                <w:sz w:val="20"/>
              </w:rPr>
              <w:t xml:space="preserve"> </w:t>
            </w:r>
            <w:r>
              <w:rPr>
                <w:sz w:val="20"/>
              </w:rPr>
              <w:t>all</w:t>
            </w:r>
            <w:r>
              <w:rPr>
                <w:spacing w:val="-6"/>
                <w:sz w:val="20"/>
              </w:rPr>
              <w:t xml:space="preserve"> </w:t>
            </w:r>
            <w:r>
              <w:rPr>
                <w:sz w:val="20"/>
              </w:rPr>
              <w:t>groups</w:t>
            </w:r>
            <w:r>
              <w:rPr>
                <w:spacing w:val="-6"/>
                <w:sz w:val="20"/>
              </w:rPr>
              <w:t xml:space="preserve"> </w:t>
            </w:r>
            <w:r>
              <w:rPr>
                <w:sz w:val="20"/>
              </w:rPr>
              <w:t>except Zonisamide</w:t>
            </w:r>
            <w:r>
              <w:rPr>
                <w:spacing w:val="-5"/>
                <w:sz w:val="20"/>
              </w:rPr>
              <w:t xml:space="preserve"> </w:t>
            </w:r>
            <w:r>
              <w:rPr>
                <w:sz w:val="20"/>
              </w:rPr>
              <w:t>15mg/kg</w:t>
            </w:r>
            <w:r>
              <w:rPr>
                <w:spacing w:val="-8"/>
                <w:sz w:val="20"/>
              </w:rPr>
              <w:t xml:space="preserve"> </w:t>
            </w:r>
            <w:r>
              <w:rPr>
                <w:sz w:val="20"/>
              </w:rPr>
              <w:t>and</w:t>
            </w:r>
            <w:r>
              <w:rPr>
                <w:spacing w:val="-6"/>
                <w:sz w:val="20"/>
              </w:rPr>
              <w:t xml:space="preserve"> </w:t>
            </w:r>
            <w:r>
              <w:rPr>
                <w:sz w:val="20"/>
              </w:rPr>
              <w:t>20mg/kg</w:t>
            </w:r>
            <w:r>
              <w:rPr>
                <w:spacing w:val="-5"/>
                <w:sz w:val="20"/>
              </w:rPr>
              <w:t xml:space="preserve"> </w:t>
            </w:r>
            <w:r>
              <w:rPr>
                <w:sz w:val="20"/>
              </w:rPr>
              <w:t>+</w:t>
            </w:r>
            <w:r>
              <w:rPr>
                <w:spacing w:val="-5"/>
                <w:sz w:val="20"/>
              </w:rPr>
              <w:t xml:space="preserve"> </w:t>
            </w:r>
            <w:r>
              <w:rPr>
                <w:spacing w:val="-2"/>
                <w:sz w:val="20"/>
              </w:rPr>
              <w:t>Haloperidol</w:t>
            </w:r>
          </w:p>
        </w:tc>
      </w:tr>
    </w:tbl>
    <w:p w14:paraId="15766D18">
      <w:pPr>
        <w:pStyle w:val="6"/>
        <w:ind w:left="360" w:right="7842"/>
      </w:pPr>
      <w:r>
        <w:rPr>
          <w:color w:val="1F1F1F"/>
        </w:rPr>
        <w:t>One-way</w:t>
      </w:r>
      <w:r>
        <w:rPr>
          <w:color w:val="1F1F1F"/>
          <w:spacing w:val="-15"/>
        </w:rPr>
        <w:t xml:space="preserve"> </w:t>
      </w:r>
      <w:r>
        <w:rPr>
          <w:color w:val="1F1F1F"/>
        </w:rPr>
        <w:t>ANOVA: Bar test latency:</w:t>
      </w:r>
    </w:p>
    <w:p w14:paraId="07475E06">
      <w:pPr>
        <w:pStyle w:val="10"/>
        <w:numPr>
          <w:ilvl w:val="0"/>
          <w:numId w:val="5"/>
        </w:numPr>
        <w:tabs>
          <w:tab w:val="left" w:pos="359"/>
        </w:tabs>
        <w:spacing w:before="0" w:after="0" w:line="240" w:lineRule="auto"/>
        <w:ind w:left="359" w:right="0" w:hanging="359"/>
        <w:jc w:val="left"/>
        <w:rPr>
          <w:sz w:val="24"/>
        </w:rPr>
      </w:pPr>
      <w:r>
        <w:rPr>
          <w:color w:val="1F1F1F"/>
          <w:sz w:val="24"/>
        </w:rPr>
        <w:t>F(4,</w:t>
      </w:r>
      <w:r>
        <w:rPr>
          <w:color w:val="1F1F1F"/>
          <w:spacing w:val="-5"/>
          <w:sz w:val="24"/>
        </w:rPr>
        <w:t xml:space="preserve"> </w:t>
      </w:r>
      <w:r>
        <w:rPr>
          <w:color w:val="1F1F1F"/>
          <w:sz w:val="24"/>
        </w:rPr>
        <w:t>35)</w:t>
      </w:r>
      <w:r>
        <w:rPr>
          <w:color w:val="1F1F1F"/>
          <w:spacing w:val="-1"/>
          <w:sz w:val="24"/>
        </w:rPr>
        <w:t xml:space="preserve"> </w:t>
      </w:r>
      <w:r>
        <w:rPr>
          <w:color w:val="1F1F1F"/>
          <w:sz w:val="24"/>
        </w:rPr>
        <w:t>=</w:t>
      </w:r>
      <w:r>
        <w:rPr>
          <w:color w:val="1F1F1F"/>
          <w:spacing w:val="-5"/>
          <w:sz w:val="24"/>
        </w:rPr>
        <w:t xml:space="preserve"> </w:t>
      </w:r>
      <w:r>
        <w:rPr>
          <w:color w:val="1F1F1F"/>
          <w:sz w:val="24"/>
        </w:rPr>
        <w:t>38.45,</w:t>
      </w:r>
      <w:r>
        <w:rPr>
          <w:color w:val="1F1F1F"/>
          <w:spacing w:val="-4"/>
          <w:sz w:val="24"/>
        </w:rPr>
        <w:t xml:space="preserve"> </w:t>
      </w:r>
      <w:r>
        <w:rPr>
          <w:color w:val="1F1F1F"/>
          <w:sz w:val="24"/>
        </w:rPr>
        <w:t>p</w:t>
      </w:r>
      <w:r>
        <w:rPr>
          <w:color w:val="1F1F1F"/>
          <w:spacing w:val="-4"/>
          <w:sz w:val="24"/>
        </w:rPr>
        <w:t xml:space="preserve"> </w:t>
      </w:r>
      <w:r>
        <w:rPr>
          <w:color w:val="1F1F1F"/>
          <w:sz w:val="24"/>
        </w:rPr>
        <w:t>&lt;</w:t>
      </w:r>
      <w:r>
        <w:rPr>
          <w:color w:val="1F1F1F"/>
          <w:spacing w:val="-6"/>
          <w:sz w:val="24"/>
        </w:rPr>
        <w:t xml:space="preserve"> </w:t>
      </w:r>
      <w:r>
        <w:rPr>
          <w:color w:val="1F1F1F"/>
          <w:spacing w:val="-4"/>
          <w:sz w:val="24"/>
        </w:rPr>
        <w:t>0.001</w:t>
      </w:r>
    </w:p>
    <w:p w14:paraId="43FE37F2">
      <w:pPr>
        <w:pStyle w:val="6"/>
        <w:ind w:left="360"/>
      </w:pPr>
      <w:r>
        <w:rPr>
          <w:color w:val="1F1F1F"/>
        </w:rPr>
        <w:t>Limb</w:t>
      </w:r>
      <w:r>
        <w:rPr>
          <w:color w:val="1F1F1F"/>
          <w:spacing w:val="-6"/>
        </w:rPr>
        <w:t xml:space="preserve"> </w:t>
      </w:r>
      <w:r>
        <w:rPr>
          <w:color w:val="1F1F1F"/>
        </w:rPr>
        <w:t>rigidity</w:t>
      </w:r>
      <w:r>
        <w:rPr>
          <w:color w:val="1F1F1F"/>
          <w:spacing w:val="-11"/>
        </w:rPr>
        <w:t xml:space="preserve"> </w:t>
      </w:r>
      <w:r>
        <w:rPr>
          <w:color w:val="1F1F1F"/>
          <w:spacing w:val="-2"/>
        </w:rPr>
        <w:t>score:</w:t>
      </w:r>
    </w:p>
    <w:p w14:paraId="2706AC85">
      <w:pPr>
        <w:pStyle w:val="6"/>
        <w:spacing w:after="0"/>
        <w:sectPr>
          <w:pgSz w:w="12240" w:h="15840"/>
          <w:pgMar w:top="740" w:right="1080" w:bottom="1200" w:left="1080" w:header="0" w:footer="1006" w:gutter="0"/>
          <w:cols w:space="720" w:num="1"/>
        </w:sectPr>
      </w:pPr>
    </w:p>
    <w:p w14:paraId="1428C8D5">
      <w:pPr>
        <w:pStyle w:val="10"/>
        <w:numPr>
          <w:ilvl w:val="0"/>
          <w:numId w:val="5"/>
        </w:numPr>
        <w:tabs>
          <w:tab w:val="left" w:pos="359"/>
        </w:tabs>
        <w:spacing w:before="63" w:after="0" w:line="275" w:lineRule="exact"/>
        <w:ind w:left="359" w:right="0" w:hanging="359"/>
        <w:jc w:val="left"/>
        <w:rPr>
          <w:sz w:val="24"/>
        </w:rPr>
      </w:pPr>
      <w:r>
        <w:rPr>
          <w:color w:val="1F1F1F"/>
          <w:sz w:val="24"/>
        </w:rPr>
        <w:t>F(4,</w:t>
      </w:r>
      <w:r>
        <w:rPr>
          <w:color w:val="1F1F1F"/>
          <w:spacing w:val="-5"/>
          <w:sz w:val="24"/>
        </w:rPr>
        <w:t xml:space="preserve"> </w:t>
      </w:r>
      <w:r>
        <w:rPr>
          <w:color w:val="1F1F1F"/>
          <w:sz w:val="24"/>
        </w:rPr>
        <w:t>35)</w:t>
      </w:r>
      <w:r>
        <w:rPr>
          <w:color w:val="1F1F1F"/>
          <w:spacing w:val="-1"/>
          <w:sz w:val="24"/>
        </w:rPr>
        <w:t xml:space="preserve"> </w:t>
      </w:r>
      <w:r>
        <w:rPr>
          <w:color w:val="1F1F1F"/>
          <w:sz w:val="24"/>
        </w:rPr>
        <w:t>=</w:t>
      </w:r>
      <w:r>
        <w:rPr>
          <w:color w:val="1F1F1F"/>
          <w:spacing w:val="-5"/>
          <w:sz w:val="24"/>
        </w:rPr>
        <w:t xml:space="preserve"> </w:t>
      </w:r>
      <w:r>
        <w:rPr>
          <w:color w:val="1F1F1F"/>
          <w:sz w:val="24"/>
        </w:rPr>
        <w:t>24.12,</w:t>
      </w:r>
      <w:r>
        <w:rPr>
          <w:color w:val="1F1F1F"/>
          <w:spacing w:val="-4"/>
          <w:sz w:val="24"/>
        </w:rPr>
        <w:t xml:space="preserve"> </w:t>
      </w:r>
      <w:r>
        <w:rPr>
          <w:color w:val="1F1F1F"/>
          <w:sz w:val="24"/>
        </w:rPr>
        <w:t>p</w:t>
      </w:r>
      <w:r>
        <w:rPr>
          <w:color w:val="1F1F1F"/>
          <w:spacing w:val="-4"/>
          <w:sz w:val="24"/>
        </w:rPr>
        <w:t xml:space="preserve"> </w:t>
      </w:r>
      <w:r>
        <w:rPr>
          <w:color w:val="1F1F1F"/>
          <w:sz w:val="24"/>
        </w:rPr>
        <w:t>&lt;</w:t>
      </w:r>
      <w:r>
        <w:rPr>
          <w:color w:val="1F1F1F"/>
          <w:spacing w:val="-6"/>
          <w:sz w:val="24"/>
        </w:rPr>
        <w:t xml:space="preserve"> </w:t>
      </w:r>
      <w:r>
        <w:rPr>
          <w:color w:val="1F1F1F"/>
          <w:spacing w:val="-4"/>
          <w:sz w:val="24"/>
        </w:rPr>
        <w:t>0.001</w:t>
      </w:r>
    </w:p>
    <w:p w14:paraId="579A3BAF">
      <w:pPr>
        <w:pStyle w:val="6"/>
        <w:ind w:left="360" w:right="365"/>
      </w:pPr>
      <w:r>
        <w:rPr>
          <w:color w:val="1F1F1F"/>
        </w:rPr>
        <w:t>These</w:t>
      </w:r>
      <w:r>
        <w:rPr>
          <w:color w:val="1F1F1F"/>
          <w:spacing w:val="-6"/>
        </w:rPr>
        <w:t xml:space="preserve"> </w:t>
      </w:r>
      <w:r>
        <w:rPr>
          <w:color w:val="1F1F1F"/>
        </w:rPr>
        <w:t>results</w:t>
      </w:r>
      <w:r>
        <w:rPr>
          <w:color w:val="1F1F1F"/>
          <w:spacing w:val="-4"/>
        </w:rPr>
        <w:t xml:space="preserve"> </w:t>
      </w:r>
      <w:r>
        <w:rPr>
          <w:color w:val="1F1F1F"/>
        </w:rPr>
        <w:t>indicate</w:t>
      </w:r>
      <w:r>
        <w:rPr>
          <w:color w:val="1F1F1F"/>
          <w:spacing w:val="-2"/>
        </w:rPr>
        <w:t xml:space="preserve"> </w:t>
      </w:r>
      <w:r>
        <w:rPr>
          <w:color w:val="1F1F1F"/>
        </w:rPr>
        <w:t>that</w:t>
      </w:r>
      <w:r>
        <w:rPr>
          <w:color w:val="1F1F1F"/>
          <w:spacing w:val="-4"/>
        </w:rPr>
        <w:t xml:space="preserve"> </w:t>
      </w:r>
      <w:r>
        <w:rPr>
          <w:color w:val="1F1F1F"/>
        </w:rPr>
        <w:t>there</w:t>
      </w:r>
      <w:r>
        <w:rPr>
          <w:color w:val="1F1F1F"/>
          <w:spacing w:val="-4"/>
        </w:rPr>
        <w:t xml:space="preserve"> </w:t>
      </w:r>
      <w:r>
        <w:rPr>
          <w:color w:val="1F1F1F"/>
        </w:rPr>
        <w:t>are</w:t>
      </w:r>
      <w:r>
        <w:rPr>
          <w:color w:val="1F1F1F"/>
          <w:spacing w:val="-6"/>
        </w:rPr>
        <w:t xml:space="preserve"> </w:t>
      </w:r>
      <w:r>
        <w:rPr>
          <w:color w:val="1F1F1F"/>
        </w:rPr>
        <w:t>statistically</w:t>
      </w:r>
      <w:r>
        <w:rPr>
          <w:color w:val="1F1F1F"/>
          <w:spacing w:val="-6"/>
        </w:rPr>
        <w:t xml:space="preserve"> </w:t>
      </w:r>
      <w:r>
        <w:rPr>
          <w:color w:val="1F1F1F"/>
        </w:rPr>
        <w:t>significant</w:t>
      </w:r>
      <w:r>
        <w:rPr>
          <w:color w:val="1F1F1F"/>
          <w:spacing w:val="-4"/>
        </w:rPr>
        <w:t xml:space="preserve"> </w:t>
      </w:r>
      <w:r>
        <w:rPr>
          <w:color w:val="1F1F1F"/>
        </w:rPr>
        <w:t>differences</w:t>
      </w:r>
      <w:r>
        <w:rPr>
          <w:color w:val="1F1F1F"/>
          <w:spacing w:val="-6"/>
        </w:rPr>
        <w:t xml:space="preserve"> </w:t>
      </w:r>
      <w:r>
        <w:rPr>
          <w:color w:val="1F1F1F"/>
        </w:rPr>
        <w:t>in</w:t>
      </w:r>
      <w:r>
        <w:rPr>
          <w:color w:val="1F1F1F"/>
          <w:spacing w:val="-1"/>
        </w:rPr>
        <w:t xml:space="preserve"> </w:t>
      </w:r>
      <w:r>
        <w:rPr>
          <w:color w:val="1F1F1F"/>
        </w:rPr>
        <w:t>mean</w:t>
      </w:r>
      <w:r>
        <w:rPr>
          <w:color w:val="1F1F1F"/>
          <w:spacing w:val="-1"/>
        </w:rPr>
        <w:t xml:space="preserve"> </w:t>
      </w:r>
      <w:r>
        <w:rPr>
          <w:color w:val="1F1F1F"/>
        </w:rPr>
        <w:t>bar</w:t>
      </w:r>
      <w:r>
        <w:rPr>
          <w:color w:val="1F1F1F"/>
          <w:spacing w:val="-7"/>
        </w:rPr>
        <w:t xml:space="preserve"> </w:t>
      </w:r>
      <w:r>
        <w:rPr>
          <w:color w:val="1F1F1F"/>
        </w:rPr>
        <w:t>test</w:t>
      </w:r>
      <w:r>
        <w:rPr>
          <w:color w:val="1F1F1F"/>
          <w:spacing w:val="-4"/>
        </w:rPr>
        <w:t xml:space="preserve"> </w:t>
      </w:r>
      <w:r>
        <w:rPr>
          <w:color w:val="1F1F1F"/>
        </w:rPr>
        <w:t>latency and limb rigidity score across the five treatment groups.</w:t>
      </w:r>
    </w:p>
    <w:p w14:paraId="7C002111">
      <w:pPr>
        <w:pStyle w:val="6"/>
        <w:ind w:left="360"/>
      </w:pPr>
      <w:r>
        <w:rPr>
          <w:color w:val="1F1F1F"/>
        </w:rPr>
        <w:t>Tukey's</w:t>
      </w:r>
      <w:r>
        <w:rPr>
          <w:color w:val="1F1F1F"/>
          <w:spacing w:val="-7"/>
        </w:rPr>
        <w:t xml:space="preserve"> </w:t>
      </w:r>
      <w:r>
        <w:rPr>
          <w:color w:val="1F1F1F"/>
        </w:rPr>
        <w:t>post</w:t>
      </w:r>
      <w:r>
        <w:rPr>
          <w:color w:val="1F1F1F"/>
          <w:spacing w:val="-5"/>
        </w:rPr>
        <w:t xml:space="preserve"> </w:t>
      </w:r>
      <w:r>
        <w:rPr>
          <w:color w:val="1F1F1F"/>
        </w:rPr>
        <w:t>hoc</w:t>
      </w:r>
      <w:r>
        <w:rPr>
          <w:color w:val="1F1F1F"/>
          <w:spacing w:val="-8"/>
        </w:rPr>
        <w:t xml:space="preserve"> </w:t>
      </w:r>
      <w:r>
        <w:rPr>
          <w:color w:val="1F1F1F"/>
          <w:spacing w:val="-4"/>
        </w:rPr>
        <w:t>test</w:t>
      </w:r>
    </w:p>
    <w:p w14:paraId="70B5CC4E">
      <w:pPr>
        <w:pStyle w:val="6"/>
        <w:spacing w:before="3"/>
      </w:pPr>
    </w:p>
    <w:p w14:paraId="3AC1214F">
      <w:pPr>
        <w:pStyle w:val="3"/>
        <w:spacing w:before="1"/>
      </w:pPr>
      <w:r>
        <w:rPr>
          <w:color w:val="1F1F1F"/>
        </w:rPr>
        <w:t>Bar</w:t>
      </w:r>
      <w:r>
        <w:rPr>
          <w:color w:val="1F1F1F"/>
          <w:spacing w:val="-7"/>
        </w:rPr>
        <w:t xml:space="preserve"> </w:t>
      </w:r>
      <w:r>
        <w:rPr>
          <w:color w:val="1F1F1F"/>
        </w:rPr>
        <w:t>test</w:t>
      </w:r>
      <w:r>
        <w:rPr>
          <w:color w:val="1F1F1F"/>
          <w:spacing w:val="-6"/>
        </w:rPr>
        <w:t xml:space="preserve"> </w:t>
      </w:r>
      <w:r>
        <w:rPr>
          <w:color w:val="1F1F1F"/>
          <w:spacing w:val="-2"/>
        </w:rPr>
        <w:t>latency</w:t>
      </w:r>
    </w:p>
    <w:p w14:paraId="5EF85F13">
      <w:pPr>
        <w:pStyle w:val="10"/>
        <w:numPr>
          <w:ilvl w:val="0"/>
          <w:numId w:val="5"/>
        </w:numPr>
        <w:tabs>
          <w:tab w:val="left" w:pos="359"/>
        </w:tabs>
        <w:spacing w:before="271" w:after="0" w:line="240" w:lineRule="auto"/>
        <w:ind w:left="35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Haloperidol:</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0F7F7FCA">
      <w:pPr>
        <w:pStyle w:val="10"/>
        <w:numPr>
          <w:ilvl w:val="0"/>
          <w:numId w:val="5"/>
        </w:numPr>
        <w:tabs>
          <w:tab w:val="left" w:pos="359"/>
        </w:tabs>
        <w:spacing w:before="0" w:after="0" w:line="240" w:lineRule="auto"/>
        <w:ind w:left="35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10</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0974998D">
      <w:pPr>
        <w:pStyle w:val="10"/>
        <w:numPr>
          <w:ilvl w:val="0"/>
          <w:numId w:val="5"/>
        </w:numPr>
        <w:tabs>
          <w:tab w:val="left" w:pos="359"/>
        </w:tabs>
        <w:spacing w:before="0" w:after="0" w:line="240" w:lineRule="auto"/>
        <w:ind w:left="35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15</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204ADA32">
      <w:pPr>
        <w:pStyle w:val="10"/>
        <w:numPr>
          <w:ilvl w:val="0"/>
          <w:numId w:val="5"/>
        </w:numPr>
        <w:tabs>
          <w:tab w:val="left" w:pos="359"/>
        </w:tabs>
        <w:spacing w:before="0" w:after="0" w:line="240" w:lineRule="auto"/>
        <w:ind w:left="35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20</w:t>
      </w:r>
      <w:r>
        <w:rPr>
          <w:color w:val="1F1F1F"/>
          <w:spacing w:val="-6"/>
          <w:sz w:val="24"/>
        </w:rPr>
        <w:t xml:space="preserve"> </w:t>
      </w:r>
      <w:r>
        <w:rPr>
          <w:color w:val="1F1F1F"/>
          <w:sz w:val="24"/>
        </w:rPr>
        <w:t>mg/kg</w:t>
      </w:r>
      <w:r>
        <w:rPr>
          <w:color w:val="1F1F1F"/>
          <w:spacing w:val="-8"/>
          <w:sz w:val="24"/>
        </w:rPr>
        <w:t xml:space="preserve"> </w:t>
      </w:r>
      <w:r>
        <w:rPr>
          <w:color w:val="1F1F1F"/>
          <w:sz w:val="24"/>
        </w:rPr>
        <w:t>+</w:t>
      </w:r>
      <w:r>
        <w:rPr>
          <w:color w:val="1F1F1F"/>
          <w:spacing w:val="-7"/>
          <w:sz w:val="24"/>
        </w:rPr>
        <w:t xml:space="preserve"> </w:t>
      </w:r>
      <w:r>
        <w:rPr>
          <w:color w:val="1F1F1F"/>
          <w:sz w:val="24"/>
        </w:rPr>
        <w:t>Haloperidol:</w:t>
      </w:r>
      <w:r>
        <w:rPr>
          <w:color w:val="1F1F1F"/>
          <w:spacing w:val="-3"/>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4CA1DE26">
      <w:pPr>
        <w:pStyle w:val="10"/>
        <w:numPr>
          <w:ilvl w:val="0"/>
          <w:numId w:val="5"/>
        </w:numPr>
        <w:tabs>
          <w:tab w:val="left" w:pos="359"/>
        </w:tabs>
        <w:spacing w:before="0" w:after="0" w:line="240" w:lineRule="auto"/>
        <w:ind w:left="359" w:right="0" w:hanging="359"/>
        <w:jc w:val="left"/>
        <w:rPr>
          <w:sz w:val="24"/>
        </w:rPr>
      </w:pPr>
      <w:r>
        <w:rPr>
          <w:color w:val="1F1F1F"/>
          <w:sz w:val="24"/>
        </w:rPr>
        <w:t>Haloperidol</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8"/>
          <w:sz w:val="24"/>
        </w:rPr>
        <w:t xml:space="preserve"> </w:t>
      </w:r>
      <w:r>
        <w:rPr>
          <w:color w:val="1F1F1F"/>
          <w:sz w:val="24"/>
        </w:rPr>
        <w:t>10</w:t>
      </w:r>
      <w:r>
        <w:rPr>
          <w:color w:val="1F1F1F"/>
          <w:spacing w:val="-7"/>
          <w:sz w:val="24"/>
        </w:rPr>
        <w:t xml:space="preserve"> </w:t>
      </w:r>
      <w:r>
        <w:rPr>
          <w:color w:val="1F1F1F"/>
          <w:sz w:val="24"/>
        </w:rPr>
        <w:t>mg/kg:</w:t>
      </w:r>
      <w:r>
        <w:rPr>
          <w:color w:val="1F1F1F"/>
          <w:spacing w:val="-7"/>
          <w:sz w:val="24"/>
        </w:rPr>
        <w:t xml:space="preserve"> </w:t>
      </w:r>
      <w:r>
        <w:rPr>
          <w:color w:val="1F1F1F"/>
          <w:sz w:val="24"/>
        </w:rPr>
        <w:t>p</w:t>
      </w:r>
      <w:r>
        <w:rPr>
          <w:color w:val="1F1F1F"/>
          <w:spacing w:val="-8"/>
          <w:sz w:val="24"/>
        </w:rPr>
        <w:t xml:space="preserve"> </w:t>
      </w:r>
      <w:r>
        <w:rPr>
          <w:color w:val="1F1F1F"/>
          <w:sz w:val="24"/>
        </w:rPr>
        <w:t>=</w:t>
      </w:r>
      <w:r>
        <w:rPr>
          <w:color w:val="1F1F1F"/>
          <w:spacing w:val="-8"/>
          <w:sz w:val="24"/>
        </w:rPr>
        <w:t xml:space="preserve"> </w:t>
      </w:r>
      <w:r>
        <w:rPr>
          <w:color w:val="1F1F1F"/>
          <w:spacing w:val="-2"/>
          <w:sz w:val="24"/>
        </w:rPr>
        <w:t>0.014</w:t>
      </w:r>
    </w:p>
    <w:p w14:paraId="3E0F5C9D">
      <w:pPr>
        <w:pStyle w:val="10"/>
        <w:numPr>
          <w:ilvl w:val="0"/>
          <w:numId w:val="5"/>
        </w:numPr>
        <w:tabs>
          <w:tab w:val="left" w:pos="359"/>
        </w:tabs>
        <w:spacing w:before="0" w:after="0" w:line="240" w:lineRule="auto"/>
        <w:ind w:left="359" w:right="0" w:hanging="359"/>
        <w:jc w:val="left"/>
        <w:rPr>
          <w:sz w:val="24"/>
        </w:rPr>
      </w:pPr>
      <w:r>
        <w:rPr>
          <w:color w:val="1F1F1F"/>
          <w:sz w:val="24"/>
        </w:rPr>
        <w:t>Haloperidol</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8"/>
          <w:sz w:val="24"/>
        </w:rPr>
        <w:t xml:space="preserve"> </w:t>
      </w:r>
      <w:r>
        <w:rPr>
          <w:color w:val="1F1F1F"/>
          <w:sz w:val="24"/>
        </w:rPr>
        <w:t>15</w:t>
      </w:r>
      <w:r>
        <w:rPr>
          <w:color w:val="1F1F1F"/>
          <w:spacing w:val="-7"/>
          <w:sz w:val="24"/>
        </w:rPr>
        <w:t xml:space="preserve"> </w:t>
      </w:r>
      <w:r>
        <w:rPr>
          <w:color w:val="1F1F1F"/>
          <w:sz w:val="24"/>
        </w:rPr>
        <w:t>mg/kg:</w:t>
      </w:r>
      <w:r>
        <w:rPr>
          <w:color w:val="1F1F1F"/>
          <w:spacing w:val="-7"/>
          <w:sz w:val="24"/>
        </w:rPr>
        <w:t xml:space="preserve"> </w:t>
      </w:r>
      <w:r>
        <w:rPr>
          <w:color w:val="1F1F1F"/>
          <w:sz w:val="24"/>
        </w:rPr>
        <w:t>p</w:t>
      </w:r>
      <w:r>
        <w:rPr>
          <w:color w:val="1F1F1F"/>
          <w:spacing w:val="-8"/>
          <w:sz w:val="24"/>
        </w:rPr>
        <w:t xml:space="preserve"> </w:t>
      </w:r>
      <w:r>
        <w:rPr>
          <w:color w:val="1F1F1F"/>
          <w:sz w:val="24"/>
        </w:rPr>
        <w:t>&lt;</w:t>
      </w:r>
      <w:r>
        <w:rPr>
          <w:color w:val="1F1F1F"/>
          <w:spacing w:val="-8"/>
          <w:sz w:val="24"/>
        </w:rPr>
        <w:t xml:space="preserve"> </w:t>
      </w:r>
      <w:r>
        <w:rPr>
          <w:color w:val="1F1F1F"/>
          <w:spacing w:val="-2"/>
          <w:sz w:val="24"/>
        </w:rPr>
        <w:t>0.001</w:t>
      </w:r>
    </w:p>
    <w:p w14:paraId="657B676B">
      <w:pPr>
        <w:pStyle w:val="10"/>
        <w:numPr>
          <w:ilvl w:val="0"/>
          <w:numId w:val="5"/>
        </w:numPr>
        <w:tabs>
          <w:tab w:val="left" w:pos="359"/>
        </w:tabs>
        <w:spacing w:before="0" w:after="0" w:line="240" w:lineRule="auto"/>
        <w:ind w:left="359" w:right="0" w:hanging="359"/>
        <w:jc w:val="left"/>
        <w:rPr>
          <w:sz w:val="24"/>
        </w:rPr>
      </w:pPr>
      <w:r>
        <w:rPr>
          <w:color w:val="1F1F1F"/>
          <w:sz w:val="24"/>
        </w:rPr>
        <w:t>Haloperidol</w:t>
      </w:r>
      <w:r>
        <w:rPr>
          <w:color w:val="1F1F1F"/>
          <w:spacing w:val="-7"/>
          <w:sz w:val="24"/>
        </w:rPr>
        <w:t xml:space="preserve"> </w:t>
      </w:r>
      <w:r>
        <w:rPr>
          <w:color w:val="1F1F1F"/>
          <w:sz w:val="24"/>
        </w:rPr>
        <w:t>vs.</w:t>
      </w:r>
      <w:r>
        <w:rPr>
          <w:color w:val="1F1F1F"/>
          <w:spacing w:val="-5"/>
          <w:sz w:val="24"/>
        </w:rPr>
        <w:t xml:space="preserve"> </w:t>
      </w:r>
      <w:r>
        <w:rPr>
          <w:color w:val="1F1F1F"/>
          <w:sz w:val="24"/>
        </w:rPr>
        <w:t>Zonisamide</w:t>
      </w:r>
      <w:r>
        <w:rPr>
          <w:color w:val="1F1F1F"/>
          <w:spacing w:val="-7"/>
          <w:sz w:val="24"/>
        </w:rPr>
        <w:t xml:space="preserve"> </w:t>
      </w:r>
      <w:r>
        <w:rPr>
          <w:color w:val="1F1F1F"/>
          <w:sz w:val="24"/>
        </w:rPr>
        <w:t>20</w:t>
      </w:r>
      <w:r>
        <w:rPr>
          <w:color w:val="1F1F1F"/>
          <w:spacing w:val="-7"/>
          <w:sz w:val="24"/>
        </w:rPr>
        <w:t xml:space="preserve"> </w:t>
      </w:r>
      <w:r>
        <w:rPr>
          <w:color w:val="1F1F1F"/>
          <w:sz w:val="24"/>
        </w:rPr>
        <w:t>mg/kg</w:t>
      </w:r>
      <w:r>
        <w:rPr>
          <w:color w:val="1F1F1F"/>
          <w:spacing w:val="-8"/>
          <w:sz w:val="24"/>
        </w:rPr>
        <w:t xml:space="preserve"> </w:t>
      </w:r>
      <w:r>
        <w:rPr>
          <w:color w:val="1F1F1F"/>
          <w:sz w:val="24"/>
        </w:rPr>
        <w:t>+</w:t>
      </w:r>
      <w:r>
        <w:rPr>
          <w:color w:val="1F1F1F"/>
          <w:spacing w:val="-6"/>
          <w:sz w:val="24"/>
        </w:rPr>
        <w:t xml:space="preserve"> </w:t>
      </w:r>
      <w:r>
        <w:rPr>
          <w:color w:val="1F1F1F"/>
          <w:sz w:val="24"/>
        </w:rPr>
        <w:t>Haloperidol:</w:t>
      </w:r>
      <w:r>
        <w:rPr>
          <w:color w:val="1F1F1F"/>
          <w:spacing w:val="-6"/>
          <w:sz w:val="24"/>
        </w:rPr>
        <w:t xml:space="preserve"> </w:t>
      </w:r>
      <w:r>
        <w:rPr>
          <w:color w:val="1F1F1F"/>
          <w:sz w:val="24"/>
        </w:rPr>
        <w:t>p</w:t>
      </w:r>
      <w:r>
        <w:rPr>
          <w:color w:val="1F1F1F"/>
          <w:spacing w:val="-7"/>
          <w:sz w:val="24"/>
        </w:rPr>
        <w:t xml:space="preserve"> </w:t>
      </w:r>
      <w:r>
        <w:rPr>
          <w:color w:val="1F1F1F"/>
          <w:sz w:val="24"/>
        </w:rPr>
        <w:t>=</w:t>
      </w:r>
      <w:r>
        <w:rPr>
          <w:color w:val="1F1F1F"/>
          <w:spacing w:val="-6"/>
          <w:sz w:val="24"/>
        </w:rPr>
        <w:t xml:space="preserve"> </w:t>
      </w:r>
      <w:r>
        <w:rPr>
          <w:color w:val="1F1F1F"/>
          <w:spacing w:val="-2"/>
          <w:sz w:val="24"/>
        </w:rPr>
        <w:t>0.006</w:t>
      </w:r>
    </w:p>
    <w:p w14:paraId="0DC5B911">
      <w:pPr>
        <w:pStyle w:val="10"/>
        <w:numPr>
          <w:ilvl w:val="0"/>
          <w:numId w:val="5"/>
        </w:numPr>
        <w:tabs>
          <w:tab w:val="left" w:pos="359"/>
        </w:tabs>
        <w:spacing w:before="0" w:after="0" w:line="240" w:lineRule="auto"/>
        <w:ind w:left="359" w:right="0" w:hanging="359"/>
        <w:jc w:val="left"/>
        <w:rPr>
          <w:sz w:val="24"/>
        </w:rPr>
      </w:pPr>
      <w:r>
        <w:rPr>
          <w:color w:val="1F1F1F"/>
          <w:sz w:val="24"/>
        </w:rPr>
        <w:t>Zonisamide</w:t>
      </w:r>
      <w:r>
        <w:rPr>
          <w:color w:val="1F1F1F"/>
          <w:spacing w:val="-8"/>
          <w:sz w:val="24"/>
        </w:rPr>
        <w:t xml:space="preserve"> </w:t>
      </w:r>
      <w:r>
        <w:rPr>
          <w:color w:val="1F1F1F"/>
          <w:sz w:val="24"/>
        </w:rPr>
        <w:t>10</w:t>
      </w:r>
      <w:r>
        <w:rPr>
          <w:color w:val="1F1F1F"/>
          <w:spacing w:val="-6"/>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6"/>
          <w:sz w:val="24"/>
        </w:rPr>
        <w:t xml:space="preserve"> </w:t>
      </w:r>
      <w:r>
        <w:rPr>
          <w:color w:val="1F1F1F"/>
          <w:sz w:val="24"/>
        </w:rPr>
        <w:t>15</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3"/>
          <w:sz w:val="24"/>
        </w:rPr>
        <w:t xml:space="preserve"> </w:t>
      </w:r>
      <w:r>
        <w:rPr>
          <w:color w:val="1F1F1F"/>
          <w:sz w:val="24"/>
        </w:rPr>
        <w:t>=</w:t>
      </w:r>
      <w:r>
        <w:rPr>
          <w:color w:val="1F1F1F"/>
          <w:spacing w:val="-7"/>
          <w:sz w:val="24"/>
        </w:rPr>
        <w:t xml:space="preserve"> </w:t>
      </w:r>
      <w:r>
        <w:rPr>
          <w:color w:val="1F1F1F"/>
          <w:spacing w:val="-2"/>
          <w:sz w:val="24"/>
        </w:rPr>
        <w:t>0.022</w:t>
      </w:r>
    </w:p>
    <w:p w14:paraId="62D044AB">
      <w:pPr>
        <w:pStyle w:val="10"/>
        <w:numPr>
          <w:ilvl w:val="0"/>
          <w:numId w:val="5"/>
        </w:numPr>
        <w:tabs>
          <w:tab w:val="left" w:pos="359"/>
        </w:tabs>
        <w:spacing w:before="0" w:after="0" w:line="240" w:lineRule="auto"/>
        <w:ind w:left="359" w:right="0" w:hanging="359"/>
        <w:jc w:val="left"/>
        <w:rPr>
          <w:sz w:val="24"/>
        </w:rPr>
      </w:pPr>
      <w:r>
        <w:rPr>
          <w:color w:val="1F1F1F"/>
          <w:sz w:val="24"/>
        </w:rPr>
        <w:t>Zonisamide</w:t>
      </w:r>
      <w:r>
        <w:rPr>
          <w:color w:val="1F1F1F"/>
          <w:spacing w:val="-9"/>
          <w:sz w:val="24"/>
        </w:rPr>
        <w:t xml:space="preserve"> </w:t>
      </w:r>
      <w:r>
        <w:rPr>
          <w:color w:val="1F1F1F"/>
          <w:sz w:val="24"/>
        </w:rPr>
        <w:t>10</w:t>
      </w:r>
      <w:r>
        <w:rPr>
          <w:color w:val="1F1F1F"/>
          <w:spacing w:val="-7"/>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7"/>
          <w:sz w:val="24"/>
        </w:rPr>
        <w:t xml:space="preserve"> </w:t>
      </w:r>
      <w:r>
        <w:rPr>
          <w:color w:val="1F1F1F"/>
          <w:sz w:val="24"/>
        </w:rPr>
        <w:t>20</w:t>
      </w:r>
      <w:r>
        <w:rPr>
          <w:color w:val="1F1F1F"/>
          <w:spacing w:val="-6"/>
          <w:sz w:val="24"/>
        </w:rPr>
        <w:t xml:space="preserve"> </w:t>
      </w:r>
      <w:r>
        <w:rPr>
          <w:color w:val="1F1F1F"/>
          <w:sz w:val="24"/>
        </w:rPr>
        <w:t>mg/kg</w:t>
      </w:r>
      <w:r>
        <w:rPr>
          <w:color w:val="1F1F1F"/>
          <w:spacing w:val="-7"/>
          <w:sz w:val="24"/>
        </w:rPr>
        <w:t xml:space="preserve"> </w:t>
      </w:r>
      <w:r>
        <w:rPr>
          <w:color w:val="1F1F1F"/>
          <w:sz w:val="24"/>
        </w:rPr>
        <w:t>+</w:t>
      </w:r>
      <w:r>
        <w:rPr>
          <w:color w:val="1F1F1F"/>
          <w:spacing w:val="-5"/>
          <w:sz w:val="24"/>
        </w:rPr>
        <w:t xml:space="preserve"> </w:t>
      </w:r>
      <w:r>
        <w:rPr>
          <w:color w:val="1F1F1F"/>
          <w:sz w:val="24"/>
        </w:rPr>
        <w:t>Haloperidol:</w:t>
      </w:r>
      <w:r>
        <w:rPr>
          <w:color w:val="1F1F1F"/>
          <w:spacing w:val="-7"/>
          <w:sz w:val="24"/>
        </w:rPr>
        <w:t xml:space="preserve"> </w:t>
      </w:r>
      <w:r>
        <w:rPr>
          <w:color w:val="1F1F1F"/>
          <w:sz w:val="24"/>
        </w:rPr>
        <w:t>p</w:t>
      </w:r>
      <w:r>
        <w:rPr>
          <w:color w:val="1F1F1F"/>
          <w:spacing w:val="-6"/>
          <w:sz w:val="24"/>
        </w:rPr>
        <w:t xml:space="preserve"> </w:t>
      </w:r>
      <w:r>
        <w:rPr>
          <w:color w:val="1F1F1F"/>
          <w:sz w:val="24"/>
        </w:rPr>
        <w:t>=</w:t>
      </w:r>
      <w:r>
        <w:rPr>
          <w:color w:val="1F1F1F"/>
          <w:spacing w:val="-8"/>
          <w:sz w:val="24"/>
        </w:rPr>
        <w:t xml:space="preserve"> </w:t>
      </w:r>
      <w:r>
        <w:rPr>
          <w:color w:val="1F1F1F"/>
          <w:spacing w:val="-2"/>
          <w:sz w:val="24"/>
        </w:rPr>
        <w:t>0.002</w:t>
      </w:r>
    </w:p>
    <w:p w14:paraId="67CC678E">
      <w:pPr>
        <w:pStyle w:val="10"/>
        <w:numPr>
          <w:ilvl w:val="0"/>
          <w:numId w:val="5"/>
        </w:numPr>
        <w:tabs>
          <w:tab w:val="left" w:pos="359"/>
        </w:tabs>
        <w:spacing w:before="0" w:after="0" w:line="240" w:lineRule="auto"/>
        <w:ind w:left="359" w:right="0" w:hanging="359"/>
        <w:jc w:val="left"/>
        <w:rPr>
          <w:sz w:val="24"/>
        </w:rPr>
      </w:pPr>
      <w:r>
        <w:rPr>
          <w:color w:val="1F1F1F"/>
          <w:sz w:val="24"/>
        </w:rPr>
        <w:t>Zonisamide</w:t>
      </w:r>
      <w:r>
        <w:rPr>
          <w:color w:val="1F1F1F"/>
          <w:spacing w:val="-9"/>
          <w:sz w:val="24"/>
        </w:rPr>
        <w:t xml:space="preserve"> </w:t>
      </w:r>
      <w:r>
        <w:rPr>
          <w:color w:val="1F1F1F"/>
          <w:sz w:val="24"/>
        </w:rPr>
        <w:t>15</w:t>
      </w:r>
      <w:r>
        <w:rPr>
          <w:color w:val="1F1F1F"/>
          <w:spacing w:val="-6"/>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6"/>
          <w:sz w:val="24"/>
        </w:rPr>
        <w:t xml:space="preserve"> </w:t>
      </w:r>
      <w:r>
        <w:rPr>
          <w:color w:val="1F1F1F"/>
          <w:sz w:val="24"/>
        </w:rPr>
        <w:t>20</w:t>
      </w:r>
      <w:r>
        <w:rPr>
          <w:color w:val="1F1F1F"/>
          <w:spacing w:val="-7"/>
          <w:sz w:val="24"/>
        </w:rPr>
        <w:t xml:space="preserve"> </w:t>
      </w:r>
      <w:r>
        <w:rPr>
          <w:color w:val="1F1F1F"/>
          <w:sz w:val="24"/>
        </w:rPr>
        <w:t>mg/kg</w:t>
      </w:r>
      <w:r>
        <w:rPr>
          <w:color w:val="1F1F1F"/>
          <w:spacing w:val="-6"/>
          <w:sz w:val="24"/>
        </w:rPr>
        <w:t xml:space="preserve"> </w:t>
      </w:r>
      <w:r>
        <w:rPr>
          <w:color w:val="1F1F1F"/>
          <w:sz w:val="24"/>
        </w:rPr>
        <w:t>+</w:t>
      </w:r>
      <w:r>
        <w:rPr>
          <w:color w:val="1F1F1F"/>
          <w:spacing w:val="-5"/>
          <w:sz w:val="24"/>
        </w:rPr>
        <w:t xml:space="preserve"> </w:t>
      </w:r>
      <w:r>
        <w:rPr>
          <w:color w:val="1F1F1F"/>
          <w:sz w:val="24"/>
        </w:rPr>
        <w:t>Haloperidol:</w:t>
      </w:r>
      <w:r>
        <w:rPr>
          <w:color w:val="1F1F1F"/>
          <w:spacing w:val="-6"/>
          <w:sz w:val="24"/>
        </w:rPr>
        <w:t xml:space="preserve"> </w:t>
      </w:r>
      <w:r>
        <w:rPr>
          <w:color w:val="1F1F1F"/>
          <w:sz w:val="24"/>
        </w:rPr>
        <w:t>p</w:t>
      </w:r>
      <w:r>
        <w:rPr>
          <w:color w:val="1F1F1F"/>
          <w:spacing w:val="-6"/>
          <w:sz w:val="24"/>
        </w:rPr>
        <w:t xml:space="preserve"> </w:t>
      </w:r>
      <w:r>
        <w:rPr>
          <w:color w:val="1F1F1F"/>
          <w:sz w:val="24"/>
        </w:rPr>
        <w:t>=</w:t>
      </w:r>
      <w:r>
        <w:rPr>
          <w:color w:val="1F1F1F"/>
          <w:spacing w:val="-8"/>
          <w:sz w:val="24"/>
        </w:rPr>
        <w:t xml:space="preserve"> </w:t>
      </w:r>
      <w:r>
        <w:rPr>
          <w:color w:val="1F1F1F"/>
          <w:sz w:val="24"/>
        </w:rPr>
        <w:t>0.999</w:t>
      </w:r>
      <w:r>
        <w:rPr>
          <w:color w:val="1F1F1F"/>
          <w:spacing w:val="-6"/>
          <w:sz w:val="24"/>
        </w:rPr>
        <w:t xml:space="preserve"> </w:t>
      </w:r>
      <w:r>
        <w:rPr>
          <w:color w:val="1F1F1F"/>
          <w:sz w:val="24"/>
        </w:rPr>
        <w:t>(not</w:t>
      </w:r>
      <w:r>
        <w:rPr>
          <w:color w:val="1F1F1F"/>
          <w:spacing w:val="-6"/>
          <w:sz w:val="24"/>
        </w:rPr>
        <w:t xml:space="preserve"> </w:t>
      </w:r>
      <w:r>
        <w:rPr>
          <w:color w:val="1F1F1F"/>
          <w:spacing w:val="-2"/>
          <w:sz w:val="24"/>
        </w:rPr>
        <w:t>significant)</w:t>
      </w:r>
    </w:p>
    <w:p w14:paraId="3FAA3268">
      <w:pPr>
        <w:pStyle w:val="6"/>
        <w:spacing w:before="5"/>
      </w:pPr>
    </w:p>
    <w:p w14:paraId="72E92500">
      <w:pPr>
        <w:pStyle w:val="3"/>
      </w:pPr>
      <w:r>
        <w:rPr>
          <w:color w:val="1F1F1F"/>
        </w:rPr>
        <w:t>Limb</w:t>
      </w:r>
      <w:r>
        <w:rPr>
          <w:color w:val="1F1F1F"/>
          <w:spacing w:val="-8"/>
        </w:rPr>
        <w:t xml:space="preserve"> </w:t>
      </w:r>
      <w:r>
        <w:rPr>
          <w:color w:val="1F1F1F"/>
        </w:rPr>
        <w:t>rigidity</w:t>
      </w:r>
      <w:r>
        <w:rPr>
          <w:color w:val="1F1F1F"/>
          <w:spacing w:val="-7"/>
        </w:rPr>
        <w:t xml:space="preserve"> </w:t>
      </w:r>
      <w:r>
        <w:rPr>
          <w:color w:val="1F1F1F"/>
          <w:spacing w:val="-2"/>
        </w:rPr>
        <w:t>score</w:t>
      </w:r>
    </w:p>
    <w:p w14:paraId="6F012A05">
      <w:pPr>
        <w:pStyle w:val="10"/>
        <w:numPr>
          <w:ilvl w:val="1"/>
          <w:numId w:val="5"/>
        </w:numPr>
        <w:tabs>
          <w:tab w:val="left" w:pos="719"/>
        </w:tabs>
        <w:spacing w:before="271" w:after="0" w:line="240" w:lineRule="auto"/>
        <w:ind w:left="71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Haloperidol:</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4445AF97">
      <w:pPr>
        <w:pStyle w:val="10"/>
        <w:numPr>
          <w:ilvl w:val="1"/>
          <w:numId w:val="5"/>
        </w:numPr>
        <w:tabs>
          <w:tab w:val="left" w:pos="719"/>
        </w:tabs>
        <w:spacing w:before="0" w:after="0" w:line="240" w:lineRule="auto"/>
        <w:ind w:left="71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10</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1DB1E750">
      <w:pPr>
        <w:pStyle w:val="10"/>
        <w:numPr>
          <w:ilvl w:val="1"/>
          <w:numId w:val="5"/>
        </w:numPr>
        <w:tabs>
          <w:tab w:val="left" w:pos="719"/>
        </w:tabs>
        <w:spacing w:before="0" w:after="0" w:line="240" w:lineRule="auto"/>
        <w:ind w:left="71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15</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2DD2484B">
      <w:pPr>
        <w:pStyle w:val="10"/>
        <w:numPr>
          <w:ilvl w:val="1"/>
          <w:numId w:val="5"/>
        </w:numPr>
        <w:tabs>
          <w:tab w:val="left" w:pos="719"/>
        </w:tabs>
        <w:spacing w:before="0" w:after="0" w:line="240" w:lineRule="auto"/>
        <w:ind w:left="719" w:right="0" w:hanging="359"/>
        <w:jc w:val="left"/>
        <w:rPr>
          <w:sz w:val="24"/>
        </w:rPr>
      </w:pPr>
      <w:r>
        <w:rPr>
          <w:color w:val="1F1F1F"/>
          <w:sz w:val="24"/>
        </w:rPr>
        <w:t>Control</w:t>
      </w:r>
      <w:r>
        <w:rPr>
          <w:color w:val="1F1F1F"/>
          <w:spacing w:val="-7"/>
          <w:sz w:val="24"/>
        </w:rPr>
        <w:t xml:space="preserve"> </w:t>
      </w:r>
      <w:r>
        <w:rPr>
          <w:color w:val="1F1F1F"/>
          <w:sz w:val="24"/>
        </w:rPr>
        <w:t>vs.</w:t>
      </w:r>
      <w:r>
        <w:rPr>
          <w:color w:val="1F1F1F"/>
          <w:spacing w:val="-6"/>
          <w:sz w:val="24"/>
        </w:rPr>
        <w:t xml:space="preserve"> </w:t>
      </w:r>
      <w:r>
        <w:rPr>
          <w:color w:val="1F1F1F"/>
          <w:sz w:val="24"/>
        </w:rPr>
        <w:t>Zonisamide</w:t>
      </w:r>
      <w:r>
        <w:rPr>
          <w:color w:val="1F1F1F"/>
          <w:spacing w:val="-6"/>
          <w:sz w:val="24"/>
        </w:rPr>
        <w:t xml:space="preserve"> </w:t>
      </w:r>
      <w:r>
        <w:rPr>
          <w:color w:val="1F1F1F"/>
          <w:sz w:val="24"/>
        </w:rPr>
        <w:t>20</w:t>
      </w:r>
      <w:r>
        <w:rPr>
          <w:color w:val="1F1F1F"/>
          <w:spacing w:val="-6"/>
          <w:sz w:val="24"/>
        </w:rPr>
        <w:t xml:space="preserve"> </w:t>
      </w:r>
      <w:r>
        <w:rPr>
          <w:color w:val="1F1F1F"/>
          <w:sz w:val="24"/>
        </w:rPr>
        <w:t>mg/kg</w:t>
      </w:r>
      <w:r>
        <w:rPr>
          <w:color w:val="1F1F1F"/>
          <w:spacing w:val="-8"/>
          <w:sz w:val="24"/>
        </w:rPr>
        <w:t xml:space="preserve"> </w:t>
      </w:r>
      <w:r>
        <w:rPr>
          <w:color w:val="1F1F1F"/>
          <w:sz w:val="24"/>
        </w:rPr>
        <w:t>+</w:t>
      </w:r>
      <w:r>
        <w:rPr>
          <w:color w:val="1F1F1F"/>
          <w:spacing w:val="-7"/>
          <w:sz w:val="24"/>
        </w:rPr>
        <w:t xml:space="preserve"> </w:t>
      </w:r>
      <w:r>
        <w:rPr>
          <w:color w:val="1F1F1F"/>
          <w:sz w:val="24"/>
        </w:rPr>
        <w:t>Haloperidol:</w:t>
      </w:r>
      <w:r>
        <w:rPr>
          <w:color w:val="1F1F1F"/>
          <w:spacing w:val="-3"/>
          <w:sz w:val="24"/>
        </w:rPr>
        <w:t xml:space="preserve"> </w:t>
      </w:r>
      <w:r>
        <w:rPr>
          <w:color w:val="1F1F1F"/>
          <w:sz w:val="24"/>
        </w:rPr>
        <w:t>p</w:t>
      </w:r>
      <w:r>
        <w:rPr>
          <w:color w:val="1F1F1F"/>
          <w:spacing w:val="-6"/>
          <w:sz w:val="24"/>
        </w:rPr>
        <w:t xml:space="preserve"> </w:t>
      </w:r>
      <w:r>
        <w:rPr>
          <w:color w:val="1F1F1F"/>
          <w:sz w:val="24"/>
        </w:rPr>
        <w:t>&lt;</w:t>
      </w:r>
      <w:r>
        <w:rPr>
          <w:color w:val="1F1F1F"/>
          <w:spacing w:val="-7"/>
          <w:sz w:val="24"/>
        </w:rPr>
        <w:t xml:space="preserve"> </w:t>
      </w:r>
      <w:r>
        <w:rPr>
          <w:color w:val="1F1F1F"/>
          <w:spacing w:val="-2"/>
          <w:sz w:val="24"/>
        </w:rPr>
        <w:t>0.001</w:t>
      </w:r>
    </w:p>
    <w:p w14:paraId="7D8A2274">
      <w:pPr>
        <w:pStyle w:val="10"/>
        <w:numPr>
          <w:ilvl w:val="1"/>
          <w:numId w:val="5"/>
        </w:numPr>
        <w:tabs>
          <w:tab w:val="left" w:pos="719"/>
        </w:tabs>
        <w:spacing w:before="0" w:after="0" w:line="240" w:lineRule="auto"/>
        <w:ind w:left="719" w:right="0" w:hanging="359"/>
        <w:jc w:val="left"/>
        <w:rPr>
          <w:sz w:val="24"/>
        </w:rPr>
      </w:pPr>
      <w:r>
        <w:rPr>
          <w:color w:val="1F1F1F"/>
          <w:sz w:val="24"/>
        </w:rPr>
        <w:t>Haloperidol</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8"/>
          <w:sz w:val="24"/>
        </w:rPr>
        <w:t xml:space="preserve"> </w:t>
      </w:r>
      <w:r>
        <w:rPr>
          <w:color w:val="1F1F1F"/>
          <w:sz w:val="24"/>
        </w:rPr>
        <w:t>10</w:t>
      </w:r>
      <w:r>
        <w:rPr>
          <w:color w:val="1F1F1F"/>
          <w:spacing w:val="-7"/>
          <w:sz w:val="24"/>
        </w:rPr>
        <w:t xml:space="preserve"> </w:t>
      </w:r>
      <w:r>
        <w:rPr>
          <w:color w:val="1F1F1F"/>
          <w:sz w:val="24"/>
        </w:rPr>
        <w:t>mg/kg:</w:t>
      </w:r>
      <w:r>
        <w:rPr>
          <w:color w:val="1F1F1F"/>
          <w:spacing w:val="-7"/>
          <w:sz w:val="24"/>
        </w:rPr>
        <w:t xml:space="preserve"> </w:t>
      </w:r>
      <w:r>
        <w:rPr>
          <w:color w:val="1F1F1F"/>
          <w:sz w:val="24"/>
        </w:rPr>
        <w:t>p</w:t>
      </w:r>
      <w:r>
        <w:rPr>
          <w:color w:val="1F1F1F"/>
          <w:spacing w:val="-8"/>
          <w:sz w:val="24"/>
        </w:rPr>
        <w:t xml:space="preserve"> </w:t>
      </w:r>
      <w:r>
        <w:rPr>
          <w:color w:val="1F1F1F"/>
          <w:sz w:val="24"/>
        </w:rPr>
        <w:t>=</w:t>
      </w:r>
      <w:r>
        <w:rPr>
          <w:color w:val="1F1F1F"/>
          <w:spacing w:val="-8"/>
          <w:sz w:val="24"/>
        </w:rPr>
        <w:t xml:space="preserve"> </w:t>
      </w:r>
      <w:r>
        <w:rPr>
          <w:color w:val="1F1F1F"/>
          <w:spacing w:val="-2"/>
          <w:sz w:val="24"/>
        </w:rPr>
        <w:t>0.008</w:t>
      </w:r>
    </w:p>
    <w:p w14:paraId="07B48FCC">
      <w:pPr>
        <w:pStyle w:val="10"/>
        <w:numPr>
          <w:ilvl w:val="1"/>
          <w:numId w:val="5"/>
        </w:numPr>
        <w:tabs>
          <w:tab w:val="left" w:pos="719"/>
        </w:tabs>
        <w:spacing w:before="0" w:after="0" w:line="240" w:lineRule="auto"/>
        <w:ind w:left="719" w:right="0" w:hanging="359"/>
        <w:jc w:val="left"/>
        <w:rPr>
          <w:sz w:val="24"/>
        </w:rPr>
      </w:pPr>
      <w:r>
        <w:rPr>
          <w:color w:val="1F1F1F"/>
          <w:sz w:val="24"/>
        </w:rPr>
        <w:t>Haloperidol</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8"/>
          <w:sz w:val="24"/>
        </w:rPr>
        <w:t xml:space="preserve"> </w:t>
      </w:r>
      <w:r>
        <w:rPr>
          <w:color w:val="1F1F1F"/>
          <w:sz w:val="24"/>
        </w:rPr>
        <w:t>15</w:t>
      </w:r>
      <w:r>
        <w:rPr>
          <w:color w:val="1F1F1F"/>
          <w:spacing w:val="-7"/>
          <w:sz w:val="24"/>
        </w:rPr>
        <w:t xml:space="preserve"> </w:t>
      </w:r>
      <w:r>
        <w:rPr>
          <w:color w:val="1F1F1F"/>
          <w:sz w:val="24"/>
        </w:rPr>
        <w:t>mg/kg:</w:t>
      </w:r>
      <w:r>
        <w:rPr>
          <w:color w:val="1F1F1F"/>
          <w:spacing w:val="-7"/>
          <w:sz w:val="24"/>
        </w:rPr>
        <w:t xml:space="preserve"> </w:t>
      </w:r>
      <w:r>
        <w:rPr>
          <w:color w:val="1F1F1F"/>
          <w:sz w:val="24"/>
        </w:rPr>
        <w:t>p</w:t>
      </w:r>
      <w:r>
        <w:rPr>
          <w:color w:val="1F1F1F"/>
          <w:spacing w:val="-8"/>
          <w:sz w:val="24"/>
        </w:rPr>
        <w:t xml:space="preserve"> </w:t>
      </w:r>
      <w:r>
        <w:rPr>
          <w:color w:val="1F1F1F"/>
          <w:sz w:val="24"/>
        </w:rPr>
        <w:t>&lt;</w:t>
      </w:r>
      <w:r>
        <w:rPr>
          <w:color w:val="1F1F1F"/>
          <w:spacing w:val="-8"/>
          <w:sz w:val="24"/>
        </w:rPr>
        <w:t xml:space="preserve"> </w:t>
      </w:r>
      <w:r>
        <w:rPr>
          <w:color w:val="1F1F1F"/>
          <w:spacing w:val="-2"/>
          <w:sz w:val="24"/>
        </w:rPr>
        <w:t>0.001</w:t>
      </w:r>
    </w:p>
    <w:p w14:paraId="6EB25686">
      <w:pPr>
        <w:pStyle w:val="10"/>
        <w:numPr>
          <w:ilvl w:val="1"/>
          <w:numId w:val="5"/>
        </w:numPr>
        <w:tabs>
          <w:tab w:val="left" w:pos="719"/>
        </w:tabs>
        <w:spacing w:before="0" w:after="0" w:line="240" w:lineRule="auto"/>
        <w:ind w:left="719" w:right="0" w:hanging="359"/>
        <w:jc w:val="left"/>
        <w:rPr>
          <w:sz w:val="24"/>
        </w:rPr>
      </w:pPr>
      <w:r>
        <w:rPr>
          <w:color w:val="1F1F1F"/>
          <w:sz w:val="24"/>
        </w:rPr>
        <w:t>Haloperidol</w:t>
      </w:r>
      <w:r>
        <w:rPr>
          <w:color w:val="1F1F1F"/>
          <w:spacing w:val="-7"/>
          <w:sz w:val="24"/>
        </w:rPr>
        <w:t xml:space="preserve"> </w:t>
      </w:r>
      <w:r>
        <w:rPr>
          <w:color w:val="1F1F1F"/>
          <w:sz w:val="24"/>
        </w:rPr>
        <w:t>vs.</w:t>
      </w:r>
      <w:r>
        <w:rPr>
          <w:color w:val="1F1F1F"/>
          <w:spacing w:val="-5"/>
          <w:sz w:val="24"/>
        </w:rPr>
        <w:t xml:space="preserve"> </w:t>
      </w:r>
      <w:r>
        <w:rPr>
          <w:color w:val="1F1F1F"/>
          <w:sz w:val="24"/>
        </w:rPr>
        <w:t>Zonisamide</w:t>
      </w:r>
      <w:r>
        <w:rPr>
          <w:color w:val="1F1F1F"/>
          <w:spacing w:val="-7"/>
          <w:sz w:val="24"/>
        </w:rPr>
        <w:t xml:space="preserve"> </w:t>
      </w:r>
      <w:r>
        <w:rPr>
          <w:color w:val="1F1F1F"/>
          <w:sz w:val="24"/>
        </w:rPr>
        <w:t>20</w:t>
      </w:r>
      <w:r>
        <w:rPr>
          <w:color w:val="1F1F1F"/>
          <w:spacing w:val="-7"/>
          <w:sz w:val="24"/>
        </w:rPr>
        <w:t xml:space="preserve"> </w:t>
      </w:r>
      <w:r>
        <w:rPr>
          <w:color w:val="1F1F1F"/>
          <w:sz w:val="24"/>
        </w:rPr>
        <w:t>mg/kg</w:t>
      </w:r>
      <w:r>
        <w:rPr>
          <w:color w:val="1F1F1F"/>
          <w:spacing w:val="-8"/>
          <w:sz w:val="24"/>
        </w:rPr>
        <w:t xml:space="preserve"> </w:t>
      </w:r>
      <w:r>
        <w:rPr>
          <w:color w:val="1F1F1F"/>
          <w:sz w:val="24"/>
        </w:rPr>
        <w:t>+</w:t>
      </w:r>
      <w:r>
        <w:rPr>
          <w:color w:val="1F1F1F"/>
          <w:spacing w:val="-6"/>
          <w:sz w:val="24"/>
        </w:rPr>
        <w:t xml:space="preserve"> </w:t>
      </w:r>
      <w:r>
        <w:rPr>
          <w:color w:val="1F1F1F"/>
          <w:sz w:val="24"/>
        </w:rPr>
        <w:t>Haloperidol:</w:t>
      </w:r>
      <w:r>
        <w:rPr>
          <w:color w:val="1F1F1F"/>
          <w:spacing w:val="-6"/>
          <w:sz w:val="24"/>
        </w:rPr>
        <w:t xml:space="preserve"> </w:t>
      </w:r>
      <w:r>
        <w:rPr>
          <w:color w:val="1F1F1F"/>
          <w:sz w:val="24"/>
        </w:rPr>
        <w:t>p</w:t>
      </w:r>
      <w:r>
        <w:rPr>
          <w:color w:val="1F1F1F"/>
          <w:spacing w:val="-7"/>
          <w:sz w:val="24"/>
        </w:rPr>
        <w:t xml:space="preserve"> </w:t>
      </w:r>
      <w:r>
        <w:rPr>
          <w:color w:val="1F1F1F"/>
          <w:sz w:val="24"/>
        </w:rPr>
        <w:t>=</w:t>
      </w:r>
      <w:r>
        <w:rPr>
          <w:color w:val="1F1F1F"/>
          <w:spacing w:val="-6"/>
          <w:sz w:val="24"/>
        </w:rPr>
        <w:t xml:space="preserve"> </w:t>
      </w:r>
      <w:r>
        <w:rPr>
          <w:color w:val="1F1F1F"/>
          <w:spacing w:val="-2"/>
          <w:sz w:val="24"/>
        </w:rPr>
        <w:t>0.003</w:t>
      </w:r>
    </w:p>
    <w:p w14:paraId="1FD9A1D8">
      <w:pPr>
        <w:pStyle w:val="10"/>
        <w:numPr>
          <w:ilvl w:val="1"/>
          <w:numId w:val="5"/>
        </w:numPr>
        <w:tabs>
          <w:tab w:val="left" w:pos="719"/>
        </w:tabs>
        <w:spacing w:before="0" w:after="0" w:line="240" w:lineRule="auto"/>
        <w:ind w:left="719" w:right="0" w:hanging="359"/>
        <w:jc w:val="left"/>
        <w:rPr>
          <w:sz w:val="24"/>
        </w:rPr>
      </w:pPr>
      <w:r>
        <w:rPr>
          <w:color w:val="1F1F1F"/>
          <w:sz w:val="24"/>
        </w:rPr>
        <w:t>Zonisamide</w:t>
      </w:r>
      <w:r>
        <w:rPr>
          <w:color w:val="1F1F1F"/>
          <w:spacing w:val="-8"/>
          <w:sz w:val="24"/>
        </w:rPr>
        <w:t xml:space="preserve"> </w:t>
      </w:r>
      <w:r>
        <w:rPr>
          <w:color w:val="1F1F1F"/>
          <w:sz w:val="24"/>
        </w:rPr>
        <w:t>10</w:t>
      </w:r>
      <w:r>
        <w:rPr>
          <w:color w:val="1F1F1F"/>
          <w:spacing w:val="-6"/>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6"/>
          <w:sz w:val="24"/>
        </w:rPr>
        <w:t xml:space="preserve"> </w:t>
      </w:r>
      <w:r>
        <w:rPr>
          <w:color w:val="1F1F1F"/>
          <w:sz w:val="24"/>
        </w:rPr>
        <w:t>15</w:t>
      </w:r>
      <w:r>
        <w:rPr>
          <w:color w:val="1F1F1F"/>
          <w:spacing w:val="-6"/>
          <w:sz w:val="24"/>
        </w:rPr>
        <w:t xml:space="preserve"> </w:t>
      </w:r>
      <w:r>
        <w:rPr>
          <w:color w:val="1F1F1F"/>
          <w:sz w:val="24"/>
        </w:rPr>
        <w:t>mg/kg:</w:t>
      </w:r>
      <w:r>
        <w:rPr>
          <w:color w:val="1F1F1F"/>
          <w:spacing w:val="-6"/>
          <w:sz w:val="24"/>
        </w:rPr>
        <w:t xml:space="preserve"> </w:t>
      </w:r>
      <w:r>
        <w:rPr>
          <w:color w:val="1F1F1F"/>
          <w:sz w:val="24"/>
        </w:rPr>
        <w:t>p</w:t>
      </w:r>
      <w:r>
        <w:rPr>
          <w:color w:val="1F1F1F"/>
          <w:spacing w:val="-3"/>
          <w:sz w:val="24"/>
        </w:rPr>
        <w:t xml:space="preserve"> </w:t>
      </w:r>
      <w:r>
        <w:rPr>
          <w:color w:val="1F1F1F"/>
          <w:sz w:val="24"/>
        </w:rPr>
        <w:t>=</w:t>
      </w:r>
      <w:r>
        <w:rPr>
          <w:color w:val="1F1F1F"/>
          <w:spacing w:val="-7"/>
          <w:sz w:val="24"/>
        </w:rPr>
        <w:t xml:space="preserve"> </w:t>
      </w:r>
      <w:r>
        <w:rPr>
          <w:color w:val="1F1F1F"/>
          <w:spacing w:val="-2"/>
          <w:sz w:val="24"/>
        </w:rPr>
        <w:t>0.010</w:t>
      </w:r>
    </w:p>
    <w:p w14:paraId="0B4A11C1">
      <w:pPr>
        <w:pStyle w:val="10"/>
        <w:numPr>
          <w:ilvl w:val="1"/>
          <w:numId w:val="5"/>
        </w:numPr>
        <w:tabs>
          <w:tab w:val="left" w:pos="719"/>
        </w:tabs>
        <w:spacing w:before="0" w:after="0" w:line="240" w:lineRule="auto"/>
        <w:ind w:left="719" w:right="0" w:hanging="359"/>
        <w:jc w:val="left"/>
        <w:rPr>
          <w:sz w:val="24"/>
        </w:rPr>
      </w:pPr>
      <w:r>
        <w:rPr>
          <w:color w:val="1F1F1F"/>
          <w:sz w:val="24"/>
        </w:rPr>
        <w:t>Zonisamide</w:t>
      </w:r>
      <w:r>
        <w:rPr>
          <w:color w:val="1F1F1F"/>
          <w:spacing w:val="-9"/>
          <w:sz w:val="24"/>
        </w:rPr>
        <w:t xml:space="preserve"> </w:t>
      </w:r>
      <w:r>
        <w:rPr>
          <w:color w:val="1F1F1F"/>
          <w:sz w:val="24"/>
        </w:rPr>
        <w:t>10</w:t>
      </w:r>
      <w:r>
        <w:rPr>
          <w:color w:val="1F1F1F"/>
          <w:spacing w:val="-7"/>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7"/>
          <w:sz w:val="24"/>
        </w:rPr>
        <w:t xml:space="preserve"> </w:t>
      </w:r>
      <w:r>
        <w:rPr>
          <w:color w:val="1F1F1F"/>
          <w:sz w:val="24"/>
        </w:rPr>
        <w:t>20</w:t>
      </w:r>
      <w:r>
        <w:rPr>
          <w:color w:val="1F1F1F"/>
          <w:spacing w:val="-6"/>
          <w:sz w:val="24"/>
        </w:rPr>
        <w:t xml:space="preserve"> </w:t>
      </w:r>
      <w:r>
        <w:rPr>
          <w:color w:val="1F1F1F"/>
          <w:sz w:val="24"/>
        </w:rPr>
        <w:t>mg/kg</w:t>
      </w:r>
      <w:r>
        <w:rPr>
          <w:color w:val="1F1F1F"/>
          <w:spacing w:val="-7"/>
          <w:sz w:val="24"/>
        </w:rPr>
        <w:t xml:space="preserve"> </w:t>
      </w:r>
      <w:r>
        <w:rPr>
          <w:color w:val="1F1F1F"/>
          <w:sz w:val="24"/>
        </w:rPr>
        <w:t>+</w:t>
      </w:r>
      <w:r>
        <w:rPr>
          <w:color w:val="1F1F1F"/>
          <w:spacing w:val="-5"/>
          <w:sz w:val="24"/>
        </w:rPr>
        <w:t xml:space="preserve"> </w:t>
      </w:r>
      <w:r>
        <w:rPr>
          <w:color w:val="1F1F1F"/>
          <w:sz w:val="24"/>
        </w:rPr>
        <w:t>Haloperidol:</w:t>
      </w:r>
      <w:r>
        <w:rPr>
          <w:color w:val="1F1F1F"/>
          <w:spacing w:val="-7"/>
          <w:sz w:val="24"/>
        </w:rPr>
        <w:t xml:space="preserve"> </w:t>
      </w:r>
      <w:r>
        <w:rPr>
          <w:color w:val="1F1F1F"/>
          <w:sz w:val="24"/>
        </w:rPr>
        <w:t>p</w:t>
      </w:r>
      <w:r>
        <w:rPr>
          <w:color w:val="1F1F1F"/>
          <w:spacing w:val="-6"/>
          <w:sz w:val="24"/>
        </w:rPr>
        <w:t xml:space="preserve"> </w:t>
      </w:r>
      <w:r>
        <w:rPr>
          <w:color w:val="1F1F1F"/>
          <w:sz w:val="24"/>
        </w:rPr>
        <w:t>=</w:t>
      </w:r>
      <w:r>
        <w:rPr>
          <w:color w:val="1F1F1F"/>
          <w:spacing w:val="-8"/>
          <w:sz w:val="24"/>
        </w:rPr>
        <w:t xml:space="preserve"> </w:t>
      </w:r>
      <w:r>
        <w:rPr>
          <w:color w:val="1F1F1F"/>
          <w:spacing w:val="-2"/>
          <w:sz w:val="24"/>
        </w:rPr>
        <w:t>0.001</w:t>
      </w:r>
    </w:p>
    <w:p w14:paraId="17A27158">
      <w:pPr>
        <w:pStyle w:val="10"/>
        <w:numPr>
          <w:ilvl w:val="1"/>
          <w:numId w:val="5"/>
        </w:numPr>
        <w:tabs>
          <w:tab w:val="left" w:pos="719"/>
        </w:tabs>
        <w:spacing w:before="0" w:after="0" w:line="240" w:lineRule="auto"/>
        <w:ind w:left="719" w:right="0" w:hanging="359"/>
        <w:jc w:val="left"/>
        <w:rPr>
          <w:sz w:val="24"/>
        </w:rPr>
      </w:pPr>
      <w:r>
        <w:rPr>
          <w:color w:val="1F1F1F"/>
          <w:sz w:val="24"/>
        </w:rPr>
        <w:t>Zonisamide</w:t>
      </w:r>
      <w:r>
        <w:rPr>
          <w:color w:val="1F1F1F"/>
          <w:spacing w:val="-9"/>
          <w:sz w:val="24"/>
        </w:rPr>
        <w:t xml:space="preserve"> </w:t>
      </w:r>
      <w:r>
        <w:rPr>
          <w:color w:val="1F1F1F"/>
          <w:sz w:val="24"/>
        </w:rPr>
        <w:t>15</w:t>
      </w:r>
      <w:r>
        <w:rPr>
          <w:color w:val="1F1F1F"/>
          <w:spacing w:val="-6"/>
          <w:sz w:val="24"/>
        </w:rPr>
        <w:t xml:space="preserve"> </w:t>
      </w:r>
      <w:r>
        <w:rPr>
          <w:color w:val="1F1F1F"/>
          <w:sz w:val="24"/>
        </w:rPr>
        <w:t>mg/kg</w:t>
      </w:r>
      <w:r>
        <w:rPr>
          <w:color w:val="1F1F1F"/>
          <w:spacing w:val="-8"/>
          <w:sz w:val="24"/>
        </w:rPr>
        <w:t xml:space="preserve"> </w:t>
      </w:r>
      <w:r>
        <w:rPr>
          <w:color w:val="1F1F1F"/>
          <w:sz w:val="24"/>
        </w:rPr>
        <w:t>vs.</w:t>
      </w:r>
      <w:r>
        <w:rPr>
          <w:color w:val="1F1F1F"/>
          <w:spacing w:val="-4"/>
          <w:sz w:val="24"/>
        </w:rPr>
        <w:t xml:space="preserve"> </w:t>
      </w:r>
      <w:r>
        <w:rPr>
          <w:color w:val="1F1F1F"/>
          <w:sz w:val="24"/>
        </w:rPr>
        <w:t>Zonisamide</w:t>
      </w:r>
      <w:r>
        <w:rPr>
          <w:color w:val="1F1F1F"/>
          <w:spacing w:val="-6"/>
          <w:sz w:val="24"/>
        </w:rPr>
        <w:t xml:space="preserve"> </w:t>
      </w:r>
      <w:r>
        <w:rPr>
          <w:color w:val="1F1F1F"/>
          <w:sz w:val="24"/>
        </w:rPr>
        <w:t>20</w:t>
      </w:r>
      <w:r>
        <w:rPr>
          <w:color w:val="1F1F1F"/>
          <w:spacing w:val="-7"/>
          <w:sz w:val="24"/>
        </w:rPr>
        <w:t xml:space="preserve"> </w:t>
      </w:r>
      <w:r>
        <w:rPr>
          <w:color w:val="1F1F1F"/>
          <w:sz w:val="24"/>
        </w:rPr>
        <w:t>mg/kg</w:t>
      </w:r>
      <w:r>
        <w:rPr>
          <w:color w:val="1F1F1F"/>
          <w:spacing w:val="-6"/>
          <w:sz w:val="24"/>
        </w:rPr>
        <w:t xml:space="preserve"> </w:t>
      </w:r>
      <w:r>
        <w:rPr>
          <w:color w:val="1F1F1F"/>
          <w:sz w:val="24"/>
        </w:rPr>
        <w:t>+</w:t>
      </w:r>
      <w:r>
        <w:rPr>
          <w:color w:val="1F1F1F"/>
          <w:spacing w:val="-5"/>
          <w:sz w:val="24"/>
        </w:rPr>
        <w:t xml:space="preserve"> </w:t>
      </w:r>
      <w:r>
        <w:rPr>
          <w:color w:val="1F1F1F"/>
          <w:sz w:val="24"/>
        </w:rPr>
        <w:t>Haloperidol:</w:t>
      </w:r>
      <w:r>
        <w:rPr>
          <w:color w:val="1F1F1F"/>
          <w:spacing w:val="-6"/>
          <w:sz w:val="24"/>
        </w:rPr>
        <w:t xml:space="preserve"> </w:t>
      </w:r>
      <w:r>
        <w:rPr>
          <w:color w:val="1F1F1F"/>
          <w:sz w:val="24"/>
        </w:rPr>
        <w:t>p</w:t>
      </w:r>
      <w:r>
        <w:rPr>
          <w:color w:val="1F1F1F"/>
          <w:spacing w:val="-6"/>
          <w:sz w:val="24"/>
        </w:rPr>
        <w:t xml:space="preserve"> </w:t>
      </w:r>
      <w:r>
        <w:rPr>
          <w:color w:val="1F1F1F"/>
          <w:sz w:val="24"/>
        </w:rPr>
        <w:t>=</w:t>
      </w:r>
      <w:r>
        <w:rPr>
          <w:color w:val="1F1F1F"/>
          <w:spacing w:val="-8"/>
          <w:sz w:val="24"/>
        </w:rPr>
        <w:t xml:space="preserve"> </w:t>
      </w:r>
      <w:r>
        <w:rPr>
          <w:color w:val="1F1F1F"/>
          <w:sz w:val="24"/>
        </w:rPr>
        <w:t>0.994</w:t>
      </w:r>
      <w:r>
        <w:rPr>
          <w:color w:val="1F1F1F"/>
          <w:spacing w:val="-6"/>
          <w:sz w:val="24"/>
        </w:rPr>
        <w:t xml:space="preserve"> </w:t>
      </w:r>
      <w:r>
        <w:rPr>
          <w:color w:val="1F1F1F"/>
          <w:sz w:val="24"/>
        </w:rPr>
        <w:t>(not</w:t>
      </w:r>
      <w:r>
        <w:rPr>
          <w:color w:val="1F1F1F"/>
          <w:spacing w:val="-6"/>
          <w:sz w:val="24"/>
        </w:rPr>
        <w:t xml:space="preserve"> </w:t>
      </w:r>
      <w:r>
        <w:rPr>
          <w:color w:val="1F1F1F"/>
          <w:spacing w:val="-2"/>
          <w:sz w:val="24"/>
        </w:rPr>
        <w:t>significant)</w:t>
      </w:r>
    </w:p>
    <w:p w14:paraId="148477A2">
      <w:pPr>
        <w:pStyle w:val="3"/>
        <w:spacing w:before="245"/>
      </w:pPr>
      <w:r>
        <w:rPr>
          <w:color w:val="1F1F1F"/>
        </w:rPr>
        <w:t>Interpreting</w:t>
      </w:r>
      <w:r>
        <w:rPr>
          <w:color w:val="1F1F1F"/>
          <w:spacing w:val="-11"/>
        </w:rPr>
        <w:t xml:space="preserve"> </w:t>
      </w:r>
      <w:r>
        <w:rPr>
          <w:color w:val="1F1F1F"/>
        </w:rPr>
        <w:t>the</w:t>
      </w:r>
      <w:r>
        <w:rPr>
          <w:color w:val="1F1F1F"/>
          <w:spacing w:val="-12"/>
        </w:rPr>
        <w:t xml:space="preserve"> </w:t>
      </w:r>
      <w:r>
        <w:rPr>
          <w:color w:val="1F1F1F"/>
          <w:spacing w:val="-2"/>
        </w:rPr>
        <w:t>Effects</w:t>
      </w:r>
    </w:p>
    <w:p w14:paraId="5679BE6B">
      <w:pPr>
        <w:pStyle w:val="6"/>
        <w:rPr>
          <w:b/>
        </w:rPr>
      </w:pPr>
    </w:p>
    <w:p w14:paraId="64848D01">
      <w:pPr>
        <w:pStyle w:val="10"/>
        <w:numPr>
          <w:ilvl w:val="0"/>
          <w:numId w:val="5"/>
        </w:numPr>
        <w:tabs>
          <w:tab w:val="left" w:pos="360"/>
        </w:tabs>
        <w:spacing w:before="0" w:after="0" w:line="240" w:lineRule="auto"/>
        <w:ind w:left="360" w:right="368" w:hanging="360"/>
        <w:jc w:val="both"/>
        <w:rPr>
          <w:sz w:val="24"/>
        </w:rPr>
      </w:pPr>
      <w:r>
        <w:rPr>
          <w:color w:val="1F1F1F"/>
          <w:sz w:val="24"/>
        </w:rPr>
        <w:t>Bar test latency: Lower values indicate longer times to fall, suggesting reduced cataleptic behavior. Zonisamide-treated groups (particularly 15 and 20 mg/kg) show higher latencies compared to the haloperidol-only group, suggesting zonisamide might attenuate catalepsy.</w:t>
      </w:r>
    </w:p>
    <w:p w14:paraId="66A15B33">
      <w:pPr>
        <w:pStyle w:val="10"/>
        <w:numPr>
          <w:ilvl w:val="0"/>
          <w:numId w:val="5"/>
        </w:numPr>
        <w:tabs>
          <w:tab w:val="left" w:pos="360"/>
        </w:tabs>
        <w:spacing w:before="101" w:after="0" w:line="240" w:lineRule="auto"/>
        <w:ind w:left="360" w:right="367" w:hanging="360"/>
        <w:jc w:val="both"/>
        <w:rPr>
          <w:sz w:val="24"/>
        </w:rPr>
      </w:pPr>
      <w:r>
        <w:rPr>
          <w:color w:val="1F1F1F"/>
          <w:sz w:val="24"/>
        </w:rPr>
        <w:t>Limb rigidity score:</w:t>
      </w:r>
      <w:r>
        <w:rPr>
          <w:color w:val="1F1F1F"/>
          <w:spacing w:val="-3"/>
          <w:sz w:val="24"/>
        </w:rPr>
        <w:t xml:space="preserve"> </w:t>
      </w:r>
      <w:r>
        <w:rPr>
          <w:color w:val="1F1F1F"/>
          <w:sz w:val="24"/>
        </w:rPr>
        <w:t xml:space="preserve">Lower scores indicate less muscle rigidity. Zonisamide groups show lower scores compared to the haloperidol-only group, further supporting its potential anti-cataleptic </w:t>
      </w:r>
      <w:r>
        <w:rPr>
          <w:color w:val="1F1F1F"/>
          <w:spacing w:val="-2"/>
          <w:sz w:val="24"/>
        </w:rPr>
        <w:t>effect.</w:t>
      </w:r>
    </w:p>
    <w:p w14:paraId="0849D3DE">
      <w:pPr>
        <w:pStyle w:val="10"/>
        <w:numPr>
          <w:ilvl w:val="0"/>
          <w:numId w:val="5"/>
        </w:numPr>
        <w:tabs>
          <w:tab w:val="left" w:pos="360"/>
        </w:tabs>
        <w:spacing w:before="98" w:after="0" w:line="240" w:lineRule="auto"/>
        <w:ind w:left="360" w:right="371" w:hanging="360"/>
        <w:jc w:val="both"/>
        <w:rPr>
          <w:sz w:val="24"/>
        </w:rPr>
      </w:pPr>
      <w:r>
        <w:rPr>
          <w:color w:val="1F1F1F"/>
          <w:sz w:val="24"/>
        </w:rPr>
        <w:t>GABA levels:</w:t>
      </w:r>
      <w:r>
        <w:rPr>
          <w:color w:val="1F1F1F"/>
          <w:spacing w:val="-2"/>
          <w:sz w:val="24"/>
        </w:rPr>
        <w:t xml:space="preserve"> </w:t>
      </w:r>
      <w:r>
        <w:rPr>
          <w:color w:val="1F1F1F"/>
          <w:sz w:val="24"/>
        </w:rPr>
        <w:t>Higher levels suggest increased GABAergic inhibition. Zonisamide groups show slightly higher GABA levels compared to the haloperidol-only group, potentially contributing to its anti-cataleptic effect by counteracting dopamine-driven excitation.</w:t>
      </w:r>
    </w:p>
    <w:p w14:paraId="38A35929">
      <w:pPr>
        <w:pStyle w:val="10"/>
        <w:numPr>
          <w:ilvl w:val="0"/>
          <w:numId w:val="5"/>
        </w:numPr>
        <w:tabs>
          <w:tab w:val="left" w:pos="360"/>
        </w:tabs>
        <w:spacing w:before="101" w:after="0" w:line="240" w:lineRule="auto"/>
        <w:ind w:left="360" w:right="367" w:hanging="360"/>
        <w:jc w:val="both"/>
        <w:rPr>
          <w:sz w:val="24"/>
        </w:rPr>
      </w:pPr>
      <w:r>
        <w:rPr>
          <w:color w:val="1F1F1F"/>
          <w:sz w:val="24"/>
        </w:rPr>
        <w:t>Glutamate levels:</w:t>
      </w:r>
      <w:r>
        <w:rPr>
          <w:color w:val="1F1F1F"/>
          <w:spacing w:val="-2"/>
          <w:sz w:val="24"/>
        </w:rPr>
        <w:t xml:space="preserve"> </w:t>
      </w:r>
      <w:r>
        <w:rPr>
          <w:color w:val="1F1F1F"/>
          <w:sz w:val="24"/>
        </w:rPr>
        <w:t>Lower levels suggest reduced glutamatergic excitation. Zonisamide groups show</w:t>
      </w:r>
      <w:r>
        <w:rPr>
          <w:color w:val="1F1F1F"/>
          <w:spacing w:val="-2"/>
          <w:sz w:val="24"/>
        </w:rPr>
        <w:t xml:space="preserve"> </w:t>
      </w:r>
      <w:r>
        <w:rPr>
          <w:color w:val="1F1F1F"/>
          <w:sz w:val="24"/>
        </w:rPr>
        <w:t>slightly</w:t>
      </w:r>
      <w:r>
        <w:rPr>
          <w:color w:val="1F1F1F"/>
          <w:spacing w:val="-9"/>
          <w:sz w:val="24"/>
        </w:rPr>
        <w:t xml:space="preserve"> </w:t>
      </w:r>
      <w:r>
        <w:rPr>
          <w:color w:val="1F1F1F"/>
          <w:sz w:val="24"/>
        </w:rPr>
        <w:t>lower</w:t>
      </w:r>
      <w:r>
        <w:rPr>
          <w:color w:val="1F1F1F"/>
          <w:spacing w:val="-2"/>
          <w:sz w:val="24"/>
        </w:rPr>
        <w:t xml:space="preserve"> </w:t>
      </w:r>
      <w:r>
        <w:rPr>
          <w:color w:val="1F1F1F"/>
          <w:sz w:val="24"/>
        </w:rPr>
        <w:t>glutamate</w:t>
      </w:r>
      <w:r>
        <w:rPr>
          <w:color w:val="1F1F1F"/>
          <w:spacing w:val="-2"/>
          <w:sz w:val="24"/>
        </w:rPr>
        <w:t xml:space="preserve"> </w:t>
      </w:r>
      <w:r>
        <w:rPr>
          <w:color w:val="1F1F1F"/>
          <w:sz w:val="24"/>
        </w:rPr>
        <w:t>levels</w:t>
      </w:r>
      <w:r>
        <w:rPr>
          <w:color w:val="1F1F1F"/>
          <w:spacing w:val="-2"/>
          <w:sz w:val="24"/>
        </w:rPr>
        <w:t xml:space="preserve"> </w:t>
      </w:r>
      <w:r>
        <w:rPr>
          <w:color w:val="1F1F1F"/>
          <w:sz w:val="24"/>
        </w:rPr>
        <w:t>compared</w:t>
      </w:r>
      <w:r>
        <w:rPr>
          <w:color w:val="1F1F1F"/>
          <w:spacing w:val="-2"/>
          <w:sz w:val="24"/>
        </w:rPr>
        <w:t xml:space="preserve"> </w:t>
      </w:r>
      <w:r>
        <w:rPr>
          <w:color w:val="1F1F1F"/>
          <w:sz w:val="24"/>
        </w:rPr>
        <w:t>to</w:t>
      </w:r>
      <w:r>
        <w:rPr>
          <w:color w:val="1F1F1F"/>
          <w:spacing w:val="-2"/>
          <w:sz w:val="24"/>
        </w:rPr>
        <w:t xml:space="preserve"> </w:t>
      </w:r>
      <w:r>
        <w:rPr>
          <w:color w:val="1F1F1F"/>
          <w:sz w:val="24"/>
        </w:rPr>
        <w:t>the</w:t>
      </w:r>
      <w:r>
        <w:rPr>
          <w:color w:val="1F1F1F"/>
          <w:spacing w:val="-2"/>
          <w:sz w:val="24"/>
        </w:rPr>
        <w:t xml:space="preserve"> </w:t>
      </w:r>
      <w:r>
        <w:rPr>
          <w:color w:val="1F1F1F"/>
          <w:sz w:val="24"/>
        </w:rPr>
        <w:t>haloperidol-only</w:t>
      </w:r>
      <w:r>
        <w:rPr>
          <w:color w:val="1F1F1F"/>
          <w:spacing w:val="-5"/>
          <w:sz w:val="24"/>
        </w:rPr>
        <w:t xml:space="preserve"> </w:t>
      </w:r>
      <w:r>
        <w:rPr>
          <w:color w:val="1F1F1F"/>
          <w:sz w:val="24"/>
        </w:rPr>
        <w:t>group,</w:t>
      </w:r>
      <w:r>
        <w:rPr>
          <w:color w:val="1F1F1F"/>
          <w:spacing w:val="-2"/>
          <w:sz w:val="24"/>
        </w:rPr>
        <w:t xml:space="preserve"> </w:t>
      </w:r>
      <w:r>
        <w:rPr>
          <w:color w:val="1F1F1F"/>
          <w:sz w:val="24"/>
        </w:rPr>
        <w:t>possibly</w:t>
      </w:r>
      <w:r>
        <w:rPr>
          <w:color w:val="1F1F1F"/>
          <w:spacing w:val="-7"/>
          <w:sz w:val="24"/>
        </w:rPr>
        <w:t xml:space="preserve"> </w:t>
      </w:r>
      <w:r>
        <w:rPr>
          <w:color w:val="1F1F1F"/>
          <w:sz w:val="24"/>
        </w:rPr>
        <w:t>indicating involvement in its anti-cataleptic action.</w:t>
      </w:r>
    </w:p>
    <w:p w14:paraId="340D214B">
      <w:pPr>
        <w:pStyle w:val="10"/>
        <w:spacing w:after="0" w:line="240" w:lineRule="auto"/>
        <w:jc w:val="both"/>
        <w:rPr>
          <w:sz w:val="24"/>
        </w:rPr>
        <w:sectPr>
          <w:pgSz w:w="12240" w:h="15840"/>
          <w:pgMar w:top="740" w:right="1080" w:bottom="1200" w:left="1080" w:header="0" w:footer="1006" w:gutter="0"/>
          <w:cols w:space="720" w:num="1"/>
        </w:sectPr>
      </w:pPr>
    </w:p>
    <w:p w14:paraId="79D6ADA1">
      <w:pPr>
        <w:pStyle w:val="10"/>
        <w:numPr>
          <w:ilvl w:val="0"/>
          <w:numId w:val="5"/>
        </w:numPr>
        <w:tabs>
          <w:tab w:val="left" w:pos="360"/>
        </w:tabs>
        <w:spacing w:before="63" w:after="0" w:line="240" w:lineRule="auto"/>
        <w:ind w:left="360" w:right="359" w:hanging="360"/>
        <w:jc w:val="both"/>
        <w:rPr>
          <w:sz w:val="22"/>
        </w:rPr>
      </w:pPr>
      <w:r>
        <w:rPr>
          <w:color w:val="1F1F1F"/>
          <w:sz w:val="24"/>
        </w:rPr>
        <w:t>NMDA binding: Lower binding percentages indicate decreased NMDA receptor activity. Zonisamide groups show higher binding percen</w:t>
      </w:r>
      <w:r>
        <w:rPr>
          <w:color w:val="1F1F1F"/>
          <w:sz w:val="22"/>
        </w:rPr>
        <w:t>tages compared to the control group, suggesting potential modulation of this receptor system.</w:t>
      </w:r>
    </w:p>
    <w:p w14:paraId="027AEDFE">
      <w:pPr>
        <w:pStyle w:val="6"/>
        <w:spacing w:before="241"/>
        <w:ind w:left="360"/>
      </w:pPr>
      <w:r>
        <w:rPr>
          <w:color w:val="1F1F1F"/>
        </w:rPr>
        <w:t>Drawing</w:t>
      </w:r>
      <w:r>
        <w:rPr>
          <w:color w:val="1F1F1F"/>
          <w:spacing w:val="-9"/>
        </w:rPr>
        <w:t xml:space="preserve"> </w:t>
      </w:r>
      <w:r>
        <w:rPr>
          <w:color w:val="1F1F1F"/>
        </w:rPr>
        <w:t>a</w:t>
      </w:r>
      <w:r>
        <w:rPr>
          <w:color w:val="1F1F1F"/>
          <w:spacing w:val="-9"/>
        </w:rPr>
        <w:t xml:space="preserve"> </w:t>
      </w:r>
      <w:r>
        <w:rPr>
          <w:color w:val="1F1F1F"/>
        </w:rPr>
        <w:t>Conclusive</w:t>
      </w:r>
      <w:r>
        <w:rPr>
          <w:color w:val="1F1F1F"/>
          <w:spacing w:val="-9"/>
        </w:rPr>
        <w:t xml:space="preserve"> </w:t>
      </w:r>
      <w:r>
        <w:rPr>
          <w:color w:val="1F1F1F"/>
          <w:spacing w:val="-2"/>
        </w:rPr>
        <w:t>Statement:</w:t>
      </w:r>
    </w:p>
    <w:p w14:paraId="7DDDB724">
      <w:pPr>
        <w:pStyle w:val="6"/>
        <w:spacing w:before="238"/>
        <w:ind w:left="360"/>
      </w:pPr>
      <w:r>
        <w:rPr>
          <w:color w:val="1F1F1F"/>
        </w:rPr>
        <w:t>Based</w:t>
      </w:r>
      <w:r>
        <w:rPr>
          <w:color w:val="1F1F1F"/>
          <w:spacing w:val="-9"/>
        </w:rPr>
        <w:t xml:space="preserve"> </w:t>
      </w:r>
      <w:r>
        <w:rPr>
          <w:color w:val="1F1F1F"/>
        </w:rPr>
        <w:t>on</w:t>
      </w:r>
      <w:r>
        <w:rPr>
          <w:color w:val="1F1F1F"/>
          <w:spacing w:val="-6"/>
        </w:rPr>
        <w:t xml:space="preserve"> </w:t>
      </w:r>
      <w:r>
        <w:rPr>
          <w:color w:val="1F1F1F"/>
        </w:rPr>
        <w:t>the</w:t>
      </w:r>
      <w:r>
        <w:rPr>
          <w:color w:val="1F1F1F"/>
          <w:spacing w:val="-6"/>
        </w:rPr>
        <w:t xml:space="preserve"> </w:t>
      </w:r>
      <w:r>
        <w:rPr>
          <w:color w:val="1F1F1F"/>
        </w:rPr>
        <w:t>hypothetical</w:t>
      </w:r>
      <w:r>
        <w:rPr>
          <w:color w:val="1F1F1F"/>
          <w:spacing w:val="-7"/>
        </w:rPr>
        <w:t xml:space="preserve"> </w:t>
      </w:r>
      <w:r>
        <w:rPr>
          <w:color w:val="1F1F1F"/>
          <w:spacing w:val="-2"/>
        </w:rPr>
        <w:t>table:</w:t>
      </w:r>
    </w:p>
    <w:p w14:paraId="21881956">
      <w:pPr>
        <w:pStyle w:val="6"/>
        <w:spacing w:before="5"/>
      </w:pPr>
    </w:p>
    <w:p w14:paraId="460E3103">
      <w:pPr>
        <w:pStyle w:val="10"/>
        <w:numPr>
          <w:ilvl w:val="0"/>
          <w:numId w:val="5"/>
        </w:numPr>
        <w:tabs>
          <w:tab w:val="left" w:pos="360"/>
        </w:tabs>
        <w:spacing w:before="0" w:after="0" w:line="240" w:lineRule="auto"/>
        <w:ind w:left="360" w:right="609" w:hanging="360"/>
        <w:jc w:val="left"/>
        <w:rPr>
          <w:sz w:val="24"/>
        </w:rPr>
      </w:pPr>
      <w:r>
        <w:rPr>
          <w:color w:val="1F1F1F"/>
          <w:sz w:val="24"/>
        </w:rPr>
        <w:t>Zonisamide</w:t>
      </w:r>
      <w:r>
        <w:rPr>
          <w:color w:val="1F1F1F"/>
          <w:spacing w:val="-5"/>
          <w:sz w:val="24"/>
        </w:rPr>
        <w:t xml:space="preserve"> </w:t>
      </w:r>
      <w:r>
        <w:rPr>
          <w:color w:val="1F1F1F"/>
          <w:sz w:val="24"/>
        </w:rPr>
        <w:t>appears</w:t>
      </w:r>
      <w:r>
        <w:rPr>
          <w:color w:val="1F1F1F"/>
          <w:spacing w:val="-5"/>
          <w:sz w:val="24"/>
        </w:rPr>
        <w:t xml:space="preserve"> </w:t>
      </w:r>
      <w:r>
        <w:rPr>
          <w:color w:val="1F1F1F"/>
          <w:sz w:val="24"/>
        </w:rPr>
        <w:t>to</w:t>
      </w:r>
      <w:r>
        <w:rPr>
          <w:color w:val="1F1F1F"/>
          <w:spacing w:val="-5"/>
          <w:sz w:val="24"/>
        </w:rPr>
        <w:t xml:space="preserve"> </w:t>
      </w:r>
      <w:r>
        <w:rPr>
          <w:color w:val="1F1F1F"/>
          <w:sz w:val="24"/>
        </w:rPr>
        <w:t>attenuate</w:t>
      </w:r>
      <w:r>
        <w:rPr>
          <w:color w:val="1F1F1F"/>
          <w:spacing w:val="-5"/>
          <w:sz w:val="24"/>
        </w:rPr>
        <w:t xml:space="preserve"> </w:t>
      </w:r>
      <w:r>
        <w:rPr>
          <w:color w:val="1F1F1F"/>
          <w:sz w:val="24"/>
        </w:rPr>
        <w:t>haloperidol-induced</w:t>
      </w:r>
      <w:r>
        <w:rPr>
          <w:color w:val="1F1F1F"/>
          <w:spacing w:val="-7"/>
          <w:sz w:val="24"/>
        </w:rPr>
        <w:t xml:space="preserve"> </w:t>
      </w:r>
      <w:r>
        <w:rPr>
          <w:color w:val="1F1F1F"/>
          <w:sz w:val="24"/>
        </w:rPr>
        <w:t>catalepsy</w:t>
      </w:r>
      <w:r>
        <w:rPr>
          <w:color w:val="1F1F1F"/>
          <w:spacing w:val="-9"/>
          <w:sz w:val="24"/>
        </w:rPr>
        <w:t xml:space="preserve"> </w:t>
      </w:r>
      <w:r>
        <w:rPr>
          <w:color w:val="1F1F1F"/>
          <w:sz w:val="24"/>
        </w:rPr>
        <w:t>in</w:t>
      </w:r>
      <w:r>
        <w:rPr>
          <w:color w:val="1F1F1F"/>
          <w:spacing w:val="-5"/>
          <w:sz w:val="24"/>
        </w:rPr>
        <w:t xml:space="preserve"> </w:t>
      </w:r>
      <w:r>
        <w:rPr>
          <w:color w:val="1F1F1F"/>
          <w:sz w:val="24"/>
        </w:rPr>
        <w:t>a</w:t>
      </w:r>
      <w:r>
        <w:rPr>
          <w:color w:val="1F1F1F"/>
          <w:spacing w:val="-5"/>
          <w:sz w:val="24"/>
        </w:rPr>
        <w:t xml:space="preserve"> </w:t>
      </w:r>
      <w:r>
        <w:rPr>
          <w:color w:val="1F1F1F"/>
          <w:sz w:val="24"/>
        </w:rPr>
        <w:t>dose-dependent</w:t>
      </w:r>
      <w:r>
        <w:rPr>
          <w:color w:val="1F1F1F"/>
          <w:spacing w:val="-5"/>
          <w:sz w:val="24"/>
        </w:rPr>
        <w:t xml:space="preserve"> </w:t>
      </w:r>
      <w:r>
        <w:rPr>
          <w:color w:val="1F1F1F"/>
          <w:sz w:val="24"/>
        </w:rPr>
        <w:t>manner,</w:t>
      </w:r>
      <w:r>
        <w:rPr>
          <w:color w:val="1F1F1F"/>
          <w:spacing w:val="-5"/>
          <w:sz w:val="24"/>
        </w:rPr>
        <w:t xml:space="preserve"> </w:t>
      </w:r>
      <w:r>
        <w:rPr>
          <w:color w:val="1F1F1F"/>
          <w:sz w:val="24"/>
        </w:rPr>
        <w:t>as suggested by increased bar test latency and decreased limb rigidity score in treated groups.</w:t>
      </w:r>
    </w:p>
    <w:p w14:paraId="7E5724AB">
      <w:pPr>
        <w:pStyle w:val="10"/>
        <w:numPr>
          <w:ilvl w:val="0"/>
          <w:numId w:val="5"/>
        </w:numPr>
        <w:tabs>
          <w:tab w:val="left" w:pos="359"/>
        </w:tabs>
        <w:spacing w:before="98" w:after="0" w:line="240" w:lineRule="auto"/>
        <w:ind w:left="359" w:right="0" w:hanging="359"/>
        <w:jc w:val="left"/>
        <w:rPr>
          <w:sz w:val="24"/>
        </w:rPr>
      </w:pPr>
      <w:r>
        <w:rPr>
          <w:color w:val="1F1F1F"/>
          <w:sz w:val="24"/>
        </w:rPr>
        <w:t>These</w:t>
      </w:r>
      <w:r>
        <w:rPr>
          <w:color w:val="1F1F1F"/>
          <w:spacing w:val="-9"/>
          <w:sz w:val="24"/>
        </w:rPr>
        <w:t xml:space="preserve"> </w:t>
      </w:r>
      <w:r>
        <w:rPr>
          <w:color w:val="1F1F1F"/>
          <w:sz w:val="24"/>
        </w:rPr>
        <w:t>effects</w:t>
      </w:r>
      <w:r>
        <w:rPr>
          <w:color w:val="1F1F1F"/>
          <w:spacing w:val="-5"/>
          <w:sz w:val="24"/>
        </w:rPr>
        <w:t xml:space="preserve"> </w:t>
      </w:r>
      <w:r>
        <w:rPr>
          <w:color w:val="1F1F1F"/>
          <w:sz w:val="24"/>
        </w:rPr>
        <w:t>might</w:t>
      </w:r>
      <w:r>
        <w:rPr>
          <w:color w:val="1F1F1F"/>
          <w:spacing w:val="-7"/>
          <w:sz w:val="24"/>
        </w:rPr>
        <w:t xml:space="preserve"> </w:t>
      </w:r>
      <w:r>
        <w:rPr>
          <w:color w:val="1F1F1F"/>
          <w:sz w:val="24"/>
        </w:rPr>
        <w:t>be</w:t>
      </w:r>
      <w:r>
        <w:rPr>
          <w:color w:val="1F1F1F"/>
          <w:spacing w:val="-7"/>
          <w:sz w:val="24"/>
        </w:rPr>
        <w:t xml:space="preserve"> </w:t>
      </w:r>
      <w:r>
        <w:rPr>
          <w:color w:val="1F1F1F"/>
          <w:sz w:val="24"/>
        </w:rPr>
        <w:t>mediated</w:t>
      </w:r>
      <w:r>
        <w:rPr>
          <w:color w:val="1F1F1F"/>
          <w:spacing w:val="-8"/>
          <w:sz w:val="24"/>
        </w:rPr>
        <w:t xml:space="preserve"> </w:t>
      </w:r>
      <w:r>
        <w:rPr>
          <w:color w:val="1F1F1F"/>
          <w:spacing w:val="-5"/>
          <w:sz w:val="24"/>
        </w:rPr>
        <w:t>by:</w:t>
      </w:r>
    </w:p>
    <w:p w14:paraId="01588D70">
      <w:pPr>
        <w:pStyle w:val="10"/>
        <w:numPr>
          <w:ilvl w:val="0"/>
          <w:numId w:val="6"/>
        </w:numPr>
        <w:tabs>
          <w:tab w:val="left" w:pos="359"/>
        </w:tabs>
        <w:spacing w:before="101" w:after="0" w:line="240" w:lineRule="auto"/>
        <w:ind w:left="359" w:right="0" w:hanging="359"/>
        <w:jc w:val="left"/>
        <w:rPr>
          <w:sz w:val="24"/>
        </w:rPr>
      </w:pPr>
      <w:r>
        <w:rPr>
          <w:color w:val="1F1F1F"/>
          <w:sz w:val="24"/>
        </w:rPr>
        <w:t>Increased</w:t>
      </w:r>
      <w:r>
        <w:rPr>
          <w:color w:val="1F1F1F"/>
          <w:spacing w:val="-12"/>
          <w:sz w:val="24"/>
        </w:rPr>
        <w:t xml:space="preserve"> </w:t>
      </w:r>
      <w:r>
        <w:rPr>
          <w:color w:val="1F1F1F"/>
          <w:sz w:val="24"/>
        </w:rPr>
        <w:t>GABAergic</w:t>
      </w:r>
      <w:r>
        <w:rPr>
          <w:color w:val="1F1F1F"/>
          <w:spacing w:val="-11"/>
          <w:sz w:val="24"/>
        </w:rPr>
        <w:t xml:space="preserve"> </w:t>
      </w:r>
      <w:r>
        <w:rPr>
          <w:color w:val="1F1F1F"/>
          <w:sz w:val="24"/>
        </w:rPr>
        <w:t>inhibition</w:t>
      </w:r>
      <w:r>
        <w:rPr>
          <w:color w:val="1F1F1F"/>
          <w:spacing w:val="-11"/>
          <w:sz w:val="24"/>
        </w:rPr>
        <w:t xml:space="preserve"> </w:t>
      </w:r>
      <w:r>
        <w:rPr>
          <w:color w:val="1F1F1F"/>
          <w:sz w:val="24"/>
        </w:rPr>
        <w:t>(higher</w:t>
      </w:r>
      <w:r>
        <w:rPr>
          <w:color w:val="1F1F1F"/>
          <w:spacing w:val="-14"/>
          <w:sz w:val="24"/>
        </w:rPr>
        <w:t xml:space="preserve"> </w:t>
      </w:r>
      <w:r>
        <w:rPr>
          <w:color w:val="1F1F1F"/>
          <w:sz w:val="24"/>
        </w:rPr>
        <w:t>GABA</w:t>
      </w:r>
      <w:r>
        <w:rPr>
          <w:color w:val="1F1F1F"/>
          <w:spacing w:val="-11"/>
          <w:sz w:val="24"/>
        </w:rPr>
        <w:t xml:space="preserve"> </w:t>
      </w:r>
      <w:r>
        <w:rPr>
          <w:color w:val="1F1F1F"/>
          <w:spacing w:val="-2"/>
          <w:sz w:val="24"/>
        </w:rPr>
        <w:t>levels)</w:t>
      </w:r>
    </w:p>
    <w:p w14:paraId="3DF90990">
      <w:pPr>
        <w:pStyle w:val="10"/>
        <w:numPr>
          <w:ilvl w:val="0"/>
          <w:numId w:val="6"/>
        </w:numPr>
        <w:tabs>
          <w:tab w:val="left" w:pos="359"/>
        </w:tabs>
        <w:spacing w:before="90" w:after="0" w:line="240" w:lineRule="auto"/>
        <w:ind w:left="359" w:right="0" w:hanging="359"/>
        <w:jc w:val="left"/>
        <w:rPr>
          <w:sz w:val="24"/>
        </w:rPr>
      </w:pPr>
      <w:r>
        <w:rPr>
          <w:color w:val="1F1F1F"/>
          <w:sz w:val="24"/>
        </w:rPr>
        <w:t>Reduced</w:t>
      </w:r>
      <w:r>
        <w:rPr>
          <w:color w:val="1F1F1F"/>
          <w:spacing w:val="-11"/>
          <w:sz w:val="24"/>
        </w:rPr>
        <w:t xml:space="preserve"> </w:t>
      </w:r>
      <w:r>
        <w:rPr>
          <w:color w:val="1F1F1F"/>
          <w:sz w:val="24"/>
        </w:rPr>
        <w:t>glutamatergic</w:t>
      </w:r>
      <w:r>
        <w:rPr>
          <w:color w:val="1F1F1F"/>
          <w:spacing w:val="-10"/>
          <w:sz w:val="24"/>
        </w:rPr>
        <w:t xml:space="preserve"> </w:t>
      </w:r>
      <w:r>
        <w:rPr>
          <w:color w:val="1F1F1F"/>
          <w:sz w:val="24"/>
        </w:rPr>
        <w:t>excitation</w:t>
      </w:r>
      <w:r>
        <w:rPr>
          <w:color w:val="1F1F1F"/>
          <w:spacing w:val="-10"/>
          <w:sz w:val="24"/>
        </w:rPr>
        <w:t xml:space="preserve"> </w:t>
      </w:r>
      <w:r>
        <w:rPr>
          <w:color w:val="1F1F1F"/>
          <w:sz w:val="24"/>
        </w:rPr>
        <w:t>(slightly</w:t>
      </w:r>
      <w:r>
        <w:rPr>
          <w:color w:val="1F1F1F"/>
          <w:spacing w:val="-15"/>
          <w:sz w:val="24"/>
        </w:rPr>
        <w:t xml:space="preserve"> </w:t>
      </w:r>
      <w:r>
        <w:rPr>
          <w:color w:val="1F1F1F"/>
          <w:sz w:val="24"/>
        </w:rPr>
        <w:t>lower</w:t>
      </w:r>
      <w:r>
        <w:rPr>
          <w:color w:val="1F1F1F"/>
          <w:spacing w:val="-10"/>
          <w:sz w:val="24"/>
        </w:rPr>
        <w:t xml:space="preserve"> </w:t>
      </w:r>
      <w:r>
        <w:rPr>
          <w:color w:val="1F1F1F"/>
          <w:sz w:val="24"/>
        </w:rPr>
        <w:t>glutamate</w:t>
      </w:r>
      <w:r>
        <w:rPr>
          <w:color w:val="1F1F1F"/>
          <w:spacing w:val="-9"/>
          <w:sz w:val="24"/>
        </w:rPr>
        <w:t xml:space="preserve"> </w:t>
      </w:r>
      <w:r>
        <w:rPr>
          <w:color w:val="1F1F1F"/>
          <w:spacing w:val="-2"/>
          <w:sz w:val="24"/>
        </w:rPr>
        <w:t>levels)</w:t>
      </w:r>
    </w:p>
    <w:p w14:paraId="3DC5BE0F">
      <w:pPr>
        <w:pStyle w:val="10"/>
        <w:numPr>
          <w:ilvl w:val="0"/>
          <w:numId w:val="6"/>
        </w:numPr>
        <w:tabs>
          <w:tab w:val="left" w:pos="359"/>
        </w:tabs>
        <w:spacing w:before="93" w:after="0" w:line="240" w:lineRule="auto"/>
        <w:ind w:left="359" w:right="0" w:hanging="359"/>
        <w:jc w:val="left"/>
        <w:rPr>
          <w:sz w:val="24"/>
        </w:rPr>
      </w:pPr>
      <w:r>
        <w:rPr>
          <w:color w:val="1F1F1F"/>
          <w:sz w:val="24"/>
        </w:rPr>
        <w:t>Modulation</w:t>
      </w:r>
      <w:r>
        <w:rPr>
          <w:color w:val="1F1F1F"/>
          <w:spacing w:val="-10"/>
          <w:sz w:val="24"/>
        </w:rPr>
        <w:t xml:space="preserve"> </w:t>
      </w:r>
      <w:r>
        <w:rPr>
          <w:color w:val="1F1F1F"/>
          <w:sz w:val="24"/>
        </w:rPr>
        <w:t>of</w:t>
      </w:r>
      <w:r>
        <w:rPr>
          <w:color w:val="1F1F1F"/>
          <w:spacing w:val="-9"/>
          <w:sz w:val="24"/>
        </w:rPr>
        <w:t xml:space="preserve"> </w:t>
      </w:r>
      <w:r>
        <w:rPr>
          <w:color w:val="1F1F1F"/>
          <w:sz w:val="24"/>
        </w:rPr>
        <w:t>NMDA</w:t>
      </w:r>
      <w:r>
        <w:rPr>
          <w:color w:val="1F1F1F"/>
          <w:spacing w:val="-9"/>
          <w:sz w:val="24"/>
        </w:rPr>
        <w:t xml:space="preserve"> </w:t>
      </w:r>
      <w:r>
        <w:rPr>
          <w:color w:val="1F1F1F"/>
          <w:sz w:val="24"/>
        </w:rPr>
        <w:t>receptors</w:t>
      </w:r>
      <w:r>
        <w:rPr>
          <w:color w:val="1F1F1F"/>
          <w:spacing w:val="-9"/>
          <w:sz w:val="24"/>
        </w:rPr>
        <w:t xml:space="preserve"> </w:t>
      </w:r>
      <w:r>
        <w:rPr>
          <w:color w:val="1F1F1F"/>
          <w:sz w:val="24"/>
        </w:rPr>
        <w:t>(increased</w:t>
      </w:r>
      <w:r>
        <w:rPr>
          <w:color w:val="1F1F1F"/>
          <w:spacing w:val="-10"/>
          <w:sz w:val="24"/>
        </w:rPr>
        <w:t xml:space="preserve"> </w:t>
      </w:r>
      <w:r>
        <w:rPr>
          <w:color w:val="1F1F1F"/>
          <w:spacing w:val="-2"/>
          <w:sz w:val="24"/>
        </w:rPr>
        <w:t>binding)</w:t>
      </w:r>
    </w:p>
    <w:p w14:paraId="17EB3E71">
      <w:pPr>
        <w:pStyle w:val="10"/>
        <w:numPr>
          <w:ilvl w:val="0"/>
          <w:numId w:val="5"/>
        </w:numPr>
        <w:tabs>
          <w:tab w:val="left" w:pos="360"/>
        </w:tabs>
        <w:spacing w:before="93" w:after="0" w:line="240" w:lineRule="auto"/>
        <w:ind w:left="360" w:right="477" w:hanging="360"/>
        <w:jc w:val="left"/>
        <w:rPr>
          <w:sz w:val="24"/>
        </w:rPr>
      </w:pPr>
      <w:r>
        <w:rPr>
          <w:color w:val="1F1F1F"/>
          <w:sz w:val="24"/>
        </w:rPr>
        <w:t>Further research is needed to confirm these findings and clarify the specific mechanisms of zonisamide's</w:t>
      </w:r>
      <w:r>
        <w:rPr>
          <w:color w:val="1F1F1F"/>
          <w:spacing w:val="-6"/>
          <w:sz w:val="24"/>
        </w:rPr>
        <w:t xml:space="preserve"> </w:t>
      </w:r>
      <w:r>
        <w:rPr>
          <w:color w:val="1F1F1F"/>
          <w:sz w:val="24"/>
        </w:rPr>
        <w:t>anti-cataleptic</w:t>
      </w:r>
      <w:r>
        <w:rPr>
          <w:color w:val="1F1F1F"/>
          <w:spacing w:val="-8"/>
          <w:sz w:val="24"/>
        </w:rPr>
        <w:t xml:space="preserve"> </w:t>
      </w:r>
      <w:r>
        <w:rPr>
          <w:color w:val="1F1F1F"/>
          <w:sz w:val="24"/>
        </w:rPr>
        <w:t>action.the</w:t>
      </w:r>
      <w:r>
        <w:rPr>
          <w:color w:val="1F1F1F"/>
          <w:spacing w:val="-6"/>
          <w:sz w:val="24"/>
        </w:rPr>
        <w:t xml:space="preserve"> </w:t>
      </w:r>
      <w:r>
        <w:rPr>
          <w:color w:val="1F1F1F"/>
          <w:sz w:val="24"/>
        </w:rPr>
        <w:t>effects</w:t>
      </w:r>
      <w:r>
        <w:rPr>
          <w:color w:val="1F1F1F"/>
          <w:spacing w:val="-3"/>
          <w:sz w:val="24"/>
        </w:rPr>
        <w:t xml:space="preserve"> </w:t>
      </w:r>
      <w:r>
        <w:rPr>
          <w:color w:val="1F1F1F"/>
          <w:sz w:val="24"/>
        </w:rPr>
        <w:t>of</w:t>
      </w:r>
      <w:r>
        <w:rPr>
          <w:color w:val="1F1F1F"/>
          <w:spacing w:val="-8"/>
          <w:sz w:val="24"/>
        </w:rPr>
        <w:t xml:space="preserve"> </w:t>
      </w:r>
      <w:r>
        <w:rPr>
          <w:color w:val="1F1F1F"/>
          <w:sz w:val="24"/>
        </w:rPr>
        <w:t>zonisamide</w:t>
      </w:r>
      <w:r>
        <w:rPr>
          <w:color w:val="1F1F1F"/>
          <w:spacing w:val="-8"/>
          <w:sz w:val="24"/>
        </w:rPr>
        <w:t xml:space="preserve"> </w:t>
      </w:r>
      <w:r>
        <w:rPr>
          <w:color w:val="1F1F1F"/>
          <w:sz w:val="24"/>
        </w:rPr>
        <w:t>on</w:t>
      </w:r>
      <w:r>
        <w:rPr>
          <w:color w:val="1F1F1F"/>
          <w:spacing w:val="-6"/>
          <w:sz w:val="24"/>
        </w:rPr>
        <w:t xml:space="preserve"> </w:t>
      </w:r>
      <w:r>
        <w:rPr>
          <w:color w:val="1F1F1F"/>
          <w:sz w:val="24"/>
        </w:rPr>
        <w:t>haloperidol-induced</w:t>
      </w:r>
      <w:r>
        <w:rPr>
          <w:color w:val="1F1F1F"/>
          <w:spacing w:val="-3"/>
          <w:sz w:val="24"/>
        </w:rPr>
        <w:t xml:space="preserve"> </w:t>
      </w:r>
      <w:r>
        <w:rPr>
          <w:color w:val="1F1F1F"/>
          <w:sz w:val="24"/>
        </w:rPr>
        <w:t>catalepsy</w:t>
      </w:r>
      <w:r>
        <w:rPr>
          <w:color w:val="1F1F1F"/>
          <w:spacing w:val="-9"/>
          <w:sz w:val="24"/>
        </w:rPr>
        <w:t xml:space="preserve"> </w:t>
      </w:r>
      <w:r>
        <w:rPr>
          <w:color w:val="1F1F1F"/>
          <w:sz w:val="24"/>
        </w:rPr>
        <w:t>in rats,</w:t>
      </w:r>
      <w:r>
        <w:rPr>
          <w:color w:val="1F1F1F"/>
          <w:spacing w:val="-1"/>
          <w:sz w:val="24"/>
        </w:rPr>
        <w:t xml:space="preserve"> </w:t>
      </w:r>
      <w:r>
        <w:rPr>
          <w:color w:val="1F1F1F"/>
          <w:sz w:val="24"/>
        </w:rPr>
        <w:t>focusing</w:t>
      </w:r>
      <w:r>
        <w:rPr>
          <w:color w:val="1F1F1F"/>
          <w:spacing w:val="-3"/>
          <w:sz w:val="24"/>
        </w:rPr>
        <w:t xml:space="preserve"> </w:t>
      </w:r>
      <w:r>
        <w:rPr>
          <w:color w:val="1F1F1F"/>
          <w:sz w:val="24"/>
        </w:rPr>
        <w:t>on</w:t>
      </w:r>
      <w:r>
        <w:rPr>
          <w:color w:val="1F1F1F"/>
          <w:spacing w:val="-1"/>
          <w:sz w:val="24"/>
        </w:rPr>
        <w:t xml:space="preserve"> </w:t>
      </w:r>
      <w:r>
        <w:rPr>
          <w:color w:val="1F1F1F"/>
          <w:sz w:val="24"/>
        </w:rPr>
        <w:t>behavioral</w:t>
      </w:r>
      <w:r>
        <w:rPr>
          <w:color w:val="1F1F1F"/>
          <w:spacing w:val="-1"/>
          <w:sz w:val="24"/>
        </w:rPr>
        <w:t xml:space="preserve"> </w:t>
      </w:r>
      <w:r>
        <w:rPr>
          <w:color w:val="1F1F1F"/>
          <w:sz w:val="24"/>
        </w:rPr>
        <w:t>and</w:t>
      </w:r>
      <w:r>
        <w:rPr>
          <w:color w:val="1F1F1F"/>
          <w:spacing w:val="-1"/>
          <w:sz w:val="24"/>
        </w:rPr>
        <w:t xml:space="preserve"> </w:t>
      </w:r>
      <w:r>
        <w:rPr>
          <w:color w:val="1F1F1F"/>
          <w:sz w:val="24"/>
        </w:rPr>
        <w:t>neurochemical</w:t>
      </w:r>
      <w:r>
        <w:rPr>
          <w:color w:val="1F1F1F"/>
          <w:spacing w:val="-1"/>
          <w:sz w:val="24"/>
        </w:rPr>
        <w:t xml:space="preserve"> </w:t>
      </w:r>
      <w:r>
        <w:rPr>
          <w:color w:val="1F1F1F"/>
          <w:sz w:val="24"/>
        </w:rPr>
        <w:t>measures. Here's</w:t>
      </w:r>
      <w:r>
        <w:rPr>
          <w:color w:val="1F1F1F"/>
          <w:spacing w:val="-1"/>
          <w:sz w:val="24"/>
        </w:rPr>
        <w:t xml:space="preserve"> </w:t>
      </w:r>
      <w:r>
        <w:rPr>
          <w:color w:val="1F1F1F"/>
          <w:sz w:val="24"/>
        </w:rPr>
        <w:t>a</w:t>
      </w:r>
      <w:r>
        <w:rPr>
          <w:color w:val="1F1F1F"/>
          <w:spacing w:val="-1"/>
          <w:sz w:val="24"/>
        </w:rPr>
        <w:t xml:space="preserve"> </w:t>
      </w:r>
      <w:r>
        <w:rPr>
          <w:color w:val="1F1F1F"/>
          <w:sz w:val="24"/>
        </w:rPr>
        <w:t>breakdown</w:t>
      </w:r>
      <w:r>
        <w:rPr>
          <w:color w:val="1F1F1F"/>
          <w:spacing w:val="-3"/>
          <w:sz w:val="24"/>
        </w:rPr>
        <w:t xml:space="preserve"> </w:t>
      </w:r>
      <w:r>
        <w:rPr>
          <w:color w:val="1F1F1F"/>
          <w:sz w:val="24"/>
        </w:rPr>
        <w:t>of</w:t>
      </w:r>
      <w:r>
        <w:rPr>
          <w:color w:val="1F1F1F"/>
          <w:spacing w:val="-3"/>
          <w:sz w:val="24"/>
        </w:rPr>
        <w:t xml:space="preserve"> </w:t>
      </w:r>
      <w:r>
        <w:rPr>
          <w:color w:val="1F1F1F"/>
          <w:sz w:val="24"/>
        </w:rPr>
        <w:t>the</w:t>
      </w:r>
      <w:r>
        <w:rPr>
          <w:color w:val="1F1F1F"/>
          <w:spacing w:val="-3"/>
          <w:sz w:val="24"/>
        </w:rPr>
        <w:t xml:space="preserve"> </w:t>
      </w:r>
      <w:r>
        <w:rPr>
          <w:color w:val="1F1F1F"/>
          <w:sz w:val="24"/>
        </w:rPr>
        <w:t>findings</w:t>
      </w:r>
      <w:r>
        <w:rPr>
          <w:color w:val="1F1F1F"/>
          <w:spacing w:val="-1"/>
          <w:sz w:val="24"/>
        </w:rPr>
        <w:t xml:space="preserve"> </w:t>
      </w:r>
      <w:r>
        <w:rPr>
          <w:color w:val="1F1F1F"/>
          <w:sz w:val="24"/>
        </w:rPr>
        <w:t>in pharmaceutical terms:</w:t>
      </w:r>
    </w:p>
    <w:p w14:paraId="4D1D3EBD">
      <w:pPr>
        <w:pStyle w:val="6"/>
        <w:spacing w:before="31"/>
      </w:pPr>
    </w:p>
    <w:p w14:paraId="16B2C1F5">
      <w:pPr>
        <w:pStyle w:val="3"/>
      </w:pPr>
      <w:r>
        <w:rPr>
          <w:color w:val="1F1F1F"/>
          <w:spacing w:val="-2"/>
        </w:rPr>
        <w:t>Catalepsy</w:t>
      </w:r>
    </w:p>
    <w:p w14:paraId="5A1DC6D9">
      <w:pPr>
        <w:pStyle w:val="6"/>
        <w:spacing w:before="19"/>
        <w:rPr>
          <w:b/>
        </w:rPr>
      </w:pPr>
    </w:p>
    <w:p w14:paraId="2FCFF1E7">
      <w:pPr>
        <w:pStyle w:val="10"/>
        <w:numPr>
          <w:ilvl w:val="0"/>
          <w:numId w:val="5"/>
        </w:numPr>
        <w:tabs>
          <w:tab w:val="left" w:pos="360"/>
        </w:tabs>
        <w:spacing w:before="0" w:after="0" w:line="240" w:lineRule="auto"/>
        <w:ind w:left="360" w:right="905" w:hanging="360"/>
        <w:jc w:val="left"/>
        <w:rPr>
          <w:sz w:val="24"/>
        </w:rPr>
      </w:pPr>
      <w:r>
        <w:rPr>
          <w:color w:val="1F1F1F"/>
          <w:sz w:val="24"/>
        </w:rPr>
        <w:t>Bar</w:t>
      </w:r>
      <w:r>
        <w:rPr>
          <w:color w:val="1F1F1F"/>
          <w:spacing w:val="-6"/>
          <w:sz w:val="24"/>
        </w:rPr>
        <w:t xml:space="preserve"> </w:t>
      </w:r>
      <w:r>
        <w:rPr>
          <w:color w:val="1F1F1F"/>
          <w:sz w:val="24"/>
        </w:rPr>
        <w:t>test</w:t>
      </w:r>
      <w:r>
        <w:rPr>
          <w:color w:val="1F1F1F"/>
          <w:spacing w:val="-4"/>
          <w:sz w:val="24"/>
        </w:rPr>
        <w:t xml:space="preserve"> </w:t>
      </w:r>
      <w:r>
        <w:rPr>
          <w:color w:val="1F1F1F"/>
          <w:sz w:val="24"/>
        </w:rPr>
        <w:t>latency:</w:t>
      </w:r>
      <w:r>
        <w:rPr>
          <w:color w:val="1F1F1F"/>
          <w:spacing w:val="-1"/>
          <w:sz w:val="24"/>
        </w:rPr>
        <w:t xml:space="preserve"> </w:t>
      </w:r>
      <w:r>
        <w:rPr>
          <w:color w:val="1F1F1F"/>
          <w:sz w:val="24"/>
        </w:rPr>
        <w:t>Zonisamide</w:t>
      </w:r>
      <w:r>
        <w:rPr>
          <w:color w:val="1F1F1F"/>
          <w:spacing w:val="-4"/>
          <w:sz w:val="24"/>
        </w:rPr>
        <w:t xml:space="preserve"> </w:t>
      </w:r>
      <w:r>
        <w:rPr>
          <w:color w:val="1F1F1F"/>
          <w:sz w:val="24"/>
        </w:rPr>
        <w:t>groups</w:t>
      </w:r>
      <w:r>
        <w:rPr>
          <w:color w:val="1F1F1F"/>
          <w:spacing w:val="-1"/>
          <w:sz w:val="24"/>
        </w:rPr>
        <w:t xml:space="preserve"> </w:t>
      </w:r>
      <w:r>
        <w:rPr>
          <w:color w:val="1F1F1F"/>
          <w:sz w:val="24"/>
        </w:rPr>
        <w:t>(especially</w:t>
      </w:r>
      <w:r>
        <w:rPr>
          <w:color w:val="1F1F1F"/>
          <w:spacing w:val="-6"/>
          <w:sz w:val="24"/>
        </w:rPr>
        <w:t xml:space="preserve"> </w:t>
      </w:r>
      <w:r>
        <w:rPr>
          <w:color w:val="1F1F1F"/>
          <w:sz w:val="24"/>
        </w:rPr>
        <w:t>15</w:t>
      </w:r>
      <w:r>
        <w:rPr>
          <w:color w:val="1F1F1F"/>
          <w:spacing w:val="-4"/>
          <w:sz w:val="24"/>
        </w:rPr>
        <w:t xml:space="preserve"> </w:t>
      </w:r>
      <w:r>
        <w:rPr>
          <w:color w:val="1F1F1F"/>
          <w:sz w:val="24"/>
        </w:rPr>
        <w:t>and</w:t>
      </w:r>
      <w:r>
        <w:rPr>
          <w:color w:val="1F1F1F"/>
          <w:spacing w:val="-4"/>
          <w:sz w:val="24"/>
        </w:rPr>
        <w:t xml:space="preserve"> </w:t>
      </w:r>
      <w:r>
        <w:rPr>
          <w:color w:val="1F1F1F"/>
          <w:sz w:val="24"/>
        </w:rPr>
        <w:t>20</w:t>
      </w:r>
      <w:r>
        <w:rPr>
          <w:color w:val="1F1F1F"/>
          <w:spacing w:val="-4"/>
          <w:sz w:val="24"/>
        </w:rPr>
        <w:t xml:space="preserve"> </w:t>
      </w:r>
      <w:r>
        <w:rPr>
          <w:color w:val="1F1F1F"/>
          <w:sz w:val="24"/>
        </w:rPr>
        <w:t>mg/kg)</w:t>
      </w:r>
      <w:r>
        <w:rPr>
          <w:color w:val="1F1F1F"/>
          <w:spacing w:val="-6"/>
          <w:sz w:val="24"/>
        </w:rPr>
        <w:t xml:space="preserve"> </w:t>
      </w:r>
      <w:r>
        <w:rPr>
          <w:color w:val="1F1F1F"/>
          <w:sz w:val="24"/>
        </w:rPr>
        <w:t>show</w:t>
      </w:r>
      <w:r>
        <w:rPr>
          <w:color w:val="1F1F1F"/>
          <w:spacing w:val="-6"/>
          <w:sz w:val="24"/>
        </w:rPr>
        <w:t xml:space="preserve"> </w:t>
      </w:r>
      <w:r>
        <w:rPr>
          <w:color w:val="1F1F1F"/>
          <w:sz w:val="24"/>
        </w:rPr>
        <w:t>significantly</w:t>
      </w:r>
      <w:r>
        <w:rPr>
          <w:color w:val="1F1F1F"/>
          <w:spacing w:val="-8"/>
          <w:sz w:val="24"/>
        </w:rPr>
        <w:t xml:space="preserve"> </w:t>
      </w:r>
      <w:r>
        <w:rPr>
          <w:color w:val="1F1F1F"/>
          <w:sz w:val="24"/>
        </w:rPr>
        <w:t>longer times to fall compared to the haloperidol-only group. This indicates reduced cataleptic behavior, suggesting zonisamide might have anti-cataleptic properties.</w:t>
      </w:r>
    </w:p>
    <w:p w14:paraId="1352A6AD">
      <w:pPr>
        <w:pStyle w:val="10"/>
        <w:numPr>
          <w:ilvl w:val="0"/>
          <w:numId w:val="5"/>
        </w:numPr>
        <w:tabs>
          <w:tab w:val="left" w:pos="360"/>
        </w:tabs>
        <w:spacing w:before="125" w:after="0" w:line="240" w:lineRule="auto"/>
        <w:ind w:left="360" w:right="800" w:hanging="360"/>
        <w:jc w:val="left"/>
        <w:rPr>
          <w:sz w:val="24"/>
        </w:rPr>
      </w:pPr>
      <w:r>
        <w:rPr>
          <w:color w:val="1F1F1F"/>
          <w:sz w:val="24"/>
        </w:rPr>
        <w:t>Limb rigidity score: Zonisamide groups exhibit lower scores than the haloperidol-only group,</w:t>
      </w:r>
      <w:r>
        <w:rPr>
          <w:color w:val="1F1F1F"/>
          <w:spacing w:val="-2"/>
          <w:sz w:val="24"/>
        </w:rPr>
        <w:t xml:space="preserve"> </w:t>
      </w:r>
      <w:r>
        <w:rPr>
          <w:color w:val="1F1F1F"/>
          <w:sz w:val="24"/>
        </w:rPr>
        <w:t>further</w:t>
      </w:r>
      <w:r>
        <w:rPr>
          <w:color w:val="1F1F1F"/>
          <w:spacing w:val="-5"/>
          <w:sz w:val="24"/>
        </w:rPr>
        <w:t xml:space="preserve"> </w:t>
      </w:r>
      <w:r>
        <w:rPr>
          <w:color w:val="1F1F1F"/>
          <w:sz w:val="24"/>
        </w:rPr>
        <w:t>supporting</w:t>
      </w:r>
      <w:r>
        <w:rPr>
          <w:color w:val="1F1F1F"/>
          <w:spacing w:val="-5"/>
          <w:sz w:val="24"/>
        </w:rPr>
        <w:t xml:space="preserve"> </w:t>
      </w:r>
      <w:r>
        <w:rPr>
          <w:color w:val="1F1F1F"/>
          <w:sz w:val="24"/>
        </w:rPr>
        <w:t>the</w:t>
      </w:r>
      <w:r>
        <w:rPr>
          <w:color w:val="1F1F1F"/>
          <w:spacing w:val="-5"/>
          <w:sz w:val="24"/>
        </w:rPr>
        <w:t xml:space="preserve"> </w:t>
      </w:r>
      <w:r>
        <w:rPr>
          <w:color w:val="1F1F1F"/>
          <w:sz w:val="24"/>
        </w:rPr>
        <w:t>attenuation</w:t>
      </w:r>
      <w:r>
        <w:rPr>
          <w:color w:val="1F1F1F"/>
          <w:spacing w:val="-5"/>
          <w:sz w:val="24"/>
        </w:rPr>
        <w:t xml:space="preserve"> </w:t>
      </w:r>
      <w:r>
        <w:rPr>
          <w:color w:val="1F1F1F"/>
          <w:sz w:val="24"/>
        </w:rPr>
        <w:t>of</w:t>
      </w:r>
      <w:r>
        <w:rPr>
          <w:color w:val="1F1F1F"/>
          <w:spacing w:val="-7"/>
          <w:sz w:val="24"/>
        </w:rPr>
        <w:t xml:space="preserve"> </w:t>
      </w:r>
      <w:r>
        <w:rPr>
          <w:color w:val="1F1F1F"/>
          <w:sz w:val="24"/>
        </w:rPr>
        <w:t>muscle</w:t>
      </w:r>
      <w:r>
        <w:rPr>
          <w:color w:val="1F1F1F"/>
          <w:spacing w:val="-3"/>
          <w:sz w:val="24"/>
        </w:rPr>
        <w:t xml:space="preserve"> </w:t>
      </w:r>
      <w:r>
        <w:rPr>
          <w:color w:val="1F1F1F"/>
          <w:sz w:val="24"/>
        </w:rPr>
        <w:t>rigidity</w:t>
      </w:r>
      <w:r>
        <w:rPr>
          <w:color w:val="1F1F1F"/>
          <w:spacing w:val="-9"/>
          <w:sz w:val="24"/>
        </w:rPr>
        <w:t xml:space="preserve"> </w:t>
      </w:r>
      <w:r>
        <w:rPr>
          <w:color w:val="1F1F1F"/>
          <w:sz w:val="24"/>
        </w:rPr>
        <w:t>and</w:t>
      </w:r>
      <w:r>
        <w:rPr>
          <w:color w:val="1F1F1F"/>
          <w:spacing w:val="-5"/>
          <w:sz w:val="24"/>
        </w:rPr>
        <w:t xml:space="preserve"> </w:t>
      </w:r>
      <w:r>
        <w:rPr>
          <w:color w:val="1F1F1F"/>
          <w:sz w:val="24"/>
        </w:rPr>
        <w:t>supporting</w:t>
      </w:r>
      <w:r>
        <w:rPr>
          <w:color w:val="1F1F1F"/>
          <w:spacing w:val="-5"/>
          <w:sz w:val="24"/>
        </w:rPr>
        <w:t xml:space="preserve"> </w:t>
      </w:r>
      <w:r>
        <w:rPr>
          <w:color w:val="1F1F1F"/>
          <w:sz w:val="24"/>
        </w:rPr>
        <w:t>the</w:t>
      </w:r>
      <w:r>
        <w:rPr>
          <w:color w:val="1F1F1F"/>
          <w:spacing w:val="-5"/>
          <w:sz w:val="24"/>
        </w:rPr>
        <w:t xml:space="preserve"> </w:t>
      </w:r>
      <w:r>
        <w:rPr>
          <w:color w:val="1F1F1F"/>
          <w:sz w:val="24"/>
        </w:rPr>
        <w:t xml:space="preserve">anti-cataleptic </w:t>
      </w:r>
      <w:r>
        <w:rPr>
          <w:color w:val="1F1F1F"/>
          <w:spacing w:val="-2"/>
          <w:sz w:val="24"/>
        </w:rPr>
        <w:t>effect.</w:t>
      </w:r>
    </w:p>
    <w:p w14:paraId="45443F13">
      <w:pPr>
        <w:pStyle w:val="6"/>
        <w:spacing w:before="31"/>
      </w:pPr>
    </w:p>
    <w:p w14:paraId="6471D3D6">
      <w:pPr>
        <w:pStyle w:val="2"/>
      </w:pPr>
      <w:r>
        <w:rPr>
          <w:color w:val="1F1F1F"/>
          <w:spacing w:val="-2"/>
        </w:rPr>
        <w:t>NEUROCHEMICAL</w:t>
      </w:r>
      <w:r>
        <w:rPr>
          <w:color w:val="1F1F1F"/>
          <w:spacing w:val="3"/>
        </w:rPr>
        <w:t xml:space="preserve"> </w:t>
      </w:r>
      <w:r>
        <w:rPr>
          <w:color w:val="1F1F1F"/>
          <w:spacing w:val="-2"/>
        </w:rPr>
        <w:t>CHANGES</w:t>
      </w:r>
    </w:p>
    <w:p w14:paraId="6388121C">
      <w:pPr>
        <w:pStyle w:val="6"/>
        <w:spacing w:before="17"/>
        <w:rPr>
          <w:b/>
        </w:rPr>
      </w:pPr>
    </w:p>
    <w:p w14:paraId="152F9A36">
      <w:pPr>
        <w:pStyle w:val="10"/>
        <w:numPr>
          <w:ilvl w:val="0"/>
          <w:numId w:val="5"/>
        </w:numPr>
        <w:tabs>
          <w:tab w:val="left" w:pos="360"/>
        </w:tabs>
        <w:spacing w:before="0" w:after="0" w:line="240" w:lineRule="auto"/>
        <w:ind w:left="360" w:right="368" w:hanging="360"/>
        <w:jc w:val="both"/>
        <w:rPr>
          <w:sz w:val="24"/>
        </w:rPr>
      </w:pPr>
      <w:r>
        <w:rPr>
          <w:color w:val="1F1F1F"/>
          <w:sz w:val="24"/>
        </w:rPr>
        <w:t>GABA levels: Zonisamide groups show a slight increase in GABA levels compared to the haloperidol-only group. This could contribute to the anti-cataleptic effect by</w:t>
      </w:r>
      <w:r>
        <w:rPr>
          <w:color w:val="1F1F1F"/>
          <w:spacing w:val="-5"/>
          <w:sz w:val="24"/>
        </w:rPr>
        <w:t xml:space="preserve"> </w:t>
      </w:r>
      <w:r>
        <w:rPr>
          <w:color w:val="1F1F1F"/>
          <w:sz w:val="24"/>
        </w:rPr>
        <w:t>enhancing GABAergic inhibition,</w:t>
      </w:r>
      <w:r>
        <w:rPr>
          <w:color w:val="1F1F1F"/>
          <w:spacing w:val="-4"/>
          <w:sz w:val="24"/>
        </w:rPr>
        <w:t xml:space="preserve"> </w:t>
      </w:r>
      <w:r>
        <w:rPr>
          <w:color w:val="1F1F1F"/>
          <w:sz w:val="24"/>
        </w:rPr>
        <w:t>counteracting the excitatory effects of dopamine D2 receptor activation induced by haloperidol.</w:t>
      </w:r>
    </w:p>
    <w:p w14:paraId="61C398AC">
      <w:pPr>
        <w:pStyle w:val="10"/>
        <w:numPr>
          <w:ilvl w:val="0"/>
          <w:numId w:val="5"/>
        </w:numPr>
        <w:tabs>
          <w:tab w:val="left" w:pos="360"/>
        </w:tabs>
        <w:spacing w:before="125" w:after="0" w:line="240" w:lineRule="auto"/>
        <w:ind w:left="360" w:right="369" w:hanging="360"/>
        <w:jc w:val="both"/>
        <w:rPr>
          <w:sz w:val="24"/>
        </w:rPr>
      </w:pPr>
      <w:r>
        <w:rPr>
          <w:color w:val="1F1F1F"/>
          <w:sz w:val="24"/>
        </w:rPr>
        <w:t>Glutamate levels:</w:t>
      </w:r>
      <w:r>
        <w:rPr>
          <w:color w:val="1F1F1F"/>
          <w:spacing w:val="-1"/>
          <w:sz w:val="24"/>
        </w:rPr>
        <w:t xml:space="preserve"> </w:t>
      </w:r>
      <w:r>
        <w:rPr>
          <w:color w:val="1F1F1F"/>
          <w:sz w:val="24"/>
        </w:rPr>
        <w:t>Zonisamide groups have slightly lower glutamate levels compared to the haloperidol-only group.</w:t>
      </w:r>
      <w:r>
        <w:rPr>
          <w:color w:val="1F1F1F"/>
          <w:spacing w:val="-2"/>
          <w:sz w:val="24"/>
        </w:rPr>
        <w:t xml:space="preserve"> </w:t>
      </w:r>
      <w:r>
        <w:rPr>
          <w:color w:val="1F1F1F"/>
          <w:sz w:val="24"/>
        </w:rPr>
        <w:t>This might suggest</w:t>
      </w:r>
      <w:r>
        <w:rPr>
          <w:color w:val="1F1F1F"/>
          <w:spacing w:val="-5"/>
          <w:sz w:val="24"/>
        </w:rPr>
        <w:t xml:space="preserve"> </w:t>
      </w:r>
      <w:r>
        <w:rPr>
          <w:color w:val="1F1F1F"/>
          <w:sz w:val="24"/>
        </w:rPr>
        <w:t>reduced glutamatergic excitation,</w:t>
      </w:r>
      <w:r>
        <w:rPr>
          <w:color w:val="1F1F1F"/>
          <w:spacing w:val="-5"/>
          <w:sz w:val="24"/>
        </w:rPr>
        <w:t xml:space="preserve"> </w:t>
      </w:r>
      <w:r>
        <w:rPr>
          <w:color w:val="1F1F1F"/>
          <w:sz w:val="24"/>
        </w:rPr>
        <w:t>potentially playing a role in the anti-cataleptic action.</w:t>
      </w:r>
    </w:p>
    <w:p w14:paraId="5FADFF4A">
      <w:pPr>
        <w:pStyle w:val="10"/>
        <w:numPr>
          <w:ilvl w:val="0"/>
          <w:numId w:val="5"/>
        </w:numPr>
        <w:tabs>
          <w:tab w:val="left" w:pos="360"/>
        </w:tabs>
        <w:spacing w:before="127" w:after="0" w:line="240" w:lineRule="auto"/>
        <w:ind w:left="360" w:right="369" w:hanging="360"/>
        <w:jc w:val="both"/>
        <w:rPr>
          <w:sz w:val="24"/>
        </w:rPr>
      </w:pPr>
      <w:r>
        <w:rPr>
          <w:color w:val="1F1F1F"/>
          <w:sz w:val="24"/>
        </w:rPr>
        <w:t>NMDA binding:</w:t>
      </w:r>
      <w:r>
        <w:rPr>
          <w:color w:val="1F1F1F"/>
          <w:spacing w:val="-1"/>
          <w:sz w:val="24"/>
        </w:rPr>
        <w:t xml:space="preserve"> </w:t>
      </w:r>
      <w:r>
        <w:rPr>
          <w:color w:val="1F1F1F"/>
          <w:sz w:val="24"/>
        </w:rPr>
        <w:t>Zonisamide groups show higher NMDA binding compared to the control</w:t>
      </w:r>
      <w:r>
        <w:rPr>
          <w:color w:val="1F1F1F"/>
          <w:spacing w:val="80"/>
          <w:sz w:val="24"/>
        </w:rPr>
        <w:t xml:space="preserve"> </w:t>
      </w:r>
      <w:r>
        <w:rPr>
          <w:color w:val="1F1F1F"/>
          <w:sz w:val="24"/>
        </w:rPr>
        <w:t>group.</w:t>
      </w:r>
      <w:r>
        <w:rPr>
          <w:color w:val="1F1F1F"/>
          <w:spacing w:val="-5"/>
          <w:sz w:val="24"/>
        </w:rPr>
        <w:t xml:space="preserve"> </w:t>
      </w:r>
      <w:r>
        <w:rPr>
          <w:color w:val="1F1F1F"/>
          <w:sz w:val="24"/>
        </w:rPr>
        <w:t>This indicates</w:t>
      </w:r>
      <w:r>
        <w:rPr>
          <w:color w:val="1F1F1F"/>
          <w:spacing w:val="-5"/>
          <w:sz w:val="24"/>
        </w:rPr>
        <w:t xml:space="preserve"> </w:t>
      </w:r>
      <w:r>
        <w:rPr>
          <w:color w:val="1F1F1F"/>
          <w:sz w:val="24"/>
        </w:rPr>
        <w:t>potential modulation of NMDA receptors,</w:t>
      </w:r>
      <w:r>
        <w:rPr>
          <w:color w:val="1F1F1F"/>
          <w:spacing w:val="-5"/>
          <w:sz w:val="24"/>
        </w:rPr>
        <w:t xml:space="preserve"> </w:t>
      </w:r>
      <w:r>
        <w:rPr>
          <w:color w:val="1F1F1F"/>
          <w:sz w:val="24"/>
        </w:rPr>
        <w:t>another neurotransmitter system implicated in catalepsy and schizophrenia.</w:t>
      </w:r>
      <w:r>
        <w:rPr>
          <w:color w:val="1F1F1F"/>
          <w:spacing w:val="-3"/>
          <w:sz w:val="24"/>
        </w:rPr>
        <w:t xml:space="preserve"> </w:t>
      </w:r>
      <w:r>
        <w:rPr>
          <w:color w:val="1F1F1F"/>
          <w:sz w:val="24"/>
        </w:rPr>
        <w:t>However,</w:t>
      </w:r>
      <w:r>
        <w:rPr>
          <w:color w:val="1F1F1F"/>
          <w:spacing w:val="-3"/>
          <w:sz w:val="24"/>
        </w:rPr>
        <w:t xml:space="preserve"> </w:t>
      </w:r>
      <w:r>
        <w:rPr>
          <w:color w:val="1F1F1F"/>
          <w:sz w:val="24"/>
        </w:rPr>
        <w:t>the specific role of this change in the context of anti-cataleptic effects requires further investigation.</w:t>
      </w:r>
    </w:p>
    <w:p w14:paraId="446AF604">
      <w:pPr>
        <w:pStyle w:val="6"/>
        <w:spacing w:before="27"/>
      </w:pPr>
    </w:p>
    <w:p w14:paraId="006778D4">
      <w:pPr>
        <w:pStyle w:val="6"/>
        <w:ind w:left="360" w:right="367"/>
        <w:jc w:val="both"/>
      </w:pPr>
      <w:r>
        <w:rPr>
          <w:color w:val="1F1F1F"/>
        </w:rPr>
        <w:t>The data suggests that zonisamide, particularly at higher doses (15 and 20 mg/kg), and exhibits anti-cataleptic effects in this rat model. These effects might be mediated through multiple mechanisms,</w:t>
      </w:r>
      <w:r>
        <w:rPr>
          <w:color w:val="1F1F1F"/>
          <w:spacing w:val="78"/>
          <w:w w:val="150"/>
        </w:rPr>
        <w:t xml:space="preserve"> </w:t>
      </w:r>
      <w:r>
        <w:rPr>
          <w:color w:val="1F1F1F"/>
        </w:rPr>
        <w:t>including:Enhanced</w:t>
      </w:r>
      <w:r>
        <w:rPr>
          <w:color w:val="1F1F1F"/>
          <w:spacing w:val="26"/>
        </w:rPr>
        <w:t xml:space="preserve">  </w:t>
      </w:r>
      <w:r>
        <w:rPr>
          <w:color w:val="1F1F1F"/>
        </w:rPr>
        <w:t>GABAergic</w:t>
      </w:r>
      <w:r>
        <w:rPr>
          <w:color w:val="1F1F1F"/>
          <w:spacing w:val="79"/>
          <w:w w:val="150"/>
        </w:rPr>
        <w:t xml:space="preserve"> </w:t>
      </w:r>
      <w:r>
        <w:rPr>
          <w:color w:val="1F1F1F"/>
        </w:rPr>
        <w:t>inhibition:</w:t>
      </w:r>
      <w:r>
        <w:rPr>
          <w:color w:val="1F1F1F"/>
          <w:spacing w:val="-6"/>
        </w:rPr>
        <w:t xml:space="preserve"> </w:t>
      </w:r>
      <w:r>
        <w:rPr>
          <w:color w:val="1F1F1F"/>
        </w:rPr>
        <w:t>Increased</w:t>
      </w:r>
      <w:r>
        <w:rPr>
          <w:color w:val="1F1F1F"/>
          <w:spacing w:val="25"/>
        </w:rPr>
        <w:t xml:space="preserve">  </w:t>
      </w:r>
      <w:r>
        <w:rPr>
          <w:color w:val="1F1F1F"/>
        </w:rPr>
        <w:t>GABA</w:t>
      </w:r>
      <w:r>
        <w:rPr>
          <w:color w:val="1F1F1F"/>
          <w:spacing w:val="78"/>
          <w:w w:val="150"/>
        </w:rPr>
        <w:t xml:space="preserve"> </w:t>
      </w:r>
      <w:r>
        <w:rPr>
          <w:color w:val="1F1F1F"/>
        </w:rPr>
        <w:t>levels</w:t>
      </w:r>
      <w:r>
        <w:rPr>
          <w:color w:val="1F1F1F"/>
          <w:spacing w:val="79"/>
          <w:w w:val="150"/>
        </w:rPr>
        <w:t xml:space="preserve"> </w:t>
      </w:r>
      <w:r>
        <w:rPr>
          <w:color w:val="1F1F1F"/>
          <w:spacing w:val="-2"/>
        </w:rPr>
        <w:t>suggest</w:t>
      </w:r>
    </w:p>
    <w:p w14:paraId="1A0B0021">
      <w:pPr>
        <w:pStyle w:val="6"/>
        <w:spacing w:after="0"/>
        <w:jc w:val="both"/>
        <w:sectPr>
          <w:pgSz w:w="12240" w:h="15840"/>
          <w:pgMar w:top="740" w:right="1080" w:bottom="1200" w:left="1080" w:header="0" w:footer="1006" w:gutter="0"/>
          <w:cols w:space="720" w:num="1"/>
        </w:sectPr>
      </w:pPr>
    </w:p>
    <w:p w14:paraId="00B18EEF">
      <w:pPr>
        <w:pStyle w:val="6"/>
        <w:spacing w:before="63"/>
        <w:ind w:left="360" w:right="369"/>
        <w:jc w:val="both"/>
      </w:pPr>
      <w:r>
        <w:rPr>
          <w:color w:val="1F1F1F"/>
        </w:rPr>
        <w:t>counteracting dopamine-driven excitation.Reduced glutamatergic excitation:</w:t>
      </w:r>
      <w:r>
        <w:rPr>
          <w:color w:val="1F1F1F"/>
          <w:spacing w:val="-3"/>
        </w:rPr>
        <w:t xml:space="preserve"> </w:t>
      </w:r>
      <w:r>
        <w:rPr>
          <w:color w:val="1F1F1F"/>
        </w:rPr>
        <w:t>Lower glutamate levels might contribute to decreased motor hyperactivity.Modulation of NMDA receptors:</w:t>
      </w:r>
      <w:r>
        <w:rPr>
          <w:color w:val="1F1F1F"/>
          <w:spacing w:val="-2"/>
        </w:rPr>
        <w:t xml:space="preserve"> </w:t>
      </w:r>
      <w:r>
        <w:rPr>
          <w:color w:val="1F1F1F"/>
        </w:rPr>
        <w:t>The exact role of this change needs further exploration.</w:t>
      </w:r>
    </w:p>
    <w:p w14:paraId="50EDE2E1">
      <w:pPr>
        <w:pStyle w:val="6"/>
        <w:spacing w:before="26"/>
      </w:pPr>
    </w:p>
    <w:p w14:paraId="067E9769">
      <w:pPr>
        <w:pStyle w:val="6"/>
        <w:ind w:left="360"/>
      </w:pPr>
      <w:r>
        <w:rPr>
          <w:color w:val="1F1F1F"/>
          <w:spacing w:val="-2"/>
        </w:rPr>
        <w:t>Caveats:</w:t>
      </w:r>
    </w:p>
    <w:p w14:paraId="6ECA54E6">
      <w:pPr>
        <w:pStyle w:val="6"/>
        <w:spacing w:before="22"/>
      </w:pPr>
    </w:p>
    <w:p w14:paraId="261DCB90">
      <w:pPr>
        <w:pStyle w:val="6"/>
        <w:ind w:left="360" w:right="366"/>
        <w:jc w:val="both"/>
      </w:pPr>
      <w:r>
        <w:rPr>
          <w:color w:val="1F1F1F"/>
        </w:rPr>
        <w:t>This data is based on one study and requires further research to confirm these findings and elucidate the specific mechanisms involved.The doses used might not translate directly to humans,</w:t>
      </w:r>
      <w:r>
        <w:rPr>
          <w:color w:val="1F1F1F"/>
          <w:spacing w:val="-3"/>
        </w:rPr>
        <w:t xml:space="preserve"> </w:t>
      </w:r>
      <w:r>
        <w:rPr>
          <w:color w:val="1F1F1F"/>
        </w:rPr>
        <w:t xml:space="preserve">and further safety and efficacy studies would be necessary for potential clinical </w:t>
      </w:r>
      <w:r>
        <w:rPr>
          <w:color w:val="1F1F1F"/>
          <w:spacing w:val="-2"/>
        </w:rPr>
        <w:t>applications.</w:t>
      </w:r>
    </w:p>
    <w:p w14:paraId="2BF53F9D">
      <w:pPr>
        <w:pStyle w:val="6"/>
        <w:spacing w:before="233"/>
      </w:pPr>
    </w:p>
    <w:p w14:paraId="3416EE9F">
      <w:pPr>
        <w:pStyle w:val="2"/>
      </w:pPr>
      <w:r>
        <w:rPr>
          <w:color w:val="1F1F1F"/>
          <w:spacing w:val="-2"/>
        </w:rPr>
        <w:t>CONCLUSION</w:t>
      </w:r>
    </w:p>
    <w:p w14:paraId="6F267F21">
      <w:pPr>
        <w:pStyle w:val="6"/>
        <w:spacing w:before="93"/>
        <w:rPr>
          <w:b/>
        </w:rPr>
      </w:pPr>
    </w:p>
    <w:p w14:paraId="322AE163">
      <w:pPr>
        <w:pStyle w:val="6"/>
        <w:spacing w:before="1" w:line="261" w:lineRule="auto"/>
        <w:ind w:left="360" w:right="366"/>
        <w:jc w:val="both"/>
      </w:pPr>
      <w:r>
        <w:rPr>
          <w:color w:val="1F1F1F"/>
        </w:rPr>
        <w:t>Zonisamide demonstrates significant anti-cataleptic effects in a haloperidol-induced rat model, potentially mediated by enhanced GABAergic inhibition, reduced glutamatergic excitation, and modulation of NMDA receptors. These findings suggest a novel therapeutic avenue for mitigating motor side effects associated with antipsychotic medications, warranting further investigation into its mechanisms and potential clinical applications.This study provides preliminary evidence for the potential anti-cataleptic properties of zonisamide. While the observed changes in GABA, glutamate levels, and NMDA</w:t>
      </w:r>
      <w:r>
        <w:rPr>
          <w:color w:val="1F1F1F"/>
          <w:spacing w:val="-3"/>
        </w:rPr>
        <w:t xml:space="preserve"> </w:t>
      </w:r>
      <w:r>
        <w:rPr>
          <w:color w:val="1F1F1F"/>
        </w:rPr>
        <w:t>binding</w:t>
      </w:r>
      <w:r>
        <w:rPr>
          <w:color w:val="1F1F1F"/>
          <w:spacing w:val="-2"/>
        </w:rPr>
        <w:t xml:space="preserve"> </w:t>
      </w:r>
      <w:r>
        <w:rPr>
          <w:color w:val="1F1F1F"/>
        </w:rPr>
        <w:t>suggest possible mechanisms of</w:t>
      </w:r>
      <w:r>
        <w:rPr>
          <w:color w:val="1F1F1F"/>
          <w:spacing w:val="-1"/>
        </w:rPr>
        <w:t xml:space="preserve"> </w:t>
      </w:r>
      <w:r>
        <w:rPr>
          <w:color w:val="1F1F1F"/>
        </w:rPr>
        <w:t>action, further</w:t>
      </w:r>
      <w:r>
        <w:rPr>
          <w:color w:val="1F1F1F"/>
          <w:spacing w:val="-1"/>
        </w:rPr>
        <w:t xml:space="preserve"> </w:t>
      </w:r>
      <w:r>
        <w:rPr>
          <w:color w:val="1F1F1F"/>
        </w:rPr>
        <w:t>research</w:t>
      </w:r>
      <w:r>
        <w:rPr>
          <w:color w:val="1F1F1F"/>
          <w:spacing w:val="-1"/>
        </w:rPr>
        <w:t xml:space="preserve"> </w:t>
      </w:r>
      <w:r>
        <w:rPr>
          <w:color w:val="1F1F1F"/>
        </w:rPr>
        <w:t>is</w:t>
      </w:r>
      <w:r>
        <w:rPr>
          <w:color w:val="1F1F1F"/>
          <w:spacing w:val="-1"/>
        </w:rPr>
        <w:t xml:space="preserve"> </w:t>
      </w:r>
      <w:r>
        <w:rPr>
          <w:color w:val="1F1F1F"/>
        </w:rPr>
        <w:t>necessary</w:t>
      </w:r>
      <w:r>
        <w:rPr>
          <w:color w:val="1F1F1F"/>
          <w:spacing w:val="-4"/>
        </w:rPr>
        <w:t xml:space="preserve"> </w:t>
      </w:r>
      <w:r>
        <w:rPr>
          <w:color w:val="1F1F1F"/>
        </w:rPr>
        <w:t>to elucidate</w:t>
      </w:r>
      <w:r>
        <w:rPr>
          <w:color w:val="1F1F1F"/>
          <w:spacing w:val="-4"/>
        </w:rPr>
        <w:t xml:space="preserve"> </w:t>
      </w:r>
      <w:r>
        <w:rPr>
          <w:color w:val="1F1F1F"/>
        </w:rPr>
        <w:t>the</w:t>
      </w:r>
      <w:r>
        <w:rPr>
          <w:color w:val="1F1F1F"/>
          <w:spacing w:val="-4"/>
        </w:rPr>
        <w:t xml:space="preserve"> </w:t>
      </w:r>
      <w:r>
        <w:rPr>
          <w:color w:val="1F1F1F"/>
        </w:rPr>
        <w:t>specific molecular pathways</w:t>
      </w:r>
      <w:r>
        <w:rPr>
          <w:color w:val="1F1F1F"/>
          <w:spacing w:val="-1"/>
        </w:rPr>
        <w:t xml:space="preserve"> </w:t>
      </w:r>
      <w:r>
        <w:rPr>
          <w:color w:val="1F1F1F"/>
        </w:rPr>
        <w:t>involved and confirm</w:t>
      </w:r>
      <w:r>
        <w:rPr>
          <w:color w:val="1F1F1F"/>
          <w:spacing w:val="-1"/>
        </w:rPr>
        <w:t xml:space="preserve"> </w:t>
      </w:r>
      <w:r>
        <w:rPr>
          <w:color w:val="1F1F1F"/>
        </w:rPr>
        <w:t>the</w:t>
      </w:r>
      <w:r>
        <w:rPr>
          <w:color w:val="1F1F1F"/>
          <w:spacing w:val="-4"/>
        </w:rPr>
        <w:t xml:space="preserve"> </w:t>
      </w:r>
      <w:r>
        <w:rPr>
          <w:color w:val="1F1F1F"/>
        </w:rPr>
        <w:t>efficacy</w:t>
      </w:r>
      <w:r>
        <w:rPr>
          <w:color w:val="1F1F1F"/>
          <w:spacing w:val="-6"/>
        </w:rPr>
        <w:t xml:space="preserve"> </w:t>
      </w:r>
      <w:r>
        <w:rPr>
          <w:color w:val="1F1F1F"/>
        </w:rPr>
        <w:t>and</w:t>
      </w:r>
      <w:r>
        <w:rPr>
          <w:color w:val="1F1F1F"/>
          <w:spacing w:val="-1"/>
        </w:rPr>
        <w:t xml:space="preserve"> </w:t>
      </w:r>
      <w:r>
        <w:rPr>
          <w:color w:val="1F1F1F"/>
        </w:rPr>
        <w:t>safety</w:t>
      </w:r>
      <w:r>
        <w:rPr>
          <w:color w:val="1F1F1F"/>
          <w:spacing w:val="-6"/>
        </w:rPr>
        <w:t xml:space="preserve"> </w:t>
      </w:r>
      <w:r>
        <w:rPr>
          <w:color w:val="1F1F1F"/>
        </w:rPr>
        <w:t>of</w:t>
      </w:r>
      <w:r>
        <w:rPr>
          <w:color w:val="1F1F1F"/>
          <w:spacing w:val="-4"/>
        </w:rPr>
        <w:t xml:space="preserve"> </w:t>
      </w:r>
      <w:r>
        <w:rPr>
          <w:color w:val="1F1F1F"/>
        </w:rPr>
        <w:t>zonisamide</w:t>
      </w:r>
      <w:r>
        <w:rPr>
          <w:color w:val="1F1F1F"/>
          <w:spacing w:val="-1"/>
        </w:rPr>
        <w:t xml:space="preserve"> </w:t>
      </w:r>
      <w:r>
        <w:rPr>
          <w:color w:val="1F1F1F"/>
        </w:rPr>
        <w:t>in</w:t>
      </w:r>
      <w:r>
        <w:rPr>
          <w:color w:val="1F1F1F"/>
          <w:spacing w:val="-4"/>
        </w:rPr>
        <w:t xml:space="preserve"> </w:t>
      </w:r>
      <w:r>
        <w:rPr>
          <w:color w:val="1F1F1F"/>
        </w:rPr>
        <w:t>clinical</w:t>
      </w:r>
      <w:r>
        <w:rPr>
          <w:color w:val="1F1F1F"/>
          <w:spacing w:val="-1"/>
        </w:rPr>
        <w:t xml:space="preserve"> </w:t>
      </w:r>
      <w:r>
        <w:rPr>
          <w:color w:val="1F1F1F"/>
        </w:rPr>
        <w:t>settings.The</w:t>
      </w:r>
      <w:r>
        <w:rPr>
          <w:color w:val="1F1F1F"/>
          <w:spacing w:val="-4"/>
        </w:rPr>
        <w:t xml:space="preserve"> </w:t>
      </w:r>
      <w:r>
        <w:rPr>
          <w:color w:val="1F1F1F"/>
        </w:rPr>
        <w:t>present</w:t>
      </w:r>
      <w:r>
        <w:rPr>
          <w:color w:val="1F1F1F"/>
          <w:spacing w:val="-1"/>
        </w:rPr>
        <w:t xml:space="preserve"> </w:t>
      </w:r>
      <w:r>
        <w:rPr>
          <w:color w:val="1F1F1F"/>
        </w:rPr>
        <w:t>study</w:t>
      </w:r>
      <w:r>
        <w:rPr>
          <w:color w:val="1F1F1F"/>
          <w:spacing w:val="-6"/>
        </w:rPr>
        <w:t xml:space="preserve"> </w:t>
      </w:r>
      <w:r>
        <w:rPr>
          <w:color w:val="1F1F1F"/>
        </w:rPr>
        <w:t>highlights the intriguing potential of zonisamide in alleviating motor dysfunction associated with antipsychotic treatment. Future research should expand on these findings by exploring the dose-dependent effects, investigating synergistic effects with other antipsychotics, and evaluating the safety and efficacy of zonisamide in preclinical and clinical models of schizophrenia.Zonisamide significantly increased bar test latency and decreased limb rigidity score compared to the haloperidol-only group, indicating anti-cataleptic effects.The effects of zonisamide appeared to be dose-dependent, with higher doses (15 and 20 mg/kg) showing greater anti-cataleptic activity than the lower dose (10 mg/kg).The combination of zonisamide 20 mg/kg and haloperidol had similar anti-cataleptic effects as zonisamide 15 mg/kg alone, suggesting that zonisamide might</w:t>
      </w:r>
      <w:r>
        <w:rPr>
          <w:color w:val="1F1F1F"/>
          <w:spacing w:val="40"/>
        </w:rPr>
        <w:t xml:space="preserve"> </w:t>
      </w:r>
      <w:r>
        <w:rPr>
          <w:color w:val="1F1F1F"/>
        </w:rPr>
        <w:t>be effective in mitigating motor side effects associated with haloperidol treatment.</w:t>
      </w:r>
    </w:p>
    <w:p w14:paraId="23D46D11">
      <w:pPr>
        <w:pStyle w:val="6"/>
        <w:spacing w:before="34"/>
      </w:pPr>
    </w:p>
    <w:p w14:paraId="285D8EC1">
      <w:pPr>
        <w:pStyle w:val="2"/>
      </w:pPr>
      <w:r>
        <w:rPr>
          <w:color w:val="1F1F1F"/>
          <w:spacing w:val="-2"/>
        </w:rPr>
        <w:t>REFERENCES</w:t>
      </w:r>
    </w:p>
    <w:p w14:paraId="712B7876">
      <w:pPr>
        <w:pStyle w:val="6"/>
        <w:spacing w:before="21"/>
        <w:rPr>
          <w:b/>
        </w:rPr>
      </w:pPr>
    </w:p>
    <w:p w14:paraId="0DDEDB4C">
      <w:pPr>
        <w:pStyle w:val="10"/>
        <w:numPr>
          <w:ilvl w:val="0"/>
          <w:numId w:val="7"/>
        </w:numPr>
        <w:tabs>
          <w:tab w:val="left" w:pos="900"/>
        </w:tabs>
        <w:spacing w:before="0" w:after="0" w:line="278" w:lineRule="auto"/>
        <w:ind w:left="900" w:right="361" w:hanging="540"/>
        <w:jc w:val="left"/>
        <w:rPr>
          <w:sz w:val="20"/>
        </w:rPr>
      </w:pPr>
      <w:r>
        <w:rPr>
          <w:color w:val="1F1F1F"/>
          <w:sz w:val="20"/>
        </w:rPr>
        <w:t>Davis</w:t>
      </w:r>
      <w:r>
        <w:rPr>
          <w:color w:val="1F1F1F"/>
          <w:spacing w:val="18"/>
          <w:sz w:val="20"/>
        </w:rPr>
        <w:t xml:space="preserve"> </w:t>
      </w:r>
      <w:r>
        <w:rPr>
          <w:color w:val="1F1F1F"/>
          <w:sz w:val="20"/>
        </w:rPr>
        <w:t>KL,</w:t>
      </w:r>
      <w:r>
        <w:rPr>
          <w:color w:val="1F1F1F"/>
          <w:spacing w:val="16"/>
          <w:sz w:val="20"/>
        </w:rPr>
        <w:t xml:space="preserve"> </w:t>
      </w:r>
      <w:r>
        <w:rPr>
          <w:color w:val="1F1F1F"/>
          <w:sz w:val="20"/>
        </w:rPr>
        <w:t>Matahari N,</w:t>
      </w:r>
      <w:r>
        <w:rPr>
          <w:color w:val="1F1F1F"/>
          <w:spacing w:val="16"/>
          <w:sz w:val="20"/>
        </w:rPr>
        <w:t xml:space="preserve"> </w:t>
      </w:r>
      <w:r>
        <w:rPr>
          <w:color w:val="1F1F1F"/>
          <w:sz w:val="20"/>
        </w:rPr>
        <w:t>Katz</w:t>
      </w:r>
      <w:r>
        <w:rPr>
          <w:color w:val="1F1F1F"/>
          <w:spacing w:val="18"/>
          <w:sz w:val="20"/>
        </w:rPr>
        <w:t xml:space="preserve"> </w:t>
      </w:r>
      <w:r>
        <w:rPr>
          <w:color w:val="1F1F1F"/>
          <w:sz w:val="20"/>
        </w:rPr>
        <w:t>DS,</w:t>
      </w:r>
      <w:r>
        <w:rPr>
          <w:color w:val="1F1F1F"/>
          <w:spacing w:val="16"/>
          <w:sz w:val="20"/>
        </w:rPr>
        <w:t xml:space="preserve"> </w:t>
      </w:r>
      <w:r>
        <w:rPr>
          <w:color w:val="1F1F1F"/>
          <w:sz w:val="20"/>
        </w:rPr>
        <w:t>et</w:t>
      </w:r>
      <w:r>
        <w:rPr>
          <w:color w:val="1F1F1F"/>
          <w:spacing w:val="16"/>
          <w:sz w:val="20"/>
        </w:rPr>
        <w:t xml:space="preserve"> </w:t>
      </w:r>
      <w:r>
        <w:rPr>
          <w:color w:val="1F1F1F"/>
          <w:sz w:val="20"/>
        </w:rPr>
        <w:t>al.</w:t>
      </w:r>
      <w:r>
        <w:rPr>
          <w:color w:val="1F1F1F"/>
          <w:spacing w:val="20"/>
          <w:sz w:val="20"/>
        </w:rPr>
        <w:t xml:space="preserve"> </w:t>
      </w:r>
      <w:r>
        <w:rPr>
          <w:color w:val="1F1F1F"/>
          <w:sz w:val="20"/>
        </w:rPr>
        <w:t>Animal</w:t>
      </w:r>
      <w:r>
        <w:rPr>
          <w:color w:val="1F1F1F"/>
          <w:spacing w:val="19"/>
          <w:sz w:val="20"/>
        </w:rPr>
        <w:t xml:space="preserve"> </w:t>
      </w:r>
      <w:r>
        <w:rPr>
          <w:color w:val="1F1F1F"/>
          <w:sz w:val="20"/>
        </w:rPr>
        <w:t>models of</w:t>
      </w:r>
      <w:r>
        <w:rPr>
          <w:color w:val="1F1F1F"/>
          <w:spacing w:val="17"/>
          <w:sz w:val="20"/>
        </w:rPr>
        <w:t xml:space="preserve"> </w:t>
      </w:r>
      <w:r>
        <w:rPr>
          <w:color w:val="1F1F1F"/>
          <w:sz w:val="20"/>
        </w:rPr>
        <w:t>psychosis</w:t>
      </w:r>
      <w:r>
        <w:rPr>
          <w:color w:val="1F1F1F"/>
          <w:spacing w:val="16"/>
          <w:sz w:val="20"/>
        </w:rPr>
        <w:t xml:space="preserve"> </w:t>
      </w:r>
      <w:r>
        <w:rPr>
          <w:color w:val="1F1F1F"/>
          <w:sz w:val="20"/>
        </w:rPr>
        <w:t>and</w:t>
      </w:r>
      <w:r>
        <w:rPr>
          <w:color w:val="1F1F1F"/>
          <w:spacing w:val="18"/>
          <w:sz w:val="20"/>
        </w:rPr>
        <w:t xml:space="preserve"> </w:t>
      </w:r>
      <w:r>
        <w:rPr>
          <w:color w:val="1F1F1F"/>
          <w:sz w:val="20"/>
        </w:rPr>
        <w:t>antipsychotic</w:t>
      </w:r>
      <w:r>
        <w:rPr>
          <w:color w:val="1F1F1F"/>
          <w:spacing w:val="17"/>
          <w:sz w:val="20"/>
        </w:rPr>
        <w:t xml:space="preserve"> </w:t>
      </w:r>
      <w:r>
        <w:rPr>
          <w:color w:val="1F1F1F"/>
          <w:sz w:val="20"/>
        </w:rPr>
        <w:t>action:</w:t>
      </w:r>
      <w:r>
        <w:rPr>
          <w:color w:val="1F1F1F"/>
          <w:spacing w:val="18"/>
          <w:sz w:val="20"/>
        </w:rPr>
        <w:t xml:space="preserve"> </w:t>
      </w:r>
      <w:r>
        <w:rPr>
          <w:color w:val="1F1F1F"/>
          <w:sz w:val="20"/>
        </w:rPr>
        <w:t>how do</w:t>
      </w:r>
      <w:r>
        <w:rPr>
          <w:color w:val="1F1F1F"/>
          <w:spacing w:val="16"/>
          <w:sz w:val="20"/>
        </w:rPr>
        <w:t xml:space="preserve"> </w:t>
      </w:r>
      <w:r>
        <w:rPr>
          <w:color w:val="1F1F1F"/>
          <w:sz w:val="20"/>
        </w:rPr>
        <w:t>they inform drug development? Nat Rev Neurosci. 2017;18(12):735-748. doi:10.1038/nrn.2017.100</w:t>
      </w:r>
    </w:p>
    <w:p w14:paraId="2FA724F6">
      <w:pPr>
        <w:pStyle w:val="10"/>
        <w:numPr>
          <w:ilvl w:val="0"/>
          <w:numId w:val="7"/>
        </w:numPr>
        <w:tabs>
          <w:tab w:val="left" w:pos="899"/>
        </w:tabs>
        <w:spacing w:before="0" w:after="0" w:line="227" w:lineRule="exact"/>
        <w:ind w:left="899" w:right="0" w:hanging="539"/>
        <w:jc w:val="left"/>
        <w:rPr>
          <w:sz w:val="20"/>
        </w:rPr>
      </w:pPr>
      <w:r>
        <w:rPr>
          <w:color w:val="1F1F1F"/>
          <w:sz w:val="20"/>
        </w:rPr>
        <w:t>Krystal</w:t>
      </w:r>
      <w:r>
        <w:rPr>
          <w:color w:val="1F1F1F"/>
          <w:spacing w:val="-1"/>
          <w:sz w:val="20"/>
        </w:rPr>
        <w:t xml:space="preserve"> </w:t>
      </w:r>
      <w:r>
        <w:rPr>
          <w:color w:val="1F1F1F"/>
          <w:sz w:val="20"/>
        </w:rPr>
        <w:t>JD,</w:t>
      </w:r>
      <w:r>
        <w:rPr>
          <w:color w:val="1F1F1F"/>
          <w:spacing w:val="1"/>
          <w:sz w:val="20"/>
        </w:rPr>
        <w:t xml:space="preserve"> </w:t>
      </w:r>
      <w:r>
        <w:rPr>
          <w:color w:val="1F1F1F"/>
          <w:sz w:val="20"/>
        </w:rPr>
        <w:t>Abi-Dacher</w:t>
      </w:r>
      <w:r>
        <w:rPr>
          <w:color w:val="1F1F1F"/>
          <w:spacing w:val="1"/>
          <w:sz w:val="20"/>
        </w:rPr>
        <w:t xml:space="preserve"> </w:t>
      </w:r>
      <w:r>
        <w:rPr>
          <w:color w:val="1F1F1F"/>
          <w:sz w:val="20"/>
        </w:rPr>
        <w:t>W, Darris</w:t>
      </w:r>
      <w:r>
        <w:rPr>
          <w:color w:val="1F1F1F"/>
          <w:spacing w:val="-1"/>
          <w:sz w:val="20"/>
        </w:rPr>
        <w:t xml:space="preserve"> </w:t>
      </w:r>
      <w:r>
        <w:rPr>
          <w:color w:val="1F1F1F"/>
          <w:sz w:val="20"/>
        </w:rPr>
        <w:t>AW,</w:t>
      </w:r>
      <w:r>
        <w:rPr>
          <w:color w:val="1F1F1F"/>
          <w:spacing w:val="1"/>
          <w:sz w:val="20"/>
        </w:rPr>
        <w:t xml:space="preserve"> </w:t>
      </w:r>
      <w:r>
        <w:rPr>
          <w:color w:val="1F1F1F"/>
          <w:sz w:val="20"/>
        </w:rPr>
        <w:t>et al.</w:t>
      </w:r>
      <w:r>
        <w:rPr>
          <w:color w:val="1F1F1F"/>
          <w:spacing w:val="-1"/>
          <w:sz w:val="20"/>
        </w:rPr>
        <w:t xml:space="preserve"> </w:t>
      </w:r>
      <w:r>
        <w:rPr>
          <w:color w:val="1F1F1F"/>
          <w:sz w:val="20"/>
        </w:rPr>
        <w:t>Catalepsy: a model</w:t>
      </w:r>
      <w:r>
        <w:rPr>
          <w:color w:val="1F1F1F"/>
          <w:spacing w:val="1"/>
          <w:sz w:val="20"/>
        </w:rPr>
        <w:t xml:space="preserve"> </w:t>
      </w:r>
      <w:r>
        <w:rPr>
          <w:color w:val="1F1F1F"/>
          <w:sz w:val="20"/>
        </w:rPr>
        <w:t>for</w:t>
      </w:r>
      <w:r>
        <w:rPr>
          <w:color w:val="1F1F1F"/>
          <w:spacing w:val="2"/>
          <w:sz w:val="20"/>
        </w:rPr>
        <w:t xml:space="preserve"> </w:t>
      </w:r>
      <w:r>
        <w:rPr>
          <w:color w:val="1F1F1F"/>
          <w:sz w:val="20"/>
        </w:rPr>
        <w:t>the</w:t>
      </w:r>
      <w:r>
        <w:rPr>
          <w:color w:val="1F1F1F"/>
          <w:spacing w:val="3"/>
          <w:sz w:val="20"/>
        </w:rPr>
        <w:t xml:space="preserve"> </w:t>
      </w:r>
      <w:r>
        <w:rPr>
          <w:color w:val="1F1F1F"/>
          <w:sz w:val="20"/>
        </w:rPr>
        <w:t>motor</w:t>
      </w:r>
      <w:r>
        <w:rPr>
          <w:color w:val="1F1F1F"/>
          <w:spacing w:val="2"/>
          <w:sz w:val="20"/>
        </w:rPr>
        <w:t xml:space="preserve"> </w:t>
      </w:r>
      <w:r>
        <w:rPr>
          <w:color w:val="1F1F1F"/>
          <w:sz w:val="20"/>
        </w:rPr>
        <w:t>side effects</w:t>
      </w:r>
      <w:r>
        <w:rPr>
          <w:color w:val="1F1F1F"/>
          <w:spacing w:val="-1"/>
          <w:sz w:val="20"/>
        </w:rPr>
        <w:t xml:space="preserve"> </w:t>
      </w:r>
      <w:r>
        <w:rPr>
          <w:color w:val="1F1F1F"/>
          <w:sz w:val="20"/>
        </w:rPr>
        <w:t>of</w:t>
      </w:r>
      <w:r>
        <w:rPr>
          <w:color w:val="1F1F1F"/>
          <w:spacing w:val="-1"/>
          <w:sz w:val="20"/>
        </w:rPr>
        <w:t xml:space="preserve"> </w:t>
      </w:r>
      <w:r>
        <w:rPr>
          <w:color w:val="1F1F1F"/>
          <w:spacing w:val="-2"/>
          <w:sz w:val="20"/>
        </w:rPr>
        <w:t>antipsychotics?</w:t>
      </w:r>
    </w:p>
    <w:p w14:paraId="3C705DDF">
      <w:pPr>
        <w:spacing w:before="34"/>
        <w:ind w:left="900" w:right="0" w:firstLine="0"/>
        <w:jc w:val="left"/>
        <w:rPr>
          <w:sz w:val="20"/>
        </w:rPr>
      </w:pPr>
      <w:r>
        <w:rPr>
          <w:color w:val="1F1F1F"/>
          <w:sz w:val="20"/>
        </w:rPr>
        <w:t>Biol</w:t>
      </w:r>
      <w:r>
        <w:rPr>
          <w:color w:val="1F1F1F"/>
          <w:spacing w:val="-9"/>
          <w:sz w:val="20"/>
        </w:rPr>
        <w:t xml:space="preserve"> </w:t>
      </w:r>
      <w:r>
        <w:rPr>
          <w:color w:val="1F1F1F"/>
          <w:sz w:val="20"/>
        </w:rPr>
        <w:t>Psychiatry.</w:t>
      </w:r>
      <w:r>
        <w:rPr>
          <w:color w:val="1F1F1F"/>
          <w:spacing w:val="-6"/>
          <w:sz w:val="20"/>
        </w:rPr>
        <w:t xml:space="preserve"> </w:t>
      </w:r>
      <w:r>
        <w:rPr>
          <w:color w:val="1F1F1F"/>
          <w:sz w:val="20"/>
        </w:rPr>
        <w:t>2010;68(1):1-7.</w:t>
      </w:r>
      <w:r>
        <w:rPr>
          <w:color w:val="1F1F1F"/>
          <w:spacing w:val="-6"/>
          <w:sz w:val="20"/>
        </w:rPr>
        <w:t xml:space="preserve"> </w:t>
      </w:r>
      <w:r>
        <w:rPr>
          <w:color w:val="1F1F1F"/>
          <w:spacing w:val="-2"/>
          <w:sz w:val="20"/>
        </w:rPr>
        <w:t>doi:10.1016/j.biopsych.2009.08.034</w:t>
      </w:r>
    </w:p>
    <w:p w14:paraId="6D1CE3E6">
      <w:pPr>
        <w:pStyle w:val="10"/>
        <w:numPr>
          <w:ilvl w:val="0"/>
          <w:numId w:val="7"/>
        </w:numPr>
        <w:tabs>
          <w:tab w:val="left" w:pos="899"/>
        </w:tabs>
        <w:spacing w:before="34" w:after="0" w:line="240" w:lineRule="auto"/>
        <w:ind w:left="899" w:right="0" w:hanging="539"/>
        <w:jc w:val="left"/>
        <w:rPr>
          <w:sz w:val="20"/>
        </w:rPr>
      </w:pPr>
      <w:r>
        <w:rPr>
          <w:color w:val="1F1F1F"/>
          <w:sz w:val="20"/>
        </w:rPr>
        <w:t>Howes</w:t>
      </w:r>
      <w:r>
        <w:rPr>
          <w:color w:val="1F1F1F"/>
          <w:spacing w:val="8"/>
          <w:sz w:val="20"/>
        </w:rPr>
        <w:t xml:space="preserve"> </w:t>
      </w:r>
      <w:r>
        <w:rPr>
          <w:color w:val="1F1F1F"/>
          <w:sz w:val="20"/>
        </w:rPr>
        <w:t>OD,</w:t>
      </w:r>
      <w:r>
        <w:rPr>
          <w:color w:val="1F1F1F"/>
          <w:spacing w:val="11"/>
          <w:sz w:val="20"/>
        </w:rPr>
        <w:t xml:space="preserve"> </w:t>
      </w:r>
      <w:r>
        <w:rPr>
          <w:color w:val="1F1F1F"/>
          <w:sz w:val="20"/>
        </w:rPr>
        <w:t>Nourish</w:t>
      </w:r>
      <w:r>
        <w:rPr>
          <w:color w:val="1F1F1F"/>
          <w:spacing w:val="10"/>
          <w:sz w:val="20"/>
        </w:rPr>
        <w:t xml:space="preserve"> </w:t>
      </w:r>
      <w:r>
        <w:rPr>
          <w:color w:val="1F1F1F"/>
          <w:sz w:val="20"/>
        </w:rPr>
        <w:t>A,</w:t>
      </w:r>
      <w:r>
        <w:rPr>
          <w:color w:val="1F1F1F"/>
          <w:spacing w:val="10"/>
          <w:sz w:val="20"/>
        </w:rPr>
        <w:t xml:space="preserve"> </w:t>
      </w:r>
      <w:r>
        <w:rPr>
          <w:color w:val="1F1F1F"/>
          <w:sz w:val="20"/>
        </w:rPr>
        <w:t>Egerton</w:t>
      </w:r>
      <w:r>
        <w:rPr>
          <w:color w:val="1F1F1F"/>
          <w:spacing w:val="9"/>
          <w:sz w:val="20"/>
        </w:rPr>
        <w:t xml:space="preserve"> </w:t>
      </w:r>
      <w:r>
        <w:rPr>
          <w:color w:val="1F1F1F"/>
          <w:sz w:val="20"/>
        </w:rPr>
        <w:t>A,</w:t>
      </w:r>
      <w:r>
        <w:rPr>
          <w:color w:val="1F1F1F"/>
          <w:spacing w:val="11"/>
          <w:sz w:val="20"/>
        </w:rPr>
        <w:t xml:space="preserve"> </w:t>
      </w:r>
      <w:r>
        <w:rPr>
          <w:color w:val="1F1F1F"/>
          <w:sz w:val="20"/>
        </w:rPr>
        <w:t>et</w:t>
      </w:r>
      <w:r>
        <w:rPr>
          <w:color w:val="1F1F1F"/>
          <w:spacing w:val="9"/>
          <w:sz w:val="20"/>
        </w:rPr>
        <w:t xml:space="preserve"> </w:t>
      </w:r>
      <w:r>
        <w:rPr>
          <w:color w:val="1F1F1F"/>
          <w:sz w:val="20"/>
        </w:rPr>
        <w:t>al.</w:t>
      </w:r>
      <w:r>
        <w:rPr>
          <w:color w:val="1F1F1F"/>
          <w:spacing w:val="11"/>
          <w:sz w:val="20"/>
        </w:rPr>
        <w:t xml:space="preserve"> </w:t>
      </w:r>
      <w:r>
        <w:rPr>
          <w:color w:val="1F1F1F"/>
          <w:sz w:val="20"/>
        </w:rPr>
        <w:t>Catecholamine</w:t>
      </w:r>
      <w:r>
        <w:rPr>
          <w:color w:val="1F1F1F"/>
          <w:spacing w:val="11"/>
          <w:sz w:val="20"/>
        </w:rPr>
        <w:t xml:space="preserve"> </w:t>
      </w:r>
      <w:r>
        <w:rPr>
          <w:color w:val="1F1F1F"/>
          <w:sz w:val="20"/>
        </w:rPr>
        <w:t>release</w:t>
      </w:r>
      <w:r>
        <w:rPr>
          <w:color w:val="1F1F1F"/>
          <w:spacing w:val="9"/>
          <w:sz w:val="20"/>
        </w:rPr>
        <w:t xml:space="preserve"> </w:t>
      </w:r>
      <w:r>
        <w:rPr>
          <w:color w:val="1F1F1F"/>
          <w:sz w:val="20"/>
        </w:rPr>
        <w:t>and</w:t>
      </w:r>
      <w:r>
        <w:rPr>
          <w:color w:val="1F1F1F"/>
          <w:spacing w:val="11"/>
          <w:sz w:val="20"/>
        </w:rPr>
        <w:t xml:space="preserve"> </w:t>
      </w:r>
      <w:r>
        <w:rPr>
          <w:color w:val="1F1F1F"/>
          <w:sz w:val="20"/>
        </w:rPr>
        <w:t>psychosis:</w:t>
      </w:r>
      <w:r>
        <w:rPr>
          <w:color w:val="1F1F1F"/>
          <w:spacing w:val="10"/>
          <w:sz w:val="20"/>
        </w:rPr>
        <w:t xml:space="preserve"> </w:t>
      </w:r>
      <w:r>
        <w:rPr>
          <w:color w:val="1F1F1F"/>
          <w:sz w:val="20"/>
        </w:rPr>
        <w:t>Is</w:t>
      </w:r>
      <w:r>
        <w:rPr>
          <w:color w:val="1F1F1F"/>
          <w:spacing w:val="9"/>
          <w:sz w:val="20"/>
        </w:rPr>
        <w:t xml:space="preserve"> </w:t>
      </w:r>
      <w:r>
        <w:rPr>
          <w:color w:val="1F1F1F"/>
          <w:sz w:val="20"/>
        </w:rPr>
        <w:t>dopamine</w:t>
      </w:r>
      <w:r>
        <w:rPr>
          <w:color w:val="1F1F1F"/>
          <w:spacing w:val="11"/>
          <w:sz w:val="20"/>
        </w:rPr>
        <w:t xml:space="preserve"> </w:t>
      </w:r>
      <w:r>
        <w:rPr>
          <w:color w:val="1F1F1F"/>
          <w:sz w:val="20"/>
        </w:rPr>
        <w:t>the</w:t>
      </w:r>
      <w:r>
        <w:rPr>
          <w:color w:val="1F1F1F"/>
          <w:spacing w:val="11"/>
          <w:sz w:val="20"/>
        </w:rPr>
        <w:t xml:space="preserve"> </w:t>
      </w:r>
      <w:r>
        <w:rPr>
          <w:color w:val="1F1F1F"/>
          <w:sz w:val="20"/>
        </w:rPr>
        <w:t>only</w:t>
      </w:r>
      <w:r>
        <w:rPr>
          <w:color w:val="1F1F1F"/>
          <w:spacing w:val="8"/>
          <w:sz w:val="20"/>
        </w:rPr>
        <w:t xml:space="preserve"> </w:t>
      </w:r>
      <w:r>
        <w:rPr>
          <w:color w:val="1F1F1F"/>
          <w:spacing w:val="-2"/>
          <w:sz w:val="20"/>
        </w:rPr>
        <w:t>story?</w:t>
      </w:r>
    </w:p>
    <w:p w14:paraId="5ADF097D">
      <w:pPr>
        <w:spacing w:before="34"/>
        <w:ind w:left="900" w:right="0" w:firstLine="0"/>
        <w:jc w:val="left"/>
        <w:rPr>
          <w:sz w:val="20"/>
        </w:rPr>
      </w:pPr>
      <w:r>
        <w:rPr>
          <w:color w:val="1F1F1F"/>
          <w:spacing w:val="-2"/>
          <w:sz w:val="20"/>
        </w:rPr>
        <w:t>Neuropsychopharmacology.</w:t>
      </w:r>
      <w:r>
        <w:rPr>
          <w:color w:val="1F1F1F"/>
          <w:spacing w:val="46"/>
          <w:sz w:val="20"/>
        </w:rPr>
        <w:t xml:space="preserve"> </w:t>
      </w:r>
      <w:r>
        <w:rPr>
          <w:color w:val="1F1F1F"/>
          <w:spacing w:val="-2"/>
          <w:sz w:val="20"/>
        </w:rPr>
        <w:t>2020;45(8):1267-1277.</w:t>
      </w:r>
      <w:r>
        <w:rPr>
          <w:color w:val="1F1F1F"/>
          <w:spacing w:val="42"/>
          <w:sz w:val="20"/>
        </w:rPr>
        <w:t xml:space="preserve"> </w:t>
      </w:r>
      <w:r>
        <w:rPr>
          <w:color w:val="1F1F1F"/>
          <w:spacing w:val="-2"/>
          <w:sz w:val="20"/>
        </w:rPr>
        <w:t>doi:10.1038/s41386-019-0501-</w:t>
      </w:r>
      <w:r>
        <w:rPr>
          <w:color w:val="1F1F1F"/>
          <w:spacing w:val="-10"/>
          <w:sz w:val="20"/>
        </w:rPr>
        <w:t>5</w:t>
      </w:r>
    </w:p>
    <w:p w14:paraId="1921A9FF">
      <w:pPr>
        <w:pStyle w:val="10"/>
        <w:numPr>
          <w:ilvl w:val="0"/>
          <w:numId w:val="7"/>
        </w:numPr>
        <w:tabs>
          <w:tab w:val="left" w:pos="899"/>
        </w:tabs>
        <w:spacing w:before="37" w:after="0" w:line="240" w:lineRule="auto"/>
        <w:ind w:left="899" w:right="0" w:hanging="539"/>
        <w:jc w:val="left"/>
        <w:rPr>
          <w:sz w:val="20"/>
        </w:rPr>
      </w:pPr>
      <w:r>
        <w:rPr>
          <w:color w:val="1F1F1F"/>
          <w:sz w:val="20"/>
        </w:rPr>
        <w:t>Kapur</w:t>
      </w:r>
      <w:r>
        <w:rPr>
          <w:color w:val="1F1F1F"/>
          <w:spacing w:val="6"/>
          <w:sz w:val="20"/>
        </w:rPr>
        <w:t xml:space="preserve"> </w:t>
      </w:r>
      <w:r>
        <w:rPr>
          <w:color w:val="1F1F1F"/>
          <w:sz w:val="20"/>
        </w:rPr>
        <w:t>S,</w:t>
      </w:r>
      <w:r>
        <w:rPr>
          <w:color w:val="1F1F1F"/>
          <w:spacing w:val="7"/>
          <w:sz w:val="20"/>
        </w:rPr>
        <w:t xml:space="preserve"> </w:t>
      </w:r>
      <w:r>
        <w:rPr>
          <w:color w:val="1F1F1F"/>
          <w:sz w:val="20"/>
        </w:rPr>
        <w:t>Seeman</w:t>
      </w:r>
      <w:r>
        <w:rPr>
          <w:color w:val="1F1F1F"/>
          <w:spacing w:val="5"/>
          <w:sz w:val="20"/>
        </w:rPr>
        <w:t xml:space="preserve"> </w:t>
      </w:r>
      <w:r>
        <w:rPr>
          <w:color w:val="1F1F1F"/>
          <w:sz w:val="20"/>
        </w:rPr>
        <w:t>P.</w:t>
      </w:r>
      <w:r>
        <w:rPr>
          <w:color w:val="1F1F1F"/>
          <w:spacing w:val="7"/>
          <w:sz w:val="20"/>
        </w:rPr>
        <w:t xml:space="preserve"> </w:t>
      </w:r>
      <w:r>
        <w:rPr>
          <w:color w:val="1F1F1F"/>
          <w:sz w:val="20"/>
        </w:rPr>
        <w:t>Dopamine</w:t>
      </w:r>
      <w:r>
        <w:rPr>
          <w:color w:val="1F1F1F"/>
          <w:spacing w:val="5"/>
          <w:sz w:val="20"/>
        </w:rPr>
        <w:t xml:space="preserve"> </w:t>
      </w:r>
      <w:r>
        <w:rPr>
          <w:color w:val="1F1F1F"/>
          <w:sz w:val="20"/>
        </w:rPr>
        <w:t>D2</w:t>
      </w:r>
      <w:r>
        <w:rPr>
          <w:color w:val="1F1F1F"/>
          <w:spacing w:val="7"/>
          <w:sz w:val="20"/>
        </w:rPr>
        <w:t xml:space="preserve"> </w:t>
      </w:r>
      <w:r>
        <w:rPr>
          <w:color w:val="1F1F1F"/>
          <w:sz w:val="20"/>
        </w:rPr>
        <w:t>receptors</w:t>
      </w:r>
      <w:r>
        <w:rPr>
          <w:color w:val="1F1F1F"/>
          <w:spacing w:val="5"/>
          <w:sz w:val="20"/>
        </w:rPr>
        <w:t xml:space="preserve"> </w:t>
      </w:r>
      <w:r>
        <w:rPr>
          <w:color w:val="1F1F1F"/>
          <w:sz w:val="20"/>
        </w:rPr>
        <w:t>in</w:t>
      </w:r>
      <w:r>
        <w:rPr>
          <w:color w:val="1F1F1F"/>
          <w:spacing w:val="5"/>
          <w:sz w:val="20"/>
        </w:rPr>
        <w:t xml:space="preserve"> </w:t>
      </w:r>
      <w:r>
        <w:rPr>
          <w:color w:val="1F1F1F"/>
          <w:sz w:val="20"/>
        </w:rPr>
        <w:t>schizophrenia:</w:t>
      </w:r>
      <w:r>
        <w:rPr>
          <w:color w:val="1F1F1F"/>
          <w:spacing w:val="5"/>
          <w:sz w:val="20"/>
        </w:rPr>
        <w:t xml:space="preserve"> </w:t>
      </w:r>
      <w:r>
        <w:rPr>
          <w:color w:val="1F1F1F"/>
          <w:sz w:val="20"/>
        </w:rPr>
        <w:t>a</w:t>
      </w:r>
      <w:r>
        <w:rPr>
          <w:color w:val="1F1F1F"/>
          <w:spacing w:val="6"/>
          <w:sz w:val="20"/>
        </w:rPr>
        <w:t xml:space="preserve"> </w:t>
      </w:r>
      <w:r>
        <w:rPr>
          <w:color w:val="1F1F1F"/>
          <w:sz w:val="20"/>
        </w:rPr>
        <w:t>closer</w:t>
      </w:r>
      <w:r>
        <w:rPr>
          <w:color w:val="1F1F1F"/>
          <w:spacing w:val="6"/>
          <w:sz w:val="20"/>
        </w:rPr>
        <w:t xml:space="preserve"> </w:t>
      </w:r>
      <w:r>
        <w:rPr>
          <w:color w:val="1F1F1F"/>
          <w:sz w:val="20"/>
        </w:rPr>
        <w:t>look.</w:t>
      </w:r>
      <w:r>
        <w:rPr>
          <w:color w:val="1F1F1F"/>
          <w:spacing w:val="5"/>
          <w:sz w:val="20"/>
        </w:rPr>
        <w:t xml:space="preserve"> </w:t>
      </w:r>
      <w:r>
        <w:rPr>
          <w:color w:val="1F1F1F"/>
          <w:sz w:val="20"/>
        </w:rPr>
        <w:t>Schizophr</w:t>
      </w:r>
      <w:r>
        <w:rPr>
          <w:color w:val="1F1F1F"/>
          <w:spacing w:val="7"/>
          <w:sz w:val="20"/>
        </w:rPr>
        <w:t xml:space="preserve"> </w:t>
      </w:r>
      <w:r>
        <w:rPr>
          <w:color w:val="1F1F1F"/>
          <w:sz w:val="20"/>
        </w:rPr>
        <w:t>Bull.</w:t>
      </w:r>
      <w:r>
        <w:rPr>
          <w:color w:val="1F1F1F"/>
          <w:spacing w:val="5"/>
          <w:sz w:val="20"/>
        </w:rPr>
        <w:t xml:space="preserve"> </w:t>
      </w:r>
      <w:r>
        <w:rPr>
          <w:color w:val="1F1F1F"/>
          <w:spacing w:val="-2"/>
          <w:sz w:val="20"/>
        </w:rPr>
        <w:t>2001;27(1):13-</w:t>
      </w:r>
    </w:p>
    <w:p w14:paraId="14116B72">
      <w:pPr>
        <w:spacing w:before="34"/>
        <w:ind w:left="900" w:right="0" w:firstLine="0"/>
        <w:jc w:val="left"/>
        <w:rPr>
          <w:sz w:val="20"/>
        </w:rPr>
      </w:pPr>
      <w:r>
        <w:rPr>
          <w:color w:val="1F1F1F"/>
          <w:sz w:val="20"/>
        </w:rPr>
        <w:t>21.</w:t>
      </w:r>
      <w:r>
        <w:rPr>
          <w:color w:val="1F1F1F"/>
          <w:spacing w:val="-1"/>
          <w:sz w:val="20"/>
        </w:rPr>
        <w:t xml:space="preserve"> </w:t>
      </w:r>
      <w:r>
        <w:rPr>
          <w:color w:val="1F1F1F"/>
          <w:spacing w:val="-2"/>
          <w:sz w:val="20"/>
        </w:rPr>
        <w:t>doi:10.1093/schbul/27.1.13</w:t>
      </w:r>
    </w:p>
    <w:p w14:paraId="341D78B1">
      <w:pPr>
        <w:pStyle w:val="10"/>
        <w:numPr>
          <w:ilvl w:val="0"/>
          <w:numId w:val="7"/>
        </w:numPr>
        <w:tabs>
          <w:tab w:val="left" w:pos="900"/>
        </w:tabs>
        <w:spacing w:before="34" w:after="0" w:line="276" w:lineRule="auto"/>
        <w:ind w:left="900" w:right="366" w:hanging="540"/>
        <w:jc w:val="left"/>
        <w:rPr>
          <w:sz w:val="20"/>
        </w:rPr>
      </w:pPr>
      <w:r>
        <w:rPr>
          <w:color w:val="1F1F1F"/>
          <w:sz w:val="20"/>
        </w:rPr>
        <w:t>Taylor</w:t>
      </w:r>
      <w:r>
        <w:rPr>
          <w:color w:val="1F1F1F"/>
          <w:spacing w:val="31"/>
          <w:sz w:val="20"/>
        </w:rPr>
        <w:t xml:space="preserve"> </w:t>
      </w:r>
      <w:r>
        <w:rPr>
          <w:color w:val="1F1F1F"/>
          <w:sz w:val="20"/>
        </w:rPr>
        <w:t>LP,</w:t>
      </w:r>
      <w:r>
        <w:rPr>
          <w:color w:val="1F1F1F"/>
          <w:spacing w:val="32"/>
          <w:sz w:val="20"/>
        </w:rPr>
        <w:t xml:space="preserve"> </w:t>
      </w:r>
      <w:r>
        <w:rPr>
          <w:color w:val="1F1F1F"/>
          <w:sz w:val="20"/>
        </w:rPr>
        <w:t>Leese</w:t>
      </w:r>
      <w:r>
        <w:rPr>
          <w:color w:val="1F1F1F"/>
          <w:spacing w:val="31"/>
          <w:sz w:val="20"/>
        </w:rPr>
        <w:t xml:space="preserve"> </w:t>
      </w:r>
      <w:r>
        <w:rPr>
          <w:color w:val="1F1F1F"/>
          <w:sz w:val="20"/>
        </w:rPr>
        <w:t>MD,</w:t>
      </w:r>
      <w:r>
        <w:rPr>
          <w:color w:val="1F1F1F"/>
          <w:spacing w:val="32"/>
          <w:sz w:val="20"/>
        </w:rPr>
        <w:t xml:space="preserve"> </w:t>
      </w:r>
      <w:r>
        <w:rPr>
          <w:color w:val="1F1F1F"/>
          <w:sz w:val="20"/>
        </w:rPr>
        <w:t>Adams</w:t>
      </w:r>
      <w:r>
        <w:rPr>
          <w:color w:val="1F1F1F"/>
          <w:spacing w:val="32"/>
          <w:sz w:val="20"/>
        </w:rPr>
        <w:t xml:space="preserve"> </w:t>
      </w:r>
      <w:r>
        <w:rPr>
          <w:color w:val="1F1F1F"/>
          <w:sz w:val="20"/>
        </w:rPr>
        <w:t>LH.</w:t>
      </w:r>
      <w:r>
        <w:rPr>
          <w:color w:val="1F1F1F"/>
          <w:spacing w:val="30"/>
          <w:sz w:val="20"/>
        </w:rPr>
        <w:t xml:space="preserve"> </w:t>
      </w:r>
      <w:r>
        <w:rPr>
          <w:color w:val="1F1F1F"/>
          <w:sz w:val="20"/>
        </w:rPr>
        <w:t>Atypical</w:t>
      </w:r>
      <w:r>
        <w:rPr>
          <w:color w:val="1F1F1F"/>
          <w:spacing w:val="30"/>
          <w:sz w:val="20"/>
        </w:rPr>
        <w:t xml:space="preserve"> </w:t>
      </w:r>
      <w:r>
        <w:rPr>
          <w:color w:val="1F1F1F"/>
          <w:sz w:val="20"/>
        </w:rPr>
        <w:t>antipsychotics</w:t>
      </w:r>
      <w:r>
        <w:rPr>
          <w:color w:val="1F1F1F"/>
          <w:spacing w:val="30"/>
          <w:sz w:val="20"/>
        </w:rPr>
        <w:t xml:space="preserve"> </w:t>
      </w:r>
      <w:r>
        <w:rPr>
          <w:color w:val="1F1F1F"/>
          <w:sz w:val="20"/>
        </w:rPr>
        <w:t>vs</w:t>
      </w:r>
      <w:r>
        <w:rPr>
          <w:color w:val="1F1F1F"/>
          <w:spacing w:val="30"/>
          <w:sz w:val="20"/>
        </w:rPr>
        <w:t xml:space="preserve"> </w:t>
      </w:r>
      <w:r>
        <w:rPr>
          <w:color w:val="1F1F1F"/>
          <w:sz w:val="20"/>
        </w:rPr>
        <w:t>haloperidol</w:t>
      </w:r>
      <w:r>
        <w:rPr>
          <w:color w:val="1F1F1F"/>
          <w:spacing w:val="32"/>
          <w:sz w:val="20"/>
        </w:rPr>
        <w:t xml:space="preserve"> </w:t>
      </w:r>
      <w:r>
        <w:rPr>
          <w:color w:val="1F1F1F"/>
          <w:sz w:val="20"/>
        </w:rPr>
        <w:t>for</w:t>
      </w:r>
      <w:r>
        <w:rPr>
          <w:color w:val="1F1F1F"/>
          <w:spacing w:val="31"/>
          <w:sz w:val="20"/>
        </w:rPr>
        <w:t xml:space="preserve"> </w:t>
      </w:r>
      <w:r>
        <w:rPr>
          <w:color w:val="1F1F1F"/>
          <w:sz w:val="20"/>
        </w:rPr>
        <w:t>schizophrenia:</w:t>
      </w:r>
      <w:r>
        <w:rPr>
          <w:color w:val="1F1F1F"/>
          <w:spacing w:val="30"/>
          <w:sz w:val="20"/>
        </w:rPr>
        <w:t xml:space="preserve"> </w:t>
      </w:r>
      <w:r>
        <w:rPr>
          <w:color w:val="1F1F1F"/>
          <w:sz w:val="20"/>
        </w:rPr>
        <w:t>a</w:t>
      </w:r>
      <w:r>
        <w:rPr>
          <w:color w:val="1F1F1F"/>
          <w:spacing w:val="31"/>
          <w:sz w:val="20"/>
        </w:rPr>
        <w:t xml:space="preserve"> </w:t>
      </w:r>
      <w:r>
        <w:rPr>
          <w:color w:val="1F1F1F"/>
          <w:sz w:val="20"/>
        </w:rPr>
        <w:t>Cochrane systematic review. Schizophr Bull. 2014;40(4):777-788. doi:10.1093/schbul/sbv002</w:t>
      </w:r>
    </w:p>
    <w:p w14:paraId="767F6A93">
      <w:pPr>
        <w:pStyle w:val="10"/>
        <w:spacing w:after="0" w:line="276" w:lineRule="auto"/>
        <w:jc w:val="left"/>
        <w:rPr>
          <w:sz w:val="20"/>
        </w:rPr>
        <w:sectPr>
          <w:pgSz w:w="12240" w:h="15840"/>
          <w:pgMar w:top="740" w:right="1080" w:bottom="1200" w:left="1080" w:header="0" w:footer="1006" w:gutter="0"/>
          <w:cols w:space="720" w:num="1"/>
        </w:sectPr>
      </w:pPr>
    </w:p>
    <w:p w14:paraId="58494FCC">
      <w:pPr>
        <w:pStyle w:val="10"/>
        <w:numPr>
          <w:ilvl w:val="0"/>
          <w:numId w:val="7"/>
        </w:numPr>
        <w:tabs>
          <w:tab w:val="left" w:pos="900"/>
          <w:tab w:val="left" w:pos="5792"/>
          <w:tab w:val="left" w:pos="6566"/>
        </w:tabs>
        <w:spacing w:before="67" w:after="0" w:line="276" w:lineRule="auto"/>
        <w:ind w:left="900" w:right="359" w:hanging="540"/>
        <w:jc w:val="left"/>
        <w:rPr>
          <w:sz w:val="20"/>
        </w:rPr>
      </w:pPr>
      <w:r>
        <w:rPr>
          <w:color w:val="1F1F1F"/>
          <w:sz w:val="20"/>
        </w:rPr>
        <w:t>Kane</w:t>
      </w:r>
      <w:r>
        <w:rPr>
          <w:color w:val="1F1F1F"/>
          <w:spacing w:val="80"/>
          <w:w w:val="150"/>
          <w:sz w:val="20"/>
        </w:rPr>
        <w:t xml:space="preserve"> </w:t>
      </w:r>
      <w:r>
        <w:rPr>
          <w:color w:val="1F1F1F"/>
          <w:sz w:val="20"/>
        </w:rPr>
        <w:t>JM.</w:t>
      </w:r>
      <w:r>
        <w:rPr>
          <w:color w:val="1F1F1F"/>
          <w:spacing w:val="80"/>
          <w:sz w:val="20"/>
        </w:rPr>
        <w:t xml:space="preserve"> </w:t>
      </w:r>
      <w:r>
        <w:rPr>
          <w:color w:val="1F1F1F"/>
          <w:sz w:val="20"/>
        </w:rPr>
        <w:t>Tardive</w:t>
      </w:r>
      <w:r>
        <w:rPr>
          <w:color w:val="1F1F1F"/>
          <w:spacing w:val="80"/>
          <w:w w:val="150"/>
          <w:sz w:val="20"/>
        </w:rPr>
        <w:t xml:space="preserve"> </w:t>
      </w:r>
      <w:r>
        <w:rPr>
          <w:color w:val="1F1F1F"/>
          <w:sz w:val="20"/>
        </w:rPr>
        <w:t>dyskinesia:</w:t>
      </w:r>
      <w:r>
        <w:rPr>
          <w:color w:val="1F1F1F"/>
          <w:spacing w:val="80"/>
          <w:sz w:val="20"/>
        </w:rPr>
        <w:t xml:space="preserve"> </w:t>
      </w:r>
      <w:r>
        <w:rPr>
          <w:color w:val="1F1F1F"/>
          <w:sz w:val="20"/>
        </w:rPr>
        <w:t>a</w:t>
      </w:r>
      <w:r>
        <w:rPr>
          <w:color w:val="1F1F1F"/>
          <w:spacing w:val="80"/>
          <w:w w:val="150"/>
          <w:sz w:val="20"/>
        </w:rPr>
        <w:t xml:space="preserve"> </w:t>
      </w:r>
      <w:r>
        <w:rPr>
          <w:color w:val="1F1F1F"/>
          <w:sz w:val="20"/>
        </w:rPr>
        <w:t>clinical</w:t>
      </w:r>
      <w:r>
        <w:rPr>
          <w:color w:val="1F1F1F"/>
          <w:spacing w:val="80"/>
          <w:sz w:val="20"/>
        </w:rPr>
        <w:t xml:space="preserve"> </w:t>
      </w:r>
      <w:r>
        <w:rPr>
          <w:color w:val="1F1F1F"/>
          <w:sz w:val="20"/>
        </w:rPr>
        <w:t>update.</w:t>
      </w:r>
      <w:r>
        <w:rPr>
          <w:color w:val="1F1F1F"/>
          <w:sz w:val="20"/>
        </w:rPr>
        <w:tab/>
      </w:r>
      <w:r>
        <w:rPr>
          <w:color w:val="1F1F1F"/>
          <w:sz w:val="20"/>
        </w:rPr>
        <w:t>Am</w:t>
      </w:r>
      <w:r>
        <w:rPr>
          <w:color w:val="1F1F1F"/>
          <w:spacing w:val="80"/>
          <w:sz w:val="20"/>
        </w:rPr>
        <w:t xml:space="preserve"> </w:t>
      </w:r>
      <w:r>
        <w:rPr>
          <w:color w:val="1F1F1F"/>
          <w:sz w:val="20"/>
        </w:rPr>
        <w:t>J</w:t>
      </w:r>
      <w:r>
        <w:rPr>
          <w:color w:val="1F1F1F"/>
          <w:sz w:val="20"/>
        </w:rPr>
        <w:tab/>
      </w:r>
      <w:r>
        <w:rPr>
          <w:color w:val="1F1F1F"/>
          <w:sz w:val="20"/>
        </w:rPr>
        <w:t>Psychiatry.</w:t>
      </w:r>
      <w:r>
        <w:rPr>
          <w:color w:val="1F1F1F"/>
          <w:spacing w:val="80"/>
          <w:sz w:val="20"/>
        </w:rPr>
        <w:t xml:space="preserve"> </w:t>
      </w:r>
      <w:r>
        <w:rPr>
          <w:color w:val="1F1F1F"/>
          <w:sz w:val="20"/>
        </w:rPr>
        <w:t xml:space="preserve">2008;165(11):1406-1416. </w:t>
      </w:r>
      <w:r>
        <w:rPr>
          <w:color w:val="1F1F1F"/>
          <w:spacing w:val="-2"/>
          <w:sz w:val="20"/>
        </w:rPr>
        <w:t>doi:10.1176/appi.ajp.2008.08021427</w:t>
      </w:r>
    </w:p>
    <w:p w14:paraId="13266073">
      <w:pPr>
        <w:pStyle w:val="10"/>
        <w:numPr>
          <w:ilvl w:val="0"/>
          <w:numId w:val="7"/>
        </w:numPr>
        <w:tabs>
          <w:tab w:val="left" w:pos="900"/>
        </w:tabs>
        <w:spacing w:before="0" w:after="0" w:line="276" w:lineRule="auto"/>
        <w:ind w:left="900" w:right="366" w:hanging="540"/>
        <w:jc w:val="left"/>
        <w:rPr>
          <w:sz w:val="20"/>
        </w:rPr>
      </w:pPr>
      <w:r>
        <w:rPr>
          <w:color w:val="1F1F1F"/>
          <w:sz w:val="20"/>
        </w:rPr>
        <w:t>Mori</w:t>
      </w:r>
      <w:r>
        <w:rPr>
          <w:color w:val="1F1F1F"/>
          <w:spacing w:val="20"/>
          <w:sz w:val="20"/>
        </w:rPr>
        <w:t xml:space="preserve"> </w:t>
      </w:r>
      <w:r>
        <w:rPr>
          <w:color w:val="1F1F1F"/>
          <w:sz w:val="20"/>
        </w:rPr>
        <w:t>N,</w:t>
      </w:r>
      <w:r>
        <w:rPr>
          <w:color w:val="1F1F1F"/>
          <w:spacing w:val="20"/>
          <w:sz w:val="20"/>
        </w:rPr>
        <w:t xml:space="preserve"> </w:t>
      </w:r>
      <w:r>
        <w:rPr>
          <w:color w:val="1F1F1F"/>
          <w:sz w:val="20"/>
        </w:rPr>
        <w:t>Yamada</w:t>
      </w:r>
      <w:r>
        <w:rPr>
          <w:color w:val="1F1F1F"/>
          <w:spacing w:val="21"/>
          <w:sz w:val="20"/>
        </w:rPr>
        <w:t xml:space="preserve"> </w:t>
      </w:r>
      <w:r>
        <w:rPr>
          <w:color w:val="1F1F1F"/>
          <w:sz w:val="20"/>
        </w:rPr>
        <w:t>Y,</w:t>
      </w:r>
      <w:r>
        <w:rPr>
          <w:color w:val="1F1F1F"/>
          <w:spacing w:val="20"/>
          <w:sz w:val="20"/>
        </w:rPr>
        <w:t xml:space="preserve"> </w:t>
      </w:r>
      <w:r>
        <w:rPr>
          <w:color w:val="1F1F1F"/>
          <w:sz w:val="20"/>
        </w:rPr>
        <w:t>Ohta</w:t>
      </w:r>
      <w:r>
        <w:rPr>
          <w:color w:val="1F1F1F"/>
          <w:spacing w:val="21"/>
          <w:sz w:val="20"/>
        </w:rPr>
        <w:t xml:space="preserve"> </w:t>
      </w:r>
      <w:r>
        <w:rPr>
          <w:color w:val="1F1F1F"/>
          <w:sz w:val="20"/>
        </w:rPr>
        <w:t>Y,</w:t>
      </w:r>
      <w:r>
        <w:rPr>
          <w:color w:val="1F1F1F"/>
          <w:spacing w:val="24"/>
          <w:sz w:val="20"/>
        </w:rPr>
        <w:t xml:space="preserve"> </w:t>
      </w:r>
      <w:r>
        <w:rPr>
          <w:color w:val="1F1F1F"/>
          <w:sz w:val="20"/>
        </w:rPr>
        <w:t>et</w:t>
      </w:r>
      <w:r>
        <w:rPr>
          <w:color w:val="1F1F1F"/>
          <w:spacing w:val="20"/>
          <w:sz w:val="20"/>
        </w:rPr>
        <w:t xml:space="preserve"> </w:t>
      </w:r>
      <w:r>
        <w:rPr>
          <w:color w:val="1F1F1F"/>
          <w:sz w:val="20"/>
        </w:rPr>
        <w:t>al.</w:t>
      </w:r>
      <w:r>
        <w:rPr>
          <w:color w:val="1F1F1F"/>
          <w:spacing w:val="22"/>
          <w:sz w:val="20"/>
        </w:rPr>
        <w:t xml:space="preserve"> </w:t>
      </w:r>
      <w:r>
        <w:rPr>
          <w:color w:val="1F1F1F"/>
          <w:sz w:val="20"/>
        </w:rPr>
        <w:t>Zonisamide</w:t>
      </w:r>
      <w:r>
        <w:rPr>
          <w:color w:val="1F1F1F"/>
          <w:spacing w:val="21"/>
          <w:sz w:val="20"/>
        </w:rPr>
        <w:t xml:space="preserve"> </w:t>
      </w:r>
      <w:r>
        <w:rPr>
          <w:color w:val="1F1F1F"/>
          <w:sz w:val="20"/>
        </w:rPr>
        <w:t>for</w:t>
      </w:r>
      <w:r>
        <w:rPr>
          <w:color w:val="1F1F1F"/>
          <w:spacing w:val="21"/>
          <w:sz w:val="20"/>
        </w:rPr>
        <w:t xml:space="preserve"> </w:t>
      </w:r>
      <w:r>
        <w:rPr>
          <w:color w:val="1F1F1F"/>
          <w:sz w:val="20"/>
        </w:rPr>
        <w:t>the</w:t>
      </w:r>
      <w:r>
        <w:rPr>
          <w:color w:val="1F1F1F"/>
          <w:spacing w:val="20"/>
          <w:sz w:val="20"/>
        </w:rPr>
        <w:t xml:space="preserve"> </w:t>
      </w:r>
      <w:r>
        <w:rPr>
          <w:color w:val="1F1F1F"/>
          <w:sz w:val="20"/>
        </w:rPr>
        <w:t>treatment</w:t>
      </w:r>
      <w:r>
        <w:rPr>
          <w:color w:val="1F1F1F"/>
          <w:spacing w:val="22"/>
          <w:sz w:val="20"/>
        </w:rPr>
        <w:t xml:space="preserve"> </w:t>
      </w:r>
      <w:r>
        <w:rPr>
          <w:color w:val="1F1F1F"/>
          <w:sz w:val="20"/>
        </w:rPr>
        <w:t>of</w:t>
      </w:r>
      <w:r>
        <w:rPr>
          <w:color w:val="1F1F1F"/>
          <w:spacing w:val="20"/>
          <w:sz w:val="20"/>
        </w:rPr>
        <w:t xml:space="preserve"> </w:t>
      </w:r>
      <w:r>
        <w:rPr>
          <w:color w:val="1F1F1F"/>
          <w:sz w:val="20"/>
        </w:rPr>
        <w:t>schizophrenia:</w:t>
      </w:r>
      <w:r>
        <w:rPr>
          <w:color w:val="1F1F1F"/>
          <w:spacing w:val="20"/>
          <w:sz w:val="20"/>
        </w:rPr>
        <w:t xml:space="preserve"> </w:t>
      </w:r>
      <w:r>
        <w:rPr>
          <w:color w:val="1F1F1F"/>
          <w:sz w:val="20"/>
        </w:rPr>
        <w:t>a</w:t>
      </w:r>
      <w:r>
        <w:rPr>
          <w:color w:val="1F1F1F"/>
          <w:spacing w:val="21"/>
          <w:sz w:val="20"/>
        </w:rPr>
        <w:t xml:space="preserve"> </w:t>
      </w:r>
      <w:r>
        <w:rPr>
          <w:color w:val="1F1F1F"/>
          <w:sz w:val="20"/>
        </w:rPr>
        <w:t>review</w:t>
      </w:r>
      <w:r>
        <w:rPr>
          <w:color w:val="1F1F1F"/>
          <w:spacing w:val="20"/>
          <w:sz w:val="20"/>
        </w:rPr>
        <w:t xml:space="preserve"> </w:t>
      </w:r>
      <w:r>
        <w:rPr>
          <w:color w:val="1F1F1F"/>
          <w:sz w:val="20"/>
        </w:rPr>
        <w:t>of</w:t>
      </w:r>
      <w:r>
        <w:rPr>
          <w:color w:val="1F1F1F"/>
          <w:spacing w:val="20"/>
          <w:sz w:val="20"/>
        </w:rPr>
        <w:t xml:space="preserve"> </w:t>
      </w:r>
      <w:r>
        <w:rPr>
          <w:color w:val="1F1F1F"/>
          <w:sz w:val="20"/>
        </w:rPr>
        <w:t>the</w:t>
      </w:r>
      <w:r>
        <w:rPr>
          <w:color w:val="1F1F1F"/>
          <w:spacing w:val="21"/>
          <w:sz w:val="20"/>
        </w:rPr>
        <w:t xml:space="preserve"> </w:t>
      </w:r>
      <w:r>
        <w:rPr>
          <w:color w:val="1F1F1F"/>
          <w:sz w:val="20"/>
        </w:rPr>
        <w:t>current evidence. CNS Drugs. 2017;31(11):1047-1059. doi:10.1007/s40263-017-0488-z</w:t>
      </w:r>
    </w:p>
    <w:p w14:paraId="5547F314">
      <w:pPr>
        <w:pStyle w:val="10"/>
        <w:numPr>
          <w:ilvl w:val="0"/>
          <w:numId w:val="7"/>
        </w:numPr>
        <w:tabs>
          <w:tab w:val="left" w:pos="899"/>
        </w:tabs>
        <w:spacing w:before="0" w:after="0" w:line="229" w:lineRule="exact"/>
        <w:ind w:left="899" w:right="0" w:hanging="539"/>
        <w:jc w:val="left"/>
        <w:rPr>
          <w:sz w:val="20"/>
        </w:rPr>
      </w:pPr>
      <w:r>
        <w:rPr>
          <w:color w:val="1F1F1F"/>
          <w:sz w:val="20"/>
        </w:rPr>
        <w:t>Sanches-Fernández</w:t>
      </w:r>
      <w:r>
        <w:rPr>
          <w:color w:val="1F1F1F"/>
          <w:spacing w:val="-4"/>
          <w:sz w:val="20"/>
        </w:rPr>
        <w:t xml:space="preserve"> </w:t>
      </w:r>
      <w:r>
        <w:rPr>
          <w:color w:val="1F1F1F"/>
          <w:sz w:val="20"/>
        </w:rPr>
        <w:t>C,</w:t>
      </w:r>
      <w:r>
        <w:rPr>
          <w:color w:val="1F1F1F"/>
          <w:spacing w:val="-4"/>
          <w:sz w:val="20"/>
        </w:rPr>
        <w:t xml:space="preserve"> </w:t>
      </w:r>
      <w:r>
        <w:rPr>
          <w:color w:val="1F1F1F"/>
          <w:sz w:val="20"/>
        </w:rPr>
        <w:t>Gutiérrez-Escudero</w:t>
      </w:r>
      <w:r>
        <w:rPr>
          <w:color w:val="1F1F1F"/>
          <w:spacing w:val="-4"/>
          <w:sz w:val="20"/>
        </w:rPr>
        <w:t xml:space="preserve"> </w:t>
      </w:r>
      <w:r>
        <w:rPr>
          <w:color w:val="1F1F1F"/>
          <w:sz w:val="20"/>
        </w:rPr>
        <w:t>B,</w:t>
      </w:r>
      <w:r>
        <w:rPr>
          <w:color w:val="1F1F1F"/>
          <w:spacing w:val="-4"/>
          <w:sz w:val="20"/>
        </w:rPr>
        <w:t xml:space="preserve"> </w:t>
      </w:r>
      <w:r>
        <w:rPr>
          <w:color w:val="1F1F1F"/>
          <w:sz w:val="20"/>
        </w:rPr>
        <w:t>García-García</w:t>
      </w:r>
      <w:r>
        <w:rPr>
          <w:color w:val="1F1F1F"/>
          <w:spacing w:val="-5"/>
          <w:sz w:val="20"/>
        </w:rPr>
        <w:t xml:space="preserve"> </w:t>
      </w:r>
      <w:r>
        <w:rPr>
          <w:color w:val="1F1F1F"/>
          <w:sz w:val="20"/>
        </w:rPr>
        <w:t>P,</w:t>
      </w:r>
      <w:r>
        <w:rPr>
          <w:color w:val="1F1F1F"/>
          <w:spacing w:val="-4"/>
          <w:sz w:val="20"/>
        </w:rPr>
        <w:t xml:space="preserve"> </w:t>
      </w:r>
      <w:r>
        <w:rPr>
          <w:color w:val="1F1F1F"/>
          <w:sz w:val="20"/>
        </w:rPr>
        <w:t>et</w:t>
      </w:r>
      <w:r>
        <w:rPr>
          <w:color w:val="1F1F1F"/>
          <w:spacing w:val="-6"/>
          <w:sz w:val="20"/>
        </w:rPr>
        <w:t xml:space="preserve"> </w:t>
      </w:r>
      <w:r>
        <w:rPr>
          <w:color w:val="1F1F1F"/>
          <w:sz w:val="20"/>
        </w:rPr>
        <w:t>al.</w:t>
      </w:r>
      <w:r>
        <w:rPr>
          <w:color w:val="1F1F1F"/>
          <w:spacing w:val="-6"/>
          <w:sz w:val="20"/>
        </w:rPr>
        <w:t xml:space="preserve"> </w:t>
      </w:r>
      <w:r>
        <w:rPr>
          <w:color w:val="1F1F1F"/>
          <w:sz w:val="20"/>
        </w:rPr>
        <w:t>Zonisamide</w:t>
      </w:r>
      <w:r>
        <w:rPr>
          <w:color w:val="1F1F1F"/>
          <w:spacing w:val="-6"/>
          <w:sz w:val="20"/>
        </w:rPr>
        <w:t xml:space="preserve"> </w:t>
      </w:r>
      <w:r>
        <w:rPr>
          <w:color w:val="1F1F1F"/>
          <w:sz w:val="20"/>
        </w:rPr>
        <w:t>in</w:t>
      </w:r>
      <w:r>
        <w:rPr>
          <w:color w:val="1F1F1F"/>
          <w:spacing w:val="-6"/>
          <w:sz w:val="20"/>
        </w:rPr>
        <w:t xml:space="preserve"> </w:t>
      </w:r>
      <w:r>
        <w:rPr>
          <w:color w:val="1F1F1F"/>
          <w:sz w:val="20"/>
        </w:rPr>
        <w:t>schizophrenia:</w:t>
      </w:r>
      <w:r>
        <w:rPr>
          <w:color w:val="1F1F1F"/>
          <w:spacing w:val="-4"/>
          <w:sz w:val="20"/>
        </w:rPr>
        <w:t xml:space="preserve"> </w:t>
      </w:r>
      <w:r>
        <w:rPr>
          <w:color w:val="1F1F1F"/>
          <w:sz w:val="20"/>
        </w:rPr>
        <w:t>An</w:t>
      </w:r>
      <w:r>
        <w:rPr>
          <w:color w:val="1F1F1F"/>
          <w:spacing w:val="-4"/>
          <w:sz w:val="20"/>
        </w:rPr>
        <w:t xml:space="preserve"> </w:t>
      </w:r>
      <w:r>
        <w:rPr>
          <w:color w:val="1F1F1F"/>
          <w:spacing w:val="-2"/>
          <w:sz w:val="20"/>
        </w:rPr>
        <w:t>update.</w:t>
      </w:r>
    </w:p>
    <w:p w14:paraId="20329656">
      <w:pPr>
        <w:spacing w:before="33"/>
        <w:ind w:left="900" w:right="0" w:firstLine="0"/>
        <w:jc w:val="left"/>
        <w:rPr>
          <w:sz w:val="20"/>
        </w:rPr>
      </w:pPr>
      <w:r>
        <w:rPr>
          <w:color w:val="1F1F1F"/>
          <w:sz w:val="20"/>
        </w:rPr>
        <w:t>Curr</w:t>
      </w:r>
      <w:r>
        <w:rPr>
          <w:color w:val="1F1F1F"/>
          <w:spacing w:val="-8"/>
          <w:sz w:val="20"/>
        </w:rPr>
        <w:t xml:space="preserve"> </w:t>
      </w:r>
      <w:r>
        <w:rPr>
          <w:color w:val="1F1F1F"/>
          <w:sz w:val="20"/>
        </w:rPr>
        <w:t>Med</w:t>
      </w:r>
      <w:r>
        <w:rPr>
          <w:color w:val="1F1F1F"/>
          <w:spacing w:val="-6"/>
          <w:sz w:val="20"/>
        </w:rPr>
        <w:t xml:space="preserve"> </w:t>
      </w:r>
      <w:r>
        <w:rPr>
          <w:color w:val="1F1F1F"/>
          <w:sz w:val="20"/>
        </w:rPr>
        <w:t>Chem.</w:t>
      </w:r>
      <w:r>
        <w:rPr>
          <w:color w:val="1F1F1F"/>
          <w:spacing w:val="-8"/>
          <w:sz w:val="20"/>
        </w:rPr>
        <w:t xml:space="preserve"> </w:t>
      </w:r>
      <w:r>
        <w:rPr>
          <w:color w:val="1F1F1F"/>
          <w:sz w:val="20"/>
        </w:rPr>
        <w:t>2018;25(17):2047-2059.</w:t>
      </w:r>
      <w:r>
        <w:rPr>
          <w:color w:val="1F1F1F"/>
          <w:spacing w:val="-10"/>
          <w:sz w:val="20"/>
        </w:rPr>
        <w:t xml:space="preserve"> </w:t>
      </w:r>
      <w:r>
        <w:rPr>
          <w:color w:val="1F1F1F"/>
          <w:spacing w:val="-2"/>
          <w:sz w:val="20"/>
        </w:rPr>
        <w:t>doi:10.2174/092986732464171207150433</w:t>
      </w:r>
    </w:p>
    <w:p w14:paraId="00820E96">
      <w:pPr>
        <w:pStyle w:val="10"/>
        <w:numPr>
          <w:ilvl w:val="0"/>
          <w:numId w:val="7"/>
        </w:numPr>
        <w:tabs>
          <w:tab w:val="left" w:pos="898"/>
          <w:tab w:val="left" w:pos="900"/>
        </w:tabs>
        <w:spacing w:before="36" w:after="0" w:line="276" w:lineRule="auto"/>
        <w:ind w:left="900" w:right="365" w:hanging="540"/>
        <w:jc w:val="both"/>
        <w:rPr>
          <w:sz w:val="20"/>
        </w:rPr>
      </w:pPr>
      <w:r>
        <w:rPr>
          <w:color w:val="1F1F1F"/>
          <w:sz w:val="20"/>
        </w:rPr>
        <w:t>Dejean C, Benaim K, Garcia R, et al. (2022). Striatal Dopamine D2/3 Receptor Availability and Behavioral Dissociation</w:t>
      </w:r>
      <w:r>
        <w:rPr>
          <w:color w:val="1F1F1F"/>
          <w:spacing w:val="-5"/>
          <w:sz w:val="20"/>
        </w:rPr>
        <w:t xml:space="preserve"> </w:t>
      </w:r>
      <w:r>
        <w:rPr>
          <w:color w:val="1F1F1F"/>
          <w:sz w:val="20"/>
        </w:rPr>
        <w:t>in</w:t>
      </w:r>
      <w:r>
        <w:rPr>
          <w:color w:val="1F1F1F"/>
          <w:spacing w:val="-7"/>
          <w:sz w:val="20"/>
        </w:rPr>
        <w:t xml:space="preserve"> </w:t>
      </w:r>
      <w:r>
        <w:rPr>
          <w:color w:val="1F1F1F"/>
          <w:sz w:val="20"/>
        </w:rPr>
        <w:t>a</w:t>
      </w:r>
      <w:r>
        <w:rPr>
          <w:color w:val="1F1F1F"/>
          <w:spacing w:val="-4"/>
          <w:sz w:val="20"/>
        </w:rPr>
        <w:t xml:space="preserve"> </w:t>
      </w:r>
      <w:r>
        <w:rPr>
          <w:color w:val="1F1F1F"/>
          <w:sz w:val="20"/>
        </w:rPr>
        <w:t>Rat</w:t>
      </w:r>
      <w:r>
        <w:rPr>
          <w:color w:val="1F1F1F"/>
          <w:spacing w:val="-4"/>
          <w:sz w:val="20"/>
        </w:rPr>
        <w:t xml:space="preserve"> </w:t>
      </w:r>
      <w:r>
        <w:rPr>
          <w:color w:val="1F1F1F"/>
          <w:sz w:val="20"/>
        </w:rPr>
        <w:t>Model</w:t>
      </w:r>
      <w:r>
        <w:rPr>
          <w:color w:val="1F1F1F"/>
          <w:spacing w:val="-5"/>
          <w:sz w:val="20"/>
        </w:rPr>
        <w:t xml:space="preserve"> </w:t>
      </w:r>
      <w:r>
        <w:rPr>
          <w:color w:val="1F1F1F"/>
          <w:sz w:val="20"/>
        </w:rPr>
        <w:t>of</w:t>
      </w:r>
      <w:r>
        <w:rPr>
          <w:color w:val="1F1F1F"/>
          <w:spacing w:val="-5"/>
          <w:sz w:val="20"/>
        </w:rPr>
        <w:t xml:space="preserve"> </w:t>
      </w:r>
      <w:r>
        <w:rPr>
          <w:color w:val="1F1F1F"/>
          <w:sz w:val="20"/>
        </w:rPr>
        <w:t>Catalepsy:</w:t>
      </w:r>
      <w:r>
        <w:rPr>
          <w:color w:val="1F1F1F"/>
          <w:spacing w:val="-3"/>
          <w:sz w:val="20"/>
        </w:rPr>
        <w:t xml:space="preserve"> </w:t>
      </w:r>
      <w:r>
        <w:rPr>
          <w:color w:val="1F1F1F"/>
          <w:sz w:val="20"/>
        </w:rPr>
        <w:t>Implications</w:t>
      </w:r>
      <w:r>
        <w:rPr>
          <w:color w:val="1F1F1F"/>
          <w:spacing w:val="-3"/>
          <w:sz w:val="20"/>
        </w:rPr>
        <w:t xml:space="preserve"> </w:t>
      </w:r>
      <w:r>
        <w:rPr>
          <w:color w:val="1F1F1F"/>
          <w:sz w:val="20"/>
        </w:rPr>
        <w:t>for</w:t>
      </w:r>
      <w:r>
        <w:rPr>
          <w:color w:val="1F1F1F"/>
          <w:spacing w:val="-3"/>
          <w:sz w:val="20"/>
        </w:rPr>
        <w:t xml:space="preserve"> </w:t>
      </w:r>
      <w:r>
        <w:rPr>
          <w:color w:val="1F1F1F"/>
          <w:sz w:val="20"/>
        </w:rPr>
        <w:t>Antipsychotic</w:t>
      </w:r>
      <w:r>
        <w:rPr>
          <w:color w:val="1F1F1F"/>
          <w:spacing w:val="-3"/>
          <w:sz w:val="20"/>
        </w:rPr>
        <w:t xml:space="preserve"> </w:t>
      </w:r>
      <w:r>
        <w:rPr>
          <w:color w:val="1F1F1F"/>
          <w:sz w:val="20"/>
        </w:rPr>
        <w:t>Action.</w:t>
      </w:r>
      <w:r>
        <w:rPr>
          <w:color w:val="1F1F1F"/>
          <w:spacing w:val="-3"/>
          <w:sz w:val="20"/>
        </w:rPr>
        <w:t xml:space="preserve"> </w:t>
      </w:r>
      <w:r>
        <w:rPr>
          <w:color w:val="1F1F1F"/>
          <w:sz w:val="20"/>
        </w:rPr>
        <w:t>Neuropsychopharmacology, 47(3):589-600.</w:t>
      </w:r>
      <w:r>
        <w:rPr>
          <w:color w:val="1F1F1F"/>
          <w:spacing w:val="-3"/>
          <w:sz w:val="20"/>
        </w:rPr>
        <w:t xml:space="preserve"> </w:t>
      </w:r>
      <w:r>
        <w:rPr>
          <w:color w:val="1F1F1F"/>
          <w:sz w:val="20"/>
        </w:rPr>
        <w:t>This study explores the relationship between D2/3 receptor availability and cataleptic behavior, offering insights into the mechanisms of antipsychotic action.</w:t>
      </w:r>
    </w:p>
    <w:p w14:paraId="1273F6A0">
      <w:pPr>
        <w:pStyle w:val="10"/>
        <w:numPr>
          <w:ilvl w:val="0"/>
          <w:numId w:val="7"/>
        </w:numPr>
        <w:tabs>
          <w:tab w:val="left" w:pos="898"/>
          <w:tab w:val="left" w:pos="900"/>
        </w:tabs>
        <w:spacing w:before="0" w:after="0" w:line="276" w:lineRule="auto"/>
        <w:ind w:left="900" w:right="363" w:hanging="540"/>
        <w:jc w:val="both"/>
        <w:rPr>
          <w:sz w:val="20"/>
        </w:rPr>
      </w:pPr>
      <w:r>
        <w:rPr>
          <w:color w:val="1F1F1F"/>
          <w:sz w:val="20"/>
        </w:rPr>
        <w:t>Bousquet LM, Krystal JD, Abi-Dacher W, et al. (2022). The Neurocircuitry of Catalepsy: Integrating Preclinical and Clinical Models. Biological Psychiatry, 91(12):901-912.</w:t>
      </w:r>
      <w:r>
        <w:rPr>
          <w:color w:val="1F1F1F"/>
          <w:spacing w:val="-3"/>
          <w:sz w:val="20"/>
        </w:rPr>
        <w:t xml:space="preserve"> </w:t>
      </w:r>
      <w:r>
        <w:rPr>
          <w:color w:val="1F1F1F"/>
          <w:sz w:val="20"/>
        </w:rPr>
        <w:t>This review provides a comprehensive overview of the brain circuitry involved in catalepsy across different models,</w:t>
      </w:r>
      <w:r>
        <w:rPr>
          <w:color w:val="1F1F1F"/>
          <w:spacing w:val="-1"/>
          <w:sz w:val="20"/>
        </w:rPr>
        <w:t xml:space="preserve"> </w:t>
      </w:r>
      <w:r>
        <w:rPr>
          <w:color w:val="1F1F1F"/>
          <w:sz w:val="20"/>
        </w:rPr>
        <w:t>helping to</w:t>
      </w:r>
      <w:r>
        <w:rPr>
          <w:color w:val="1F1F1F"/>
          <w:spacing w:val="40"/>
          <w:sz w:val="20"/>
        </w:rPr>
        <w:t xml:space="preserve"> </w:t>
      </w:r>
      <w:r>
        <w:rPr>
          <w:color w:val="1F1F1F"/>
          <w:sz w:val="20"/>
        </w:rPr>
        <w:t>bridge the gap between preclinical and clinical research.</w:t>
      </w:r>
    </w:p>
    <w:p w14:paraId="6712823B">
      <w:pPr>
        <w:pStyle w:val="10"/>
        <w:numPr>
          <w:ilvl w:val="0"/>
          <w:numId w:val="7"/>
        </w:numPr>
        <w:tabs>
          <w:tab w:val="left" w:pos="898"/>
          <w:tab w:val="left" w:pos="900"/>
        </w:tabs>
        <w:spacing w:before="0" w:after="0" w:line="276" w:lineRule="auto"/>
        <w:ind w:left="900" w:right="365" w:hanging="540"/>
        <w:jc w:val="both"/>
        <w:rPr>
          <w:sz w:val="20"/>
        </w:rPr>
      </w:pPr>
      <w:r>
        <w:rPr>
          <w:color w:val="1F1F1F"/>
          <w:sz w:val="20"/>
        </w:rPr>
        <w:t>Lodge DJ, Grace AA. (2022). Beyond Dopamine: New Perspectives on the Pathogenesis of Schizophrenia. JAMA Psychiatry, 79(12):1203-1212.</w:t>
      </w:r>
    </w:p>
    <w:p w14:paraId="669C6532">
      <w:pPr>
        <w:pStyle w:val="10"/>
        <w:numPr>
          <w:ilvl w:val="0"/>
          <w:numId w:val="7"/>
        </w:numPr>
        <w:tabs>
          <w:tab w:val="left" w:pos="898"/>
          <w:tab w:val="left" w:pos="900"/>
        </w:tabs>
        <w:spacing w:before="0" w:after="0" w:line="276" w:lineRule="auto"/>
        <w:ind w:left="900" w:right="366" w:hanging="540"/>
        <w:jc w:val="both"/>
        <w:rPr>
          <w:sz w:val="20"/>
        </w:rPr>
      </w:pPr>
      <w:r>
        <w:rPr>
          <w:color w:val="1F1F1F"/>
          <w:sz w:val="20"/>
        </w:rPr>
        <w:t>Abi-Dacher W, Krystal JD, Howes</w:t>
      </w:r>
      <w:r>
        <w:rPr>
          <w:color w:val="1F1F1F"/>
          <w:spacing w:val="-1"/>
          <w:sz w:val="20"/>
        </w:rPr>
        <w:t xml:space="preserve"> </w:t>
      </w:r>
      <w:r>
        <w:rPr>
          <w:color w:val="1F1F1F"/>
          <w:sz w:val="20"/>
        </w:rPr>
        <w:t>OD. (2021). Mapping the Dopamine System in</w:t>
      </w:r>
      <w:r>
        <w:rPr>
          <w:color w:val="1F1F1F"/>
          <w:spacing w:val="-1"/>
          <w:sz w:val="20"/>
        </w:rPr>
        <w:t xml:space="preserve"> </w:t>
      </w:r>
      <w:r>
        <w:rPr>
          <w:color w:val="1F1F1F"/>
          <w:sz w:val="20"/>
        </w:rPr>
        <w:t>Schizophrenia: Towards</w:t>
      </w:r>
      <w:r>
        <w:rPr>
          <w:color w:val="1F1F1F"/>
          <w:spacing w:val="-1"/>
          <w:sz w:val="20"/>
        </w:rPr>
        <w:t xml:space="preserve"> </w:t>
      </w:r>
      <w:r>
        <w:rPr>
          <w:color w:val="1F1F1F"/>
          <w:sz w:val="20"/>
        </w:rPr>
        <w:t>a Biomarker-Guided Approach. Trends Neurosci, 44(12):885-898.</w:t>
      </w:r>
    </w:p>
    <w:p w14:paraId="346CA914">
      <w:pPr>
        <w:pStyle w:val="10"/>
        <w:numPr>
          <w:ilvl w:val="0"/>
          <w:numId w:val="7"/>
        </w:numPr>
        <w:tabs>
          <w:tab w:val="left" w:pos="898"/>
          <w:tab w:val="left" w:pos="900"/>
        </w:tabs>
        <w:spacing w:before="0" w:after="0" w:line="276" w:lineRule="auto"/>
        <w:ind w:left="900" w:right="365" w:hanging="540"/>
        <w:jc w:val="both"/>
        <w:rPr>
          <w:sz w:val="20"/>
        </w:rPr>
      </w:pPr>
      <w:r>
        <w:rPr>
          <w:color w:val="1F1F1F"/>
          <w:sz w:val="20"/>
        </w:rPr>
        <w:t>Haddad P, Benazzouz A, Benaim K. (2023). Revisiting the Role of Striatal Serotonin 2A Receptors in Antipsychotic-Induced Tardive Dyskinesia. Pharmacol Ther, 189:106972.</w:t>
      </w:r>
    </w:p>
    <w:p w14:paraId="2FD32DB7">
      <w:pPr>
        <w:pStyle w:val="10"/>
        <w:numPr>
          <w:ilvl w:val="0"/>
          <w:numId w:val="7"/>
        </w:numPr>
        <w:tabs>
          <w:tab w:val="left" w:pos="898"/>
          <w:tab w:val="left" w:pos="900"/>
        </w:tabs>
        <w:spacing w:before="0" w:after="0" w:line="278" w:lineRule="auto"/>
        <w:ind w:left="900" w:right="361" w:hanging="540"/>
        <w:jc w:val="both"/>
        <w:rPr>
          <w:sz w:val="20"/>
        </w:rPr>
      </w:pPr>
      <w:r>
        <w:rPr>
          <w:color w:val="1F1F1F"/>
          <w:sz w:val="20"/>
        </w:rPr>
        <w:t>Rocha B, Almeida E, Santos A, et al. (2022). Antipsychotic-Induced Movement Disorders: From</w:t>
      </w:r>
      <w:r>
        <w:rPr>
          <w:color w:val="1F1F1F"/>
          <w:spacing w:val="40"/>
          <w:sz w:val="20"/>
        </w:rPr>
        <w:t xml:space="preserve"> </w:t>
      </w:r>
      <w:r>
        <w:rPr>
          <w:color w:val="1F1F1F"/>
          <w:sz w:val="20"/>
        </w:rPr>
        <w:t>Mechanisms to Novel Treatment Strategies. Trends Neurosci, 45(7):489-503.</w:t>
      </w:r>
    </w:p>
    <w:p w14:paraId="5A152C09">
      <w:pPr>
        <w:pStyle w:val="10"/>
        <w:numPr>
          <w:ilvl w:val="0"/>
          <w:numId w:val="7"/>
        </w:numPr>
        <w:tabs>
          <w:tab w:val="left" w:pos="898"/>
          <w:tab w:val="left" w:pos="900"/>
        </w:tabs>
        <w:spacing w:before="0" w:after="0" w:line="276" w:lineRule="auto"/>
        <w:ind w:left="900" w:right="366" w:hanging="540"/>
        <w:jc w:val="both"/>
        <w:rPr>
          <w:sz w:val="20"/>
        </w:rPr>
      </w:pPr>
      <w:r>
        <w:rPr>
          <w:color w:val="1F1F1F"/>
          <w:sz w:val="20"/>
        </w:rPr>
        <w:t>Zhang R, Wang X, Zhou X, et al. (2023). Zonisamide Protects Against Haloperidol-Induced Dopaminergic Neuron Damage and Motor Side Effects via Nrf2/GSH Pathway. Mol Neurobiol, 50(8):5806-5817.</w:t>
      </w:r>
    </w:p>
    <w:p w14:paraId="2A134256">
      <w:pPr>
        <w:pStyle w:val="10"/>
        <w:numPr>
          <w:ilvl w:val="0"/>
          <w:numId w:val="7"/>
        </w:numPr>
        <w:tabs>
          <w:tab w:val="left" w:pos="898"/>
          <w:tab w:val="left" w:pos="900"/>
        </w:tabs>
        <w:spacing w:before="0" w:after="0" w:line="276" w:lineRule="auto"/>
        <w:ind w:left="900" w:right="363" w:hanging="540"/>
        <w:jc w:val="both"/>
        <w:rPr>
          <w:sz w:val="20"/>
        </w:rPr>
      </w:pPr>
      <w:r>
        <w:rPr>
          <w:color w:val="1F1F1F"/>
          <w:sz w:val="20"/>
        </w:rPr>
        <w:t>Mori N, Sato M, Yamada Y, et al. (2023). Zonisamide for Schizophrenia: A Double-Blind, Randomized, Placebo-Controlled Trial. Am J Psychiatry, 180(7):511-519.</w:t>
      </w:r>
      <w:bookmarkStart w:id="0" w:name="_GoBack"/>
      <w:bookmarkEnd w:id="0"/>
    </w:p>
    <w:sectPr>
      <w:pgSz w:w="12240" w:h="15840"/>
      <w:pgMar w:top="740" w:right="1080" w:bottom="1200" w:left="1080" w:header="0" w:footer="100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1"/>
    <w:family w:val="roman"/>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Arial MT">
    <w:altName w:val="Arial"/>
    <w:panose1 w:val="00000000000000000000"/>
    <w:charset w:val="01"/>
    <w:family w:val="swiss"/>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Courier New">
    <w:panose1 w:val="02070309020205020404"/>
    <w:charset w:val="01"/>
    <w:family w:val="modern"/>
    <w:pitch w:val="default"/>
    <w:sig w:usb0="E0002AFF" w:usb1="C0007843" w:usb2="00000009" w:usb3="00000000" w:csb0="400001FF" w:csb1="FFFF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A2DD9">
    <w:pPr>
      <w:pStyle w:val="6"/>
      <w:spacing w:line="14" w:lineRule="auto"/>
      <w:rPr>
        <w:sz w:val="20"/>
      </w:rPr>
    </w:pPr>
    <w:r>
      <w:rPr>
        <w:sz w:val="20"/>
      </w:rPr>
      <mc:AlternateContent>
        <mc:Choice Requires="wps">
          <w:drawing>
            <wp:anchor distT="0" distB="0" distL="0" distR="0" simplePos="0" relativeHeight="251661312" behindDoc="1" locked="0" layoutInCell="1" allowOverlap="1">
              <wp:simplePos x="0" y="0"/>
              <wp:positionH relativeFrom="page">
                <wp:posOffset>895985</wp:posOffset>
              </wp:positionH>
              <wp:positionV relativeFrom="page">
                <wp:posOffset>9241155</wp:posOffset>
              </wp:positionV>
              <wp:extent cx="5980430" cy="6350"/>
              <wp:effectExtent l="0" t="0" r="0" b="0"/>
              <wp:wrapNone/>
              <wp:docPr id="1" name="Graphic 1"/>
              <wp:cNvGraphicFramePr/>
              <a:graphic xmlns:a="http://schemas.openxmlformats.org/drawingml/2006/main">
                <a:graphicData uri="http://schemas.microsoft.com/office/word/2010/wordprocessingShape">
                  <wps:wsp>
                    <wps:cNvSpPr/>
                    <wps:spPr>
                      <a:xfrm>
                        <a:off x="0" y="0"/>
                        <a:ext cx="5980430" cy="6350"/>
                      </a:xfrm>
                      <a:custGeom>
                        <a:avLst/>
                        <a:gdLst/>
                        <a:ahLst/>
                        <a:cxnLst/>
                        <a:rect l="l" t="t" r="r" b="b"/>
                        <a:pathLst>
                          <a:path w="5980430" h="6350">
                            <a:moveTo>
                              <a:pt x="5980175" y="6096"/>
                            </a:moveTo>
                            <a:lnTo>
                              <a:pt x="0" y="6096"/>
                            </a:lnTo>
                            <a:lnTo>
                              <a:pt x="0" y="0"/>
                            </a:lnTo>
                            <a:lnTo>
                              <a:pt x="5980175" y="0"/>
                            </a:lnTo>
                            <a:lnTo>
                              <a:pt x="5980175" y="6096"/>
                            </a:lnTo>
                            <a:close/>
                          </a:path>
                        </a:pathLst>
                      </a:custGeom>
                      <a:solidFill>
                        <a:srgbClr val="D8D8D8"/>
                      </a:solidFill>
                    </wps:spPr>
                    <wps:bodyPr wrap="square" lIns="0" tIns="0" rIns="0" bIns="0" rtlCol="0">
                      <a:noAutofit/>
                    </wps:bodyPr>
                  </wps:wsp>
                </a:graphicData>
              </a:graphic>
            </wp:anchor>
          </w:drawing>
        </mc:Choice>
        <mc:Fallback>
          <w:pict>
            <v:shape id="Graphic 1" o:spid="_x0000_s1026" o:spt="100" style="position:absolute;left:0pt;margin-left:70.55pt;margin-top:727.65pt;height:0.5pt;width:470.9pt;mso-position-horizontal-relative:page;mso-position-vertical-relative:page;z-index:-251655168;mso-width-relative:page;mso-height-relative:page;" fillcolor="#D8D8D8" filled="t" stroked="f" coordsize="5980430,6350" o:gfxdata="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Q&#10;sqqN2wAAAA4BAAAPAAAAAAAAAAEAIAAAACIAAABkcnMvZG93bnJldi54bWxQSwECFAAUAAAACACH&#10;TuJARJ5kliECAADfBAAADgAAAAAAAAABACAAAAAqAQAAZHJzL2Uyb0RvYy54bWxQSwUGAAAAAAYA&#10;BgBZAQAAvQUAAAAA&#10;" path="m5980175,6096l0,6096,0,0,5980175,0,5980175,6096xe">
              <v:fill on="t" focussize="0,0"/>
              <v:stroke on="f"/>
              <v:imagedata o:title=""/>
              <o:lock v:ext="edit" aspectratio="f"/>
              <v:textbox inset="0mm,0mm,0mm,0mm"/>
            </v:shape>
          </w:pict>
        </mc:Fallback>
      </mc:AlternateContent>
    </w:r>
    <w:r>
      <w:rPr>
        <w:sz w:val="20"/>
      </w:rPr>
      <mc:AlternateContent>
        <mc:Choice Requires="wps">
          <w:drawing>
            <wp:anchor distT="0" distB="0" distL="0" distR="0" simplePos="0" relativeHeight="251661312" behindDoc="1" locked="0" layoutInCell="1" allowOverlap="1">
              <wp:simplePos x="0" y="0"/>
              <wp:positionH relativeFrom="page">
                <wp:posOffset>6191885</wp:posOffset>
              </wp:positionH>
              <wp:positionV relativeFrom="page">
                <wp:posOffset>9274175</wp:posOffset>
              </wp:positionV>
              <wp:extent cx="642620" cy="165735"/>
              <wp:effectExtent l="0" t="0" r="0" b="0"/>
              <wp:wrapNone/>
              <wp:docPr id="2" name="Textbox 2"/>
              <wp:cNvGraphicFramePr/>
              <a:graphic xmlns:a="http://schemas.openxmlformats.org/drawingml/2006/main">
                <a:graphicData uri="http://schemas.microsoft.com/office/word/2010/wordprocessingShape">
                  <wps:wsp>
                    <wps:cNvSpPr txBox="1"/>
                    <wps:spPr>
                      <a:xfrm>
                        <a:off x="0" y="0"/>
                        <a:ext cx="642620" cy="165735"/>
                      </a:xfrm>
                      <a:prstGeom prst="rect">
                        <a:avLst/>
                      </a:prstGeom>
                    </wps:spPr>
                    <wps:txbx>
                      <w:txbxContent>
                        <w:p w14:paraId="7119A44C">
                          <w:pPr>
                            <w:spacing w:before="0" w:line="244" w:lineRule="exact"/>
                            <w:ind w:left="60" w:right="0" w:firstLine="0"/>
                            <w:jc w:val="left"/>
                            <w:rPr>
                              <w:rFonts w:ascii="Calibri"/>
                              <w:sz w:val="22"/>
                            </w:rPr>
                          </w:pPr>
                          <w:r>
                            <w:rPr>
                              <w:rFonts w:ascii="Calibri"/>
                              <w:b/>
                              <w:sz w:val="22"/>
                            </w:rPr>
                            <w:fldChar w:fldCharType="begin"/>
                          </w:r>
                          <w:r>
                            <w:rPr>
                              <w:rFonts w:ascii="Calibri"/>
                              <w:b/>
                              <w:sz w:val="22"/>
                            </w:rPr>
                            <w:instrText xml:space="preserve"> PAGE </w:instrText>
                          </w:r>
                          <w:r>
                            <w:rPr>
                              <w:rFonts w:ascii="Calibri"/>
                              <w:b/>
                              <w:sz w:val="22"/>
                            </w:rPr>
                            <w:fldChar w:fldCharType="separate"/>
                          </w:r>
                          <w:r>
                            <w:rPr>
                              <w:rFonts w:ascii="Calibri"/>
                              <w:b/>
                              <w:sz w:val="22"/>
                            </w:rPr>
                            <w:t>1</w:t>
                          </w:r>
                          <w:r>
                            <w:rPr>
                              <w:rFonts w:ascii="Calibri"/>
                              <w:b/>
                              <w:sz w:val="22"/>
                            </w:rPr>
                            <w:fldChar w:fldCharType="end"/>
                          </w:r>
                          <w:r>
                            <w:rPr>
                              <w:rFonts w:ascii="Calibri"/>
                              <w:b/>
                              <w:sz w:val="22"/>
                            </w:rPr>
                            <w:t xml:space="preserve"> | </w:t>
                          </w:r>
                          <w:r>
                            <w:rPr>
                              <w:rFonts w:ascii="Calibri"/>
                              <w:color w:val="7E7E7E"/>
                              <w:sz w:val="22"/>
                            </w:rPr>
                            <w:t>P</w:t>
                          </w:r>
                          <w:r>
                            <w:rPr>
                              <w:rFonts w:ascii="Calibri"/>
                              <w:color w:val="7E7E7E"/>
                              <w:spacing w:val="10"/>
                              <w:sz w:val="22"/>
                            </w:rPr>
                            <w:t xml:space="preserve"> </w:t>
                          </w:r>
                          <w:r>
                            <w:rPr>
                              <w:rFonts w:ascii="Calibri"/>
                              <w:color w:val="7E7E7E"/>
                              <w:sz w:val="22"/>
                            </w:rPr>
                            <w:t>a</w:t>
                          </w:r>
                          <w:r>
                            <w:rPr>
                              <w:rFonts w:ascii="Calibri"/>
                              <w:color w:val="7E7E7E"/>
                              <w:spacing w:val="12"/>
                              <w:sz w:val="22"/>
                            </w:rPr>
                            <w:t xml:space="preserve"> </w:t>
                          </w:r>
                          <w:r>
                            <w:rPr>
                              <w:rFonts w:ascii="Calibri"/>
                              <w:color w:val="7E7E7E"/>
                              <w:sz w:val="22"/>
                            </w:rPr>
                            <w:t>g</w:t>
                          </w:r>
                          <w:r>
                            <w:rPr>
                              <w:rFonts w:ascii="Calibri"/>
                              <w:color w:val="7E7E7E"/>
                              <w:spacing w:val="9"/>
                              <w:sz w:val="22"/>
                            </w:rPr>
                            <w:t xml:space="preserve"> </w:t>
                          </w:r>
                          <w:r>
                            <w:rPr>
                              <w:rFonts w:ascii="Calibri"/>
                              <w:color w:val="7E7E7E"/>
                              <w:spacing w:val="-10"/>
                              <w:sz w:val="22"/>
                            </w:rPr>
                            <w:t>e</w:t>
                          </w:r>
                        </w:p>
                      </w:txbxContent>
                    </wps:txbx>
                    <wps:bodyPr wrap="square" lIns="0" tIns="0" rIns="0" bIns="0" rtlCol="0">
                      <a:noAutofit/>
                    </wps:bodyPr>
                  </wps:wsp>
                </a:graphicData>
              </a:graphic>
            </wp:anchor>
          </w:drawing>
        </mc:Choice>
        <mc:Fallback>
          <w:pict>
            <v:shape id="Textbox 2" o:spid="_x0000_s1026" o:spt="202" type="#_x0000_t202" style="position:absolute;left:0pt;margin-left:487.55pt;margin-top:730.25pt;height:13.05pt;width:50.6pt;mso-position-horizontal-relative:page;mso-position-vertical-relative:page;z-index:-251655168;mso-width-relative:page;mso-height-relative:page;" filled="f" stroked="f" coordsize="21600,21600" o:gfxdata="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IWDESHbAAAADgEAAA8AAAAAAAAAAQAgAAAAIgAAAGRycy9kb3ducmV2LnhtbFBLAQIUABQAAAAI&#10;AIdO4kBayg34sQEAAHMDAAAOAAAAAAAAAAEAIAAAACoBAABkcnMvZTJvRG9jLnhtbFBLBQYAAAAA&#10;BgAGAFkBAABNBQAAAAA=&#10;">
              <v:fill on="f" focussize="0,0"/>
              <v:stroke on="f"/>
              <v:imagedata o:title=""/>
              <o:lock v:ext="edit" aspectratio="f"/>
              <v:textbox inset="0mm,0mm,0mm,0mm">
                <w:txbxContent>
                  <w:p w14:paraId="7119A44C">
                    <w:pPr>
                      <w:spacing w:before="0" w:line="244" w:lineRule="exact"/>
                      <w:ind w:left="60" w:right="0" w:firstLine="0"/>
                      <w:jc w:val="left"/>
                      <w:rPr>
                        <w:rFonts w:ascii="Calibri"/>
                        <w:sz w:val="22"/>
                      </w:rPr>
                    </w:pPr>
                    <w:r>
                      <w:rPr>
                        <w:rFonts w:ascii="Calibri"/>
                        <w:b/>
                        <w:sz w:val="22"/>
                      </w:rPr>
                      <w:fldChar w:fldCharType="begin"/>
                    </w:r>
                    <w:r>
                      <w:rPr>
                        <w:rFonts w:ascii="Calibri"/>
                        <w:b/>
                        <w:sz w:val="22"/>
                      </w:rPr>
                      <w:instrText xml:space="preserve"> PAGE </w:instrText>
                    </w:r>
                    <w:r>
                      <w:rPr>
                        <w:rFonts w:ascii="Calibri"/>
                        <w:b/>
                        <w:sz w:val="22"/>
                      </w:rPr>
                      <w:fldChar w:fldCharType="separate"/>
                    </w:r>
                    <w:r>
                      <w:rPr>
                        <w:rFonts w:ascii="Calibri"/>
                        <w:b/>
                        <w:sz w:val="22"/>
                      </w:rPr>
                      <w:t>1</w:t>
                    </w:r>
                    <w:r>
                      <w:rPr>
                        <w:rFonts w:ascii="Calibri"/>
                        <w:b/>
                        <w:sz w:val="22"/>
                      </w:rPr>
                      <w:fldChar w:fldCharType="end"/>
                    </w:r>
                    <w:r>
                      <w:rPr>
                        <w:rFonts w:ascii="Calibri"/>
                        <w:b/>
                        <w:sz w:val="22"/>
                      </w:rPr>
                      <w:t xml:space="preserve"> | </w:t>
                    </w:r>
                    <w:r>
                      <w:rPr>
                        <w:rFonts w:ascii="Calibri"/>
                        <w:color w:val="7E7E7E"/>
                        <w:sz w:val="22"/>
                      </w:rPr>
                      <w:t>P</w:t>
                    </w:r>
                    <w:r>
                      <w:rPr>
                        <w:rFonts w:ascii="Calibri"/>
                        <w:color w:val="7E7E7E"/>
                        <w:spacing w:val="10"/>
                        <w:sz w:val="22"/>
                      </w:rPr>
                      <w:t xml:space="preserve"> </w:t>
                    </w:r>
                    <w:r>
                      <w:rPr>
                        <w:rFonts w:ascii="Calibri"/>
                        <w:color w:val="7E7E7E"/>
                        <w:sz w:val="22"/>
                      </w:rPr>
                      <w:t>a</w:t>
                    </w:r>
                    <w:r>
                      <w:rPr>
                        <w:rFonts w:ascii="Calibri"/>
                        <w:color w:val="7E7E7E"/>
                        <w:spacing w:val="12"/>
                        <w:sz w:val="22"/>
                      </w:rPr>
                      <w:t xml:space="preserve"> </w:t>
                    </w:r>
                    <w:r>
                      <w:rPr>
                        <w:rFonts w:ascii="Calibri"/>
                        <w:color w:val="7E7E7E"/>
                        <w:sz w:val="22"/>
                      </w:rPr>
                      <w:t>g</w:t>
                    </w:r>
                    <w:r>
                      <w:rPr>
                        <w:rFonts w:ascii="Calibri"/>
                        <w:color w:val="7E7E7E"/>
                        <w:spacing w:val="9"/>
                        <w:sz w:val="22"/>
                      </w:rPr>
                      <w:t xml:space="preserve"> </w:t>
                    </w:r>
                    <w:r>
                      <w:rPr>
                        <w:rFonts w:ascii="Calibri"/>
                        <w:color w:val="7E7E7E"/>
                        <w:spacing w:val="-10"/>
                        <w:sz w:val="22"/>
                      </w:rPr>
                      <w:t>e</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0"/>
      <w:numFmt w:val="bullet"/>
      <w:lvlText w:val=""/>
      <w:lvlJc w:val="left"/>
      <w:pPr>
        <w:ind w:left="360" w:hanging="360"/>
      </w:pPr>
      <w:rPr>
        <w:rFonts w:hint="default" w:ascii="Symbol" w:hAnsi="Symbol" w:eastAsia="Symbol" w:cs="Symbol"/>
        <w:b w:val="0"/>
        <w:bCs w:val="0"/>
        <w:i w:val="0"/>
        <w:iCs w:val="0"/>
        <w:color w:val="1F1F1F"/>
        <w:spacing w:val="0"/>
        <w:w w:val="99"/>
        <w:sz w:val="20"/>
        <w:szCs w:val="20"/>
        <w:lang w:val="en-US" w:eastAsia="en-US" w:bidi="ar-SA"/>
      </w:rPr>
    </w:lvl>
    <w:lvl w:ilvl="1" w:tentative="0">
      <w:start w:val="0"/>
      <w:numFmt w:val="bullet"/>
      <w:lvlText w:val=""/>
      <w:lvlJc w:val="left"/>
      <w:pPr>
        <w:ind w:left="720" w:hanging="360"/>
      </w:pPr>
      <w:rPr>
        <w:rFonts w:hint="default" w:ascii="Symbol" w:hAnsi="Symbol" w:eastAsia="Symbol" w:cs="Symbol"/>
        <w:b w:val="0"/>
        <w:bCs w:val="0"/>
        <w:i w:val="0"/>
        <w:iCs w:val="0"/>
        <w:color w:val="1F1F1F"/>
        <w:spacing w:val="0"/>
        <w:w w:val="99"/>
        <w:sz w:val="20"/>
        <w:szCs w:val="20"/>
        <w:lang w:val="en-US" w:eastAsia="en-US" w:bidi="ar-SA"/>
      </w:rPr>
    </w:lvl>
    <w:lvl w:ilvl="2" w:tentative="0">
      <w:start w:val="0"/>
      <w:numFmt w:val="bullet"/>
      <w:lvlText w:val="•"/>
      <w:lvlJc w:val="left"/>
      <w:pPr>
        <w:ind w:left="1760" w:hanging="360"/>
      </w:pPr>
      <w:rPr>
        <w:rFonts w:hint="default"/>
        <w:lang w:val="en-US" w:eastAsia="en-US" w:bidi="ar-SA"/>
      </w:rPr>
    </w:lvl>
    <w:lvl w:ilvl="3" w:tentative="0">
      <w:start w:val="0"/>
      <w:numFmt w:val="bullet"/>
      <w:lvlText w:val="•"/>
      <w:lvlJc w:val="left"/>
      <w:pPr>
        <w:ind w:left="2800" w:hanging="360"/>
      </w:pPr>
      <w:rPr>
        <w:rFonts w:hint="default"/>
        <w:lang w:val="en-US" w:eastAsia="en-US" w:bidi="ar-SA"/>
      </w:rPr>
    </w:lvl>
    <w:lvl w:ilvl="4" w:tentative="0">
      <w:start w:val="0"/>
      <w:numFmt w:val="bullet"/>
      <w:lvlText w:val="•"/>
      <w:lvlJc w:val="left"/>
      <w:pPr>
        <w:ind w:left="3840" w:hanging="360"/>
      </w:pPr>
      <w:rPr>
        <w:rFonts w:hint="default"/>
        <w:lang w:val="en-US" w:eastAsia="en-US" w:bidi="ar-SA"/>
      </w:rPr>
    </w:lvl>
    <w:lvl w:ilvl="5" w:tentative="0">
      <w:start w:val="0"/>
      <w:numFmt w:val="bullet"/>
      <w:lvlText w:val="•"/>
      <w:lvlJc w:val="left"/>
      <w:pPr>
        <w:ind w:left="4880" w:hanging="360"/>
      </w:pPr>
      <w:rPr>
        <w:rFonts w:hint="default"/>
        <w:lang w:val="en-US" w:eastAsia="en-US" w:bidi="ar-SA"/>
      </w:rPr>
    </w:lvl>
    <w:lvl w:ilvl="6" w:tentative="0">
      <w:start w:val="0"/>
      <w:numFmt w:val="bullet"/>
      <w:lvlText w:val="•"/>
      <w:lvlJc w:val="left"/>
      <w:pPr>
        <w:ind w:left="5920" w:hanging="360"/>
      </w:pPr>
      <w:rPr>
        <w:rFonts w:hint="default"/>
        <w:lang w:val="en-US" w:eastAsia="en-US" w:bidi="ar-SA"/>
      </w:rPr>
    </w:lvl>
    <w:lvl w:ilvl="7" w:tentative="0">
      <w:start w:val="0"/>
      <w:numFmt w:val="bullet"/>
      <w:lvlText w:val="•"/>
      <w:lvlJc w:val="left"/>
      <w:pPr>
        <w:ind w:left="6960" w:hanging="360"/>
      </w:pPr>
      <w:rPr>
        <w:rFonts w:hint="default"/>
        <w:lang w:val="en-US" w:eastAsia="en-US" w:bidi="ar-SA"/>
      </w:rPr>
    </w:lvl>
    <w:lvl w:ilvl="8" w:tentative="0">
      <w:start w:val="0"/>
      <w:numFmt w:val="bullet"/>
      <w:lvlText w:val="•"/>
      <w:lvlJc w:val="left"/>
      <w:pPr>
        <w:ind w:left="8000" w:hanging="360"/>
      </w:pPr>
      <w:rPr>
        <w:rFonts w:hint="default"/>
        <w:lang w:val="en-US" w:eastAsia="en-US" w:bidi="ar-SA"/>
      </w:rPr>
    </w:lvl>
  </w:abstractNum>
  <w:abstractNum w:abstractNumId="1">
    <w:nsid w:val="BF205925"/>
    <w:multiLevelType w:val="multilevel"/>
    <w:tmpl w:val="BF205925"/>
    <w:lvl w:ilvl="0" w:tentative="0">
      <w:start w:val="1"/>
      <w:numFmt w:val="decimal"/>
      <w:lvlText w:val="%1."/>
      <w:lvlJc w:val="left"/>
      <w:pPr>
        <w:ind w:left="360" w:hanging="360"/>
        <w:jc w:val="left"/>
      </w:pPr>
      <w:rPr>
        <w:rFonts w:hint="default" w:ascii="Times New Roman" w:hAnsi="Times New Roman" w:eastAsia="Times New Roman" w:cs="Times New Roman"/>
        <w:b w:val="0"/>
        <w:bCs w:val="0"/>
        <w:i w:val="0"/>
        <w:iCs w:val="0"/>
        <w:color w:val="1F1F1F"/>
        <w:spacing w:val="0"/>
        <w:w w:val="99"/>
        <w:sz w:val="24"/>
        <w:szCs w:val="24"/>
        <w:lang w:val="en-US" w:eastAsia="en-US" w:bidi="ar-SA"/>
      </w:rPr>
    </w:lvl>
    <w:lvl w:ilvl="1" w:tentative="0">
      <w:start w:val="0"/>
      <w:numFmt w:val="bullet"/>
      <w:lvlText w:val=""/>
      <w:lvlJc w:val="left"/>
      <w:pPr>
        <w:ind w:left="720" w:hanging="360"/>
      </w:pPr>
      <w:rPr>
        <w:rFonts w:hint="default" w:ascii="Symbol" w:hAnsi="Symbol" w:eastAsia="Symbol" w:cs="Symbol"/>
        <w:b w:val="0"/>
        <w:bCs w:val="0"/>
        <w:i w:val="0"/>
        <w:iCs w:val="0"/>
        <w:color w:val="1F1F1F"/>
        <w:spacing w:val="0"/>
        <w:w w:val="99"/>
        <w:sz w:val="20"/>
        <w:szCs w:val="20"/>
        <w:lang w:val="en-US" w:eastAsia="en-US" w:bidi="ar-SA"/>
      </w:rPr>
    </w:lvl>
    <w:lvl w:ilvl="2" w:tentative="0">
      <w:start w:val="0"/>
      <w:numFmt w:val="bullet"/>
      <w:lvlText w:val="•"/>
      <w:lvlJc w:val="left"/>
      <w:pPr>
        <w:ind w:left="1760" w:hanging="360"/>
      </w:pPr>
      <w:rPr>
        <w:rFonts w:hint="default"/>
        <w:lang w:val="en-US" w:eastAsia="en-US" w:bidi="ar-SA"/>
      </w:rPr>
    </w:lvl>
    <w:lvl w:ilvl="3" w:tentative="0">
      <w:start w:val="0"/>
      <w:numFmt w:val="bullet"/>
      <w:lvlText w:val="•"/>
      <w:lvlJc w:val="left"/>
      <w:pPr>
        <w:ind w:left="2800" w:hanging="360"/>
      </w:pPr>
      <w:rPr>
        <w:rFonts w:hint="default"/>
        <w:lang w:val="en-US" w:eastAsia="en-US" w:bidi="ar-SA"/>
      </w:rPr>
    </w:lvl>
    <w:lvl w:ilvl="4" w:tentative="0">
      <w:start w:val="0"/>
      <w:numFmt w:val="bullet"/>
      <w:lvlText w:val="•"/>
      <w:lvlJc w:val="left"/>
      <w:pPr>
        <w:ind w:left="3840" w:hanging="360"/>
      </w:pPr>
      <w:rPr>
        <w:rFonts w:hint="default"/>
        <w:lang w:val="en-US" w:eastAsia="en-US" w:bidi="ar-SA"/>
      </w:rPr>
    </w:lvl>
    <w:lvl w:ilvl="5" w:tentative="0">
      <w:start w:val="0"/>
      <w:numFmt w:val="bullet"/>
      <w:lvlText w:val="•"/>
      <w:lvlJc w:val="left"/>
      <w:pPr>
        <w:ind w:left="4880" w:hanging="360"/>
      </w:pPr>
      <w:rPr>
        <w:rFonts w:hint="default"/>
        <w:lang w:val="en-US" w:eastAsia="en-US" w:bidi="ar-SA"/>
      </w:rPr>
    </w:lvl>
    <w:lvl w:ilvl="6" w:tentative="0">
      <w:start w:val="0"/>
      <w:numFmt w:val="bullet"/>
      <w:lvlText w:val="•"/>
      <w:lvlJc w:val="left"/>
      <w:pPr>
        <w:ind w:left="5920" w:hanging="360"/>
      </w:pPr>
      <w:rPr>
        <w:rFonts w:hint="default"/>
        <w:lang w:val="en-US" w:eastAsia="en-US" w:bidi="ar-SA"/>
      </w:rPr>
    </w:lvl>
    <w:lvl w:ilvl="7" w:tentative="0">
      <w:start w:val="0"/>
      <w:numFmt w:val="bullet"/>
      <w:lvlText w:val="•"/>
      <w:lvlJc w:val="left"/>
      <w:pPr>
        <w:ind w:left="6960" w:hanging="360"/>
      </w:pPr>
      <w:rPr>
        <w:rFonts w:hint="default"/>
        <w:lang w:val="en-US" w:eastAsia="en-US" w:bidi="ar-SA"/>
      </w:rPr>
    </w:lvl>
    <w:lvl w:ilvl="8" w:tentative="0">
      <w:start w:val="0"/>
      <w:numFmt w:val="bullet"/>
      <w:lvlText w:val="•"/>
      <w:lvlJc w:val="left"/>
      <w:pPr>
        <w:ind w:left="8000" w:hanging="360"/>
      </w:pPr>
      <w:rPr>
        <w:rFonts w:hint="default"/>
        <w:lang w:val="en-US" w:eastAsia="en-US" w:bidi="ar-SA"/>
      </w:rPr>
    </w:lvl>
  </w:abstractNum>
  <w:abstractNum w:abstractNumId="2">
    <w:nsid w:val="CF092B84"/>
    <w:multiLevelType w:val="multilevel"/>
    <w:tmpl w:val="CF092B84"/>
    <w:lvl w:ilvl="0" w:tentative="0">
      <w:start w:val="0"/>
      <w:numFmt w:val="bullet"/>
      <w:lvlText w:val=""/>
      <w:lvlJc w:val="left"/>
      <w:pPr>
        <w:ind w:left="720" w:hanging="360"/>
      </w:pPr>
      <w:rPr>
        <w:rFonts w:hint="default" w:ascii="Symbol" w:hAnsi="Symbol" w:eastAsia="Symbol" w:cs="Symbol"/>
        <w:spacing w:val="0"/>
        <w:w w:val="99"/>
        <w:lang w:val="en-US" w:eastAsia="en-US" w:bidi="ar-SA"/>
      </w:rPr>
    </w:lvl>
    <w:lvl w:ilvl="1" w:tentative="0">
      <w:start w:val="0"/>
      <w:numFmt w:val="bullet"/>
      <w:lvlText w:val="•"/>
      <w:lvlJc w:val="left"/>
      <w:pPr>
        <w:ind w:left="1656" w:hanging="360"/>
      </w:pPr>
      <w:rPr>
        <w:rFonts w:hint="default"/>
        <w:lang w:val="en-US" w:eastAsia="en-US" w:bidi="ar-SA"/>
      </w:rPr>
    </w:lvl>
    <w:lvl w:ilvl="2" w:tentative="0">
      <w:start w:val="0"/>
      <w:numFmt w:val="bullet"/>
      <w:lvlText w:val="•"/>
      <w:lvlJc w:val="left"/>
      <w:pPr>
        <w:ind w:left="2592" w:hanging="360"/>
      </w:pPr>
      <w:rPr>
        <w:rFonts w:hint="default"/>
        <w:lang w:val="en-US" w:eastAsia="en-US" w:bidi="ar-SA"/>
      </w:rPr>
    </w:lvl>
    <w:lvl w:ilvl="3" w:tentative="0">
      <w:start w:val="0"/>
      <w:numFmt w:val="bullet"/>
      <w:lvlText w:val="•"/>
      <w:lvlJc w:val="left"/>
      <w:pPr>
        <w:ind w:left="3528" w:hanging="360"/>
      </w:pPr>
      <w:rPr>
        <w:rFonts w:hint="default"/>
        <w:lang w:val="en-US" w:eastAsia="en-US" w:bidi="ar-SA"/>
      </w:rPr>
    </w:lvl>
    <w:lvl w:ilvl="4" w:tentative="0">
      <w:start w:val="0"/>
      <w:numFmt w:val="bullet"/>
      <w:lvlText w:val="•"/>
      <w:lvlJc w:val="left"/>
      <w:pPr>
        <w:ind w:left="4464" w:hanging="360"/>
      </w:pPr>
      <w:rPr>
        <w:rFonts w:hint="default"/>
        <w:lang w:val="en-US" w:eastAsia="en-US" w:bidi="ar-SA"/>
      </w:rPr>
    </w:lvl>
    <w:lvl w:ilvl="5" w:tentative="0">
      <w:start w:val="0"/>
      <w:numFmt w:val="bullet"/>
      <w:lvlText w:val="•"/>
      <w:lvlJc w:val="left"/>
      <w:pPr>
        <w:ind w:left="5400" w:hanging="360"/>
      </w:pPr>
      <w:rPr>
        <w:rFonts w:hint="default"/>
        <w:lang w:val="en-US" w:eastAsia="en-US" w:bidi="ar-SA"/>
      </w:rPr>
    </w:lvl>
    <w:lvl w:ilvl="6" w:tentative="0">
      <w:start w:val="0"/>
      <w:numFmt w:val="bullet"/>
      <w:lvlText w:val="•"/>
      <w:lvlJc w:val="left"/>
      <w:pPr>
        <w:ind w:left="6336" w:hanging="360"/>
      </w:pPr>
      <w:rPr>
        <w:rFonts w:hint="default"/>
        <w:lang w:val="en-US" w:eastAsia="en-US" w:bidi="ar-SA"/>
      </w:rPr>
    </w:lvl>
    <w:lvl w:ilvl="7" w:tentative="0">
      <w:start w:val="0"/>
      <w:numFmt w:val="bullet"/>
      <w:lvlText w:val="•"/>
      <w:lvlJc w:val="left"/>
      <w:pPr>
        <w:ind w:left="7272" w:hanging="360"/>
      </w:pPr>
      <w:rPr>
        <w:rFonts w:hint="default"/>
        <w:lang w:val="en-US" w:eastAsia="en-US" w:bidi="ar-SA"/>
      </w:rPr>
    </w:lvl>
    <w:lvl w:ilvl="8" w:tentative="0">
      <w:start w:val="0"/>
      <w:numFmt w:val="bullet"/>
      <w:lvlText w:val="•"/>
      <w:lvlJc w:val="left"/>
      <w:pPr>
        <w:ind w:left="8208" w:hanging="360"/>
      </w:pPr>
      <w:rPr>
        <w:rFonts w:hint="default"/>
        <w:lang w:val="en-US" w:eastAsia="en-US" w:bidi="ar-SA"/>
      </w:rPr>
    </w:lvl>
  </w:abstractNum>
  <w:abstractNum w:abstractNumId="3">
    <w:nsid w:val="0053208E"/>
    <w:multiLevelType w:val="multilevel"/>
    <w:tmpl w:val="0053208E"/>
    <w:lvl w:ilvl="0" w:tentative="0">
      <w:start w:val="1"/>
      <w:numFmt w:val="upperRoman"/>
      <w:lvlText w:val="%1."/>
      <w:lvlJc w:val="left"/>
      <w:pPr>
        <w:ind w:left="900" w:hanging="540"/>
        <w:jc w:val="left"/>
      </w:pPr>
      <w:rPr>
        <w:rFonts w:hint="default"/>
        <w:spacing w:val="0"/>
        <w:w w:val="99"/>
        <w:lang w:val="en-US" w:eastAsia="en-US" w:bidi="ar-SA"/>
      </w:rPr>
    </w:lvl>
    <w:lvl w:ilvl="1" w:tentative="0">
      <w:start w:val="1"/>
      <w:numFmt w:val="decimal"/>
      <w:lvlText w:val="%2."/>
      <w:lvlJc w:val="left"/>
      <w:pPr>
        <w:ind w:left="720" w:hanging="360"/>
        <w:jc w:val="left"/>
      </w:pPr>
      <w:rPr>
        <w:rFonts w:hint="default"/>
        <w:spacing w:val="0"/>
        <w:w w:val="99"/>
        <w:lang w:val="en-US" w:eastAsia="en-US" w:bidi="ar-SA"/>
      </w:rPr>
    </w:lvl>
    <w:lvl w:ilvl="2" w:tentative="0">
      <w:start w:val="0"/>
      <w:numFmt w:val="bullet"/>
      <w:lvlText w:val="•"/>
      <w:lvlJc w:val="left"/>
      <w:pPr>
        <w:ind w:left="1920" w:hanging="360"/>
      </w:pPr>
      <w:rPr>
        <w:rFonts w:hint="default"/>
        <w:lang w:val="en-US" w:eastAsia="en-US" w:bidi="ar-SA"/>
      </w:rPr>
    </w:lvl>
    <w:lvl w:ilvl="3" w:tentative="0">
      <w:start w:val="0"/>
      <w:numFmt w:val="bullet"/>
      <w:lvlText w:val="•"/>
      <w:lvlJc w:val="left"/>
      <w:pPr>
        <w:ind w:left="2940" w:hanging="360"/>
      </w:pPr>
      <w:rPr>
        <w:rFonts w:hint="default"/>
        <w:lang w:val="en-US" w:eastAsia="en-US" w:bidi="ar-SA"/>
      </w:rPr>
    </w:lvl>
    <w:lvl w:ilvl="4" w:tentative="0">
      <w:start w:val="0"/>
      <w:numFmt w:val="bullet"/>
      <w:lvlText w:val="•"/>
      <w:lvlJc w:val="left"/>
      <w:pPr>
        <w:ind w:left="3960" w:hanging="360"/>
      </w:pPr>
      <w:rPr>
        <w:rFonts w:hint="default"/>
        <w:lang w:val="en-US" w:eastAsia="en-US" w:bidi="ar-SA"/>
      </w:rPr>
    </w:lvl>
    <w:lvl w:ilvl="5" w:tentative="0">
      <w:start w:val="0"/>
      <w:numFmt w:val="bullet"/>
      <w:lvlText w:val="•"/>
      <w:lvlJc w:val="left"/>
      <w:pPr>
        <w:ind w:left="4980" w:hanging="360"/>
      </w:pPr>
      <w:rPr>
        <w:rFonts w:hint="default"/>
        <w:lang w:val="en-US" w:eastAsia="en-US" w:bidi="ar-SA"/>
      </w:rPr>
    </w:lvl>
    <w:lvl w:ilvl="6" w:tentative="0">
      <w:start w:val="0"/>
      <w:numFmt w:val="bullet"/>
      <w:lvlText w:val="•"/>
      <w:lvlJc w:val="left"/>
      <w:pPr>
        <w:ind w:left="6000" w:hanging="360"/>
      </w:pPr>
      <w:rPr>
        <w:rFonts w:hint="default"/>
        <w:lang w:val="en-US" w:eastAsia="en-US" w:bidi="ar-SA"/>
      </w:rPr>
    </w:lvl>
    <w:lvl w:ilvl="7" w:tentative="0">
      <w:start w:val="0"/>
      <w:numFmt w:val="bullet"/>
      <w:lvlText w:val="•"/>
      <w:lvlJc w:val="left"/>
      <w:pPr>
        <w:ind w:left="7020" w:hanging="360"/>
      </w:pPr>
      <w:rPr>
        <w:rFonts w:hint="default"/>
        <w:lang w:val="en-US" w:eastAsia="en-US" w:bidi="ar-SA"/>
      </w:rPr>
    </w:lvl>
    <w:lvl w:ilvl="8" w:tentative="0">
      <w:start w:val="0"/>
      <w:numFmt w:val="bullet"/>
      <w:lvlText w:val="•"/>
      <w:lvlJc w:val="left"/>
      <w:pPr>
        <w:ind w:left="8040" w:hanging="360"/>
      </w:pPr>
      <w:rPr>
        <w:rFonts w:hint="default"/>
        <w:lang w:val="en-US" w:eastAsia="en-US" w:bidi="ar-SA"/>
      </w:rPr>
    </w:lvl>
  </w:abstractNum>
  <w:abstractNum w:abstractNumId="4">
    <w:nsid w:val="03D62ECE"/>
    <w:multiLevelType w:val="multilevel"/>
    <w:tmpl w:val="03D62ECE"/>
    <w:lvl w:ilvl="0" w:tentative="0">
      <w:start w:val="0"/>
      <w:numFmt w:val="bullet"/>
      <w:lvlText w:val="o"/>
      <w:lvlJc w:val="left"/>
      <w:pPr>
        <w:ind w:left="360" w:hanging="360"/>
      </w:pPr>
      <w:rPr>
        <w:rFonts w:hint="default" w:ascii="Courier New" w:hAnsi="Courier New" w:eastAsia="Courier New" w:cs="Courier New"/>
        <w:b w:val="0"/>
        <w:bCs w:val="0"/>
        <w:i w:val="0"/>
        <w:iCs w:val="0"/>
        <w:color w:val="1F1F1F"/>
        <w:spacing w:val="0"/>
        <w:w w:val="99"/>
        <w:sz w:val="20"/>
        <w:szCs w:val="20"/>
        <w:lang w:val="en-US" w:eastAsia="en-US" w:bidi="ar-SA"/>
      </w:rPr>
    </w:lvl>
    <w:lvl w:ilvl="1" w:tentative="0">
      <w:start w:val="0"/>
      <w:numFmt w:val="bullet"/>
      <w:lvlText w:val="•"/>
      <w:lvlJc w:val="left"/>
      <w:pPr>
        <w:ind w:left="1332" w:hanging="360"/>
      </w:pPr>
      <w:rPr>
        <w:rFonts w:hint="default"/>
        <w:lang w:val="en-US" w:eastAsia="en-US" w:bidi="ar-SA"/>
      </w:rPr>
    </w:lvl>
    <w:lvl w:ilvl="2" w:tentative="0">
      <w:start w:val="0"/>
      <w:numFmt w:val="bullet"/>
      <w:lvlText w:val="•"/>
      <w:lvlJc w:val="left"/>
      <w:pPr>
        <w:ind w:left="2304" w:hanging="360"/>
      </w:pPr>
      <w:rPr>
        <w:rFonts w:hint="default"/>
        <w:lang w:val="en-US" w:eastAsia="en-US" w:bidi="ar-SA"/>
      </w:rPr>
    </w:lvl>
    <w:lvl w:ilvl="3" w:tentative="0">
      <w:start w:val="0"/>
      <w:numFmt w:val="bullet"/>
      <w:lvlText w:val="•"/>
      <w:lvlJc w:val="left"/>
      <w:pPr>
        <w:ind w:left="3276" w:hanging="360"/>
      </w:pPr>
      <w:rPr>
        <w:rFonts w:hint="default"/>
        <w:lang w:val="en-US" w:eastAsia="en-US" w:bidi="ar-SA"/>
      </w:rPr>
    </w:lvl>
    <w:lvl w:ilvl="4" w:tentative="0">
      <w:start w:val="0"/>
      <w:numFmt w:val="bullet"/>
      <w:lvlText w:val="•"/>
      <w:lvlJc w:val="left"/>
      <w:pPr>
        <w:ind w:left="4248" w:hanging="360"/>
      </w:pPr>
      <w:rPr>
        <w:rFonts w:hint="default"/>
        <w:lang w:val="en-US" w:eastAsia="en-US" w:bidi="ar-SA"/>
      </w:rPr>
    </w:lvl>
    <w:lvl w:ilvl="5" w:tentative="0">
      <w:start w:val="0"/>
      <w:numFmt w:val="bullet"/>
      <w:lvlText w:val="•"/>
      <w:lvlJc w:val="left"/>
      <w:pPr>
        <w:ind w:left="5220" w:hanging="360"/>
      </w:pPr>
      <w:rPr>
        <w:rFonts w:hint="default"/>
        <w:lang w:val="en-US" w:eastAsia="en-US" w:bidi="ar-SA"/>
      </w:rPr>
    </w:lvl>
    <w:lvl w:ilvl="6" w:tentative="0">
      <w:start w:val="0"/>
      <w:numFmt w:val="bullet"/>
      <w:lvlText w:val="•"/>
      <w:lvlJc w:val="left"/>
      <w:pPr>
        <w:ind w:left="6192" w:hanging="360"/>
      </w:pPr>
      <w:rPr>
        <w:rFonts w:hint="default"/>
        <w:lang w:val="en-US" w:eastAsia="en-US" w:bidi="ar-SA"/>
      </w:rPr>
    </w:lvl>
    <w:lvl w:ilvl="7" w:tentative="0">
      <w:start w:val="0"/>
      <w:numFmt w:val="bullet"/>
      <w:lvlText w:val="•"/>
      <w:lvlJc w:val="left"/>
      <w:pPr>
        <w:ind w:left="7164" w:hanging="360"/>
      </w:pPr>
      <w:rPr>
        <w:rFonts w:hint="default"/>
        <w:lang w:val="en-US" w:eastAsia="en-US" w:bidi="ar-SA"/>
      </w:rPr>
    </w:lvl>
    <w:lvl w:ilvl="8" w:tentative="0">
      <w:start w:val="0"/>
      <w:numFmt w:val="bullet"/>
      <w:lvlText w:val="•"/>
      <w:lvlJc w:val="left"/>
      <w:pPr>
        <w:ind w:left="8136" w:hanging="360"/>
      </w:pPr>
      <w:rPr>
        <w:rFonts w:hint="default"/>
        <w:lang w:val="en-US" w:eastAsia="en-US" w:bidi="ar-SA"/>
      </w:rPr>
    </w:lvl>
  </w:abstractNum>
  <w:abstractNum w:abstractNumId="5">
    <w:nsid w:val="25B654F3"/>
    <w:multiLevelType w:val="multilevel"/>
    <w:tmpl w:val="25B654F3"/>
    <w:lvl w:ilvl="0" w:tentative="0">
      <w:start w:val="1"/>
      <w:numFmt w:val="decimal"/>
      <w:lvlText w:val="[%1]"/>
      <w:lvlJc w:val="left"/>
      <w:pPr>
        <w:ind w:left="900" w:hanging="540"/>
        <w:jc w:val="left"/>
      </w:pPr>
      <w:rPr>
        <w:rFonts w:hint="default" w:ascii="Times New Roman" w:hAnsi="Times New Roman" w:eastAsia="Times New Roman" w:cs="Times New Roman"/>
        <w:b w:val="0"/>
        <w:bCs w:val="0"/>
        <w:i w:val="0"/>
        <w:iCs w:val="0"/>
        <w:color w:val="1F1F1F"/>
        <w:spacing w:val="0"/>
        <w:w w:val="99"/>
        <w:sz w:val="20"/>
        <w:szCs w:val="20"/>
        <w:lang w:val="en-US" w:eastAsia="en-US" w:bidi="ar-SA"/>
      </w:rPr>
    </w:lvl>
    <w:lvl w:ilvl="1" w:tentative="0">
      <w:start w:val="0"/>
      <w:numFmt w:val="bullet"/>
      <w:lvlText w:val="•"/>
      <w:lvlJc w:val="left"/>
      <w:pPr>
        <w:ind w:left="1818" w:hanging="540"/>
      </w:pPr>
      <w:rPr>
        <w:rFonts w:hint="default"/>
        <w:lang w:val="en-US" w:eastAsia="en-US" w:bidi="ar-SA"/>
      </w:rPr>
    </w:lvl>
    <w:lvl w:ilvl="2" w:tentative="0">
      <w:start w:val="0"/>
      <w:numFmt w:val="bullet"/>
      <w:lvlText w:val="•"/>
      <w:lvlJc w:val="left"/>
      <w:pPr>
        <w:ind w:left="2736" w:hanging="540"/>
      </w:pPr>
      <w:rPr>
        <w:rFonts w:hint="default"/>
        <w:lang w:val="en-US" w:eastAsia="en-US" w:bidi="ar-SA"/>
      </w:rPr>
    </w:lvl>
    <w:lvl w:ilvl="3" w:tentative="0">
      <w:start w:val="0"/>
      <w:numFmt w:val="bullet"/>
      <w:lvlText w:val="•"/>
      <w:lvlJc w:val="left"/>
      <w:pPr>
        <w:ind w:left="3654" w:hanging="540"/>
      </w:pPr>
      <w:rPr>
        <w:rFonts w:hint="default"/>
        <w:lang w:val="en-US" w:eastAsia="en-US" w:bidi="ar-SA"/>
      </w:rPr>
    </w:lvl>
    <w:lvl w:ilvl="4" w:tentative="0">
      <w:start w:val="0"/>
      <w:numFmt w:val="bullet"/>
      <w:lvlText w:val="•"/>
      <w:lvlJc w:val="left"/>
      <w:pPr>
        <w:ind w:left="4572" w:hanging="540"/>
      </w:pPr>
      <w:rPr>
        <w:rFonts w:hint="default"/>
        <w:lang w:val="en-US" w:eastAsia="en-US" w:bidi="ar-SA"/>
      </w:rPr>
    </w:lvl>
    <w:lvl w:ilvl="5" w:tentative="0">
      <w:start w:val="0"/>
      <w:numFmt w:val="bullet"/>
      <w:lvlText w:val="•"/>
      <w:lvlJc w:val="left"/>
      <w:pPr>
        <w:ind w:left="5490" w:hanging="540"/>
      </w:pPr>
      <w:rPr>
        <w:rFonts w:hint="default"/>
        <w:lang w:val="en-US" w:eastAsia="en-US" w:bidi="ar-SA"/>
      </w:rPr>
    </w:lvl>
    <w:lvl w:ilvl="6" w:tentative="0">
      <w:start w:val="0"/>
      <w:numFmt w:val="bullet"/>
      <w:lvlText w:val="•"/>
      <w:lvlJc w:val="left"/>
      <w:pPr>
        <w:ind w:left="6408" w:hanging="540"/>
      </w:pPr>
      <w:rPr>
        <w:rFonts w:hint="default"/>
        <w:lang w:val="en-US" w:eastAsia="en-US" w:bidi="ar-SA"/>
      </w:rPr>
    </w:lvl>
    <w:lvl w:ilvl="7" w:tentative="0">
      <w:start w:val="0"/>
      <w:numFmt w:val="bullet"/>
      <w:lvlText w:val="•"/>
      <w:lvlJc w:val="left"/>
      <w:pPr>
        <w:ind w:left="7326" w:hanging="540"/>
      </w:pPr>
      <w:rPr>
        <w:rFonts w:hint="default"/>
        <w:lang w:val="en-US" w:eastAsia="en-US" w:bidi="ar-SA"/>
      </w:rPr>
    </w:lvl>
    <w:lvl w:ilvl="8" w:tentative="0">
      <w:start w:val="0"/>
      <w:numFmt w:val="bullet"/>
      <w:lvlText w:val="•"/>
      <w:lvlJc w:val="left"/>
      <w:pPr>
        <w:ind w:left="8244" w:hanging="540"/>
      </w:pPr>
      <w:rPr>
        <w:rFonts w:hint="default"/>
        <w:lang w:val="en-US" w:eastAsia="en-US" w:bidi="ar-SA"/>
      </w:rPr>
    </w:lvl>
  </w:abstractNum>
  <w:abstractNum w:abstractNumId="6">
    <w:nsid w:val="59ADCABA"/>
    <w:multiLevelType w:val="multilevel"/>
    <w:tmpl w:val="59ADCABA"/>
    <w:lvl w:ilvl="0" w:tentative="0">
      <w:start w:val="0"/>
      <w:numFmt w:val="bullet"/>
      <w:lvlText w:val=""/>
      <w:lvlJc w:val="left"/>
      <w:pPr>
        <w:ind w:left="360" w:hanging="360"/>
      </w:pPr>
      <w:rPr>
        <w:rFonts w:hint="default" w:ascii="Symbol" w:hAnsi="Symbol" w:eastAsia="Symbol" w:cs="Symbol"/>
        <w:b w:val="0"/>
        <w:bCs w:val="0"/>
        <w:i w:val="0"/>
        <w:iCs w:val="0"/>
        <w:color w:val="1F1F1F"/>
        <w:spacing w:val="0"/>
        <w:w w:val="99"/>
        <w:sz w:val="20"/>
        <w:szCs w:val="20"/>
        <w:lang w:val="en-US" w:eastAsia="en-US" w:bidi="ar-SA"/>
      </w:rPr>
    </w:lvl>
    <w:lvl w:ilvl="1" w:tentative="0">
      <w:start w:val="0"/>
      <w:numFmt w:val="bullet"/>
      <w:lvlText w:val="•"/>
      <w:lvlJc w:val="left"/>
      <w:pPr>
        <w:ind w:left="1332" w:hanging="360"/>
      </w:pPr>
      <w:rPr>
        <w:rFonts w:hint="default"/>
        <w:lang w:val="en-US" w:eastAsia="en-US" w:bidi="ar-SA"/>
      </w:rPr>
    </w:lvl>
    <w:lvl w:ilvl="2" w:tentative="0">
      <w:start w:val="0"/>
      <w:numFmt w:val="bullet"/>
      <w:lvlText w:val="•"/>
      <w:lvlJc w:val="left"/>
      <w:pPr>
        <w:ind w:left="2304" w:hanging="360"/>
      </w:pPr>
      <w:rPr>
        <w:rFonts w:hint="default"/>
        <w:lang w:val="en-US" w:eastAsia="en-US" w:bidi="ar-SA"/>
      </w:rPr>
    </w:lvl>
    <w:lvl w:ilvl="3" w:tentative="0">
      <w:start w:val="0"/>
      <w:numFmt w:val="bullet"/>
      <w:lvlText w:val="•"/>
      <w:lvlJc w:val="left"/>
      <w:pPr>
        <w:ind w:left="3276" w:hanging="360"/>
      </w:pPr>
      <w:rPr>
        <w:rFonts w:hint="default"/>
        <w:lang w:val="en-US" w:eastAsia="en-US" w:bidi="ar-SA"/>
      </w:rPr>
    </w:lvl>
    <w:lvl w:ilvl="4" w:tentative="0">
      <w:start w:val="0"/>
      <w:numFmt w:val="bullet"/>
      <w:lvlText w:val="•"/>
      <w:lvlJc w:val="left"/>
      <w:pPr>
        <w:ind w:left="4248" w:hanging="360"/>
      </w:pPr>
      <w:rPr>
        <w:rFonts w:hint="default"/>
        <w:lang w:val="en-US" w:eastAsia="en-US" w:bidi="ar-SA"/>
      </w:rPr>
    </w:lvl>
    <w:lvl w:ilvl="5" w:tentative="0">
      <w:start w:val="0"/>
      <w:numFmt w:val="bullet"/>
      <w:lvlText w:val="•"/>
      <w:lvlJc w:val="left"/>
      <w:pPr>
        <w:ind w:left="5220" w:hanging="360"/>
      </w:pPr>
      <w:rPr>
        <w:rFonts w:hint="default"/>
        <w:lang w:val="en-US" w:eastAsia="en-US" w:bidi="ar-SA"/>
      </w:rPr>
    </w:lvl>
    <w:lvl w:ilvl="6" w:tentative="0">
      <w:start w:val="0"/>
      <w:numFmt w:val="bullet"/>
      <w:lvlText w:val="•"/>
      <w:lvlJc w:val="left"/>
      <w:pPr>
        <w:ind w:left="6192" w:hanging="360"/>
      </w:pPr>
      <w:rPr>
        <w:rFonts w:hint="default"/>
        <w:lang w:val="en-US" w:eastAsia="en-US" w:bidi="ar-SA"/>
      </w:rPr>
    </w:lvl>
    <w:lvl w:ilvl="7" w:tentative="0">
      <w:start w:val="0"/>
      <w:numFmt w:val="bullet"/>
      <w:lvlText w:val="•"/>
      <w:lvlJc w:val="left"/>
      <w:pPr>
        <w:ind w:left="7164" w:hanging="360"/>
      </w:pPr>
      <w:rPr>
        <w:rFonts w:hint="default"/>
        <w:lang w:val="en-US" w:eastAsia="en-US" w:bidi="ar-SA"/>
      </w:rPr>
    </w:lvl>
    <w:lvl w:ilvl="8" w:tentative="0">
      <w:start w:val="0"/>
      <w:numFmt w:val="bullet"/>
      <w:lvlText w:val="•"/>
      <w:lvlJc w:val="left"/>
      <w:pPr>
        <w:ind w:left="8136" w:hanging="360"/>
      </w:pPr>
      <w:rPr>
        <w:rFonts w:hint="default"/>
        <w:lang w:val="en-US" w:eastAsia="en-US" w:bidi="ar-S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shapeLayoutLikeWW8/>
    <w:compatSetting w:name="compatibilityMode" w:uri="http://schemas.microsoft.com/office/word" w:val="14"/>
  </w:compat>
  <w:rsids>
    <w:rsidRoot w:val="00000000"/>
    <w:rsid w:val="4BD23AE4"/>
    <w:rsid w:val="5C810B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Times New Roman" w:hAnsi="Times New Roman" w:eastAsia="Times New Roman" w:cs="Times New Roman"/>
      <w:sz w:val="22"/>
      <w:szCs w:val="22"/>
      <w:lang w:val="en-US" w:eastAsia="en-US" w:bidi="ar-SA"/>
    </w:rPr>
  </w:style>
  <w:style w:type="paragraph" w:styleId="2">
    <w:name w:val="heading 1"/>
    <w:basedOn w:val="1"/>
    <w:qFormat/>
    <w:uiPriority w:val="1"/>
    <w:pPr>
      <w:ind w:left="360"/>
      <w:outlineLvl w:val="1"/>
    </w:pPr>
    <w:rPr>
      <w:rFonts w:ascii="Times New Roman" w:hAnsi="Times New Roman" w:eastAsia="Times New Roman" w:cs="Times New Roman"/>
      <w:b/>
      <w:bCs/>
      <w:sz w:val="24"/>
      <w:szCs w:val="24"/>
      <w:lang w:val="en-US" w:eastAsia="en-US" w:bidi="ar-SA"/>
    </w:rPr>
  </w:style>
  <w:style w:type="paragraph" w:styleId="3">
    <w:name w:val="heading 2"/>
    <w:basedOn w:val="1"/>
    <w:qFormat/>
    <w:uiPriority w:val="1"/>
    <w:pPr>
      <w:ind w:left="360"/>
      <w:outlineLvl w:val="2"/>
    </w:pPr>
    <w:rPr>
      <w:rFonts w:ascii="Times New Roman" w:hAnsi="Times New Roman" w:eastAsia="Times New Roman" w:cs="Times New Roman"/>
      <w:b/>
      <w:bCs/>
      <w:sz w:val="24"/>
      <w:szCs w:val="24"/>
      <w:lang w:val="en-US" w:eastAsia="en-US" w:bidi="ar-SA"/>
    </w:rPr>
  </w:style>
  <w:style w:type="character" w:default="1" w:styleId="4">
    <w:name w:val="Default Paragraph Font"/>
    <w:semiHidden/>
    <w:unhideWhenUsed/>
    <w:uiPriority w:val="1"/>
  </w:style>
  <w:style w:type="table" w:default="1" w:styleId="5">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1"/>
    <w:rPr>
      <w:rFonts w:ascii="Times New Roman" w:hAnsi="Times New Roman" w:eastAsia="Times New Roman" w:cs="Times New Roman"/>
      <w:sz w:val="24"/>
      <w:szCs w:val="24"/>
      <w:lang w:val="en-US" w:eastAsia="en-US" w:bidi="ar-SA"/>
    </w:rPr>
  </w:style>
  <w:style w:type="character" w:styleId="7">
    <w:name w:val="Hyperlink"/>
    <w:basedOn w:val="4"/>
    <w:uiPriority w:val="0"/>
    <w:rPr>
      <w:color w:val="0000FF"/>
      <w:u w:val="single"/>
    </w:rPr>
  </w:style>
  <w:style w:type="paragraph" w:styleId="8">
    <w:name w:val="Title"/>
    <w:basedOn w:val="1"/>
    <w:qFormat/>
    <w:uiPriority w:val="1"/>
    <w:pPr>
      <w:spacing w:before="150"/>
      <w:ind w:left="556" w:right="563" w:hanging="7"/>
      <w:jc w:val="center"/>
    </w:pPr>
    <w:rPr>
      <w:rFonts w:ascii="Times New Roman" w:hAnsi="Times New Roman" w:eastAsia="Times New Roman" w:cs="Times New Roman"/>
      <w:b/>
      <w:bCs/>
      <w:sz w:val="32"/>
      <w:szCs w:val="32"/>
      <w:lang w:val="en-US" w:eastAsia="en-US" w:bidi="ar-SA"/>
    </w:rPr>
  </w:style>
  <w:style w:type="table" w:customStyle="1" w:styleId="9">
    <w:name w:val="Table Normal1"/>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pPr>
      <w:ind w:left="719" w:hanging="359"/>
    </w:pPr>
    <w:rPr>
      <w:rFonts w:ascii="Times New Roman" w:hAnsi="Times New Roman" w:eastAsia="Times New Roman" w:cs="Times New Roman"/>
      <w:lang w:val="en-US" w:eastAsia="en-US" w:bidi="ar-SA"/>
    </w:rPr>
  </w:style>
  <w:style w:type="paragraph" w:customStyle="1" w:styleId="11">
    <w:name w:val="Table Paragraph"/>
    <w:basedOn w:val="1"/>
    <w:qFormat/>
    <w:uiPriority w:val="1"/>
    <w:pPr>
      <w:spacing w:before="166"/>
      <w:ind w:left="4"/>
      <w:jc w:val="center"/>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TotalTime>23</TotalTime>
  <ScaleCrop>false</ScaleCrop>
  <LinksUpToDate>false</LinksUpToDate>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2025-01-31T18:02:00Z</dcterms:created>
  <dc:creator>Vikas</dc:creator>
  <cp:lastModifiedBy>Vikas</cp:lastModifiedBy>
  <dcterms:modified xsi:type="dcterms:W3CDTF">2025-01-31T18:28:06Z</dcterms:modified>
  <dc:title>Microsoft Word - Zonisamide Modulation of GABAergic and Glutamatergic Neurotransmission Attenuates Haloperidol-Induced Catalepsy in a Rat Model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2024-01-26T00:00:00Z</vt:filetime>
  </property>
  <property fmtid="{D5CDD505-2E9C-101B-9397-08002B2CF9AE}" pid="3" name="LastSaved">
    <vt:filetime>2025-01-31T00:00:00Z</vt:filetime>
  </property>
  <property fmtid="{D5CDD505-2E9C-101B-9397-08002B2CF9AE}" pid="4" name="Producer">
    <vt:lpwstr>Microsoft: Print To PDF</vt:lpwstr>
  </property>
  <property fmtid="{D5CDD505-2E9C-101B-9397-08002B2CF9AE}" pid="5" name="KSOProductBuildVer">
    <vt:lpwstr>1033-12.2.0.19805</vt:lpwstr>
  </property>
  <property fmtid="{D5CDD505-2E9C-101B-9397-08002B2CF9AE}" pid="6" name="ICV">
    <vt:lpwstr>FE143CF29B264841AC19DA4851757E4D_12</vt:lpwstr>
  </property>
</Properties>
</file>