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85A21B"/>
    <w:p w14:paraId="791797ED">
      <w:pPr>
        <w:jc w:val="left"/>
        <w:rPr/>
      </w:pPr>
      <w:r>
        <w:rPr>
          <w:lang w:val="en-US" w:eastAsia="zh-CN"/>
        </w:rPr>
        <w:t>Efficacy and</w:t>
      </w:r>
      <w:r>
        <w:rPr>
          <w:rFonts w:hint="default"/>
          <w:lang w:val="en-US" w:eastAsia="zh-CN"/>
        </w:rPr>
        <w:t xml:space="preserve"> safety of sitagliptin treatment in older adults with moderately controlled type 2 diabetes: the STREAM study</w:t>
      </w:r>
    </w:p>
    <w:p w14:paraId="4B9D95AE"/>
    <w:p w14:paraId="7015BF99"/>
    <w:p w14:paraId="5652AF0D">
      <w:pPr>
        <w:rPr>
          <w:rFonts w:hint="default"/>
          <w:lang w:val="en-US"/>
        </w:rPr>
      </w:pPr>
      <w:r>
        <w:rPr>
          <w:rFonts w:hint="default"/>
          <w:lang w:val="en-US"/>
        </w:rPr>
        <w:t>Conclusion</w:t>
      </w:r>
    </w:p>
    <w:p w14:paraId="74BDE141">
      <w:pPr>
        <w:rPr>
          <w:rFonts w:hint="default"/>
          <w:lang w:val="en-US"/>
        </w:rPr>
      </w:pPr>
    </w:p>
    <w:p w14:paraId="26DDED30">
      <w:pPr>
        <w:spacing w:line="360" w:lineRule="auto"/>
        <w:jc w:val="both"/>
        <w:rPr>
          <w:rFonts w:hint="default"/>
          <w:b w:val="0"/>
          <w:bCs/>
          <w:sz w:val="24"/>
          <w:szCs w:val="24"/>
          <w:lang w:val="en-US"/>
        </w:rPr>
      </w:pPr>
      <w:r>
        <w:rPr>
          <w:rFonts w:hint="default"/>
          <w:b w:val="0"/>
          <w:bCs/>
          <w:sz w:val="24"/>
          <w:szCs w:val="24"/>
          <w:lang w:val="en-US"/>
        </w:rPr>
        <w:t>The research text provides valuable information about how sitagliptin affects blood sugar levels in older adults with type 2 diabetes. By understanding these measurements and their significance, we can see how effective sitagliptin can be in improving health outcomes for patients.</w:t>
      </w:r>
    </w:p>
    <w:p w14:paraId="531D58A6">
      <w:pPr>
        <w:rPr>
          <w:rFonts w:hint="default"/>
          <w:lang w:val="en-US"/>
        </w:rPr>
      </w:pPr>
    </w:p>
    <w:p w14:paraId="1DA12D46"/>
    <w:p w14:paraId="18B83DA2"/>
    <w:p w14:paraId="2058EC91">
      <w:pPr>
        <w:rPr>
          <w:rFonts w:hint="default"/>
          <w:lang w:val="en-US"/>
        </w:rPr>
      </w:pPr>
      <w:r>
        <w:rPr>
          <w:rFonts w:hint="default"/>
          <w:lang w:val="en-US"/>
        </w:rPr>
        <w:t>Methods</w:t>
      </w:r>
    </w:p>
    <w:p w14:paraId="42B05580">
      <w:pPr>
        <w:spacing w:line="360" w:lineRule="auto"/>
        <w:jc w:val="both"/>
        <w:rPr>
          <w:rFonts w:hint="default"/>
          <w:b w:val="0"/>
          <w:bCs/>
          <w:sz w:val="24"/>
          <w:szCs w:val="24"/>
          <w:lang w:val="en-US"/>
        </w:rPr>
      </w:pPr>
    </w:p>
    <w:p w14:paraId="4D2AD1F9">
      <w:pPr>
        <w:spacing w:line="360" w:lineRule="auto"/>
        <w:jc w:val="both"/>
        <w:rPr>
          <w:rFonts w:hint="default"/>
          <w:b w:val="0"/>
          <w:bCs/>
          <w:sz w:val="24"/>
          <w:szCs w:val="24"/>
          <w:lang w:val="en-US"/>
        </w:rPr>
      </w:pPr>
      <w:r>
        <w:rPr>
          <w:rFonts w:hint="default"/>
          <w:b w:val="0"/>
          <w:bCs/>
          <w:sz w:val="24"/>
          <w:szCs w:val="24"/>
          <w:lang w:val="en-US"/>
        </w:rPr>
        <w:t>Patients were randomly allocated to sitagliptin treatment or control group at Kyushu University Graduate School of Medical Sciences.</w:t>
      </w:r>
    </w:p>
    <w:p w14:paraId="4151E486">
      <w:pPr>
        <w:spacing w:line="360" w:lineRule="auto"/>
        <w:jc w:val="both"/>
        <w:rPr>
          <w:rFonts w:hint="default"/>
          <w:b w:val="0"/>
          <w:bCs/>
          <w:sz w:val="24"/>
          <w:szCs w:val="24"/>
          <w:lang w:val="en-US"/>
        </w:rPr>
      </w:pPr>
      <w:r>
        <w:rPr>
          <w:rFonts w:hint="default"/>
          <w:b w:val="0"/>
          <w:bCs/>
          <w:sz w:val="24"/>
          <w:szCs w:val="24"/>
          <w:lang w:val="en-US"/>
        </w:rPr>
        <w:t>Sitagliptin was administered at 50 mg daily, or 25 mg for patients with reduced eGFR .</w:t>
      </w:r>
    </w:p>
    <w:p w14:paraId="25D825E2">
      <w:pPr>
        <w:spacing w:line="360" w:lineRule="auto"/>
        <w:jc w:val="both"/>
        <w:rPr>
          <w:rFonts w:hint="default"/>
          <w:b w:val="0"/>
          <w:bCs/>
          <w:sz w:val="24"/>
          <w:szCs w:val="24"/>
          <w:lang w:val="en-US"/>
        </w:rPr>
      </w:pPr>
      <w:r>
        <w:rPr>
          <w:rFonts w:hint="default"/>
          <w:b w:val="0"/>
          <w:bCs/>
          <w:sz w:val="24"/>
          <w:szCs w:val="24"/>
          <w:lang w:val="en-US"/>
        </w:rPr>
        <w:t>The treatment duration was 12 months, targeting an HbA1c level &lt; 7.4% .</w:t>
      </w:r>
    </w:p>
    <w:p w14:paraId="4157A81F">
      <w:pPr>
        <w:spacing w:line="360" w:lineRule="auto"/>
        <w:jc w:val="both"/>
        <w:rPr>
          <w:rFonts w:hint="default"/>
          <w:b w:val="0"/>
          <w:bCs/>
          <w:sz w:val="24"/>
          <w:szCs w:val="24"/>
          <w:lang w:val="en-US"/>
        </w:rPr>
      </w:pPr>
      <w:r>
        <w:rPr>
          <w:rFonts w:hint="default"/>
          <w:b w:val="0"/>
          <w:bCs/>
          <w:sz w:val="24"/>
          <w:szCs w:val="24"/>
          <w:lang w:val="en-US"/>
        </w:rPr>
        <w:t>Blood and urine samples were collected at baseline and follow-ups for laboratory measurements </w:t>
      </w:r>
    </w:p>
    <w:p w14:paraId="42CC6FC0">
      <w:pPr>
        <w:spacing w:line="360" w:lineRule="auto"/>
        <w:jc w:val="both"/>
        <w:rPr>
          <w:rFonts w:hint="default"/>
          <w:b w:val="0"/>
          <w:bCs/>
          <w:sz w:val="24"/>
          <w:szCs w:val="24"/>
          <w:lang w:val="en-US"/>
        </w:rPr>
      </w:pPr>
      <w:r>
        <w:rPr>
          <w:rFonts w:hint="default"/>
          <w:b w:val="0"/>
          <w:bCs/>
          <w:sz w:val="24"/>
          <w:szCs w:val="24"/>
          <w:lang w:val="en-US"/>
        </w:rPr>
        <w:t>Statistical analyses included mixed-model repeated-measures to assess treatment effects over time </w:t>
      </w:r>
    </w:p>
    <w:p w14:paraId="266FB82B">
      <w:pPr>
        <w:spacing w:line="360" w:lineRule="auto"/>
        <w:jc w:val="both"/>
        <w:rPr>
          <w:rFonts w:hint="default"/>
          <w:b w:val="0"/>
          <w:bCs/>
          <w:sz w:val="24"/>
          <w:szCs w:val="24"/>
          <w:lang w:val="en-US"/>
        </w:rPr>
      </w:pPr>
      <w:r>
        <w:rPr>
          <w:rFonts w:hint="default"/>
          <w:b w:val="0"/>
          <w:bCs/>
          <w:sz w:val="24"/>
          <w:szCs w:val="24"/>
          <w:lang w:val="en-US"/>
        </w:rPr>
        <w:t>Adverse events were monitored through medical interviews during follow-up visits.</w:t>
      </w:r>
    </w:p>
    <w:p w14:paraId="253B752E">
      <w:pPr>
        <w:spacing w:line="360" w:lineRule="auto"/>
        <w:jc w:val="both"/>
        <w:rPr>
          <w:rFonts w:hint="default"/>
          <w:b w:val="0"/>
          <w:bCs/>
          <w:sz w:val="24"/>
          <w:szCs w:val="24"/>
          <w:lang w:val="en-US"/>
        </w:rPr>
      </w:pPr>
    </w:p>
    <w:p w14:paraId="43FA3B78">
      <w:pPr>
        <w:spacing w:line="360" w:lineRule="auto"/>
        <w:jc w:val="both"/>
        <w:rPr>
          <w:rFonts w:hint="default"/>
          <w:b w:val="0"/>
          <w:bCs/>
          <w:sz w:val="24"/>
          <w:szCs w:val="24"/>
          <w:lang w:val="en-US"/>
        </w:rPr>
      </w:pPr>
      <w:r>
        <w:rPr>
          <w:rFonts w:hint="default"/>
          <w:b w:val="0"/>
          <w:bCs/>
          <w:sz w:val="24"/>
          <w:szCs w:val="24"/>
          <w:lang w:val="en-US"/>
        </w:rPr>
        <w:t>Results:</w:t>
      </w:r>
    </w:p>
    <w:p w14:paraId="2FC6F5E8">
      <w:pPr>
        <w:spacing w:line="360" w:lineRule="auto"/>
        <w:jc w:val="both"/>
        <w:rPr>
          <w:rFonts w:hint="default"/>
          <w:b w:val="0"/>
          <w:bCs/>
          <w:sz w:val="24"/>
          <w:szCs w:val="24"/>
          <w:lang w:val="en-US"/>
        </w:rPr>
      </w:pPr>
    </w:p>
    <w:p w14:paraId="607F77B1">
      <w:pPr>
        <w:spacing w:line="360" w:lineRule="auto"/>
        <w:jc w:val="both"/>
        <w:rPr>
          <w:rFonts w:hint="default"/>
          <w:b w:val="0"/>
          <w:bCs/>
          <w:sz w:val="24"/>
          <w:szCs w:val="24"/>
          <w:lang w:val="en-US"/>
        </w:rPr>
      </w:pPr>
      <w:r>
        <w:rPr>
          <w:rFonts w:hint="default"/>
          <w:b w:val="0"/>
          <w:bCs/>
          <w:sz w:val="24"/>
          <w:szCs w:val="24"/>
          <w:lang w:val="en-US"/>
        </w:rPr>
        <w:t>The STREAM study provided significant findings regarding the efficacy and safety of sitagliptin treatment in older adults with type 2 diabetes (T2D). Here are the key results:</w:t>
      </w:r>
    </w:p>
    <w:p w14:paraId="7770CE96">
      <w:pPr>
        <w:spacing w:line="360" w:lineRule="auto"/>
        <w:jc w:val="both"/>
        <w:rPr>
          <w:rFonts w:hint="default"/>
          <w:b w:val="0"/>
          <w:bCs/>
          <w:sz w:val="24"/>
          <w:szCs w:val="24"/>
          <w:lang w:val="en-US"/>
        </w:rPr>
      </w:pPr>
    </w:p>
    <w:p w14:paraId="735A3E9B">
      <w:pPr>
        <w:spacing w:line="360" w:lineRule="auto"/>
        <w:jc w:val="both"/>
        <w:rPr>
          <w:rFonts w:hint="default"/>
          <w:b w:val="0"/>
          <w:bCs/>
          <w:sz w:val="24"/>
          <w:szCs w:val="24"/>
          <w:lang w:val="en-US"/>
        </w:rPr>
      </w:pPr>
      <w:r>
        <w:rPr>
          <w:rFonts w:hint="default"/>
          <w:b w:val="0"/>
          <w:bCs/>
          <w:sz w:val="24"/>
          <w:szCs w:val="24"/>
          <w:lang w:val="en-US"/>
        </w:rPr>
        <w:t>Patient Enrollment and Groups:</w:t>
      </w:r>
    </w:p>
    <w:p w14:paraId="02DAFDD4">
      <w:pPr>
        <w:spacing w:line="360" w:lineRule="auto"/>
        <w:jc w:val="both"/>
        <w:rPr>
          <w:rFonts w:hint="default"/>
          <w:b w:val="0"/>
          <w:bCs/>
          <w:sz w:val="24"/>
          <w:szCs w:val="24"/>
          <w:lang w:val="en-US"/>
        </w:rPr>
      </w:pPr>
    </w:p>
    <w:p w14:paraId="7E3781F5">
      <w:pPr>
        <w:spacing w:line="360" w:lineRule="auto"/>
        <w:jc w:val="both"/>
        <w:rPr>
          <w:rFonts w:hint="default"/>
          <w:b w:val="0"/>
          <w:bCs/>
          <w:sz w:val="24"/>
          <w:szCs w:val="24"/>
          <w:lang w:val="en-US"/>
        </w:rPr>
      </w:pPr>
      <w:r>
        <w:rPr>
          <w:rFonts w:hint="default"/>
          <w:b w:val="0"/>
          <w:bCs/>
          <w:sz w:val="24"/>
          <w:szCs w:val="24"/>
          <w:lang w:val="en-US"/>
        </w:rPr>
        <w:t>A total of 176 patients were enrolled, with 88 assigned to the sitagliptin group and 88 to the control group. After excluding 18 patients due to protocol violations and missing measurements, 158 patients were included in the efficacy analysis (82 in the sitagliptin group and 76 in the control group) [1].</w:t>
      </w:r>
    </w:p>
    <w:p w14:paraId="169B9D78">
      <w:pPr>
        <w:spacing w:line="360" w:lineRule="auto"/>
        <w:jc w:val="both"/>
        <w:rPr>
          <w:rFonts w:hint="default"/>
          <w:b w:val="0"/>
          <w:bCs/>
          <w:sz w:val="24"/>
          <w:szCs w:val="24"/>
          <w:lang w:val="en-US"/>
        </w:rPr>
      </w:pPr>
    </w:p>
    <w:p w14:paraId="4DC830AC">
      <w:pPr>
        <w:spacing w:line="360" w:lineRule="auto"/>
        <w:jc w:val="both"/>
        <w:rPr>
          <w:rFonts w:hint="default"/>
          <w:b w:val="0"/>
          <w:bCs/>
          <w:sz w:val="24"/>
          <w:szCs w:val="24"/>
          <w:lang w:val="en-US"/>
        </w:rPr>
      </w:pPr>
      <w:r>
        <w:rPr>
          <w:rFonts w:hint="default"/>
          <w:b w:val="0"/>
          <w:bCs/>
          <w:sz w:val="24"/>
          <w:szCs w:val="24"/>
          <w:lang w:val="en-US"/>
        </w:rPr>
        <w:t>Demographics and Baseline Characteristics:</w:t>
      </w:r>
    </w:p>
    <w:p w14:paraId="73A53AA8">
      <w:pPr>
        <w:spacing w:line="360" w:lineRule="auto"/>
        <w:jc w:val="both"/>
        <w:rPr>
          <w:rFonts w:hint="default"/>
          <w:b w:val="0"/>
          <w:bCs/>
          <w:sz w:val="24"/>
          <w:szCs w:val="24"/>
          <w:lang w:val="en-US"/>
        </w:rPr>
      </w:pPr>
    </w:p>
    <w:p w14:paraId="511F7A54">
      <w:pPr>
        <w:spacing w:line="360" w:lineRule="auto"/>
        <w:jc w:val="both"/>
        <w:rPr>
          <w:rFonts w:hint="default"/>
          <w:b w:val="0"/>
          <w:bCs/>
          <w:sz w:val="24"/>
          <w:szCs w:val="24"/>
          <w:lang w:val="en-US"/>
        </w:rPr>
      </w:pPr>
      <w:r>
        <w:rPr>
          <w:rFonts w:hint="default"/>
          <w:b w:val="0"/>
          <w:bCs/>
          <w:sz w:val="24"/>
          <w:szCs w:val="24"/>
          <w:lang w:val="en-US"/>
        </w:rPr>
        <w:t>The mean age of participants was around 70 years in both groups, with no significant differences in baseline laboratory measurements. The sitagliptin group had a higher frequency of diabetic retinopathy and lower use of certain antidiabetic medications compared to the control group [1].</w:t>
      </w:r>
    </w:p>
    <w:p w14:paraId="0D241778">
      <w:pPr>
        <w:spacing w:line="360" w:lineRule="auto"/>
        <w:jc w:val="both"/>
        <w:rPr>
          <w:rFonts w:hint="default"/>
          <w:b w:val="0"/>
          <w:bCs/>
          <w:sz w:val="24"/>
          <w:szCs w:val="24"/>
          <w:lang w:val="en-US"/>
        </w:rPr>
      </w:pPr>
    </w:p>
    <w:p w14:paraId="3DBED8E3">
      <w:pPr>
        <w:spacing w:line="360" w:lineRule="auto"/>
        <w:jc w:val="both"/>
        <w:rPr>
          <w:rFonts w:hint="default"/>
          <w:b w:val="0"/>
          <w:bCs/>
          <w:sz w:val="24"/>
          <w:szCs w:val="24"/>
          <w:lang w:val="en-US"/>
        </w:rPr>
      </w:pPr>
      <w:r>
        <w:rPr>
          <w:rFonts w:hint="default"/>
          <w:b w:val="0"/>
          <w:bCs/>
          <w:sz w:val="24"/>
          <w:szCs w:val="24"/>
          <w:lang w:val="en-US"/>
        </w:rPr>
        <w:t>Efficacy Outcomes:</w:t>
      </w:r>
    </w:p>
    <w:p w14:paraId="34E835C2">
      <w:pPr>
        <w:spacing w:line="360" w:lineRule="auto"/>
        <w:jc w:val="both"/>
        <w:rPr>
          <w:rFonts w:hint="default"/>
          <w:b w:val="0"/>
          <w:bCs/>
          <w:sz w:val="24"/>
          <w:szCs w:val="24"/>
          <w:lang w:val="en-US"/>
        </w:rPr>
      </w:pPr>
    </w:p>
    <w:p w14:paraId="621638E9">
      <w:pPr>
        <w:spacing w:line="360" w:lineRule="auto"/>
        <w:jc w:val="both"/>
        <w:rPr>
          <w:rFonts w:hint="default"/>
          <w:b w:val="0"/>
          <w:bCs/>
          <w:sz w:val="24"/>
          <w:szCs w:val="24"/>
          <w:lang w:val="en-US"/>
        </w:rPr>
      </w:pPr>
      <w:r>
        <w:rPr>
          <w:rFonts w:hint="default"/>
          <w:b w:val="0"/>
          <w:bCs/>
          <w:sz w:val="24"/>
          <w:szCs w:val="24"/>
          <w:lang w:val="en-US"/>
        </w:rPr>
        <w:t>Significant reductions in fasting plasma glucose (FPG), HbA1c, and glycated albumin (GA) were observed in the sitagliptin group compared to the control group. Specifically, the average changes from baseline were:</w:t>
      </w:r>
    </w:p>
    <w:p w14:paraId="1F864D52">
      <w:pPr>
        <w:spacing w:line="360" w:lineRule="auto"/>
        <w:jc w:val="both"/>
        <w:rPr>
          <w:rFonts w:hint="default"/>
          <w:b w:val="0"/>
          <w:bCs/>
          <w:sz w:val="24"/>
          <w:szCs w:val="24"/>
          <w:lang w:val="en-US"/>
        </w:rPr>
      </w:pPr>
      <w:r>
        <w:rPr>
          <w:rFonts w:hint="default"/>
          <w:b w:val="0"/>
          <w:bCs/>
          <w:sz w:val="24"/>
          <w:szCs w:val="24"/>
          <w:lang w:val="en-US"/>
        </w:rPr>
        <w:t>FPG: -27.2 mg/dL in sitagliptin vs. +0.50 mg/dL in control</w:t>
      </w:r>
    </w:p>
    <w:p w14:paraId="7F28F70E">
      <w:pPr>
        <w:spacing w:line="360" w:lineRule="auto"/>
        <w:jc w:val="both"/>
        <w:rPr>
          <w:rFonts w:hint="default"/>
          <w:b w:val="0"/>
          <w:bCs/>
          <w:sz w:val="24"/>
          <w:szCs w:val="24"/>
          <w:lang w:val="en-US"/>
        </w:rPr>
      </w:pPr>
      <w:r>
        <w:rPr>
          <w:rFonts w:hint="default"/>
          <w:b w:val="0"/>
          <w:bCs/>
          <w:sz w:val="24"/>
          <w:szCs w:val="24"/>
          <w:lang w:val="en-US"/>
        </w:rPr>
        <w:t>HbA1c: -0.61% in sitagliptin vs. -0.29% in control</w:t>
      </w:r>
    </w:p>
    <w:p w14:paraId="7EECE135">
      <w:pPr>
        <w:spacing w:line="360" w:lineRule="auto"/>
        <w:jc w:val="both"/>
        <w:rPr>
          <w:rFonts w:hint="default"/>
          <w:b w:val="0"/>
          <w:bCs/>
          <w:sz w:val="24"/>
          <w:szCs w:val="24"/>
          <w:lang w:val="en-US"/>
        </w:rPr>
      </w:pPr>
      <w:r>
        <w:rPr>
          <w:rFonts w:hint="default"/>
          <w:b w:val="0"/>
          <w:bCs/>
          <w:sz w:val="24"/>
          <w:szCs w:val="24"/>
          <w:lang w:val="en-US"/>
        </w:rPr>
        <w:t>GA: -2.39% in sitagliptin vs. -0.93% in control</w:t>
      </w:r>
    </w:p>
    <w:p w14:paraId="3BF4DA50">
      <w:pPr>
        <w:spacing w:line="360" w:lineRule="auto"/>
        <w:jc w:val="both"/>
        <w:rPr>
          <w:rFonts w:hint="default"/>
          <w:b w:val="0"/>
          <w:bCs/>
          <w:sz w:val="24"/>
          <w:szCs w:val="24"/>
          <w:lang w:val="en-US"/>
        </w:rPr>
      </w:pPr>
      <w:r>
        <w:rPr>
          <w:rFonts w:hint="default"/>
          <w:b w:val="0"/>
          <w:bCs/>
          <w:sz w:val="24"/>
          <w:szCs w:val="24"/>
          <w:lang w:val="en-US"/>
        </w:rPr>
        <w:t>The reductions in these parameters were statistically significant (P &lt; 0.0001 for FPG and GA, P &lt; 0.01 for HbA1c) [2].</w:t>
      </w:r>
    </w:p>
    <w:p w14:paraId="00686FF1">
      <w:pPr>
        <w:spacing w:line="360" w:lineRule="auto"/>
        <w:jc w:val="both"/>
        <w:rPr>
          <w:rFonts w:hint="default"/>
          <w:b w:val="0"/>
          <w:bCs/>
          <w:sz w:val="24"/>
          <w:szCs w:val="24"/>
          <w:lang w:val="en-US"/>
        </w:rPr>
      </w:pPr>
    </w:p>
    <w:p w14:paraId="436FC5CD">
      <w:pPr>
        <w:spacing w:line="360" w:lineRule="auto"/>
        <w:jc w:val="both"/>
        <w:rPr>
          <w:rFonts w:hint="default"/>
          <w:b w:val="0"/>
          <w:bCs/>
          <w:sz w:val="24"/>
          <w:szCs w:val="24"/>
          <w:lang w:val="en-US"/>
        </w:rPr>
      </w:pPr>
      <w:r>
        <w:rPr>
          <w:rFonts w:hint="default"/>
          <w:b w:val="0"/>
          <w:bCs/>
          <w:sz w:val="24"/>
          <w:szCs w:val="24"/>
          <w:lang w:val="en-US"/>
        </w:rPr>
        <w:t>Therapeutic Goals:</w:t>
      </w:r>
    </w:p>
    <w:p w14:paraId="0E4F4590">
      <w:pPr>
        <w:spacing w:line="360" w:lineRule="auto"/>
        <w:jc w:val="both"/>
        <w:rPr>
          <w:rFonts w:hint="default"/>
          <w:b w:val="0"/>
          <w:bCs/>
          <w:sz w:val="24"/>
          <w:szCs w:val="24"/>
          <w:lang w:val="en-US"/>
        </w:rPr>
      </w:pPr>
    </w:p>
    <w:p w14:paraId="672FBD08">
      <w:pPr>
        <w:spacing w:line="360" w:lineRule="auto"/>
        <w:jc w:val="both"/>
        <w:rPr>
          <w:rFonts w:hint="default"/>
          <w:b w:val="0"/>
          <w:bCs/>
          <w:sz w:val="24"/>
          <w:szCs w:val="24"/>
          <w:lang w:val="en-US"/>
        </w:rPr>
      </w:pPr>
      <w:r>
        <w:rPr>
          <w:rFonts w:hint="default"/>
          <w:b w:val="0"/>
          <w:bCs/>
          <w:sz w:val="24"/>
          <w:szCs w:val="24"/>
          <w:lang w:val="en-US"/>
        </w:rPr>
        <w:t>The proportion of participants achieving the therapeutic goal of HbA1c &lt; 7.4% was significantly higher in the sitagliptin group at 3 and 6 months (69.5% vs. 47.2% at 3 months, P = 0.006; 69.4% vs. 52.2% at 6 months, P = 0.04) but not at 12 months (64.8% vs. 53.8%, P = 0.22) [1].</w:t>
      </w:r>
    </w:p>
    <w:p w14:paraId="53DCF112">
      <w:pPr>
        <w:spacing w:line="360" w:lineRule="auto"/>
        <w:jc w:val="both"/>
        <w:rPr>
          <w:rFonts w:hint="default"/>
          <w:b w:val="0"/>
          <w:bCs/>
          <w:sz w:val="24"/>
          <w:szCs w:val="24"/>
          <w:lang w:val="en-US"/>
        </w:rPr>
      </w:pPr>
    </w:p>
    <w:p w14:paraId="6B1E3360">
      <w:pPr>
        <w:spacing w:line="360" w:lineRule="auto"/>
        <w:jc w:val="both"/>
        <w:rPr>
          <w:rFonts w:hint="default"/>
          <w:b w:val="0"/>
          <w:bCs/>
          <w:sz w:val="24"/>
          <w:szCs w:val="24"/>
          <w:lang w:val="en-US"/>
        </w:rPr>
      </w:pPr>
      <w:r>
        <w:rPr>
          <w:rFonts w:hint="default"/>
          <w:b w:val="0"/>
          <w:bCs/>
          <w:sz w:val="24"/>
          <w:szCs w:val="24"/>
          <w:lang w:val="en-US"/>
        </w:rPr>
        <w:t>Safety Outcomes:</w:t>
      </w:r>
    </w:p>
    <w:p w14:paraId="6AABACA6">
      <w:pPr>
        <w:spacing w:line="360" w:lineRule="auto"/>
        <w:jc w:val="both"/>
        <w:rPr>
          <w:rFonts w:hint="default"/>
          <w:b w:val="0"/>
          <w:bCs/>
          <w:sz w:val="24"/>
          <w:szCs w:val="24"/>
          <w:lang w:val="en-US"/>
        </w:rPr>
      </w:pPr>
    </w:p>
    <w:p w14:paraId="748BEF39">
      <w:pPr>
        <w:spacing w:line="360" w:lineRule="auto"/>
        <w:jc w:val="both"/>
        <w:rPr>
          <w:rFonts w:hint="default"/>
          <w:b w:val="0"/>
          <w:bCs/>
          <w:sz w:val="24"/>
          <w:szCs w:val="24"/>
          <w:lang w:val="en-US"/>
        </w:rPr>
      </w:pPr>
      <w:r>
        <w:rPr>
          <w:rFonts w:hint="default"/>
          <w:b w:val="0"/>
          <w:bCs/>
          <w:sz w:val="24"/>
          <w:szCs w:val="24"/>
          <w:lang w:val="en-US"/>
        </w:rPr>
        <w:t>Adverse events were reported in 9.5% of patients in the sitagliptin group and 6.8% in the control group, with no significant difference between the two. However, the sitagliptin group showed an increase in serum CysC levels and a reduction in platelet counts, although these were not classified as severe adverse effects [3] [4].</w:t>
      </w:r>
    </w:p>
    <w:p w14:paraId="27767983">
      <w:pPr>
        <w:spacing w:line="360" w:lineRule="auto"/>
        <w:jc w:val="both"/>
        <w:rPr>
          <w:rFonts w:hint="default"/>
          <w:b w:val="0"/>
          <w:bCs/>
          <w:sz w:val="24"/>
          <w:szCs w:val="24"/>
          <w:lang w:val="en-US"/>
        </w:rPr>
      </w:pPr>
    </w:p>
    <w:p w14:paraId="77FCDE91">
      <w:pPr>
        <w:spacing w:line="360" w:lineRule="auto"/>
        <w:jc w:val="both"/>
        <w:rPr>
          <w:rFonts w:hint="default"/>
          <w:b w:val="0"/>
          <w:bCs/>
          <w:sz w:val="24"/>
          <w:szCs w:val="24"/>
          <w:lang w:val="en-US"/>
        </w:rPr>
      </w:pPr>
      <w:bookmarkStart w:id="0" w:name="_GoBack"/>
      <w:bookmarkEnd w:id="0"/>
      <w:r>
        <w:rPr>
          <w:rFonts w:hint="default"/>
          <w:b w:val="0"/>
          <w:bCs/>
          <w:sz w:val="24"/>
          <w:szCs w:val="24"/>
          <w:lang w:val="en-US"/>
        </w:rPr>
        <w:t> </w:t>
      </w:r>
    </w:p>
    <w:p w14:paraId="7D479D86">
      <w:pPr>
        <w:rPr>
          <w:rFonts w:hint="default"/>
          <w:lang w:val="en-US"/>
        </w:rPr>
      </w:pPr>
    </w:p>
    <w:p w14:paraId="418F4290">
      <w:pPr>
        <w:rPr>
          <w:rFonts w:hint="default"/>
          <w:lang w:val="en-US"/>
        </w:rPr>
      </w:pPr>
    </w:p>
    <w:p w14:paraId="5AA4843E"/>
    <w:p w14:paraId="235E6075"/>
    <w:p w14:paraId="41529B2E"/>
    <w:p w14:paraId="541C1880"/>
    <w:p w14:paraId="399648B1"/>
    <w:p w14:paraId="077B6F34"/>
    <w:p w14:paraId="738D9568"/>
    <w:p w14:paraId="119EA991"/>
    <w:p w14:paraId="57BEC48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01"/>
    <w:family w:val="roman"/>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0"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F59635"/>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956FCD0B"/>
    <w:rsid w:val="FDF59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unhideWhenUsed="0" w:uiPriority="0" w:semiHidden="0" w:name="Table Colorful 1"/>
    <w:lsdException w:unhideWhenUsed="0" w:uiPriority="0" w:semiHidden="0" w:name="Table Colorful 2"/>
    <w:lsdException w:qFormat="1" w:unhideWhenUsed="0" w:uiPriority="0" w:semiHidden="0" w:name="Table Colorful 3"/>
    <w:lsdException w:qFormat="1"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unhideWhenUsed="0" w:uiPriority="0" w:semiHidden="0" w:name="Table Grid 5"/>
    <w:lsdException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qFormat="1" w:unhideWhenUsed="0" w:uiPriority="0" w:semiHidden="0" w:name="Table 3D effects 1"/>
    <w:lsdException w:unhideWhenUsed="0" w:uiPriority="0" w:semiHidden="0" w:name="Table 3D effects 2"/>
    <w:lsdException w:qFormat="1" w:unhideWhenUsed="0" w:uiPriority="0" w:semiHidden="0" w:name="Table 3D effects 3"/>
    <w:lsdException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unhideWhenUsed="0" w:uiPriority="0" w:semiHidden="0" w:name="Table Subtle 2"/>
    <w:lsdException w:unhideWhenUsed="0" w:uiPriority="0" w:semiHidden="0" w:name="Table Web 1"/>
    <w:lsdException w:qFormat="1"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qFormat="1"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before="0" w:after="0" w:line="240" w:lineRule="auto"/>
      <w:ind w:left="0" w:right="0"/>
      <w:jc w:val="left"/>
    </w:pPr>
    <w:rPr>
      <w:rFonts w:ascii="Times New Roman" w:hAnsi="Times New Roman" w:eastAsia="Times New Roman" w:cs="Times New Roman"/>
      <w:b/>
      <w:sz w:val="22"/>
      <w:szCs w:val="22"/>
      <w:lang w:val="en-US" w:eastAsia="en-US" w:bidi="ar-SA"/>
    </w:rPr>
  </w:style>
  <w:style w:type="paragraph" w:styleId="2">
    <w:name w:val="heading 1"/>
    <w:basedOn w:val="1"/>
    <w:next w:val="1"/>
    <w:qFormat/>
    <w:uiPriority w:val="0"/>
    <w:pPr>
      <w:keepNext/>
      <w:keepLines/>
      <w:spacing w:before="340" w:after="330" w:line="578" w:lineRule="auto"/>
      <w:outlineLvl w:val="0"/>
    </w:pPr>
    <w:rPr>
      <w:b w:val="0"/>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b w:val="0"/>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val="0"/>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val="0"/>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val="0"/>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val="0"/>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val="0"/>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3">
    <w:name w:val="Balloon Text"/>
    <w:basedOn w:val="1"/>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uiPriority w:val="0"/>
    <w:pPr>
      <w:spacing w:after="120"/>
    </w:pPr>
  </w:style>
  <w:style w:type="paragraph" w:styleId="16">
    <w:name w:val="Body Text 2"/>
    <w:basedOn w:val="1"/>
    <w:uiPriority w:val="0"/>
    <w:pPr>
      <w:spacing w:after="120" w:line="480" w:lineRule="auto"/>
    </w:pPr>
  </w:style>
  <w:style w:type="paragraph" w:styleId="17">
    <w:name w:val="Body Text 3"/>
    <w:basedOn w:val="1"/>
    <w:uiPriority w:val="0"/>
    <w:pPr>
      <w:spacing w:after="120"/>
    </w:pPr>
    <w:rPr>
      <w:sz w:val="16"/>
      <w:szCs w:val="16"/>
    </w:rPr>
  </w:style>
  <w:style w:type="paragraph" w:styleId="18">
    <w:name w:val="Body Text First Indent"/>
    <w:basedOn w:val="15"/>
    <w:uiPriority w:val="0"/>
    <w:pPr>
      <w:ind w:firstLine="420" w:firstLineChars="100"/>
    </w:pPr>
  </w:style>
  <w:style w:type="paragraph" w:styleId="19">
    <w:name w:val="Body Text Indent"/>
    <w:basedOn w:val="1"/>
    <w:uiPriority w:val="0"/>
    <w:pPr>
      <w:spacing w:after="120"/>
      <w:ind w:left="420" w:leftChars="200"/>
    </w:pPr>
  </w:style>
  <w:style w:type="paragraph" w:styleId="20">
    <w:name w:val="Body Text First Indent 2"/>
    <w:basedOn w:val="19"/>
    <w:uiPriority w:val="0"/>
    <w:pPr>
      <w:ind w:firstLine="420" w:firstLineChars="200"/>
    </w:pPr>
  </w:style>
  <w:style w:type="paragraph" w:styleId="21">
    <w:name w:val="Body Text Indent 2"/>
    <w:basedOn w:val="1"/>
    <w:uiPriority w:val="0"/>
    <w:pPr>
      <w:spacing w:after="120" w:line="480" w:lineRule="auto"/>
      <w:ind w:left="420" w:leftChars="200"/>
    </w:pPr>
  </w:style>
  <w:style w:type="paragraph" w:styleId="22">
    <w:name w:val="Body Text Indent 3"/>
    <w:basedOn w:val="1"/>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SimHei" w:cs="Arial"/>
      <w:sz w:val="20"/>
    </w:rPr>
  </w:style>
  <w:style w:type="paragraph" w:styleId="24">
    <w:name w:val="Closing"/>
    <w:basedOn w:val="1"/>
    <w:uiPriority w:val="0"/>
    <w:pPr>
      <w:ind w:left="100" w:leftChars="2100"/>
    </w:pPr>
  </w:style>
  <w:style w:type="character" w:styleId="25">
    <w:name w:val="annotation reference"/>
    <w:basedOn w:val="11"/>
    <w:uiPriority w:val="0"/>
    <w:rPr>
      <w:sz w:val="21"/>
      <w:szCs w:val="21"/>
    </w:rPr>
  </w:style>
  <w:style w:type="paragraph" w:styleId="26">
    <w:name w:val="annotation text"/>
    <w:basedOn w:val="1"/>
    <w:uiPriority w:val="0"/>
    <w:pPr>
      <w:jc w:val="left"/>
    </w:pPr>
  </w:style>
  <w:style w:type="paragraph" w:styleId="27">
    <w:name w:val="annotation subject"/>
    <w:basedOn w:val="26"/>
    <w:next w:val="26"/>
    <w:uiPriority w:val="0"/>
    <w:rPr>
      <w:b w:val="0"/>
      <w:bCs/>
    </w:rPr>
  </w:style>
  <w:style w:type="paragraph" w:styleId="28">
    <w:name w:val="Date"/>
    <w:basedOn w:val="1"/>
    <w:next w:val="1"/>
    <w:uiPriority w:val="0"/>
    <w:pPr>
      <w:ind w:left="100" w:leftChars="2500"/>
    </w:pPr>
  </w:style>
  <w:style w:type="paragraph" w:styleId="29">
    <w:name w:val="Document Map"/>
    <w:basedOn w:val="1"/>
    <w:uiPriority w:val="0"/>
    <w:pPr>
      <w:shd w:val="clear" w:color="auto" w:fill="000080"/>
    </w:pPr>
  </w:style>
  <w:style w:type="paragraph" w:styleId="30">
    <w:name w:val="E-mail Signature"/>
    <w:basedOn w:val="1"/>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uiPriority w:val="0"/>
    <w:pPr>
      <w:tabs>
        <w:tab w:val="center" w:pos="4153"/>
        <w:tab w:val="right" w:pos="8306"/>
      </w:tabs>
      <w:snapToGrid w:val="0"/>
      <w:jc w:val="left"/>
    </w:pPr>
    <w:rPr>
      <w:sz w:val="18"/>
      <w:szCs w:val="18"/>
    </w:rPr>
  </w:style>
  <w:style w:type="character" w:styleId="38">
    <w:name w:val="footnote reference"/>
    <w:basedOn w:val="11"/>
    <w:uiPriority w:val="0"/>
    <w:rPr>
      <w:vertAlign w:val="superscript"/>
    </w:rPr>
  </w:style>
  <w:style w:type="paragraph" w:styleId="39">
    <w:name w:val="footnote text"/>
    <w:basedOn w:val="1"/>
    <w:uiPriority w:val="0"/>
    <w:pPr>
      <w:snapToGrid w:val="0"/>
      <w:jc w:val="left"/>
    </w:pPr>
    <w:rPr>
      <w:sz w:val="18"/>
      <w:szCs w:val="18"/>
    </w:rPr>
  </w:style>
  <w:style w:type="paragraph" w:styleId="40">
    <w:name w:val="header"/>
    <w:basedOn w:val="1"/>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uiPriority w:val="0"/>
    <w:rPr>
      <w:i/>
      <w:iCs/>
    </w:rPr>
  </w:style>
  <w:style w:type="character" w:styleId="43">
    <w:name w:val="HTML Cite"/>
    <w:basedOn w:val="11"/>
    <w:uiPriority w:val="0"/>
    <w:rPr>
      <w:i/>
      <w:iCs/>
    </w:rPr>
  </w:style>
  <w:style w:type="character" w:styleId="44">
    <w:name w:val="HTML Code"/>
    <w:basedOn w:val="11"/>
    <w:uiPriority w:val="0"/>
    <w:rPr>
      <w:rFonts w:ascii="Courier New" w:hAnsi="Courier New" w:cs="Courier New"/>
      <w:sz w:val="20"/>
      <w:szCs w:val="20"/>
    </w:rPr>
  </w:style>
  <w:style w:type="character" w:styleId="45">
    <w:name w:val="HTML Definition"/>
    <w:basedOn w:val="11"/>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uiPriority w:val="0"/>
    <w:pPr>
      <w:ind w:left="200" w:leftChars="200"/>
    </w:pPr>
  </w:style>
  <w:style w:type="paragraph" w:styleId="54">
    <w:name w:val="index 3"/>
    <w:basedOn w:val="1"/>
    <w:next w:val="1"/>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uiPriority w:val="0"/>
    <w:pPr>
      <w:ind w:left="800" w:leftChars="800"/>
    </w:pPr>
  </w:style>
  <w:style w:type="paragraph" w:styleId="57">
    <w:name w:val="index 6"/>
    <w:basedOn w:val="1"/>
    <w:next w:val="1"/>
    <w:uiPriority w:val="0"/>
    <w:pPr>
      <w:ind w:left="1000" w:leftChars="1000"/>
    </w:pPr>
  </w:style>
  <w:style w:type="paragraph" w:styleId="58">
    <w:name w:val="index 7"/>
    <w:basedOn w:val="1"/>
    <w:next w:val="1"/>
    <w:uiPriority w:val="0"/>
    <w:pPr>
      <w:ind w:left="1200" w:leftChars="1200"/>
    </w:pPr>
  </w:style>
  <w:style w:type="paragraph" w:styleId="59">
    <w:name w:val="index 8"/>
    <w:basedOn w:val="1"/>
    <w:next w:val="1"/>
    <w:uiPriority w:val="0"/>
    <w:pPr>
      <w:ind w:left="1400" w:leftChars="1400"/>
    </w:pPr>
  </w:style>
  <w:style w:type="paragraph" w:styleId="60">
    <w:name w:val="index 9"/>
    <w:basedOn w:val="1"/>
    <w:next w:val="1"/>
    <w:uiPriority w:val="0"/>
    <w:pPr>
      <w:ind w:left="1600" w:leftChars="1600"/>
    </w:pPr>
  </w:style>
  <w:style w:type="paragraph" w:styleId="61">
    <w:name w:val="index heading"/>
    <w:basedOn w:val="1"/>
    <w:next w:val="52"/>
    <w:uiPriority w:val="0"/>
    <w:rPr>
      <w:rFonts w:ascii="Arial" w:hAnsi="Arial" w:cs="Arial"/>
      <w:b w:val="0"/>
      <w:bCs/>
    </w:rPr>
  </w:style>
  <w:style w:type="character" w:styleId="62">
    <w:name w:val="line number"/>
    <w:basedOn w:val="11"/>
    <w:uiPriority w:val="0"/>
  </w:style>
  <w:style w:type="paragraph" w:styleId="63">
    <w:name w:val="List"/>
    <w:basedOn w:val="1"/>
    <w:uiPriority w:val="0"/>
    <w:pPr>
      <w:ind w:left="200" w:hanging="200" w:hangingChars="200"/>
    </w:pPr>
  </w:style>
  <w:style w:type="paragraph" w:styleId="64">
    <w:name w:val="List 2"/>
    <w:basedOn w:val="1"/>
    <w:uiPriority w:val="0"/>
    <w:pPr>
      <w:ind w:left="100" w:leftChars="200" w:hanging="200" w:hangingChars="200"/>
    </w:pPr>
  </w:style>
  <w:style w:type="paragraph" w:styleId="65">
    <w:name w:val="List 3"/>
    <w:basedOn w:val="1"/>
    <w:uiPriority w:val="0"/>
    <w:pPr>
      <w:ind w:left="100" w:leftChars="400" w:hanging="200" w:hangingChars="200"/>
    </w:pPr>
  </w:style>
  <w:style w:type="paragraph" w:styleId="66">
    <w:name w:val="List 4"/>
    <w:basedOn w:val="1"/>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uiPriority w:val="0"/>
    <w:pPr>
      <w:numPr>
        <w:ilvl w:val="0"/>
        <w:numId w:val="1"/>
      </w:numPr>
    </w:pPr>
  </w:style>
  <w:style w:type="paragraph" w:styleId="69">
    <w:name w:val="List Bullet 2"/>
    <w:basedOn w:val="1"/>
    <w:uiPriority w:val="0"/>
    <w:pPr>
      <w:numPr>
        <w:ilvl w:val="0"/>
        <w:numId w:val="2"/>
      </w:numPr>
    </w:pPr>
  </w:style>
  <w:style w:type="paragraph" w:styleId="70">
    <w:name w:val="List Bullet 3"/>
    <w:basedOn w:val="1"/>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uiPriority w:val="0"/>
    <w:pPr>
      <w:numPr>
        <w:ilvl w:val="0"/>
        <w:numId w:val="5"/>
      </w:numPr>
    </w:pPr>
  </w:style>
  <w:style w:type="paragraph" w:styleId="73">
    <w:name w:val="List Continue"/>
    <w:basedOn w:val="1"/>
    <w:uiPriority w:val="0"/>
    <w:pPr>
      <w:spacing w:after="120"/>
      <w:ind w:left="420" w:leftChars="200"/>
    </w:pPr>
  </w:style>
  <w:style w:type="paragraph" w:styleId="74">
    <w:name w:val="List Continue 2"/>
    <w:basedOn w:val="1"/>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uiPriority w:val="0"/>
    <w:pPr>
      <w:numPr>
        <w:ilvl w:val="0"/>
        <w:numId w:val="7"/>
      </w:numPr>
    </w:pPr>
  </w:style>
  <w:style w:type="paragraph" w:styleId="80">
    <w:name w:val="List Number 3"/>
    <w:basedOn w:val="1"/>
    <w:uiPriority w:val="0"/>
    <w:pPr>
      <w:numPr>
        <w:ilvl w:val="0"/>
        <w:numId w:val="8"/>
      </w:numPr>
    </w:pPr>
  </w:style>
  <w:style w:type="paragraph" w:styleId="81">
    <w:name w:val="List Number 4"/>
    <w:basedOn w:val="1"/>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val="0"/>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val="0"/>
      <w:bCs/>
      <w:sz w:val="32"/>
      <w:szCs w:val="32"/>
    </w:rPr>
  </w:style>
  <w:style w:type="paragraph" w:styleId="141">
    <w:name w:val="toa heading"/>
    <w:basedOn w:val="1"/>
    <w:next w:val="1"/>
    <w:uiPriority w:val="0"/>
    <w:pPr>
      <w:spacing w:before="120"/>
    </w:pPr>
    <w:rPr>
      <w:rFonts w:ascii="Arial" w:hAnsi="Arial" w:cs="Arial"/>
      <w:sz w:val="24"/>
      <w:szCs w:val="24"/>
    </w:rPr>
  </w:style>
  <w:style w:type="paragraph" w:styleId="142">
    <w:name w:val="toc 1"/>
    <w:basedOn w:val="1"/>
    <w:next w:val="1"/>
    <w:uiPriority w:val="0"/>
  </w:style>
  <w:style w:type="paragraph" w:styleId="143">
    <w:name w:val="toc 2"/>
    <w:basedOn w:val="1"/>
    <w:next w:val="1"/>
    <w:uiPriority w:val="0"/>
    <w:pPr>
      <w:ind w:left="420" w:leftChars="200"/>
    </w:pPr>
  </w:style>
  <w:style w:type="paragraph" w:styleId="144">
    <w:name w:val="toc 3"/>
    <w:basedOn w:val="1"/>
    <w:next w:val="1"/>
    <w:uiPriority w:val="0"/>
    <w:pPr>
      <w:ind w:left="840" w:leftChars="400"/>
    </w:pPr>
  </w:style>
  <w:style w:type="paragraph" w:styleId="145">
    <w:name w:val="toc 4"/>
    <w:basedOn w:val="1"/>
    <w:next w:val="1"/>
    <w:uiPriority w:val="0"/>
    <w:pPr>
      <w:ind w:left="1260" w:leftChars="600"/>
    </w:pPr>
  </w:style>
  <w:style w:type="paragraph" w:styleId="146">
    <w:name w:val="toc 5"/>
    <w:basedOn w:val="1"/>
    <w:next w:val="1"/>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34</TotalTime>
  <ScaleCrop>false</ScaleCrop>
  <LinksUpToDate>false</LinksUpToDate>
  <CharactersWithSpaces>0</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2025-02-20T12:36:00Z</dcterms:created>
  <dc:creator>chakrapani anusha</dc:creator>
  <cp:lastModifiedBy>chakrapani anusha</cp:lastModifiedBy>
  <dcterms:modified xsi:type="dcterms:W3CDTF">2025-02-20T14:51:21Z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BB6517FCAF2F889B71D4B66780D61D45_41</vt:lpwstr>
  </property>
</Properties>
</file>