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This study involved 300 volunteers, consisting of 131 males and 169 females</w:t>
      </w:r>
      <w:r w:rsidRPr="00DD01C2">
        <w:rPr>
          <w:rFonts w:ascii="Times New Roman" w:hAnsi="Times New Roman" w:cs="Times New Roman"/>
          <w:sz w:val="28"/>
          <w:szCs w:val="28"/>
        </w:rPr>
        <w:t>. All participants were students of TMU.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01C2">
        <w:rPr>
          <w:rFonts w:ascii="Times New Roman" w:hAnsi="Times New Roman" w:cs="Times New Roman"/>
          <w:sz w:val="28"/>
          <w:szCs w:val="28"/>
        </w:rPr>
        <w:t>Table 1.</w:t>
      </w:r>
      <w:proofErr w:type="gramEnd"/>
      <w:r w:rsidRPr="00DD01C2">
        <w:rPr>
          <w:rFonts w:ascii="Times New Roman" w:hAnsi="Times New Roman" w:cs="Times New Roman"/>
          <w:sz w:val="28"/>
          <w:szCs w:val="28"/>
        </w:rPr>
        <w:t xml:space="preserve"> Demographic profile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88"/>
        <w:gridCol w:w="1593"/>
        <w:gridCol w:w="1587"/>
        <w:gridCol w:w="1630"/>
        <w:gridCol w:w="1589"/>
      </w:tblGrid>
      <w:tr w:rsidR="00161EB1" w:rsidRPr="00DD01C2" w:rsidTr="00EA5972">
        <w:trPr>
          <w:jc w:val="center"/>
        </w:trPr>
        <w:tc>
          <w:tcPr>
            <w:tcW w:w="1588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63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MEAN±SD</w:t>
            </w:r>
          </w:p>
        </w:tc>
        <w:tc>
          <w:tcPr>
            <w:tcW w:w="158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p-value</w:t>
            </w:r>
          </w:p>
        </w:tc>
      </w:tr>
      <w:tr w:rsidR="00161EB1" w:rsidRPr="00DD01C2" w:rsidTr="00EA5972">
        <w:trPr>
          <w:jc w:val="center"/>
        </w:trPr>
        <w:tc>
          <w:tcPr>
            <w:tcW w:w="1588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AGE</w:t>
            </w:r>
          </w:p>
        </w:tc>
        <w:tc>
          <w:tcPr>
            <w:tcW w:w="159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  <w:tc>
          <w:tcPr>
            <w:tcW w:w="158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163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20.47±1.795</w:t>
            </w:r>
          </w:p>
        </w:tc>
        <w:tc>
          <w:tcPr>
            <w:tcW w:w="1589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&gt;0.05</w:t>
            </w:r>
          </w:p>
        </w:tc>
      </w:tr>
      <w:tr w:rsidR="00161EB1" w:rsidRPr="00DD01C2" w:rsidTr="00EA5972">
        <w:trPr>
          <w:jc w:val="center"/>
        </w:trPr>
        <w:tc>
          <w:tcPr>
            <w:tcW w:w="1588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FEMALE</w:t>
            </w:r>
          </w:p>
        </w:tc>
        <w:tc>
          <w:tcPr>
            <w:tcW w:w="158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163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20.12±1.677</w:t>
            </w:r>
          </w:p>
        </w:tc>
        <w:tc>
          <w:tcPr>
            <w:tcW w:w="1589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</w:rPr>
        <w:t xml:space="preserve">The mean age of female participants was 20.12± 1.677 (mean ± </w:t>
      </w:r>
      <w:proofErr w:type="spellStart"/>
      <w:proofErr w:type="gramStart"/>
      <w:r w:rsidRPr="00DD01C2">
        <w:rPr>
          <w:rFonts w:ascii="Times New Roman" w:hAnsi="Times New Roman" w:cs="Times New Roman"/>
          <w:sz w:val="28"/>
          <w:szCs w:val="28"/>
        </w:rPr>
        <w:t>sd</w:t>
      </w:r>
      <w:proofErr w:type="spellEnd"/>
      <w:proofErr w:type="gramEnd"/>
      <w:r w:rsidRPr="00DD01C2">
        <w:rPr>
          <w:rFonts w:ascii="Times New Roman" w:hAnsi="Times New Roman" w:cs="Times New Roman"/>
          <w:sz w:val="28"/>
          <w:szCs w:val="28"/>
        </w:rPr>
        <w:t xml:space="preserve">) and male participants was 20.47± 1.795 (mean ± </w:t>
      </w:r>
      <w:proofErr w:type="spellStart"/>
      <w:r w:rsidRPr="00DD01C2">
        <w:rPr>
          <w:rFonts w:ascii="Times New Roman" w:hAnsi="Times New Roman" w:cs="Times New Roman"/>
          <w:sz w:val="28"/>
          <w:szCs w:val="28"/>
        </w:rPr>
        <w:t>sd</w:t>
      </w:r>
      <w:proofErr w:type="spellEnd"/>
      <w:r w:rsidRPr="00DD01C2">
        <w:rPr>
          <w:rFonts w:ascii="Times New Roman" w:hAnsi="Times New Roman" w:cs="Times New Roman"/>
          <w:sz w:val="28"/>
          <w:szCs w:val="28"/>
        </w:rPr>
        <w:t xml:space="preserve">). With age range from 18-30 years. All participants met the inclusion criteria. </w:t>
      </w:r>
      <w:r w:rsidRPr="00523873">
        <w:rPr>
          <w:rFonts w:ascii="Times New Roman" w:hAnsi="Times New Roman" w:cs="Times New Roman"/>
          <w:sz w:val="28"/>
          <w:szCs w:val="28"/>
        </w:rPr>
        <w:t>The statistical analysis showed no significant difference between the values of males and females (p&gt;0.05).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97AF9C5" wp14:editId="4DCCB5AF">
            <wp:extent cx="5486400" cy="3200400"/>
            <wp:effectExtent l="0" t="0" r="19050" b="1905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61EB1" w:rsidRPr="00DD01C2" w:rsidRDefault="00161EB1" w:rsidP="00161EB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</w:rPr>
        <w:t>Figure 8: Graphical representation of the mean age and standard deviation of male and female participants.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t>Grip Strength</w:t>
      </w:r>
      <w:r>
        <w:rPr>
          <w:rFonts w:ascii="Times New Roman" w:hAnsi="Times New Roman" w:cs="Times New Roman"/>
          <w:b/>
          <w:bCs/>
          <w:sz w:val="28"/>
          <w:szCs w:val="28"/>
        </w:rPr>
        <w:t>:-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Table 2: Hand grip strength</w:t>
      </w:r>
    </w:p>
    <w:tbl>
      <w:tblPr>
        <w:tblStyle w:val="TableGrid"/>
        <w:tblW w:w="10008" w:type="dxa"/>
        <w:jc w:val="center"/>
        <w:tblLook w:val="04A0" w:firstRow="1" w:lastRow="0" w:firstColumn="1" w:lastColumn="0" w:noHBand="0" w:noVBand="1"/>
      </w:tblPr>
      <w:tblGrid>
        <w:gridCol w:w="1647"/>
        <w:gridCol w:w="1430"/>
        <w:gridCol w:w="1770"/>
        <w:gridCol w:w="1770"/>
        <w:gridCol w:w="1770"/>
        <w:gridCol w:w="1770"/>
      </w:tblGrid>
      <w:tr w:rsidR="00161EB1" w:rsidRPr="00DD01C2" w:rsidTr="00EA5972">
        <w:trPr>
          <w:jc w:val="center"/>
        </w:trPr>
        <w:tc>
          <w:tcPr>
            <w:tcW w:w="1391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Female</w:t>
            </w:r>
          </w:p>
        </w:tc>
        <w:tc>
          <w:tcPr>
            <w:tcW w:w="3836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</w:tr>
      <w:tr w:rsidR="00161EB1" w:rsidRPr="00DD01C2" w:rsidTr="00EA5972">
        <w:trPr>
          <w:jc w:val="center"/>
        </w:trPr>
        <w:tc>
          <w:tcPr>
            <w:tcW w:w="1391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Grip strength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(Kg)</w:t>
            </w: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mean±sd</w:t>
            </w:r>
            <w:proofErr w:type="spellEnd"/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7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2134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</w:tr>
      <w:tr w:rsidR="00161EB1" w:rsidRPr="00DD01C2" w:rsidTr="00EA5972">
        <w:trPr>
          <w:jc w:val="center"/>
        </w:trPr>
        <w:tc>
          <w:tcPr>
            <w:tcW w:w="139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Supination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15.15±10.361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13.07±10.011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40.81±16.491</w:t>
            </w:r>
          </w:p>
        </w:tc>
        <w:tc>
          <w:tcPr>
            <w:tcW w:w="2134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48.28±20.089</w:t>
            </w:r>
          </w:p>
        </w:tc>
      </w:tr>
      <w:tr w:rsidR="00161EB1" w:rsidRPr="00DD01C2" w:rsidTr="00EA5972">
        <w:trPr>
          <w:jc w:val="center"/>
        </w:trPr>
        <w:tc>
          <w:tcPr>
            <w:tcW w:w="139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Pronation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9.98±7.238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19.19±10.057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36.78±16.951</w:t>
            </w:r>
          </w:p>
        </w:tc>
        <w:tc>
          <w:tcPr>
            <w:tcW w:w="2134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45.74±17.957</w:t>
            </w:r>
          </w:p>
        </w:tc>
      </w:tr>
      <w:tr w:rsidR="00161EB1" w:rsidRPr="00DD01C2" w:rsidTr="00EA5972">
        <w:trPr>
          <w:jc w:val="center"/>
        </w:trPr>
        <w:tc>
          <w:tcPr>
            <w:tcW w:w="139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14.50±10.137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16.57±11.069</w:t>
            </w:r>
          </w:p>
        </w:tc>
        <w:tc>
          <w:tcPr>
            <w:tcW w:w="170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44.22±16.730</w:t>
            </w:r>
          </w:p>
        </w:tc>
        <w:tc>
          <w:tcPr>
            <w:tcW w:w="2134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49.92±17.310</w:t>
            </w:r>
          </w:p>
        </w:tc>
      </w:tr>
    </w:tbl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Grip strength testing results for dominant and non-dominant hands reveal notable differences in females and males.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Females grip strength in supination (15.15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±10.361) and neutral (14.50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±10.137) and pronation (9.98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±7.238) on the non-dominant side.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On the dominant side measurements of supination (13.07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±10.011), neutral (16.57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±11.069), and pronation (19.19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±10.057).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Across all positions, females showed differences between their sides.</w:t>
      </w: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In males, grip strength the dominant side recording supination (48.28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±20.089), neutral (49.92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±17.310), and pronation (45.74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±17.957), while the </w:t>
      </w:r>
      <w:proofErr w:type="spell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nondominant</w:t>
      </w:r>
      <w:proofErr w:type="spell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side showed supination (40.81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±16.491), neutral (44.22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±16.730), and pronation (36.78</w:t>
      </w:r>
      <w:r w:rsidRPr="00AA1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kg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±16.951).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Overall, grip strength was highest in the neutral position.</w:t>
      </w: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162E07A" wp14:editId="094A835D">
            <wp:simplePos x="0" y="0"/>
            <wp:positionH relativeFrom="column">
              <wp:align>left</wp:align>
            </wp:positionH>
            <wp:positionV relativeFrom="paragraph">
              <wp:posOffset>1630680</wp:posOffset>
            </wp:positionV>
            <wp:extent cx="5486400" cy="3200400"/>
            <wp:effectExtent l="0" t="0" r="19050" b="19050"/>
            <wp:wrapSquare wrapText="bothSides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</w:rPr>
        <w:t>Figure 9:  Graphical representation of mean value of supination, pronation and neutral position in dominant &amp; non-dominant hands in males and females.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lastRenderedPageBreak/>
        <w:t>Wrist Flexion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Table-3 Wrist flexion</w:t>
      </w:r>
    </w:p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2114"/>
        <w:gridCol w:w="1430"/>
        <w:gridCol w:w="1770"/>
        <w:gridCol w:w="1770"/>
        <w:gridCol w:w="1770"/>
        <w:gridCol w:w="1770"/>
      </w:tblGrid>
      <w:tr w:rsidR="00161EB1" w:rsidRPr="00DD01C2" w:rsidTr="00EA5972">
        <w:trPr>
          <w:jc w:val="center"/>
        </w:trPr>
        <w:tc>
          <w:tcPr>
            <w:tcW w:w="162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6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Female</w:t>
            </w:r>
          </w:p>
        </w:tc>
        <w:tc>
          <w:tcPr>
            <w:tcW w:w="3648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</w:tr>
      <w:tr w:rsidR="00161EB1" w:rsidRPr="00DD01C2" w:rsidTr="00EA5972">
        <w:trPr>
          <w:jc w:val="center"/>
        </w:trPr>
        <w:tc>
          <w:tcPr>
            <w:tcW w:w="1625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A96EF6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Wrist Flexion</w:t>
            </w:r>
            <w:r w:rsidRPr="00A96EF6">
              <w:rPr>
                <w:rFonts w:ascii="Times New Roman" w:hAnsi="Times New Roman" w:cs="Times New Roman"/>
                <w:sz w:val="28"/>
                <w:szCs w:val="28"/>
              </w:rPr>
              <w:t>(degrees)</w:t>
            </w: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mean±sd</w:t>
            </w:r>
            <w:proofErr w:type="spellEnd"/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3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99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</w:tr>
      <w:tr w:rsidR="00161EB1" w:rsidRPr="00DD01C2" w:rsidTr="00EA5972">
        <w:trPr>
          <w:jc w:val="center"/>
        </w:trPr>
        <w:tc>
          <w:tcPr>
            <w:tcW w:w="1625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Supination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82.50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10.843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80.80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12.268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83.33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12.262</w:t>
            </w:r>
          </w:p>
        </w:tc>
        <w:tc>
          <w:tcPr>
            <w:tcW w:w="199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84.79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12.329</w:t>
            </w:r>
          </w:p>
        </w:tc>
      </w:tr>
      <w:tr w:rsidR="00161EB1" w:rsidRPr="00DD01C2" w:rsidTr="00EA5972">
        <w:trPr>
          <w:jc w:val="center"/>
        </w:trPr>
        <w:tc>
          <w:tcPr>
            <w:tcW w:w="1625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87.51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11.148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86.85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10.063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88.88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9.352</w:t>
            </w:r>
          </w:p>
        </w:tc>
        <w:tc>
          <w:tcPr>
            <w:tcW w:w="199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88.84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6.989</w:t>
            </w:r>
          </w:p>
        </w:tc>
      </w:tr>
      <w:tr w:rsidR="00161EB1" w:rsidRPr="00DD01C2" w:rsidTr="00EA5972">
        <w:trPr>
          <w:jc w:val="center"/>
        </w:trPr>
        <w:tc>
          <w:tcPr>
            <w:tcW w:w="1625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Pronation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84.40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9.643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84.03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8.447</w:t>
            </w:r>
          </w:p>
        </w:tc>
        <w:tc>
          <w:tcPr>
            <w:tcW w:w="165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88.84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6.373</w:t>
            </w:r>
          </w:p>
        </w:tc>
        <w:tc>
          <w:tcPr>
            <w:tcW w:w="199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89.40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6.725</w:t>
            </w:r>
          </w:p>
        </w:tc>
      </w:tr>
    </w:tbl>
    <w:p w:rsidR="00161EB1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The wrist flexion measurements indicate that in females, the non-dominant hand showed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The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scores were Neutral (87.50°±11.148), Pronation (84.40°±9.643), and Supination (82.50°±10.843). A similar pattern was observed in the dominant hand with scores of Neutral (86.85°±10.063), Pronation (84.03°±8.447), and Supination (80.80°±12.268). For males, the non-dominant hand displayed neutral (88.88°±9.352) and pronation (88.84°±6.373) and supination (83.33°±12.262). The dominant hand flexion values were Neutral (88.84°±6.989), Pronation (89.40°±6.725), and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Supination(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84.79°±12.329).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0A9E2E80" wp14:editId="716AA250">
            <wp:extent cx="5486400" cy="3200400"/>
            <wp:effectExtent l="0" t="0" r="19050" b="1905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Figure 10 shows the mean values and standard deviations of wrist flexion in both dominant and non-dominant hands among males and females across different forearm positions: supination, neutral, and pronation.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lastRenderedPageBreak/>
        <w:t>Wrist extension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The Wrist exte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nsion test results for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both 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hands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are presented in Table -4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t>Table-4 Wrist extension</w:t>
      </w:r>
    </w:p>
    <w:tbl>
      <w:tblPr>
        <w:tblStyle w:val="TableGrid"/>
        <w:tblW w:w="9738" w:type="dxa"/>
        <w:jc w:val="center"/>
        <w:tblLook w:val="04A0" w:firstRow="1" w:lastRow="0" w:firstColumn="1" w:lastColumn="0" w:noHBand="0" w:noVBand="1"/>
      </w:tblPr>
      <w:tblGrid>
        <w:gridCol w:w="2378"/>
        <w:gridCol w:w="1430"/>
        <w:gridCol w:w="1770"/>
        <w:gridCol w:w="1770"/>
        <w:gridCol w:w="1770"/>
        <w:gridCol w:w="1770"/>
      </w:tblGrid>
      <w:tr w:rsidR="00161EB1" w:rsidRPr="00DD01C2" w:rsidTr="00EA5972">
        <w:trPr>
          <w:jc w:val="center"/>
        </w:trPr>
        <w:tc>
          <w:tcPr>
            <w:tcW w:w="2083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4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Female</w:t>
            </w:r>
          </w:p>
        </w:tc>
        <w:tc>
          <w:tcPr>
            <w:tcW w:w="3276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</w:tr>
      <w:tr w:rsidR="00161EB1" w:rsidRPr="00DD01C2" w:rsidTr="00EA5972">
        <w:trPr>
          <w:jc w:val="center"/>
        </w:trPr>
        <w:tc>
          <w:tcPr>
            <w:tcW w:w="2083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Wrist Extension</w:t>
            </w:r>
            <w:r w:rsidRPr="00A96EF6">
              <w:rPr>
                <w:rFonts w:ascii="Times New Roman" w:hAnsi="Times New Roman" w:cs="Times New Roman"/>
                <w:sz w:val="28"/>
                <w:szCs w:val="28"/>
              </w:rPr>
              <w:t>(degrees)</w:t>
            </w: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(MEAN±SD)</w:t>
            </w: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71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</w:tr>
      <w:tr w:rsidR="00161EB1" w:rsidRPr="00DD01C2" w:rsidTr="00EA5972">
        <w:trPr>
          <w:jc w:val="center"/>
        </w:trPr>
        <w:tc>
          <w:tcPr>
            <w:tcW w:w="2083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Supination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40.18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16.555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38.43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17.038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37.24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13.439</w:t>
            </w:r>
          </w:p>
        </w:tc>
        <w:tc>
          <w:tcPr>
            <w:tcW w:w="171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33.35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15.015</w:t>
            </w:r>
          </w:p>
        </w:tc>
      </w:tr>
      <w:tr w:rsidR="00161EB1" w:rsidRPr="00DD01C2" w:rsidTr="00EA5972">
        <w:trPr>
          <w:jc w:val="center"/>
        </w:trPr>
        <w:tc>
          <w:tcPr>
            <w:tcW w:w="2083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50.25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16.618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42.28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14.240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45.11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10.224</w:t>
            </w:r>
          </w:p>
        </w:tc>
        <w:tc>
          <w:tcPr>
            <w:tcW w:w="171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37.89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11.651</w:t>
            </w:r>
          </w:p>
        </w:tc>
      </w:tr>
      <w:tr w:rsidR="00161EB1" w:rsidRPr="00DD01C2" w:rsidTr="00EA5972">
        <w:trPr>
          <w:jc w:val="center"/>
        </w:trPr>
        <w:tc>
          <w:tcPr>
            <w:tcW w:w="2083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Pronation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46.21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9.605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43.36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13.933</w:t>
            </w:r>
          </w:p>
        </w:tc>
        <w:tc>
          <w:tcPr>
            <w:tcW w:w="1557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44.77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9.670</w:t>
            </w:r>
          </w:p>
        </w:tc>
        <w:tc>
          <w:tcPr>
            <w:tcW w:w="1719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39.57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10.561</w:t>
            </w:r>
          </w:p>
        </w:tc>
      </w:tr>
    </w:tbl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it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was found that females exhibited in their non-dominant hand with values of 50.25°±16.618 (neutral), 46.21°±9.605 (pronation), and 40.18°±16.555 (supination). In their dominant hand, females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showed  of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42.28°±14.240 (neutral), 43.36°±13.933 (pronation), and 38.43°±17.038 (supination). For males, dominant hand supination (33.35°±15.015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) ,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neutral (37.89°±11.651) and pronation (39.57°±10.561), while the non-dominant side resulted in supination (37.24°±13.439), neutral (45.11°±10.224), and pronation (44.77°±9.670).</w:t>
      </w:r>
    </w:p>
    <w:p w:rsidR="00161EB1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2E1D1A6" wp14:editId="4C348713">
            <wp:extent cx="5486400" cy="3200400"/>
            <wp:effectExtent l="0" t="0" r="19050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Figure 11 </w:t>
      </w:r>
      <w:proofErr w:type="gramStart"/>
      <w:r w:rsidRPr="000217D9">
        <w:rPr>
          <w:rFonts w:ascii="Times New Roman" w:hAnsi="Times New Roman" w:cs="Times New Roman"/>
          <w:sz w:val="28"/>
          <w:szCs w:val="28"/>
          <w:shd w:val="clear" w:color="auto" w:fill="FFFFFF"/>
        </w:rPr>
        <w:t>The</w:t>
      </w:r>
      <w:proofErr w:type="gramEnd"/>
      <w:r w:rsidRPr="00021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study presents the average values and standard deviations of wris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 extension for both</w:t>
      </w:r>
      <w:r w:rsidRPr="00021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hands in males and females, examined acro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ss various forearm positions</w:t>
      </w:r>
      <w:r w:rsidRPr="000217D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t>Ulnar deviation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The results of the ulnar deviation test for bo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 the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hands are shown in Table- 5.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lastRenderedPageBreak/>
        <w:t>Table-5 ulnar deviation</w:t>
      </w:r>
    </w:p>
    <w:tbl>
      <w:tblPr>
        <w:tblStyle w:val="TableGrid"/>
        <w:tblW w:w="9738" w:type="dxa"/>
        <w:jc w:val="center"/>
        <w:tblLook w:val="04A0" w:firstRow="1" w:lastRow="0" w:firstColumn="1" w:lastColumn="0" w:noHBand="0" w:noVBand="1"/>
      </w:tblPr>
      <w:tblGrid>
        <w:gridCol w:w="2362"/>
        <w:gridCol w:w="1430"/>
        <w:gridCol w:w="1770"/>
        <w:gridCol w:w="1770"/>
        <w:gridCol w:w="1770"/>
        <w:gridCol w:w="1770"/>
      </w:tblGrid>
      <w:tr w:rsidR="00161EB1" w:rsidRPr="00DD01C2" w:rsidTr="00EA5972">
        <w:trPr>
          <w:jc w:val="center"/>
        </w:trPr>
        <w:tc>
          <w:tcPr>
            <w:tcW w:w="2071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Female</w:t>
            </w:r>
          </w:p>
        </w:tc>
        <w:tc>
          <w:tcPr>
            <w:tcW w:w="3282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Ulnar Deviation</w:t>
            </w:r>
            <w:r w:rsidRPr="00A96EF6">
              <w:rPr>
                <w:rFonts w:ascii="Times New Roman" w:hAnsi="Times New Roman" w:cs="Times New Roman"/>
                <w:sz w:val="28"/>
                <w:szCs w:val="28"/>
              </w:rPr>
              <w:t>(degrees)</w:t>
            </w: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(MEAN±SD)</w:t>
            </w: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72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Supination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40.18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16.555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38.43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17.038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37.24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13.439</w:t>
            </w:r>
          </w:p>
        </w:tc>
        <w:tc>
          <w:tcPr>
            <w:tcW w:w="172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33.35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15.015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50.25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16.618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42.28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14.240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45.11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10.224</w:t>
            </w:r>
          </w:p>
        </w:tc>
        <w:tc>
          <w:tcPr>
            <w:tcW w:w="172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37.89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11.651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Pronation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46.21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9.605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43.36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13.933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44.77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9.670</w:t>
            </w:r>
          </w:p>
        </w:tc>
        <w:tc>
          <w:tcPr>
            <w:tcW w:w="172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39.57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10.561</w:t>
            </w:r>
          </w:p>
        </w:tc>
      </w:tr>
    </w:tbl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Ulnar deviation on </w:t>
      </w:r>
      <w:proofErr w:type="spell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non dominant</w:t>
      </w:r>
      <w:proofErr w:type="spell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hand of female in neutral (50.25°±16.618) and pronation (46.21°±9.605) positions and supination (40.18°±16.555).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on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dominant hand neutral (</w:t>
      </w:r>
      <w:r w:rsidRPr="00DD01C2">
        <w:rPr>
          <w:rFonts w:ascii="Times New Roman" w:hAnsi="Times New Roman" w:cs="Times New Roman"/>
          <w:sz w:val="28"/>
          <w:szCs w:val="28"/>
        </w:rPr>
        <w:t>42.28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14.240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) and pronation (</w:t>
      </w:r>
      <w:r w:rsidRPr="00DD01C2">
        <w:rPr>
          <w:rFonts w:ascii="Times New Roman" w:hAnsi="Times New Roman" w:cs="Times New Roman"/>
          <w:sz w:val="28"/>
          <w:szCs w:val="28"/>
        </w:rPr>
        <w:t>43.36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13.933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) positions and supination (</w:t>
      </w:r>
      <w:r w:rsidRPr="00DD01C2">
        <w:rPr>
          <w:rFonts w:ascii="Times New Roman" w:hAnsi="Times New Roman" w:cs="Times New Roman"/>
          <w:sz w:val="28"/>
          <w:szCs w:val="28"/>
        </w:rPr>
        <w:t>38.43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17.038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For males, the </w:t>
      </w:r>
      <w:proofErr w:type="spell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non dominant</w:t>
      </w:r>
      <w:proofErr w:type="spell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hand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shows  neutral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(45.11°±10.224), pronation (44.77°±9.670), and supination (37.24°±13.439) angles.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On the dominant hand neutral (37.89°±11.651), pronation (39.57°±10.561), and supination (33.35°±15.015).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Graphical representation is provided in Figure-12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162EBF78" wp14:editId="1A7410B9">
            <wp:extent cx="5486400" cy="3200400"/>
            <wp:effectExtent l="0" t="0" r="19050" b="1905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In figure-12 </w:t>
      </w:r>
      <w:proofErr w:type="gramStart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The</w:t>
      </w:r>
      <w:proofErr w:type="gramEnd"/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mean values and standard deviations of wrist extension fo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r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hands in males and females are presented across three forearm positions: supination, neutral, and pronation.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t>Radial deviation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1C2">
        <w:rPr>
          <w:rFonts w:ascii="Times New Roman" w:hAnsi="Times New Roman" w:cs="Times New Roman"/>
          <w:b/>
          <w:bCs/>
          <w:sz w:val="28"/>
          <w:szCs w:val="28"/>
        </w:rPr>
        <w:lastRenderedPageBreak/>
        <w:t>Table-6 radial deviation</w:t>
      </w:r>
    </w:p>
    <w:tbl>
      <w:tblPr>
        <w:tblStyle w:val="TableGrid"/>
        <w:tblW w:w="9828" w:type="dxa"/>
        <w:jc w:val="center"/>
        <w:tblLook w:val="04A0" w:firstRow="1" w:lastRow="0" w:firstColumn="1" w:lastColumn="0" w:noHBand="0" w:noVBand="1"/>
      </w:tblPr>
      <w:tblGrid>
        <w:gridCol w:w="2362"/>
        <w:gridCol w:w="1430"/>
        <w:gridCol w:w="1770"/>
        <w:gridCol w:w="1770"/>
        <w:gridCol w:w="1770"/>
        <w:gridCol w:w="1770"/>
      </w:tblGrid>
      <w:tr w:rsidR="00161EB1" w:rsidRPr="00DD01C2" w:rsidTr="00EA5972">
        <w:trPr>
          <w:jc w:val="center"/>
        </w:trPr>
        <w:tc>
          <w:tcPr>
            <w:tcW w:w="2071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Female</w:t>
            </w:r>
          </w:p>
        </w:tc>
        <w:tc>
          <w:tcPr>
            <w:tcW w:w="3372" w:type="dxa"/>
            <w:gridSpan w:val="2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 w:val="restart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Radial Deviation</w:t>
            </w:r>
            <w:r w:rsidRPr="00A96EF6">
              <w:rPr>
                <w:rFonts w:ascii="Times New Roman" w:hAnsi="Times New Roman" w:cs="Times New Roman"/>
                <w:sz w:val="28"/>
                <w:szCs w:val="28"/>
              </w:rPr>
              <w:t>(degrees)</w:t>
            </w:r>
          </w:p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(MEAN±SD)</w:t>
            </w: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Non Dominant Hand</w:t>
            </w:r>
          </w:p>
        </w:tc>
        <w:tc>
          <w:tcPr>
            <w:tcW w:w="181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Dominant Hand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Supination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32.82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11.828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32.76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11.437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30.52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12.671</w:t>
            </w:r>
          </w:p>
        </w:tc>
        <w:tc>
          <w:tcPr>
            <w:tcW w:w="181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30.02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9.850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Neutral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39.33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11.161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37.83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14.724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33.44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11.470</w:t>
            </w:r>
          </w:p>
        </w:tc>
        <w:tc>
          <w:tcPr>
            <w:tcW w:w="181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33.81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10.839</w:t>
            </w:r>
          </w:p>
        </w:tc>
      </w:tr>
      <w:tr w:rsidR="00161EB1" w:rsidRPr="00DD01C2" w:rsidTr="00EA5972">
        <w:trPr>
          <w:jc w:val="center"/>
        </w:trPr>
        <w:tc>
          <w:tcPr>
            <w:tcW w:w="2071" w:type="dxa"/>
            <w:vMerge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Pronation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34.34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10.256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32.36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11.354</w:t>
            </w:r>
          </w:p>
        </w:tc>
        <w:tc>
          <w:tcPr>
            <w:tcW w:w="1560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30.87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9.283</w:t>
            </w:r>
          </w:p>
        </w:tc>
        <w:tc>
          <w:tcPr>
            <w:tcW w:w="1812" w:type="dxa"/>
          </w:tcPr>
          <w:p w:rsidR="00161EB1" w:rsidRPr="00DD01C2" w:rsidRDefault="00161EB1" w:rsidP="00EA5972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28.83</w:t>
            </w:r>
            <w:r w:rsidRPr="00DD0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±</w:t>
            </w:r>
            <w:r w:rsidRPr="00DD01C2">
              <w:rPr>
                <w:rFonts w:ascii="Times New Roman" w:hAnsi="Times New Roman" w:cs="Times New Roman"/>
                <w:sz w:val="28"/>
                <w:szCs w:val="28"/>
              </w:rPr>
              <w:t>9.329</w:t>
            </w:r>
          </w:p>
        </w:tc>
      </w:tr>
    </w:tbl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 w:rsidRPr="00DD01C2">
        <w:rPr>
          <w:rFonts w:ascii="Times New Roman" w:hAnsi="Times New Roman" w:cs="Times New Roman"/>
          <w:sz w:val="28"/>
          <w:szCs w:val="28"/>
        </w:rPr>
        <w:t>non dominant</w:t>
      </w:r>
      <w:proofErr w:type="spellEnd"/>
      <w:r w:rsidRPr="00DD01C2">
        <w:rPr>
          <w:rFonts w:ascii="Times New Roman" w:hAnsi="Times New Roman" w:cs="Times New Roman"/>
          <w:sz w:val="28"/>
          <w:szCs w:val="28"/>
        </w:rPr>
        <w:t xml:space="preserve"> hand in female neutral(39.33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11.161), pronation(34.34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10.256) and supination(32.82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11.828) in dominant hand neutral(37.83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14.724), pronation(32.36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11.354) and supination(32.76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 xml:space="preserve">11.437) in </w:t>
      </w:r>
      <w:proofErr w:type="spellStart"/>
      <w:r w:rsidRPr="00DD01C2">
        <w:rPr>
          <w:rFonts w:ascii="Times New Roman" w:hAnsi="Times New Roman" w:cs="Times New Roman"/>
          <w:sz w:val="28"/>
          <w:szCs w:val="28"/>
        </w:rPr>
        <w:t>non dominant</w:t>
      </w:r>
      <w:proofErr w:type="spellEnd"/>
      <w:r w:rsidRPr="00DD01C2">
        <w:rPr>
          <w:rFonts w:ascii="Times New Roman" w:hAnsi="Times New Roman" w:cs="Times New Roman"/>
          <w:sz w:val="28"/>
          <w:szCs w:val="28"/>
        </w:rPr>
        <w:t xml:space="preserve"> hand in male neutral(33.44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11.470), pronation(30.87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9.283) and supination (30.52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>
        <w:rPr>
          <w:rFonts w:ascii="Times New Roman" w:hAnsi="Times New Roman" w:cs="Times New Roman"/>
          <w:sz w:val="28"/>
          <w:szCs w:val="28"/>
        </w:rPr>
        <w:t xml:space="preserve">12.671)in dominant hand </w:t>
      </w:r>
      <w:r w:rsidRPr="00DD01C2">
        <w:rPr>
          <w:rFonts w:ascii="Times New Roman" w:hAnsi="Times New Roman" w:cs="Times New Roman"/>
          <w:sz w:val="28"/>
          <w:szCs w:val="28"/>
        </w:rPr>
        <w:t>neutral(33.81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10.839), supination(30.02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9.850) and pronation(28.83</w:t>
      </w: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°±</w:t>
      </w:r>
      <w:r w:rsidRPr="00DD01C2">
        <w:rPr>
          <w:rFonts w:ascii="Times New Roman" w:hAnsi="Times New Roman" w:cs="Times New Roman"/>
          <w:sz w:val="28"/>
          <w:szCs w:val="28"/>
        </w:rPr>
        <w:t>9.329).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01C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B25089" wp14:editId="60C894F9">
            <wp:extent cx="5486400" cy="3200400"/>
            <wp:effectExtent l="0" t="0" r="19050" b="1905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1C2">
        <w:rPr>
          <w:rFonts w:ascii="Times New Roman" w:hAnsi="Times New Roman" w:cs="Times New Roman"/>
          <w:sz w:val="28"/>
          <w:szCs w:val="28"/>
          <w:shd w:val="clear" w:color="auto" w:fill="FFFFFF"/>
        </w:rPr>
        <w:t>Figure 13 shows the average radial deviation and its variability in both dominant and non-dominant hands for males and females in various forearm positions: supination, neutral, and pronation.</w:t>
      </w:r>
    </w:p>
    <w:p w:rsidR="00161EB1" w:rsidRPr="00DD01C2" w:rsidRDefault="00161EB1" w:rsidP="00161EB1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73D0" w:rsidRDefault="004973D0">
      <w:bookmarkStart w:id="0" w:name="_GoBack"/>
      <w:bookmarkEnd w:id="0"/>
    </w:p>
    <w:sectPr w:rsidR="004973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EB1"/>
    <w:rsid w:val="00161EB1"/>
    <w:rsid w:val="002D6DE8"/>
    <w:rsid w:val="004973D0"/>
    <w:rsid w:val="00A11ECB"/>
    <w:rsid w:val="00B4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61E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61E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9133858267716532E-2"/>
          <c:y val="3.9642857142857139E-2"/>
          <c:w val="0.71867290026246722"/>
          <c:h val="0.862117294397634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Mean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20.12</c:v>
                </c:pt>
                <c:pt idx="1">
                  <c:v>20.47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A6D-4E81-B273-C3FD5A78757A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Std. Deviation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1.677</c:v>
                </c:pt>
                <c:pt idx="1">
                  <c:v>1.7949999999999999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A6D-4E81-B273-C3FD5A78757A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Column2</c:v>
                </c:pt>
              </c:strCache>
            </c:strRef>
          </c:tx>
          <c:spPr>
            <a:noFill/>
          </c:spPr>
          <c:invertIfNegative val="0"/>
          <c:cat>
            <c:strRef>
              <c:f>Sheet1!$A$2:$A$5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A6D-4E81-B273-C3FD5A7875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2703488"/>
        <c:axId val="382705024"/>
      </c:barChart>
      <c:catAx>
        <c:axId val="382703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82705024"/>
        <c:crosses val="autoZero"/>
        <c:auto val="1"/>
        <c:lblAlgn val="ctr"/>
        <c:lblOffset val="100"/>
        <c:noMultiLvlLbl val="0"/>
      </c:catAx>
      <c:valAx>
        <c:axId val="382705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2703488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93117526975798E-2"/>
          <c:y val="2.3809523809523808E-2"/>
          <c:w val="0.64221456692913392"/>
          <c:h val="0.8622550306211723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Non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40.81</c:v>
                </c:pt>
                <c:pt idx="1">
                  <c:v>15.15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079-4751-9F86-B1709238300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Non 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Fmale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44.22</c:v>
                </c:pt>
                <c:pt idx="1">
                  <c:v>14.5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079-4751-9F86-B1709238300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Non 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Fmale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36.78</c:v>
                </c:pt>
                <c:pt idx="1">
                  <c:v>9.98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079-4751-9F86-B1709238300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Fmale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48.28</c:v>
                </c:pt>
                <c:pt idx="1">
                  <c:v>13.07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079-4751-9F86-B17092383006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Fmale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49.92</c:v>
                </c:pt>
                <c:pt idx="1">
                  <c:v>16.57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079-4751-9F86-B17092383006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Fmale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45.74</c:v>
                </c:pt>
                <c:pt idx="1">
                  <c:v>19.190000000000001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3079-4751-9F86-B170923830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3031168"/>
        <c:axId val="383032704"/>
      </c:barChart>
      <c:catAx>
        <c:axId val="3830311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3032704"/>
        <c:crosses val="autoZero"/>
        <c:auto val="1"/>
        <c:lblAlgn val="ctr"/>
        <c:lblOffset val="100"/>
        <c:noMultiLvlLbl val="0"/>
      </c:catAx>
      <c:valAx>
        <c:axId val="383032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3031168"/>
        <c:crosses val="autoZero"/>
        <c:crossBetween val="between"/>
      </c:valAx>
      <c:spPr>
        <a:scene3d>
          <a:camera prst="orthographicFront"/>
          <a:lightRig rig="threePt" dir="t"/>
        </a:scene3d>
        <a:sp3d>
          <a:bevelT/>
          <a:bevelB/>
        </a:sp3d>
      </c:spPr>
    </c:plotArea>
    <c:legend>
      <c:legendPos val="r"/>
      <c:layout>
        <c:manualLayout>
          <c:xMode val="edge"/>
          <c:yMode val="edge"/>
          <c:x val="0.70292249927092443"/>
          <c:y val="0.28811554805649292"/>
          <c:w val="0.29707750072907552"/>
          <c:h val="0.4066735831287534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Non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83.33</c:v>
                </c:pt>
                <c:pt idx="1">
                  <c:v>82.5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A2B-494E-A097-30250122BA8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Non 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88.88</c:v>
                </c:pt>
                <c:pt idx="1">
                  <c:v>87.51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A2B-494E-A097-30250122BA8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Non 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88.84</c:v>
                </c:pt>
                <c:pt idx="1">
                  <c:v>85.4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A2B-494E-A097-30250122BA8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84.79</c:v>
                </c:pt>
                <c:pt idx="1">
                  <c:v>80.8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A2B-494E-A097-30250122BA86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88.84</c:v>
                </c:pt>
                <c:pt idx="1">
                  <c:v>86.85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A2B-494E-A097-30250122BA86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89.4</c:v>
                </c:pt>
                <c:pt idx="1">
                  <c:v>84.03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FA2B-494E-A097-30250122BA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2211584"/>
        <c:axId val="382213120"/>
      </c:barChart>
      <c:catAx>
        <c:axId val="382211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82213120"/>
        <c:crosses val="autoZero"/>
        <c:auto val="1"/>
        <c:lblAlgn val="ctr"/>
        <c:lblOffset val="100"/>
        <c:noMultiLvlLbl val="0"/>
      </c:catAx>
      <c:valAx>
        <c:axId val="3822131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2211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Non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37.24</c:v>
                </c:pt>
                <c:pt idx="1">
                  <c:v>40.18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43B-4582-9904-24774AD1829A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Non 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45.11</c:v>
                </c:pt>
                <c:pt idx="1">
                  <c:v>50.25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43B-4582-9904-24774AD1829A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Non 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44.77</c:v>
                </c:pt>
                <c:pt idx="1">
                  <c:v>46.21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43B-4582-9904-24774AD1829A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33.35</c:v>
                </c:pt>
                <c:pt idx="1">
                  <c:v>38.43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43B-4582-9904-24774AD1829A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37.89</c:v>
                </c:pt>
                <c:pt idx="1">
                  <c:v>42.28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43B-4582-9904-24774AD1829A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39.57</c:v>
                </c:pt>
                <c:pt idx="1">
                  <c:v>43.36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343B-4582-9904-24774AD182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2260352"/>
        <c:axId val="382261888"/>
      </c:barChart>
      <c:catAx>
        <c:axId val="3822603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2261888"/>
        <c:crosses val="autoZero"/>
        <c:auto val="1"/>
        <c:lblAlgn val="ctr"/>
        <c:lblOffset val="100"/>
        <c:noMultiLvlLbl val="0"/>
      </c:catAx>
      <c:valAx>
        <c:axId val="3822618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22603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Non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51.51</c:v>
                </c:pt>
                <c:pt idx="1">
                  <c:v>56.09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253-4D02-BA07-8E4C3DC00D6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Non 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57.24</c:v>
                </c:pt>
                <c:pt idx="1">
                  <c:v>55.56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253-4D02-BA07-8E4C3DC00D69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Non 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54.18</c:v>
                </c:pt>
                <c:pt idx="1">
                  <c:v>54.88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253-4D02-BA07-8E4C3DC00D69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52.6</c:v>
                </c:pt>
                <c:pt idx="1">
                  <c:v>49.5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253-4D02-BA07-8E4C3DC00D69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 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55.65</c:v>
                </c:pt>
                <c:pt idx="1">
                  <c:v>55.92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253-4D02-BA07-8E4C3DC00D69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 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52</c:v>
                </c:pt>
                <c:pt idx="1">
                  <c:v>53.58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5253-4D02-BA07-8E4C3DC00D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2464768"/>
        <c:axId val="382466304"/>
      </c:barChart>
      <c:catAx>
        <c:axId val="3824647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2466304"/>
        <c:crosses val="autoZero"/>
        <c:auto val="1"/>
        <c:lblAlgn val="ctr"/>
        <c:lblOffset val="100"/>
        <c:noMultiLvlLbl val="0"/>
      </c:catAx>
      <c:valAx>
        <c:axId val="3824663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24647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Non 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30.52</c:v>
                </c:pt>
                <c:pt idx="1">
                  <c:v>32.82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5A4-46F4-9509-DA6354D83DD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Non 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33.44</c:v>
                </c:pt>
                <c:pt idx="1">
                  <c:v>39.33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5A4-46F4-9509-DA6354D83DD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Non 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30.87</c:v>
                </c:pt>
                <c:pt idx="1">
                  <c:v>34.340000000000003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5A4-46F4-9509-DA6354D83DD0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Dominant Supination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30.02</c:v>
                </c:pt>
                <c:pt idx="1">
                  <c:v>32.76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5A4-46F4-9509-DA6354D83DD0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Dominant Neutral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33.81</c:v>
                </c:pt>
                <c:pt idx="1">
                  <c:v>37.83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5A4-46F4-9509-DA6354D83DD0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Dominant Pronation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28.83</c:v>
                </c:pt>
                <c:pt idx="1">
                  <c:v>32.36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E5A4-46F4-9509-DA6354D83D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2759296"/>
        <c:axId val="382760832"/>
      </c:barChart>
      <c:catAx>
        <c:axId val="3827592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82760832"/>
        <c:crosses val="autoZero"/>
        <c:auto val="1"/>
        <c:lblAlgn val="ctr"/>
        <c:lblOffset val="100"/>
        <c:noMultiLvlLbl val="0"/>
      </c:catAx>
      <c:valAx>
        <c:axId val="3827608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27592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948</Words>
  <Characters>5408</Characters>
  <Application>Microsoft Office Word</Application>
  <DocSecurity>0</DocSecurity>
  <Lines>45</Lines>
  <Paragraphs>12</Paragraphs>
  <ScaleCrop>false</ScaleCrop>
  <Company/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2025-03-03T17:39:00Z</dcterms:created>
  <dcterms:modified xsi:type="dcterms:W3CDTF">2025-03-03T17:39:00Z</dcterms:modified>
</cp:coreProperties>
</file>