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20150" w:rsidRPr="00B646F2" w:rsidRDefault="00C20150" w:rsidP="00C20150">
      <w:pPr>
        <w:pStyle w:val="MDPI31text"/>
        <w:spacing w:before="240" w:after="60" w:line="276" w:lineRule="auto"/>
        <w:ind w:left="0" w:firstLine="0"/>
        <w:rPr>
          <w:rFonts w:ascii="Times New Roman" w:hAnsi="Times New Roman"/>
          <w:i/>
          <w:sz w:val="24"/>
          <w:szCs w:val="24"/>
        </w:rPr>
      </w:pPr>
      <w:r w:rsidRPr="00B646F2">
        <w:rPr>
          <w:rFonts w:ascii="Times New Roman" w:hAnsi="Times New Roman"/>
          <w:i/>
          <w:sz w:val="24"/>
          <w:szCs w:val="24"/>
        </w:rPr>
        <w:t xml:space="preserve">Tensile Strength Ratio </w:t>
      </w:r>
    </w:p>
    <w:p w:rsidR="00C20150" w:rsidRPr="00B646F2" w:rsidRDefault="00C20150" w:rsidP="00C20150">
      <w:pPr>
        <w:pStyle w:val="MDPI31text"/>
        <w:spacing w:line="276" w:lineRule="auto"/>
        <w:ind w:left="0"/>
        <w:rPr>
          <w:rFonts w:ascii="Times New Roman" w:hAnsi="Times New Roman"/>
          <w:sz w:val="24"/>
          <w:szCs w:val="24"/>
        </w:rPr>
      </w:pPr>
      <w:r w:rsidRPr="00B646F2">
        <w:rPr>
          <w:rFonts w:ascii="Times New Roman" w:hAnsi="Times New Roman"/>
          <w:sz w:val="24"/>
          <w:szCs w:val="24"/>
        </w:rPr>
        <w:t>When the percentage of PET in all bituminous concrete mixes increases, the tensile strength ratio also increases. This suggests that PET-modified mixes are less vulnerable to moisture damage than conventional mixes.</w:t>
      </w:r>
    </w:p>
    <w:p w:rsidR="00C20150" w:rsidRPr="000C1871" w:rsidRDefault="00C20150" w:rsidP="00C20150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B646F2">
        <w:rPr>
          <w:rFonts w:ascii="Times New Roman" w:hAnsi="Times New Roman"/>
          <w:b/>
          <w:sz w:val="24"/>
          <w:szCs w:val="24"/>
        </w:rPr>
        <w:t xml:space="preserve">Table 21. </w:t>
      </w:r>
      <w:r w:rsidRPr="00B646F2">
        <w:rPr>
          <w:rFonts w:ascii="Times New Roman" w:hAnsi="Times New Roman"/>
          <w:sz w:val="24"/>
          <w:szCs w:val="24"/>
        </w:rPr>
        <w:t>Tensile Strength Ratio</w:t>
      </w:r>
    </w:p>
    <w:tbl>
      <w:tblPr>
        <w:tblStyle w:val="TableGrid"/>
        <w:tblW w:w="735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6"/>
        <w:gridCol w:w="876"/>
        <w:gridCol w:w="876"/>
        <w:gridCol w:w="876"/>
        <w:gridCol w:w="876"/>
        <w:gridCol w:w="876"/>
        <w:gridCol w:w="876"/>
        <w:gridCol w:w="876"/>
      </w:tblGrid>
      <w:tr w:rsidR="00C20150" w:rsidRPr="00B646F2" w:rsidTr="007E71D0">
        <w:trPr>
          <w:trHeight w:val="161"/>
          <w:jc w:val="center"/>
        </w:trPr>
        <w:tc>
          <w:tcPr>
            <w:tcW w:w="1226" w:type="dxa"/>
            <w:vMerge w:val="restart"/>
            <w:tcBorders>
              <w:top w:val="single" w:sz="4" w:space="0" w:color="auto"/>
            </w:tcBorders>
            <w:vAlign w:val="center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6F2">
              <w:rPr>
                <w:rFonts w:ascii="Times New Roman" w:hAnsi="Times New Roman"/>
                <w:b/>
                <w:sz w:val="24"/>
                <w:szCs w:val="24"/>
              </w:rPr>
              <w:t>Bitumen</w:t>
            </w:r>
          </w:p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6F2">
              <w:rPr>
                <w:rFonts w:ascii="Times New Roman" w:hAnsi="Times New Roman"/>
                <w:b/>
                <w:sz w:val="24"/>
                <w:szCs w:val="24"/>
              </w:rPr>
              <w:t>(%)</w:t>
            </w:r>
          </w:p>
        </w:tc>
        <w:tc>
          <w:tcPr>
            <w:tcW w:w="6132" w:type="dxa"/>
            <w:gridSpan w:val="7"/>
            <w:tcBorders>
              <w:top w:val="single" w:sz="4" w:space="0" w:color="auto"/>
            </w:tcBorders>
            <w:vAlign w:val="center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6F2">
              <w:rPr>
                <w:rFonts w:ascii="Times New Roman" w:hAnsi="Times New Roman"/>
                <w:b/>
                <w:sz w:val="24"/>
                <w:szCs w:val="24"/>
              </w:rPr>
              <w:t>PET (%)</w:t>
            </w:r>
          </w:p>
        </w:tc>
      </w:tr>
      <w:tr w:rsidR="00C20150" w:rsidRPr="00B646F2" w:rsidTr="007E71D0">
        <w:trPr>
          <w:trHeight w:val="260"/>
          <w:jc w:val="center"/>
        </w:trPr>
        <w:tc>
          <w:tcPr>
            <w:tcW w:w="1226" w:type="dxa"/>
            <w:vMerge/>
            <w:tcBorders>
              <w:bottom w:val="single" w:sz="4" w:space="0" w:color="auto"/>
            </w:tcBorders>
            <w:vAlign w:val="center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6" w:type="dxa"/>
            <w:tcBorders>
              <w:bottom w:val="single" w:sz="4" w:space="0" w:color="auto"/>
            </w:tcBorders>
            <w:vAlign w:val="center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6F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vAlign w:val="center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6F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vAlign w:val="center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6F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vAlign w:val="center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6F2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vAlign w:val="center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6F2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vAlign w:val="center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6F2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vAlign w:val="center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6F2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</w:tr>
      <w:tr w:rsidR="00C20150" w:rsidRPr="00B646F2" w:rsidTr="007E71D0">
        <w:trPr>
          <w:jc w:val="center"/>
        </w:trPr>
        <w:tc>
          <w:tcPr>
            <w:tcW w:w="1226" w:type="dxa"/>
            <w:tcBorders>
              <w:top w:val="single" w:sz="4" w:space="0" w:color="auto"/>
            </w:tcBorders>
            <w:vAlign w:val="center"/>
            <w:hideMark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5.0</w:t>
            </w:r>
          </w:p>
        </w:tc>
        <w:tc>
          <w:tcPr>
            <w:tcW w:w="876" w:type="dxa"/>
            <w:tcBorders>
              <w:top w:val="single" w:sz="4" w:space="0" w:color="auto"/>
            </w:tcBorders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90.14</w:t>
            </w:r>
          </w:p>
        </w:tc>
        <w:tc>
          <w:tcPr>
            <w:tcW w:w="876" w:type="dxa"/>
            <w:tcBorders>
              <w:top w:val="single" w:sz="4" w:space="0" w:color="auto"/>
            </w:tcBorders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91.59</w:t>
            </w:r>
          </w:p>
        </w:tc>
        <w:tc>
          <w:tcPr>
            <w:tcW w:w="876" w:type="dxa"/>
            <w:tcBorders>
              <w:top w:val="single" w:sz="4" w:space="0" w:color="auto"/>
            </w:tcBorders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93.76</w:t>
            </w:r>
          </w:p>
        </w:tc>
        <w:tc>
          <w:tcPr>
            <w:tcW w:w="876" w:type="dxa"/>
            <w:tcBorders>
              <w:top w:val="single" w:sz="4" w:space="0" w:color="auto"/>
            </w:tcBorders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94.89</w:t>
            </w:r>
          </w:p>
        </w:tc>
        <w:tc>
          <w:tcPr>
            <w:tcW w:w="876" w:type="dxa"/>
            <w:tcBorders>
              <w:top w:val="single" w:sz="4" w:space="0" w:color="auto"/>
            </w:tcBorders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95.41</w:t>
            </w:r>
          </w:p>
        </w:tc>
        <w:tc>
          <w:tcPr>
            <w:tcW w:w="876" w:type="dxa"/>
            <w:tcBorders>
              <w:top w:val="single" w:sz="4" w:space="0" w:color="auto"/>
            </w:tcBorders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96.28</w:t>
            </w:r>
          </w:p>
        </w:tc>
        <w:tc>
          <w:tcPr>
            <w:tcW w:w="876" w:type="dxa"/>
            <w:tcBorders>
              <w:top w:val="single" w:sz="4" w:space="0" w:color="auto"/>
            </w:tcBorders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97.46</w:t>
            </w:r>
          </w:p>
        </w:tc>
      </w:tr>
      <w:tr w:rsidR="00C20150" w:rsidRPr="00B646F2" w:rsidTr="007E71D0">
        <w:trPr>
          <w:jc w:val="center"/>
        </w:trPr>
        <w:tc>
          <w:tcPr>
            <w:tcW w:w="1226" w:type="dxa"/>
            <w:vAlign w:val="center"/>
            <w:hideMark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89.28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90.48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91.89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93.16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94.58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95.73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95.92</w:t>
            </w:r>
          </w:p>
        </w:tc>
      </w:tr>
      <w:tr w:rsidR="00C20150" w:rsidRPr="00B646F2" w:rsidTr="007E71D0">
        <w:trPr>
          <w:jc w:val="center"/>
        </w:trPr>
        <w:tc>
          <w:tcPr>
            <w:tcW w:w="1226" w:type="dxa"/>
            <w:vAlign w:val="center"/>
            <w:hideMark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5.4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88.26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90.12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92.32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93.45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94.65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95.96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96.23</w:t>
            </w:r>
          </w:p>
        </w:tc>
      </w:tr>
      <w:tr w:rsidR="00C20150" w:rsidRPr="00B646F2" w:rsidTr="007E71D0">
        <w:trPr>
          <w:jc w:val="center"/>
        </w:trPr>
        <w:tc>
          <w:tcPr>
            <w:tcW w:w="1226" w:type="dxa"/>
            <w:vAlign w:val="center"/>
            <w:hideMark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5.6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86.94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87.25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88.56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90.17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91.35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91.89</w:t>
            </w:r>
          </w:p>
        </w:tc>
        <w:tc>
          <w:tcPr>
            <w:tcW w:w="876" w:type="dxa"/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92.03</w:t>
            </w:r>
          </w:p>
        </w:tc>
      </w:tr>
      <w:tr w:rsidR="00C20150" w:rsidRPr="00B646F2" w:rsidTr="007E71D0">
        <w:trPr>
          <w:jc w:val="center"/>
        </w:trPr>
        <w:tc>
          <w:tcPr>
            <w:tcW w:w="1226" w:type="dxa"/>
            <w:tcBorders>
              <w:bottom w:val="single" w:sz="4" w:space="0" w:color="auto"/>
            </w:tcBorders>
            <w:vAlign w:val="center"/>
            <w:hideMark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5.8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85.46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86.24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86.95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87.58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88.09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89.43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vAlign w:val="bottom"/>
          </w:tcPr>
          <w:p w:rsidR="00C20150" w:rsidRPr="00B646F2" w:rsidRDefault="00C20150" w:rsidP="007E71D0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6F2">
              <w:rPr>
                <w:rFonts w:ascii="Times New Roman" w:hAnsi="Times New Roman"/>
                <w:sz w:val="24"/>
                <w:szCs w:val="24"/>
              </w:rPr>
              <w:t>90.28</w:t>
            </w:r>
          </w:p>
        </w:tc>
      </w:tr>
    </w:tbl>
    <w:p w:rsidR="00B41D6C" w:rsidRDefault="00B41D6C"/>
    <w:sectPr w:rsidR="00B41D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150"/>
    <w:rsid w:val="00010CDE"/>
    <w:rsid w:val="000502BD"/>
    <w:rsid w:val="0047216E"/>
    <w:rsid w:val="00B41D6C"/>
    <w:rsid w:val="00C20150"/>
    <w:rsid w:val="00E24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7A5CA3-18F6-4666-9437-9DA7D180A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0150"/>
    <w:pPr>
      <w:spacing w:after="0" w:line="280" w:lineRule="atLeast"/>
      <w:jc w:val="both"/>
    </w:pPr>
    <w:rPr>
      <w:rFonts w:ascii="Palatino Linotype" w:eastAsia="SimSun" w:hAnsi="Palatino Linotype" w:cs="Times New Roman"/>
      <w:noProof/>
      <w:color w:val="000000"/>
      <w:kern w:val="0"/>
      <w:sz w:val="20"/>
      <w:szCs w:val="20"/>
      <w:lang w:val="en-US"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0150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en-IN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0150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en-IN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0150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en-IN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0150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2"/>
      <w:szCs w:val="22"/>
      <w:lang w:val="en-IN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0150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2"/>
      <w:szCs w:val="22"/>
      <w:lang w:val="en-IN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0150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:lang w:val="en-IN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0150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:lang w:val="en-IN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0150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:lang w:val="en-IN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0150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:lang w:val="en-IN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01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01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01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015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015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01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01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01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01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0150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noProof w:val="0"/>
      <w:color w:val="auto"/>
      <w:spacing w:val="-10"/>
      <w:kern w:val="28"/>
      <w:sz w:val="56"/>
      <w:szCs w:val="56"/>
      <w:lang w:val="en-IN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201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0150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en-IN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201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015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:lang w:val="en-IN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201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0150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noProof w:val="0"/>
      <w:color w:val="auto"/>
      <w:kern w:val="2"/>
      <w:sz w:val="22"/>
      <w:szCs w:val="22"/>
      <w:lang w:val="en-IN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2015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01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sz w:val="22"/>
      <w:szCs w:val="22"/>
      <w:lang w:val="en-IN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015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015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C20150"/>
    <w:pPr>
      <w:spacing w:after="0" w:line="260" w:lineRule="atLeast"/>
      <w:jc w:val="both"/>
    </w:pPr>
    <w:rPr>
      <w:rFonts w:ascii="Palatino Linotype" w:eastAsia="SimSun" w:hAnsi="Palatino Linotype" w:cs="Times New Roman"/>
      <w:color w:val="000000"/>
      <w:kern w:val="0"/>
      <w:sz w:val="20"/>
      <w:szCs w:val="20"/>
      <w:lang w:val="en-US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PI31text">
    <w:name w:val="MDPI_3.1_text"/>
    <w:qFormat/>
    <w:rsid w:val="00C20150"/>
    <w:pPr>
      <w:adjustRightInd w:val="0"/>
      <w:snapToGrid w:val="0"/>
      <w:spacing w:after="0" w:line="280" w:lineRule="atLeast"/>
      <w:ind w:left="2608"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20"/>
      <w:lang w:val="en-US" w:eastAsia="de-DE" w:bidi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parveen berwal</dc:creator>
  <cp:keywords/>
  <dc:description/>
  <cp:lastModifiedBy>parveen berwal</cp:lastModifiedBy>
  <cp:revision>1</cp:revision>
  <dcterms:created xsi:type="dcterms:W3CDTF">2025-03-05T08:49:00Z</dcterms:created>
  <dcterms:modified xsi:type="dcterms:W3CDTF">2025-03-05T08:50:00Z</dcterms:modified>
</cp:coreProperties>
</file>