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6BFE36" w14:textId="5EA28F2A" w:rsidR="00C71FC2" w:rsidRPr="00115D8A" w:rsidRDefault="007A02D5" w:rsidP="009558EF">
      <w:pPr>
        <w:spacing w:line="240" w:lineRule="auto"/>
        <w:ind w:left="-180"/>
        <w:jc w:val="both"/>
        <w:rPr>
          <w:rFonts w:ascii="Times New Roman" w:hAnsi="Times New Roman" w:cs="Times New Roman"/>
          <w:b/>
          <w:bCs/>
          <w:color w:val="000000" w:themeColor="text1"/>
        </w:rPr>
      </w:pPr>
      <w:bookmarkStart w:id="0" w:name="_Hlk190251473"/>
      <w:r w:rsidRPr="00115D8A">
        <w:rPr>
          <w:rFonts w:ascii="Times New Roman" w:hAnsi="Times New Roman" w:cs="Times New Roman"/>
          <w:b/>
          <w:color w:val="000000" w:themeColor="text1"/>
          <w:shd w:val="clear" w:color="auto" w:fill="FFFFFF"/>
        </w:rPr>
        <w:t>A Review on internal decaying in Tectona (teak) trees during plantation, wood harvesting and processing issues</w:t>
      </w:r>
      <w:r w:rsidR="007D28EC" w:rsidRPr="00115D8A">
        <w:rPr>
          <w:rFonts w:ascii="Times New Roman" w:hAnsi="Times New Roman" w:cs="Times New Roman"/>
          <w:b/>
          <w:bCs/>
          <w:color w:val="000000" w:themeColor="text1"/>
        </w:rPr>
        <w:t xml:space="preserve"> </w:t>
      </w:r>
    </w:p>
    <w:p w14:paraId="170A1037" w14:textId="77777777" w:rsidR="00C71FC2" w:rsidRPr="007F21E1" w:rsidRDefault="00463DCD" w:rsidP="009558EF">
      <w:pPr>
        <w:spacing w:line="240" w:lineRule="auto"/>
        <w:ind w:left="-180"/>
        <w:jc w:val="both"/>
        <w:rPr>
          <w:rFonts w:ascii="Times New Roman" w:hAnsi="Times New Roman" w:cs="Times New Roman"/>
          <w:b/>
          <w:bCs/>
        </w:rPr>
      </w:pPr>
      <w:r w:rsidRPr="007F21E1">
        <w:rPr>
          <w:rFonts w:ascii="Times New Roman" w:hAnsi="Times New Roman" w:cs="Times New Roman"/>
          <w:b/>
          <w:bCs/>
        </w:rPr>
        <w:t>Abstract:</w:t>
      </w:r>
    </w:p>
    <w:p w14:paraId="4CD96133" w14:textId="003966AD" w:rsidR="0081149E" w:rsidRPr="007F21E1" w:rsidRDefault="0081149E" w:rsidP="009558EF">
      <w:pPr>
        <w:spacing w:line="240" w:lineRule="auto"/>
        <w:ind w:left="-180"/>
        <w:jc w:val="both"/>
        <w:rPr>
          <w:rFonts w:ascii="Times New Roman" w:hAnsi="Times New Roman" w:cs="Times New Roman"/>
        </w:rPr>
      </w:pPr>
      <w:r w:rsidRPr="007F21E1">
        <w:rPr>
          <w:rFonts w:ascii="Times New Roman" w:hAnsi="Times New Roman" w:cs="Times New Roman"/>
        </w:rPr>
        <w:t>Teak (</w:t>
      </w:r>
      <w:r w:rsidRPr="009558EF">
        <w:rPr>
          <w:rFonts w:ascii="Times New Roman" w:hAnsi="Times New Roman" w:cs="Times New Roman"/>
          <w:i/>
          <w:iCs/>
        </w:rPr>
        <w:t>Tectona grandis</w:t>
      </w:r>
      <w:r w:rsidRPr="009558EF">
        <w:rPr>
          <w:rFonts w:ascii="Times New Roman" w:hAnsi="Times New Roman" w:cs="Times New Roman"/>
        </w:rPr>
        <w:t>) is</w:t>
      </w:r>
      <w:r w:rsidRPr="007F21E1">
        <w:rPr>
          <w:rFonts w:ascii="Times New Roman" w:hAnsi="Times New Roman" w:cs="Times New Roman"/>
        </w:rPr>
        <w:t xml:space="preserve"> a highly valued tropical hardwood known for its exceptional timber quality and </w:t>
      </w:r>
      <w:r w:rsidR="00EC184C" w:rsidRPr="007F21E1">
        <w:rPr>
          <w:rFonts w:ascii="Times New Roman" w:hAnsi="Times New Roman" w:cs="Times New Roman"/>
        </w:rPr>
        <w:t>wide</w:t>
      </w:r>
      <w:r w:rsidR="00EC184C">
        <w:rPr>
          <w:rFonts w:ascii="Times New Roman" w:hAnsi="Times New Roman" w:cs="Times New Roman"/>
        </w:rPr>
        <w:t>ly</w:t>
      </w:r>
      <w:r w:rsidRPr="007F21E1">
        <w:rPr>
          <w:rFonts w:ascii="Times New Roman" w:hAnsi="Times New Roman" w:cs="Times New Roman"/>
        </w:rPr>
        <w:t xml:space="preserve"> use</w:t>
      </w:r>
      <w:r w:rsidR="00EC184C">
        <w:rPr>
          <w:rFonts w:ascii="Times New Roman" w:hAnsi="Times New Roman" w:cs="Times New Roman"/>
        </w:rPr>
        <w:t>d</w:t>
      </w:r>
      <w:r w:rsidRPr="007F21E1">
        <w:rPr>
          <w:rFonts w:ascii="Times New Roman" w:hAnsi="Times New Roman" w:cs="Times New Roman"/>
        </w:rPr>
        <w:t xml:space="preserve"> in various industries. The increasing global demand has led to a shift towards plantation cultivation, particularly fast-growing varieties with shorter rotation cycles. However, this transition raises concerns about wood quality, especially regarding heartwood development, decay resistance, and durability. Internal decay in plantation-grown teak, primarily caused by fungal infestations, is a significant concern due to its direct impact on wood quality, structural integrity, and market value. Teak's decay resistance varies across the tree, with mature heartwood exhibiting greater resistance. Plantation-grown teak tends to have less mature heartwood due to shorter growth cycles, increasing the risk of fungal degradation and reducing durability. Environmental factors, such as geographical location and site conditions, also play a critical role in determining decay resistance. This analysis investigates the primary elements contributing to internal decay in teak plantations, focusing on heartwood </w:t>
      </w:r>
      <w:r w:rsidRPr="009558EF">
        <w:rPr>
          <w:rFonts w:ascii="Times New Roman" w:hAnsi="Times New Roman" w:cs="Times New Roman"/>
        </w:rPr>
        <w:t>development, extractives, fungi, environmental factors,</w:t>
      </w:r>
      <w:r w:rsidRPr="007F21E1">
        <w:rPr>
          <w:rFonts w:ascii="Times New Roman" w:hAnsi="Times New Roman" w:cs="Times New Roman"/>
        </w:rPr>
        <w:t xml:space="preserve"> and forestry practices. It </w:t>
      </w:r>
      <w:r w:rsidR="00EC184C" w:rsidRPr="007F21E1">
        <w:rPr>
          <w:rFonts w:ascii="Times New Roman" w:hAnsi="Times New Roman" w:cs="Times New Roman"/>
        </w:rPr>
        <w:t>evaluates</w:t>
      </w:r>
      <w:r w:rsidRPr="007F21E1">
        <w:rPr>
          <w:rFonts w:ascii="Times New Roman" w:hAnsi="Times New Roman" w:cs="Times New Roman"/>
        </w:rPr>
        <w:t xml:space="preserve"> how these components influence decay resistance and wood quality, emphasizing the consequences for wood use, processing, and marketability. The study aims to </w:t>
      </w:r>
      <w:r w:rsidR="00EC184C" w:rsidRPr="007F21E1">
        <w:rPr>
          <w:rFonts w:ascii="Times New Roman" w:hAnsi="Times New Roman" w:cs="Times New Roman"/>
        </w:rPr>
        <w:t>reveal</w:t>
      </w:r>
      <w:r w:rsidRPr="007F21E1">
        <w:rPr>
          <w:rFonts w:ascii="Times New Roman" w:hAnsi="Times New Roman" w:cs="Times New Roman"/>
        </w:rPr>
        <w:t xml:space="preserve"> methods for boosting decay resistance and enhancing the sustainability and economic feasibility of teak plantation forestry by examining current research and innovations in teak forestry and wood science. </w:t>
      </w:r>
      <w:r w:rsidRPr="00EC184C">
        <w:rPr>
          <w:rFonts w:ascii="Times New Roman" w:hAnsi="Times New Roman" w:cs="Times New Roman"/>
          <w:highlight w:val="yellow"/>
        </w:rPr>
        <w:t xml:space="preserve">The paper will discuss the biological and chemical processes underlying heartwood formation in teak, evaluate factors affecting decay resistance in plantation settings, and investigate the effects of forestry practices in </w:t>
      </w:r>
      <w:r w:rsidR="00EC184C" w:rsidRPr="00EC184C">
        <w:rPr>
          <w:rFonts w:ascii="Times New Roman" w:hAnsi="Times New Roman" w:cs="Times New Roman"/>
          <w:highlight w:val="yellow"/>
        </w:rPr>
        <w:t>contesting</w:t>
      </w:r>
      <w:r w:rsidRPr="00EC184C">
        <w:rPr>
          <w:rFonts w:ascii="Times New Roman" w:hAnsi="Times New Roman" w:cs="Times New Roman"/>
          <w:highlight w:val="yellow"/>
        </w:rPr>
        <w:t xml:space="preserve"> internal decay.</w:t>
      </w:r>
      <w:r w:rsidRPr="007F21E1">
        <w:rPr>
          <w:rFonts w:ascii="Times New Roman" w:hAnsi="Times New Roman" w:cs="Times New Roman"/>
        </w:rPr>
        <w:t xml:space="preserve"> Potential approaches to reduce decay, enhance wood quality, and increase the economic value of teak plantations will be explored.</w:t>
      </w:r>
    </w:p>
    <w:p w14:paraId="120BAD2D" w14:textId="3F7CA10F" w:rsidR="007D28EC" w:rsidRPr="007D28EC" w:rsidRDefault="00463DCD" w:rsidP="009558EF">
      <w:pPr>
        <w:spacing w:line="240" w:lineRule="auto"/>
        <w:ind w:left="-180"/>
        <w:jc w:val="both"/>
        <w:rPr>
          <w:rFonts w:ascii="Times New Roman" w:hAnsi="Times New Roman" w:cs="Times New Roman"/>
        </w:rPr>
      </w:pPr>
      <w:r w:rsidRPr="007F21E1">
        <w:rPr>
          <w:rFonts w:ascii="Times New Roman" w:hAnsi="Times New Roman" w:cs="Times New Roman"/>
          <w:b/>
          <w:bCs/>
        </w:rPr>
        <w:t>Keywords:</w:t>
      </w:r>
      <w:r w:rsidR="007A02D5" w:rsidRPr="007A02D5">
        <w:rPr>
          <w:rFonts w:ascii="Times New Roman" w:hAnsi="Times New Roman" w:cs="Times New Roman"/>
        </w:rPr>
        <w:t xml:space="preserve"> </w:t>
      </w:r>
      <w:r w:rsidR="007A02D5" w:rsidRPr="007D28EC">
        <w:rPr>
          <w:rFonts w:ascii="Times New Roman" w:hAnsi="Times New Roman" w:cs="Times New Roman"/>
        </w:rPr>
        <w:t>Durability</w:t>
      </w:r>
      <w:r w:rsidR="007A02D5">
        <w:rPr>
          <w:rFonts w:ascii="Times New Roman" w:hAnsi="Times New Roman" w:cs="Times New Roman"/>
        </w:rPr>
        <w:t xml:space="preserve">, </w:t>
      </w:r>
      <w:r w:rsidR="007A02D5" w:rsidRPr="007D28EC">
        <w:rPr>
          <w:rFonts w:ascii="Times New Roman" w:hAnsi="Times New Roman" w:cs="Times New Roman"/>
        </w:rPr>
        <w:t>Decay resistance</w:t>
      </w:r>
      <w:r w:rsidR="007A02D5">
        <w:rPr>
          <w:rFonts w:ascii="Times New Roman" w:hAnsi="Times New Roman" w:cs="Times New Roman"/>
        </w:rPr>
        <w:t>,</w:t>
      </w:r>
      <w:r w:rsidR="007A02D5" w:rsidRPr="007A02D5">
        <w:rPr>
          <w:rFonts w:ascii="Times New Roman" w:hAnsi="Times New Roman" w:cs="Times New Roman"/>
        </w:rPr>
        <w:t xml:space="preserve"> </w:t>
      </w:r>
      <w:r w:rsidR="007A02D5" w:rsidRPr="007D28EC">
        <w:rPr>
          <w:rFonts w:ascii="Times New Roman" w:hAnsi="Times New Roman" w:cs="Times New Roman"/>
        </w:rPr>
        <w:t>Extractives</w:t>
      </w:r>
      <w:r w:rsidR="007A02D5">
        <w:rPr>
          <w:rFonts w:ascii="Times New Roman" w:hAnsi="Times New Roman" w:cs="Times New Roman"/>
        </w:rPr>
        <w:t xml:space="preserve">, </w:t>
      </w:r>
      <w:r w:rsidR="007A02D5" w:rsidRPr="007D28EC">
        <w:rPr>
          <w:rFonts w:ascii="Times New Roman" w:hAnsi="Times New Roman" w:cs="Times New Roman"/>
        </w:rPr>
        <w:t>Environmental factors</w:t>
      </w:r>
      <w:r w:rsidR="007A02D5">
        <w:rPr>
          <w:rFonts w:ascii="Times New Roman" w:hAnsi="Times New Roman" w:cs="Times New Roman"/>
        </w:rPr>
        <w:t>, Fungal infestations,</w:t>
      </w:r>
      <w:r w:rsidR="007A02D5" w:rsidRPr="007F21E1">
        <w:rPr>
          <w:rFonts w:ascii="Times New Roman" w:hAnsi="Times New Roman" w:cs="Times New Roman"/>
          <w:b/>
          <w:bCs/>
        </w:rPr>
        <w:t xml:space="preserve"> </w:t>
      </w:r>
      <w:r w:rsidR="007A02D5" w:rsidRPr="007D28EC">
        <w:rPr>
          <w:rFonts w:ascii="Times New Roman" w:hAnsi="Times New Roman" w:cs="Times New Roman"/>
        </w:rPr>
        <w:t>Internal decay</w:t>
      </w:r>
      <w:r w:rsidR="00387EF6" w:rsidRPr="007F21E1">
        <w:rPr>
          <w:rFonts w:ascii="Times New Roman" w:hAnsi="Times New Roman" w:cs="Times New Roman"/>
        </w:rPr>
        <w:t>,</w:t>
      </w:r>
      <w:r w:rsidR="007D28EC">
        <w:rPr>
          <w:rFonts w:ascii="Times New Roman" w:hAnsi="Times New Roman" w:cs="Times New Roman"/>
        </w:rPr>
        <w:t xml:space="preserve"> </w:t>
      </w:r>
      <w:r w:rsidR="007A02D5">
        <w:rPr>
          <w:rFonts w:ascii="Times New Roman" w:hAnsi="Times New Roman" w:cs="Times New Roman"/>
        </w:rPr>
        <w:t xml:space="preserve">Heartwood, </w:t>
      </w:r>
      <w:r w:rsidR="007A02D5" w:rsidRPr="007F21E1">
        <w:rPr>
          <w:rFonts w:ascii="Times New Roman" w:hAnsi="Times New Roman" w:cs="Times New Roman"/>
        </w:rPr>
        <w:t>Teak</w:t>
      </w:r>
      <w:r w:rsidR="007A02D5" w:rsidRPr="007D28EC">
        <w:rPr>
          <w:rFonts w:ascii="Times New Roman" w:hAnsi="Times New Roman" w:cs="Times New Roman"/>
        </w:rPr>
        <w:t>, Teak</w:t>
      </w:r>
      <w:r w:rsidR="007A02D5">
        <w:rPr>
          <w:rFonts w:ascii="Times New Roman" w:hAnsi="Times New Roman" w:cs="Times New Roman"/>
        </w:rPr>
        <w:t xml:space="preserve"> plantations, </w:t>
      </w:r>
      <w:r w:rsidR="007A02D5" w:rsidRPr="007D28EC">
        <w:rPr>
          <w:rFonts w:ascii="Times New Roman" w:hAnsi="Times New Roman" w:cs="Times New Roman"/>
        </w:rPr>
        <w:t xml:space="preserve">Wood quality </w:t>
      </w:r>
    </w:p>
    <w:p w14:paraId="1A4EE757" w14:textId="77777777" w:rsidR="00C71FC2" w:rsidRPr="007F21E1" w:rsidRDefault="005C2D82" w:rsidP="009558EF">
      <w:pPr>
        <w:spacing w:line="240" w:lineRule="auto"/>
        <w:ind w:left="-180"/>
        <w:jc w:val="both"/>
        <w:rPr>
          <w:rFonts w:ascii="Times New Roman" w:hAnsi="Times New Roman" w:cs="Times New Roman"/>
          <w:b/>
          <w:bCs/>
        </w:rPr>
      </w:pPr>
      <w:r w:rsidRPr="007F21E1">
        <w:rPr>
          <w:rFonts w:ascii="Times New Roman" w:hAnsi="Times New Roman" w:cs="Times New Roman"/>
          <w:b/>
          <w:bCs/>
        </w:rPr>
        <w:t>Introduction</w:t>
      </w:r>
      <w:r w:rsidR="00463DCD" w:rsidRPr="007F21E1">
        <w:rPr>
          <w:rFonts w:ascii="Times New Roman" w:hAnsi="Times New Roman" w:cs="Times New Roman"/>
          <w:b/>
          <w:bCs/>
        </w:rPr>
        <w:t>:</w:t>
      </w:r>
      <w:r w:rsidR="00D44123" w:rsidRPr="007F21E1">
        <w:rPr>
          <w:rFonts w:ascii="Times New Roman" w:hAnsi="Times New Roman" w:cs="Times New Roman"/>
          <w:b/>
          <w:bCs/>
        </w:rPr>
        <w:t xml:space="preserve"> </w:t>
      </w:r>
    </w:p>
    <w:bookmarkEnd w:id="0"/>
    <w:p w14:paraId="478E2781" w14:textId="6EF105FA" w:rsidR="00DD62E1" w:rsidRPr="007F21E1" w:rsidRDefault="00387EF6" w:rsidP="009558EF">
      <w:pPr>
        <w:spacing w:before="100" w:beforeAutospacing="1" w:after="100" w:afterAutospacing="1" w:line="240" w:lineRule="auto"/>
        <w:ind w:left="-180"/>
        <w:jc w:val="both"/>
        <w:rPr>
          <w:rFonts w:ascii="Times New Roman" w:eastAsia="Times New Roman" w:hAnsi="Times New Roman" w:cs="Times New Roman"/>
          <w:kern w:val="0"/>
          <w:lang w:val="en-US"/>
          <w14:ligatures w14:val="none"/>
        </w:rPr>
      </w:pPr>
      <w:r w:rsidRPr="007F21E1">
        <w:rPr>
          <w:rFonts w:ascii="Times New Roman" w:eastAsia="Times New Roman" w:hAnsi="Times New Roman" w:cs="Times New Roman"/>
          <w:kern w:val="0"/>
          <w:lang w:val="en-US"/>
          <w14:ligatures w14:val="none"/>
        </w:rPr>
        <w:t>Teak (</w:t>
      </w:r>
      <w:r w:rsidR="001928ED" w:rsidRPr="007F21E1">
        <w:rPr>
          <w:rFonts w:ascii="Times New Roman" w:eastAsia="Times New Roman" w:hAnsi="Times New Roman" w:cs="Times New Roman"/>
          <w:i/>
          <w:iCs/>
          <w:kern w:val="0"/>
          <w:lang w:val="en-US"/>
          <w14:ligatures w14:val="none"/>
        </w:rPr>
        <w:t>Tectona grandis</w:t>
      </w:r>
      <w:r w:rsidR="001928ED" w:rsidRPr="007F21E1">
        <w:rPr>
          <w:rFonts w:ascii="Times New Roman" w:eastAsia="Times New Roman" w:hAnsi="Times New Roman" w:cs="Times New Roman"/>
          <w:kern w:val="0"/>
          <w:lang w:val="en-US"/>
          <w14:ligatures w14:val="none"/>
        </w:rPr>
        <w:t xml:space="preserve">) a </w:t>
      </w:r>
      <w:r w:rsidR="00EC184C" w:rsidRPr="007F21E1">
        <w:rPr>
          <w:rFonts w:ascii="Times New Roman" w:eastAsia="Times New Roman" w:hAnsi="Times New Roman" w:cs="Times New Roman"/>
          <w:kern w:val="0"/>
          <w:lang w:val="en-US"/>
          <w14:ligatures w14:val="none"/>
        </w:rPr>
        <w:t>high-quality</w:t>
      </w:r>
      <w:r w:rsidR="001928ED" w:rsidRPr="007F21E1">
        <w:rPr>
          <w:rFonts w:ascii="Times New Roman" w:eastAsia="Times New Roman" w:hAnsi="Times New Roman" w:cs="Times New Roman"/>
          <w:kern w:val="0"/>
          <w:lang w:val="en-US"/>
          <w14:ligatures w14:val="none"/>
        </w:rPr>
        <w:t xml:space="preserve"> tropical hardwood, is renowned for its exceptional timber quality and is extensively used in furniture manufacturing, shipbuilding, and construction industries. Cultivated in more than 70 countries, teak's significance stems from its exceptional longevity and resistance to </w:t>
      </w:r>
      <w:r w:rsidRPr="007F21E1">
        <w:rPr>
          <w:rFonts w:ascii="Times New Roman" w:eastAsia="Times New Roman" w:hAnsi="Times New Roman" w:cs="Times New Roman"/>
          <w:kern w:val="0"/>
          <w:lang w:val="en-US"/>
          <w14:ligatures w14:val="none"/>
        </w:rPr>
        <w:t>deterioration (</w:t>
      </w:r>
      <w:r w:rsidR="001928ED" w:rsidRPr="007F21E1">
        <w:rPr>
          <w:rFonts w:ascii="Times New Roman" w:eastAsia="Times New Roman" w:hAnsi="Times New Roman" w:cs="Times New Roman"/>
          <w:kern w:val="0"/>
          <w:lang w:val="en-US"/>
          <w14:ligatures w14:val="none"/>
        </w:rPr>
        <w:t xml:space="preserve">Moya </w:t>
      </w:r>
      <w:r w:rsidR="001928ED" w:rsidRPr="00EC184C">
        <w:rPr>
          <w:rFonts w:ascii="Times New Roman" w:eastAsia="Times New Roman" w:hAnsi="Times New Roman" w:cs="Times New Roman"/>
          <w:i/>
          <w:iCs/>
          <w:kern w:val="0"/>
          <w:lang w:val="en-US"/>
          <w14:ligatures w14:val="none"/>
        </w:rPr>
        <w:t>et al.,</w:t>
      </w:r>
      <w:r w:rsidR="001928ED" w:rsidRPr="007F21E1">
        <w:rPr>
          <w:rFonts w:ascii="Times New Roman" w:eastAsia="Times New Roman" w:hAnsi="Times New Roman" w:cs="Times New Roman"/>
          <w:kern w:val="0"/>
          <w:lang w:val="en-US"/>
          <w14:ligatures w14:val="none"/>
        </w:rPr>
        <w:t xml:space="preserve"> 2014; </w:t>
      </w:r>
      <w:proofErr w:type="spellStart"/>
      <w:r w:rsidR="001928ED" w:rsidRPr="007F21E1">
        <w:rPr>
          <w:rFonts w:ascii="Times New Roman" w:eastAsia="Times New Roman" w:hAnsi="Times New Roman" w:cs="Times New Roman"/>
          <w:kern w:val="0"/>
          <w:lang w:val="en-US"/>
          <w14:ligatures w14:val="none"/>
        </w:rPr>
        <w:t>Prasetyo</w:t>
      </w:r>
      <w:proofErr w:type="spellEnd"/>
      <w:r w:rsidR="001928ED" w:rsidRPr="007F21E1">
        <w:rPr>
          <w:rFonts w:ascii="Times New Roman" w:eastAsia="Times New Roman" w:hAnsi="Times New Roman" w:cs="Times New Roman"/>
          <w:kern w:val="0"/>
          <w:lang w:val="en-US"/>
          <w14:ligatures w14:val="none"/>
        </w:rPr>
        <w:t xml:space="preserve"> </w:t>
      </w:r>
      <w:r w:rsidR="001928ED" w:rsidRPr="00EC184C">
        <w:rPr>
          <w:rFonts w:ascii="Times New Roman" w:eastAsia="Times New Roman" w:hAnsi="Times New Roman" w:cs="Times New Roman"/>
          <w:i/>
          <w:iCs/>
          <w:kern w:val="0"/>
          <w:lang w:val="en-US"/>
          <w14:ligatures w14:val="none"/>
        </w:rPr>
        <w:t>et al.,</w:t>
      </w:r>
      <w:r w:rsidR="001928ED" w:rsidRPr="007F21E1">
        <w:rPr>
          <w:rFonts w:ascii="Times New Roman" w:eastAsia="Times New Roman" w:hAnsi="Times New Roman" w:cs="Times New Roman"/>
          <w:kern w:val="0"/>
          <w:lang w:val="en-US"/>
          <w14:ligatures w14:val="none"/>
        </w:rPr>
        <w:t xml:space="preserve"> 2020). While traditionally sourced from natural forests, the increasing global demand has led to a shift towards cultivati</w:t>
      </w:r>
      <w:r w:rsidR="00C26CBC">
        <w:rPr>
          <w:rFonts w:ascii="Times New Roman" w:eastAsia="Times New Roman" w:hAnsi="Times New Roman" w:cs="Times New Roman"/>
          <w:kern w:val="0"/>
          <w:lang w:val="en-US"/>
          <w14:ligatures w14:val="none"/>
        </w:rPr>
        <w:t>ng plantation</w:t>
      </w:r>
      <w:r w:rsidR="001928ED" w:rsidRPr="007F21E1">
        <w:rPr>
          <w:rFonts w:ascii="Times New Roman" w:eastAsia="Times New Roman" w:hAnsi="Times New Roman" w:cs="Times New Roman"/>
          <w:kern w:val="0"/>
          <w:lang w:val="en-US"/>
          <w14:ligatures w14:val="none"/>
        </w:rPr>
        <w:t xml:space="preserve">, particularly fast-growing varieties. In contrast to the conventional </w:t>
      </w:r>
      <w:r w:rsidRPr="007F21E1">
        <w:rPr>
          <w:rFonts w:ascii="Times New Roman" w:eastAsia="Times New Roman" w:hAnsi="Times New Roman" w:cs="Times New Roman"/>
          <w:kern w:val="0"/>
          <w:lang w:val="en-US"/>
          <w14:ligatures w14:val="none"/>
        </w:rPr>
        <w:t>40–60</w:t>
      </w:r>
      <w:r w:rsidR="00C26CBC">
        <w:rPr>
          <w:rFonts w:ascii="Times New Roman" w:eastAsia="Times New Roman" w:hAnsi="Times New Roman" w:cs="Times New Roman"/>
          <w:kern w:val="0"/>
          <w:lang w:val="en-US"/>
          <w14:ligatures w14:val="none"/>
        </w:rPr>
        <w:t xml:space="preserve"> </w:t>
      </w:r>
      <w:r w:rsidRPr="007F21E1">
        <w:rPr>
          <w:rFonts w:ascii="Times New Roman" w:eastAsia="Times New Roman" w:hAnsi="Times New Roman" w:cs="Times New Roman"/>
          <w:kern w:val="0"/>
          <w:lang w:val="en-US"/>
          <w14:ligatures w14:val="none"/>
        </w:rPr>
        <w:t>year</w:t>
      </w:r>
      <w:r w:rsidR="00C26CBC">
        <w:rPr>
          <w:rFonts w:ascii="Times New Roman" w:eastAsia="Times New Roman" w:hAnsi="Times New Roman" w:cs="Times New Roman"/>
          <w:kern w:val="0"/>
          <w:lang w:val="en-US"/>
          <w14:ligatures w14:val="none"/>
        </w:rPr>
        <w:t>s</w:t>
      </w:r>
      <w:r w:rsidR="001928ED" w:rsidRPr="007F21E1">
        <w:rPr>
          <w:rFonts w:ascii="Times New Roman" w:eastAsia="Times New Roman" w:hAnsi="Times New Roman" w:cs="Times New Roman"/>
          <w:kern w:val="0"/>
          <w:lang w:val="en-US"/>
          <w14:ligatures w14:val="none"/>
        </w:rPr>
        <w:t xml:space="preserve"> rotation cycles in state-managed forests, these plantations typically operate on </w:t>
      </w:r>
      <w:r w:rsidRPr="007F21E1">
        <w:rPr>
          <w:rFonts w:ascii="Times New Roman" w:eastAsia="Times New Roman" w:hAnsi="Times New Roman" w:cs="Times New Roman"/>
          <w:kern w:val="0"/>
          <w:lang w:val="en-US"/>
          <w14:ligatures w14:val="none"/>
        </w:rPr>
        <w:t>7–30</w:t>
      </w:r>
      <w:r w:rsidR="00C26CBC">
        <w:rPr>
          <w:rFonts w:ascii="Times New Roman" w:eastAsia="Times New Roman" w:hAnsi="Times New Roman" w:cs="Times New Roman"/>
          <w:kern w:val="0"/>
          <w:lang w:val="en-US"/>
          <w14:ligatures w14:val="none"/>
        </w:rPr>
        <w:t xml:space="preserve"> </w:t>
      </w:r>
      <w:r w:rsidRPr="007F21E1">
        <w:rPr>
          <w:rFonts w:ascii="Times New Roman" w:eastAsia="Times New Roman" w:hAnsi="Times New Roman" w:cs="Times New Roman"/>
          <w:kern w:val="0"/>
          <w:lang w:val="en-US"/>
          <w14:ligatures w14:val="none"/>
        </w:rPr>
        <w:t>year</w:t>
      </w:r>
      <w:r w:rsidR="00C26CBC">
        <w:rPr>
          <w:rFonts w:ascii="Times New Roman" w:eastAsia="Times New Roman" w:hAnsi="Times New Roman" w:cs="Times New Roman"/>
          <w:kern w:val="0"/>
          <w:lang w:val="en-US"/>
          <w14:ligatures w14:val="none"/>
        </w:rPr>
        <w:t>s</w:t>
      </w:r>
      <w:r w:rsidR="001928ED" w:rsidRPr="007F21E1">
        <w:rPr>
          <w:rFonts w:ascii="Times New Roman" w:eastAsia="Times New Roman" w:hAnsi="Times New Roman" w:cs="Times New Roman"/>
          <w:kern w:val="0"/>
          <w:lang w:val="en-US"/>
          <w14:ligatures w14:val="none"/>
        </w:rPr>
        <w:t xml:space="preserve"> harvest cycles, enabling faster timber </w:t>
      </w:r>
      <w:r w:rsidRPr="007F21E1">
        <w:rPr>
          <w:rFonts w:ascii="Times New Roman" w:eastAsia="Times New Roman" w:hAnsi="Times New Roman" w:cs="Times New Roman"/>
          <w:kern w:val="0"/>
          <w:lang w:val="en-US"/>
          <w14:ligatures w14:val="none"/>
        </w:rPr>
        <w:t>production (</w:t>
      </w:r>
      <w:r w:rsidR="001928ED" w:rsidRPr="007F21E1">
        <w:rPr>
          <w:rFonts w:ascii="Times New Roman" w:eastAsia="Times New Roman" w:hAnsi="Times New Roman" w:cs="Times New Roman"/>
          <w:kern w:val="0"/>
          <w:lang w:val="en-US"/>
          <w14:ligatures w14:val="none"/>
        </w:rPr>
        <w:t xml:space="preserve">Darmawan et al., 2015; </w:t>
      </w:r>
      <w:proofErr w:type="spellStart"/>
      <w:r w:rsidR="001928ED" w:rsidRPr="007F21E1">
        <w:rPr>
          <w:rFonts w:ascii="Times New Roman" w:eastAsia="Times New Roman" w:hAnsi="Times New Roman" w:cs="Times New Roman"/>
          <w:kern w:val="0"/>
          <w:lang w:val="en-US"/>
          <w14:ligatures w14:val="none"/>
        </w:rPr>
        <w:t>Rizanti</w:t>
      </w:r>
      <w:proofErr w:type="spellEnd"/>
      <w:r w:rsidR="001928ED" w:rsidRPr="007F21E1">
        <w:rPr>
          <w:rFonts w:ascii="Times New Roman" w:eastAsia="Times New Roman" w:hAnsi="Times New Roman" w:cs="Times New Roman"/>
          <w:kern w:val="0"/>
          <w:lang w:val="en-US"/>
          <w14:ligatures w14:val="none"/>
        </w:rPr>
        <w:t xml:space="preserve"> et al., 2018). Although this transition allows for increased yield, it raises concerns about wood quality, especially with respect to heartwood development, decay resistance &amp;durability</w:t>
      </w:r>
    </w:p>
    <w:p w14:paraId="789887C2" w14:textId="35BC881E" w:rsidR="001928ED" w:rsidRPr="007F21E1" w:rsidRDefault="001928ED" w:rsidP="009558EF">
      <w:pPr>
        <w:spacing w:before="100" w:beforeAutospacing="1" w:after="100" w:afterAutospacing="1" w:line="240" w:lineRule="auto"/>
        <w:ind w:left="-180"/>
        <w:jc w:val="both"/>
        <w:rPr>
          <w:rFonts w:ascii="Times New Roman" w:eastAsia="Times New Roman" w:hAnsi="Times New Roman" w:cs="Times New Roman"/>
          <w:kern w:val="0"/>
          <w:lang w:val="en-US"/>
          <w14:ligatures w14:val="none"/>
        </w:rPr>
      </w:pPr>
      <w:r w:rsidRPr="007F21E1">
        <w:rPr>
          <w:rFonts w:ascii="Times New Roman" w:eastAsia="Times New Roman" w:hAnsi="Times New Roman" w:cs="Times New Roman"/>
          <w:kern w:val="0"/>
          <w:lang w:val="en-US"/>
          <w14:ligatures w14:val="none"/>
        </w:rPr>
        <w:t xml:space="preserve">The biological degradation of heartwood in teak, primarily caused by fungal infestations, is referred to as internal decay. Heartwood plays a crucial role in the wood's natural decay resistance due to its high extractive content, which acts as a natural preservative (Moya et al., 2014). </w:t>
      </w:r>
      <w:r w:rsidR="000C202F" w:rsidRPr="007F21E1">
        <w:rPr>
          <w:rFonts w:ascii="Times New Roman" w:eastAsia="Times New Roman" w:hAnsi="Times New Roman" w:cs="Times New Roman"/>
          <w:kern w:val="0"/>
          <w:lang w:val="en-US"/>
          <w14:ligatures w14:val="none"/>
        </w:rPr>
        <w:t>Though</w:t>
      </w:r>
      <w:r w:rsidRPr="007F21E1">
        <w:rPr>
          <w:rFonts w:ascii="Times New Roman" w:eastAsia="Times New Roman" w:hAnsi="Times New Roman" w:cs="Times New Roman"/>
          <w:kern w:val="0"/>
          <w:lang w:val="en-US"/>
          <w14:ligatures w14:val="none"/>
        </w:rPr>
        <w:t xml:space="preserve">, in rapid-growth plantations where trees are harvested at younger ages (typically 7-30 years), there is a higher proportion of juvenile wood, resulting in lower extractive content and reduced heartwood formation. This </w:t>
      </w:r>
      <w:proofErr w:type="spellStart"/>
      <w:r w:rsidR="005E1F67" w:rsidRPr="007F21E1">
        <w:rPr>
          <w:rFonts w:ascii="Times New Roman" w:eastAsia="Times New Roman" w:hAnsi="Times New Roman" w:cs="Times New Roman"/>
          <w:kern w:val="0"/>
          <w:lang w:val="en-US"/>
          <w14:ligatures w14:val="none"/>
        </w:rPr>
        <w:t>weake</w:t>
      </w:r>
      <w:r w:rsidR="005E1F67">
        <w:rPr>
          <w:rFonts w:ascii="Times New Roman" w:eastAsia="Times New Roman" w:hAnsi="Times New Roman" w:cs="Times New Roman"/>
          <w:kern w:val="0"/>
          <w:lang w:val="en-US"/>
          <w14:ligatures w14:val="none"/>
        </w:rPr>
        <w:t>n’s</w:t>
      </w:r>
      <w:proofErr w:type="spellEnd"/>
      <w:r w:rsidRPr="007F21E1">
        <w:rPr>
          <w:rFonts w:ascii="Times New Roman" w:eastAsia="Times New Roman" w:hAnsi="Times New Roman" w:cs="Times New Roman"/>
          <w:kern w:val="0"/>
          <w:lang w:val="en-US"/>
          <w14:ligatures w14:val="none"/>
        </w:rPr>
        <w:t xml:space="preserve"> heartwood content often leads to increased susceptibility to decay, impacting the overall quality and durability of the </w:t>
      </w:r>
      <w:r w:rsidR="000C202F" w:rsidRPr="007F21E1">
        <w:rPr>
          <w:rFonts w:ascii="Times New Roman" w:eastAsia="Times New Roman" w:hAnsi="Times New Roman" w:cs="Times New Roman"/>
          <w:kern w:val="0"/>
          <w:lang w:val="en-US"/>
          <w14:ligatures w14:val="none"/>
        </w:rPr>
        <w:t>wood (</w:t>
      </w:r>
      <w:r w:rsidRPr="007F21E1">
        <w:rPr>
          <w:rFonts w:ascii="Times New Roman" w:eastAsia="Times New Roman" w:hAnsi="Times New Roman" w:cs="Times New Roman"/>
          <w:kern w:val="0"/>
          <w:lang w:val="en-US"/>
          <w14:ligatures w14:val="none"/>
        </w:rPr>
        <w:t xml:space="preserve">Bhat et al., 2005; </w:t>
      </w:r>
      <w:proofErr w:type="spellStart"/>
      <w:r w:rsidRPr="007F21E1">
        <w:rPr>
          <w:rFonts w:ascii="Times New Roman" w:eastAsia="Times New Roman" w:hAnsi="Times New Roman" w:cs="Times New Roman"/>
          <w:kern w:val="0"/>
          <w:lang w:val="en-US"/>
          <w14:ligatures w14:val="none"/>
        </w:rPr>
        <w:t>Rizanti</w:t>
      </w:r>
      <w:proofErr w:type="spellEnd"/>
      <w:r w:rsidRPr="007F21E1">
        <w:rPr>
          <w:rFonts w:ascii="Times New Roman" w:eastAsia="Times New Roman" w:hAnsi="Times New Roman" w:cs="Times New Roman"/>
          <w:kern w:val="0"/>
          <w:lang w:val="en-US"/>
          <w14:ligatures w14:val="none"/>
        </w:rPr>
        <w:t xml:space="preserve"> et al., 2018).</w:t>
      </w:r>
    </w:p>
    <w:p w14:paraId="26ED122D" w14:textId="446CEF03" w:rsidR="00722E96" w:rsidRPr="007F21E1" w:rsidRDefault="001928ED" w:rsidP="009558EF">
      <w:pPr>
        <w:spacing w:before="100" w:beforeAutospacing="1" w:after="100" w:afterAutospacing="1" w:line="240" w:lineRule="auto"/>
        <w:ind w:left="-180"/>
        <w:jc w:val="both"/>
        <w:rPr>
          <w:rFonts w:ascii="Times New Roman" w:eastAsia="Times New Roman" w:hAnsi="Times New Roman" w:cs="Times New Roman"/>
          <w:kern w:val="0"/>
          <w:lang w:val="en-US"/>
          <w14:ligatures w14:val="none"/>
        </w:rPr>
      </w:pPr>
      <w:r w:rsidRPr="007F21E1">
        <w:rPr>
          <w:rFonts w:ascii="Times New Roman" w:eastAsia="Times New Roman" w:hAnsi="Times New Roman" w:cs="Times New Roman"/>
          <w:kern w:val="0"/>
          <w:lang w:val="en-US"/>
          <w14:ligatures w14:val="none"/>
        </w:rPr>
        <w:lastRenderedPageBreak/>
        <w:t xml:space="preserve">Internal decay in plantation-grown teak is a significant concern due to its direct impact on wood quality, structural integrity, and market value. The decay resistance of teak varies across the tree, with mature heartwood exhibiting greater resistance as it extends from the core to the outer regions (Bhat et al., 2005). However, plantation-grown teak tends to have less mature heartwood due to shorter growth cycles, increasing the risk of fungal degradation and reducing durability. Moreover, environmental factors such as geographical location and site conditions play a critical role in determining decay resistance. For </w:t>
      </w:r>
      <w:r w:rsidR="005E1F67">
        <w:rPr>
          <w:rFonts w:ascii="Times New Roman" w:eastAsia="Times New Roman" w:hAnsi="Times New Roman" w:cs="Times New Roman"/>
          <w:kern w:val="0"/>
          <w:lang w:val="en-US"/>
          <w14:ligatures w14:val="none"/>
        </w:rPr>
        <w:t>example</w:t>
      </w:r>
      <w:r w:rsidRPr="007F21E1">
        <w:rPr>
          <w:rFonts w:ascii="Times New Roman" w:eastAsia="Times New Roman" w:hAnsi="Times New Roman" w:cs="Times New Roman"/>
          <w:kern w:val="0"/>
          <w:lang w:val="en-US"/>
          <w14:ligatures w14:val="none"/>
        </w:rPr>
        <w:t>, teak grown in wetter environments is more vulnerable to brown-rot fungi, which are more aggressive in areas where the wood has lower extractive content</w:t>
      </w:r>
      <w:r w:rsidR="00DD62E1" w:rsidRPr="007F21E1">
        <w:rPr>
          <w:rFonts w:ascii="Times New Roman" w:eastAsia="Times New Roman" w:hAnsi="Times New Roman" w:cs="Times New Roman"/>
          <w:kern w:val="0"/>
          <w:lang w:eastAsia="en-IN"/>
          <w14:ligatures w14:val="none"/>
        </w:rPr>
        <w:t xml:space="preserve"> and paler wood coloration </w:t>
      </w:r>
      <w:r w:rsidRPr="007F21E1">
        <w:rPr>
          <w:rFonts w:ascii="Times New Roman" w:eastAsia="Times New Roman" w:hAnsi="Times New Roman" w:cs="Times New Roman"/>
          <w:kern w:val="0"/>
          <w:lang w:val="en-US"/>
          <w14:ligatures w14:val="none"/>
        </w:rPr>
        <w:t xml:space="preserve">(Bhat et al., 2005). The presence of internal decay </w:t>
      </w:r>
      <w:r w:rsidR="005E1F67" w:rsidRPr="007F21E1">
        <w:rPr>
          <w:rFonts w:ascii="Times New Roman" w:eastAsia="Times New Roman" w:hAnsi="Times New Roman" w:cs="Times New Roman"/>
          <w:kern w:val="0"/>
          <w:lang w:val="en-US"/>
          <w14:ligatures w14:val="none"/>
        </w:rPr>
        <w:t>reduces</w:t>
      </w:r>
      <w:r w:rsidRPr="007F21E1">
        <w:rPr>
          <w:rFonts w:ascii="Times New Roman" w:eastAsia="Times New Roman" w:hAnsi="Times New Roman" w:cs="Times New Roman"/>
          <w:kern w:val="0"/>
          <w:lang w:val="en-US"/>
          <w14:ligatures w14:val="none"/>
        </w:rPr>
        <w:t xml:space="preserve"> the wood's marketability, undermining plantation investments and complicating efforts to meet industry demands for high-quality </w:t>
      </w:r>
      <w:r w:rsidR="000C202F" w:rsidRPr="007F21E1">
        <w:rPr>
          <w:rFonts w:ascii="Times New Roman" w:eastAsia="Times New Roman" w:hAnsi="Times New Roman" w:cs="Times New Roman"/>
          <w:kern w:val="0"/>
          <w:lang w:val="en-US"/>
          <w14:ligatures w14:val="none"/>
        </w:rPr>
        <w:t>timber. (</w:t>
      </w:r>
      <w:r w:rsidRPr="007F21E1">
        <w:rPr>
          <w:rFonts w:ascii="Times New Roman" w:eastAsia="Times New Roman" w:hAnsi="Times New Roman" w:cs="Times New Roman"/>
          <w:kern w:val="0"/>
          <w:lang w:val="en-US"/>
          <w14:ligatures w14:val="none"/>
        </w:rPr>
        <w:t xml:space="preserve">Anda et al., 2019; </w:t>
      </w:r>
      <w:proofErr w:type="spellStart"/>
      <w:r w:rsidRPr="007F21E1">
        <w:rPr>
          <w:rFonts w:ascii="Times New Roman" w:eastAsia="Times New Roman" w:hAnsi="Times New Roman" w:cs="Times New Roman"/>
          <w:kern w:val="0"/>
          <w:lang w:val="en-US"/>
          <w14:ligatures w14:val="none"/>
        </w:rPr>
        <w:t>Prasetyo</w:t>
      </w:r>
      <w:proofErr w:type="spellEnd"/>
      <w:r w:rsidRPr="007F21E1">
        <w:rPr>
          <w:rFonts w:ascii="Times New Roman" w:eastAsia="Times New Roman" w:hAnsi="Times New Roman" w:cs="Times New Roman"/>
          <w:kern w:val="0"/>
          <w:lang w:val="en-US"/>
          <w14:ligatures w14:val="none"/>
        </w:rPr>
        <w:t xml:space="preserve"> et al., 2020).</w:t>
      </w:r>
    </w:p>
    <w:p w14:paraId="5CE4D77B" w14:textId="7C2603AE" w:rsidR="00722E96" w:rsidRPr="007F21E1" w:rsidRDefault="00722E96" w:rsidP="009558EF">
      <w:pPr>
        <w:spacing w:before="100" w:beforeAutospacing="1" w:after="100" w:afterAutospacing="1" w:line="240" w:lineRule="auto"/>
        <w:ind w:left="-180"/>
        <w:jc w:val="both"/>
        <w:rPr>
          <w:rFonts w:ascii="Times New Roman" w:eastAsia="Times New Roman" w:hAnsi="Times New Roman" w:cs="Times New Roman"/>
          <w:kern w:val="0"/>
          <w:lang w:val="en-US"/>
          <w14:ligatures w14:val="none"/>
        </w:rPr>
      </w:pPr>
      <w:r w:rsidRPr="007F21E1">
        <w:rPr>
          <w:rFonts w:ascii="Times New Roman" w:eastAsia="Times New Roman" w:hAnsi="Times New Roman" w:cs="Times New Roman"/>
          <w:kern w:val="0"/>
          <w:lang w:val="en-US"/>
          <w14:ligatures w14:val="none"/>
        </w:rPr>
        <w:t xml:space="preserve">This analysis investigates the primary elements contributing to internal decay in teak plantations, with a focus on heartwood development, extractives, fungi, environmental factors, and forestry practices. It assesses how these components influence decay resistance and wood quality, particularly </w:t>
      </w:r>
      <w:r w:rsidR="00C70565" w:rsidRPr="007F21E1">
        <w:rPr>
          <w:rFonts w:ascii="Times New Roman" w:eastAsia="Times New Roman" w:hAnsi="Times New Roman" w:cs="Times New Roman"/>
          <w:kern w:val="0"/>
          <w:lang w:val="en-US"/>
          <w14:ligatures w14:val="none"/>
        </w:rPr>
        <w:t>highlighting</w:t>
      </w:r>
      <w:r w:rsidRPr="007F21E1">
        <w:rPr>
          <w:rFonts w:ascii="Times New Roman" w:eastAsia="Times New Roman" w:hAnsi="Times New Roman" w:cs="Times New Roman"/>
          <w:kern w:val="0"/>
          <w:lang w:val="en-US"/>
          <w14:ligatures w14:val="none"/>
        </w:rPr>
        <w:t xml:space="preserve"> the consequences for wood use, processing, and marketability. </w:t>
      </w:r>
      <w:r w:rsidRPr="00C70565">
        <w:rPr>
          <w:rFonts w:ascii="Times New Roman" w:eastAsia="Times New Roman" w:hAnsi="Times New Roman" w:cs="Times New Roman"/>
          <w:kern w:val="0"/>
          <w:highlight w:val="yellow"/>
          <w:lang w:val="en-US"/>
          <w14:ligatures w14:val="none"/>
        </w:rPr>
        <w:t xml:space="preserve">Given the increasing dependence on rapid-growth plantations, the study aims to </w:t>
      </w:r>
      <w:r w:rsidR="00C70565" w:rsidRPr="00C70565">
        <w:rPr>
          <w:rFonts w:ascii="Times New Roman" w:eastAsia="Times New Roman" w:hAnsi="Times New Roman" w:cs="Times New Roman"/>
          <w:kern w:val="0"/>
          <w:highlight w:val="yellow"/>
          <w:lang w:val="en-US"/>
          <w14:ligatures w14:val="none"/>
        </w:rPr>
        <w:t>discover</w:t>
      </w:r>
      <w:r w:rsidRPr="00C70565">
        <w:rPr>
          <w:rFonts w:ascii="Times New Roman" w:eastAsia="Times New Roman" w:hAnsi="Times New Roman" w:cs="Times New Roman"/>
          <w:kern w:val="0"/>
          <w:highlight w:val="yellow"/>
          <w:lang w:val="en-US"/>
          <w14:ligatures w14:val="none"/>
        </w:rPr>
        <w:t xml:space="preserve"> methods for boosting decay resistance and enhancing the sustainability and economic feasibility of teak plantation forestry</w:t>
      </w:r>
      <w:r w:rsidRPr="00C70565">
        <w:rPr>
          <w:rFonts w:ascii="Times New Roman" w:eastAsia="Times New Roman" w:hAnsi="Times New Roman" w:cs="Times New Roman"/>
          <w:kern w:val="0"/>
          <w:lang w:val="en-US"/>
          <w14:ligatures w14:val="none"/>
        </w:rPr>
        <w:t>.</w:t>
      </w:r>
      <w:r w:rsidRPr="007F21E1">
        <w:rPr>
          <w:rFonts w:ascii="Times New Roman" w:eastAsia="Times New Roman" w:hAnsi="Times New Roman" w:cs="Times New Roman"/>
          <w:kern w:val="0"/>
          <w:lang w:val="en-US"/>
          <w14:ligatures w14:val="none"/>
        </w:rPr>
        <w:t xml:space="preserve"> </w:t>
      </w:r>
    </w:p>
    <w:p w14:paraId="172AD690" w14:textId="0CF64D42" w:rsidR="00387EF6" w:rsidRPr="007F21E1" w:rsidRDefault="00722E96" w:rsidP="009558EF">
      <w:pPr>
        <w:spacing w:before="100" w:beforeAutospacing="1" w:after="100" w:afterAutospacing="1" w:line="240" w:lineRule="auto"/>
        <w:ind w:left="-180"/>
        <w:jc w:val="both"/>
        <w:rPr>
          <w:rFonts w:ascii="Times New Roman" w:eastAsia="Times New Roman" w:hAnsi="Times New Roman" w:cs="Times New Roman"/>
          <w:kern w:val="0"/>
          <w:lang w:val="en-US"/>
          <w14:ligatures w14:val="none"/>
        </w:rPr>
      </w:pPr>
      <w:r w:rsidRPr="007F21E1">
        <w:rPr>
          <w:rFonts w:ascii="Times New Roman" w:eastAsia="Times New Roman" w:hAnsi="Times New Roman" w:cs="Times New Roman"/>
          <w:kern w:val="0"/>
          <w:lang w:val="en-US"/>
          <w14:ligatures w14:val="none"/>
        </w:rPr>
        <w:t>The study will examine into the biological and chemical processes underlying heartwood formation in teak, followed by an evaluation of the factors affecting decay resistance in plantation settings, including tree maturity, environmental conditions, and fungal species. The effects of forestry practices, such as planting density and fertilizer application, in combating internal decay will also be investigated</w:t>
      </w:r>
      <w:r w:rsidRPr="00C70565">
        <w:rPr>
          <w:rFonts w:ascii="Times New Roman" w:eastAsia="Times New Roman" w:hAnsi="Times New Roman" w:cs="Times New Roman"/>
          <w:kern w:val="0"/>
          <w:lang w:val="en-US"/>
          <w14:ligatures w14:val="none"/>
        </w:rPr>
        <w:t>.</w:t>
      </w:r>
      <w:r w:rsidR="00C70565" w:rsidRPr="00C70565">
        <w:rPr>
          <w:rFonts w:ascii="Times New Roman" w:eastAsia="Times New Roman" w:hAnsi="Times New Roman" w:cs="Times New Roman"/>
          <w:kern w:val="0"/>
          <w:lang w:val="en-US"/>
          <w14:ligatures w14:val="none"/>
        </w:rPr>
        <w:t xml:space="preserve"> By examining current research and innovations in teak forestry and wood science, this paper intends to offer valuable perspectives for optimizing teak plantation management to improve wood durability and quality and potential approaches to reduce decay,</w:t>
      </w:r>
      <w:r w:rsidRPr="00C70565">
        <w:rPr>
          <w:rFonts w:ascii="Times New Roman" w:eastAsia="Times New Roman" w:hAnsi="Times New Roman" w:cs="Times New Roman"/>
          <w:kern w:val="0"/>
          <w:lang w:val="en-US"/>
          <w14:ligatures w14:val="none"/>
        </w:rPr>
        <w:t xml:space="preserve"> and increase the economic value of </w:t>
      </w:r>
      <w:proofErr w:type="spellStart"/>
      <w:r w:rsidRPr="00C70565">
        <w:rPr>
          <w:rFonts w:ascii="Times New Roman" w:eastAsia="Times New Roman" w:hAnsi="Times New Roman" w:cs="Times New Roman"/>
          <w:kern w:val="0"/>
          <w:lang w:val="en-US"/>
          <w14:ligatures w14:val="none"/>
        </w:rPr>
        <w:t>teak</w:t>
      </w:r>
      <w:proofErr w:type="spellEnd"/>
      <w:r w:rsidRPr="00C70565">
        <w:rPr>
          <w:rFonts w:ascii="Times New Roman" w:eastAsia="Times New Roman" w:hAnsi="Times New Roman" w:cs="Times New Roman"/>
          <w:kern w:val="0"/>
          <w:lang w:val="en-US"/>
          <w14:ligatures w14:val="none"/>
        </w:rPr>
        <w:t xml:space="preserve"> plantations.</w:t>
      </w:r>
    </w:p>
    <w:p w14:paraId="71E1C514" w14:textId="2DB0315E" w:rsidR="00710E92" w:rsidRPr="007F21E1" w:rsidRDefault="005C2D82" w:rsidP="009558EF">
      <w:pPr>
        <w:spacing w:line="240" w:lineRule="auto"/>
        <w:ind w:left="-180"/>
        <w:jc w:val="both"/>
        <w:rPr>
          <w:rFonts w:ascii="Times New Roman" w:hAnsi="Times New Roman" w:cs="Times New Roman"/>
          <w:b/>
          <w:bCs/>
        </w:rPr>
      </w:pPr>
      <w:r w:rsidRPr="007F21E1">
        <w:rPr>
          <w:rFonts w:ascii="Times New Roman" w:hAnsi="Times New Roman" w:cs="Times New Roman"/>
          <w:b/>
          <w:bCs/>
        </w:rPr>
        <w:t>Internal Decay during Teak Plantation</w:t>
      </w:r>
    </w:p>
    <w:p w14:paraId="4176DBED" w14:textId="77777777" w:rsidR="00710E92" w:rsidRPr="007F21E1" w:rsidRDefault="00463DCD" w:rsidP="009558EF">
      <w:pPr>
        <w:spacing w:line="240" w:lineRule="auto"/>
        <w:ind w:left="-180"/>
        <w:jc w:val="both"/>
        <w:rPr>
          <w:rFonts w:ascii="Times New Roman" w:hAnsi="Times New Roman" w:cs="Times New Roman"/>
          <w:b/>
          <w:bCs/>
        </w:rPr>
      </w:pPr>
      <w:r w:rsidRPr="007F21E1">
        <w:rPr>
          <w:rFonts w:ascii="Times New Roman" w:hAnsi="Times New Roman" w:cs="Times New Roman"/>
          <w:b/>
          <w:bCs/>
        </w:rPr>
        <w:t xml:space="preserve">Causes of internal decay </w:t>
      </w:r>
    </w:p>
    <w:p w14:paraId="7E3F9509" w14:textId="200D06BA" w:rsidR="00710E92" w:rsidRPr="007F21E1" w:rsidRDefault="005C2D82" w:rsidP="009558EF">
      <w:pPr>
        <w:spacing w:line="240" w:lineRule="auto"/>
        <w:ind w:left="-180"/>
        <w:jc w:val="both"/>
        <w:rPr>
          <w:rFonts w:ascii="Times New Roman" w:eastAsia="Times New Roman" w:hAnsi="Times New Roman" w:cs="Times New Roman"/>
          <w:kern w:val="0"/>
          <w:lang w:eastAsia="en-IN"/>
          <w14:ligatures w14:val="none"/>
        </w:rPr>
      </w:pPr>
      <w:r w:rsidRPr="007F21E1">
        <w:rPr>
          <w:rFonts w:ascii="Times New Roman" w:eastAsia="Times New Roman" w:hAnsi="Times New Roman" w:cs="Times New Roman"/>
          <w:kern w:val="0"/>
          <w:lang w:eastAsia="en-IN"/>
          <w14:ligatures w14:val="none"/>
        </w:rPr>
        <w:t>Teak (</w:t>
      </w:r>
      <w:r w:rsidRPr="00C70565">
        <w:rPr>
          <w:rFonts w:ascii="Times New Roman" w:eastAsia="Times New Roman" w:hAnsi="Times New Roman" w:cs="Times New Roman"/>
          <w:i/>
          <w:iCs/>
          <w:kern w:val="0"/>
          <w:lang w:eastAsia="en-IN"/>
          <w14:ligatures w14:val="none"/>
        </w:rPr>
        <w:t>Tectona grandis</w:t>
      </w:r>
      <w:r w:rsidRPr="007F21E1">
        <w:rPr>
          <w:rFonts w:ascii="Times New Roman" w:eastAsia="Times New Roman" w:hAnsi="Times New Roman" w:cs="Times New Roman"/>
          <w:kern w:val="0"/>
          <w:lang w:eastAsia="en-IN"/>
          <w14:ligatures w14:val="none"/>
        </w:rPr>
        <w:t xml:space="preserve">) is highly valued for its durability and resistance to environmental and biological threats. </w:t>
      </w:r>
      <w:r w:rsidR="003A1575" w:rsidRPr="007F21E1">
        <w:rPr>
          <w:rFonts w:ascii="Times New Roman" w:eastAsia="Times New Roman" w:hAnsi="Times New Roman" w:cs="Times New Roman"/>
          <w:kern w:val="0"/>
          <w:lang w:eastAsia="en-IN"/>
          <w14:ligatures w14:val="none"/>
        </w:rPr>
        <w:t>Still</w:t>
      </w:r>
      <w:r w:rsidRPr="007F21E1">
        <w:rPr>
          <w:rFonts w:ascii="Times New Roman" w:eastAsia="Times New Roman" w:hAnsi="Times New Roman" w:cs="Times New Roman"/>
          <w:kern w:val="0"/>
          <w:lang w:eastAsia="en-IN"/>
          <w14:ligatures w14:val="none"/>
        </w:rPr>
        <w:t xml:space="preserve">, internal decay remains a </w:t>
      </w:r>
      <w:r w:rsidR="00463DCD" w:rsidRPr="007F21E1">
        <w:rPr>
          <w:rFonts w:ascii="Times New Roman" w:eastAsia="Times New Roman" w:hAnsi="Times New Roman" w:cs="Times New Roman"/>
          <w:kern w:val="0"/>
          <w:lang w:eastAsia="en-IN"/>
          <w14:ligatures w14:val="none"/>
        </w:rPr>
        <w:t>major</w:t>
      </w:r>
      <w:r w:rsidRPr="007F21E1">
        <w:rPr>
          <w:rFonts w:ascii="Times New Roman" w:eastAsia="Times New Roman" w:hAnsi="Times New Roman" w:cs="Times New Roman"/>
          <w:kern w:val="0"/>
          <w:lang w:eastAsia="en-IN"/>
          <w14:ligatures w14:val="none"/>
        </w:rPr>
        <w:t xml:space="preserve"> issue, particularly due to fungal infections, insect infestations, physical damage, environmental conditio</w:t>
      </w:r>
      <w:r w:rsidR="00463DCD" w:rsidRPr="007F21E1">
        <w:rPr>
          <w:rFonts w:ascii="Times New Roman" w:eastAsia="Times New Roman" w:hAnsi="Times New Roman" w:cs="Times New Roman"/>
          <w:kern w:val="0"/>
          <w:lang w:eastAsia="en-IN"/>
          <w14:ligatures w14:val="none"/>
        </w:rPr>
        <w:t>ns, and genetic predisposition.</w:t>
      </w:r>
      <w:r w:rsidR="00096475" w:rsidRPr="007F21E1">
        <w:rPr>
          <w:rFonts w:ascii="Times New Roman" w:eastAsia="Times New Roman" w:hAnsi="Times New Roman" w:cs="Times New Roman"/>
          <w:kern w:val="0"/>
          <w:lang w:eastAsia="en-IN"/>
          <w14:ligatures w14:val="none"/>
        </w:rPr>
        <w:t xml:space="preserve"> </w:t>
      </w:r>
      <w:r w:rsidRPr="007F21E1">
        <w:rPr>
          <w:rFonts w:ascii="Times New Roman" w:eastAsia="Times New Roman" w:hAnsi="Times New Roman" w:cs="Times New Roman"/>
          <w:kern w:val="0"/>
          <w:lang w:eastAsia="en-IN"/>
          <w14:ligatures w14:val="none"/>
        </w:rPr>
        <w:t>This review explores the primary causes of internal decay in teak and the influencing factors that affect its resistance.</w:t>
      </w:r>
    </w:p>
    <w:p w14:paraId="6404D5B2" w14:textId="32E40ADA" w:rsidR="00525B82" w:rsidRPr="007F21E1" w:rsidRDefault="005C2D82" w:rsidP="009558EF">
      <w:pPr>
        <w:spacing w:line="240" w:lineRule="auto"/>
        <w:ind w:left="-180"/>
        <w:jc w:val="both"/>
        <w:rPr>
          <w:rFonts w:ascii="Times New Roman" w:eastAsia="Times New Roman" w:hAnsi="Times New Roman" w:cs="Times New Roman"/>
          <w:b/>
          <w:bCs/>
          <w:kern w:val="0"/>
          <w:lang w:eastAsia="en-IN"/>
          <w14:ligatures w14:val="none"/>
        </w:rPr>
      </w:pPr>
      <w:r w:rsidRPr="007F21E1">
        <w:rPr>
          <w:rFonts w:ascii="Times New Roman" w:eastAsia="Times New Roman" w:hAnsi="Times New Roman" w:cs="Times New Roman"/>
          <w:kern w:val="0"/>
          <w:lang w:eastAsia="en-IN"/>
          <w14:ligatures w14:val="none"/>
        </w:rPr>
        <w:t xml:space="preserve">Fungal infections, particularly brown-rot and white-rot fungi, play a critical role in teak decay. Brown-rot fungi such as </w:t>
      </w:r>
      <w:r w:rsidRPr="007F21E1">
        <w:rPr>
          <w:rFonts w:ascii="Times New Roman" w:eastAsia="Times New Roman" w:hAnsi="Times New Roman" w:cs="Times New Roman"/>
          <w:i/>
          <w:iCs/>
          <w:kern w:val="0"/>
          <w:lang w:eastAsia="en-IN"/>
          <w14:ligatures w14:val="none"/>
        </w:rPr>
        <w:t>Polyporus palustris</w:t>
      </w:r>
      <w:r w:rsidRPr="007F21E1">
        <w:rPr>
          <w:rFonts w:ascii="Times New Roman" w:eastAsia="Times New Roman" w:hAnsi="Times New Roman" w:cs="Times New Roman"/>
          <w:kern w:val="0"/>
          <w:lang w:eastAsia="en-IN"/>
          <w14:ligatures w14:val="none"/>
        </w:rPr>
        <w:t xml:space="preserve"> and </w:t>
      </w:r>
      <w:proofErr w:type="spellStart"/>
      <w:r w:rsidRPr="007F21E1">
        <w:rPr>
          <w:rFonts w:ascii="Times New Roman" w:eastAsia="Times New Roman" w:hAnsi="Times New Roman" w:cs="Times New Roman"/>
          <w:i/>
          <w:iCs/>
          <w:kern w:val="0"/>
          <w:lang w:eastAsia="en-IN"/>
          <w14:ligatures w14:val="none"/>
        </w:rPr>
        <w:t>Gloeophyllum</w:t>
      </w:r>
      <w:proofErr w:type="spellEnd"/>
      <w:r w:rsidRPr="007F21E1">
        <w:rPr>
          <w:rFonts w:ascii="Times New Roman" w:eastAsia="Times New Roman" w:hAnsi="Times New Roman" w:cs="Times New Roman"/>
          <w:i/>
          <w:iCs/>
          <w:kern w:val="0"/>
          <w:lang w:eastAsia="en-IN"/>
          <w14:ligatures w14:val="none"/>
        </w:rPr>
        <w:t xml:space="preserve"> </w:t>
      </w:r>
      <w:proofErr w:type="spellStart"/>
      <w:r w:rsidRPr="007F21E1">
        <w:rPr>
          <w:rFonts w:ascii="Times New Roman" w:eastAsia="Times New Roman" w:hAnsi="Times New Roman" w:cs="Times New Roman"/>
          <w:i/>
          <w:iCs/>
          <w:kern w:val="0"/>
          <w:lang w:eastAsia="en-IN"/>
          <w14:ligatures w14:val="none"/>
        </w:rPr>
        <w:t>trabeum</w:t>
      </w:r>
      <w:proofErr w:type="spellEnd"/>
      <w:r w:rsidRPr="007F21E1">
        <w:rPr>
          <w:rFonts w:ascii="Times New Roman" w:eastAsia="Times New Roman" w:hAnsi="Times New Roman" w:cs="Times New Roman"/>
          <w:kern w:val="0"/>
          <w:lang w:eastAsia="en-IN"/>
          <w14:ligatures w14:val="none"/>
        </w:rPr>
        <w:t xml:space="preserve"> are identified as the most </w:t>
      </w:r>
      <w:r w:rsidR="00463DCD" w:rsidRPr="007F21E1">
        <w:rPr>
          <w:rFonts w:ascii="Times New Roman" w:eastAsia="Times New Roman" w:hAnsi="Times New Roman" w:cs="Times New Roman"/>
          <w:kern w:val="0"/>
          <w:lang w:eastAsia="en-IN"/>
          <w14:ligatures w14:val="none"/>
        </w:rPr>
        <w:t>destructive</w:t>
      </w:r>
      <w:r w:rsidRPr="007F21E1">
        <w:rPr>
          <w:rFonts w:ascii="Times New Roman" w:eastAsia="Times New Roman" w:hAnsi="Times New Roman" w:cs="Times New Roman"/>
          <w:kern w:val="0"/>
          <w:lang w:eastAsia="en-IN"/>
          <w14:ligatures w14:val="none"/>
        </w:rPr>
        <w:t xml:space="preserve"> decay agents (Bhat </w:t>
      </w:r>
      <w:r w:rsidRPr="00753384">
        <w:rPr>
          <w:rFonts w:ascii="Times New Roman" w:eastAsia="Times New Roman" w:hAnsi="Times New Roman" w:cs="Times New Roman"/>
          <w:i/>
          <w:iCs/>
          <w:kern w:val="0"/>
          <w:lang w:eastAsia="en-IN"/>
          <w14:ligatures w14:val="none"/>
        </w:rPr>
        <w:t>et al.,</w:t>
      </w:r>
      <w:r w:rsidRPr="007F21E1">
        <w:rPr>
          <w:rFonts w:ascii="Times New Roman" w:eastAsia="Times New Roman" w:hAnsi="Times New Roman" w:cs="Times New Roman"/>
          <w:kern w:val="0"/>
          <w:lang w:eastAsia="en-IN"/>
          <w14:ligatures w14:val="none"/>
        </w:rPr>
        <w:t xml:space="preserve"> 2005; Thulasidas &amp; Bhat, 2006). White-rot fungi are also responsible for decay, although specific species are not named (Bhat </w:t>
      </w:r>
      <w:r w:rsidRPr="00753384">
        <w:rPr>
          <w:rFonts w:ascii="Times New Roman" w:eastAsia="Times New Roman" w:hAnsi="Times New Roman" w:cs="Times New Roman"/>
          <w:i/>
          <w:iCs/>
          <w:kern w:val="0"/>
          <w:lang w:eastAsia="en-IN"/>
          <w14:ligatures w14:val="none"/>
        </w:rPr>
        <w:t>et al.,</w:t>
      </w:r>
      <w:r w:rsidRPr="007F21E1">
        <w:rPr>
          <w:rFonts w:ascii="Times New Roman" w:eastAsia="Times New Roman" w:hAnsi="Times New Roman" w:cs="Times New Roman"/>
          <w:kern w:val="0"/>
          <w:lang w:eastAsia="en-IN"/>
          <w14:ligatures w14:val="none"/>
        </w:rPr>
        <w:t xml:space="preserve"> 2005; Brocco et al., 2016). The susceptibility of teak to fungal decay depends on the extractive content of the wood, with paler wood containing fewer protective compounds being more vulnerable (Bhat et al., 2005). Additionally, soft-rot fungi</w:t>
      </w:r>
      <w:r w:rsidR="00753384">
        <w:rPr>
          <w:rFonts w:ascii="Times New Roman" w:eastAsia="Times New Roman" w:hAnsi="Times New Roman" w:cs="Times New Roman"/>
          <w:kern w:val="0"/>
          <w:lang w:eastAsia="en-IN"/>
          <w14:ligatures w14:val="none"/>
        </w:rPr>
        <w:t xml:space="preserve"> also</w:t>
      </w:r>
      <w:r w:rsidRPr="007F21E1">
        <w:rPr>
          <w:rFonts w:ascii="Times New Roman" w:eastAsia="Times New Roman" w:hAnsi="Times New Roman" w:cs="Times New Roman"/>
          <w:kern w:val="0"/>
          <w:lang w:eastAsia="en-IN"/>
          <w14:ligatures w14:val="none"/>
        </w:rPr>
        <w:t xml:space="preserve"> contribute to decay, but their impact appears to be less significant compared to brown-rot and white-rot fungi (Brocco et al., 2016).</w:t>
      </w:r>
    </w:p>
    <w:p w14:paraId="31941EEA" w14:textId="38C19255" w:rsidR="00525B82" w:rsidRPr="007F21E1" w:rsidRDefault="005C2D82" w:rsidP="009558EF">
      <w:pPr>
        <w:spacing w:line="240" w:lineRule="auto"/>
        <w:ind w:left="-180"/>
        <w:jc w:val="both"/>
        <w:rPr>
          <w:rFonts w:ascii="Times New Roman" w:eastAsia="Times New Roman" w:hAnsi="Times New Roman" w:cs="Times New Roman"/>
          <w:b/>
          <w:bCs/>
          <w:kern w:val="0"/>
          <w:lang w:eastAsia="en-IN"/>
          <w14:ligatures w14:val="none"/>
        </w:rPr>
      </w:pPr>
      <w:r w:rsidRPr="007F21E1">
        <w:rPr>
          <w:rFonts w:ascii="Times New Roman" w:eastAsia="Times New Roman" w:hAnsi="Times New Roman" w:cs="Times New Roman"/>
          <w:kern w:val="0"/>
          <w:lang w:eastAsia="en-IN"/>
          <w14:ligatures w14:val="none"/>
        </w:rPr>
        <w:t xml:space="preserve">Insect infestations, </w:t>
      </w:r>
      <w:r w:rsidR="00753384" w:rsidRPr="007F21E1">
        <w:rPr>
          <w:rFonts w:ascii="Times New Roman" w:eastAsia="Times New Roman" w:hAnsi="Times New Roman" w:cs="Times New Roman"/>
          <w:kern w:val="0"/>
          <w:lang w:eastAsia="en-IN"/>
          <w14:ligatures w14:val="none"/>
        </w:rPr>
        <w:t>mainly</w:t>
      </w:r>
      <w:r w:rsidRPr="007F21E1">
        <w:rPr>
          <w:rFonts w:ascii="Times New Roman" w:eastAsia="Times New Roman" w:hAnsi="Times New Roman" w:cs="Times New Roman"/>
          <w:kern w:val="0"/>
          <w:lang w:eastAsia="en-IN"/>
          <w14:ligatures w14:val="none"/>
        </w:rPr>
        <w:t xml:space="preserve"> beetles and borers, can contribute to internal decay by creating entry points for fungi and weakening the wood structure. Despite teak’s renowned resistance to termites due to its extractive compounds such as </w:t>
      </w:r>
      <w:proofErr w:type="spellStart"/>
      <w:r w:rsidRPr="007F21E1">
        <w:rPr>
          <w:rFonts w:ascii="Times New Roman" w:eastAsia="Times New Roman" w:hAnsi="Times New Roman" w:cs="Times New Roman"/>
          <w:kern w:val="0"/>
          <w:lang w:eastAsia="en-IN"/>
          <w14:ligatures w14:val="none"/>
        </w:rPr>
        <w:t>tectoquinone</w:t>
      </w:r>
      <w:proofErr w:type="spellEnd"/>
      <w:r w:rsidRPr="007F21E1">
        <w:rPr>
          <w:rFonts w:ascii="Times New Roman" w:eastAsia="Times New Roman" w:hAnsi="Times New Roman" w:cs="Times New Roman"/>
          <w:kern w:val="0"/>
          <w:lang w:eastAsia="en-IN"/>
          <w14:ligatures w14:val="none"/>
        </w:rPr>
        <w:t xml:space="preserve">, lapachol, and </w:t>
      </w:r>
      <w:proofErr w:type="spellStart"/>
      <w:r w:rsidRPr="007F21E1">
        <w:rPr>
          <w:rFonts w:ascii="Times New Roman" w:eastAsia="Times New Roman" w:hAnsi="Times New Roman" w:cs="Times New Roman"/>
          <w:kern w:val="0"/>
          <w:lang w:eastAsia="en-IN"/>
          <w14:ligatures w14:val="none"/>
        </w:rPr>
        <w:t>deoxylapachol</w:t>
      </w:r>
      <w:proofErr w:type="spellEnd"/>
      <w:r w:rsidRPr="007F21E1">
        <w:rPr>
          <w:rFonts w:ascii="Times New Roman" w:eastAsia="Times New Roman" w:hAnsi="Times New Roman" w:cs="Times New Roman"/>
          <w:kern w:val="0"/>
          <w:lang w:eastAsia="en-IN"/>
          <w14:ligatures w14:val="none"/>
        </w:rPr>
        <w:t xml:space="preserve"> (Vyas et al., 2018), research suggests that termite threats can still exist, particularly in trees of </w:t>
      </w:r>
      <w:r w:rsidRPr="007F21E1">
        <w:rPr>
          <w:rFonts w:ascii="Times New Roman" w:eastAsia="Times New Roman" w:hAnsi="Times New Roman" w:cs="Times New Roman"/>
          <w:kern w:val="0"/>
          <w:lang w:eastAsia="en-IN"/>
          <w14:ligatures w14:val="none"/>
        </w:rPr>
        <w:lastRenderedPageBreak/>
        <w:t>different ages (</w:t>
      </w:r>
      <w:proofErr w:type="spellStart"/>
      <w:r w:rsidRPr="007F21E1">
        <w:rPr>
          <w:rFonts w:ascii="Times New Roman" w:eastAsia="Times New Roman" w:hAnsi="Times New Roman" w:cs="Times New Roman"/>
          <w:kern w:val="0"/>
          <w:lang w:eastAsia="en-IN"/>
          <w14:ligatures w14:val="none"/>
        </w:rPr>
        <w:t>Lukmandaru</w:t>
      </w:r>
      <w:proofErr w:type="spellEnd"/>
      <w:r w:rsidRPr="007F21E1">
        <w:rPr>
          <w:rFonts w:ascii="Times New Roman" w:eastAsia="Times New Roman" w:hAnsi="Times New Roman" w:cs="Times New Roman"/>
          <w:kern w:val="0"/>
          <w:lang w:eastAsia="en-IN"/>
          <w14:ligatures w14:val="none"/>
        </w:rPr>
        <w:t xml:space="preserve"> &amp; Takahashi, 2009). Fast-growing teak plantations with higher proportions of juvenile wood are more susceptible to insect infestations, which may accelerate internal decay (Moya et al., 2014).</w:t>
      </w:r>
    </w:p>
    <w:p w14:paraId="27AC2148" w14:textId="77777777" w:rsidR="00525B82" w:rsidRPr="007F21E1" w:rsidRDefault="005C2D82" w:rsidP="009558EF">
      <w:pPr>
        <w:spacing w:line="240" w:lineRule="auto"/>
        <w:ind w:left="-180"/>
        <w:jc w:val="both"/>
        <w:rPr>
          <w:rFonts w:ascii="Times New Roman" w:eastAsia="Times New Roman" w:hAnsi="Times New Roman" w:cs="Times New Roman"/>
          <w:b/>
          <w:bCs/>
          <w:kern w:val="0"/>
          <w:lang w:eastAsia="en-IN"/>
          <w14:ligatures w14:val="none"/>
        </w:rPr>
      </w:pPr>
      <w:r w:rsidRPr="007F21E1">
        <w:rPr>
          <w:rFonts w:ascii="Times New Roman" w:eastAsia="Times New Roman" w:hAnsi="Times New Roman" w:cs="Times New Roman"/>
          <w:kern w:val="0"/>
          <w:lang w:eastAsia="en-IN"/>
          <w14:ligatures w14:val="none"/>
        </w:rPr>
        <w:t xml:space="preserve">Wounds and cracks in teak provide access points for decay-causing organisms. Physical damage can occur due to mechanical injuries, improper harvesting techniques, or natural factors such as storms. Short-rotation teak, commonly harvested due to supply limitations, is more prone to decay due to lower heartwood and extractive content, making it less durable than long-rotation teak (Martha et al., 2021; Martha et al., 2023; </w:t>
      </w:r>
      <w:proofErr w:type="spellStart"/>
      <w:r w:rsidRPr="007F21E1">
        <w:rPr>
          <w:rFonts w:ascii="Times New Roman" w:eastAsia="Times New Roman" w:hAnsi="Times New Roman" w:cs="Times New Roman"/>
          <w:kern w:val="0"/>
          <w:lang w:eastAsia="en-IN"/>
          <w14:ligatures w14:val="none"/>
        </w:rPr>
        <w:t>Rizanti</w:t>
      </w:r>
      <w:proofErr w:type="spellEnd"/>
      <w:r w:rsidRPr="007F21E1">
        <w:rPr>
          <w:rFonts w:ascii="Times New Roman" w:eastAsia="Times New Roman" w:hAnsi="Times New Roman" w:cs="Times New Roman"/>
          <w:kern w:val="0"/>
          <w:lang w:eastAsia="en-IN"/>
          <w14:ligatures w14:val="none"/>
        </w:rPr>
        <w:t xml:space="preserve"> et al., 2018).</w:t>
      </w:r>
    </w:p>
    <w:p w14:paraId="6E21FAC0" w14:textId="34B3D9C4" w:rsidR="00525B82" w:rsidRPr="007F21E1" w:rsidRDefault="005C2D82" w:rsidP="009558EF">
      <w:pPr>
        <w:spacing w:line="240" w:lineRule="auto"/>
        <w:ind w:left="-180"/>
        <w:jc w:val="both"/>
        <w:rPr>
          <w:rFonts w:ascii="Times New Roman" w:eastAsia="Times New Roman" w:hAnsi="Times New Roman" w:cs="Times New Roman"/>
          <w:b/>
          <w:bCs/>
          <w:kern w:val="0"/>
          <w:lang w:eastAsia="en-IN"/>
          <w14:ligatures w14:val="none"/>
        </w:rPr>
      </w:pPr>
      <w:r w:rsidRPr="007F21E1">
        <w:rPr>
          <w:rFonts w:ascii="Times New Roman" w:eastAsia="Times New Roman" w:hAnsi="Times New Roman" w:cs="Times New Roman"/>
          <w:kern w:val="0"/>
          <w:lang w:eastAsia="en-IN"/>
          <w14:ligatures w14:val="none"/>
        </w:rPr>
        <w:t xml:space="preserve">Environmental stressors, </w:t>
      </w:r>
      <w:r w:rsidR="00753384" w:rsidRPr="007F21E1">
        <w:rPr>
          <w:rFonts w:ascii="Times New Roman" w:eastAsia="Times New Roman" w:hAnsi="Times New Roman" w:cs="Times New Roman"/>
          <w:kern w:val="0"/>
          <w:lang w:eastAsia="en-IN"/>
          <w14:ligatures w14:val="none"/>
        </w:rPr>
        <w:t>chiefly</w:t>
      </w:r>
      <w:r w:rsidRPr="007F21E1">
        <w:rPr>
          <w:rFonts w:ascii="Times New Roman" w:eastAsia="Times New Roman" w:hAnsi="Times New Roman" w:cs="Times New Roman"/>
          <w:kern w:val="0"/>
          <w:lang w:eastAsia="en-IN"/>
          <w14:ligatures w14:val="none"/>
        </w:rPr>
        <w:t xml:space="preserve"> drought and flooding, can increase teak’s susceptibility to decay. Drought stress affects physiological and biochemical processes, leading to reduced photosynthesis, transpiration, and overall health (Galeano et al., 2019). Additionally, drought stress can lead to false ring formation, potentially weakening wood quality and increasing decay susceptibility (Priya &amp; Bhat, 1998). </w:t>
      </w:r>
      <w:r w:rsidR="00753384" w:rsidRPr="007F21E1">
        <w:rPr>
          <w:rFonts w:ascii="Times New Roman" w:eastAsia="Times New Roman" w:hAnsi="Times New Roman" w:cs="Times New Roman"/>
          <w:kern w:val="0"/>
          <w:lang w:eastAsia="en-IN"/>
          <w14:ligatures w14:val="none"/>
        </w:rPr>
        <w:t>Besides</w:t>
      </w:r>
      <w:r w:rsidRPr="007F21E1">
        <w:rPr>
          <w:rFonts w:ascii="Times New Roman" w:eastAsia="Times New Roman" w:hAnsi="Times New Roman" w:cs="Times New Roman"/>
          <w:kern w:val="0"/>
          <w:lang w:eastAsia="en-IN"/>
          <w14:ligatures w14:val="none"/>
        </w:rPr>
        <w:t>, teak grown in wetter sites has lower extractive content, reducing its resistance to decay (Thulasidas &amp; Bhat, 2006).</w:t>
      </w:r>
    </w:p>
    <w:p w14:paraId="08DED4EE" w14:textId="77C5D848" w:rsidR="00525B82" w:rsidRPr="007F21E1" w:rsidRDefault="005C2D82" w:rsidP="009558EF">
      <w:pPr>
        <w:spacing w:line="240" w:lineRule="auto"/>
        <w:ind w:left="-180"/>
        <w:jc w:val="both"/>
        <w:rPr>
          <w:rFonts w:ascii="Times New Roman" w:eastAsia="Times New Roman" w:hAnsi="Times New Roman" w:cs="Times New Roman"/>
          <w:b/>
          <w:bCs/>
          <w:kern w:val="0"/>
          <w:lang w:eastAsia="en-IN"/>
          <w14:ligatures w14:val="none"/>
        </w:rPr>
      </w:pPr>
      <w:r w:rsidRPr="007F21E1">
        <w:rPr>
          <w:rFonts w:ascii="Times New Roman" w:eastAsia="Times New Roman" w:hAnsi="Times New Roman" w:cs="Times New Roman"/>
          <w:kern w:val="0"/>
          <w:lang w:eastAsia="en-IN"/>
          <w14:ligatures w14:val="none"/>
        </w:rPr>
        <w:t xml:space="preserve">While teak is naturally resistant to decay, genetic factors influence its durability. The interaction between genetics and environmental conditions determines teak’s extractive composition, with teak from drier sites generally exhibiting higher decay resistance due to increased naphthoquinone content (Thulasidas &amp; Bhat, 2006). The selective breeding of teak for improved decay resistance </w:t>
      </w:r>
      <w:r w:rsidR="006D592C" w:rsidRPr="006D592C">
        <w:rPr>
          <w:rFonts w:ascii="Times New Roman" w:eastAsia="Times New Roman" w:hAnsi="Times New Roman" w:cs="Times New Roman"/>
          <w:kern w:val="0"/>
          <w:lang w:eastAsia="en-IN"/>
          <w14:ligatures w14:val="none"/>
        </w:rPr>
        <w:t>may help</w:t>
      </w:r>
      <w:r w:rsidRPr="007F21E1">
        <w:rPr>
          <w:rFonts w:ascii="Times New Roman" w:eastAsia="Times New Roman" w:hAnsi="Times New Roman" w:cs="Times New Roman"/>
          <w:kern w:val="0"/>
          <w:lang w:eastAsia="en-IN"/>
          <w14:ligatures w14:val="none"/>
        </w:rPr>
        <w:t xml:space="preserve"> in mitigat</w:t>
      </w:r>
      <w:r w:rsidR="006D592C">
        <w:rPr>
          <w:rFonts w:ascii="Times New Roman" w:eastAsia="Times New Roman" w:hAnsi="Times New Roman" w:cs="Times New Roman"/>
          <w:kern w:val="0"/>
          <w:lang w:eastAsia="en-IN"/>
          <w14:ligatures w14:val="none"/>
        </w:rPr>
        <w:t>e</w:t>
      </w:r>
      <w:r w:rsidRPr="007F21E1">
        <w:rPr>
          <w:rFonts w:ascii="Times New Roman" w:eastAsia="Times New Roman" w:hAnsi="Times New Roman" w:cs="Times New Roman"/>
          <w:kern w:val="0"/>
          <w:lang w:eastAsia="en-IN"/>
          <w14:ligatures w14:val="none"/>
        </w:rPr>
        <w:t xml:space="preserve"> internal decay</w:t>
      </w:r>
      <w:r w:rsidR="006D592C">
        <w:rPr>
          <w:rFonts w:ascii="Times New Roman" w:eastAsia="Times New Roman" w:hAnsi="Times New Roman" w:cs="Times New Roman"/>
          <w:kern w:val="0"/>
          <w:lang w:eastAsia="en-IN"/>
          <w14:ligatures w14:val="none"/>
        </w:rPr>
        <w:t>.</w:t>
      </w:r>
    </w:p>
    <w:p w14:paraId="60162B3F" w14:textId="750B3176" w:rsidR="00E30305" w:rsidRPr="007D2653" w:rsidRDefault="00FE0269" w:rsidP="009558EF">
      <w:pPr>
        <w:spacing w:line="240" w:lineRule="auto"/>
        <w:ind w:left="-180"/>
        <w:jc w:val="both"/>
        <w:rPr>
          <w:rFonts w:ascii="Times New Roman" w:eastAsia="Times New Roman" w:hAnsi="Times New Roman" w:cs="Times New Roman"/>
          <w:b/>
          <w:bCs/>
          <w:kern w:val="0"/>
          <w:lang w:eastAsia="en-IN"/>
          <w14:ligatures w14:val="none"/>
        </w:rPr>
      </w:pPr>
      <w:r>
        <w:rPr>
          <w:rFonts w:ascii="Times New Roman" w:eastAsia="Times New Roman" w:hAnsi="Times New Roman" w:cs="Times New Roman"/>
          <w:kern w:val="0"/>
          <w:lang w:eastAsia="en-IN"/>
          <w14:ligatures w14:val="none"/>
        </w:rPr>
        <w:t>T</w:t>
      </w:r>
      <w:r w:rsidR="006D592C">
        <w:rPr>
          <w:rFonts w:ascii="Times New Roman" w:eastAsia="Times New Roman" w:hAnsi="Times New Roman" w:cs="Times New Roman"/>
          <w:kern w:val="0"/>
          <w:lang w:eastAsia="en-IN"/>
          <w14:ligatures w14:val="none"/>
        </w:rPr>
        <w:t>hough</w:t>
      </w:r>
      <w:r w:rsidR="005C2D82" w:rsidRPr="007F21E1">
        <w:rPr>
          <w:rFonts w:ascii="Times New Roman" w:eastAsia="Times New Roman" w:hAnsi="Times New Roman" w:cs="Times New Roman"/>
          <w:kern w:val="0"/>
          <w:lang w:eastAsia="en-IN"/>
          <w14:ligatures w14:val="none"/>
        </w:rPr>
        <w:t xml:space="preserve"> </w:t>
      </w:r>
      <w:r w:rsidR="006D592C">
        <w:rPr>
          <w:rFonts w:ascii="Times New Roman" w:eastAsia="Times New Roman" w:hAnsi="Times New Roman" w:cs="Times New Roman"/>
          <w:kern w:val="0"/>
          <w:lang w:eastAsia="en-IN"/>
          <w14:ligatures w14:val="none"/>
        </w:rPr>
        <w:t>t</w:t>
      </w:r>
      <w:r>
        <w:rPr>
          <w:rFonts w:ascii="Times New Roman" w:eastAsia="Times New Roman" w:hAnsi="Times New Roman" w:cs="Times New Roman"/>
          <w:kern w:val="0"/>
          <w:lang w:eastAsia="en-IN"/>
          <w14:ligatures w14:val="none"/>
        </w:rPr>
        <w:t>eak</w:t>
      </w:r>
      <w:r w:rsidR="006D592C">
        <w:rPr>
          <w:rFonts w:ascii="Times New Roman" w:eastAsia="Times New Roman" w:hAnsi="Times New Roman" w:cs="Times New Roman"/>
          <w:kern w:val="0"/>
          <w:lang w:eastAsia="en-IN"/>
          <w14:ligatures w14:val="none"/>
        </w:rPr>
        <w:t xml:space="preserve"> </w:t>
      </w:r>
      <w:r w:rsidR="005C2D82" w:rsidRPr="007F21E1">
        <w:rPr>
          <w:rFonts w:ascii="Times New Roman" w:eastAsia="Times New Roman" w:hAnsi="Times New Roman" w:cs="Times New Roman"/>
          <w:kern w:val="0"/>
          <w:lang w:eastAsia="en-IN"/>
          <w14:ligatures w14:val="none"/>
        </w:rPr>
        <w:t>is generally durable, variations in growing conditions and tree management practices can significantly impact its decay resistance. Understanding these factors can aid in better preservation techniques, sustainable plantation management, and the selection of more resistant teak varieties for commercial and industrial use.</w:t>
      </w:r>
    </w:p>
    <w:p w14:paraId="44382382" w14:textId="613C4454" w:rsidR="00463DCD" w:rsidRPr="007F21E1" w:rsidRDefault="005C2D82" w:rsidP="009558EF">
      <w:pPr>
        <w:spacing w:before="100" w:beforeAutospacing="1" w:after="100" w:afterAutospacing="1" w:line="240" w:lineRule="auto"/>
        <w:ind w:left="-180"/>
        <w:jc w:val="both"/>
        <w:rPr>
          <w:rFonts w:ascii="Times New Roman" w:eastAsia="Times New Roman" w:hAnsi="Times New Roman" w:cs="Times New Roman"/>
          <w:b/>
          <w:kern w:val="0"/>
          <w:lang w:eastAsia="en-IN"/>
          <w14:ligatures w14:val="none"/>
        </w:rPr>
      </w:pPr>
      <w:r w:rsidRPr="007F21E1">
        <w:rPr>
          <w:rFonts w:ascii="Times New Roman" w:hAnsi="Times New Roman" w:cs="Times New Roman"/>
          <w:b/>
          <w:bCs/>
        </w:rPr>
        <w:t xml:space="preserve">Symptoms and detection of internal decay </w:t>
      </w:r>
      <w:r w:rsidR="00735C91" w:rsidRPr="007F21E1">
        <w:rPr>
          <w:rFonts w:ascii="Times New Roman" w:hAnsi="Times New Roman" w:cs="Times New Roman"/>
          <w:b/>
        </w:rPr>
        <w:t xml:space="preserve">        </w:t>
      </w:r>
    </w:p>
    <w:p w14:paraId="2E146D62" w14:textId="3F4B7037" w:rsidR="00A65CCA" w:rsidRPr="007F21E1" w:rsidRDefault="00B17851" w:rsidP="009558EF">
      <w:pPr>
        <w:pStyle w:val="NormalWeb"/>
        <w:ind w:left="-180"/>
        <w:jc w:val="both"/>
      </w:pPr>
      <w:r w:rsidRPr="007F21E1">
        <w:t xml:space="preserve">Internal decay in teak can be recognized through various indicators and evaluated using visual examination, non-invasive, and invasive testing methods. </w:t>
      </w:r>
      <w:r w:rsidR="00E30305" w:rsidRPr="007F21E1">
        <w:t>Knowing</w:t>
      </w:r>
      <w:r w:rsidRPr="007F21E1">
        <w:t xml:space="preserve"> these approaches is essential for timely recognition and efficient management of decay in teak trees.</w:t>
      </w:r>
    </w:p>
    <w:p w14:paraId="01C89CBC" w14:textId="38768F1F" w:rsidR="001A1847" w:rsidRPr="007F21E1" w:rsidRDefault="00B17851" w:rsidP="009558EF">
      <w:pPr>
        <w:pStyle w:val="NormalWeb"/>
        <w:ind w:left="-180"/>
        <w:jc w:val="both"/>
      </w:pPr>
      <w:r w:rsidRPr="007F21E1">
        <w:t xml:space="preserve">Visual signs of internal decay in teak include alterations in wood </w:t>
      </w:r>
      <w:proofErr w:type="spellStart"/>
      <w:r w:rsidRPr="007F21E1">
        <w:t>color</w:t>
      </w:r>
      <w:proofErr w:type="spellEnd"/>
      <w:r w:rsidRPr="007F21E1">
        <w:t xml:space="preserve">, particularly a brownish discoloration of the tissues. Other indicators comprise wood </w:t>
      </w:r>
      <w:r w:rsidR="00FE0269" w:rsidRPr="007F21E1">
        <w:t>cracking</w:t>
      </w:r>
      <w:r w:rsidRPr="007F21E1">
        <w:t xml:space="preserve"> and the emergence of fruiting bodies from decay-inducing fungi. Furthermore, the wood's structural soundness may be compromised by the development of internal hollows or cavities, further indicating potential decay (</w:t>
      </w:r>
      <w:proofErr w:type="spellStart"/>
      <w:r w:rsidRPr="007F21E1">
        <w:t>Lammertyn</w:t>
      </w:r>
      <w:proofErr w:type="spellEnd"/>
      <w:r w:rsidRPr="007F21E1">
        <w:t xml:space="preserve"> et al., 2003). It is worth </w:t>
      </w:r>
      <w:r w:rsidR="00E30305" w:rsidRPr="007F21E1">
        <w:t>seeing</w:t>
      </w:r>
      <w:r w:rsidRPr="007F21E1">
        <w:t xml:space="preserve"> that visual inspection alone may not always accurately reflect the extent of internal decay, especially in its initial phases, necessitating the use of more sophisticated detection techniques (Chen et al., 2023). </w:t>
      </w:r>
    </w:p>
    <w:p w14:paraId="6EC6685F" w14:textId="532A31CE" w:rsidR="001A1847" w:rsidRPr="007F21E1" w:rsidRDefault="00B17851" w:rsidP="009558EF">
      <w:pPr>
        <w:pStyle w:val="NormalWeb"/>
        <w:ind w:left="-180"/>
        <w:jc w:val="both"/>
      </w:pPr>
      <w:r w:rsidRPr="007F21E1">
        <w:t xml:space="preserve">Non-destructive testing (NDT) techniques have become increasingly popular for identifying internal decay in trees, including teak. Ground Penetrating Radar (GPR) has proven to be a highly effective and precise method for monitoring and detecting decay within tree trunks. The irregular form of trunks and their </w:t>
      </w:r>
      <w:r w:rsidR="00FE0269" w:rsidRPr="007F21E1">
        <w:t>compound</w:t>
      </w:r>
      <w:r w:rsidRPr="007F21E1">
        <w:t xml:space="preserve"> internal structures can make GPR data interpretation difficult. To overcome this, a </w:t>
      </w:r>
      <w:r w:rsidR="004258D2" w:rsidRPr="007F21E1">
        <w:t>complex</w:t>
      </w:r>
      <w:r w:rsidRPr="007F21E1">
        <w:t xml:space="preserve"> approach utilizing 3D point cloud technology, Canny edge detection algorithm, and advanced imaging techniques such as back-propagation (BP) and reverse time migration (RTM) has been </w:t>
      </w:r>
      <w:r w:rsidR="00FE0269" w:rsidRPr="007F21E1">
        <w:t>suggested</w:t>
      </w:r>
      <w:r w:rsidRPr="007F21E1">
        <w:t>. This method has demonstrated promising results in accurately depicting the internal structure of tree cross-sections and identifying underlying decay and cavities (Chen et al., 2023).</w:t>
      </w:r>
    </w:p>
    <w:p w14:paraId="07DB4061" w14:textId="4F39ADB3" w:rsidR="001A1847" w:rsidRPr="007F21E1" w:rsidRDefault="00B17851" w:rsidP="009558EF">
      <w:pPr>
        <w:pStyle w:val="NormalWeb"/>
        <w:ind w:left="-180"/>
        <w:jc w:val="both"/>
      </w:pPr>
      <w:r w:rsidRPr="007F21E1">
        <w:lastRenderedPageBreak/>
        <w:t>X-ray CT imaging and magnetic resonance imaging (MRI) have also been effectively employed to examine internal disorders in wood, distinguishing between healthy tissue, brown tissue, and cavities (</w:t>
      </w:r>
      <w:proofErr w:type="spellStart"/>
      <w:r w:rsidRPr="007F21E1">
        <w:t>Lammertyn</w:t>
      </w:r>
      <w:proofErr w:type="spellEnd"/>
      <w:r w:rsidRPr="007F21E1">
        <w:t xml:space="preserve"> et al., 2003). Various non-destructive testing (NDT) methods have been utilized for detecting internal decay in timber, such as infrared thermography, microwave reflectometry, and time-of-flight tomography. For teak specifically, techniques like ultrasonic testing, infrared thermography, and acoustic emission can be employed. These wave-based approaches offer the benefit of being non-invasive while providing valuable insights into the wood's internal condition. They enable the identification of decay, structural </w:t>
      </w:r>
      <w:r w:rsidR="004258D2" w:rsidRPr="007F21E1">
        <w:t>defects</w:t>
      </w:r>
      <w:r w:rsidRPr="007F21E1">
        <w:t xml:space="preserve">, damage, and moisture accumulation in timber without causing physical harm to the material (Riggio et al., 2016). </w:t>
      </w:r>
    </w:p>
    <w:p w14:paraId="39E792E3" w14:textId="724B94CF" w:rsidR="004258D2" w:rsidRPr="007F21E1" w:rsidRDefault="00B17851" w:rsidP="009558EF">
      <w:pPr>
        <w:pStyle w:val="NormalWeb"/>
        <w:ind w:left="-180"/>
        <w:jc w:val="both"/>
      </w:pPr>
      <w:r w:rsidRPr="007F21E1">
        <w:t xml:space="preserve">Although destructive testing methods may yield more conclusive results, they are generally avoided for valuable trees like teak. For more localized testing, the </w:t>
      </w:r>
      <w:proofErr w:type="spellStart"/>
      <w:r w:rsidRPr="007F21E1">
        <w:t>Resistograph</w:t>
      </w:r>
      <w:proofErr w:type="spellEnd"/>
      <w:r w:rsidRPr="007F21E1">
        <w:t>, a quasi-non-destructive method, can be employed. It correlates drilling resistance with wood density, allowing assessment of the extent of wood damage and internal defects. The selection of detection method often depends on factors such as the tree's size, location, and the suspected extent of decay (Dwivedi et al., 2018; Gupta &amp; Khan, 2021).</w:t>
      </w:r>
    </w:p>
    <w:p w14:paraId="4B78DC33" w14:textId="77777777" w:rsidR="001A1847" w:rsidRPr="007F21E1" w:rsidRDefault="001A1847" w:rsidP="009558EF">
      <w:pPr>
        <w:pStyle w:val="NormalWeb"/>
        <w:ind w:left="-180"/>
        <w:jc w:val="both"/>
        <w:rPr>
          <w:b/>
        </w:rPr>
      </w:pPr>
      <w:r w:rsidRPr="007F21E1">
        <w:rPr>
          <w:b/>
        </w:rPr>
        <w:t>Consequences of Internal Decay in Teak Plantations</w:t>
      </w:r>
    </w:p>
    <w:p w14:paraId="1AE7FCF7" w14:textId="77777777" w:rsidR="001A1847" w:rsidRPr="007F21E1" w:rsidRDefault="001A1847" w:rsidP="009558EF">
      <w:pPr>
        <w:pStyle w:val="NormalWeb"/>
        <w:ind w:left="-180"/>
        <w:jc w:val="both"/>
        <w:rPr>
          <w:b/>
        </w:rPr>
      </w:pPr>
      <w:r w:rsidRPr="007F21E1">
        <w:rPr>
          <w:b/>
        </w:rPr>
        <w:t xml:space="preserve">Economic and Environmental Effects </w:t>
      </w:r>
    </w:p>
    <w:p w14:paraId="470D6848" w14:textId="77777777" w:rsidR="001A1847" w:rsidRPr="007F21E1" w:rsidRDefault="001A1847" w:rsidP="009558EF">
      <w:pPr>
        <w:pStyle w:val="NormalWeb"/>
        <w:ind w:left="-180"/>
        <w:jc w:val="both"/>
      </w:pPr>
      <w:r w:rsidRPr="007F21E1">
        <w:t>Internal decay in teak plantations can significantly impact economic outcomes, mainly by reducing timber quality and yield. As teak is a highly prized hardwood, internal decay can substantially decrease its market value. Wood affected by decay often lacks structural integrity, making it unsuitable for premium applications like furniture manufacturing and construction (</w:t>
      </w:r>
      <w:proofErr w:type="spellStart"/>
      <w:r w:rsidRPr="007F21E1">
        <w:t>Nölte</w:t>
      </w:r>
      <w:proofErr w:type="spellEnd"/>
      <w:r w:rsidRPr="007F21E1">
        <w:t xml:space="preserve"> et al., 2018). Rapid-growth plantations, which typically harvest trees between 15-30 years with log diameters ranging from 12 to 30 cm (Moya et al., 2014), are especially susceptible, as internal decay can considerably reduce the usable volume of these smaller logs, thereby diminishing financial returns. The environmental implications of internal decay in teak plantations are multifaceted. While teak plantations are commonly used for reforestation and timber production, they may not always promote high biodiversity (Healey &amp; Gara, 2002). If internal decay results in early tree mortality, it could create gaps in the canopy that might allow native species to establish, potentially increasing biodiversity (Macdonald et al., 2009). However, decay-related tree loss could also decrease carbon sequestration potential and increase fire risks due to accumulated deadwood, potentially endangering surrounding ecosystems. Furthermore, transforming native forests into teak monocultures can modify soil microbial communities, affecting nutrient cycling and plant-soil interactions (Gannes et al., 2016). Implementing sustainable management practices is crucial to mitigate these adverse effects and enhance the ecological benefits of teak plantations. </w:t>
      </w:r>
    </w:p>
    <w:p w14:paraId="5898B279" w14:textId="77777777" w:rsidR="00C243FC" w:rsidRDefault="00C243FC" w:rsidP="009558EF">
      <w:pPr>
        <w:pStyle w:val="NormalWeb"/>
        <w:ind w:left="-180"/>
        <w:jc w:val="both"/>
        <w:rPr>
          <w:b/>
        </w:rPr>
      </w:pPr>
    </w:p>
    <w:p w14:paraId="71772CBF" w14:textId="77777777" w:rsidR="007D2653" w:rsidRDefault="007D2653" w:rsidP="009558EF">
      <w:pPr>
        <w:pStyle w:val="NormalWeb"/>
        <w:ind w:left="-180"/>
        <w:jc w:val="both"/>
        <w:rPr>
          <w:b/>
        </w:rPr>
      </w:pPr>
    </w:p>
    <w:p w14:paraId="7503ADBC" w14:textId="77777777" w:rsidR="00C243FC" w:rsidRDefault="00C243FC" w:rsidP="009558EF">
      <w:pPr>
        <w:pStyle w:val="NormalWeb"/>
        <w:ind w:left="-180"/>
        <w:jc w:val="both"/>
        <w:rPr>
          <w:b/>
        </w:rPr>
      </w:pPr>
    </w:p>
    <w:p w14:paraId="3FEC7726" w14:textId="77777777" w:rsidR="00CE6C65" w:rsidRDefault="00CE6C65" w:rsidP="009558EF">
      <w:pPr>
        <w:pStyle w:val="NormalWeb"/>
        <w:ind w:left="-180"/>
        <w:jc w:val="both"/>
        <w:rPr>
          <w:b/>
        </w:rPr>
      </w:pPr>
    </w:p>
    <w:p w14:paraId="3BE67DB2" w14:textId="77777777" w:rsidR="00CE6C65" w:rsidRDefault="00CE6C65" w:rsidP="009558EF">
      <w:pPr>
        <w:pStyle w:val="NormalWeb"/>
        <w:ind w:left="-180"/>
        <w:jc w:val="both"/>
        <w:rPr>
          <w:b/>
        </w:rPr>
      </w:pPr>
    </w:p>
    <w:p w14:paraId="45DE212B" w14:textId="06E47B53" w:rsidR="001A1847" w:rsidRPr="007F21E1" w:rsidRDefault="001A1847" w:rsidP="009558EF">
      <w:pPr>
        <w:pStyle w:val="NormalWeb"/>
        <w:ind w:left="-180"/>
        <w:jc w:val="both"/>
      </w:pPr>
      <w:r w:rsidRPr="007F21E1">
        <w:rPr>
          <w:b/>
        </w:rPr>
        <w:lastRenderedPageBreak/>
        <w:t>Social Impact</w:t>
      </w:r>
      <w:r w:rsidRPr="007F21E1">
        <w:t xml:space="preserve"> </w:t>
      </w:r>
    </w:p>
    <w:p w14:paraId="73397122" w14:textId="75AB489B" w:rsidR="001A1847" w:rsidRPr="007F21E1" w:rsidRDefault="001A1847" w:rsidP="009558EF">
      <w:pPr>
        <w:pStyle w:val="NormalWeb"/>
        <w:ind w:left="-180"/>
        <w:jc w:val="both"/>
      </w:pPr>
      <w:r w:rsidRPr="007F21E1">
        <w:t xml:space="preserve">Teak plantations play a crucial role in local economies and rural livelihoods, especially in regions where timber production is a primary source of income. For instance, smallholder teak systems contribute approximately 40% of household income from agricultural and timber crops in Indonesia (Roshetko et al., 2013). However, internal decay could reduce tree productivity, resulting in lower yields and financial losses for farmers and workers who rely on the industry. Additionally, the sustainability of teak plantations directly influences </w:t>
      </w:r>
      <w:proofErr w:type="spellStart"/>
      <w:r w:rsidRPr="007F21E1">
        <w:t>labor</w:t>
      </w:r>
      <w:proofErr w:type="spellEnd"/>
      <w:r w:rsidRPr="007F21E1">
        <w:t xml:space="preserve"> markets. If decay-related losses reduce profitability, it could lead to fewer employment opportunities for workers involved in planting, harvesting, and processing teak wood. Ensuring proper plantation management and disease prevention strategies is vital to maintaining economic stability in these communities. Identifying internal decay in teak requires a combination of visual assessment and advanced testing methods. While visual symptoms offer initial indications, non-destructive techniques such as GPR, X-ray CT imaging, and ultrasonic testing provide accurate and non-invasive ways to evaluate internal wood health. In situations where more precise data is required, quasi-non-destructive methods like the </w:t>
      </w:r>
      <w:proofErr w:type="spellStart"/>
      <w:r w:rsidRPr="007F21E1">
        <w:t>Resistograph</w:t>
      </w:r>
      <w:proofErr w:type="spellEnd"/>
      <w:r w:rsidRPr="007F21E1">
        <w:t xml:space="preserve"> can be employed. Moreover, internal decay has wide-ranging implications for teak plantations, impacting economic viability, environmental stability, and social well-being. By incorporating effective detection, management, and preventive strategies, teak plantations can sustain productivity, support local communities, and minimize ecological impacts.</w:t>
      </w:r>
    </w:p>
    <w:p w14:paraId="6E1FF53D" w14:textId="5C48F8DF" w:rsidR="005C2D82" w:rsidRPr="007F21E1" w:rsidRDefault="005C2D82" w:rsidP="009558EF">
      <w:pPr>
        <w:pStyle w:val="NormalWeb"/>
        <w:ind w:left="-180"/>
        <w:jc w:val="both"/>
      </w:pPr>
      <w:r w:rsidRPr="007F21E1">
        <w:rPr>
          <w:b/>
          <w:bCs/>
        </w:rPr>
        <w:t>Management strategies for internal decay</w:t>
      </w:r>
      <w:r w:rsidRPr="007F21E1">
        <w:t xml:space="preserve"> </w:t>
      </w:r>
    </w:p>
    <w:p w14:paraId="15E4D3D5" w14:textId="77777777" w:rsidR="005F75FD" w:rsidRPr="007F21E1" w:rsidRDefault="004537FB" w:rsidP="009558EF">
      <w:pPr>
        <w:pStyle w:val="NormalWeb"/>
        <w:ind w:left="-180"/>
        <w:jc w:val="both"/>
      </w:pPr>
      <w:r w:rsidRPr="007F21E1">
        <w:t>Effective management strategies for internal decay in teak plantations involve a combination of silvicultural practices, chemical treatments, biological control methods, and breeding programs for resistant varieties. Implementing an integrated approach is essential to maintaining tree health, improving timber quality, and ensuring the sustainability of teak plantations.</w:t>
      </w:r>
    </w:p>
    <w:p w14:paraId="1FD3437F" w14:textId="6C164E5C" w:rsidR="004537FB" w:rsidRPr="007F21E1" w:rsidRDefault="004537FB" w:rsidP="009558EF">
      <w:pPr>
        <w:pStyle w:val="NormalWeb"/>
        <w:ind w:left="-180"/>
        <w:jc w:val="both"/>
      </w:pPr>
      <w:r w:rsidRPr="007F21E1">
        <w:t xml:space="preserve">Silvicultural practices, including thinning and pruning, play a crucial role in managing internal decay. Thinning helps maintain optimal stand density, reducing competition for resources and enhancing tree </w:t>
      </w:r>
      <w:proofErr w:type="spellStart"/>
      <w:r w:rsidRPr="007F21E1">
        <w:t>vigor</w:t>
      </w:r>
      <w:proofErr w:type="spellEnd"/>
      <w:r w:rsidRPr="007F21E1">
        <w:t>, which in turn decreases susceptibility to decay-causing pathogens (Pachas et al., 2019). Studies have shown that moderate-intensity thinning can improve stand resilience and reduce the likelihood of decay (Muzika, 2017).</w:t>
      </w:r>
    </w:p>
    <w:p w14:paraId="76D15585" w14:textId="77777777" w:rsidR="005F75FD" w:rsidRPr="007F21E1" w:rsidRDefault="004537FB" w:rsidP="009558EF">
      <w:pPr>
        <w:pStyle w:val="NormalWeb"/>
        <w:ind w:left="-180"/>
        <w:jc w:val="both"/>
      </w:pPr>
      <w:r w:rsidRPr="007F21E1">
        <w:t>Pruning is another essential practice, as it reduces the number of knots and potential entry points for decay fungi. Proper pruning techniques can improve wood quality and minimize infections. Research indicates that pruning 40% of the crown biomass at key growth stages (years 4, 10, and 15) maximizes wood volume production while maintaining tree health (</w:t>
      </w:r>
      <w:proofErr w:type="spellStart"/>
      <w:r w:rsidRPr="007F21E1">
        <w:t>Khasanah</w:t>
      </w:r>
      <w:proofErr w:type="spellEnd"/>
      <w:r w:rsidRPr="007F21E1">
        <w:t xml:space="preserve"> et al., 2015). However, improper pruning techniques may increase the risk of fungal infections, underscoring the importance of following best practices in silvicultural management.</w:t>
      </w:r>
    </w:p>
    <w:p w14:paraId="1B44FFE0" w14:textId="77777777" w:rsidR="005F75FD" w:rsidRPr="007F21E1" w:rsidRDefault="004537FB" w:rsidP="009558EF">
      <w:pPr>
        <w:pStyle w:val="NormalWeb"/>
        <w:ind w:left="-180"/>
        <w:jc w:val="both"/>
      </w:pPr>
      <w:r w:rsidRPr="007F21E1">
        <w:t>Chemical treatments, such as fungicides and insecticides, are commonly used to manage decay-related pathogens in forest plantations. While their application in teak plantations has not been extensively studied, some evidence suggests that natural extracts from teak heartwood could serve as an eco-friendly alternative to synthetic fungicides. A study demonstrated that ethanol-based teak heartwood extractives significantly improved decay resistance against brown and white rot fungi (Brocco et al., 2016). The natural resistance of teak heartwood to decay suggests potential for developing bio</w:t>
      </w:r>
      <w:r w:rsidR="00C805A5" w:rsidRPr="007F21E1">
        <w:t>-</w:t>
      </w:r>
      <w:r w:rsidRPr="007F21E1">
        <w:t>preservative treatments using its own extractives.</w:t>
      </w:r>
    </w:p>
    <w:p w14:paraId="65496C05" w14:textId="77777777" w:rsidR="00B33B9B" w:rsidRPr="007F21E1" w:rsidRDefault="004537FB" w:rsidP="009558EF">
      <w:pPr>
        <w:pStyle w:val="NormalWeb"/>
        <w:ind w:left="-180"/>
        <w:jc w:val="both"/>
      </w:pPr>
      <w:r w:rsidRPr="007F21E1">
        <w:lastRenderedPageBreak/>
        <w:t>Additionally, chemical repellents have been used to prevent animal damage in forest plantations (Black, 1992). If animal damage contributes to decay issues in teak, targeted chemical treatments could be a viable management approach.</w:t>
      </w:r>
    </w:p>
    <w:p w14:paraId="0B01D333" w14:textId="450B95B3" w:rsidR="004537FB" w:rsidRPr="007F21E1" w:rsidRDefault="004537FB" w:rsidP="009558EF">
      <w:pPr>
        <w:pStyle w:val="NormalWeb"/>
        <w:ind w:left="-180"/>
        <w:jc w:val="both"/>
      </w:pPr>
      <w:r w:rsidRPr="007F21E1">
        <w:t>Biological control strategies offer an environmentally friendly alternative to chemical treatments. One potential approach is introducing beneficial microorganisms or fungi-antagonistic species that can suppress decay-causing pathogens. Although research specific to teak is limited, studies suggest that alternative forest management methods can enhance natural enemy pressure, thereby controlling pests and diseases more effectively (</w:t>
      </w:r>
      <w:proofErr w:type="spellStart"/>
      <w:r w:rsidRPr="007F21E1">
        <w:t>Klapwijk</w:t>
      </w:r>
      <w:proofErr w:type="spellEnd"/>
      <w:r w:rsidRPr="007F21E1">
        <w:t xml:space="preserve"> et al., 2016).</w:t>
      </w:r>
    </w:p>
    <w:p w14:paraId="70E2B227" w14:textId="77777777" w:rsidR="00B33B9B" w:rsidRPr="007F21E1" w:rsidRDefault="004537FB" w:rsidP="009558EF">
      <w:pPr>
        <w:pStyle w:val="NormalWeb"/>
        <w:ind w:left="-180"/>
        <w:jc w:val="both"/>
      </w:pPr>
      <w:r w:rsidRPr="007F21E1">
        <w:t>Teak heartwood extracts have also demonstrated antifungal properties, suggesting their potential use in biological control. The application of natural bio-preservatives derived from teak could reduce reliance on synthetic chemicals while improving decay resistance in plantation-grown teak (Brocco et al., 2016). Further research is needed to optimize the application of biological control methods for internal decay management.</w:t>
      </w:r>
    </w:p>
    <w:p w14:paraId="059A5C6A" w14:textId="4D55A88E" w:rsidR="004537FB" w:rsidRPr="007F21E1" w:rsidRDefault="004537FB" w:rsidP="009558EF">
      <w:pPr>
        <w:pStyle w:val="NormalWeb"/>
        <w:ind w:left="-180"/>
        <w:jc w:val="both"/>
      </w:pPr>
      <w:r w:rsidRPr="007F21E1">
        <w:t>Breeding programs aimed at developing decay-resistant teak varieties are a long-term solution to managing internal decay. Traditional tree improvement efforts have primarily focused on growth rate, stem form, and wood quality (Carson &amp; Carson, 1989). However, increasing attention is being given to selecting for disease resistance to enhance plantation resilience.</w:t>
      </w:r>
    </w:p>
    <w:p w14:paraId="0DD8085B" w14:textId="074E5939" w:rsidR="004537FB" w:rsidRPr="007F21E1" w:rsidRDefault="004537FB" w:rsidP="009558EF">
      <w:pPr>
        <w:pStyle w:val="NormalWeb"/>
        <w:ind w:left="-180"/>
        <w:jc w:val="both"/>
      </w:pPr>
      <w:r w:rsidRPr="007F21E1">
        <w:t>Unlike agricultural crops that often rely on single-gene resistance traits, forest tree breeding programs aim to maintain genetic diversity while improving resistance. The integration of genomics and biotechnology could accelerate the development of decay-resistant teak varieties. Additionally, citizen science initiatives that involve identifying naturally resistant trees could provide valuable genetic resources for breeding programs (Ingwell &amp; Preisser, 2010).</w:t>
      </w:r>
    </w:p>
    <w:p w14:paraId="0D840E15" w14:textId="3DB56899" w:rsidR="00C243FC" w:rsidRPr="00622DDA" w:rsidRDefault="004537FB" w:rsidP="009558EF">
      <w:pPr>
        <w:pStyle w:val="NormalWeb"/>
        <w:ind w:left="-180"/>
        <w:jc w:val="both"/>
      </w:pPr>
      <w:r w:rsidRPr="007F21E1">
        <w:t>Managing internal decay in teak plantations requires an integrated approach combining silvicultural practices, chemical treatments, biological control, and breeding programs. Proper thinning and pruning practices help maintain tree health and reduce susceptibility to decay. The potential of teak heartwood extracts as a natural preservative offers an eco-friendly alternative to synthetic chemicals. Biological control methods could further enhance resistance to decay-causing fungi. Long-term breeding programs should focus on developing genetically resistant teak varieties while maintaining genetic diversity. Further research and field trials are necessary to refine these strategies and ensure their effectiveness in different growing conditions.</w:t>
      </w:r>
    </w:p>
    <w:p w14:paraId="0B49EDD0" w14:textId="2A8FC809" w:rsidR="0061633B" w:rsidRPr="007F21E1" w:rsidRDefault="005C2D82" w:rsidP="009558EF">
      <w:pPr>
        <w:pStyle w:val="NormalWeb"/>
        <w:tabs>
          <w:tab w:val="left" w:pos="6048"/>
        </w:tabs>
        <w:ind w:left="-180"/>
        <w:jc w:val="both"/>
        <w:rPr>
          <w:b/>
          <w:bCs/>
        </w:rPr>
      </w:pPr>
      <w:r w:rsidRPr="007F21E1">
        <w:rPr>
          <w:b/>
          <w:bCs/>
        </w:rPr>
        <w:t>Issues Caused Post-Harvesting and Wood Processing</w:t>
      </w:r>
      <w:r w:rsidR="00DA689D" w:rsidRPr="007F21E1">
        <w:rPr>
          <w:b/>
          <w:bCs/>
        </w:rPr>
        <w:tab/>
      </w:r>
    </w:p>
    <w:p w14:paraId="2DFD7FD4" w14:textId="76805F3F" w:rsidR="0061633B" w:rsidRPr="007F21E1" w:rsidRDefault="005C2D82" w:rsidP="009558EF">
      <w:pPr>
        <w:pStyle w:val="NormalWeb"/>
        <w:ind w:left="-180"/>
        <w:jc w:val="both"/>
        <w:rPr>
          <w:b/>
        </w:rPr>
      </w:pPr>
      <w:r w:rsidRPr="007F21E1">
        <w:rPr>
          <w:b/>
        </w:rPr>
        <w:t xml:space="preserve">Physical issues </w:t>
      </w:r>
    </w:p>
    <w:p w14:paraId="2F07125A" w14:textId="60621647" w:rsidR="004537FB" w:rsidRPr="007F21E1" w:rsidRDefault="004537FB" w:rsidP="009558EF">
      <w:pPr>
        <w:pStyle w:val="NormalWeb"/>
        <w:ind w:left="-180"/>
        <w:jc w:val="both"/>
      </w:pPr>
      <w:r w:rsidRPr="007F21E1">
        <w:t>Post-harvesting and wood processing face several physical issues that can significantly impact the quality and usability of the final products. These issues include moisture-related problems, mechanical damage, insect and fungal infestations, and physical degradation.</w:t>
      </w:r>
    </w:p>
    <w:p w14:paraId="381FBE44" w14:textId="77777777" w:rsidR="0061633B" w:rsidRPr="007F21E1" w:rsidRDefault="004537FB" w:rsidP="009558EF">
      <w:pPr>
        <w:pStyle w:val="NormalWeb"/>
        <w:ind w:left="-180"/>
        <w:jc w:val="both"/>
      </w:pPr>
      <w:r w:rsidRPr="007F21E1">
        <w:t xml:space="preserve">Moisture content plays a crucial role in wood </w:t>
      </w:r>
      <w:proofErr w:type="spellStart"/>
      <w:r w:rsidRPr="007F21E1">
        <w:t>behavior</w:t>
      </w:r>
      <w:proofErr w:type="spellEnd"/>
      <w:r w:rsidRPr="007F21E1">
        <w:t>, influencing its dimensional stability and susceptibility to defects. During drying, wood undergoes shrinkage, which can lead to warping and cracking if not properly controlled (Bond &amp; Espinoza, 2016; Gong et al., 2024). The drying process is critical in wood product manufacturing, with various methods such as kiln drying, high-temperature drying, and vacuum drying being employed to achieve the appropriate moisture content (Bond &amp; Espinoza, 2016).</w:t>
      </w:r>
    </w:p>
    <w:p w14:paraId="59F3A362" w14:textId="77777777" w:rsidR="0061633B" w:rsidRPr="007F21E1" w:rsidRDefault="004537FB" w:rsidP="009558EF">
      <w:pPr>
        <w:pStyle w:val="NormalWeb"/>
        <w:ind w:left="-180"/>
        <w:jc w:val="both"/>
      </w:pPr>
      <w:r w:rsidRPr="007F21E1">
        <w:lastRenderedPageBreak/>
        <w:t xml:space="preserve">The diffusion coefficient of wood, which affects moisture transport, is strongly dependent on temperature and moisture content, highlighting the importance of considering these factors in </w:t>
      </w:r>
      <w:r w:rsidR="0061633B" w:rsidRPr="007F21E1">
        <w:t>modelling</w:t>
      </w:r>
      <w:r w:rsidRPr="007F21E1">
        <w:t xml:space="preserve"> drying stresses and long-term serviceability analysis (</w:t>
      </w:r>
      <w:proofErr w:type="spellStart"/>
      <w:r w:rsidRPr="007F21E1">
        <w:t>Chiniforush</w:t>
      </w:r>
      <w:proofErr w:type="spellEnd"/>
      <w:r w:rsidRPr="007F21E1">
        <w:t xml:space="preserve"> et al., 2019). Sorption hysteresis also significantly impacts wood's performance under varying moisture conditions. Errors in moisture content of more than 20% can occur when not accounting for hysteresis in heat and mass transport models (Patera et al., 2015). This underscores the need to consider sorption history in assessing moisture-related damage risks such as </w:t>
      </w:r>
      <w:proofErr w:type="spellStart"/>
      <w:r w:rsidRPr="007F21E1">
        <w:t>mold</w:t>
      </w:r>
      <w:proofErr w:type="spellEnd"/>
      <w:r w:rsidRPr="007F21E1">
        <w:t xml:space="preserve"> growth, rot, or moisture-induced cracking.</w:t>
      </w:r>
    </w:p>
    <w:p w14:paraId="2AB304BF" w14:textId="77777777" w:rsidR="0061633B" w:rsidRPr="007F21E1" w:rsidRDefault="004537FB" w:rsidP="009558EF">
      <w:pPr>
        <w:pStyle w:val="NormalWeb"/>
        <w:ind w:left="-180"/>
        <w:jc w:val="both"/>
      </w:pPr>
      <w:r w:rsidRPr="007F21E1">
        <w:t>Mechanical damage, such as splits and checks, can occur during harvesting, processing, and drying. For example, in soybean seed processing, passing seeds through a vertical bucket elevator significantly increased splits and seed coat damage (Parde et al., 2002). In wood processing, the development of new drying schedules and methods to reduce drying defects has focused on mechanical restraint to prevent warp and a better understanding of defect formation (Bond &amp; Espinoza, 2016). Additionally, the natural form and structure of bamboo have been utilized to develop a processing method that results in high material utilization and low damage (Huang et al., 2023), demonstrating the potential for innovative approaches to minimize mechanical damage during processing.</w:t>
      </w:r>
    </w:p>
    <w:p w14:paraId="268F7C0B" w14:textId="77777777" w:rsidR="0061633B" w:rsidRPr="007F21E1" w:rsidRDefault="004537FB" w:rsidP="009558EF">
      <w:pPr>
        <w:pStyle w:val="NormalWeb"/>
        <w:ind w:left="-180"/>
        <w:jc w:val="both"/>
      </w:pPr>
      <w:r w:rsidRPr="007F21E1">
        <w:t>Insect and fungal infestations pose significant threats to both harvested crops and wood products. Wood</w:t>
      </w:r>
      <w:r w:rsidR="0061633B" w:rsidRPr="007F21E1">
        <w:t xml:space="preserve"> </w:t>
      </w:r>
      <w:r w:rsidRPr="007F21E1">
        <w:t>wasps, for example, can cause economic degradation of marketable timber, although their infestations are often secondary to other predisposing factors (Madden, 1988). In pistachio nuts, shell discoloration is closely related to fungal decay and insect infestation of the kernel. Nuts with ruptured hulls show varying degrees of shell discoloration, which correlates with increased kernel decay and navel orange</w:t>
      </w:r>
      <w:r w:rsidR="0061633B" w:rsidRPr="007F21E1">
        <w:t xml:space="preserve"> </w:t>
      </w:r>
      <w:r w:rsidRPr="007F21E1">
        <w:t xml:space="preserve">worm infestation (Doster &amp; </w:t>
      </w:r>
      <w:proofErr w:type="spellStart"/>
      <w:r w:rsidRPr="007F21E1">
        <w:t>Michailides</w:t>
      </w:r>
      <w:proofErr w:type="spellEnd"/>
      <w:r w:rsidRPr="007F21E1">
        <w:t xml:space="preserve">, 1999). Similarly, bark stripping wounds caused by large game animals can lead to fungal infections in wood. A study on Pinus contorta stems found that open wounds exposed sapwood to fungal colonization, with Sarea </w:t>
      </w:r>
      <w:proofErr w:type="spellStart"/>
      <w:r w:rsidRPr="007F21E1">
        <w:t>difformis</w:t>
      </w:r>
      <w:proofErr w:type="spellEnd"/>
      <w:r w:rsidRPr="007F21E1">
        <w:t xml:space="preserve"> and </w:t>
      </w:r>
      <w:proofErr w:type="spellStart"/>
      <w:r w:rsidRPr="007F21E1">
        <w:t>Peniophora</w:t>
      </w:r>
      <w:proofErr w:type="spellEnd"/>
      <w:r w:rsidRPr="007F21E1">
        <w:t xml:space="preserve"> </w:t>
      </w:r>
      <w:proofErr w:type="spellStart"/>
      <w:r w:rsidRPr="007F21E1">
        <w:t>pini</w:t>
      </w:r>
      <w:proofErr w:type="spellEnd"/>
      <w:r w:rsidRPr="007F21E1">
        <w:t xml:space="preserve"> being commonly isolated fungi (</w:t>
      </w:r>
      <w:proofErr w:type="spellStart"/>
      <w:r w:rsidRPr="007F21E1">
        <w:t>Arhipova</w:t>
      </w:r>
      <w:proofErr w:type="spellEnd"/>
      <w:r w:rsidRPr="007F21E1">
        <w:t xml:space="preserve"> et al., 2015).</w:t>
      </w:r>
    </w:p>
    <w:p w14:paraId="55070C9B" w14:textId="77777777" w:rsidR="0061633B" w:rsidRPr="007F21E1" w:rsidRDefault="004537FB" w:rsidP="009558EF">
      <w:pPr>
        <w:pStyle w:val="NormalWeb"/>
        <w:ind w:left="-180"/>
        <w:jc w:val="both"/>
      </w:pPr>
      <w:r w:rsidRPr="007F21E1">
        <w:t xml:space="preserve">Physical degradation, particularly discoloration and staining, is a prevalent issue in both post-harvesting and wood processing. In fruits and vegetables, enzymatic browning mediated by polyphenol oxidase and phenol peroxidase is a major cause of discoloration (Toivonen &amp; Brummell, 2007). Wood surfaces are also susceptible to photo-discoloration when exposed to UV-visible irradiation, with the presence of extractives influencing the rate of </w:t>
      </w:r>
      <w:proofErr w:type="spellStart"/>
      <w:r w:rsidRPr="007F21E1">
        <w:t>color</w:t>
      </w:r>
      <w:proofErr w:type="spellEnd"/>
      <w:r w:rsidRPr="007F21E1">
        <w:t xml:space="preserve"> change and apparent delignification (Pandey, 2004). Dyed wood surfaces are especially prone to discoloration under light exposure, with the degradation of dyes, lignin, and other active constituents contributing to </w:t>
      </w:r>
      <w:proofErr w:type="spellStart"/>
      <w:r w:rsidRPr="007F21E1">
        <w:t>color</w:t>
      </w:r>
      <w:proofErr w:type="spellEnd"/>
      <w:r w:rsidRPr="007F21E1">
        <w:t xml:space="preserve"> changes (Liu et al., 2015).</w:t>
      </w:r>
    </w:p>
    <w:p w14:paraId="2A77E88E" w14:textId="755D664F" w:rsidR="00E30305" w:rsidRDefault="004537FB" w:rsidP="009558EF">
      <w:pPr>
        <w:pStyle w:val="NormalWeb"/>
        <w:ind w:left="-180"/>
        <w:jc w:val="both"/>
      </w:pPr>
      <w:r w:rsidRPr="007F21E1">
        <w:t>Addressing these physical issues is crucial for maintaining product quality and value. For post-harvest preservation, techniques such as cooling, packaging, and coating can help mitigate deterioration (</w:t>
      </w:r>
      <w:proofErr w:type="spellStart"/>
      <w:r w:rsidRPr="007F21E1">
        <w:t>Asdullah</w:t>
      </w:r>
      <w:proofErr w:type="spellEnd"/>
      <w:r w:rsidRPr="007F21E1">
        <w:t xml:space="preserve"> et al., 2024). In wood processing, understanding the factors influencing discoloration and degradation can inform strategies to protect wood surfaces and enhance their durability (Hadi et al., 2022; Liu et al., 2017). Overall, optimizing drying processes, considering sorption hysteresis in moisture transport models, and developing innovative processing methods can significantly reduce defects and improve wood quality in post-harvesting and processing operations.</w:t>
      </w:r>
    </w:p>
    <w:p w14:paraId="40333007" w14:textId="77777777" w:rsidR="00622DDA" w:rsidRDefault="00622DDA" w:rsidP="009558EF">
      <w:pPr>
        <w:pStyle w:val="NormalWeb"/>
        <w:ind w:left="-180"/>
        <w:jc w:val="both"/>
      </w:pPr>
    </w:p>
    <w:p w14:paraId="4B677C1F" w14:textId="77777777" w:rsidR="00CE6C65" w:rsidRPr="007F21E1" w:rsidRDefault="00CE6C65" w:rsidP="009558EF">
      <w:pPr>
        <w:pStyle w:val="NormalWeb"/>
        <w:ind w:left="-180"/>
        <w:jc w:val="both"/>
      </w:pPr>
    </w:p>
    <w:p w14:paraId="6DE482F8" w14:textId="4B377B09" w:rsidR="0061633B" w:rsidRPr="007F21E1" w:rsidRDefault="005C2D82" w:rsidP="009558EF">
      <w:pPr>
        <w:pStyle w:val="NormalWeb"/>
        <w:ind w:left="-180"/>
        <w:jc w:val="both"/>
        <w:rPr>
          <w:b/>
          <w:bCs/>
        </w:rPr>
      </w:pPr>
      <w:r w:rsidRPr="007F21E1">
        <w:rPr>
          <w:b/>
          <w:bCs/>
        </w:rPr>
        <w:lastRenderedPageBreak/>
        <w:t xml:space="preserve">Chemical issues </w:t>
      </w:r>
    </w:p>
    <w:p w14:paraId="589E4ED1" w14:textId="51277A66" w:rsidR="00E0360F" w:rsidRPr="007F21E1" w:rsidRDefault="00E0360F" w:rsidP="009558EF">
      <w:pPr>
        <w:pStyle w:val="NormalWeb"/>
        <w:ind w:left="-180"/>
        <w:jc w:val="both"/>
      </w:pPr>
      <w:r w:rsidRPr="007F21E1">
        <w:t>Chemical degradation is a major concern in post-harvesting and wood processing, affecting the quality and longevity of materials. Oxidation and hydrolysis are two key chemical processes that contribute to the breakdown of organic compounds in both agricultural and wood products.</w:t>
      </w:r>
    </w:p>
    <w:p w14:paraId="4C429FE3" w14:textId="46BBF331" w:rsidR="00E0360F" w:rsidRPr="007F21E1" w:rsidRDefault="00E0360F" w:rsidP="009558EF">
      <w:pPr>
        <w:pStyle w:val="NormalWeb"/>
        <w:ind w:left="-180"/>
        <w:jc w:val="both"/>
      </w:pPr>
      <w:r w:rsidRPr="007F21E1">
        <w:t>In post-harvest storage, oxidation leads to the deterioration of sugarcane quality due to enzymatic activities and microbial proliferation. Delays between harvesting and processing result in sucrose loss, with microbial action producing acids, ethanol, and polysaccharides that hinder sugar recovery (Solomon, 2009). Similarly, oxidation in sweet potatoes can lead to enzymatic browning and spoilage if not properly managed (P et al., 2019).</w:t>
      </w:r>
    </w:p>
    <w:p w14:paraId="20688F5A" w14:textId="77777777" w:rsidR="0061633B" w:rsidRPr="007F21E1" w:rsidRDefault="00E0360F" w:rsidP="009558EF">
      <w:pPr>
        <w:pStyle w:val="NormalWeb"/>
        <w:ind w:left="-180"/>
        <w:jc w:val="both"/>
      </w:pPr>
      <w:r w:rsidRPr="007F21E1">
        <w:t>In wood processing, oxidation and hydrolysis impact durability and appearance. The presence of extractives in woods like teak contributes to resistance against oxidation, but variations in extractive content can lead to differential susceptibility (Anda et al., 2019). Hydrolysis, particularly in humid environments, breaks down wood polymers, reducing strength and increasing vulnerability to fungal attack. Addressing these degradation issues requires optimized storage, controlled drying processes, and the application of protective coatings.</w:t>
      </w:r>
    </w:p>
    <w:p w14:paraId="1B3CD5F1" w14:textId="7B104C5F" w:rsidR="00E0360F" w:rsidRPr="007F21E1" w:rsidRDefault="00E0360F" w:rsidP="009558EF">
      <w:pPr>
        <w:pStyle w:val="NormalWeb"/>
        <w:ind w:left="-180"/>
        <w:jc w:val="both"/>
      </w:pPr>
      <w:r w:rsidRPr="007F21E1">
        <w:t>Chemical contamination is a significant concern in both post-harvesting and wood processing industries, affecting product safety and environmental sustainability.</w:t>
      </w:r>
    </w:p>
    <w:p w14:paraId="6A4B5716" w14:textId="77777777" w:rsidR="0061633B" w:rsidRPr="007F21E1" w:rsidRDefault="00E0360F" w:rsidP="009558EF">
      <w:pPr>
        <w:pStyle w:val="NormalWeb"/>
        <w:ind w:left="-180"/>
        <w:jc w:val="both"/>
      </w:pPr>
      <w:r w:rsidRPr="007F21E1">
        <w:t>In agricultural products, pesticide residues and heavy metals pose risks to human health. Sugarcane processing, for example, involves the use of bactericidal solutions and anti-inversion chemicals to maintain sucrose integrity. However, improper use of these chemicals can lead to residual contamination in the final product (Solomon, 2009). Heavy metals such as lead and cadmium can accumulate in crops through soil contamination, impacting food safety.</w:t>
      </w:r>
    </w:p>
    <w:p w14:paraId="507720ED" w14:textId="77777777" w:rsidR="0061633B" w:rsidRPr="007F21E1" w:rsidRDefault="00E0360F" w:rsidP="009558EF">
      <w:pPr>
        <w:pStyle w:val="NormalWeb"/>
        <w:ind w:left="-180"/>
        <w:jc w:val="both"/>
      </w:pPr>
      <w:r w:rsidRPr="007F21E1">
        <w:t>In wood processing, chemical preservatives such as chromated copper arsenate (CCA) and newer copper-based formulations can leach into the environment, contaminating soil and water sources (Robey et al., 2018). CCA-treated wood, in particular, has been found to release arsenic at levels exceeding toxicity thresholds, raising concerns about its long-term environmental impact (Stook et al., 2004). To mitigate these risks, researchers are exploring bio-based wood preservatives with lower toxicity profiles (Barbero-López et al., 2020).</w:t>
      </w:r>
      <w:r w:rsidR="0061633B" w:rsidRPr="007F21E1">
        <w:t xml:space="preserve"> </w:t>
      </w:r>
    </w:p>
    <w:p w14:paraId="1C637B4A" w14:textId="191C6C9A" w:rsidR="00E0360F" w:rsidRPr="007F21E1" w:rsidRDefault="00E0360F" w:rsidP="009558EF">
      <w:pPr>
        <w:pStyle w:val="NormalWeb"/>
        <w:ind w:left="-180"/>
        <w:jc w:val="both"/>
      </w:pPr>
      <w:r w:rsidRPr="007F21E1">
        <w:t>Wood preservatives play a crucial role in extending the lifespan of wood products by protecting against biological degradation. However, interactions between preservatives and wood components can lead to unintended consequences.</w:t>
      </w:r>
    </w:p>
    <w:p w14:paraId="0A13086D" w14:textId="77777777" w:rsidR="0061633B" w:rsidRPr="007F21E1" w:rsidRDefault="00E0360F" w:rsidP="009558EF">
      <w:pPr>
        <w:pStyle w:val="NormalWeb"/>
        <w:ind w:left="-180"/>
        <w:jc w:val="both"/>
      </w:pPr>
      <w:r w:rsidRPr="007F21E1">
        <w:t xml:space="preserve">Teak wood, for example, contains natural extractives such as </w:t>
      </w:r>
      <w:proofErr w:type="spellStart"/>
      <w:r w:rsidRPr="007F21E1">
        <w:t>tectoquinone</w:t>
      </w:r>
      <w:proofErr w:type="spellEnd"/>
      <w:r w:rsidRPr="007F21E1">
        <w:t xml:space="preserve">, which contribute to its durability. These extractives can interact with traditional preservatives, affecting their efficacy. Studies have shown that ethanol-based teak extractives enhance decay resistance, potentially reducing the need for synthetic preservatives (Brocco </w:t>
      </w:r>
      <w:r w:rsidRPr="007F21E1">
        <w:rPr>
          <w:i/>
          <w:iCs/>
        </w:rPr>
        <w:t>et al</w:t>
      </w:r>
      <w:r w:rsidRPr="007F21E1">
        <w:t>., 2016). However, the effectiveness of extractive-based treatments varies depending on factors such as tree age and growing conditions (</w:t>
      </w:r>
      <w:proofErr w:type="spellStart"/>
      <w:r w:rsidRPr="007F21E1">
        <w:t>Rizanti</w:t>
      </w:r>
      <w:proofErr w:type="spellEnd"/>
      <w:r w:rsidRPr="007F21E1">
        <w:t xml:space="preserve"> </w:t>
      </w:r>
      <w:r w:rsidRPr="007F21E1">
        <w:rPr>
          <w:i/>
          <w:iCs/>
        </w:rPr>
        <w:t>et al</w:t>
      </w:r>
      <w:r w:rsidRPr="007F21E1">
        <w:t>., 2018).</w:t>
      </w:r>
    </w:p>
    <w:p w14:paraId="09F31534" w14:textId="77777777" w:rsidR="0061633B" w:rsidRPr="007F21E1" w:rsidRDefault="00E0360F" w:rsidP="009558EF">
      <w:pPr>
        <w:pStyle w:val="NormalWeb"/>
        <w:ind w:left="-180"/>
        <w:jc w:val="both"/>
      </w:pPr>
      <w:r w:rsidRPr="007F21E1">
        <w:t xml:space="preserve">Alternative preservation techniques, including tannin-based formulations and nanotechnology, are being explored to minimize environmental risks while maintaining wood protection. Tannin-based preservatives have shown promise in improving resistance to leaching, fire, and biological </w:t>
      </w:r>
      <w:r w:rsidRPr="007F21E1">
        <w:lastRenderedPageBreak/>
        <w:t>decay (</w:t>
      </w:r>
      <w:proofErr w:type="spellStart"/>
      <w:r w:rsidRPr="007F21E1">
        <w:t>Sommerauer</w:t>
      </w:r>
      <w:proofErr w:type="spellEnd"/>
      <w:r w:rsidRPr="007F21E1">
        <w:t xml:space="preserve"> </w:t>
      </w:r>
      <w:r w:rsidRPr="007F21E1">
        <w:rPr>
          <w:i/>
          <w:iCs/>
        </w:rPr>
        <w:t>et al</w:t>
      </w:r>
      <w:r w:rsidRPr="007F21E1">
        <w:t xml:space="preserve">., 2019). Additionally, nanoparticles have demonstrated effectiveness against termites, fungi, and UV degradation (Borges </w:t>
      </w:r>
      <w:r w:rsidRPr="007F21E1">
        <w:rPr>
          <w:i/>
          <w:iCs/>
        </w:rPr>
        <w:t>et al</w:t>
      </w:r>
      <w:r w:rsidRPr="007F21E1">
        <w:t>., 2018).</w:t>
      </w:r>
      <w:r w:rsidR="0061633B" w:rsidRPr="007F21E1">
        <w:t xml:space="preserve"> </w:t>
      </w:r>
    </w:p>
    <w:p w14:paraId="41E13EC5" w14:textId="77777777" w:rsidR="0061633B" w:rsidRPr="007F21E1" w:rsidRDefault="00E0360F" w:rsidP="009558EF">
      <w:pPr>
        <w:pStyle w:val="NormalWeb"/>
        <w:ind w:left="-180"/>
        <w:jc w:val="both"/>
      </w:pPr>
      <w:r w:rsidRPr="007F21E1">
        <w:t>The chemical composition of wood significantly influences its strength, durability, and overall performance. Extractive content plays a key role in determining resistance to decay and insect attack.</w:t>
      </w:r>
      <w:r w:rsidR="0061633B" w:rsidRPr="007F21E1">
        <w:t xml:space="preserve"> </w:t>
      </w:r>
    </w:p>
    <w:p w14:paraId="6B1ED98F" w14:textId="77777777" w:rsidR="0061633B" w:rsidRPr="007F21E1" w:rsidRDefault="00E0360F" w:rsidP="009558EF">
      <w:pPr>
        <w:pStyle w:val="NormalWeb"/>
        <w:ind w:left="-180"/>
        <w:jc w:val="both"/>
      </w:pPr>
      <w:r w:rsidRPr="007F21E1">
        <w:t>In teak plantations, heartwood contains higher levels of decay-resistant extractives compared to sapwood (</w:t>
      </w:r>
      <w:proofErr w:type="spellStart"/>
      <w:r w:rsidRPr="007F21E1">
        <w:t>Rizanti</w:t>
      </w:r>
      <w:proofErr w:type="spellEnd"/>
      <w:r w:rsidRPr="007F21E1">
        <w:t xml:space="preserve"> et al., 2018). Studies indicate that teak wood from drier regions generally has a higher extractive content, contributing to superior durability (Bhat et al., 2005; Thulasidas &amp; Bhat, 2006). However, younger teak trees (8 years old) exhibit lower termite resistance compared to mature trees (30-51 years old), highlighting the impact of age on chemical composition (</w:t>
      </w:r>
      <w:proofErr w:type="spellStart"/>
      <w:r w:rsidRPr="007F21E1">
        <w:t>Lukmandaru</w:t>
      </w:r>
      <w:proofErr w:type="spellEnd"/>
      <w:r w:rsidRPr="007F21E1">
        <w:t xml:space="preserve"> &amp; Takahashi, 2008).</w:t>
      </w:r>
      <w:r w:rsidR="0061633B" w:rsidRPr="007F21E1">
        <w:t xml:space="preserve"> </w:t>
      </w:r>
    </w:p>
    <w:p w14:paraId="69F43CF5" w14:textId="77777777" w:rsidR="0061633B" w:rsidRPr="007F21E1" w:rsidRDefault="00E0360F" w:rsidP="009558EF">
      <w:pPr>
        <w:pStyle w:val="NormalWeb"/>
        <w:ind w:left="-180"/>
        <w:jc w:val="both"/>
      </w:pPr>
      <w:r w:rsidRPr="007F21E1">
        <w:t>Variations in extractive content can also influence mechanical properties such as strength and dimensional stability. Wood exposed to hydrolysis and oxidation experiences reduced strength, making it more prone to cracking and deformation. Understanding these chemical effects is crucial for optimizing wood processing techniques, including controlled drying and preservation treatments.</w:t>
      </w:r>
    </w:p>
    <w:p w14:paraId="009DC434" w14:textId="1E1CEB5C" w:rsidR="00C243FC" w:rsidRPr="00C243FC" w:rsidRDefault="00E0360F" w:rsidP="009558EF">
      <w:pPr>
        <w:pStyle w:val="NormalWeb"/>
        <w:ind w:left="-180"/>
        <w:jc w:val="both"/>
      </w:pPr>
      <w:r w:rsidRPr="007F21E1">
        <w:t>Chemical issues in post-harvesting and wood processing present challenges that impact product quality, durability, and environmental sustainability. Oxidation, hydrolysis, contamination, and chemical interactions with preservatives all play critical roles in determining the longevity and usability of agricultural and wood products. Advances in bio-based preservatives, nanotechnology, and extractive-based treatments offer promising solutions for mitigating these issues. Continued research and innovation are essential to developing sustainable strategies that balance product performance with environmental responsibility.</w:t>
      </w:r>
      <w:r w:rsidR="0061633B" w:rsidRPr="007F21E1">
        <w:t xml:space="preserve"> </w:t>
      </w:r>
    </w:p>
    <w:p w14:paraId="1616220E" w14:textId="05BF27B3" w:rsidR="0061633B" w:rsidRPr="007F21E1" w:rsidRDefault="005C2D82" w:rsidP="009558EF">
      <w:pPr>
        <w:pStyle w:val="NormalWeb"/>
        <w:ind w:left="-180"/>
        <w:jc w:val="both"/>
        <w:rPr>
          <w:b/>
          <w:bCs/>
        </w:rPr>
      </w:pPr>
      <w:r w:rsidRPr="007F21E1">
        <w:rPr>
          <w:b/>
          <w:bCs/>
        </w:rPr>
        <w:t xml:space="preserve">Biological issues </w:t>
      </w:r>
    </w:p>
    <w:p w14:paraId="286D3138" w14:textId="77777777" w:rsidR="0061633B" w:rsidRPr="007F21E1" w:rsidRDefault="00874656" w:rsidP="009558EF">
      <w:pPr>
        <w:pStyle w:val="NormalWeb"/>
        <w:ind w:left="-180"/>
        <w:jc w:val="both"/>
      </w:pPr>
      <w:r w:rsidRPr="007F21E1">
        <w:t xml:space="preserve">Teak is renowned for its natural durability and resistance to fungal decay, primarily due to its heartwood extractives. However, biological issues in post-harvesting and wood processing of teak plantations can still arise, particularly in younger trees and sapwood. The heartwood of teak generally exhibits high resistance to decay fungi, with </w:t>
      </w:r>
      <w:proofErr w:type="spellStart"/>
      <w:r w:rsidRPr="007F21E1">
        <w:t>tectoquinone</w:t>
      </w:r>
      <w:proofErr w:type="spellEnd"/>
      <w:r w:rsidRPr="007F21E1">
        <w:t xml:space="preserve">, lapachol, and </w:t>
      </w:r>
      <w:proofErr w:type="spellStart"/>
      <w:r w:rsidRPr="007F21E1">
        <w:t>deoxylapachol</w:t>
      </w:r>
      <w:proofErr w:type="spellEnd"/>
      <w:r w:rsidRPr="007F21E1">
        <w:t xml:space="preserve"> being the main active compounds responsible for this resistance (Vyas et al., 2018). However, the decay resistance is not uniform throughout the tree. Studies have shown that decay resistance increases from the </w:t>
      </w:r>
      <w:proofErr w:type="spellStart"/>
      <w:r w:rsidRPr="007F21E1">
        <w:t>center</w:t>
      </w:r>
      <w:proofErr w:type="spellEnd"/>
      <w:r w:rsidRPr="007F21E1">
        <w:t xml:space="preserve"> to the periphery of the heartwood, making radial position a critical factor (Bhat et al., 2005). Additionally, the type of decay fungi affects the wood's susceptibility. Brown-rot fungi, particularly Polyporus palustris, were found to be more aggressive than white-rot fungi (Bhat et al., 2005). Interestingly, teak from wet sites showed higher susceptibility to brown-rot decay, associated with paler wood </w:t>
      </w:r>
      <w:proofErr w:type="spellStart"/>
      <w:r w:rsidRPr="007F21E1">
        <w:t>color</w:t>
      </w:r>
      <w:proofErr w:type="spellEnd"/>
      <w:r w:rsidRPr="007F21E1">
        <w:t xml:space="preserve"> and lower extractive content (Bhat et al., 2005).</w:t>
      </w:r>
      <w:r w:rsidR="0061633B" w:rsidRPr="007F21E1">
        <w:t xml:space="preserve"> </w:t>
      </w:r>
    </w:p>
    <w:p w14:paraId="72AC5BCF" w14:textId="77777777" w:rsidR="0061633B" w:rsidRPr="007F21E1" w:rsidRDefault="00874656" w:rsidP="009558EF">
      <w:pPr>
        <w:pStyle w:val="NormalWeb"/>
        <w:ind w:left="-180"/>
        <w:jc w:val="both"/>
      </w:pPr>
      <w:r w:rsidRPr="007F21E1">
        <w:t>Insect infestations and damage in teak plantations are less extensively discussed in the literature. However, teak is known to be resistant to termite damage (Vyas et al., 2018). This resistance is likely due to the same extractives that provide fungal resistance. Nevertheless, the sapwood of teak, especially in younger trees from fast-growth plantations, may be more susceptible to insect damage due to its lower extractive content. Fast-growth plantations, which produce wood with a higher proportion of juvenile wood and sapwood, may face more significant challenges in this regard (Moya et al., 2014).</w:t>
      </w:r>
      <w:r w:rsidR="0061633B" w:rsidRPr="007F21E1">
        <w:t xml:space="preserve"> </w:t>
      </w:r>
    </w:p>
    <w:p w14:paraId="7B78BD0F" w14:textId="77777777" w:rsidR="0061633B" w:rsidRPr="007F21E1" w:rsidRDefault="00874656" w:rsidP="009558EF">
      <w:pPr>
        <w:pStyle w:val="NormalWeb"/>
        <w:ind w:left="-180"/>
        <w:jc w:val="both"/>
      </w:pPr>
      <w:r w:rsidRPr="007F21E1">
        <w:lastRenderedPageBreak/>
        <w:t xml:space="preserve">Teak wood is highly durable, but post-harvesting and wood processing can present biological issues, particularly concerning bacterial growth and degradation. The natural resistance of teak to decay is primarily attributed to its heartwood extractives, which contain compounds such as </w:t>
      </w:r>
      <w:proofErr w:type="spellStart"/>
      <w:r w:rsidRPr="007F21E1">
        <w:t>tectoquinone</w:t>
      </w:r>
      <w:proofErr w:type="spellEnd"/>
      <w:r w:rsidRPr="007F21E1">
        <w:t xml:space="preserve">, lapachol, and </w:t>
      </w:r>
      <w:proofErr w:type="spellStart"/>
      <w:r w:rsidRPr="007F21E1">
        <w:t>deoxylapachol</w:t>
      </w:r>
      <w:proofErr w:type="spellEnd"/>
      <w:r w:rsidRPr="007F21E1">
        <w:t xml:space="preserve"> (Vyas et al., 2018). However, the effectiveness of these natural </w:t>
      </w:r>
      <w:proofErr w:type="spellStart"/>
      <w:r w:rsidRPr="007F21E1">
        <w:t>defenses</w:t>
      </w:r>
      <w:proofErr w:type="spellEnd"/>
      <w:r w:rsidRPr="007F21E1">
        <w:t xml:space="preserve"> can vary depending on factors such as tree age, growth conditions, and the proportion of heartwood to sapwood (Moya et al., 2014; </w:t>
      </w:r>
      <w:proofErr w:type="spellStart"/>
      <w:r w:rsidRPr="007F21E1">
        <w:t>Rizanti</w:t>
      </w:r>
      <w:proofErr w:type="spellEnd"/>
      <w:r w:rsidRPr="007F21E1">
        <w:t xml:space="preserve"> et al., 2018). Short-rotation teak, typically harvested at 7-10 years, has been found to be less durable due to lower heartwood and extractive contents compared to long-rotation teak harvested at 40-60 years (</w:t>
      </w:r>
      <w:proofErr w:type="spellStart"/>
      <w:r w:rsidRPr="007F21E1">
        <w:t>Rizanti</w:t>
      </w:r>
      <w:proofErr w:type="spellEnd"/>
      <w:r w:rsidRPr="007F21E1">
        <w:t xml:space="preserve"> et al., 2018). This difference in durability could potentially lead to increased susceptibility to bacterial growth and degradation in wood from younger trees.</w:t>
      </w:r>
      <w:r w:rsidR="0061633B" w:rsidRPr="007F21E1">
        <w:t xml:space="preserve"> </w:t>
      </w:r>
    </w:p>
    <w:p w14:paraId="741FBC1B" w14:textId="77777777" w:rsidR="0061633B" w:rsidRPr="007F21E1" w:rsidRDefault="00874656" w:rsidP="009558EF">
      <w:pPr>
        <w:pStyle w:val="NormalWeb"/>
        <w:ind w:left="-180"/>
        <w:jc w:val="both"/>
      </w:pPr>
      <w:r w:rsidRPr="007F21E1">
        <w:t>To address potential biological issues post-harvesting, research has explored the use of teak heartwood extracts as preservatives. A study found that solutions containing absolute ethanol extractives from teak heartwood significantly improved the decay resistance of treated wood against brown and white rot fungi (Brocco et al., 2016). However, the same study noted that resistance to soft-rot fungi was not improved, indicating that some biological degradation risks may persist even with treatment.</w:t>
      </w:r>
      <w:r w:rsidR="0061633B" w:rsidRPr="007F21E1">
        <w:t xml:space="preserve"> </w:t>
      </w:r>
    </w:p>
    <w:p w14:paraId="0C509D8E" w14:textId="77777777" w:rsidR="0061633B" w:rsidRPr="007F21E1" w:rsidRDefault="00874656" w:rsidP="009558EF">
      <w:pPr>
        <w:pStyle w:val="NormalWeb"/>
        <w:ind w:left="-180"/>
        <w:jc w:val="both"/>
      </w:pPr>
      <w:r w:rsidRPr="007F21E1">
        <w:t xml:space="preserve">Teak wood is renowned for its natural durability and mechanical strength, but these properties can be affected by various biological factors post-harvesting and during wood processing. The heartwood of teak plays a crucial role in determining its quality and durability. Short-rotation teak wood, typically harvested at 7-10 years, has been found to have lower quality, especially in terms of dimensional stability and durability, compared to long-rotation teak harvested at 40-60 years (Martha et al., 2021; </w:t>
      </w:r>
      <w:proofErr w:type="spellStart"/>
      <w:r w:rsidRPr="007F21E1">
        <w:t>Rizanti</w:t>
      </w:r>
      <w:proofErr w:type="spellEnd"/>
      <w:r w:rsidRPr="007F21E1">
        <w:t xml:space="preserve"> et al., 2018). This is primarily due to the lower heartwood and extractive contents in short-rotation teak. The heartwood proportion, which increases with tree age and height, is a key factor influencing the wood's properties (Anda et al., 2019; Moya et al., 2014).</w:t>
      </w:r>
      <w:r w:rsidR="0061633B" w:rsidRPr="007F21E1">
        <w:t xml:space="preserve"> </w:t>
      </w:r>
    </w:p>
    <w:p w14:paraId="1942F21B" w14:textId="77777777" w:rsidR="0061633B" w:rsidRPr="007F21E1" w:rsidRDefault="00874656" w:rsidP="009558EF">
      <w:pPr>
        <w:pStyle w:val="NormalWeb"/>
        <w:ind w:left="-180"/>
        <w:jc w:val="both"/>
      </w:pPr>
      <w:r w:rsidRPr="007F21E1">
        <w:t>Some studies have found that short-rotation teak may not be significantly different from long-rotation teak in terms of swelling, modulus of elasticity (MOE), modulus of rupture (MOR), and Brinell hardness (</w:t>
      </w:r>
      <w:proofErr w:type="spellStart"/>
      <w:r w:rsidRPr="007F21E1">
        <w:t>Rizanti</w:t>
      </w:r>
      <w:proofErr w:type="spellEnd"/>
      <w:r w:rsidRPr="007F21E1">
        <w:t xml:space="preserve"> et al., 2018). However, the lower wood density and durability of short-rotation teak restrict its utilization for both indoor and outdoor applications. The natural durability of teak is closely associated with its extractives, particularly those found in the heartwood. A metabolomics study revealed that heartwood contains higher levels of secondary metabolites such as flavonoids, phenylpropanoids, and quinones, which may correlate with its durability and </w:t>
      </w:r>
      <w:proofErr w:type="spellStart"/>
      <w:r w:rsidRPr="007F21E1">
        <w:t>color</w:t>
      </w:r>
      <w:proofErr w:type="spellEnd"/>
      <w:r w:rsidRPr="007F21E1">
        <w:t xml:space="preserve"> (Yang et al., 2020). The presence of </w:t>
      </w:r>
      <w:proofErr w:type="spellStart"/>
      <w:r w:rsidRPr="007F21E1">
        <w:t>tectoquinone</w:t>
      </w:r>
      <w:proofErr w:type="spellEnd"/>
      <w:r w:rsidRPr="007F21E1">
        <w:t>, an important extractive, was found to be abundant regardless of age and provenance, contributing to the wood's high resistance against white rot and brown rot fungi (Anda et al., 2019).</w:t>
      </w:r>
      <w:r w:rsidR="0061633B" w:rsidRPr="007F21E1">
        <w:t xml:space="preserve"> </w:t>
      </w:r>
    </w:p>
    <w:p w14:paraId="60F9955E" w14:textId="77777777" w:rsidR="00886B39" w:rsidRPr="00886B39" w:rsidRDefault="00886B39" w:rsidP="009558EF">
      <w:pPr>
        <w:spacing w:line="240" w:lineRule="auto"/>
        <w:ind w:left="-180"/>
        <w:jc w:val="both"/>
        <w:rPr>
          <w:rFonts w:ascii="Times New Roman" w:hAnsi="Times New Roman" w:cs="Times New Roman"/>
          <w:b/>
        </w:rPr>
      </w:pPr>
      <w:r w:rsidRPr="00886B39">
        <w:rPr>
          <w:rFonts w:ascii="Times New Roman" w:hAnsi="Times New Roman" w:cs="Times New Roman"/>
          <w:b/>
        </w:rPr>
        <w:t>Impacts of Post-Harvesting and Wood Processing</w:t>
      </w:r>
    </w:p>
    <w:p w14:paraId="6F3AB13F" w14:textId="61E43361" w:rsidR="0061633B" w:rsidRPr="00C243FC" w:rsidRDefault="00D809A1" w:rsidP="009558EF">
      <w:pPr>
        <w:spacing w:line="240" w:lineRule="auto"/>
        <w:ind w:left="-180"/>
        <w:jc w:val="both"/>
        <w:rPr>
          <w:rFonts w:ascii="Times New Roman" w:hAnsi="Times New Roman" w:cs="Times New Roman"/>
          <w:b/>
        </w:rPr>
      </w:pPr>
      <w:r w:rsidRPr="00C243FC">
        <w:rPr>
          <w:rFonts w:ascii="Times New Roman" w:hAnsi="Times New Roman" w:cs="Times New Roman"/>
          <w:b/>
        </w:rPr>
        <w:t>Environmental Impacts</w:t>
      </w:r>
      <w:r w:rsidR="0061633B" w:rsidRPr="00C243FC">
        <w:rPr>
          <w:rFonts w:ascii="Times New Roman" w:hAnsi="Times New Roman" w:cs="Times New Roman"/>
          <w:b/>
        </w:rPr>
        <w:t xml:space="preserve"> </w:t>
      </w:r>
    </w:p>
    <w:p w14:paraId="59D56290" w14:textId="77777777" w:rsidR="0061633B" w:rsidRPr="007F21E1" w:rsidRDefault="00D809A1" w:rsidP="009558EF">
      <w:pPr>
        <w:spacing w:line="240" w:lineRule="auto"/>
        <w:ind w:left="-180"/>
        <w:jc w:val="both"/>
        <w:rPr>
          <w:rFonts w:ascii="Times New Roman" w:hAnsi="Times New Roman" w:cs="Times New Roman"/>
        </w:rPr>
      </w:pPr>
      <w:r w:rsidRPr="007F21E1">
        <w:rPr>
          <w:rFonts w:ascii="Times New Roman" w:hAnsi="Times New Roman" w:cs="Times New Roman"/>
        </w:rPr>
        <w:t>Teak plantations and wood processing have significant environmental consequences, both positive and negative. One major concern is soil erosion and water resource degradation. Studies in Laos indicate that replacing traditional slash-and-burn cultivation with teak plantations increases overland flow to stream flow from 16% to 31% and sediment yield from 98 to 609 Mg km−2 (</w:t>
      </w:r>
      <w:proofErr w:type="spellStart"/>
      <w:r w:rsidRPr="007F21E1">
        <w:rPr>
          <w:rFonts w:ascii="Times New Roman" w:hAnsi="Times New Roman" w:cs="Times New Roman"/>
        </w:rPr>
        <w:t>Ribolzi</w:t>
      </w:r>
      <w:proofErr w:type="spellEnd"/>
      <w:r w:rsidRPr="007F21E1">
        <w:rPr>
          <w:rFonts w:ascii="Times New Roman" w:hAnsi="Times New Roman" w:cs="Times New Roman"/>
        </w:rPr>
        <w:t xml:space="preserve"> et al., 2017). This is due to the high kinetic energy of raindrops falling from the teak canopy and the absence of understorey vegetation, which exacerbates erosion. Furthermore, teak processing generates considerable wood waste, which, if not managed properly, contributes to pollution (</w:t>
      </w:r>
      <w:proofErr w:type="spellStart"/>
      <w:r w:rsidRPr="007F21E1">
        <w:rPr>
          <w:rFonts w:ascii="Times New Roman" w:hAnsi="Times New Roman" w:cs="Times New Roman"/>
        </w:rPr>
        <w:t>Pramudita</w:t>
      </w:r>
      <w:proofErr w:type="spellEnd"/>
      <w:r w:rsidRPr="007F21E1">
        <w:rPr>
          <w:rFonts w:ascii="Times New Roman" w:hAnsi="Times New Roman" w:cs="Times New Roman"/>
        </w:rPr>
        <w:t>, 2024).</w:t>
      </w:r>
      <w:r w:rsidR="0061633B" w:rsidRPr="007F21E1">
        <w:rPr>
          <w:rFonts w:ascii="Times New Roman" w:hAnsi="Times New Roman" w:cs="Times New Roman"/>
        </w:rPr>
        <w:t xml:space="preserve"> </w:t>
      </w:r>
    </w:p>
    <w:p w14:paraId="31A14707" w14:textId="77777777" w:rsidR="0061633B" w:rsidRPr="007F21E1" w:rsidRDefault="00D809A1" w:rsidP="009558EF">
      <w:pPr>
        <w:spacing w:line="240" w:lineRule="auto"/>
        <w:ind w:left="-180"/>
        <w:jc w:val="both"/>
        <w:rPr>
          <w:rFonts w:ascii="Times New Roman" w:hAnsi="Times New Roman" w:cs="Times New Roman"/>
        </w:rPr>
      </w:pPr>
      <w:r w:rsidRPr="007F21E1">
        <w:rPr>
          <w:rFonts w:ascii="Times New Roman" w:hAnsi="Times New Roman" w:cs="Times New Roman"/>
        </w:rPr>
        <w:lastRenderedPageBreak/>
        <w:t xml:space="preserve">The wood processing industry also has a significant carbon footprint, consuming energy and producing greenhouse gas emissions at multiple stages of the supply chain, from sawmills to finished products (Adhikari &amp; </w:t>
      </w:r>
      <w:proofErr w:type="spellStart"/>
      <w:r w:rsidRPr="007F21E1">
        <w:rPr>
          <w:rFonts w:ascii="Times New Roman" w:hAnsi="Times New Roman" w:cs="Times New Roman"/>
        </w:rPr>
        <w:t>Ozarska</w:t>
      </w:r>
      <w:proofErr w:type="spellEnd"/>
      <w:r w:rsidRPr="007F21E1">
        <w:rPr>
          <w:rFonts w:ascii="Times New Roman" w:hAnsi="Times New Roman" w:cs="Times New Roman"/>
        </w:rPr>
        <w:t>, 2018). Additionally, wood dust from sawing and sanding activities presents air pollution risks, respiratory health hazards for workers, and potential dust explosion threats (Zhou et al., 2022). However, despite these concerns, wood remains a more environmentally sustainable material compared to alternatives like steel or concrete, as it generally has a lower carbon footprint (Petersen &amp; Solberg, 2003).</w:t>
      </w:r>
      <w:r w:rsidR="0061633B" w:rsidRPr="007F21E1">
        <w:rPr>
          <w:rFonts w:ascii="Times New Roman" w:hAnsi="Times New Roman" w:cs="Times New Roman"/>
        </w:rPr>
        <w:t xml:space="preserve"> </w:t>
      </w:r>
    </w:p>
    <w:p w14:paraId="528FACEC" w14:textId="552152B9" w:rsidR="000A0980" w:rsidRPr="007F21E1" w:rsidRDefault="0061633B" w:rsidP="009558EF">
      <w:pPr>
        <w:spacing w:line="240" w:lineRule="auto"/>
        <w:ind w:left="-180"/>
        <w:jc w:val="both"/>
        <w:rPr>
          <w:rFonts w:ascii="Times New Roman" w:hAnsi="Times New Roman" w:cs="Times New Roman"/>
        </w:rPr>
      </w:pPr>
      <w:r w:rsidRPr="007F21E1">
        <w:rPr>
          <w:rFonts w:ascii="Times New Roman" w:hAnsi="Times New Roman" w:cs="Times New Roman"/>
        </w:rPr>
        <w:t>I</w:t>
      </w:r>
      <w:r w:rsidR="00D809A1" w:rsidRPr="007F21E1">
        <w:rPr>
          <w:rFonts w:ascii="Times New Roman" w:hAnsi="Times New Roman" w:cs="Times New Roman"/>
        </w:rPr>
        <w:t xml:space="preserve">nnovative waste management strategies, such as pyrolysis, offer solutions to these environmental challenges. Pyrolysis converts wood waste into valuable by-products like charcoal, liquid, and gaseous fuels (Haryanto et al., 2021). Additionally, teak leaves, often considered </w:t>
      </w:r>
      <w:proofErr w:type="spellStart"/>
      <w:r w:rsidR="00D809A1" w:rsidRPr="007F21E1">
        <w:rPr>
          <w:rFonts w:ascii="Times New Roman" w:hAnsi="Times New Roman" w:cs="Times New Roman"/>
        </w:rPr>
        <w:t>agro</w:t>
      </w:r>
      <w:proofErr w:type="spellEnd"/>
      <w:r w:rsidR="00D809A1" w:rsidRPr="007F21E1">
        <w:rPr>
          <w:rFonts w:ascii="Times New Roman" w:hAnsi="Times New Roman" w:cs="Times New Roman"/>
        </w:rPr>
        <w:t>-biowaste, can be used for the eco-friendly synthesis of silver nanoparticles (Devadiga et al., 2015). These sustainable practices help reduce waste and mitigate environmental harm while creating economic value.</w:t>
      </w:r>
      <w:r w:rsidRPr="007F21E1">
        <w:rPr>
          <w:rFonts w:ascii="Times New Roman" w:hAnsi="Times New Roman" w:cs="Times New Roman"/>
        </w:rPr>
        <w:t xml:space="preserve"> </w:t>
      </w:r>
    </w:p>
    <w:p w14:paraId="01187066" w14:textId="77777777" w:rsidR="0061633B" w:rsidRPr="007F21E1" w:rsidRDefault="00D809A1" w:rsidP="009558EF">
      <w:pPr>
        <w:spacing w:line="240" w:lineRule="auto"/>
        <w:ind w:left="-180"/>
        <w:jc w:val="both"/>
        <w:rPr>
          <w:rFonts w:ascii="Times New Roman" w:hAnsi="Times New Roman" w:cs="Times New Roman"/>
          <w:b/>
        </w:rPr>
      </w:pPr>
      <w:r w:rsidRPr="007F21E1">
        <w:rPr>
          <w:rFonts w:ascii="Times New Roman" w:hAnsi="Times New Roman" w:cs="Times New Roman"/>
          <w:b/>
        </w:rPr>
        <w:t>Economic Impacts</w:t>
      </w:r>
      <w:r w:rsidR="0061633B" w:rsidRPr="007F21E1">
        <w:rPr>
          <w:rFonts w:ascii="Times New Roman" w:hAnsi="Times New Roman" w:cs="Times New Roman"/>
          <w:b/>
        </w:rPr>
        <w:t xml:space="preserve"> </w:t>
      </w:r>
    </w:p>
    <w:p w14:paraId="05DBCC37" w14:textId="77777777" w:rsidR="0061633B" w:rsidRPr="007F21E1" w:rsidRDefault="00D809A1" w:rsidP="009558EF">
      <w:pPr>
        <w:spacing w:line="240" w:lineRule="auto"/>
        <w:ind w:left="-180"/>
        <w:jc w:val="both"/>
        <w:rPr>
          <w:rFonts w:ascii="Times New Roman" w:hAnsi="Times New Roman" w:cs="Times New Roman"/>
        </w:rPr>
      </w:pPr>
      <w:r w:rsidRPr="007F21E1">
        <w:rPr>
          <w:rFonts w:ascii="Times New Roman" w:hAnsi="Times New Roman" w:cs="Times New Roman"/>
        </w:rPr>
        <w:t>The economic viability of teak plantations depends on various factors, including tree age, geographic location, and silvicultural practices, all of which influence heartwood properties and timber quality (Moya et al., 2014). However, the shift toward fast-growing teak plantations has led to an increased proportion of juvenile wood and knots, reducing overall wood quality and economic value. Furthermore, unmanaged teak forests can experience disturbances that contribute to within-tree variability, affecting timber consistency (Miranda et al., 2011).</w:t>
      </w:r>
      <w:r w:rsidR="0061633B" w:rsidRPr="007F21E1">
        <w:rPr>
          <w:rFonts w:ascii="Times New Roman" w:hAnsi="Times New Roman" w:cs="Times New Roman"/>
        </w:rPr>
        <w:t xml:space="preserve"> </w:t>
      </w:r>
    </w:p>
    <w:p w14:paraId="655B51ED" w14:textId="77777777" w:rsidR="0061633B" w:rsidRPr="007F21E1" w:rsidRDefault="00D809A1" w:rsidP="009558EF">
      <w:pPr>
        <w:spacing w:line="240" w:lineRule="auto"/>
        <w:ind w:left="-180"/>
        <w:jc w:val="both"/>
        <w:rPr>
          <w:rFonts w:ascii="Times New Roman" w:hAnsi="Times New Roman" w:cs="Times New Roman"/>
        </w:rPr>
      </w:pPr>
      <w:r w:rsidRPr="007F21E1">
        <w:rPr>
          <w:rFonts w:ascii="Times New Roman" w:hAnsi="Times New Roman" w:cs="Times New Roman"/>
        </w:rPr>
        <w:t>Wood processing industries face increasing economic challenges due to rising raw material prices and limited availability, which pressures material efficiency (</w:t>
      </w:r>
      <w:proofErr w:type="spellStart"/>
      <w:r w:rsidRPr="007F21E1">
        <w:rPr>
          <w:rFonts w:ascii="Times New Roman" w:hAnsi="Times New Roman" w:cs="Times New Roman"/>
        </w:rPr>
        <w:t>Wieruszewski</w:t>
      </w:r>
      <w:proofErr w:type="spellEnd"/>
      <w:r w:rsidRPr="007F21E1">
        <w:rPr>
          <w:rFonts w:ascii="Times New Roman" w:hAnsi="Times New Roman" w:cs="Times New Roman"/>
        </w:rPr>
        <w:t xml:space="preserve"> et al., 2023). The industry must address efficiency concerns to avoid economic losses. For instance, pine wood processing has demonstrated an economic efficiency range of 170% to 290%, depending on log size and processing technology, highlighting the need for optimized resource utilization (</w:t>
      </w:r>
      <w:proofErr w:type="spellStart"/>
      <w:r w:rsidRPr="007F21E1">
        <w:rPr>
          <w:rFonts w:ascii="Times New Roman" w:hAnsi="Times New Roman" w:cs="Times New Roman"/>
        </w:rPr>
        <w:t>Wieruszewski</w:t>
      </w:r>
      <w:proofErr w:type="spellEnd"/>
      <w:r w:rsidRPr="007F21E1">
        <w:rPr>
          <w:rFonts w:ascii="Times New Roman" w:hAnsi="Times New Roman" w:cs="Times New Roman"/>
        </w:rPr>
        <w:t xml:space="preserve"> et al., 2023).</w:t>
      </w:r>
      <w:r w:rsidR="0061633B" w:rsidRPr="007F21E1">
        <w:rPr>
          <w:rFonts w:ascii="Times New Roman" w:hAnsi="Times New Roman" w:cs="Times New Roman"/>
        </w:rPr>
        <w:t xml:space="preserve"> </w:t>
      </w:r>
      <w:r w:rsidRPr="007F21E1">
        <w:rPr>
          <w:rFonts w:ascii="Times New Roman" w:hAnsi="Times New Roman" w:cs="Times New Roman"/>
        </w:rPr>
        <w:t>In addition to quality concerns, conventional adhesives used in wood-based panel production contribute to toxic emissions, necessitating a shift toward eco-friendly alternatives (Souza et al., 2018). Utilizing wood waste in adhesive production presents an economic and environmental opportunity. Implementing sustainable processing techniques, such as improved plantation management and energy-efficient harvesting, can help mitigate financial risks and enhance industry profitability.</w:t>
      </w:r>
      <w:r w:rsidR="0061633B" w:rsidRPr="007F21E1">
        <w:rPr>
          <w:rFonts w:ascii="Times New Roman" w:hAnsi="Times New Roman" w:cs="Times New Roman"/>
        </w:rPr>
        <w:t xml:space="preserve"> </w:t>
      </w:r>
    </w:p>
    <w:p w14:paraId="4A127F00" w14:textId="77777777" w:rsidR="0061633B" w:rsidRPr="007F21E1" w:rsidRDefault="00D809A1" w:rsidP="009558EF">
      <w:pPr>
        <w:spacing w:line="240" w:lineRule="auto"/>
        <w:ind w:left="-180"/>
        <w:jc w:val="both"/>
        <w:rPr>
          <w:rFonts w:ascii="Times New Roman" w:hAnsi="Times New Roman" w:cs="Times New Roman"/>
          <w:b/>
        </w:rPr>
      </w:pPr>
      <w:r w:rsidRPr="007F21E1">
        <w:rPr>
          <w:rFonts w:ascii="Times New Roman" w:hAnsi="Times New Roman" w:cs="Times New Roman"/>
          <w:b/>
        </w:rPr>
        <w:t>Social Impacts</w:t>
      </w:r>
      <w:r w:rsidR="0061633B" w:rsidRPr="007F21E1">
        <w:rPr>
          <w:rFonts w:ascii="Times New Roman" w:hAnsi="Times New Roman" w:cs="Times New Roman"/>
          <w:b/>
        </w:rPr>
        <w:t xml:space="preserve"> </w:t>
      </w:r>
    </w:p>
    <w:p w14:paraId="600B2023" w14:textId="77777777" w:rsidR="0061633B" w:rsidRPr="007F21E1" w:rsidRDefault="00D809A1" w:rsidP="009558EF">
      <w:pPr>
        <w:spacing w:line="240" w:lineRule="auto"/>
        <w:ind w:left="-180"/>
        <w:jc w:val="both"/>
        <w:rPr>
          <w:rFonts w:ascii="Times New Roman" w:hAnsi="Times New Roman" w:cs="Times New Roman"/>
        </w:rPr>
      </w:pPr>
      <w:r w:rsidRPr="007F21E1">
        <w:rPr>
          <w:rFonts w:ascii="Times New Roman" w:hAnsi="Times New Roman" w:cs="Times New Roman"/>
        </w:rPr>
        <w:t xml:space="preserve">Teak plantations and wood processing also have important social implications, particularly in local communities and </w:t>
      </w:r>
      <w:proofErr w:type="spellStart"/>
      <w:r w:rsidRPr="007F21E1">
        <w:rPr>
          <w:rFonts w:ascii="Times New Roman" w:hAnsi="Times New Roman" w:cs="Times New Roman"/>
        </w:rPr>
        <w:t>labor</w:t>
      </w:r>
      <w:proofErr w:type="spellEnd"/>
      <w:r w:rsidRPr="007F21E1">
        <w:rPr>
          <w:rFonts w:ascii="Times New Roman" w:hAnsi="Times New Roman" w:cs="Times New Roman"/>
        </w:rPr>
        <w:t xml:space="preserve"> markets. While policies supporting smallholder teak plantations have been successful in areas like Luang Prabang Province, Lao PDR, smallholders often face barriers in entering the global timber value chain due to complex regulations and limited market access (Smith et al., 2017). If these challenges are not addressed, smallholder farmers may be excluded from international trade opportunities.</w:t>
      </w:r>
      <w:r w:rsidR="0061633B" w:rsidRPr="007F21E1">
        <w:rPr>
          <w:rFonts w:ascii="Times New Roman" w:hAnsi="Times New Roman" w:cs="Times New Roman"/>
        </w:rPr>
        <w:t xml:space="preserve"> </w:t>
      </w:r>
    </w:p>
    <w:p w14:paraId="219C75ED" w14:textId="77777777" w:rsidR="0061633B" w:rsidRPr="007F21E1" w:rsidRDefault="00D809A1" w:rsidP="009558EF">
      <w:pPr>
        <w:spacing w:line="240" w:lineRule="auto"/>
        <w:ind w:left="-180"/>
        <w:jc w:val="both"/>
        <w:rPr>
          <w:rFonts w:ascii="Times New Roman" w:hAnsi="Times New Roman" w:cs="Times New Roman"/>
        </w:rPr>
      </w:pPr>
      <w:r w:rsidRPr="007F21E1">
        <w:rPr>
          <w:rFonts w:ascii="Times New Roman" w:hAnsi="Times New Roman" w:cs="Times New Roman"/>
        </w:rPr>
        <w:t>Technological advancements in data-driven automation and manufacturing processes could reshape the workforce in the teak industry, potentially reducing employment opportunities (Masato &amp; Kim, 2023). Additionally, the transition from large-diameter logs sourced from natural forests to smaller plantation-grown logs has altered supply chain dynamics, impacting employment and profitability in the sector (Moya et al., 2014).</w:t>
      </w:r>
      <w:r w:rsidR="0061633B" w:rsidRPr="007F21E1">
        <w:rPr>
          <w:rFonts w:ascii="Times New Roman" w:hAnsi="Times New Roman" w:cs="Times New Roman"/>
        </w:rPr>
        <w:t xml:space="preserve"> </w:t>
      </w:r>
    </w:p>
    <w:p w14:paraId="4A1F4D09" w14:textId="77777777" w:rsidR="0061633B" w:rsidRPr="007F21E1" w:rsidRDefault="00D809A1" w:rsidP="009558EF">
      <w:pPr>
        <w:spacing w:line="240" w:lineRule="auto"/>
        <w:ind w:left="-180"/>
        <w:jc w:val="both"/>
        <w:rPr>
          <w:rFonts w:ascii="Times New Roman" w:hAnsi="Times New Roman" w:cs="Times New Roman"/>
        </w:rPr>
      </w:pPr>
      <w:r w:rsidRPr="007F21E1">
        <w:rPr>
          <w:rFonts w:ascii="Times New Roman" w:hAnsi="Times New Roman" w:cs="Times New Roman"/>
        </w:rPr>
        <w:t xml:space="preserve">Socially, teak plantations can influence local ecosystems and biodiversity. Research in Costa Rica found that 10-year-old teak plantations had lower native tree species abundance and diversity </w:t>
      </w:r>
      <w:r w:rsidRPr="007F21E1">
        <w:rPr>
          <w:rFonts w:ascii="Times New Roman" w:hAnsi="Times New Roman" w:cs="Times New Roman"/>
        </w:rPr>
        <w:lastRenderedPageBreak/>
        <w:t>compared to abandoned pastures, suggesting potential negative ecological impacts (Healey &amp; Gara, 2002). Sustainable plantation management strategies must address these ecological and social concerns to ensure that teak cultivation benefits local communities while minimizing adverse effects.</w:t>
      </w:r>
      <w:r w:rsidR="0061633B" w:rsidRPr="007F21E1">
        <w:rPr>
          <w:rFonts w:ascii="Times New Roman" w:hAnsi="Times New Roman" w:cs="Times New Roman"/>
        </w:rPr>
        <w:t xml:space="preserve"> </w:t>
      </w:r>
    </w:p>
    <w:p w14:paraId="3287CEE0" w14:textId="77777777" w:rsidR="0061633B" w:rsidRPr="007F21E1" w:rsidRDefault="00D809A1" w:rsidP="009558EF">
      <w:pPr>
        <w:spacing w:line="240" w:lineRule="auto"/>
        <w:ind w:left="-180"/>
        <w:jc w:val="both"/>
        <w:rPr>
          <w:rFonts w:ascii="Times New Roman" w:hAnsi="Times New Roman" w:cs="Times New Roman"/>
        </w:rPr>
      </w:pPr>
      <w:r w:rsidRPr="007F21E1">
        <w:rPr>
          <w:rFonts w:ascii="Times New Roman" w:hAnsi="Times New Roman" w:cs="Times New Roman"/>
        </w:rPr>
        <w:t xml:space="preserve">The environmental, economic, and social impacts of teak plantations and wood processing are multifaceted and interrelated. While teak plantations contribute to economic growth and sustainable timber production, they also present challenges, including soil degradation, waste generation, and market access issues for smallholders. Implementing sustainable management strategies, improving processing efficiency, and exploring innovative waste </w:t>
      </w:r>
      <w:proofErr w:type="spellStart"/>
      <w:r w:rsidRPr="007F21E1">
        <w:rPr>
          <w:rFonts w:ascii="Times New Roman" w:hAnsi="Times New Roman" w:cs="Times New Roman"/>
        </w:rPr>
        <w:t>valorization</w:t>
      </w:r>
      <w:proofErr w:type="spellEnd"/>
      <w:r w:rsidRPr="007F21E1">
        <w:rPr>
          <w:rFonts w:ascii="Times New Roman" w:hAnsi="Times New Roman" w:cs="Times New Roman"/>
        </w:rPr>
        <w:t xml:space="preserve"> methods can help balance these impacts. Future research should focus on enhancing life cycle assessments and developing sustainable solutions that minimize environmental harm while maximizing economic and social benefits in the teak industry.</w:t>
      </w:r>
      <w:r w:rsidR="0061633B" w:rsidRPr="007F21E1">
        <w:rPr>
          <w:rFonts w:ascii="Times New Roman" w:hAnsi="Times New Roman" w:cs="Times New Roman"/>
        </w:rPr>
        <w:t xml:space="preserve"> </w:t>
      </w:r>
    </w:p>
    <w:p w14:paraId="18EA0109" w14:textId="77777777" w:rsidR="0061633B" w:rsidRPr="007F21E1" w:rsidRDefault="005C2D82" w:rsidP="009558EF">
      <w:pPr>
        <w:spacing w:line="240" w:lineRule="auto"/>
        <w:ind w:left="-180"/>
        <w:jc w:val="both"/>
        <w:rPr>
          <w:rFonts w:ascii="Times New Roman" w:hAnsi="Times New Roman" w:cs="Times New Roman"/>
          <w:b/>
          <w:bCs/>
        </w:rPr>
      </w:pPr>
      <w:r w:rsidRPr="007F21E1">
        <w:rPr>
          <w:rFonts w:ascii="Times New Roman" w:hAnsi="Times New Roman" w:cs="Times New Roman"/>
          <w:b/>
          <w:bCs/>
        </w:rPr>
        <w:t>Mitigation Strategies and Solutions</w:t>
      </w:r>
      <w:r w:rsidR="0061633B" w:rsidRPr="007F21E1">
        <w:rPr>
          <w:rFonts w:ascii="Times New Roman" w:hAnsi="Times New Roman" w:cs="Times New Roman"/>
          <w:b/>
          <w:bCs/>
        </w:rPr>
        <w:t xml:space="preserve"> </w:t>
      </w:r>
    </w:p>
    <w:p w14:paraId="1377EE68" w14:textId="780644FD" w:rsidR="00622DDA" w:rsidRPr="00622DDA" w:rsidRDefault="0055593D" w:rsidP="009558EF">
      <w:pPr>
        <w:spacing w:line="240" w:lineRule="auto"/>
        <w:ind w:left="-180"/>
        <w:jc w:val="both"/>
        <w:rPr>
          <w:rFonts w:ascii="Times New Roman" w:hAnsi="Times New Roman" w:cs="Times New Roman"/>
        </w:rPr>
      </w:pPr>
      <w:r w:rsidRPr="007F21E1">
        <w:rPr>
          <w:rFonts w:ascii="Times New Roman" w:hAnsi="Times New Roman" w:cs="Times New Roman"/>
        </w:rPr>
        <w:t xml:space="preserve">Teak (Tectona grandis) is a highly valuable tropical hardwood species extensively cultivated in Indonesia and other tropical regions. The increasing demand for teak wood products has led to the expansion of short-rotation plantations, which pose significant challenges concerning wood quality and utilization (Darmawan et al., 2015; </w:t>
      </w:r>
      <w:proofErr w:type="spellStart"/>
      <w:r w:rsidRPr="007F21E1">
        <w:rPr>
          <w:rFonts w:ascii="Times New Roman" w:hAnsi="Times New Roman" w:cs="Times New Roman"/>
        </w:rPr>
        <w:t>Rizanti</w:t>
      </w:r>
      <w:proofErr w:type="spellEnd"/>
      <w:r w:rsidRPr="007F21E1">
        <w:rPr>
          <w:rFonts w:ascii="Times New Roman" w:hAnsi="Times New Roman" w:cs="Times New Roman"/>
        </w:rPr>
        <w:t xml:space="preserve"> et al., 2018). Several mitigation strategies and solutions have been proposed to address these challenges, focusing on </w:t>
      </w:r>
      <w:r w:rsidR="00622DDA">
        <w:rPr>
          <w:rFonts w:ascii="Times New Roman" w:hAnsi="Times New Roman" w:cs="Times New Roman"/>
        </w:rPr>
        <w:t>Advanc</w:t>
      </w:r>
      <w:r w:rsidRPr="007F21E1">
        <w:rPr>
          <w:rFonts w:ascii="Times New Roman" w:hAnsi="Times New Roman" w:cs="Times New Roman"/>
        </w:rPr>
        <w:t>ed harvesting and processing techniques, chemical treatments and preservatives, biological control methods, and drying and storage strategies.</w:t>
      </w:r>
      <w:r w:rsidR="0061633B" w:rsidRPr="007F21E1">
        <w:rPr>
          <w:rFonts w:ascii="Times New Roman" w:hAnsi="Times New Roman" w:cs="Times New Roman"/>
        </w:rPr>
        <w:t xml:space="preserve"> </w:t>
      </w:r>
    </w:p>
    <w:p w14:paraId="5D4F4F8F" w14:textId="77777777" w:rsidR="00622DDA" w:rsidRDefault="00622DDA" w:rsidP="009558EF">
      <w:pPr>
        <w:spacing w:line="240" w:lineRule="auto"/>
        <w:ind w:left="-180"/>
        <w:jc w:val="both"/>
        <w:rPr>
          <w:rFonts w:ascii="Times New Roman" w:hAnsi="Times New Roman" w:cs="Times New Roman"/>
          <w:bCs/>
        </w:rPr>
      </w:pPr>
      <w:r w:rsidRPr="00622DDA">
        <w:rPr>
          <w:rFonts w:ascii="Times New Roman" w:hAnsi="Times New Roman" w:cs="Times New Roman"/>
          <w:bCs/>
        </w:rPr>
        <w:t xml:space="preserve">Refining harvesting and processing methods can play a crucial role in addressing post-harvesting and wood processing issues for teak. The wood processing sector produces considerable waste, which can be transformed through pyrolysis to enhance its economic and ecological worth. Pyrolysis, a thermochemical procedure, yields solid, liquid, and gaseous products, with slow pyrolysis being particularly appropriate for Indonesia, mainly producing charcoal (Haryanto et al., 2021). Furthermore, teak heartwood extracts have shown potential as a natural </w:t>
      </w:r>
      <w:proofErr w:type="spellStart"/>
      <w:r w:rsidRPr="00622DDA">
        <w:rPr>
          <w:rFonts w:ascii="Times New Roman" w:hAnsi="Times New Roman" w:cs="Times New Roman"/>
          <w:bCs/>
        </w:rPr>
        <w:t>defense</w:t>
      </w:r>
      <w:proofErr w:type="spellEnd"/>
      <w:r w:rsidRPr="00622DDA">
        <w:rPr>
          <w:rFonts w:ascii="Times New Roman" w:hAnsi="Times New Roman" w:cs="Times New Roman"/>
          <w:bCs/>
        </w:rPr>
        <w:t xml:space="preserve"> against decay fungi. Absolute ethanol extracts from teak waste considerably enhance the decay resistance of treated wood species, decreasing the need for artificial preservatives (Brocco et al., 2016). Additionally, the carbon dynamics of harvested wood products (HWP) affect greenhouse gas (GHG) emissions. Structural panels, followed by lumber and non-structural panels, offer the greatest potential for GHG mitigation (Chen et al., 2018). By implementing advanced harvesting and processing techniques, including waste transformation, natural preservatives, and sustainable wood use, the environmental impact of </w:t>
      </w:r>
      <w:proofErr w:type="spellStart"/>
      <w:r w:rsidRPr="00622DDA">
        <w:rPr>
          <w:rFonts w:ascii="Times New Roman" w:hAnsi="Times New Roman" w:cs="Times New Roman"/>
          <w:bCs/>
        </w:rPr>
        <w:t>teak</w:t>
      </w:r>
      <w:proofErr w:type="spellEnd"/>
      <w:r w:rsidRPr="00622DDA">
        <w:rPr>
          <w:rFonts w:ascii="Times New Roman" w:hAnsi="Times New Roman" w:cs="Times New Roman"/>
          <w:bCs/>
        </w:rPr>
        <w:t xml:space="preserve"> plantations can be reduced (Darmawan et al., 2015; </w:t>
      </w:r>
      <w:proofErr w:type="spellStart"/>
      <w:r w:rsidRPr="00622DDA">
        <w:rPr>
          <w:rFonts w:ascii="Times New Roman" w:hAnsi="Times New Roman" w:cs="Times New Roman"/>
          <w:bCs/>
        </w:rPr>
        <w:t>Rizanti</w:t>
      </w:r>
      <w:proofErr w:type="spellEnd"/>
      <w:r w:rsidRPr="00622DDA">
        <w:rPr>
          <w:rFonts w:ascii="Times New Roman" w:hAnsi="Times New Roman" w:cs="Times New Roman"/>
          <w:bCs/>
        </w:rPr>
        <w:t xml:space="preserve"> et al., 2018). </w:t>
      </w:r>
    </w:p>
    <w:p w14:paraId="7EB406FB" w14:textId="46ABFC10" w:rsidR="00622DDA" w:rsidRPr="00622DDA" w:rsidRDefault="00622DDA" w:rsidP="009558EF">
      <w:pPr>
        <w:spacing w:line="240" w:lineRule="auto"/>
        <w:ind w:left="-180"/>
        <w:jc w:val="both"/>
        <w:rPr>
          <w:rFonts w:ascii="Times New Roman" w:hAnsi="Times New Roman" w:cs="Times New Roman"/>
          <w:bCs/>
        </w:rPr>
      </w:pPr>
      <w:r w:rsidRPr="00622DDA">
        <w:rPr>
          <w:rFonts w:ascii="Times New Roman" w:hAnsi="Times New Roman" w:cs="Times New Roman"/>
          <w:bCs/>
        </w:rPr>
        <w:t xml:space="preserve">Chemical treatments and protective agents are essential in tackling post-harvesting challenges for teak wood. Teak heartwood extracts have exhibited promise as natural protective agents, especially against decay fungi. Research has demonstrated that absolute ethanol extracts from teak heartwood significantly improve the decay resistance of treated wood (Brocco et al., 2016). Traditional wood preservatives, while effective, raise environmental concerns, prompting the search for eco-friendly alternatives. Pressure and non-pressure treatments, thermal modifications, and chemical alterations have been investigated to enhance wood durability (Rajput et al., 2023; Teng et al., 2018). Moreover, nanotechnology offers promising developments in wood preservation. Nanomaterials, such as metallic nanoparticles and nanocarriers for biocides, can improve wood preservation efficiency and extend service life (Teng et al., 2018). Although chemical treatments remain crucial, there is an increasing trend towards bio-based and environmentally sustainable solutions. Future studies should concentrate </w:t>
      </w:r>
      <w:r w:rsidRPr="00622DDA">
        <w:rPr>
          <w:rFonts w:ascii="Times New Roman" w:hAnsi="Times New Roman" w:cs="Times New Roman"/>
          <w:bCs/>
        </w:rPr>
        <w:lastRenderedPageBreak/>
        <w:t>on minimizing chemical leaching and evaluating the long-term environmental effects of novel preservation techniques (Barbero-López et al., 2020).</w:t>
      </w:r>
    </w:p>
    <w:p w14:paraId="5D409C29" w14:textId="77777777" w:rsidR="0061633B" w:rsidRPr="007F21E1" w:rsidRDefault="0055593D" w:rsidP="009558EF">
      <w:pPr>
        <w:spacing w:line="240" w:lineRule="auto"/>
        <w:ind w:left="-180"/>
        <w:jc w:val="both"/>
        <w:rPr>
          <w:rFonts w:ascii="Times New Roman" w:hAnsi="Times New Roman" w:cs="Times New Roman"/>
        </w:rPr>
      </w:pPr>
      <w:r w:rsidRPr="007F21E1">
        <w:rPr>
          <w:rFonts w:ascii="Times New Roman" w:hAnsi="Times New Roman" w:cs="Times New Roman"/>
        </w:rPr>
        <w:t>Although limited research specifically addresses biological control methods for post-harvesting and wood processing of teak, some insights can be drawn from available studies. Teak heartwood extracts have demonstrated potential as biological control agents against decay fungi. Studies indicate that ethanol-based extractives from teak heartwood significantly enhance the decay resistance of treated wood species, particularly against brown and white rot fungi (Brocco et al., 2016). However, the resistance to soft-rot fungi remains a challenge, necessitating further exploration of biological control strategies. Future research should investigate the broader application of teak-based biological control agents and explore integrated approaches to mitigate wood degradation caused by various microorganisms.</w:t>
      </w:r>
      <w:r w:rsidR="0061633B" w:rsidRPr="007F21E1">
        <w:rPr>
          <w:rFonts w:ascii="Times New Roman" w:hAnsi="Times New Roman" w:cs="Times New Roman"/>
        </w:rPr>
        <w:t xml:space="preserve"> </w:t>
      </w:r>
    </w:p>
    <w:p w14:paraId="7E6845E9" w14:textId="77777777" w:rsidR="0061633B" w:rsidRPr="007F21E1" w:rsidRDefault="0055593D" w:rsidP="009558EF">
      <w:pPr>
        <w:spacing w:line="240" w:lineRule="auto"/>
        <w:ind w:left="-180"/>
        <w:jc w:val="both"/>
        <w:rPr>
          <w:rFonts w:ascii="Times New Roman" w:hAnsi="Times New Roman" w:cs="Times New Roman"/>
        </w:rPr>
      </w:pPr>
      <w:r w:rsidRPr="007F21E1">
        <w:rPr>
          <w:rFonts w:ascii="Times New Roman" w:hAnsi="Times New Roman" w:cs="Times New Roman"/>
        </w:rPr>
        <w:t xml:space="preserve">Drying and storage strategies are critical in mitigating defects and enhancing the quality of teak wood post-harvest. Various approaches have been developed to optimize drying processes and storage conditions. One promising method is </w:t>
      </w:r>
      <w:proofErr w:type="spellStart"/>
      <w:r w:rsidRPr="007F21E1">
        <w:rPr>
          <w:rFonts w:ascii="Times New Roman" w:hAnsi="Times New Roman" w:cs="Times New Roman"/>
        </w:rPr>
        <w:t>furfurylation</w:t>
      </w:r>
      <w:proofErr w:type="spellEnd"/>
      <w:r w:rsidRPr="007F21E1">
        <w:rPr>
          <w:rFonts w:ascii="Times New Roman" w:hAnsi="Times New Roman" w:cs="Times New Roman"/>
        </w:rPr>
        <w:t xml:space="preserve"> treatment, which involves impregnating teak wood with furfuryl alcohol and a catalyst, followed by heat treatment. This treatment significantly improves the dimensional stability, decay resistance, and water uptake of short-rotation teak wood, making it more suitable for high-quality applications (Martha et al., 2021). Additionally, advancements in drying schedules and novel drying technologies have been introduced to mitigate defects, reduce energy consumption, and enhance productivity. The integration of artificial intelligence in timber drying </w:t>
      </w:r>
      <w:proofErr w:type="spellStart"/>
      <w:r w:rsidRPr="007F21E1">
        <w:rPr>
          <w:rFonts w:ascii="Times New Roman" w:hAnsi="Times New Roman" w:cs="Times New Roman"/>
        </w:rPr>
        <w:t>modeling</w:t>
      </w:r>
      <w:proofErr w:type="spellEnd"/>
      <w:r w:rsidRPr="007F21E1">
        <w:rPr>
          <w:rFonts w:ascii="Times New Roman" w:hAnsi="Times New Roman" w:cs="Times New Roman"/>
        </w:rPr>
        <w:t xml:space="preserve"> and control has shown potential in optimizing these processes (</w:t>
      </w:r>
      <w:proofErr w:type="spellStart"/>
      <w:r w:rsidRPr="007F21E1">
        <w:rPr>
          <w:rFonts w:ascii="Times New Roman" w:hAnsi="Times New Roman" w:cs="Times New Roman"/>
        </w:rPr>
        <w:t>Elustondo</w:t>
      </w:r>
      <w:proofErr w:type="spellEnd"/>
      <w:r w:rsidRPr="007F21E1">
        <w:rPr>
          <w:rFonts w:ascii="Times New Roman" w:hAnsi="Times New Roman" w:cs="Times New Roman"/>
        </w:rPr>
        <w:t xml:space="preserve"> et al., 2023). Moreover, pre-treatment techniques such as pre-heating, pre-steaming, microwave treatment, pre-freezing, and boiling have been found to modify wood cell structure, improve permeability, and accelerate the drying rate while minimizing defects (Yang &amp; Liu, 2018).</w:t>
      </w:r>
      <w:r w:rsidR="0061633B" w:rsidRPr="007F21E1">
        <w:rPr>
          <w:rFonts w:ascii="Times New Roman" w:hAnsi="Times New Roman" w:cs="Times New Roman"/>
        </w:rPr>
        <w:t xml:space="preserve"> </w:t>
      </w:r>
    </w:p>
    <w:p w14:paraId="1AE31D71" w14:textId="77777777" w:rsidR="0061633B" w:rsidRPr="007F21E1" w:rsidRDefault="0055593D" w:rsidP="009558EF">
      <w:pPr>
        <w:spacing w:line="240" w:lineRule="auto"/>
        <w:ind w:left="-180"/>
        <w:jc w:val="both"/>
        <w:rPr>
          <w:rFonts w:ascii="Times New Roman" w:hAnsi="Times New Roman" w:cs="Times New Roman"/>
        </w:rPr>
      </w:pPr>
      <w:r w:rsidRPr="007F21E1">
        <w:rPr>
          <w:rFonts w:ascii="Times New Roman" w:hAnsi="Times New Roman" w:cs="Times New Roman"/>
        </w:rPr>
        <w:t>Interestingly, teak heartwood extracts have also demonstrated potential as a preservation method against decay fungi, further enhancing the durability of stored wood (Brocco et al., 2016). A combination of advanced drying schedules, novel pre-treatment techniques, and natural preservation strategies can significantly improve the post-harvest quality and longevity of teak wood products. Future research should focus on optimizing these techniques for different teak varieties and assessing their environmental and economic feasibility.</w:t>
      </w:r>
      <w:r w:rsidR="0061633B" w:rsidRPr="007F21E1">
        <w:rPr>
          <w:rFonts w:ascii="Times New Roman" w:hAnsi="Times New Roman" w:cs="Times New Roman"/>
        </w:rPr>
        <w:t xml:space="preserve"> </w:t>
      </w:r>
    </w:p>
    <w:p w14:paraId="229A0B6B" w14:textId="288C007E" w:rsidR="007F21E1" w:rsidRPr="007F21E1" w:rsidRDefault="0055593D" w:rsidP="009558EF">
      <w:pPr>
        <w:spacing w:line="240" w:lineRule="auto"/>
        <w:ind w:left="-180"/>
        <w:jc w:val="both"/>
        <w:rPr>
          <w:rFonts w:ascii="Times New Roman" w:hAnsi="Times New Roman" w:cs="Times New Roman"/>
        </w:rPr>
      </w:pPr>
      <w:r w:rsidRPr="007F21E1">
        <w:rPr>
          <w:rFonts w:ascii="Times New Roman" w:hAnsi="Times New Roman" w:cs="Times New Roman"/>
        </w:rPr>
        <w:t>While short-rotation teak plantations present challenges in wood quality and processing, various mitigation strategies can optimize resource utilization and sustainability. Implementing improved harvesting and processing techniques, adopting chemical and bio-based preservatives, exploring biological control methods, and refining drying and storage strategies can collectively enhance the quality, durability, and environmental sustainability of teak wood products. Future research should continue to refine these strategies to maximize the potential of teak resources while minimizing environmental impact.</w:t>
      </w:r>
      <w:r w:rsidR="0061633B" w:rsidRPr="007F21E1">
        <w:rPr>
          <w:rFonts w:ascii="Times New Roman" w:hAnsi="Times New Roman" w:cs="Times New Roman"/>
        </w:rPr>
        <w:t xml:space="preserve"> </w:t>
      </w:r>
    </w:p>
    <w:p w14:paraId="0274AAFF" w14:textId="79E40A58" w:rsidR="005C2D82" w:rsidRPr="007F21E1" w:rsidRDefault="005C2D82" w:rsidP="009558EF">
      <w:pPr>
        <w:spacing w:line="240" w:lineRule="auto"/>
        <w:ind w:left="-180"/>
        <w:jc w:val="both"/>
        <w:rPr>
          <w:rFonts w:ascii="Times New Roman" w:hAnsi="Times New Roman" w:cs="Times New Roman"/>
          <w:b/>
          <w:bCs/>
        </w:rPr>
      </w:pPr>
      <w:r w:rsidRPr="007F21E1">
        <w:rPr>
          <w:rFonts w:ascii="Times New Roman" w:hAnsi="Times New Roman" w:cs="Times New Roman"/>
          <w:b/>
          <w:bCs/>
        </w:rPr>
        <w:t>Integration of management strategies for internal decay and post-harvesting/processing issues</w:t>
      </w:r>
    </w:p>
    <w:p w14:paraId="2090C785" w14:textId="4D792F63" w:rsidR="00B17851" w:rsidRPr="007F21E1" w:rsidRDefault="00B17851" w:rsidP="009558EF">
      <w:pPr>
        <w:spacing w:line="240" w:lineRule="auto"/>
        <w:ind w:left="-180"/>
        <w:jc w:val="both"/>
        <w:rPr>
          <w:rFonts w:ascii="Times New Roman" w:hAnsi="Times New Roman" w:cs="Times New Roman"/>
          <w:shd w:val="clear" w:color="auto" w:fill="FFFFFF"/>
        </w:rPr>
      </w:pPr>
      <w:r w:rsidRPr="007F21E1">
        <w:rPr>
          <w:rFonts w:ascii="Times New Roman" w:hAnsi="Times New Roman" w:cs="Times New Roman"/>
          <w:shd w:val="clear" w:color="auto" w:fill="FFFFFF"/>
        </w:rPr>
        <w:t>The management of teak (Tectona grandis) plantations requires integrated strategies to address both internal decay and post-harvesting/processing issues. Teak is a valuable tropical hardwood, and its quality can be significantly affected by various factors throughout its growth and processing stages.</w:t>
      </w:r>
    </w:p>
    <w:p w14:paraId="3BA63ECE" w14:textId="6F51D062" w:rsidR="00B17851" w:rsidRPr="007F21E1" w:rsidRDefault="00B17851" w:rsidP="009558EF">
      <w:pPr>
        <w:spacing w:line="240" w:lineRule="auto"/>
        <w:ind w:left="-180"/>
        <w:jc w:val="both"/>
        <w:rPr>
          <w:rFonts w:ascii="Times New Roman" w:hAnsi="Times New Roman" w:cs="Times New Roman"/>
          <w:shd w:val="clear" w:color="auto" w:fill="FFFFFF"/>
        </w:rPr>
      </w:pPr>
      <w:r w:rsidRPr="007F21E1">
        <w:rPr>
          <w:rFonts w:ascii="Times New Roman" w:hAnsi="Times New Roman" w:cs="Times New Roman"/>
          <w:shd w:val="clear" w:color="auto" w:fill="FFFFFF"/>
        </w:rPr>
        <w:t>Internal decay in teak can be influenced by site conditions and management practices. Research has shown that decay resistance varies depending on the growing environment and tree genetics. For instance, teak grown in wet sites of home gardens was found to be more susceptible to brown-</w:t>
      </w:r>
      <w:r w:rsidRPr="007F21E1">
        <w:rPr>
          <w:rFonts w:ascii="Times New Roman" w:hAnsi="Times New Roman" w:cs="Times New Roman"/>
          <w:shd w:val="clear" w:color="auto" w:fill="FFFFFF"/>
        </w:rPr>
        <w:lastRenderedPageBreak/>
        <w:t xml:space="preserve">rot decay compared to dry sites, associated with paler wood </w:t>
      </w:r>
      <w:proofErr w:type="spellStart"/>
      <w:r w:rsidRPr="007F21E1">
        <w:rPr>
          <w:rFonts w:ascii="Times New Roman" w:hAnsi="Times New Roman" w:cs="Times New Roman"/>
          <w:shd w:val="clear" w:color="auto" w:fill="FFFFFF"/>
        </w:rPr>
        <w:t>color</w:t>
      </w:r>
      <w:proofErr w:type="spellEnd"/>
      <w:r w:rsidRPr="007F21E1">
        <w:rPr>
          <w:rFonts w:ascii="Times New Roman" w:hAnsi="Times New Roman" w:cs="Times New Roman"/>
          <w:shd w:val="clear" w:color="auto" w:fill="FFFFFF"/>
        </w:rPr>
        <w:t xml:space="preserve"> and lower extractive content </w:t>
      </w:r>
      <w:r w:rsidRPr="007F21E1">
        <w:rPr>
          <w:rStyle w:val="highlight"/>
          <w:rFonts w:ascii="Times New Roman" w:hAnsi="Times New Roman" w:cs="Times New Roman"/>
          <w:shd w:val="clear" w:color="auto" w:fill="FFFFFF"/>
        </w:rPr>
        <w:t>(Bhat et al., 2005)</w:t>
      </w:r>
      <w:r w:rsidRPr="007F21E1">
        <w:rPr>
          <w:rFonts w:ascii="Times New Roman" w:hAnsi="Times New Roman" w:cs="Times New Roman"/>
          <w:shd w:val="clear" w:color="auto" w:fill="FFFFFF"/>
        </w:rPr>
        <w:t xml:space="preserve">. To mitigate internal decay, careful site selection and genetic improvement programs can be implemented to enhance the natural decay resistance of teak. </w:t>
      </w:r>
    </w:p>
    <w:p w14:paraId="2DE03BD3" w14:textId="09EA42A9" w:rsidR="00B17851" w:rsidRPr="007F21E1" w:rsidRDefault="00B17851" w:rsidP="009558EF">
      <w:pPr>
        <w:spacing w:line="240" w:lineRule="auto"/>
        <w:ind w:left="-180"/>
        <w:jc w:val="both"/>
        <w:rPr>
          <w:rFonts w:ascii="Times New Roman" w:hAnsi="Times New Roman" w:cs="Times New Roman"/>
          <w:shd w:val="clear" w:color="auto" w:fill="FFFFFF"/>
        </w:rPr>
      </w:pPr>
      <w:r w:rsidRPr="007F21E1">
        <w:rPr>
          <w:rFonts w:ascii="Times New Roman" w:hAnsi="Times New Roman" w:cs="Times New Roman"/>
          <w:shd w:val="clear" w:color="auto" w:fill="FFFFFF"/>
        </w:rPr>
        <w:t xml:space="preserve">Post-harvesting and processing issues, particularly in short-rotation teak, present challenges for wood quality. Short-rotation teak often has lower dimensional stability and durability compared to long-rotation teak </w:t>
      </w:r>
      <w:r w:rsidRPr="007F21E1">
        <w:rPr>
          <w:rStyle w:val="highlight"/>
          <w:rFonts w:ascii="Times New Roman" w:hAnsi="Times New Roman" w:cs="Times New Roman"/>
          <w:shd w:val="clear" w:color="auto" w:fill="FFFFFF"/>
        </w:rPr>
        <w:t xml:space="preserve">(Martha et al., 2021; </w:t>
      </w:r>
      <w:proofErr w:type="spellStart"/>
      <w:r w:rsidRPr="007F21E1">
        <w:rPr>
          <w:rStyle w:val="highlight"/>
          <w:rFonts w:ascii="Times New Roman" w:hAnsi="Times New Roman" w:cs="Times New Roman"/>
          <w:shd w:val="clear" w:color="auto" w:fill="FFFFFF"/>
        </w:rPr>
        <w:t>Rizanti</w:t>
      </w:r>
      <w:proofErr w:type="spellEnd"/>
      <w:r w:rsidRPr="007F21E1">
        <w:rPr>
          <w:rStyle w:val="highlight"/>
          <w:rFonts w:ascii="Times New Roman" w:hAnsi="Times New Roman" w:cs="Times New Roman"/>
          <w:shd w:val="clear" w:color="auto" w:fill="FFFFFF"/>
        </w:rPr>
        <w:t xml:space="preserve"> et al., 2018)</w:t>
      </w:r>
      <w:r w:rsidRPr="007F21E1">
        <w:rPr>
          <w:rFonts w:ascii="Times New Roman" w:hAnsi="Times New Roman" w:cs="Times New Roman"/>
          <w:shd w:val="clear" w:color="auto" w:fill="FFFFFF"/>
        </w:rPr>
        <w:t xml:space="preserve">. To address these issues, various treatment methods can be employed. For example, </w:t>
      </w:r>
      <w:proofErr w:type="spellStart"/>
      <w:r w:rsidRPr="007F21E1">
        <w:rPr>
          <w:rFonts w:ascii="Times New Roman" w:hAnsi="Times New Roman" w:cs="Times New Roman"/>
          <w:shd w:val="clear" w:color="auto" w:fill="FFFFFF"/>
        </w:rPr>
        <w:t>furfurylation</w:t>
      </w:r>
      <w:proofErr w:type="spellEnd"/>
      <w:r w:rsidRPr="007F21E1">
        <w:rPr>
          <w:rFonts w:ascii="Times New Roman" w:hAnsi="Times New Roman" w:cs="Times New Roman"/>
          <w:shd w:val="clear" w:color="auto" w:fill="FFFFFF"/>
        </w:rPr>
        <w:t xml:space="preserve"> treatment has shown promising results in improving dimensional stability and decay resistance of short-rotation teak sapwood </w:t>
      </w:r>
      <w:r w:rsidRPr="007F21E1">
        <w:rPr>
          <w:rStyle w:val="highlight"/>
          <w:rFonts w:ascii="Times New Roman" w:hAnsi="Times New Roman" w:cs="Times New Roman"/>
          <w:shd w:val="clear" w:color="auto" w:fill="FFFFFF"/>
        </w:rPr>
        <w:t>(Martha et al., 2021)</w:t>
      </w:r>
      <w:r w:rsidRPr="007F21E1">
        <w:rPr>
          <w:rFonts w:ascii="Times New Roman" w:hAnsi="Times New Roman" w:cs="Times New Roman"/>
          <w:shd w:val="clear" w:color="auto" w:fill="FFFFFF"/>
        </w:rPr>
        <w:t xml:space="preserve">. This treatment increased anti-swelling efficiency by an average of 64% and significantly enhanced durability against fungal decay. </w:t>
      </w:r>
    </w:p>
    <w:p w14:paraId="50D0A272" w14:textId="1819CAB6" w:rsidR="005C2D82" w:rsidRPr="007F21E1" w:rsidRDefault="00B17851" w:rsidP="009558EF">
      <w:pPr>
        <w:spacing w:line="240" w:lineRule="auto"/>
        <w:ind w:left="-180"/>
        <w:jc w:val="both"/>
        <w:rPr>
          <w:rFonts w:ascii="Times New Roman" w:hAnsi="Times New Roman" w:cs="Times New Roman"/>
          <w:bCs/>
        </w:rPr>
      </w:pPr>
      <w:r w:rsidRPr="007F21E1">
        <w:rPr>
          <w:rFonts w:ascii="Times New Roman" w:hAnsi="Times New Roman" w:cs="Times New Roman"/>
          <w:shd w:val="clear" w:color="auto" w:fill="FFFFFF"/>
        </w:rPr>
        <w:t xml:space="preserve">Integrating management strategies for both internal decay and post-harvesting issues involves a holistic approach. This includes optimizing initial planting density, thinning, and pruning regimes to produce high-quality timber </w:t>
      </w:r>
      <w:r w:rsidRPr="007F21E1">
        <w:rPr>
          <w:rStyle w:val="highlight"/>
          <w:rFonts w:ascii="Times New Roman" w:hAnsi="Times New Roman" w:cs="Times New Roman"/>
          <w:shd w:val="clear" w:color="auto" w:fill="FFFFFF"/>
        </w:rPr>
        <w:t>(</w:t>
      </w:r>
      <w:proofErr w:type="spellStart"/>
      <w:r w:rsidRPr="007F21E1">
        <w:rPr>
          <w:rStyle w:val="highlight"/>
          <w:rFonts w:ascii="Times New Roman" w:hAnsi="Times New Roman" w:cs="Times New Roman"/>
          <w:shd w:val="clear" w:color="auto" w:fill="FFFFFF"/>
        </w:rPr>
        <w:t>Khasanah</w:t>
      </w:r>
      <w:proofErr w:type="spellEnd"/>
      <w:r w:rsidRPr="007F21E1">
        <w:rPr>
          <w:rStyle w:val="highlight"/>
          <w:rFonts w:ascii="Times New Roman" w:hAnsi="Times New Roman" w:cs="Times New Roman"/>
          <w:shd w:val="clear" w:color="auto" w:fill="FFFFFF"/>
        </w:rPr>
        <w:t xml:space="preserve"> et al., 2015)</w:t>
      </w:r>
      <w:r w:rsidRPr="007F21E1">
        <w:rPr>
          <w:rFonts w:ascii="Times New Roman" w:hAnsi="Times New Roman" w:cs="Times New Roman"/>
          <w:shd w:val="clear" w:color="auto" w:fill="FFFFFF"/>
        </w:rPr>
        <w:t xml:space="preserve">. Additionally, the development of supporting technologies such as ex situ conservation, genetic improvement, growth models, and agroforestry systems can contribute to better teak management </w:t>
      </w:r>
      <w:r w:rsidRPr="007F21E1">
        <w:rPr>
          <w:rStyle w:val="highlight"/>
          <w:rFonts w:ascii="Times New Roman" w:hAnsi="Times New Roman" w:cs="Times New Roman"/>
          <w:shd w:val="clear" w:color="auto" w:fill="FFFFFF"/>
        </w:rPr>
        <w:t>(Pachas et al., 2019)</w:t>
      </w:r>
      <w:r w:rsidRPr="007F21E1">
        <w:rPr>
          <w:rFonts w:ascii="Times New Roman" w:hAnsi="Times New Roman" w:cs="Times New Roman"/>
          <w:shd w:val="clear" w:color="auto" w:fill="FFFFFF"/>
        </w:rPr>
        <w:t xml:space="preserve">. Furthermore, the </w:t>
      </w:r>
      <w:proofErr w:type="spellStart"/>
      <w:r w:rsidRPr="007F21E1">
        <w:rPr>
          <w:rFonts w:ascii="Times New Roman" w:hAnsi="Times New Roman" w:cs="Times New Roman"/>
          <w:shd w:val="clear" w:color="auto" w:fill="FFFFFF"/>
        </w:rPr>
        <w:t>valorization</w:t>
      </w:r>
      <w:proofErr w:type="spellEnd"/>
      <w:r w:rsidRPr="007F21E1">
        <w:rPr>
          <w:rFonts w:ascii="Times New Roman" w:hAnsi="Times New Roman" w:cs="Times New Roman"/>
          <w:shd w:val="clear" w:color="auto" w:fill="FFFFFF"/>
        </w:rPr>
        <w:t xml:space="preserve"> of wood waste through processes like pyrolysis can increase the added value of teak products and contribute to more sustainable practices in the industry </w:t>
      </w:r>
      <w:r w:rsidRPr="007F21E1">
        <w:rPr>
          <w:rStyle w:val="highlight"/>
          <w:rFonts w:ascii="Times New Roman" w:hAnsi="Times New Roman" w:cs="Times New Roman"/>
          <w:shd w:val="clear" w:color="auto" w:fill="FFFFFF"/>
        </w:rPr>
        <w:t>(Haryanto et al., 2021)</w:t>
      </w:r>
      <w:r w:rsidRPr="007F21E1">
        <w:rPr>
          <w:rFonts w:ascii="Times New Roman" w:hAnsi="Times New Roman" w:cs="Times New Roman"/>
          <w:shd w:val="clear" w:color="auto" w:fill="FFFFFF"/>
        </w:rPr>
        <w:t>.</w:t>
      </w:r>
    </w:p>
    <w:p w14:paraId="185C2ED2" w14:textId="161062A9" w:rsidR="00373D90" w:rsidRPr="00373D90" w:rsidRDefault="005C2D82" w:rsidP="009558EF">
      <w:pPr>
        <w:spacing w:line="240" w:lineRule="auto"/>
        <w:ind w:left="-180"/>
        <w:jc w:val="both"/>
        <w:rPr>
          <w:rFonts w:ascii="Times New Roman" w:hAnsi="Times New Roman" w:cs="Times New Roman"/>
          <w:b/>
          <w:bCs/>
        </w:rPr>
      </w:pPr>
      <w:r w:rsidRPr="007F21E1">
        <w:rPr>
          <w:rFonts w:ascii="Times New Roman" w:hAnsi="Times New Roman" w:cs="Times New Roman"/>
          <w:b/>
          <w:bCs/>
        </w:rPr>
        <w:t>Conclusion</w:t>
      </w:r>
    </w:p>
    <w:p w14:paraId="335C9D6A" w14:textId="0AAD0C12" w:rsidR="00586471" w:rsidRPr="00586471" w:rsidRDefault="009558EF" w:rsidP="009558EF">
      <w:pPr>
        <w:spacing w:before="100" w:beforeAutospacing="1" w:after="100" w:afterAutospacing="1" w:line="240" w:lineRule="auto"/>
        <w:ind w:left="-180"/>
        <w:jc w:val="both"/>
        <w:rPr>
          <w:rFonts w:ascii="Times New Roman" w:eastAsia="Times New Roman" w:hAnsi="Times New Roman" w:cs="Times New Roman"/>
          <w:kern w:val="0"/>
          <w:lang w:val="en-US"/>
          <w14:ligatures w14:val="none"/>
        </w:rPr>
      </w:pPr>
      <w:r w:rsidRPr="00586471">
        <w:rPr>
          <w:rFonts w:ascii="Times New Roman" w:eastAsia="Times New Roman" w:hAnsi="Times New Roman" w:cs="Times New Roman"/>
          <w:kern w:val="0"/>
          <w:lang w:val="en-US"/>
          <w14:ligatures w14:val="none"/>
        </w:rPr>
        <w:t>Actual</w:t>
      </w:r>
      <w:r w:rsidR="00586471" w:rsidRPr="00586471">
        <w:rPr>
          <w:rFonts w:ascii="Times New Roman" w:eastAsia="Times New Roman" w:hAnsi="Times New Roman" w:cs="Times New Roman"/>
          <w:kern w:val="0"/>
          <w:lang w:val="en-US"/>
          <w14:ligatures w14:val="none"/>
        </w:rPr>
        <w:t xml:space="preserve"> teak plantation management and wood harvesting practices play a crucial role in minimizing internal decay and enhancing the quality of plantation-grown teak. Factors such as site conditions, heartwood development, extractive content, and fungal interactions significantly influence wood durability and resistance to decay. Short-rotation teak, while offering economic advantages through faster yields, generally has lower density and extractive content, making it less durable than long-rotation teak. This presents challenges for the wood processing industry, particularly for applications requiring high durability, such as outdoor furniture and construction materials.</w:t>
      </w:r>
    </w:p>
    <w:p w14:paraId="615CFC3C" w14:textId="0DA5B135" w:rsidR="007A02D5" w:rsidRPr="00C243FC" w:rsidRDefault="00586471" w:rsidP="009558EF">
      <w:pPr>
        <w:spacing w:before="100" w:beforeAutospacing="1" w:after="100" w:afterAutospacing="1" w:line="240" w:lineRule="auto"/>
        <w:ind w:left="-180"/>
        <w:jc w:val="both"/>
        <w:rPr>
          <w:rFonts w:ascii="Times New Roman" w:eastAsia="Times New Roman" w:hAnsi="Times New Roman" w:cs="Times New Roman"/>
          <w:kern w:val="0"/>
          <w:lang w:val="en-US"/>
          <w14:ligatures w14:val="none"/>
        </w:rPr>
      </w:pPr>
      <w:r w:rsidRPr="00586471">
        <w:rPr>
          <w:rFonts w:ascii="Times New Roman" w:eastAsia="Times New Roman" w:hAnsi="Times New Roman" w:cs="Times New Roman"/>
          <w:kern w:val="0"/>
          <w:lang w:val="en-US"/>
          <w14:ligatures w14:val="none"/>
        </w:rPr>
        <w:t>For sustainable teak production, plantation management strategies should focus on optimizing growth conditions, selecting suitable sites, and implementing silvicultural practices that promote heartwood formation and decay resistance. The wood harvesting and processing industries must also adapt by developing treatment methods and value-added processing techniques to enhance the durability and marketability of short-rotation teak. Future advancements in forestry management and biotechnology will be essential for improving wood quality, ensuring long-term sustainability, and maintaining the economic viability of teak plantations.</w:t>
      </w:r>
    </w:p>
    <w:p w14:paraId="22602BAC" w14:textId="77483A8D" w:rsidR="009558EF" w:rsidRPr="009558EF" w:rsidRDefault="009558EF" w:rsidP="009558EF">
      <w:pPr>
        <w:spacing w:line="240" w:lineRule="auto"/>
        <w:ind w:left="-180"/>
        <w:jc w:val="both"/>
        <w:rPr>
          <w:rFonts w:ascii="Times New Roman" w:hAnsi="Times New Roman" w:cs="Times New Roman"/>
          <w:b/>
          <w:bCs/>
        </w:rPr>
      </w:pPr>
      <w:r w:rsidRPr="007F21E1">
        <w:rPr>
          <w:rFonts w:ascii="Times New Roman" w:hAnsi="Times New Roman" w:cs="Times New Roman"/>
          <w:b/>
          <w:bCs/>
        </w:rPr>
        <w:t>References</w:t>
      </w:r>
    </w:p>
    <w:p w14:paraId="5E781D4E" w14:textId="77A47F20" w:rsidR="009558EF" w:rsidRPr="009558EF" w:rsidRDefault="009558EF" w:rsidP="00CC6500">
      <w:pPr>
        <w:pStyle w:val="ListParagraph"/>
        <w:numPr>
          <w:ilvl w:val="0"/>
          <w:numId w:val="19"/>
        </w:numPr>
        <w:spacing w:after="0" w:line="240" w:lineRule="auto"/>
        <w:jc w:val="both"/>
        <w:rPr>
          <w:rFonts w:ascii="Times New Roman" w:eastAsia="Times New Roman" w:hAnsi="Times New Roman" w:cs="Times New Roman"/>
          <w:kern w:val="0"/>
          <w:lang w:eastAsia="en-IN"/>
          <w14:ligatures w14:val="none"/>
        </w:rPr>
      </w:pPr>
      <w:r w:rsidRPr="009558EF">
        <w:rPr>
          <w:rFonts w:ascii="Times New Roman" w:eastAsia="Times New Roman" w:hAnsi="Times New Roman" w:cs="Times New Roman"/>
          <w:kern w:val="0"/>
          <w:lang w:eastAsia="en-IN"/>
          <w14:ligatures w14:val="none"/>
        </w:rPr>
        <w:t xml:space="preserve">Adhikari, S., &amp; </w:t>
      </w:r>
      <w:proofErr w:type="spellStart"/>
      <w:r w:rsidRPr="009558EF">
        <w:rPr>
          <w:rFonts w:ascii="Times New Roman" w:eastAsia="Times New Roman" w:hAnsi="Times New Roman" w:cs="Times New Roman"/>
          <w:kern w:val="0"/>
          <w:lang w:eastAsia="en-IN"/>
          <w14:ligatures w14:val="none"/>
        </w:rPr>
        <w:t>Ozarska</w:t>
      </w:r>
      <w:proofErr w:type="spellEnd"/>
      <w:r w:rsidRPr="009558EF">
        <w:rPr>
          <w:rFonts w:ascii="Times New Roman" w:eastAsia="Times New Roman" w:hAnsi="Times New Roman" w:cs="Times New Roman"/>
          <w:kern w:val="0"/>
          <w:lang w:eastAsia="en-IN"/>
          <w14:ligatures w14:val="none"/>
        </w:rPr>
        <w:t>, B. (2018). Minimizing environmental impacts of timber products through the production process \u201cFrom Sawmill to Final Products\u201d. </w:t>
      </w:r>
      <w:r w:rsidR="00E87620" w:rsidRPr="009558EF">
        <w:rPr>
          <w:rFonts w:ascii="Times New Roman" w:eastAsia="Times New Roman" w:hAnsi="Times New Roman" w:cs="Times New Roman"/>
          <w:i/>
          <w:iCs/>
          <w:kern w:val="0"/>
          <w:lang w:eastAsia="en-IN"/>
          <w14:ligatures w14:val="none"/>
        </w:rPr>
        <w:t>Environmental Systems</w:t>
      </w:r>
      <w:r w:rsidR="00E87620">
        <w:rPr>
          <w:rFonts w:ascii="Times New Roman" w:eastAsia="Times New Roman" w:hAnsi="Times New Roman" w:cs="Times New Roman"/>
          <w:i/>
          <w:iCs/>
          <w:kern w:val="0"/>
          <w:lang w:eastAsia="en-IN"/>
          <w14:ligatures w14:val="none"/>
        </w:rPr>
        <w:t xml:space="preserve"> </w:t>
      </w:r>
      <w:r w:rsidRPr="009558EF">
        <w:rPr>
          <w:rFonts w:ascii="Times New Roman" w:eastAsia="Times New Roman" w:hAnsi="Times New Roman" w:cs="Times New Roman"/>
          <w:i/>
          <w:iCs/>
          <w:kern w:val="0"/>
          <w:lang w:eastAsia="en-IN"/>
          <w14:ligatures w14:val="none"/>
        </w:rPr>
        <w:t>Research</w:t>
      </w:r>
      <w:r w:rsidRPr="009558EF">
        <w:rPr>
          <w:rFonts w:ascii="Times New Roman" w:eastAsia="Times New Roman" w:hAnsi="Times New Roman" w:cs="Times New Roman"/>
          <w:kern w:val="0"/>
          <w:lang w:eastAsia="en-IN"/>
          <w14:ligatures w14:val="none"/>
        </w:rPr>
        <w:t>, </w:t>
      </w:r>
      <w:r w:rsidRPr="009558EF">
        <w:rPr>
          <w:rFonts w:ascii="Times New Roman" w:eastAsia="Times New Roman" w:hAnsi="Times New Roman" w:cs="Times New Roman"/>
          <w:i/>
          <w:iCs/>
          <w:kern w:val="0"/>
          <w:lang w:eastAsia="en-IN"/>
          <w14:ligatures w14:val="none"/>
        </w:rPr>
        <w:t>7</w:t>
      </w:r>
      <w:r w:rsidRPr="009558EF">
        <w:rPr>
          <w:rFonts w:ascii="Times New Roman" w:eastAsia="Times New Roman" w:hAnsi="Times New Roman" w:cs="Times New Roman"/>
          <w:kern w:val="0"/>
          <w:lang w:eastAsia="en-IN"/>
          <w14:ligatures w14:val="none"/>
        </w:rPr>
        <w:t xml:space="preserve">(1). </w:t>
      </w:r>
    </w:p>
    <w:p w14:paraId="41091F8A" w14:textId="2E9BB5D9" w:rsidR="009558EF" w:rsidRPr="00D112AA" w:rsidRDefault="009558EF" w:rsidP="00CC6500">
      <w:pPr>
        <w:pStyle w:val="ListParagraph"/>
        <w:numPr>
          <w:ilvl w:val="0"/>
          <w:numId w:val="19"/>
        </w:numPr>
        <w:spacing w:line="240" w:lineRule="auto"/>
        <w:jc w:val="both"/>
        <w:rPr>
          <w:rFonts w:ascii="Times New Roman" w:hAnsi="Times New Roman" w:cs="Times New Roman"/>
          <w:highlight w:val="yellow"/>
        </w:rPr>
      </w:pPr>
      <w:proofErr w:type="spellStart"/>
      <w:r w:rsidRPr="00D112AA">
        <w:rPr>
          <w:rFonts w:ascii="Times New Roman" w:hAnsi="Times New Roman" w:cs="Times New Roman"/>
          <w:highlight w:val="yellow"/>
        </w:rPr>
        <w:t>Alveshere</w:t>
      </w:r>
      <w:proofErr w:type="spellEnd"/>
      <w:r w:rsidRPr="00D112AA">
        <w:rPr>
          <w:rFonts w:ascii="Times New Roman" w:hAnsi="Times New Roman" w:cs="Times New Roman"/>
          <w:highlight w:val="yellow"/>
        </w:rPr>
        <w:t>, B., Bunce, A., Worthley, T., &amp; Fahey, R. (2024). Evaluating effects of silvicultural treatments on forest canopy structure outcomes. </w:t>
      </w:r>
      <w:r w:rsidRPr="00D112AA">
        <w:rPr>
          <w:rFonts w:ascii="Times New Roman" w:hAnsi="Times New Roman" w:cs="Times New Roman"/>
          <w:i/>
          <w:iCs/>
          <w:highlight w:val="yellow"/>
        </w:rPr>
        <w:t>Canadian Journal of Forest Research</w:t>
      </w:r>
      <w:r w:rsidRPr="00D112AA">
        <w:rPr>
          <w:rFonts w:ascii="Times New Roman" w:hAnsi="Times New Roman" w:cs="Times New Roman"/>
          <w:highlight w:val="yellow"/>
        </w:rPr>
        <w:t>, </w:t>
      </w:r>
      <w:r w:rsidRPr="00D112AA">
        <w:rPr>
          <w:rFonts w:ascii="Times New Roman" w:hAnsi="Times New Roman" w:cs="Times New Roman"/>
          <w:i/>
          <w:iCs/>
          <w:highlight w:val="yellow"/>
        </w:rPr>
        <w:t>54</w:t>
      </w:r>
      <w:r w:rsidRPr="00D112AA">
        <w:rPr>
          <w:rFonts w:ascii="Times New Roman" w:hAnsi="Times New Roman" w:cs="Times New Roman"/>
          <w:highlight w:val="yellow"/>
        </w:rPr>
        <w:t xml:space="preserve">(12), 1443–1457. </w:t>
      </w:r>
    </w:p>
    <w:p w14:paraId="160BC1AF" w14:textId="177E5F99" w:rsidR="009558EF" w:rsidRPr="000E0BCE" w:rsidRDefault="009558EF" w:rsidP="00CC6500">
      <w:pPr>
        <w:pStyle w:val="c-bdnkfx"/>
        <w:numPr>
          <w:ilvl w:val="0"/>
          <w:numId w:val="19"/>
        </w:numPr>
        <w:spacing w:before="0" w:beforeAutospacing="0" w:after="0" w:afterAutospacing="0"/>
        <w:jc w:val="both"/>
        <w:rPr>
          <w:highlight w:val="yellow"/>
        </w:rPr>
      </w:pPr>
      <w:proofErr w:type="spellStart"/>
      <w:r w:rsidRPr="000E0BCE">
        <w:rPr>
          <w:highlight w:val="yellow"/>
        </w:rPr>
        <w:t>Arhipova</w:t>
      </w:r>
      <w:proofErr w:type="spellEnd"/>
      <w:r w:rsidRPr="000E0BCE">
        <w:rPr>
          <w:highlight w:val="yellow"/>
        </w:rPr>
        <w:t xml:space="preserve">, N., </w:t>
      </w:r>
      <w:proofErr w:type="spellStart"/>
      <w:r w:rsidRPr="000E0BCE">
        <w:rPr>
          <w:highlight w:val="yellow"/>
        </w:rPr>
        <w:t>Vasaitis</w:t>
      </w:r>
      <w:proofErr w:type="spellEnd"/>
      <w:r w:rsidRPr="000E0BCE">
        <w:rPr>
          <w:highlight w:val="yellow"/>
        </w:rPr>
        <w:t xml:space="preserve">, R., </w:t>
      </w:r>
      <w:proofErr w:type="spellStart"/>
      <w:r w:rsidRPr="000E0BCE">
        <w:rPr>
          <w:highlight w:val="yellow"/>
        </w:rPr>
        <w:t>Zaluma</w:t>
      </w:r>
      <w:proofErr w:type="spellEnd"/>
      <w:r w:rsidRPr="000E0BCE">
        <w:rPr>
          <w:highlight w:val="yellow"/>
        </w:rPr>
        <w:t xml:space="preserve">, A., Jansons, A., &amp; </w:t>
      </w:r>
      <w:proofErr w:type="spellStart"/>
      <w:r w:rsidRPr="000E0BCE">
        <w:rPr>
          <w:highlight w:val="yellow"/>
        </w:rPr>
        <w:t>Gaitnieks</w:t>
      </w:r>
      <w:proofErr w:type="spellEnd"/>
      <w:r w:rsidRPr="000E0BCE">
        <w:rPr>
          <w:highlight w:val="yellow"/>
        </w:rPr>
        <w:t>, T. (2015). Bark stripping of </w:t>
      </w:r>
      <w:r w:rsidRPr="000E0BCE">
        <w:rPr>
          <w:i/>
          <w:iCs/>
          <w:highlight w:val="yellow"/>
        </w:rPr>
        <w:t>Pinus contorta</w:t>
      </w:r>
      <w:r w:rsidRPr="000E0BCE">
        <w:rPr>
          <w:highlight w:val="yellow"/>
        </w:rPr>
        <w:t> caused by moose and deer: wounding patterns, discoloration of wood, and associated fungi. </w:t>
      </w:r>
      <w:r w:rsidRPr="000E0BCE">
        <w:rPr>
          <w:i/>
          <w:iCs/>
          <w:highlight w:val="yellow"/>
        </w:rPr>
        <w:t>Canadian Journal of Forest Research</w:t>
      </w:r>
      <w:r w:rsidRPr="000E0BCE">
        <w:rPr>
          <w:highlight w:val="yellow"/>
        </w:rPr>
        <w:t>, </w:t>
      </w:r>
      <w:r w:rsidRPr="000E0BCE">
        <w:rPr>
          <w:i/>
          <w:iCs/>
          <w:highlight w:val="yellow"/>
        </w:rPr>
        <w:t>45</w:t>
      </w:r>
      <w:r w:rsidRPr="000E0BCE">
        <w:rPr>
          <w:highlight w:val="yellow"/>
        </w:rPr>
        <w:t xml:space="preserve">(10), 1434–1438. </w:t>
      </w:r>
    </w:p>
    <w:p w14:paraId="5C12142A" w14:textId="66263BE2" w:rsidR="009558EF" w:rsidRPr="009558EF" w:rsidRDefault="009558EF" w:rsidP="00CC6500">
      <w:pPr>
        <w:pStyle w:val="ListParagraph"/>
        <w:numPr>
          <w:ilvl w:val="0"/>
          <w:numId w:val="19"/>
        </w:numPr>
        <w:spacing w:line="240" w:lineRule="auto"/>
        <w:jc w:val="both"/>
        <w:rPr>
          <w:rFonts w:ascii="Times New Roman" w:hAnsi="Times New Roman" w:cs="Times New Roman"/>
        </w:rPr>
      </w:pPr>
      <w:proofErr w:type="spellStart"/>
      <w:r w:rsidRPr="009558EF">
        <w:rPr>
          <w:rFonts w:ascii="Times New Roman" w:hAnsi="Times New Roman" w:cs="Times New Roman"/>
        </w:rPr>
        <w:lastRenderedPageBreak/>
        <w:t>Asdullah</w:t>
      </w:r>
      <w:proofErr w:type="spellEnd"/>
      <w:r w:rsidRPr="009558EF">
        <w:rPr>
          <w:rFonts w:ascii="Times New Roman" w:hAnsi="Times New Roman" w:cs="Times New Roman"/>
        </w:rPr>
        <w:t>, H. U., Hassan, M. A., Wang, D., Abbas, A., Tahir, A., Raza, M. A., Chen, F., Chen, Y., Sajad, S., &amp; Rafiq, M. (2024). Recent advances and role of melatonin in post-harvest quality preservation of shiitake (Lentinula edodes). </w:t>
      </w:r>
      <w:r w:rsidRPr="009558EF">
        <w:rPr>
          <w:rFonts w:ascii="Times New Roman" w:hAnsi="Times New Roman" w:cs="Times New Roman"/>
          <w:i/>
          <w:iCs/>
        </w:rPr>
        <w:t>Frontiers in Nutrition</w:t>
      </w:r>
      <w:r w:rsidRPr="009558EF">
        <w:rPr>
          <w:rFonts w:ascii="Times New Roman" w:hAnsi="Times New Roman" w:cs="Times New Roman"/>
        </w:rPr>
        <w:t>, </w:t>
      </w:r>
      <w:r w:rsidRPr="009558EF">
        <w:rPr>
          <w:rFonts w:ascii="Times New Roman" w:hAnsi="Times New Roman" w:cs="Times New Roman"/>
          <w:i/>
          <w:iCs/>
        </w:rPr>
        <w:t>11</w:t>
      </w:r>
      <w:r w:rsidRPr="009558EF">
        <w:rPr>
          <w:rFonts w:ascii="Times New Roman" w:hAnsi="Times New Roman" w:cs="Times New Roman"/>
        </w:rPr>
        <w:t xml:space="preserve">. </w:t>
      </w:r>
    </w:p>
    <w:p w14:paraId="3C9C74F0" w14:textId="63D43BFE" w:rsidR="009558EF" w:rsidRPr="009558EF" w:rsidRDefault="009558EF" w:rsidP="00CC6500">
      <w:pPr>
        <w:pStyle w:val="ListParagraph"/>
        <w:numPr>
          <w:ilvl w:val="0"/>
          <w:numId w:val="19"/>
        </w:numPr>
        <w:spacing w:line="240" w:lineRule="auto"/>
        <w:jc w:val="both"/>
        <w:rPr>
          <w:rFonts w:ascii="Times New Roman" w:hAnsi="Times New Roman" w:cs="Times New Roman"/>
        </w:rPr>
      </w:pPr>
      <w:proofErr w:type="spellStart"/>
      <w:r w:rsidRPr="009558EF">
        <w:rPr>
          <w:rFonts w:ascii="Times New Roman" w:hAnsi="Times New Roman" w:cs="Times New Roman"/>
        </w:rPr>
        <w:t>Attignon</w:t>
      </w:r>
      <w:proofErr w:type="spellEnd"/>
      <w:r w:rsidRPr="009558EF">
        <w:rPr>
          <w:rFonts w:ascii="Times New Roman" w:hAnsi="Times New Roman" w:cs="Times New Roman"/>
        </w:rPr>
        <w:t xml:space="preserve">, S. E., </w:t>
      </w:r>
      <w:proofErr w:type="spellStart"/>
      <w:r w:rsidRPr="009558EF">
        <w:rPr>
          <w:rFonts w:ascii="Times New Roman" w:hAnsi="Times New Roman" w:cs="Times New Roman"/>
        </w:rPr>
        <w:t>Peveling</w:t>
      </w:r>
      <w:proofErr w:type="spellEnd"/>
      <w:r w:rsidRPr="009558EF">
        <w:rPr>
          <w:rFonts w:ascii="Times New Roman" w:hAnsi="Times New Roman" w:cs="Times New Roman"/>
        </w:rPr>
        <w:t xml:space="preserve">, R., Lachat, T., Nagel, P., &amp; </w:t>
      </w:r>
      <w:proofErr w:type="spellStart"/>
      <w:r w:rsidRPr="009558EF">
        <w:rPr>
          <w:rFonts w:ascii="Times New Roman" w:hAnsi="Times New Roman" w:cs="Times New Roman"/>
        </w:rPr>
        <w:t>Sinsin</w:t>
      </w:r>
      <w:proofErr w:type="spellEnd"/>
      <w:r w:rsidRPr="009558EF">
        <w:rPr>
          <w:rFonts w:ascii="Times New Roman" w:hAnsi="Times New Roman" w:cs="Times New Roman"/>
        </w:rPr>
        <w:t xml:space="preserve">, B. (2005). Termite assemblages in a West-African semi-deciduous forest and teak plantations. Agriculture, Ecosystems &amp; Environment, 110(3–4), 318–326. </w:t>
      </w:r>
    </w:p>
    <w:p w14:paraId="593EE152" w14:textId="600E78E1" w:rsidR="009558EF" w:rsidRPr="001E582B" w:rsidRDefault="009558EF" w:rsidP="00CC6500">
      <w:pPr>
        <w:pStyle w:val="ListParagraph"/>
        <w:numPr>
          <w:ilvl w:val="0"/>
          <w:numId w:val="19"/>
        </w:numPr>
        <w:spacing w:line="240" w:lineRule="auto"/>
        <w:jc w:val="both"/>
        <w:rPr>
          <w:rFonts w:ascii="Times New Roman" w:hAnsi="Times New Roman" w:cs="Times New Roman"/>
        </w:rPr>
      </w:pPr>
      <w:r w:rsidRPr="001E582B">
        <w:rPr>
          <w:rFonts w:ascii="Times New Roman" w:hAnsi="Times New Roman" w:cs="Times New Roman"/>
        </w:rPr>
        <w:t xml:space="preserve">Barbero-López, A., </w:t>
      </w:r>
      <w:proofErr w:type="spellStart"/>
      <w:r w:rsidRPr="001E582B">
        <w:rPr>
          <w:rFonts w:ascii="Times New Roman" w:hAnsi="Times New Roman" w:cs="Times New Roman"/>
        </w:rPr>
        <w:t>Akkanen</w:t>
      </w:r>
      <w:proofErr w:type="spellEnd"/>
      <w:r w:rsidRPr="001E582B">
        <w:rPr>
          <w:rFonts w:ascii="Times New Roman" w:hAnsi="Times New Roman" w:cs="Times New Roman"/>
        </w:rPr>
        <w:t xml:space="preserve">, J., Lappalainen, R., </w:t>
      </w:r>
      <w:proofErr w:type="spellStart"/>
      <w:r w:rsidRPr="001E582B">
        <w:rPr>
          <w:rFonts w:ascii="Times New Roman" w:hAnsi="Times New Roman" w:cs="Times New Roman"/>
        </w:rPr>
        <w:t>Peräniemi</w:t>
      </w:r>
      <w:proofErr w:type="spellEnd"/>
      <w:r w:rsidRPr="001E582B">
        <w:rPr>
          <w:rFonts w:ascii="Times New Roman" w:hAnsi="Times New Roman" w:cs="Times New Roman"/>
        </w:rPr>
        <w:t>, S., &amp; Haapala, A. (2020). Bio-based wood preservatives: Their efficiency, leaching and ecotoxicity compared to a commercial wood preservative. </w:t>
      </w:r>
      <w:r w:rsidRPr="001E582B">
        <w:rPr>
          <w:rFonts w:ascii="Times New Roman" w:hAnsi="Times New Roman" w:cs="Times New Roman"/>
          <w:i/>
          <w:iCs/>
        </w:rPr>
        <w:t>Science of The Total Environment</w:t>
      </w:r>
      <w:r w:rsidRPr="001E582B">
        <w:rPr>
          <w:rFonts w:ascii="Times New Roman" w:hAnsi="Times New Roman" w:cs="Times New Roman"/>
        </w:rPr>
        <w:t>, </w:t>
      </w:r>
      <w:r w:rsidRPr="001E582B">
        <w:rPr>
          <w:rFonts w:ascii="Times New Roman" w:hAnsi="Times New Roman" w:cs="Times New Roman"/>
          <w:i/>
          <w:iCs/>
        </w:rPr>
        <w:t>753</w:t>
      </w:r>
      <w:r w:rsidRPr="001E582B">
        <w:rPr>
          <w:rFonts w:ascii="Times New Roman" w:hAnsi="Times New Roman" w:cs="Times New Roman"/>
        </w:rPr>
        <w:t xml:space="preserve">, 142013. </w:t>
      </w:r>
    </w:p>
    <w:p w14:paraId="5C56E13A" w14:textId="26404860"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Beguin, J., Tremblay, J., Pothier, D., Thiffault, N., &amp; Côté, S. D. (2016). Management of forest regeneration in boreal and temperate deer–forest systems: challenges, guidelines, and research gaps. </w:t>
      </w:r>
      <w:r w:rsidRPr="009558EF">
        <w:rPr>
          <w:rFonts w:ascii="Times New Roman" w:hAnsi="Times New Roman" w:cs="Times New Roman"/>
          <w:i/>
          <w:iCs/>
        </w:rPr>
        <w:t>Ecosphere</w:t>
      </w:r>
      <w:r w:rsidRPr="009558EF">
        <w:rPr>
          <w:rFonts w:ascii="Times New Roman" w:hAnsi="Times New Roman" w:cs="Times New Roman"/>
        </w:rPr>
        <w:t>, </w:t>
      </w:r>
      <w:r w:rsidRPr="009558EF">
        <w:rPr>
          <w:rFonts w:ascii="Times New Roman" w:hAnsi="Times New Roman" w:cs="Times New Roman"/>
          <w:i/>
          <w:iCs/>
        </w:rPr>
        <w:t>7</w:t>
      </w:r>
      <w:r w:rsidRPr="009558EF">
        <w:rPr>
          <w:rFonts w:ascii="Times New Roman" w:hAnsi="Times New Roman" w:cs="Times New Roman"/>
        </w:rPr>
        <w:t xml:space="preserve">(10). </w:t>
      </w:r>
    </w:p>
    <w:p w14:paraId="0C0B5121" w14:textId="0B254F4A" w:rsidR="009558EF" w:rsidRPr="009558EF" w:rsidRDefault="009558EF" w:rsidP="00CC6500">
      <w:pPr>
        <w:pStyle w:val="ListParagraph"/>
        <w:numPr>
          <w:ilvl w:val="0"/>
          <w:numId w:val="19"/>
        </w:numPr>
        <w:spacing w:line="240" w:lineRule="auto"/>
        <w:jc w:val="both"/>
        <w:rPr>
          <w:rFonts w:ascii="Times New Roman" w:hAnsi="Times New Roman" w:cs="Times New Roman"/>
          <w:b/>
          <w:bCs/>
        </w:rPr>
      </w:pPr>
      <w:r w:rsidRPr="009558EF">
        <w:rPr>
          <w:rFonts w:ascii="Times New Roman" w:hAnsi="Times New Roman" w:cs="Times New Roman"/>
          <w:shd w:val="clear" w:color="auto" w:fill="FFFFFF"/>
        </w:rPr>
        <w:t>Bhat, K. M., Maria Florence, E. J., Jayaraman, K., &amp; Thulasidas, P. K. (2005). Wood durability of home-garden teak against brown-rot and white-rot fungi. </w:t>
      </w:r>
      <w:r w:rsidRPr="009558EF">
        <w:rPr>
          <w:rFonts w:ascii="Times New Roman" w:hAnsi="Times New Roman" w:cs="Times New Roman"/>
          <w:i/>
          <w:iCs/>
          <w:shd w:val="clear" w:color="auto" w:fill="FFFFFF"/>
        </w:rPr>
        <w:t>Trees</w:t>
      </w:r>
      <w:r w:rsidRPr="009558EF">
        <w:rPr>
          <w:rFonts w:ascii="Times New Roman" w:hAnsi="Times New Roman" w:cs="Times New Roman"/>
          <w:shd w:val="clear" w:color="auto" w:fill="FFFFFF"/>
        </w:rPr>
        <w:t>, </w:t>
      </w:r>
      <w:r w:rsidRPr="009558EF">
        <w:rPr>
          <w:rFonts w:ascii="Times New Roman" w:hAnsi="Times New Roman" w:cs="Times New Roman"/>
          <w:i/>
          <w:iCs/>
          <w:shd w:val="clear" w:color="auto" w:fill="FFFFFF"/>
        </w:rPr>
        <w:t>19</w:t>
      </w:r>
      <w:r w:rsidRPr="009558EF">
        <w:rPr>
          <w:rFonts w:ascii="Times New Roman" w:hAnsi="Times New Roman" w:cs="Times New Roman"/>
          <w:shd w:val="clear" w:color="auto" w:fill="FFFFFF"/>
        </w:rPr>
        <w:t xml:space="preserve">(6), 654–660. </w:t>
      </w:r>
    </w:p>
    <w:p w14:paraId="29341769" w14:textId="366A6ED4"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Black, H. C. (1992). </w:t>
      </w:r>
      <w:r w:rsidRPr="009558EF">
        <w:rPr>
          <w:rFonts w:ascii="Times New Roman" w:hAnsi="Times New Roman" w:cs="Times New Roman"/>
          <w:i/>
          <w:iCs/>
        </w:rPr>
        <w:t>Silvicultural approaches to animal damage management in Pacific Northwest forests.</w:t>
      </w:r>
      <w:r w:rsidRPr="009558EF">
        <w:rPr>
          <w:rFonts w:ascii="Times New Roman" w:hAnsi="Times New Roman" w:cs="Times New Roman"/>
        </w:rPr>
        <w:t> (Vol. 287). u s of agriculture forest service pacific northwest research station.</w:t>
      </w:r>
      <w:r w:rsidR="00E87620" w:rsidRPr="009558EF">
        <w:rPr>
          <w:rFonts w:ascii="Times New Roman" w:hAnsi="Times New Roman" w:cs="Times New Roman"/>
        </w:rPr>
        <w:t xml:space="preserve"> </w:t>
      </w:r>
    </w:p>
    <w:p w14:paraId="4E72E85E" w14:textId="539A305C"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Bond, B. H., &amp; Espinoza, O. (2016). A Decade of Improved Lumber Drying Technology. </w:t>
      </w:r>
      <w:r w:rsidRPr="009558EF">
        <w:rPr>
          <w:rFonts w:ascii="Times New Roman" w:hAnsi="Times New Roman" w:cs="Times New Roman"/>
          <w:i/>
          <w:iCs/>
        </w:rPr>
        <w:t>Current Forestry Reports</w:t>
      </w:r>
      <w:r w:rsidRPr="009558EF">
        <w:rPr>
          <w:rFonts w:ascii="Times New Roman" w:hAnsi="Times New Roman" w:cs="Times New Roman"/>
        </w:rPr>
        <w:t>, </w:t>
      </w:r>
      <w:r w:rsidRPr="009558EF">
        <w:rPr>
          <w:rFonts w:ascii="Times New Roman" w:hAnsi="Times New Roman" w:cs="Times New Roman"/>
          <w:i/>
          <w:iCs/>
        </w:rPr>
        <w:t>2</w:t>
      </w:r>
      <w:r w:rsidRPr="009558EF">
        <w:rPr>
          <w:rFonts w:ascii="Times New Roman" w:hAnsi="Times New Roman" w:cs="Times New Roman"/>
        </w:rPr>
        <w:t xml:space="preserve">(2), 106–118. </w:t>
      </w:r>
    </w:p>
    <w:p w14:paraId="29493418" w14:textId="5D3E1775"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Borges, C. C., Tonoli, G. H. D., Duarte, P. J., Junqueira, T. A., &amp; Cruz, T. M. (2018). NANOPARTICLES-BASED WOOD PRESERVATIVES: THE NEXT GENERATION OF WOOD PROTECTION? </w:t>
      </w:r>
      <w:r w:rsidRPr="009558EF">
        <w:rPr>
          <w:rFonts w:ascii="Times New Roman" w:hAnsi="Times New Roman" w:cs="Times New Roman"/>
          <w:i/>
          <w:iCs/>
        </w:rPr>
        <w:t>CERNE</w:t>
      </w:r>
      <w:r w:rsidRPr="009558EF">
        <w:rPr>
          <w:rFonts w:ascii="Times New Roman" w:hAnsi="Times New Roman" w:cs="Times New Roman"/>
        </w:rPr>
        <w:t>, </w:t>
      </w:r>
      <w:r w:rsidRPr="009558EF">
        <w:rPr>
          <w:rFonts w:ascii="Times New Roman" w:hAnsi="Times New Roman" w:cs="Times New Roman"/>
          <w:i/>
          <w:iCs/>
        </w:rPr>
        <w:t>24</w:t>
      </w:r>
      <w:r w:rsidRPr="009558EF">
        <w:rPr>
          <w:rFonts w:ascii="Times New Roman" w:hAnsi="Times New Roman" w:cs="Times New Roman"/>
        </w:rPr>
        <w:t xml:space="preserve">(4), 397–407. </w:t>
      </w:r>
    </w:p>
    <w:p w14:paraId="78603D4E" w14:textId="19D0FE61" w:rsidR="009558EF" w:rsidRPr="009558EF" w:rsidRDefault="009558EF" w:rsidP="00CC6500">
      <w:pPr>
        <w:pStyle w:val="ListParagraph"/>
        <w:numPr>
          <w:ilvl w:val="0"/>
          <w:numId w:val="19"/>
        </w:numPr>
        <w:spacing w:line="240" w:lineRule="auto"/>
        <w:jc w:val="both"/>
        <w:rPr>
          <w:rFonts w:ascii="Times New Roman" w:hAnsi="Times New Roman" w:cs="Times New Roman"/>
          <w:b/>
          <w:bCs/>
        </w:rPr>
      </w:pPr>
      <w:r w:rsidRPr="009558EF">
        <w:rPr>
          <w:rFonts w:ascii="Times New Roman" w:hAnsi="Times New Roman" w:cs="Times New Roman"/>
          <w:shd w:val="clear" w:color="auto" w:fill="FFFFFF"/>
        </w:rPr>
        <w:t xml:space="preserve">Brocco, V. F., Paes, J. B., Costa, L. G. D., </w:t>
      </w:r>
      <w:proofErr w:type="spellStart"/>
      <w:r w:rsidRPr="009558EF">
        <w:rPr>
          <w:rFonts w:ascii="Times New Roman" w:hAnsi="Times New Roman" w:cs="Times New Roman"/>
          <w:shd w:val="clear" w:color="auto" w:fill="FFFFFF"/>
        </w:rPr>
        <w:t>Brazolin</w:t>
      </w:r>
      <w:proofErr w:type="spellEnd"/>
      <w:r w:rsidRPr="009558EF">
        <w:rPr>
          <w:rFonts w:ascii="Times New Roman" w:hAnsi="Times New Roman" w:cs="Times New Roman"/>
          <w:shd w:val="clear" w:color="auto" w:fill="FFFFFF"/>
        </w:rPr>
        <w:t>, S., &amp; Arantes, M. D. C. (2016). Potential of teak heartwood extracts as a natural wood preservative. </w:t>
      </w:r>
      <w:r w:rsidRPr="009558EF">
        <w:rPr>
          <w:rFonts w:ascii="Times New Roman" w:hAnsi="Times New Roman" w:cs="Times New Roman"/>
          <w:i/>
          <w:iCs/>
          <w:shd w:val="clear" w:color="auto" w:fill="FFFFFF"/>
        </w:rPr>
        <w:t>Journal of Cleaner Production</w:t>
      </w:r>
      <w:r w:rsidRPr="009558EF">
        <w:rPr>
          <w:rFonts w:ascii="Times New Roman" w:hAnsi="Times New Roman" w:cs="Times New Roman"/>
          <w:shd w:val="clear" w:color="auto" w:fill="FFFFFF"/>
        </w:rPr>
        <w:t>, </w:t>
      </w:r>
      <w:r w:rsidRPr="009558EF">
        <w:rPr>
          <w:rFonts w:ascii="Times New Roman" w:hAnsi="Times New Roman" w:cs="Times New Roman"/>
          <w:i/>
          <w:iCs/>
          <w:shd w:val="clear" w:color="auto" w:fill="FFFFFF"/>
        </w:rPr>
        <w:t>142</w:t>
      </w:r>
      <w:r w:rsidRPr="009558EF">
        <w:rPr>
          <w:rFonts w:ascii="Times New Roman" w:hAnsi="Times New Roman" w:cs="Times New Roman"/>
          <w:shd w:val="clear" w:color="auto" w:fill="FFFFFF"/>
        </w:rPr>
        <w:t xml:space="preserve">, 2093–2099. </w:t>
      </w:r>
    </w:p>
    <w:p w14:paraId="1F1CC935" w14:textId="01BB87D0" w:rsidR="009558EF" w:rsidRPr="009558EF" w:rsidRDefault="009558EF" w:rsidP="00CC6500">
      <w:pPr>
        <w:pStyle w:val="ListParagraph"/>
        <w:numPr>
          <w:ilvl w:val="0"/>
          <w:numId w:val="19"/>
        </w:numPr>
        <w:spacing w:line="240" w:lineRule="auto"/>
        <w:jc w:val="both"/>
        <w:rPr>
          <w:rFonts w:ascii="Times New Roman" w:hAnsi="Times New Roman" w:cs="Times New Roman"/>
        </w:rPr>
      </w:pPr>
      <w:proofErr w:type="spellStart"/>
      <w:r w:rsidRPr="009558EF">
        <w:rPr>
          <w:rFonts w:ascii="Times New Roman" w:hAnsi="Times New Roman" w:cs="Times New Roman"/>
        </w:rPr>
        <w:t>Campoe</w:t>
      </w:r>
      <w:proofErr w:type="spellEnd"/>
      <w:r w:rsidRPr="009558EF">
        <w:rPr>
          <w:rFonts w:ascii="Times New Roman" w:hAnsi="Times New Roman" w:cs="Times New Roman"/>
        </w:rPr>
        <w:t>, O. C., Iannelli, C., Stape, J. L., Cook, R. L., Mendes, J. C. T., &amp; Vivian, R. (2013). Atlantic forest tree species responses to silvicultural practices in a degraded pasture restoration plantation: From leaf physiology to survival and initial growth. </w:t>
      </w:r>
      <w:r w:rsidRPr="009558EF">
        <w:rPr>
          <w:rFonts w:ascii="Times New Roman" w:hAnsi="Times New Roman" w:cs="Times New Roman"/>
          <w:i/>
          <w:iCs/>
        </w:rPr>
        <w:t>Forest Ecology and Management</w:t>
      </w:r>
      <w:r w:rsidRPr="009558EF">
        <w:rPr>
          <w:rFonts w:ascii="Times New Roman" w:hAnsi="Times New Roman" w:cs="Times New Roman"/>
        </w:rPr>
        <w:t>, </w:t>
      </w:r>
      <w:r w:rsidRPr="009558EF">
        <w:rPr>
          <w:rFonts w:ascii="Times New Roman" w:hAnsi="Times New Roman" w:cs="Times New Roman"/>
          <w:i/>
          <w:iCs/>
        </w:rPr>
        <w:t>313</w:t>
      </w:r>
      <w:r w:rsidRPr="009558EF">
        <w:rPr>
          <w:rFonts w:ascii="Times New Roman" w:hAnsi="Times New Roman" w:cs="Times New Roman"/>
        </w:rPr>
        <w:t xml:space="preserve">(313), 233–242. </w:t>
      </w:r>
    </w:p>
    <w:p w14:paraId="2E5FB113" w14:textId="05CC6A21"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 xml:space="preserve">Carnus, J.-M., Walters, B., </w:t>
      </w:r>
      <w:proofErr w:type="spellStart"/>
      <w:r w:rsidRPr="009558EF">
        <w:rPr>
          <w:rFonts w:ascii="Times New Roman" w:hAnsi="Times New Roman" w:cs="Times New Roman"/>
        </w:rPr>
        <w:t>Arbez</w:t>
      </w:r>
      <w:proofErr w:type="spellEnd"/>
      <w:r w:rsidRPr="009558EF">
        <w:rPr>
          <w:rFonts w:ascii="Times New Roman" w:hAnsi="Times New Roman" w:cs="Times New Roman"/>
        </w:rPr>
        <w:t xml:space="preserve">, M., Kremer, A., </w:t>
      </w:r>
      <w:proofErr w:type="spellStart"/>
      <w:r w:rsidRPr="009558EF">
        <w:rPr>
          <w:rFonts w:ascii="Times New Roman" w:hAnsi="Times New Roman" w:cs="Times New Roman"/>
        </w:rPr>
        <w:t>Jactel</w:t>
      </w:r>
      <w:proofErr w:type="spellEnd"/>
      <w:r w:rsidRPr="009558EF">
        <w:rPr>
          <w:rFonts w:ascii="Times New Roman" w:hAnsi="Times New Roman" w:cs="Times New Roman"/>
        </w:rPr>
        <w:t xml:space="preserve">, H., Parrotta, J., O’Hara, K., Lamb, D., &amp; </w:t>
      </w:r>
      <w:proofErr w:type="spellStart"/>
      <w:r w:rsidRPr="009558EF">
        <w:rPr>
          <w:rFonts w:ascii="Times New Roman" w:hAnsi="Times New Roman" w:cs="Times New Roman"/>
        </w:rPr>
        <w:t>Brockerhoff</w:t>
      </w:r>
      <w:proofErr w:type="spellEnd"/>
      <w:r w:rsidRPr="009558EF">
        <w:rPr>
          <w:rFonts w:ascii="Times New Roman" w:hAnsi="Times New Roman" w:cs="Times New Roman"/>
        </w:rPr>
        <w:t>, E. (2006). Planted Forests and Biodiversity. Journal of Forestry, 104(2), 65–77</w:t>
      </w:r>
      <w:r w:rsidR="00E87620">
        <w:rPr>
          <w:rFonts w:ascii="Times New Roman" w:hAnsi="Times New Roman" w:cs="Times New Roman"/>
        </w:rPr>
        <w:t>.</w:t>
      </w:r>
    </w:p>
    <w:p w14:paraId="2818EFEF" w14:textId="18583C8E"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Carson, S. D., &amp; Carson, M. J. (1989). Breeding for Resistance in Forest Trees-A Quantitative Genetic Approach. </w:t>
      </w:r>
      <w:r w:rsidRPr="009558EF">
        <w:rPr>
          <w:rFonts w:ascii="Times New Roman" w:hAnsi="Times New Roman" w:cs="Times New Roman"/>
          <w:i/>
          <w:iCs/>
        </w:rPr>
        <w:t>Annual Review of Phytopathology</w:t>
      </w:r>
      <w:r w:rsidRPr="009558EF">
        <w:rPr>
          <w:rFonts w:ascii="Times New Roman" w:hAnsi="Times New Roman" w:cs="Times New Roman"/>
        </w:rPr>
        <w:t>, </w:t>
      </w:r>
      <w:r w:rsidRPr="009558EF">
        <w:rPr>
          <w:rFonts w:ascii="Times New Roman" w:hAnsi="Times New Roman" w:cs="Times New Roman"/>
          <w:i/>
          <w:iCs/>
        </w:rPr>
        <w:t>27</w:t>
      </w:r>
      <w:r w:rsidRPr="009558EF">
        <w:rPr>
          <w:rFonts w:ascii="Times New Roman" w:hAnsi="Times New Roman" w:cs="Times New Roman"/>
        </w:rPr>
        <w:t xml:space="preserve">(1), 373–395. </w:t>
      </w:r>
    </w:p>
    <w:p w14:paraId="5FB968FB" w14:textId="13C6B2F9" w:rsidR="009558EF" w:rsidRPr="009558EF" w:rsidRDefault="009558EF" w:rsidP="00CC6500">
      <w:pPr>
        <w:pStyle w:val="ListParagraph"/>
        <w:numPr>
          <w:ilvl w:val="0"/>
          <w:numId w:val="19"/>
        </w:numPr>
        <w:spacing w:after="0" w:line="240" w:lineRule="auto"/>
        <w:jc w:val="both"/>
        <w:rPr>
          <w:rFonts w:ascii="Times New Roman" w:eastAsia="Times New Roman" w:hAnsi="Times New Roman" w:cs="Times New Roman"/>
          <w:kern w:val="0"/>
          <w:lang w:eastAsia="en-IN"/>
          <w14:ligatures w14:val="none"/>
        </w:rPr>
      </w:pPr>
      <w:r w:rsidRPr="009558EF">
        <w:rPr>
          <w:rFonts w:ascii="Times New Roman" w:eastAsia="Times New Roman" w:hAnsi="Times New Roman" w:cs="Times New Roman"/>
          <w:kern w:val="0"/>
          <w:lang w:eastAsia="en-IN"/>
          <w14:ligatures w14:val="none"/>
        </w:rPr>
        <w:t>Chen, J., Yang, H., Ter-Mikaelian, M. T., &amp; Colombo, S. J. (2018). Assessing the greenhouse gas effects of harvested wood products manufactured from managed forests in Canada. </w:t>
      </w:r>
      <w:r w:rsidRPr="009558EF">
        <w:rPr>
          <w:rFonts w:ascii="Times New Roman" w:eastAsia="Times New Roman" w:hAnsi="Times New Roman" w:cs="Times New Roman"/>
          <w:i/>
          <w:iCs/>
          <w:kern w:val="0"/>
          <w:lang w:eastAsia="en-IN"/>
          <w14:ligatures w14:val="none"/>
        </w:rPr>
        <w:t>Forestry: An International Journal of Forest Research</w:t>
      </w:r>
      <w:r w:rsidRPr="009558EF">
        <w:rPr>
          <w:rFonts w:ascii="Times New Roman" w:eastAsia="Times New Roman" w:hAnsi="Times New Roman" w:cs="Times New Roman"/>
          <w:kern w:val="0"/>
          <w:lang w:eastAsia="en-IN"/>
          <w14:ligatures w14:val="none"/>
        </w:rPr>
        <w:t>, </w:t>
      </w:r>
      <w:r w:rsidRPr="009558EF">
        <w:rPr>
          <w:rFonts w:ascii="Times New Roman" w:eastAsia="Times New Roman" w:hAnsi="Times New Roman" w:cs="Times New Roman"/>
          <w:i/>
          <w:iCs/>
          <w:kern w:val="0"/>
          <w:lang w:eastAsia="en-IN"/>
          <w14:ligatures w14:val="none"/>
        </w:rPr>
        <w:t>91</w:t>
      </w:r>
      <w:r w:rsidRPr="009558EF">
        <w:rPr>
          <w:rFonts w:ascii="Times New Roman" w:eastAsia="Times New Roman" w:hAnsi="Times New Roman" w:cs="Times New Roman"/>
          <w:kern w:val="0"/>
          <w:lang w:eastAsia="en-IN"/>
          <w14:ligatures w14:val="none"/>
        </w:rPr>
        <w:t xml:space="preserve">(2), 193–205. </w:t>
      </w:r>
    </w:p>
    <w:p w14:paraId="66FD581F" w14:textId="17E0D82B" w:rsidR="009558EF" w:rsidRPr="009558EF" w:rsidRDefault="009558EF" w:rsidP="00CC6500">
      <w:pPr>
        <w:pStyle w:val="ListParagraph"/>
        <w:numPr>
          <w:ilvl w:val="0"/>
          <w:numId w:val="19"/>
        </w:numPr>
        <w:spacing w:line="240" w:lineRule="auto"/>
        <w:jc w:val="both"/>
        <w:rPr>
          <w:rStyle w:val="Hyperlink"/>
          <w:rFonts w:ascii="Times New Roman" w:hAnsi="Times New Roman" w:cs="Times New Roman"/>
        </w:rPr>
      </w:pPr>
      <w:r w:rsidRPr="009558EF">
        <w:rPr>
          <w:rFonts w:ascii="Times New Roman" w:hAnsi="Times New Roman" w:cs="Times New Roman"/>
        </w:rPr>
        <w:t>Chen, Z., Liu, H., Meng, X., Yue, Y., Zhang, B., Zou, L., &amp; Du, Y. (2023). Internal decay inspection of tree trunks using 3D point cloud and reverse time migration of ground penetrating radar data. </w:t>
      </w:r>
      <w:r w:rsidRPr="009558EF">
        <w:rPr>
          <w:rFonts w:ascii="Times New Roman" w:hAnsi="Times New Roman" w:cs="Times New Roman"/>
          <w:i/>
          <w:iCs/>
        </w:rPr>
        <w:t>NDT &amp; E International</w:t>
      </w:r>
      <w:r w:rsidRPr="009558EF">
        <w:rPr>
          <w:rFonts w:ascii="Times New Roman" w:hAnsi="Times New Roman" w:cs="Times New Roman"/>
        </w:rPr>
        <w:t>, </w:t>
      </w:r>
      <w:r w:rsidRPr="009558EF">
        <w:rPr>
          <w:rFonts w:ascii="Times New Roman" w:hAnsi="Times New Roman" w:cs="Times New Roman"/>
          <w:i/>
          <w:iCs/>
        </w:rPr>
        <w:t>137</w:t>
      </w:r>
      <w:r w:rsidRPr="009558EF">
        <w:rPr>
          <w:rFonts w:ascii="Times New Roman" w:hAnsi="Times New Roman" w:cs="Times New Roman"/>
        </w:rPr>
        <w:t xml:space="preserve">, 102853. </w:t>
      </w:r>
    </w:p>
    <w:p w14:paraId="202A8F88" w14:textId="5E55C750" w:rsidR="009558EF" w:rsidRPr="009558EF" w:rsidRDefault="009558EF" w:rsidP="00CC6500">
      <w:pPr>
        <w:pStyle w:val="ListParagraph"/>
        <w:numPr>
          <w:ilvl w:val="0"/>
          <w:numId w:val="19"/>
        </w:numPr>
        <w:spacing w:line="240" w:lineRule="auto"/>
        <w:jc w:val="both"/>
        <w:rPr>
          <w:rFonts w:ascii="Times New Roman" w:hAnsi="Times New Roman" w:cs="Times New Roman"/>
        </w:rPr>
      </w:pPr>
      <w:proofErr w:type="spellStart"/>
      <w:r w:rsidRPr="009558EF">
        <w:rPr>
          <w:rFonts w:ascii="Times New Roman" w:hAnsi="Times New Roman" w:cs="Times New Roman"/>
        </w:rPr>
        <w:t>Chiniforush</w:t>
      </w:r>
      <w:proofErr w:type="spellEnd"/>
      <w:r w:rsidRPr="009558EF">
        <w:rPr>
          <w:rFonts w:ascii="Times New Roman" w:hAnsi="Times New Roman" w:cs="Times New Roman"/>
        </w:rPr>
        <w:t xml:space="preserve">, A. A., Valipour, H., &amp; </w:t>
      </w:r>
      <w:proofErr w:type="spellStart"/>
      <w:r w:rsidRPr="009558EF">
        <w:rPr>
          <w:rFonts w:ascii="Times New Roman" w:hAnsi="Times New Roman" w:cs="Times New Roman"/>
        </w:rPr>
        <w:t>Akbarnezhad</w:t>
      </w:r>
      <w:proofErr w:type="spellEnd"/>
      <w:r w:rsidRPr="009558EF">
        <w:rPr>
          <w:rFonts w:ascii="Times New Roman" w:hAnsi="Times New Roman" w:cs="Times New Roman"/>
        </w:rPr>
        <w:t>, A. (2019). Water vapor diffusivity of engineered wood: Effect of temperature and moisture content. </w:t>
      </w:r>
      <w:r w:rsidRPr="009558EF">
        <w:rPr>
          <w:rFonts w:ascii="Times New Roman" w:hAnsi="Times New Roman" w:cs="Times New Roman"/>
          <w:i/>
          <w:iCs/>
        </w:rPr>
        <w:t>Construction and Building Materials</w:t>
      </w:r>
      <w:r w:rsidRPr="009558EF">
        <w:rPr>
          <w:rFonts w:ascii="Times New Roman" w:hAnsi="Times New Roman" w:cs="Times New Roman"/>
        </w:rPr>
        <w:t>, </w:t>
      </w:r>
      <w:r w:rsidRPr="009558EF">
        <w:rPr>
          <w:rFonts w:ascii="Times New Roman" w:hAnsi="Times New Roman" w:cs="Times New Roman"/>
          <w:i/>
          <w:iCs/>
        </w:rPr>
        <w:t>224</w:t>
      </w:r>
      <w:r w:rsidRPr="009558EF">
        <w:rPr>
          <w:rFonts w:ascii="Times New Roman" w:hAnsi="Times New Roman" w:cs="Times New Roman"/>
        </w:rPr>
        <w:t xml:space="preserve">, 1040–1055. </w:t>
      </w:r>
    </w:p>
    <w:p w14:paraId="1BD107F6" w14:textId="1BCC2700" w:rsidR="009558EF" w:rsidRPr="009558EF" w:rsidRDefault="009558EF" w:rsidP="00CC6500">
      <w:pPr>
        <w:pStyle w:val="ListParagraph"/>
        <w:numPr>
          <w:ilvl w:val="0"/>
          <w:numId w:val="19"/>
        </w:numPr>
        <w:spacing w:line="240" w:lineRule="auto"/>
        <w:jc w:val="both"/>
        <w:rPr>
          <w:rFonts w:ascii="Times New Roman" w:hAnsi="Times New Roman" w:cs="Times New Roman"/>
          <w:shd w:val="clear" w:color="auto" w:fill="FFFFFF"/>
        </w:rPr>
      </w:pPr>
      <w:r w:rsidRPr="009558EF">
        <w:rPr>
          <w:rFonts w:ascii="Times New Roman" w:hAnsi="Times New Roman" w:cs="Times New Roman"/>
          <w:shd w:val="clear" w:color="auto" w:fill="FFFFFF"/>
        </w:rPr>
        <w:t xml:space="preserve">Darmawan, W., </w:t>
      </w:r>
      <w:proofErr w:type="spellStart"/>
      <w:r w:rsidRPr="009558EF">
        <w:rPr>
          <w:rFonts w:ascii="Times New Roman" w:hAnsi="Times New Roman" w:cs="Times New Roman"/>
          <w:shd w:val="clear" w:color="auto" w:fill="FFFFFF"/>
        </w:rPr>
        <w:t>Sitompul</w:t>
      </w:r>
      <w:proofErr w:type="spellEnd"/>
      <w:r w:rsidRPr="009558EF">
        <w:rPr>
          <w:rFonts w:ascii="Times New Roman" w:hAnsi="Times New Roman" w:cs="Times New Roman"/>
          <w:shd w:val="clear" w:color="auto" w:fill="FFFFFF"/>
        </w:rPr>
        <w:t>, A., Rahayu, I., Nandika, D., Gardner, D., &amp; Sari, R. K. (2015). Juvenile and mature wood characteristics of short and long rotation teak in Java. </w:t>
      </w:r>
      <w:r w:rsidRPr="009558EF">
        <w:rPr>
          <w:rFonts w:ascii="Times New Roman" w:hAnsi="Times New Roman" w:cs="Times New Roman"/>
          <w:i/>
          <w:iCs/>
          <w:shd w:val="clear" w:color="auto" w:fill="FFFFFF"/>
        </w:rPr>
        <w:t>IAWA Journal</w:t>
      </w:r>
      <w:r w:rsidRPr="009558EF">
        <w:rPr>
          <w:rFonts w:ascii="Times New Roman" w:hAnsi="Times New Roman" w:cs="Times New Roman"/>
          <w:shd w:val="clear" w:color="auto" w:fill="FFFFFF"/>
        </w:rPr>
        <w:t>, </w:t>
      </w:r>
      <w:r w:rsidRPr="009558EF">
        <w:rPr>
          <w:rFonts w:ascii="Times New Roman" w:hAnsi="Times New Roman" w:cs="Times New Roman"/>
          <w:i/>
          <w:iCs/>
          <w:shd w:val="clear" w:color="auto" w:fill="FFFFFF"/>
        </w:rPr>
        <w:t>36</w:t>
      </w:r>
      <w:r w:rsidRPr="009558EF">
        <w:rPr>
          <w:rFonts w:ascii="Times New Roman" w:hAnsi="Times New Roman" w:cs="Times New Roman"/>
          <w:shd w:val="clear" w:color="auto" w:fill="FFFFFF"/>
        </w:rPr>
        <w:t xml:space="preserve">(4), 428–442. </w:t>
      </w:r>
    </w:p>
    <w:p w14:paraId="3D2B1AA5" w14:textId="772FD6CF"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 xml:space="preserve">De Gannes, V., </w:t>
      </w:r>
      <w:proofErr w:type="spellStart"/>
      <w:r w:rsidRPr="009558EF">
        <w:rPr>
          <w:rFonts w:ascii="Times New Roman" w:hAnsi="Times New Roman" w:cs="Times New Roman"/>
        </w:rPr>
        <w:t>Wuddivira</w:t>
      </w:r>
      <w:proofErr w:type="spellEnd"/>
      <w:r w:rsidRPr="009558EF">
        <w:rPr>
          <w:rFonts w:ascii="Times New Roman" w:hAnsi="Times New Roman" w:cs="Times New Roman"/>
        </w:rPr>
        <w:t xml:space="preserve">, M. N., Hickey, W. J., Boman, M., De </w:t>
      </w:r>
      <w:proofErr w:type="spellStart"/>
      <w:r w:rsidRPr="009558EF">
        <w:rPr>
          <w:rFonts w:ascii="Times New Roman" w:hAnsi="Times New Roman" w:cs="Times New Roman"/>
        </w:rPr>
        <w:t>Cairies</w:t>
      </w:r>
      <w:proofErr w:type="spellEnd"/>
      <w:r w:rsidRPr="009558EF">
        <w:rPr>
          <w:rFonts w:ascii="Times New Roman" w:hAnsi="Times New Roman" w:cs="Times New Roman"/>
        </w:rPr>
        <w:t xml:space="preserve">, S., </w:t>
      </w:r>
      <w:proofErr w:type="spellStart"/>
      <w:r w:rsidRPr="009558EF">
        <w:rPr>
          <w:rFonts w:ascii="Times New Roman" w:hAnsi="Times New Roman" w:cs="Times New Roman"/>
        </w:rPr>
        <w:t>Dipchansingh</w:t>
      </w:r>
      <w:proofErr w:type="spellEnd"/>
      <w:r w:rsidRPr="009558EF">
        <w:rPr>
          <w:rFonts w:ascii="Times New Roman" w:hAnsi="Times New Roman" w:cs="Times New Roman"/>
        </w:rPr>
        <w:t xml:space="preserve">, D., &amp; Bekele, I. (2016). Microbial Community Structure and Function of Soil Following </w:t>
      </w:r>
      <w:r w:rsidRPr="009558EF">
        <w:rPr>
          <w:rFonts w:ascii="Times New Roman" w:hAnsi="Times New Roman" w:cs="Times New Roman"/>
        </w:rPr>
        <w:lastRenderedPageBreak/>
        <w:t>Ecosystem Conversion from Native Forests to Teak Plantation Forests. Frontiers in Microbiology, 7.</w:t>
      </w:r>
      <w:r w:rsidR="00E87620" w:rsidRPr="009558EF">
        <w:rPr>
          <w:rFonts w:ascii="Times New Roman" w:hAnsi="Times New Roman" w:cs="Times New Roman"/>
        </w:rPr>
        <w:t xml:space="preserve"> </w:t>
      </w:r>
    </w:p>
    <w:p w14:paraId="39AA0136" w14:textId="0150AAE8" w:rsidR="009558EF" w:rsidRPr="009558EF" w:rsidRDefault="009558EF" w:rsidP="00CC6500">
      <w:pPr>
        <w:pStyle w:val="ListParagraph"/>
        <w:numPr>
          <w:ilvl w:val="0"/>
          <w:numId w:val="19"/>
        </w:numPr>
        <w:spacing w:after="0" w:line="240" w:lineRule="auto"/>
        <w:jc w:val="both"/>
        <w:rPr>
          <w:rFonts w:ascii="Times New Roman" w:eastAsia="Times New Roman" w:hAnsi="Times New Roman" w:cs="Times New Roman"/>
          <w:kern w:val="0"/>
          <w:lang w:eastAsia="en-IN"/>
          <w14:ligatures w14:val="none"/>
        </w:rPr>
      </w:pPr>
      <w:r w:rsidRPr="009558EF">
        <w:rPr>
          <w:rFonts w:ascii="Times New Roman" w:eastAsia="Times New Roman" w:hAnsi="Times New Roman" w:cs="Times New Roman"/>
          <w:kern w:val="0"/>
          <w:lang w:eastAsia="en-IN"/>
          <w14:ligatures w14:val="none"/>
        </w:rPr>
        <w:t xml:space="preserve">Deb, J. C., Phinn, S., </w:t>
      </w:r>
      <w:proofErr w:type="spellStart"/>
      <w:r w:rsidRPr="009558EF">
        <w:rPr>
          <w:rFonts w:ascii="Times New Roman" w:eastAsia="Times New Roman" w:hAnsi="Times New Roman" w:cs="Times New Roman"/>
          <w:kern w:val="0"/>
          <w:lang w:eastAsia="en-IN"/>
          <w14:ligatures w14:val="none"/>
        </w:rPr>
        <w:t>Mcalpine</w:t>
      </w:r>
      <w:proofErr w:type="spellEnd"/>
      <w:r w:rsidRPr="009558EF">
        <w:rPr>
          <w:rFonts w:ascii="Times New Roman" w:eastAsia="Times New Roman" w:hAnsi="Times New Roman" w:cs="Times New Roman"/>
          <w:kern w:val="0"/>
          <w:lang w:eastAsia="en-IN"/>
          <w14:ligatures w14:val="none"/>
        </w:rPr>
        <w:t>, C. A., &amp; Butt, N. (2017). Climatic-Induced Shifts in the Distribution of Teak (Tectona grandis) in Tropical Asia: Implications for Forest Management and Planning. </w:t>
      </w:r>
      <w:r w:rsidRPr="009558EF">
        <w:rPr>
          <w:rFonts w:ascii="Times New Roman" w:eastAsia="Times New Roman" w:hAnsi="Times New Roman" w:cs="Times New Roman"/>
          <w:i/>
          <w:iCs/>
          <w:kern w:val="0"/>
          <w:lang w:eastAsia="en-IN"/>
          <w14:ligatures w14:val="none"/>
        </w:rPr>
        <w:t>Environmental Management</w:t>
      </w:r>
      <w:r w:rsidRPr="009558EF">
        <w:rPr>
          <w:rFonts w:ascii="Times New Roman" w:eastAsia="Times New Roman" w:hAnsi="Times New Roman" w:cs="Times New Roman"/>
          <w:kern w:val="0"/>
          <w:lang w:eastAsia="en-IN"/>
          <w14:ligatures w14:val="none"/>
        </w:rPr>
        <w:t>, </w:t>
      </w:r>
      <w:r w:rsidRPr="009558EF">
        <w:rPr>
          <w:rFonts w:ascii="Times New Roman" w:eastAsia="Times New Roman" w:hAnsi="Times New Roman" w:cs="Times New Roman"/>
          <w:i/>
          <w:iCs/>
          <w:kern w:val="0"/>
          <w:lang w:eastAsia="en-IN"/>
          <w14:ligatures w14:val="none"/>
        </w:rPr>
        <w:t>60</w:t>
      </w:r>
      <w:r w:rsidRPr="009558EF">
        <w:rPr>
          <w:rFonts w:ascii="Times New Roman" w:eastAsia="Times New Roman" w:hAnsi="Times New Roman" w:cs="Times New Roman"/>
          <w:kern w:val="0"/>
          <w:lang w:eastAsia="en-IN"/>
          <w14:ligatures w14:val="none"/>
        </w:rPr>
        <w:t xml:space="preserve">(3), 422–435. </w:t>
      </w:r>
    </w:p>
    <w:p w14:paraId="49FD4337" w14:textId="0EB93976"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Deroy, A., Touahri, N., Kebbi-</w:t>
      </w:r>
      <w:proofErr w:type="spellStart"/>
      <w:r w:rsidRPr="009558EF">
        <w:rPr>
          <w:rFonts w:ascii="Times New Roman" w:hAnsi="Times New Roman" w:cs="Times New Roman"/>
        </w:rPr>
        <w:t>Benkeder</w:t>
      </w:r>
      <w:proofErr w:type="spellEnd"/>
      <w:r w:rsidRPr="009558EF">
        <w:rPr>
          <w:rFonts w:ascii="Times New Roman" w:hAnsi="Times New Roman" w:cs="Times New Roman"/>
        </w:rPr>
        <w:t xml:space="preserve">, Z., Morel-Rouhier, M., Colin, F., Hecker, A., </w:t>
      </w:r>
      <w:proofErr w:type="spellStart"/>
      <w:r w:rsidRPr="009558EF">
        <w:rPr>
          <w:rFonts w:ascii="Times New Roman" w:hAnsi="Times New Roman" w:cs="Times New Roman"/>
        </w:rPr>
        <w:t>Gérardin</w:t>
      </w:r>
      <w:proofErr w:type="spellEnd"/>
      <w:r w:rsidRPr="009558EF">
        <w:rPr>
          <w:rFonts w:ascii="Times New Roman" w:hAnsi="Times New Roman" w:cs="Times New Roman"/>
        </w:rPr>
        <w:t xml:space="preserve">, P., </w:t>
      </w:r>
      <w:proofErr w:type="spellStart"/>
      <w:r w:rsidRPr="009558EF">
        <w:rPr>
          <w:rFonts w:ascii="Times New Roman" w:hAnsi="Times New Roman" w:cs="Times New Roman"/>
        </w:rPr>
        <w:t>Dumarcay</w:t>
      </w:r>
      <w:proofErr w:type="spellEnd"/>
      <w:r w:rsidRPr="009558EF">
        <w:rPr>
          <w:rFonts w:ascii="Times New Roman" w:hAnsi="Times New Roman" w:cs="Times New Roman"/>
        </w:rPr>
        <w:t xml:space="preserve">, S., Saiag, F., &amp; </w:t>
      </w:r>
      <w:proofErr w:type="spellStart"/>
      <w:r w:rsidRPr="009558EF">
        <w:rPr>
          <w:rFonts w:ascii="Times New Roman" w:hAnsi="Times New Roman" w:cs="Times New Roman"/>
        </w:rPr>
        <w:t>Gelhaye</w:t>
      </w:r>
      <w:proofErr w:type="spellEnd"/>
      <w:r w:rsidRPr="009558EF">
        <w:rPr>
          <w:rFonts w:ascii="Times New Roman" w:hAnsi="Times New Roman" w:cs="Times New Roman"/>
        </w:rPr>
        <w:t xml:space="preserve">, E. (2015). The </w:t>
      </w:r>
      <w:proofErr w:type="spellStart"/>
      <w:r w:rsidRPr="009558EF">
        <w:rPr>
          <w:rFonts w:ascii="Times New Roman" w:hAnsi="Times New Roman" w:cs="Times New Roman"/>
        </w:rPr>
        <w:t>GSTome</w:t>
      </w:r>
      <w:proofErr w:type="spellEnd"/>
      <w:r w:rsidRPr="009558EF">
        <w:rPr>
          <w:rFonts w:ascii="Times New Roman" w:hAnsi="Times New Roman" w:cs="Times New Roman"/>
        </w:rPr>
        <w:t xml:space="preserve"> Reflects the Chemical Environment of White-Rot Fungi. </w:t>
      </w:r>
      <w:proofErr w:type="spellStart"/>
      <w:r w:rsidRPr="009558EF">
        <w:rPr>
          <w:rFonts w:ascii="Times New Roman" w:hAnsi="Times New Roman" w:cs="Times New Roman"/>
          <w:i/>
          <w:iCs/>
        </w:rPr>
        <w:t>PloS</w:t>
      </w:r>
      <w:proofErr w:type="spellEnd"/>
      <w:r w:rsidRPr="009558EF">
        <w:rPr>
          <w:rFonts w:ascii="Times New Roman" w:hAnsi="Times New Roman" w:cs="Times New Roman"/>
          <w:i/>
          <w:iCs/>
        </w:rPr>
        <w:t xml:space="preserve"> One</w:t>
      </w:r>
      <w:r w:rsidRPr="009558EF">
        <w:rPr>
          <w:rFonts w:ascii="Times New Roman" w:hAnsi="Times New Roman" w:cs="Times New Roman"/>
        </w:rPr>
        <w:t>, </w:t>
      </w:r>
      <w:r w:rsidRPr="009558EF">
        <w:rPr>
          <w:rFonts w:ascii="Times New Roman" w:hAnsi="Times New Roman" w:cs="Times New Roman"/>
          <w:i/>
          <w:iCs/>
        </w:rPr>
        <w:t>10</w:t>
      </w:r>
      <w:r w:rsidRPr="009558EF">
        <w:rPr>
          <w:rFonts w:ascii="Times New Roman" w:hAnsi="Times New Roman" w:cs="Times New Roman"/>
        </w:rPr>
        <w:t xml:space="preserve">(10), e0137083. </w:t>
      </w:r>
    </w:p>
    <w:p w14:paraId="14088394" w14:textId="68DE4D96"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shd w:val="clear" w:color="auto" w:fill="FFFFFF"/>
        </w:rPr>
        <w:t xml:space="preserve">Devadiga, A., Shetty, K. V., &amp; </w:t>
      </w:r>
      <w:proofErr w:type="spellStart"/>
      <w:r w:rsidRPr="009558EF">
        <w:rPr>
          <w:rFonts w:ascii="Times New Roman" w:hAnsi="Times New Roman" w:cs="Times New Roman"/>
          <w:shd w:val="clear" w:color="auto" w:fill="FFFFFF"/>
        </w:rPr>
        <w:t>Saidutta</w:t>
      </w:r>
      <w:proofErr w:type="spellEnd"/>
      <w:r w:rsidRPr="009558EF">
        <w:rPr>
          <w:rFonts w:ascii="Times New Roman" w:hAnsi="Times New Roman" w:cs="Times New Roman"/>
          <w:shd w:val="clear" w:color="auto" w:fill="FFFFFF"/>
        </w:rPr>
        <w:t>, M. B. (2015). Timber industry waste-teak (Tectona grandis Linn.) leaf extract mediated synthesis of antibacterial silver nanoparticles. </w:t>
      </w:r>
      <w:r w:rsidRPr="009558EF">
        <w:rPr>
          <w:rFonts w:ascii="Times New Roman" w:hAnsi="Times New Roman" w:cs="Times New Roman"/>
          <w:i/>
          <w:iCs/>
          <w:shd w:val="clear" w:color="auto" w:fill="FFFFFF"/>
        </w:rPr>
        <w:t>International Nano Letters</w:t>
      </w:r>
      <w:r w:rsidRPr="009558EF">
        <w:rPr>
          <w:rFonts w:ascii="Times New Roman" w:hAnsi="Times New Roman" w:cs="Times New Roman"/>
          <w:shd w:val="clear" w:color="auto" w:fill="FFFFFF"/>
        </w:rPr>
        <w:t>, </w:t>
      </w:r>
      <w:r w:rsidRPr="009558EF">
        <w:rPr>
          <w:rFonts w:ascii="Times New Roman" w:hAnsi="Times New Roman" w:cs="Times New Roman"/>
          <w:i/>
          <w:iCs/>
          <w:shd w:val="clear" w:color="auto" w:fill="FFFFFF"/>
        </w:rPr>
        <w:t>5</w:t>
      </w:r>
      <w:r w:rsidRPr="009558EF">
        <w:rPr>
          <w:rFonts w:ascii="Times New Roman" w:hAnsi="Times New Roman" w:cs="Times New Roman"/>
          <w:shd w:val="clear" w:color="auto" w:fill="FFFFFF"/>
        </w:rPr>
        <w:t xml:space="preserve">(4), 205–214. </w:t>
      </w:r>
    </w:p>
    <w:p w14:paraId="25AC7C24" w14:textId="23CC625D"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 xml:space="preserve">Doster, M. A., &amp; </w:t>
      </w:r>
      <w:proofErr w:type="spellStart"/>
      <w:r w:rsidRPr="009558EF">
        <w:rPr>
          <w:rFonts w:ascii="Times New Roman" w:hAnsi="Times New Roman" w:cs="Times New Roman"/>
        </w:rPr>
        <w:t>Michailides</w:t>
      </w:r>
      <w:proofErr w:type="spellEnd"/>
      <w:r w:rsidRPr="009558EF">
        <w:rPr>
          <w:rFonts w:ascii="Times New Roman" w:hAnsi="Times New Roman" w:cs="Times New Roman"/>
        </w:rPr>
        <w:t>, T. J. (1999). Relationship Between Shell Discoloration of Pistachio Nuts and Incidence of Fungal Decay and Insect Infestation. </w:t>
      </w:r>
      <w:r w:rsidRPr="009558EF">
        <w:rPr>
          <w:rFonts w:ascii="Times New Roman" w:hAnsi="Times New Roman" w:cs="Times New Roman"/>
          <w:i/>
          <w:iCs/>
        </w:rPr>
        <w:t>Plant Disease</w:t>
      </w:r>
      <w:r w:rsidRPr="009558EF">
        <w:rPr>
          <w:rFonts w:ascii="Times New Roman" w:hAnsi="Times New Roman" w:cs="Times New Roman"/>
        </w:rPr>
        <w:t>, </w:t>
      </w:r>
      <w:r w:rsidRPr="009558EF">
        <w:rPr>
          <w:rFonts w:ascii="Times New Roman" w:hAnsi="Times New Roman" w:cs="Times New Roman"/>
          <w:i/>
          <w:iCs/>
        </w:rPr>
        <w:t>83</w:t>
      </w:r>
      <w:r w:rsidRPr="009558EF">
        <w:rPr>
          <w:rFonts w:ascii="Times New Roman" w:hAnsi="Times New Roman" w:cs="Times New Roman"/>
        </w:rPr>
        <w:t>(3), 259–264.</w:t>
      </w:r>
      <w:r w:rsidR="00E87620" w:rsidRPr="009558EF">
        <w:rPr>
          <w:rFonts w:ascii="Times New Roman" w:hAnsi="Times New Roman" w:cs="Times New Roman"/>
        </w:rPr>
        <w:t xml:space="preserve"> </w:t>
      </w:r>
    </w:p>
    <w:p w14:paraId="65232D78" w14:textId="72E6511D"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 xml:space="preserve">Dwivedi, S. K., Vishwakarma, M., &amp; Soni, Prof. A. (2018). Advances and Researches on </w:t>
      </w:r>
      <w:proofErr w:type="gramStart"/>
      <w:r w:rsidRPr="009558EF">
        <w:rPr>
          <w:rFonts w:ascii="Times New Roman" w:hAnsi="Times New Roman" w:cs="Times New Roman"/>
        </w:rPr>
        <w:t>Non Destructive</w:t>
      </w:r>
      <w:proofErr w:type="gramEnd"/>
      <w:r w:rsidRPr="009558EF">
        <w:rPr>
          <w:rFonts w:ascii="Times New Roman" w:hAnsi="Times New Roman" w:cs="Times New Roman"/>
        </w:rPr>
        <w:t xml:space="preserve"> Testing: A Review. </w:t>
      </w:r>
      <w:r w:rsidRPr="009558EF">
        <w:rPr>
          <w:rFonts w:ascii="Times New Roman" w:hAnsi="Times New Roman" w:cs="Times New Roman"/>
          <w:i/>
          <w:iCs/>
        </w:rPr>
        <w:t>Materials Today: Proceedings</w:t>
      </w:r>
      <w:r w:rsidRPr="009558EF">
        <w:rPr>
          <w:rFonts w:ascii="Times New Roman" w:hAnsi="Times New Roman" w:cs="Times New Roman"/>
        </w:rPr>
        <w:t>, </w:t>
      </w:r>
      <w:r w:rsidRPr="009558EF">
        <w:rPr>
          <w:rFonts w:ascii="Times New Roman" w:hAnsi="Times New Roman" w:cs="Times New Roman"/>
          <w:i/>
          <w:iCs/>
        </w:rPr>
        <w:t>5</w:t>
      </w:r>
      <w:r w:rsidRPr="009558EF">
        <w:rPr>
          <w:rFonts w:ascii="Times New Roman" w:hAnsi="Times New Roman" w:cs="Times New Roman"/>
        </w:rPr>
        <w:t xml:space="preserve">(2), 3690–3698. </w:t>
      </w:r>
    </w:p>
    <w:p w14:paraId="11943DDF" w14:textId="716BC78B"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shd w:val="clear" w:color="auto" w:fill="FFFFFF"/>
        </w:rPr>
        <w:t xml:space="preserve">Eka </w:t>
      </w:r>
      <w:proofErr w:type="spellStart"/>
      <w:r w:rsidRPr="009558EF">
        <w:rPr>
          <w:rFonts w:ascii="Times New Roman" w:hAnsi="Times New Roman" w:cs="Times New Roman"/>
          <w:shd w:val="clear" w:color="auto" w:fill="FFFFFF"/>
        </w:rPr>
        <w:t>Pramudita</w:t>
      </w:r>
      <w:proofErr w:type="spellEnd"/>
      <w:r w:rsidRPr="009558EF">
        <w:rPr>
          <w:rFonts w:ascii="Times New Roman" w:hAnsi="Times New Roman" w:cs="Times New Roman"/>
          <w:shd w:val="clear" w:color="auto" w:fill="FFFFFF"/>
        </w:rPr>
        <w:t>, C. (2024). Optimization of Wood Waste through the Design of Multifunctional Clocks Using KANO and QFD Methods to Increase the Economic Revenue of CV. PIRANTI. </w:t>
      </w:r>
      <w:r w:rsidRPr="009558EF">
        <w:rPr>
          <w:rFonts w:ascii="Times New Roman" w:hAnsi="Times New Roman" w:cs="Times New Roman"/>
          <w:i/>
          <w:iCs/>
          <w:shd w:val="clear" w:color="auto" w:fill="FFFFFF"/>
        </w:rPr>
        <w:t>International Journal of Innovative Science and Research Technology (IJISRT)</w:t>
      </w:r>
      <w:r w:rsidRPr="009558EF">
        <w:rPr>
          <w:rFonts w:ascii="Times New Roman" w:hAnsi="Times New Roman" w:cs="Times New Roman"/>
          <w:shd w:val="clear" w:color="auto" w:fill="FFFFFF"/>
        </w:rPr>
        <w:t xml:space="preserve">, 550–558. </w:t>
      </w:r>
    </w:p>
    <w:p w14:paraId="7F164F5A" w14:textId="4ED31DC0" w:rsidR="009558EF" w:rsidRPr="009558EF" w:rsidRDefault="009558EF" w:rsidP="00CC6500">
      <w:pPr>
        <w:pStyle w:val="ListParagraph"/>
        <w:numPr>
          <w:ilvl w:val="0"/>
          <w:numId w:val="19"/>
        </w:numPr>
        <w:spacing w:line="240" w:lineRule="auto"/>
        <w:jc w:val="both"/>
        <w:rPr>
          <w:rFonts w:ascii="Times New Roman" w:hAnsi="Times New Roman" w:cs="Times New Roman"/>
        </w:rPr>
      </w:pPr>
      <w:proofErr w:type="spellStart"/>
      <w:r w:rsidRPr="009558EF">
        <w:rPr>
          <w:rFonts w:ascii="Times New Roman" w:hAnsi="Times New Roman" w:cs="Times New Roman"/>
        </w:rPr>
        <w:t>Elustondo</w:t>
      </w:r>
      <w:proofErr w:type="spellEnd"/>
      <w:r w:rsidRPr="009558EF">
        <w:rPr>
          <w:rFonts w:ascii="Times New Roman" w:hAnsi="Times New Roman" w:cs="Times New Roman"/>
        </w:rPr>
        <w:t xml:space="preserve">, D., Matan, N., </w:t>
      </w:r>
      <w:proofErr w:type="spellStart"/>
      <w:r w:rsidRPr="009558EF">
        <w:rPr>
          <w:rFonts w:ascii="Times New Roman" w:hAnsi="Times New Roman" w:cs="Times New Roman"/>
        </w:rPr>
        <w:t>Langrish</w:t>
      </w:r>
      <w:proofErr w:type="spellEnd"/>
      <w:r w:rsidRPr="009558EF">
        <w:rPr>
          <w:rFonts w:ascii="Times New Roman" w:hAnsi="Times New Roman" w:cs="Times New Roman"/>
        </w:rPr>
        <w:t xml:space="preserve">, T., &amp; Pang, S. (2023). Advances in wood drying research and development. Drying Technology, ahead-of-print(ahead-of-print), 890–914. </w:t>
      </w:r>
    </w:p>
    <w:p w14:paraId="15EF2A81" w14:textId="14292B24"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 xml:space="preserve">Galeano, E., Novais De Oliveira, P., Carrer, H., &amp; Vasconcelos, T. S. (2019). Physiological and molecular responses to drought stress in teak (Tectona grandis </w:t>
      </w:r>
      <w:proofErr w:type="spellStart"/>
      <w:r w:rsidRPr="009558EF">
        <w:rPr>
          <w:rFonts w:ascii="Times New Roman" w:hAnsi="Times New Roman" w:cs="Times New Roman"/>
        </w:rPr>
        <w:t>L.f.</w:t>
      </w:r>
      <w:proofErr w:type="spellEnd"/>
      <w:r w:rsidRPr="009558EF">
        <w:rPr>
          <w:rFonts w:ascii="Times New Roman" w:hAnsi="Times New Roman" w:cs="Times New Roman"/>
        </w:rPr>
        <w:t>). </w:t>
      </w:r>
      <w:r w:rsidRPr="009558EF">
        <w:rPr>
          <w:rFonts w:ascii="Times New Roman" w:hAnsi="Times New Roman" w:cs="Times New Roman"/>
          <w:i/>
          <w:iCs/>
        </w:rPr>
        <w:t>PLOS ONE</w:t>
      </w:r>
      <w:r w:rsidRPr="009558EF">
        <w:rPr>
          <w:rFonts w:ascii="Times New Roman" w:hAnsi="Times New Roman" w:cs="Times New Roman"/>
        </w:rPr>
        <w:t>, </w:t>
      </w:r>
      <w:r w:rsidRPr="009558EF">
        <w:rPr>
          <w:rFonts w:ascii="Times New Roman" w:hAnsi="Times New Roman" w:cs="Times New Roman"/>
          <w:i/>
          <w:iCs/>
        </w:rPr>
        <w:t>14</w:t>
      </w:r>
      <w:r w:rsidRPr="009558EF">
        <w:rPr>
          <w:rFonts w:ascii="Times New Roman" w:hAnsi="Times New Roman" w:cs="Times New Roman"/>
        </w:rPr>
        <w:t xml:space="preserve">(9), e0221571. </w:t>
      </w:r>
    </w:p>
    <w:p w14:paraId="133E659E" w14:textId="0A68B622"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 xml:space="preserve">Gong, F., Yang, Y., Li, P., Wang, Z., Zeng, B., Jin, W., &amp; Maekawa, K. (2024). Multi-physical analysis of saturation-dependent creep </w:t>
      </w:r>
      <w:proofErr w:type="spellStart"/>
      <w:r w:rsidRPr="009558EF">
        <w:rPr>
          <w:rFonts w:ascii="Times New Roman" w:hAnsi="Times New Roman" w:cs="Times New Roman"/>
        </w:rPr>
        <w:t>behavior</w:t>
      </w:r>
      <w:proofErr w:type="spellEnd"/>
      <w:r w:rsidRPr="009558EF">
        <w:rPr>
          <w:rFonts w:ascii="Times New Roman" w:hAnsi="Times New Roman" w:cs="Times New Roman"/>
        </w:rPr>
        <w:t xml:space="preserve"> for RC beam under sustained load and wet-dry cycles. </w:t>
      </w:r>
      <w:r w:rsidRPr="009558EF">
        <w:rPr>
          <w:rFonts w:ascii="Times New Roman" w:hAnsi="Times New Roman" w:cs="Times New Roman"/>
          <w:i/>
          <w:iCs/>
        </w:rPr>
        <w:t>Engineering Structures</w:t>
      </w:r>
      <w:r w:rsidRPr="009558EF">
        <w:rPr>
          <w:rFonts w:ascii="Times New Roman" w:hAnsi="Times New Roman" w:cs="Times New Roman"/>
        </w:rPr>
        <w:t>, </w:t>
      </w:r>
      <w:r w:rsidRPr="009558EF">
        <w:rPr>
          <w:rFonts w:ascii="Times New Roman" w:hAnsi="Times New Roman" w:cs="Times New Roman"/>
          <w:i/>
          <w:iCs/>
        </w:rPr>
        <w:t>309</w:t>
      </w:r>
      <w:r w:rsidRPr="009558EF">
        <w:rPr>
          <w:rFonts w:ascii="Times New Roman" w:hAnsi="Times New Roman" w:cs="Times New Roman"/>
        </w:rPr>
        <w:t xml:space="preserve">, 117976. </w:t>
      </w:r>
    </w:p>
    <w:p w14:paraId="5BCD0E34" w14:textId="6E1FF6B6"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Gupta, M., &amp; Khan, M. A. (2021). Advances in applications of non-destructive testing (NDT): a review. </w:t>
      </w:r>
      <w:r w:rsidRPr="009558EF">
        <w:rPr>
          <w:rFonts w:ascii="Times New Roman" w:hAnsi="Times New Roman" w:cs="Times New Roman"/>
          <w:i/>
          <w:iCs/>
        </w:rPr>
        <w:t>International Research Journal of Engineering, IT &amp; Scientific Research</w:t>
      </w:r>
      <w:r w:rsidRPr="009558EF">
        <w:rPr>
          <w:rFonts w:ascii="Times New Roman" w:hAnsi="Times New Roman" w:cs="Times New Roman"/>
        </w:rPr>
        <w:t>, </w:t>
      </w:r>
      <w:r w:rsidRPr="009558EF">
        <w:rPr>
          <w:rFonts w:ascii="Times New Roman" w:hAnsi="Times New Roman" w:cs="Times New Roman"/>
          <w:i/>
          <w:iCs/>
        </w:rPr>
        <w:t>7</w:t>
      </w:r>
      <w:r w:rsidRPr="009558EF">
        <w:rPr>
          <w:rFonts w:ascii="Times New Roman" w:hAnsi="Times New Roman" w:cs="Times New Roman"/>
        </w:rPr>
        <w:t xml:space="preserve">(3), 76–86. </w:t>
      </w:r>
    </w:p>
    <w:p w14:paraId="64A6B662" w14:textId="5B48A571"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 xml:space="preserve">Hadi, Y. S., Abdillah, I. B., Pari, G., Pari, R., &amp; </w:t>
      </w:r>
      <w:proofErr w:type="spellStart"/>
      <w:r w:rsidRPr="009558EF">
        <w:rPr>
          <w:rFonts w:ascii="Times New Roman" w:hAnsi="Times New Roman" w:cs="Times New Roman"/>
        </w:rPr>
        <w:t>Herliyana</w:t>
      </w:r>
      <w:proofErr w:type="spellEnd"/>
      <w:r w:rsidRPr="009558EF">
        <w:rPr>
          <w:rFonts w:ascii="Times New Roman" w:hAnsi="Times New Roman" w:cs="Times New Roman"/>
        </w:rPr>
        <w:t xml:space="preserve">, E. N. (2022). </w:t>
      </w:r>
      <w:proofErr w:type="spellStart"/>
      <w:r w:rsidRPr="009558EF">
        <w:rPr>
          <w:rFonts w:ascii="Times New Roman" w:hAnsi="Times New Roman" w:cs="Times New Roman"/>
        </w:rPr>
        <w:t>Furfurylation</w:t>
      </w:r>
      <w:proofErr w:type="spellEnd"/>
      <w:r w:rsidRPr="009558EF">
        <w:rPr>
          <w:rFonts w:ascii="Times New Roman" w:hAnsi="Times New Roman" w:cs="Times New Roman"/>
        </w:rPr>
        <w:t xml:space="preserve"> Effects on Discoloration and Physical-Mechanical Properties of Wood from Tropical Plantation Forests. </w:t>
      </w:r>
      <w:r w:rsidRPr="009558EF">
        <w:rPr>
          <w:rFonts w:ascii="Times New Roman" w:hAnsi="Times New Roman" w:cs="Times New Roman"/>
          <w:i/>
          <w:iCs/>
        </w:rPr>
        <w:t>Journal of the Korean Wood Science and Technology</w:t>
      </w:r>
      <w:r w:rsidRPr="009558EF">
        <w:rPr>
          <w:rFonts w:ascii="Times New Roman" w:hAnsi="Times New Roman" w:cs="Times New Roman"/>
        </w:rPr>
        <w:t>, </w:t>
      </w:r>
      <w:r w:rsidRPr="009558EF">
        <w:rPr>
          <w:rFonts w:ascii="Times New Roman" w:hAnsi="Times New Roman" w:cs="Times New Roman"/>
          <w:i/>
          <w:iCs/>
        </w:rPr>
        <w:t>50</w:t>
      </w:r>
      <w:r w:rsidRPr="009558EF">
        <w:rPr>
          <w:rFonts w:ascii="Times New Roman" w:hAnsi="Times New Roman" w:cs="Times New Roman"/>
        </w:rPr>
        <w:t xml:space="preserve">(1), 46–58. </w:t>
      </w:r>
    </w:p>
    <w:p w14:paraId="6AAFB11B" w14:textId="374DBEF9"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shd w:val="clear" w:color="auto" w:fill="FFFFFF"/>
        </w:rPr>
        <w:t xml:space="preserve">Haryanto, A., </w:t>
      </w:r>
      <w:proofErr w:type="spellStart"/>
      <w:r w:rsidRPr="009558EF">
        <w:rPr>
          <w:rFonts w:ascii="Times New Roman" w:hAnsi="Times New Roman" w:cs="Times New Roman"/>
          <w:shd w:val="clear" w:color="auto" w:fill="FFFFFF"/>
        </w:rPr>
        <w:t>Hasanudin</w:t>
      </w:r>
      <w:proofErr w:type="spellEnd"/>
      <w:r w:rsidRPr="009558EF">
        <w:rPr>
          <w:rFonts w:ascii="Times New Roman" w:hAnsi="Times New Roman" w:cs="Times New Roman"/>
          <w:shd w:val="clear" w:color="auto" w:fill="FFFFFF"/>
        </w:rPr>
        <w:t xml:space="preserve">, U., Kim, S., Iryani, D. A., Hidayat, W., Lee, S., &amp; Yoo, J. (2021). </w:t>
      </w:r>
      <w:proofErr w:type="spellStart"/>
      <w:r w:rsidRPr="009558EF">
        <w:rPr>
          <w:rFonts w:ascii="Times New Roman" w:hAnsi="Times New Roman" w:cs="Times New Roman"/>
          <w:shd w:val="clear" w:color="auto" w:fill="FFFFFF"/>
        </w:rPr>
        <w:t>Valorization</w:t>
      </w:r>
      <w:proofErr w:type="spellEnd"/>
      <w:r w:rsidRPr="009558EF">
        <w:rPr>
          <w:rFonts w:ascii="Times New Roman" w:hAnsi="Times New Roman" w:cs="Times New Roman"/>
          <w:shd w:val="clear" w:color="auto" w:fill="FFFFFF"/>
        </w:rPr>
        <w:t xml:space="preserve"> of Indonesian Wood Wastes through Pyrolysis: A Review. </w:t>
      </w:r>
      <w:r w:rsidRPr="009558EF">
        <w:rPr>
          <w:rFonts w:ascii="Times New Roman" w:hAnsi="Times New Roman" w:cs="Times New Roman"/>
          <w:i/>
          <w:iCs/>
          <w:shd w:val="clear" w:color="auto" w:fill="FFFFFF"/>
        </w:rPr>
        <w:t>Energies</w:t>
      </w:r>
      <w:r w:rsidRPr="009558EF">
        <w:rPr>
          <w:rFonts w:ascii="Times New Roman" w:hAnsi="Times New Roman" w:cs="Times New Roman"/>
          <w:shd w:val="clear" w:color="auto" w:fill="FFFFFF"/>
        </w:rPr>
        <w:t>, </w:t>
      </w:r>
      <w:r w:rsidRPr="009558EF">
        <w:rPr>
          <w:rFonts w:ascii="Times New Roman" w:hAnsi="Times New Roman" w:cs="Times New Roman"/>
          <w:i/>
          <w:iCs/>
          <w:shd w:val="clear" w:color="auto" w:fill="FFFFFF"/>
        </w:rPr>
        <w:t>14</w:t>
      </w:r>
      <w:r w:rsidRPr="009558EF">
        <w:rPr>
          <w:rFonts w:ascii="Times New Roman" w:hAnsi="Times New Roman" w:cs="Times New Roman"/>
          <w:shd w:val="clear" w:color="auto" w:fill="FFFFFF"/>
        </w:rPr>
        <w:t xml:space="preserve">(5), 1407. </w:t>
      </w:r>
    </w:p>
    <w:p w14:paraId="712A3B09" w14:textId="3CA43910"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 xml:space="preserve">Healey, S. P., &amp; Gara, R. I. (2002). The effect of a teak </w:t>
      </w:r>
      <w:proofErr w:type="gramStart"/>
      <w:r w:rsidRPr="009558EF">
        <w:rPr>
          <w:rFonts w:ascii="Times New Roman" w:hAnsi="Times New Roman" w:cs="Times New Roman"/>
        </w:rPr>
        <w:t>( Tectona</w:t>
      </w:r>
      <w:proofErr w:type="gramEnd"/>
      <w:r w:rsidRPr="009558EF">
        <w:rPr>
          <w:rFonts w:ascii="Times New Roman" w:hAnsi="Times New Roman" w:cs="Times New Roman"/>
        </w:rPr>
        <w:t xml:space="preserve"> grandis) plantation on the establishment of native species in an abandoned pasture in Costa Rica. </w:t>
      </w:r>
      <w:r w:rsidRPr="009558EF">
        <w:rPr>
          <w:rFonts w:ascii="Times New Roman" w:hAnsi="Times New Roman" w:cs="Times New Roman"/>
          <w:i/>
          <w:iCs/>
        </w:rPr>
        <w:t>Forest Ecology and Management</w:t>
      </w:r>
      <w:r w:rsidRPr="009558EF">
        <w:rPr>
          <w:rFonts w:ascii="Times New Roman" w:hAnsi="Times New Roman" w:cs="Times New Roman"/>
        </w:rPr>
        <w:t>, </w:t>
      </w:r>
      <w:r w:rsidRPr="009558EF">
        <w:rPr>
          <w:rFonts w:ascii="Times New Roman" w:hAnsi="Times New Roman" w:cs="Times New Roman"/>
          <w:i/>
          <w:iCs/>
        </w:rPr>
        <w:t>176</w:t>
      </w:r>
      <w:r w:rsidRPr="009558EF">
        <w:rPr>
          <w:rFonts w:ascii="Times New Roman" w:hAnsi="Times New Roman" w:cs="Times New Roman"/>
        </w:rPr>
        <w:t xml:space="preserve">(1–3), 497–507. </w:t>
      </w:r>
    </w:p>
    <w:p w14:paraId="7C27CD7D" w14:textId="032DF627"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Huang, B., Chen, L., Wang, X., Ma, X., Liu, H., Zhang, X., Sun, F., Fei, B., &amp; Fang, C. (2023). Eco-friendly, high-utilization, and easy-manufacturing bamboo units for engineered bamboo products: Processing and mechanical characterization. </w:t>
      </w:r>
      <w:r w:rsidRPr="009558EF">
        <w:rPr>
          <w:rFonts w:ascii="Times New Roman" w:hAnsi="Times New Roman" w:cs="Times New Roman"/>
          <w:i/>
          <w:iCs/>
        </w:rPr>
        <w:t>Composites Part B: Engineering</w:t>
      </w:r>
      <w:r w:rsidRPr="009558EF">
        <w:rPr>
          <w:rFonts w:ascii="Times New Roman" w:hAnsi="Times New Roman" w:cs="Times New Roman"/>
        </w:rPr>
        <w:t>, </w:t>
      </w:r>
      <w:r w:rsidRPr="009558EF">
        <w:rPr>
          <w:rFonts w:ascii="Times New Roman" w:hAnsi="Times New Roman" w:cs="Times New Roman"/>
          <w:i/>
          <w:iCs/>
        </w:rPr>
        <w:t>267</w:t>
      </w:r>
      <w:r w:rsidRPr="009558EF">
        <w:rPr>
          <w:rFonts w:ascii="Times New Roman" w:hAnsi="Times New Roman" w:cs="Times New Roman"/>
        </w:rPr>
        <w:t xml:space="preserve">, 111073. </w:t>
      </w:r>
    </w:p>
    <w:p w14:paraId="1E03331E" w14:textId="1548F9C2" w:rsidR="009558EF" w:rsidRPr="009558EF" w:rsidRDefault="009558EF" w:rsidP="00CC6500">
      <w:pPr>
        <w:pStyle w:val="ListParagraph"/>
        <w:numPr>
          <w:ilvl w:val="0"/>
          <w:numId w:val="19"/>
        </w:numPr>
        <w:spacing w:line="240" w:lineRule="auto"/>
        <w:jc w:val="both"/>
        <w:rPr>
          <w:rFonts w:ascii="Times New Roman" w:hAnsi="Times New Roman" w:cs="Times New Roman"/>
          <w:bCs/>
        </w:rPr>
      </w:pPr>
      <w:r w:rsidRPr="009558EF">
        <w:rPr>
          <w:rFonts w:ascii="Times New Roman" w:hAnsi="Times New Roman" w:cs="Times New Roman"/>
          <w:bCs/>
        </w:rPr>
        <w:t>Ingerson, A. (2010). Carbon storage potential of harvested wood: summary and policy implications. </w:t>
      </w:r>
      <w:r w:rsidRPr="009558EF">
        <w:rPr>
          <w:rFonts w:ascii="Times New Roman" w:hAnsi="Times New Roman" w:cs="Times New Roman"/>
          <w:bCs/>
          <w:i/>
          <w:iCs/>
        </w:rPr>
        <w:t>Mitigation and Adaptation Strategies for Global Change</w:t>
      </w:r>
      <w:r w:rsidRPr="009558EF">
        <w:rPr>
          <w:rFonts w:ascii="Times New Roman" w:hAnsi="Times New Roman" w:cs="Times New Roman"/>
          <w:bCs/>
        </w:rPr>
        <w:t>, </w:t>
      </w:r>
      <w:r w:rsidRPr="009558EF">
        <w:rPr>
          <w:rFonts w:ascii="Times New Roman" w:hAnsi="Times New Roman" w:cs="Times New Roman"/>
          <w:bCs/>
          <w:i/>
          <w:iCs/>
        </w:rPr>
        <w:t>16</w:t>
      </w:r>
      <w:r w:rsidRPr="009558EF">
        <w:rPr>
          <w:rFonts w:ascii="Times New Roman" w:hAnsi="Times New Roman" w:cs="Times New Roman"/>
          <w:bCs/>
        </w:rPr>
        <w:t xml:space="preserve">(3), 307–323. </w:t>
      </w:r>
    </w:p>
    <w:p w14:paraId="7BCCBF5D" w14:textId="2BA234D0" w:rsidR="009558EF" w:rsidRPr="007F21E1" w:rsidRDefault="009558EF" w:rsidP="00CC6500">
      <w:pPr>
        <w:pStyle w:val="c-bdnkfx"/>
        <w:numPr>
          <w:ilvl w:val="0"/>
          <w:numId w:val="19"/>
        </w:numPr>
        <w:spacing w:before="0" w:beforeAutospacing="0" w:after="0" w:afterAutospacing="0"/>
        <w:jc w:val="both"/>
      </w:pPr>
      <w:r w:rsidRPr="007F21E1">
        <w:t>Ingwell, L. L., &amp; Preisser, E. L. (2010). Using Citizen Science Programs to Identify Host Resistance in Pest-Invaded Forests. </w:t>
      </w:r>
      <w:r w:rsidRPr="007F21E1">
        <w:rPr>
          <w:i/>
          <w:iCs/>
        </w:rPr>
        <w:t>Conservation Biology</w:t>
      </w:r>
      <w:r w:rsidRPr="007F21E1">
        <w:t>, </w:t>
      </w:r>
      <w:r w:rsidRPr="007F21E1">
        <w:rPr>
          <w:i/>
          <w:iCs/>
        </w:rPr>
        <w:t>25</w:t>
      </w:r>
      <w:r w:rsidRPr="007F21E1">
        <w:t xml:space="preserve">(1), 182–188. </w:t>
      </w:r>
    </w:p>
    <w:p w14:paraId="78D65F33" w14:textId="08D0D5ED" w:rsidR="009558EF" w:rsidRPr="009558EF" w:rsidRDefault="009558EF" w:rsidP="00CC6500">
      <w:pPr>
        <w:pStyle w:val="ListParagraph"/>
        <w:numPr>
          <w:ilvl w:val="0"/>
          <w:numId w:val="19"/>
        </w:numPr>
        <w:spacing w:line="240" w:lineRule="auto"/>
        <w:jc w:val="both"/>
        <w:rPr>
          <w:rFonts w:ascii="Times New Roman" w:hAnsi="Times New Roman" w:cs="Times New Roman"/>
        </w:rPr>
      </w:pPr>
      <w:proofErr w:type="spellStart"/>
      <w:r w:rsidRPr="009558EF">
        <w:rPr>
          <w:rFonts w:ascii="Times New Roman" w:hAnsi="Times New Roman" w:cs="Times New Roman"/>
        </w:rPr>
        <w:lastRenderedPageBreak/>
        <w:t>Jactel</w:t>
      </w:r>
      <w:proofErr w:type="spellEnd"/>
      <w:r w:rsidRPr="009558EF">
        <w:rPr>
          <w:rFonts w:ascii="Times New Roman" w:hAnsi="Times New Roman" w:cs="Times New Roman"/>
        </w:rPr>
        <w:t xml:space="preserve">, H., Gonzalez-Olabarria, J. R., Grodzki, W., </w:t>
      </w:r>
      <w:proofErr w:type="spellStart"/>
      <w:r w:rsidRPr="009558EF">
        <w:rPr>
          <w:rFonts w:ascii="Times New Roman" w:hAnsi="Times New Roman" w:cs="Times New Roman"/>
        </w:rPr>
        <w:t>Tojic</w:t>
      </w:r>
      <w:proofErr w:type="spellEnd"/>
      <w:r w:rsidRPr="009558EF">
        <w:rPr>
          <w:rFonts w:ascii="Times New Roman" w:hAnsi="Times New Roman" w:cs="Times New Roman"/>
        </w:rPr>
        <w:t xml:space="preserve">, K., Schelhaas, M. J., Orazio, C., </w:t>
      </w:r>
      <w:proofErr w:type="spellStart"/>
      <w:r w:rsidRPr="009558EF">
        <w:rPr>
          <w:rFonts w:ascii="Times New Roman" w:hAnsi="Times New Roman" w:cs="Times New Roman"/>
        </w:rPr>
        <w:t>Piou</w:t>
      </w:r>
      <w:proofErr w:type="spellEnd"/>
      <w:r w:rsidRPr="009558EF">
        <w:rPr>
          <w:rFonts w:ascii="Times New Roman" w:hAnsi="Times New Roman" w:cs="Times New Roman"/>
        </w:rPr>
        <w:t xml:space="preserve">, D., </w:t>
      </w:r>
      <w:proofErr w:type="spellStart"/>
      <w:r w:rsidRPr="009558EF">
        <w:rPr>
          <w:rFonts w:ascii="Times New Roman" w:hAnsi="Times New Roman" w:cs="Times New Roman"/>
        </w:rPr>
        <w:t>Långström</w:t>
      </w:r>
      <w:proofErr w:type="spellEnd"/>
      <w:r w:rsidRPr="009558EF">
        <w:rPr>
          <w:rFonts w:ascii="Times New Roman" w:hAnsi="Times New Roman" w:cs="Times New Roman"/>
        </w:rPr>
        <w:t xml:space="preserve">, B., Branco, M., Nicoll, B. C., Santos, H., </w:t>
      </w:r>
      <w:proofErr w:type="spellStart"/>
      <w:r w:rsidRPr="009558EF">
        <w:rPr>
          <w:rFonts w:ascii="Times New Roman" w:hAnsi="Times New Roman" w:cs="Times New Roman"/>
        </w:rPr>
        <w:t>Netherer</w:t>
      </w:r>
      <w:proofErr w:type="spellEnd"/>
      <w:r w:rsidRPr="009558EF">
        <w:rPr>
          <w:rFonts w:ascii="Times New Roman" w:hAnsi="Times New Roman" w:cs="Times New Roman"/>
        </w:rPr>
        <w:t>, S., Vodde, F., &amp; Moreira, F. (2009). The influences of forest stand management on biotic and abiotic risks of damage. </w:t>
      </w:r>
      <w:r w:rsidRPr="009558EF">
        <w:rPr>
          <w:rFonts w:ascii="Times New Roman" w:hAnsi="Times New Roman" w:cs="Times New Roman"/>
          <w:i/>
          <w:iCs/>
        </w:rPr>
        <w:t>Annals of Forest Science</w:t>
      </w:r>
      <w:r w:rsidRPr="009558EF">
        <w:rPr>
          <w:rFonts w:ascii="Times New Roman" w:hAnsi="Times New Roman" w:cs="Times New Roman"/>
        </w:rPr>
        <w:t>, </w:t>
      </w:r>
      <w:r w:rsidRPr="009558EF">
        <w:rPr>
          <w:rFonts w:ascii="Times New Roman" w:hAnsi="Times New Roman" w:cs="Times New Roman"/>
          <w:i/>
          <w:iCs/>
        </w:rPr>
        <w:t>66</w:t>
      </w:r>
      <w:r w:rsidRPr="009558EF">
        <w:rPr>
          <w:rFonts w:ascii="Times New Roman" w:hAnsi="Times New Roman" w:cs="Times New Roman"/>
        </w:rPr>
        <w:t xml:space="preserve">(7), 701. </w:t>
      </w:r>
    </w:p>
    <w:p w14:paraId="4F96533B" w14:textId="77777777" w:rsidR="00CC6500" w:rsidRPr="00CC6500"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shd w:val="clear" w:color="auto" w:fill="FFFFFF"/>
        </w:rPr>
        <w:t>Kato-Noguchi, H. (2021). Phytotoxic Substances Involved in Teak Allelopathy and Agroforestry. </w:t>
      </w:r>
      <w:r w:rsidRPr="009558EF">
        <w:rPr>
          <w:rFonts w:ascii="Times New Roman" w:hAnsi="Times New Roman" w:cs="Times New Roman"/>
          <w:i/>
          <w:iCs/>
          <w:shd w:val="clear" w:color="auto" w:fill="FFFFFF"/>
        </w:rPr>
        <w:t>Applied Sciences</w:t>
      </w:r>
      <w:r w:rsidRPr="009558EF">
        <w:rPr>
          <w:rFonts w:ascii="Times New Roman" w:hAnsi="Times New Roman" w:cs="Times New Roman"/>
          <w:shd w:val="clear" w:color="auto" w:fill="FFFFFF"/>
        </w:rPr>
        <w:t>, </w:t>
      </w:r>
      <w:r w:rsidRPr="009558EF">
        <w:rPr>
          <w:rFonts w:ascii="Times New Roman" w:hAnsi="Times New Roman" w:cs="Times New Roman"/>
          <w:i/>
          <w:iCs/>
          <w:shd w:val="clear" w:color="auto" w:fill="FFFFFF"/>
        </w:rPr>
        <w:t>11</w:t>
      </w:r>
      <w:r w:rsidRPr="009558EF">
        <w:rPr>
          <w:rFonts w:ascii="Times New Roman" w:hAnsi="Times New Roman" w:cs="Times New Roman"/>
          <w:shd w:val="clear" w:color="auto" w:fill="FFFFFF"/>
        </w:rPr>
        <w:t xml:space="preserve">(8), 3314. </w:t>
      </w:r>
    </w:p>
    <w:p w14:paraId="03FEAA84" w14:textId="7310338B" w:rsidR="009558EF" w:rsidRPr="00CC6500" w:rsidRDefault="009558EF" w:rsidP="00CC6500">
      <w:pPr>
        <w:pStyle w:val="ListParagraph"/>
        <w:numPr>
          <w:ilvl w:val="0"/>
          <w:numId w:val="19"/>
        </w:numPr>
        <w:spacing w:line="240" w:lineRule="auto"/>
        <w:jc w:val="both"/>
        <w:rPr>
          <w:rFonts w:ascii="Times New Roman" w:hAnsi="Times New Roman" w:cs="Times New Roman"/>
        </w:rPr>
      </w:pPr>
      <w:proofErr w:type="spellStart"/>
      <w:r w:rsidRPr="007F21E1">
        <w:t>Khasanah</w:t>
      </w:r>
      <w:proofErr w:type="spellEnd"/>
      <w:r w:rsidRPr="007F21E1">
        <w:t xml:space="preserve">, N., Perdana, A., </w:t>
      </w:r>
      <w:proofErr w:type="spellStart"/>
      <w:r w:rsidRPr="007F21E1">
        <w:t>Manurung</w:t>
      </w:r>
      <w:proofErr w:type="spellEnd"/>
      <w:r w:rsidRPr="007F21E1">
        <w:t xml:space="preserve">, G., Roshetko, J. M., Van </w:t>
      </w:r>
      <w:proofErr w:type="spellStart"/>
      <w:r w:rsidRPr="007F21E1">
        <w:t>Noordwijk</w:t>
      </w:r>
      <w:proofErr w:type="spellEnd"/>
      <w:r w:rsidRPr="007F21E1">
        <w:t xml:space="preserve">, M., &amp; </w:t>
      </w:r>
      <w:proofErr w:type="spellStart"/>
      <w:r w:rsidRPr="007F21E1">
        <w:t>Rahmanullah</w:t>
      </w:r>
      <w:proofErr w:type="spellEnd"/>
      <w:r w:rsidRPr="007F21E1">
        <w:t>, A. (2015). Intercropping teak (Tectona grandis) and maize (</w:t>
      </w:r>
      <w:proofErr w:type="spellStart"/>
      <w:r w:rsidRPr="007F21E1">
        <w:t>Zea</w:t>
      </w:r>
      <w:proofErr w:type="spellEnd"/>
      <w:r w:rsidRPr="007F21E1">
        <w:t xml:space="preserve"> mays): bioeconomic trade-off analysis of agroforestry management practices in </w:t>
      </w:r>
      <w:proofErr w:type="spellStart"/>
      <w:r w:rsidRPr="007F21E1">
        <w:t>Gunungkidul</w:t>
      </w:r>
      <w:proofErr w:type="spellEnd"/>
      <w:r w:rsidRPr="007F21E1">
        <w:t>, West Java. </w:t>
      </w:r>
      <w:r w:rsidRPr="00CC6500">
        <w:rPr>
          <w:i/>
          <w:iCs/>
        </w:rPr>
        <w:t>Agroforestry Systems</w:t>
      </w:r>
      <w:r w:rsidRPr="007F21E1">
        <w:t>, </w:t>
      </w:r>
      <w:r w:rsidRPr="00CC6500">
        <w:rPr>
          <w:i/>
          <w:iCs/>
        </w:rPr>
        <w:t>89</w:t>
      </w:r>
      <w:r w:rsidRPr="007F21E1">
        <w:t xml:space="preserve">(6), 1019–1033. </w:t>
      </w:r>
    </w:p>
    <w:p w14:paraId="5BE0473E" w14:textId="6172E120" w:rsidR="009558EF" w:rsidRPr="009558EF" w:rsidRDefault="009558EF" w:rsidP="00CC6500">
      <w:pPr>
        <w:pStyle w:val="ListParagraph"/>
        <w:numPr>
          <w:ilvl w:val="0"/>
          <w:numId w:val="19"/>
        </w:numPr>
        <w:spacing w:line="240" w:lineRule="auto"/>
        <w:jc w:val="both"/>
        <w:rPr>
          <w:rFonts w:ascii="Times New Roman" w:hAnsi="Times New Roman" w:cs="Times New Roman"/>
        </w:rPr>
      </w:pPr>
      <w:proofErr w:type="spellStart"/>
      <w:r w:rsidRPr="009558EF">
        <w:rPr>
          <w:rFonts w:ascii="Times New Roman" w:hAnsi="Times New Roman" w:cs="Times New Roman"/>
        </w:rPr>
        <w:t>Klapwijk</w:t>
      </w:r>
      <w:proofErr w:type="spellEnd"/>
      <w:r w:rsidRPr="009558EF">
        <w:rPr>
          <w:rFonts w:ascii="Times New Roman" w:hAnsi="Times New Roman" w:cs="Times New Roman"/>
        </w:rPr>
        <w:t>, M. J., Schroeder, M., Bylund, H., &amp; Björkman, C. (2016). Forest management and natural biocontrol of insect pests. </w:t>
      </w:r>
      <w:r w:rsidRPr="009558EF">
        <w:rPr>
          <w:rFonts w:ascii="Times New Roman" w:hAnsi="Times New Roman" w:cs="Times New Roman"/>
          <w:i/>
          <w:iCs/>
        </w:rPr>
        <w:t>Forestry</w:t>
      </w:r>
      <w:r w:rsidRPr="009558EF">
        <w:rPr>
          <w:rFonts w:ascii="Times New Roman" w:hAnsi="Times New Roman" w:cs="Times New Roman"/>
        </w:rPr>
        <w:t>, </w:t>
      </w:r>
      <w:r w:rsidRPr="009558EF">
        <w:rPr>
          <w:rFonts w:ascii="Times New Roman" w:hAnsi="Times New Roman" w:cs="Times New Roman"/>
          <w:i/>
          <w:iCs/>
        </w:rPr>
        <w:t>89</w:t>
      </w:r>
      <w:r w:rsidRPr="009558EF">
        <w:rPr>
          <w:rFonts w:ascii="Times New Roman" w:hAnsi="Times New Roman" w:cs="Times New Roman"/>
        </w:rPr>
        <w:t xml:space="preserve">(3), 253–262. </w:t>
      </w:r>
    </w:p>
    <w:p w14:paraId="461A05B1" w14:textId="0F336ED5" w:rsidR="009558EF" w:rsidRPr="009558EF" w:rsidRDefault="009558EF" w:rsidP="00CC6500">
      <w:pPr>
        <w:pStyle w:val="ListParagraph"/>
        <w:numPr>
          <w:ilvl w:val="0"/>
          <w:numId w:val="19"/>
        </w:numPr>
        <w:spacing w:line="240" w:lineRule="auto"/>
        <w:jc w:val="both"/>
        <w:rPr>
          <w:rFonts w:ascii="Times New Roman" w:hAnsi="Times New Roman" w:cs="Times New Roman"/>
        </w:rPr>
      </w:pPr>
      <w:proofErr w:type="spellStart"/>
      <w:r w:rsidRPr="009558EF">
        <w:rPr>
          <w:rFonts w:ascii="Times New Roman" w:hAnsi="Times New Roman" w:cs="Times New Roman"/>
        </w:rPr>
        <w:t>Lammertyn</w:t>
      </w:r>
      <w:proofErr w:type="spellEnd"/>
      <w:r w:rsidRPr="009558EF">
        <w:rPr>
          <w:rFonts w:ascii="Times New Roman" w:hAnsi="Times New Roman" w:cs="Times New Roman"/>
        </w:rPr>
        <w:t xml:space="preserve">, J., Van Hecke, P., </w:t>
      </w:r>
      <w:proofErr w:type="spellStart"/>
      <w:r w:rsidRPr="009558EF">
        <w:rPr>
          <w:rFonts w:ascii="Times New Roman" w:hAnsi="Times New Roman" w:cs="Times New Roman"/>
        </w:rPr>
        <w:t>Nicolaï</w:t>
      </w:r>
      <w:proofErr w:type="spellEnd"/>
      <w:r w:rsidRPr="009558EF">
        <w:rPr>
          <w:rFonts w:ascii="Times New Roman" w:hAnsi="Times New Roman" w:cs="Times New Roman"/>
        </w:rPr>
        <w:t xml:space="preserve">, B. M., Wevers, M., </w:t>
      </w:r>
      <w:proofErr w:type="spellStart"/>
      <w:r w:rsidRPr="009558EF">
        <w:rPr>
          <w:rFonts w:ascii="Times New Roman" w:hAnsi="Times New Roman" w:cs="Times New Roman"/>
        </w:rPr>
        <w:t>Jancsók</w:t>
      </w:r>
      <w:proofErr w:type="spellEnd"/>
      <w:r w:rsidRPr="009558EF">
        <w:rPr>
          <w:rFonts w:ascii="Times New Roman" w:hAnsi="Times New Roman" w:cs="Times New Roman"/>
        </w:rPr>
        <w:t xml:space="preserve">, P., &amp; </w:t>
      </w:r>
      <w:proofErr w:type="spellStart"/>
      <w:r w:rsidRPr="009558EF">
        <w:rPr>
          <w:rFonts w:ascii="Times New Roman" w:hAnsi="Times New Roman" w:cs="Times New Roman"/>
        </w:rPr>
        <w:t>Dresselaers</w:t>
      </w:r>
      <w:proofErr w:type="spellEnd"/>
      <w:r w:rsidRPr="009558EF">
        <w:rPr>
          <w:rFonts w:ascii="Times New Roman" w:hAnsi="Times New Roman" w:cs="Times New Roman"/>
        </w:rPr>
        <w:t>, T. (2003). MRI and x-ray CT study of spatial distribution of core breakdown in “Conference” pears. </w:t>
      </w:r>
      <w:r w:rsidRPr="009558EF">
        <w:rPr>
          <w:rFonts w:ascii="Times New Roman" w:hAnsi="Times New Roman" w:cs="Times New Roman"/>
          <w:i/>
          <w:iCs/>
        </w:rPr>
        <w:t>Magnetic Resonance Imaging</w:t>
      </w:r>
      <w:r w:rsidRPr="009558EF">
        <w:rPr>
          <w:rFonts w:ascii="Times New Roman" w:hAnsi="Times New Roman" w:cs="Times New Roman"/>
        </w:rPr>
        <w:t>, </w:t>
      </w:r>
      <w:r w:rsidRPr="009558EF">
        <w:rPr>
          <w:rFonts w:ascii="Times New Roman" w:hAnsi="Times New Roman" w:cs="Times New Roman"/>
          <w:i/>
          <w:iCs/>
        </w:rPr>
        <w:t>21</w:t>
      </w:r>
      <w:r w:rsidRPr="009558EF">
        <w:rPr>
          <w:rFonts w:ascii="Times New Roman" w:hAnsi="Times New Roman" w:cs="Times New Roman"/>
        </w:rPr>
        <w:t xml:space="preserve">(7), 805–815. </w:t>
      </w:r>
    </w:p>
    <w:p w14:paraId="6F592DEA" w14:textId="432F8B90" w:rsidR="009558EF" w:rsidRPr="009558EF" w:rsidRDefault="009558EF" w:rsidP="00CC6500">
      <w:pPr>
        <w:pStyle w:val="ListParagraph"/>
        <w:numPr>
          <w:ilvl w:val="0"/>
          <w:numId w:val="19"/>
        </w:numPr>
        <w:spacing w:line="240" w:lineRule="auto"/>
        <w:jc w:val="both"/>
        <w:rPr>
          <w:rFonts w:ascii="Times New Roman" w:hAnsi="Times New Roman" w:cs="Times New Roman"/>
        </w:rPr>
      </w:pPr>
      <w:proofErr w:type="spellStart"/>
      <w:r w:rsidRPr="009558EF">
        <w:rPr>
          <w:rFonts w:ascii="Times New Roman" w:hAnsi="Times New Roman" w:cs="Times New Roman"/>
          <w:shd w:val="clear" w:color="auto" w:fill="FFFFFF"/>
        </w:rPr>
        <w:t>Laschi</w:t>
      </w:r>
      <w:proofErr w:type="spellEnd"/>
      <w:r w:rsidRPr="009558EF">
        <w:rPr>
          <w:rFonts w:ascii="Times New Roman" w:hAnsi="Times New Roman" w:cs="Times New Roman"/>
          <w:shd w:val="clear" w:color="auto" w:fill="FFFFFF"/>
        </w:rPr>
        <w:t>, A., Marchi, E., &amp; González-García, S. (2016). Forest operations in coppice: Environmental assessment of two different logging methods. </w:t>
      </w:r>
      <w:r w:rsidRPr="009558EF">
        <w:rPr>
          <w:rFonts w:ascii="Times New Roman" w:hAnsi="Times New Roman" w:cs="Times New Roman"/>
          <w:i/>
          <w:iCs/>
          <w:shd w:val="clear" w:color="auto" w:fill="FFFFFF"/>
        </w:rPr>
        <w:t>Science of The Total Environment</w:t>
      </w:r>
      <w:r w:rsidRPr="009558EF">
        <w:rPr>
          <w:rFonts w:ascii="Times New Roman" w:hAnsi="Times New Roman" w:cs="Times New Roman"/>
          <w:shd w:val="clear" w:color="auto" w:fill="FFFFFF"/>
        </w:rPr>
        <w:t>, </w:t>
      </w:r>
      <w:r w:rsidRPr="009558EF">
        <w:rPr>
          <w:rFonts w:ascii="Times New Roman" w:hAnsi="Times New Roman" w:cs="Times New Roman"/>
          <w:i/>
          <w:iCs/>
          <w:shd w:val="clear" w:color="auto" w:fill="FFFFFF"/>
        </w:rPr>
        <w:t>562</w:t>
      </w:r>
      <w:r w:rsidRPr="009558EF">
        <w:rPr>
          <w:rFonts w:ascii="Times New Roman" w:hAnsi="Times New Roman" w:cs="Times New Roman"/>
          <w:shd w:val="clear" w:color="auto" w:fill="FFFFFF"/>
        </w:rPr>
        <w:t xml:space="preserve">, 493–503. </w:t>
      </w:r>
    </w:p>
    <w:p w14:paraId="4B436950" w14:textId="1209F745"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Liu, R., Pang, X., &amp; Yang, Z. (2017). Measurement of three wood materials against weathering during long natural sunlight exposure. </w:t>
      </w:r>
      <w:r w:rsidRPr="009558EF">
        <w:rPr>
          <w:rFonts w:ascii="Times New Roman" w:hAnsi="Times New Roman" w:cs="Times New Roman"/>
          <w:i/>
          <w:iCs/>
        </w:rPr>
        <w:t>Measurement</w:t>
      </w:r>
      <w:r w:rsidRPr="009558EF">
        <w:rPr>
          <w:rFonts w:ascii="Times New Roman" w:hAnsi="Times New Roman" w:cs="Times New Roman"/>
        </w:rPr>
        <w:t>, </w:t>
      </w:r>
      <w:r w:rsidRPr="009558EF">
        <w:rPr>
          <w:rFonts w:ascii="Times New Roman" w:hAnsi="Times New Roman" w:cs="Times New Roman"/>
          <w:i/>
          <w:iCs/>
        </w:rPr>
        <w:t>102</w:t>
      </w:r>
      <w:r w:rsidRPr="009558EF">
        <w:rPr>
          <w:rFonts w:ascii="Times New Roman" w:hAnsi="Times New Roman" w:cs="Times New Roman"/>
        </w:rPr>
        <w:t xml:space="preserve">, 179–185. </w:t>
      </w:r>
    </w:p>
    <w:p w14:paraId="742BECEA" w14:textId="380B2F5A"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Liu, Y., Shao, L., Gao, J., Guo, H., Chen, Y., Cheng, Q., &amp; Via, B. K. (2015). Surface photo-discoloration and degradation of dyed wood veneer exposed to different wavelengths of artificial light. </w:t>
      </w:r>
      <w:r w:rsidRPr="009558EF">
        <w:rPr>
          <w:rFonts w:ascii="Times New Roman" w:hAnsi="Times New Roman" w:cs="Times New Roman"/>
          <w:i/>
          <w:iCs/>
        </w:rPr>
        <w:t>Applied Surface Science</w:t>
      </w:r>
      <w:r w:rsidRPr="009558EF">
        <w:rPr>
          <w:rFonts w:ascii="Times New Roman" w:hAnsi="Times New Roman" w:cs="Times New Roman"/>
        </w:rPr>
        <w:t>, </w:t>
      </w:r>
      <w:r w:rsidRPr="009558EF">
        <w:rPr>
          <w:rFonts w:ascii="Times New Roman" w:hAnsi="Times New Roman" w:cs="Times New Roman"/>
          <w:i/>
          <w:iCs/>
        </w:rPr>
        <w:t>331</w:t>
      </w:r>
      <w:r w:rsidRPr="009558EF">
        <w:rPr>
          <w:rFonts w:ascii="Times New Roman" w:hAnsi="Times New Roman" w:cs="Times New Roman"/>
        </w:rPr>
        <w:t xml:space="preserve">, 353–361. </w:t>
      </w:r>
    </w:p>
    <w:p w14:paraId="542CB874" w14:textId="20246EA2"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 xml:space="preserve">Lourenço, P. B., </w:t>
      </w:r>
      <w:proofErr w:type="spellStart"/>
      <w:r w:rsidRPr="009558EF">
        <w:rPr>
          <w:rFonts w:ascii="Times New Roman" w:hAnsi="Times New Roman" w:cs="Times New Roman"/>
        </w:rPr>
        <w:t>Feio</w:t>
      </w:r>
      <w:proofErr w:type="spellEnd"/>
      <w:r w:rsidRPr="009558EF">
        <w:rPr>
          <w:rFonts w:ascii="Times New Roman" w:hAnsi="Times New Roman" w:cs="Times New Roman"/>
        </w:rPr>
        <w:t>, A. O., &amp; Machado, J. S. (2006). Chestnut wood in compression perpendicular to the grain: Non-destructive correlations for test results in new and old wood. </w:t>
      </w:r>
      <w:r w:rsidRPr="009558EF">
        <w:rPr>
          <w:rFonts w:ascii="Times New Roman" w:hAnsi="Times New Roman" w:cs="Times New Roman"/>
          <w:i/>
          <w:iCs/>
        </w:rPr>
        <w:t>Construction and Building Materials</w:t>
      </w:r>
      <w:r w:rsidRPr="009558EF">
        <w:rPr>
          <w:rFonts w:ascii="Times New Roman" w:hAnsi="Times New Roman" w:cs="Times New Roman"/>
        </w:rPr>
        <w:t>, </w:t>
      </w:r>
      <w:r w:rsidRPr="009558EF">
        <w:rPr>
          <w:rFonts w:ascii="Times New Roman" w:hAnsi="Times New Roman" w:cs="Times New Roman"/>
          <w:i/>
          <w:iCs/>
        </w:rPr>
        <w:t>21</w:t>
      </w:r>
      <w:r w:rsidRPr="009558EF">
        <w:rPr>
          <w:rFonts w:ascii="Times New Roman" w:hAnsi="Times New Roman" w:cs="Times New Roman"/>
        </w:rPr>
        <w:t xml:space="preserve">(8), 1617–1627. </w:t>
      </w:r>
    </w:p>
    <w:p w14:paraId="52AD2643" w14:textId="30B4F5A6" w:rsidR="009558EF" w:rsidRPr="009558EF" w:rsidRDefault="009558EF" w:rsidP="00CC6500">
      <w:pPr>
        <w:pStyle w:val="ListParagraph"/>
        <w:numPr>
          <w:ilvl w:val="0"/>
          <w:numId w:val="19"/>
        </w:numPr>
        <w:spacing w:line="240" w:lineRule="auto"/>
        <w:jc w:val="both"/>
        <w:rPr>
          <w:rFonts w:ascii="Times New Roman" w:hAnsi="Times New Roman" w:cs="Times New Roman"/>
        </w:rPr>
      </w:pPr>
      <w:proofErr w:type="spellStart"/>
      <w:r w:rsidRPr="009558EF">
        <w:rPr>
          <w:rFonts w:ascii="Times New Roman" w:hAnsi="Times New Roman" w:cs="Times New Roman"/>
        </w:rPr>
        <w:t>Lukmandaru</w:t>
      </w:r>
      <w:proofErr w:type="spellEnd"/>
      <w:r w:rsidRPr="009558EF">
        <w:rPr>
          <w:rFonts w:ascii="Times New Roman" w:hAnsi="Times New Roman" w:cs="Times New Roman"/>
        </w:rPr>
        <w:t>, G., &amp; Takahashi, K. (2008). Variation in the natural termite resistance of teak (Tectona grandis Linn. fil.) wood as a function of tree age. </w:t>
      </w:r>
      <w:r w:rsidRPr="009558EF">
        <w:rPr>
          <w:rFonts w:ascii="Times New Roman" w:hAnsi="Times New Roman" w:cs="Times New Roman"/>
          <w:i/>
          <w:iCs/>
        </w:rPr>
        <w:t>Annals of Forest Science</w:t>
      </w:r>
      <w:r w:rsidRPr="009558EF">
        <w:rPr>
          <w:rFonts w:ascii="Times New Roman" w:hAnsi="Times New Roman" w:cs="Times New Roman"/>
        </w:rPr>
        <w:t>, </w:t>
      </w:r>
      <w:r w:rsidRPr="009558EF">
        <w:rPr>
          <w:rFonts w:ascii="Times New Roman" w:hAnsi="Times New Roman" w:cs="Times New Roman"/>
          <w:i/>
          <w:iCs/>
        </w:rPr>
        <w:t>65</w:t>
      </w:r>
      <w:r w:rsidRPr="009558EF">
        <w:rPr>
          <w:rFonts w:ascii="Times New Roman" w:hAnsi="Times New Roman" w:cs="Times New Roman"/>
        </w:rPr>
        <w:t xml:space="preserve">(7), 708. </w:t>
      </w:r>
    </w:p>
    <w:p w14:paraId="57A1B64C" w14:textId="2940AF02" w:rsidR="009558EF" w:rsidRPr="009558EF" w:rsidRDefault="009558EF" w:rsidP="00CC6500">
      <w:pPr>
        <w:pStyle w:val="ListParagraph"/>
        <w:numPr>
          <w:ilvl w:val="0"/>
          <w:numId w:val="19"/>
        </w:numPr>
        <w:spacing w:line="240" w:lineRule="auto"/>
        <w:jc w:val="both"/>
        <w:rPr>
          <w:rFonts w:ascii="Times New Roman" w:hAnsi="Times New Roman" w:cs="Times New Roman"/>
          <w:b/>
          <w:bCs/>
        </w:rPr>
      </w:pPr>
      <w:proofErr w:type="spellStart"/>
      <w:r w:rsidRPr="009558EF">
        <w:rPr>
          <w:rFonts w:ascii="Times New Roman" w:hAnsi="Times New Roman" w:cs="Times New Roman"/>
          <w:shd w:val="clear" w:color="auto" w:fill="FFFFFF"/>
        </w:rPr>
        <w:t>Lukmandaru</w:t>
      </w:r>
      <w:proofErr w:type="spellEnd"/>
      <w:r w:rsidRPr="009558EF">
        <w:rPr>
          <w:rFonts w:ascii="Times New Roman" w:hAnsi="Times New Roman" w:cs="Times New Roman"/>
          <w:shd w:val="clear" w:color="auto" w:fill="FFFFFF"/>
        </w:rPr>
        <w:t xml:space="preserve">, G., &amp; Takahashi, K. (2009). Radial distribution of quinones in plantation teak (Tectona grandis </w:t>
      </w:r>
      <w:proofErr w:type="spellStart"/>
      <w:r w:rsidRPr="009558EF">
        <w:rPr>
          <w:rFonts w:ascii="Times New Roman" w:hAnsi="Times New Roman" w:cs="Times New Roman"/>
          <w:shd w:val="clear" w:color="auto" w:fill="FFFFFF"/>
        </w:rPr>
        <w:t>L.f.</w:t>
      </w:r>
      <w:proofErr w:type="spellEnd"/>
      <w:r w:rsidRPr="009558EF">
        <w:rPr>
          <w:rFonts w:ascii="Times New Roman" w:hAnsi="Times New Roman" w:cs="Times New Roman"/>
          <w:shd w:val="clear" w:color="auto" w:fill="FFFFFF"/>
        </w:rPr>
        <w:t>). </w:t>
      </w:r>
      <w:r w:rsidRPr="009558EF">
        <w:rPr>
          <w:rFonts w:ascii="Times New Roman" w:hAnsi="Times New Roman" w:cs="Times New Roman"/>
          <w:i/>
          <w:iCs/>
          <w:shd w:val="clear" w:color="auto" w:fill="FFFFFF"/>
        </w:rPr>
        <w:t>Annals of Forest Science</w:t>
      </w:r>
      <w:r w:rsidRPr="009558EF">
        <w:rPr>
          <w:rFonts w:ascii="Times New Roman" w:hAnsi="Times New Roman" w:cs="Times New Roman"/>
          <w:shd w:val="clear" w:color="auto" w:fill="FFFFFF"/>
        </w:rPr>
        <w:t>, </w:t>
      </w:r>
      <w:r w:rsidRPr="009558EF">
        <w:rPr>
          <w:rFonts w:ascii="Times New Roman" w:hAnsi="Times New Roman" w:cs="Times New Roman"/>
          <w:i/>
          <w:iCs/>
          <w:shd w:val="clear" w:color="auto" w:fill="FFFFFF"/>
        </w:rPr>
        <w:t>66</w:t>
      </w:r>
      <w:r w:rsidRPr="009558EF">
        <w:rPr>
          <w:rFonts w:ascii="Times New Roman" w:hAnsi="Times New Roman" w:cs="Times New Roman"/>
          <w:shd w:val="clear" w:color="auto" w:fill="FFFFFF"/>
        </w:rPr>
        <w:t xml:space="preserve">(6), 605. </w:t>
      </w:r>
    </w:p>
    <w:p w14:paraId="71DB7944" w14:textId="3186A111"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Macdonald, E., Mason, W., &amp; Gardiner, B. (2009). The effects of transformation of even-aged stands to continuous cover forestry on conifer log quality and wood properties in the UK. </w:t>
      </w:r>
      <w:r w:rsidRPr="009558EF">
        <w:rPr>
          <w:rFonts w:ascii="Times New Roman" w:hAnsi="Times New Roman" w:cs="Times New Roman"/>
          <w:i/>
          <w:iCs/>
        </w:rPr>
        <w:t>Forestry</w:t>
      </w:r>
      <w:r w:rsidRPr="009558EF">
        <w:rPr>
          <w:rFonts w:ascii="Times New Roman" w:hAnsi="Times New Roman" w:cs="Times New Roman"/>
        </w:rPr>
        <w:t>, </w:t>
      </w:r>
      <w:r w:rsidRPr="009558EF">
        <w:rPr>
          <w:rFonts w:ascii="Times New Roman" w:hAnsi="Times New Roman" w:cs="Times New Roman"/>
          <w:i/>
          <w:iCs/>
        </w:rPr>
        <w:t>83</w:t>
      </w:r>
      <w:r w:rsidRPr="009558EF">
        <w:rPr>
          <w:rFonts w:ascii="Times New Roman" w:hAnsi="Times New Roman" w:cs="Times New Roman"/>
        </w:rPr>
        <w:t xml:space="preserve">(1), 1–16. </w:t>
      </w:r>
    </w:p>
    <w:p w14:paraId="0BC828FB" w14:textId="14DDCBA4"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Madden, J. L. (1988). </w:t>
      </w:r>
      <w:r w:rsidRPr="009558EF">
        <w:rPr>
          <w:rFonts w:ascii="Times New Roman" w:hAnsi="Times New Roman" w:cs="Times New Roman"/>
          <w:i/>
          <w:iCs/>
        </w:rPr>
        <w:t>Sirex in Australasia</w:t>
      </w:r>
      <w:r w:rsidRPr="009558EF">
        <w:rPr>
          <w:rFonts w:ascii="Times New Roman" w:hAnsi="Times New Roman" w:cs="Times New Roman"/>
        </w:rPr>
        <w:t xml:space="preserve"> (pp. 407–429). springer us. </w:t>
      </w:r>
    </w:p>
    <w:p w14:paraId="18D8E1A7" w14:textId="1BDA0A7A"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 xml:space="preserve">Martha, R., </w:t>
      </w:r>
      <w:proofErr w:type="spellStart"/>
      <w:r w:rsidRPr="009558EF">
        <w:rPr>
          <w:rFonts w:ascii="Times New Roman" w:hAnsi="Times New Roman" w:cs="Times New Roman"/>
        </w:rPr>
        <w:t>Mubarok</w:t>
      </w:r>
      <w:proofErr w:type="spellEnd"/>
      <w:r w:rsidRPr="009558EF">
        <w:rPr>
          <w:rFonts w:ascii="Times New Roman" w:hAnsi="Times New Roman" w:cs="Times New Roman"/>
        </w:rPr>
        <w:t xml:space="preserve">, M., Batubara, I., Rahayu, I. S., </w:t>
      </w:r>
      <w:proofErr w:type="spellStart"/>
      <w:r w:rsidRPr="009558EF">
        <w:rPr>
          <w:rFonts w:ascii="Times New Roman" w:hAnsi="Times New Roman" w:cs="Times New Roman"/>
        </w:rPr>
        <w:t>Setiono</w:t>
      </w:r>
      <w:proofErr w:type="spellEnd"/>
      <w:r w:rsidRPr="009558EF">
        <w:rPr>
          <w:rFonts w:ascii="Times New Roman" w:hAnsi="Times New Roman" w:cs="Times New Roman"/>
        </w:rPr>
        <w:t xml:space="preserve">, L., Darmawan, W., Akong, F. O., George, B., </w:t>
      </w:r>
      <w:proofErr w:type="spellStart"/>
      <w:r w:rsidRPr="009558EF">
        <w:rPr>
          <w:rFonts w:ascii="Times New Roman" w:hAnsi="Times New Roman" w:cs="Times New Roman"/>
        </w:rPr>
        <w:t>Gérardin</w:t>
      </w:r>
      <w:proofErr w:type="spellEnd"/>
      <w:r w:rsidRPr="009558EF">
        <w:rPr>
          <w:rFonts w:ascii="Times New Roman" w:hAnsi="Times New Roman" w:cs="Times New Roman"/>
        </w:rPr>
        <w:t xml:space="preserve">, C., &amp; </w:t>
      </w:r>
      <w:proofErr w:type="spellStart"/>
      <w:r w:rsidRPr="009558EF">
        <w:rPr>
          <w:rFonts w:ascii="Times New Roman" w:hAnsi="Times New Roman" w:cs="Times New Roman"/>
        </w:rPr>
        <w:t>Gérardin</w:t>
      </w:r>
      <w:proofErr w:type="spellEnd"/>
      <w:r w:rsidRPr="009558EF">
        <w:rPr>
          <w:rFonts w:ascii="Times New Roman" w:hAnsi="Times New Roman" w:cs="Times New Roman"/>
        </w:rPr>
        <w:t xml:space="preserve">, P. (2021). Effect of </w:t>
      </w:r>
      <w:proofErr w:type="spellStart"/>
      <w:r w:rsidRPr="009558EF">
        <w:rPr>
          <w:rFonts w:ascii="Times New Roman" w:hAnsi="Times New Roman" w:cs="Times New Roman"/>
        </w:rPr>
        <w:t>furfurylation</w:t>
      </w:r>
      <w:proofErr w:type="spellEnd"/>
      <w:r w:rsidRPr="009558EF">
        <w:rPr>
          <w:rFonts w:ascii="Times New Roman" w:hAnsi="Times New Roman" w:cs="Times New Roman"/>
        </w:rPr>
        <w:t xml:space="preserve"> treatment on technological properties of short rotation teak wood. </w:t>
      </w:r>
      <w:r w:rsidRPr="009558EF">
        <w:rPr>
          <w:rFonts w:ascii="Times New Roman" w:hAnsi="Times New Roman" w:cs="Times New Roman"/>
          <w:i/>
          <w:iCs/>
        </w:rPr>
        <w:t>Journal of Materials Research and Technology</w:t>
      </w:r>
      <w:r w:rsidRPr="009558EF">
        <w:rPr>
          <w:rFonts w:ascii="Times New Roman" w:hAnsi="Times New Roman" w:cs="Times New Roman"/>
        </w:rPr>
        <w:t>, </w:t>
      </w:r>
      <w:r w:rsidRPr="009558EF">
        <w:rPr>
          <w:rFonts w:ascii="Times New Roman" w:hAnsi="Times New Roman" w:cs="Times New Roman"/>
          <w:i/>
          <w:iCs/>
        </w:rPr>
        <w:t>12</w:t>
      </w:r>
      <w:r w:rsidRPr="009558EF">
        <w:rPr>
          <w:rFonts w:ascii="Times New Roman" w:hAnsi="Times New Roman" w:cs="Times New Roman"/>
        </w:rPr>
        <w:t xml:space="preserve">, 1689–1699. </w:t>
      </w:r>
    </w:p>
    <w:p w14:paraId="1BAF1F84" w14:textId="77777777" w:rsidR="00CC6500"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shd w:val="clear" w:color="auto" w:fill="FFFFFF"/>
        </w:rPr>
        <w:t>Masato, D., &amp; Kim, S. K. (2023). Global Workforce Challenges for the Mold Making and Engineering Industry. </w:t>
      </w:r>
      <w:r w:rsidRPr="009558EF">
        <w:rPr>
          <w:rFonts w:ascii="Times New Roman" w:hAnsi="Times New Roman" w:cs="Times New Roman"/>
          <w:i/>
          <w:iCs/>
          <w:shd w:val="clear" w:color="auto" w:fill="FFFFFF"/>
        </w:rPr>
        <w:t>Sustainability</w:t>
      </w:r>
      <w:r w:rsidRPr="009558EF">
        <w:rPr>
          <w:rFonts w:ascii="Times New Roman" w:hAnsi="Times New Roman" w:cs="Times New Roman"/>
          <w:shd w:val="clear" w:color="auto" w:fill="FFFFFF"/>
        </w:rPr>
        <w:t>, </w:t>
      </w:r>
      <w:r w:rsidRPr="009558EF">
        <w:rPr>
          <w:rFonts w:ascii="Times New Roman" w:hAnsi="Times New Roman" w:cs="Times New Roman"/>
          <w:i/>
          <w:iCs/>
          <w:shd w:val="clear" w:color="auto" w:fill="FFFFFF"/>
        </w:rPr>
        <w:t>16</w:t>
      </w:r>
      <w:r w:rsidRPr="009558EF">
        <w:rPr>
          <w:rFonts w:ascii="Times New Roman" w:hAnsi="Times New Roman" w:cs="Times New Roman"/>
          <w:shd w:val="clear" w:color="auto" w:fill="FFFFFF"/>
        </w:rPr>
        <w:t>(1), 346.</w:t>
      </w:r>
      <w:r w:rsidR="00E87620" w:rsidRPr="009558EF">
        <w:rPr>
          <w:rFonts w:ascii="Times New Roman" w:hAnsi="Times New Roman" w:cs="Times New Roman"/>
        </w:rPr>
        <w:t xml:space="preserve"> </w:t>
      </w:r>
    </w:p>
    <w:p w14:paraId="14241173" w14:textId="3FA0ECF4" w:rsidR="009558EF" w:rsidRPr="00CC6500" w:rsidRDefault="009558EF" w:rsidP="00CC6500">
      <w:pPr>
        <w:pStyle w:val="ListParagraph"/>
        <w:numPr>
          <w:ilvl w:val="0"/>
          <w:numId w:val="19"/>
        </w:numPr>
        <w:spacing w:line="240" w:lineRule="auto"/>
        <w:jc w:val="both"/>
        <w:rPr>
          <w:rFonts w:ascii="Times New Roman" w:hAnsi="Times New Roman" w:cs="Times New Roman"/>
        </w:rPr>
      </w:pPr>
      <w:r w:rsidRPr="007F21E1">
        <w:t>Miranda, I., Sousa, V., &amp; Pereira, H. (2011). Wood properties of teak (Tectona grandis) from a mature unmanaged stand in East Timor. </w:t>
      </w:r>
      <w:r w:rsidRPr="00CC6500">
        <w:rPr>
          <w:i/>
          <w:iCs/>
        </w:rPr>
        <w:t>Journal of Wood Science</w:t>
      </w:r>
      <w:r w:rsidRPr="007F21E1">
        <w:t>, </w:t>
      </w:r>
      <w:r w:rsidRPr="00CC6500">
        <w:rPr>
          <w:i/>
          <w:iCs/>
        </w:rPr>
        <w:t>57</w:t>
      </w:r>
      <w:r w:rsidRPr="007F21E1">
        <w:t xml:space="preserve">(3), 171–178. </w:t>
      </w:r>
    </w:p>
    <w:p w14:paraId="46BE173C" w14:textId="359484E6" w:rsidR="009558EF" w:rsidRPr="009558EF" w:rsidRDefault="009558EF" w:rsidP="00CC6500">
      <w:pPr>
        <w:pStyle w:val="ListParagraph"/>
        <w:numPr>
          <w:ilvl w:val="0"/>
          <w:numId w:val="19"/>
        </w:numPr>
        <w:spacing w:line="240" w:lineRule="auto"/>
        <w:jc w:val="both"/>
        <w:rPr>
          <w:rFonts w:ascii="Times New Roman" w:hAnsi="Times New Roman" w:cs="Times New Roman"/>
          <w:bCs/>
        </w:rPr>
      </w:pPr>
      <w:r w:rsidRPr="009558EF">
        <w:rPr>
          <w:rFonts w:ascii="Times New Roman" w:hAnsi="Times New Roman" w:cs="Times New Roman"/>
          <w:bCs/>
        </w:rPr>
        <w:t xml:space="preserve">Mishra, P. K., </w:t>
      </w:r>
      <w:proofErr w:type="spellStart"/>
      <w:r w:rsidRPr="009558EF">
        <w:rPr>
          <w:rFonts w:ascii="Times New Roman" w:hAnsi="Times New Roman" w:cs="Times New Roman"/>
          <w:bCs/>
        </w:rPr>
        <w:t>Giagli</w:t>
      </w:r>
      <w:proofErr w:type="spellEnd"/>
      <w:r w:rsidRPr="009558EF">
        <w:rPr>
          <w:rFonts w:ascii="Times New Roman" w:hAnsi="Times New Roman" w:cs="Times New Roman"/>
          <w:bCs/>
        </w:rPr>
        <w:t xml:space="preserve">, K., Wimmer, R., </w:t>
      </w:r>
      <w:proofErr w:type="spellStart"/>
      <w:r w:rsidRPr="009558EF">
        <w:rPr>
          <w:rFonts w:ascii="Times New Roman" w:hAnsi="Times New Roman" w:cs="Times New Roman"/>
          <w:bCs/>
        </w:rPr>
        <w:t>Gryc</w:t>
      </w:r>
      <w:proofErr w:type="spellEnd"/>
      <w:r w:rsidRPr="009558EF">
        <w:rPr>
          <w:rFonts w:ascii="Times New Roman" w:hAnsi="Times New Roman" w:cs="Times New Roman"/>
          <w:bCs/>
        </w:rPr>
        <w:t xml:space="preserve">, V., </w:t>
      </w:r>
      <w:proofErr w:type="spellStart"/>
      <w:r w:rsidRPr="009558EF">
        <w:rPr>
          <w:rFonts w:ascii="Times New Roman" w:hAnsi="Times New Roman" w:cs="Times New Roman"/>
          <w:bCs/>
        </w:rPr>
        <w:t>Tsalagkas</w:t>
      </w:r>
      <w:proofErr w:type="spellEnd"/>
      <w:r w:rsidRPr="009558EF">
        <w:rPr>
          <w:rFonts w:ascii="Times New Roman" w:hAnsi="Times New Roman" w:cs="Times New Roman"/>
          <w:bCs/>
        </w:rPr>
        <w:t>, D., Mishra, H., &amp; Talegaonkar, S. (2018). Changing Face of Wood Science in Modern Era: Contribution of Nanotechnology. </w:t>
      </w:r>
      <w:r w:rsidRPr="009558EF">
        <w:rPr>
          <w:rFonts w:ascii="Times New Roman" w:hAnsi="Times New Roman" w:cs="Times New Roman"/>
          <w:bCs/>
          <w:i/>
          <w:iCs/>
        </w:rPr>
        <w:t>Recent Patents on Nanotechnology</w:t>
      </w:r>
      <w:r w:rsidRPr="009558EF">
        <w:rPr>
          <w:rFonts w:ascii="Times New Roman" w:hAnsi="Times New Roman" w:cs="Times New Roman"/>
          <w:bCs/>
        </w:rPr>
        <w:t>, </w:t>
      </w:r>
      <w:r w:rsidRPr="009558EF">
        <w:rPr>
          <w:rFonts w:ascii="Times New Roman" w:hAnsi="Times New Roman" w:cs="Times New Roman"/>
          <w:bCs/>
          <w:i/>
          <w:iCs/>
        </w:rPr>
        <w:t>12</w:t>
      </w:r>
      <w:r w:rsidRPr="009558EF">
        <w:rPr>
          <w:rFonts w:ascii="Times New Roman" w:hAnsi="Times New Roman" w:cs="Times New Roman"/>
          <w:bCs/>
        </w:rPr>
        <w:t xml:space="preserve">(1), 13–21. </w:t>
      </w:r>
    </w:p>
    <w:p w14:paraId="058E23F4" w14:textId="1DBB4373" w:rsidR="009558EF" w:rsidRPr="009558EF" w:rsidRDefault="009558EF" w:rsidP="00CC6500">
      <w:pPr>
        <w:pStyle w:val="ListParagraph"/>
        <w:numPr>
          <w:ilvl w:val="0"/>
          <w:numId w:val="19"/>
        </w:numPr>
        <w:spacing w:line="240" w:lineRule="auto"/>
        <w:jc w:val="both"/>
        <w:rPr>
          <w:rFonts w:ascii="Times New Roman" w:hAnsi="Times New Roman" w:cs="Times New Roman"/>
          <w:shd w:val="clear" w:color="auto" w:fill="FFFFFF"/>
        </w:rPr>
      </w:pPr>
      <w:r w:rsidRPr="009558EF">
        <w:rPr>
          <w:rFonts w:ascii="Times New Roman" w:hAnsi="Times New Roman" w:cs="Times New Roman"/>
          <w:shd w:val="clear" w:color="auto" w:fill="FFFFFF"/>
        </w:rPr>
        <w:t>Moya, R., Bond, B., &amp; Quesada, H. (2014). A review of heartwood properties of Tectona grandis trees from fast-growth plantations. </w:t>
      </w:r>
      <w:r w:rsidRPr="009558EF">
        <w:rPr>
          <w:rFonts w:ascii="Times New Roman" w:hAnsi="Times New Roman" w:cs="Times New Roman"/>
          <w:i/>
          <w:iCs/>
          <w:shd w:val="clear" w:color="auto" w:fill="FFFFFF"/>
        </w:rPr>
        <w:t>Wood Science and Technology</w:t>
      </w:r>
      <w:r w:rsidRPr="009558EF">
        <w:rPr>
          <w:rFonts w:ascii="Times New Roman" w:hAnsi="Times New Roman" w:cs="Times New Roman"/>
          <w:shd w:val="clear" w:color="auto" w:fill="FFFFFF"/>
        </w:rPr>
        <w:t>, </w:t>
      </w:r>
      <w:r w:rsidRPr="009558EF">
        <w:rPr>
          <w:rFonts w:ascii="Times New Roman" w:hAnsi="Times New Roman" w:cs="Times New Roman"/>
          <w:i/>
          <w:iCs/>
          <w:shd w:val="clear" w:color="auto" w:fill="FFFFFF"/>
        </w:rPr>
        <w:t>48</w:t>
      </w:r>
      <w:r w:rsidRPr="009558EF">
        <w:rPr>
          <w:rFonts w:ascii="Times New Roman" w:hAnsi="Times New Roman" w:cs="Times New Roman"/>
          <w:shd w:val="clear" w:color="auto" w:fill="FFFFFF"/>
        </w:rPr>
        <w:t xml:space="preserve">(2), 411–433. </w:t>
      </w:r>
    </w:p>
    <w:p w14:paraId="3906023C" w14:textId="341748BA"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Muzika, R. M. (2017). Opportunities for silviculture in management and restoration of forests affected by invasive species. </w:t>
      </w:r>
      <w:r w:rsidRPr="009558EF">
        <w:rPr>
          <w:rFonts w:ascii="Times New Roman" w:hAnsi="Times New Roman" w:cs="Times New Roman"/>
          <w:i/>
          <w:iCs/>
        </w:rPr>
        <w:t>Biological Invasions</w:t>
      </w:r>
      <w:r w:rsidRPr="009558EF">
        <w:rPr>
          <w:rFonts w:ascii="Times New Roman" w:hAnsi="Times New Roman" w:cs="Times New Roman"/>
        </w:rPr>
        <w:t>, </w:t>
      </w:r>
      <w:r w:rsidRPr="009558EF">
        <w:rPr>
          <w:rFonts w:ascii="Times New Roman" w:hAnsi="Times New Roman" w:cs="Times New Roman"/>
          <w:i/>
          <w:iCs/>
        </w:rPr>
        <w:t>19</w:t>
      </w:r>
      <w:r w:rsidRPr="009558EF">
        <w:rPr>
          <w:rFonts w:ascii="Times New Roman" w:hAnsi="Times New Roman" w:cs="Times New Roman"/>
        </w:rPr>
        <w:t xml:space="preserve">(11), 3419–3435. </w:t>
      </w:r>
    </w:p>
    <w:p w14:paraId="36909349" w14:textId="7C4DD904"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lastRenderedPageBreak/>
        <w:t>Naidoo, S., Plett, J. M., Slippers, B., Oates, C. N., &amp; Coles, D. (2019). The Road to Resistance in Forest Trees. </w:t>
      </w:r>
      <w:r w:rsidRPr="009558EF">
        <w:rPr>
          <w:rFonts w:ascii="Times New Roman" w:hAnsi="Times New Roman" w:cs="Times New Roman"/>
          <w:i/>
          <w:iCs/>
        </w:rPr>
        <w:t>Frontiers in Plant Science</w:t>
      </w:r>
      <w:r w:rsidRPr="009558EF">
        <w:rPr>
          <w:rFonts w:ascii="Times New Roman" w:hAnsi="Times New Roman" w:cs="Times New Roman"/>
        </w:rPr>
        <w:t>, </w:t>
      </w:r>
      <w:r w:rsidRPr="009558EF">
        <w:rPr>
          <w:rFonts w:ascii="Times New Roman" w:hAnsi="Times New Roman" w:cs="Times New Roman"/>
          <w:i/>
          <w:iCs/>
        </w:rPr>
        <w:t>10</w:t>
      </w:r>
      <w:r w:rsidRPr="009558EF">
        <w:rPr>
          <w:rFonts w:ascii="Times New Roman" w:hAnsi="Times New Roman" w:cs="Times New Roman"/>
        </w:rPr>
        <w:t xml:space="preserve">. </w:t>
      </w:r>
    </w:p>
    <w:p w14:paraId="636F290A" w14:textId="21692EE0"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 xml:space="preserve">Nehra, N. S., </w:t>
      </w:r>
      <w:proofErr w:type="spellStart"/>
      <w:r w:rsidRPr="009558EF">
        <w:rPr>
          <w:rFonts w:ascii="Times New Roman" w:hAnsi="Times New Roman" w:cs="Times New Roman"/>
        </w:rPr>
        <w:t>Kodrzycki</w:t>
      </w:r>
      <w:proofErr w:type="spellEnd"/>
      <w:r w:rsidRPr="009558EF">
        <w:rPr>
          <w:rFonts w:ascii="Times New Roman" w:hAnsi="Times New Roman" w:cs="Times New Roman"/>
        </w:rPr>
        <w:t>, R. J., Gause, K. C., Dayton Wilde, H., Zhang, C., Parks, D. W., Becwar, M. R., Hinchee, M. A., Pearson, L., Chowdhury, K., Rottmann, W. H., &amp; Chang, S. (2005). Forest biotechnology: Innovative methods, emerging opportunities. </w:t>
      </w:r>
      <w:r w:rsidRPr="009558EF">
        <w:rPr>
          <w:rFonts w:ascii="Times New Roman" w:hAnsi="Times New Roman" w:cs="Times New Roman"/>
          <w:i/>
          <w:iCs/>
        </w:rPr>
        <w:t>In Vitro Cellular &amp; Developmental Biology - Plant</w:t>
      </w:r>
      <w:r w:rsidRPr="009558EF">
        <w:rPr>
          <w:rFonts w:ascii="Times New Roman" w:hAnsi="Times New Roman" w:cs="Times New Roman"/>
        </w:rPr>
        <w:t>, </w:t>
      </w:r>
      <w:r w:rsidRPr="009558EF">
        <w:rPr>
          <w:rFonts w:ascii="Times New Roman" w:hAnsi="Times New Roman" w:cs="Times New Roman"/>
          <w:i/>
          <w:iCs/>
        </w:rPr>
        <w:t>41</w:t>
      </w:r>
      <w:r w:rsidRPr="009558EF">
        <w:rPr>
          <w:rFonts w:ascii="Times New Roman" w:hAnsi="Times New Roman" w:cs="Times New Roman"/>
        </w:rPr>
        <w:t xml:space="preserve">(6), 701–717. </w:t>
      </w:r>
    </w:p>
    <w:p w14:paraId="3A865673" w14:textId="5B381A18" w:rsidR="009558EF" w:rsidRPr="009558EF" w:rsidRDefault="009558EF" w:rsidP="00CC6500">
      <w:pPr>
        <w:pStyle w:val="ListParagraph"/>
        <w:numPr>
          <w:ilvl w:val="0"/>
          <w:numId w:val="19"/>
        </w:numPr>
        <w:spacing w:line="240" w:lineRule="auto"/>
        <w:jc w:val="both"/>
        <w:rPr>
          <w:rFonts w:ascii="Times New Roman" w:hAnsi="Times New Roman" w:cs="Times New Roman"/>
        </w:rPr>
      </w:pPr>
      <w:proofErr w:type="spellStart"/>
      <w:r w:rsidRPr="009558EF">
        <w:rPr>
          <w:rFonts w:ascii="Times New Roman" w:hAnsi="Times New Roman" w:cs="Times New Roman"/>
        </w:rPr>
        <w:t>Nölte</w:t>
      </w:r>
      <w:proofErr w:type="spellEnd"/>
      <w:r w:rsidRPr="009558EF">
        <w:rPr>
          <w:rFonts w:ascii="Times New Roman" w:hAnsi="Times New Roman" w:cs="Times New Roman"/>
        </w:rPr>
        <w:t>, A., Meilby, H., &amp; Yousefpour, R. (2018). Multi-purpose forest management in the tropics: Incorporating values of carbon, biodiversity and timber in managing Tectona grandis (teak) plantations in Costa Rica. </w:t>
      </w:r>
      <w:r w:rsidRPr="009558EF">
        <w:rPr>
          <w:rFonts w:ascii="Times New Roman" w:hAnsi="Times New Roman" w:cs="Times New Roman"/>
          <w:i/>
          <w:iCs/>
        </w:rPr>
        <w:t>Forest Ecology and Management</w:t>
      </w:r>
      <w:r w:rsidRPr="009558EF">
        <w:rPr>
          <w:rFonts w:ascii="Times New Roman" w:hAnsi="Times New Roman" w:cs="Times New Roman"/>
        </w:rPr>
        <w:t>, </w:t>
      </w:r>
      <w:r w:rsidRPr="009558EF">
        <w:rPr>
          <w:rFonts w:ascii="Times New Roman" w:hAnsi="Times New Roman" w:cs="Times New Roman"/>
          <w:i/>
          <w:iCs/>
        </w:rPr>
        <w:t>422</w:t>
      </w:r>
      <w:r w:rsidRPr="009558EF">
        <w:rPr>
          <w:rFonts w:ascii="Times New Roman" w:hAnsi="Times New Roman" w:cs="Times New Roman"/>
        </w:rPr>
        <w:t xml:space="preserve">, 345–357. </w:t>
      </w:r>
    </w:p>
    <w:p w14:paraId="4EAF503E" w14:textId="124DF8F1"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 xml:space="preserve">Nowak, T. P., </w:t>
      </w:r>
      <w:proofErr w:type="spellStart"/>
      <w:r w:rsidRPr="009558EF">
        <w:rPr>
          <w:rFonts w:ascii="Times New Roman" w:hAnsi="Times New Roman" w:cs="Times New Roman"/>
        </w:rPr>
        <w:t>Jasieńko</w:t>
      </w:r>
      <w:proofErr w:type="spellEnd"/>
      <w:r w:rsidRPr="009558EF">
        <w:rPr>
          <w:rFonts w:ascii="Times New Roman" w:hAnsi="Times New Roman" w:cs="Times New Roman"/>
        </w:rPr>
        <w:t xml:space="preserve">, J., &amp; </w:t>
      </w:r>
      <w:proofErr w:type="spellStart"/>
      <w:r w:rsidRPr="009558EF">
        <w:rPr>
          <w:rFonts w:ascii="Times New Roman" w:hAnsi="Times New Roman" w:cs="Times New Roman"/>
        </w:rPr>
        <w:t>Hamrol</w:t>
      </w:r>
      <w:proofErr w:type="spellEnd"/>
      <w:r w:rsidRPr="009558EF">
        <w:rPr>
          <w:rFonts w:ascii="Times New Roman" w:hAnsi="Times New Roman" w:cs="Times New Roman"/>
        </w:rPr>
        <w:t>-Bielecka, K. (2015). In situ assessment of structural timber using the resistance drilling method – Evaluation of usefulness. </w:t>
      </w:r>
      <w:r w:rsidRPr="009558EF">
        <w:rPr>
          <w:rFonts w:ascii="Times New Roman" w:hAnsi="Times New Roman" w:cs="Times New Roman"/>
          <w:i/>
          <w:iCs/>
        </w:rPr>
        <w:t>Construction and Building Materials</w:t>
      </w:r>
      <w:r w:rsidRPr="009558EF">
        <w:rPr>
          <w:rFonts w:ascii="Times New Roman" w:hAnsi="Times New Roman" w:cs="Times New Roman"/>
        </w:rPr>
        <w:t>, </w:t>
      </w:r>
      <w:r w:rsidRPr="009558EF">
        <w:rPr>
          <w:rFonts w:ascii="Times New Roman" w:hAnsi="Times New Roman" w:cs="Times New Roman"/>
          <w:i/>
          <w:iCs/>
        </w:rPr>
        <w:t>102</w:t>
      </w:r>
      <w:r w:rsidRPr="009558EF">
        <w:rPr>
          <w:rFonts w:ascii="Times New Roman" w:hAnsi="Times New Roman" w:cs="Times New Roman"/>
        </w:rPr>
        <w:t xml:space="preserve">, 403–415. </w:t>
      </w:r>
    </w:p>
    <w:p w14:paraId="36A64BE4" w14:textId="5453F072" w:rsidR="009558EF" w:rsidRPr="009558EF" w:rsidRDefault="009558EF" w:rsidP="00CC6500">
      <w:pPr>
        <w:pStyle w:val="ListParagraph"/>
        <w:numPr>
          <w:ilvl w:val="0"/>
          <w:numId w:val="19"/>
        </w:numPr>
        <w:spacing w:line="240" w:lineRule="auto"/>
        <w:jc w:val="both"/>
        <w:rPr>
          <w:rFonts w:ascii="Times New Roman" w:hAnsi="Times New Roman" w:cs="Times New Roman"/>
        </w:rPr>
      </w:pPr>
      <w:proofErr w:type="spellStart"/>
      <w:r w:rsidRPr="009558EF">
        <w:rPr>
          <w:rFonts w:ascii="Times New Roman" w:hAnsi="Times New Roman" w:cs="Times New Roman"/>
        </w:rPr>
        <w:t>Ofuya</w:t>
      </w:r>
      <w:proofErr w:type="spellEnd"/>
      <w:r w:rsidRPr="009558EF">
        <w:rPr>
          <w:rFonts w:ascii="Times New Roman" w:hAnsi="Times New Roman" w:cs="Times New Roman"/>
        </w:rPr>
        <w:t xml:space="preserve">, T. I., Mbata, G. N., &amp; </w:t>
      </w:r>
      <w:proofErr w:type="spellStart"/>
      <w:r w:rsidRPr="009558EF">
        <w:rPr>
          <w:rFonts w:ascii="Times New Roman" w:hAnsi="Times New Roman" w:cs="Times New Roman"/>
        </w:rPr>
        <w:t>Okunlola</w:t>
      </w:r>
      <w:proofErr w:type="spellEnd"/>
      <w:r w:rsidRPr="009558EF">
        <w:rPr>
          <w:rFonts w:ascii="Times New Roman" w:hAnsi="Times New Roman" w:cs="Times New Roman"/>
        </w:rPr>
        <w:t>, A. I. (2023). A Review of Insect Pest Management in Vegetable Crop Production in Nigeria. </w:t>
      </w:r>
      <w:r w:rsidRPr="009558EF">
        <w:rPr>
          <w:rFonts w:ascii="Times New Roman" w:hAnsi="Times New Roman" w:cs="Times New Roman"/>
          <w:i/>
          <w:iCs/>
        </w:rPr>
        <w:t>Insects</w:t>
      </w:r>
      <w:r w:rsidRPr="009558EF">
        <w:rPr>
          <w:rFonts w:ascii="Times New Roman" w:hAnsi="Times New Roman" w:cs="Times New Roman"/>
        </w:rPr>
        <w:t>, </w:t>
      </w:r>
      <w:r w:rsidRPr="009558EF">
        <w:rPr>
          <w:rFonts w:ascii="Times New Roman" w:hAnsi="Times New Roman" w:cs="Times New Roman"/>
          <w:i/>
          <w:iCs/>
        </w:rPr>
        <w:t>14</w:t>
      </w:r>
      <w:r w:rsidRPr="009558EF">
        <w:rPr>
          <w:rFonts w:ascii="Times New Roman" w:hAnsi="Times New Roman" w:cs="Times New Roman"/>
        </w:rPr>
        <w:t xml:space="preserve">(2), 111. </w:t>
      </w:r>
    </w:p>
    <w:p w14:paraId="24BA3CDA" w14:textId="2334A18C" w:rsidR="009558EF" w:rsidRPr="009558EF" w:rsidRDefault="009558EF" w:rsidP="00CC6500">
      <w:pPr>
        <w:pStyle w:val="ListParagraph"/>
        <w:numPr>
          <w:ilvl w:val="0"/>
          <w:numId w:val="19"/>
        </w:numPr>
        <w:spacing w:line="240" w:lineRule="auto"/>
        <w:jc w:val="both"/>
        <w:rPr>
          <w:rFonts w:ascii="Times New Roman" w:hAnsi="Times New Roman" w:cs="Times New Roman"/>
          <w:bCs/>
        </w:rPr>
      </w:pPr>
      <w:r w:rsidRPr="009558EF">
        <w:rPr>
          <w:rFonts w:ascii="Times New Roman" w:hAnsi="Times New Roman" w:cs="Times New Roman"/>
          <w:bCs/>
        </w:rPr>
        <w:t xml:space="preserve">P, V., Dash, S. K., &amp; </w:t>
      </w:r>
      <w:proofErr w:type="spellStart"/>
      <w:r w:rsidRPr="009558EF">
        <w:rPr>
          <w:rFonts w:ascii="Times New Roman" w:hAnsi="Times New Roman" w:cs="Times New Roman"/>
          <w:bCs/>
        </w:rPr>
        <w:t>Rayaguru</w:t>
      </w:r>
      <w:proofErr w:type="spellEnd"/>
      <w:r w:rsidRPr="009558EF">
        <w:rPr>
          <w:rFonts w:ascii="Times New Roman" w:hAnsi="Times New Roman" w:cs="Times New Roman"/>
          <w:bCs/>
        </w:rPr>
        <w:t>, K. (2019). Post-Harvest Processing and Utilization of Sweet Potato: A Review. </w:t>
      </w:r>
      <w:r w:rsidRPr="009558EF">
        <w:rPr>
          <w:rFonts w:ascii="Times New Roman" w:hAnsi="Times New Roman" w:cs="Times New Roman"/>
          <w:bCs/>
          <w:i/>
          <w:iCs/>
        </w:rPr>
        <w:t>Food Reviews International</w:t>
      </w:r>
      <w:r w:rsidRPr="009558EF">
        <w:rPr>
          <w:rFonts w:ascii="Times New Roman" w:hAnsi="Times New Roman" w:cs="Times New Roman"/>
          <w:bCs/>
        </w:rPr>
        <w:t>, </w:t>
      </w:r>
      <w:r w:rsidRPr="009558EF">
        <w:rPr>
          <w:rFonts w:ascii="Times New Roman" w:hAnsi="Times New Roman" w:cs="Times New Roman"/>
          <w:bCs/>
          <w:i/>
          <w:iCs/>
        </w:rPr>
        <w:t>35</w:t>
      </w:r>
      <w:r w:rsidRPr="009558EF">
        <w:rPr>
          <w:rFonts w:ascii="Times New Roman" w:hAnsi="Times New Roman" w:cs="Times New Roman"/>
          <w:bCs/>
        </w:rPr>
        <w:t xml:space="preserve">(8), 726–762. </w:t>
      </w:r>
    </w:p>
    <w:p w14:paraId="17BD3490" w14:textId="352644D0"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 xml:space="preserve">Pachas, A. N. A., </w:t>
      </w:r>
      <w:proofErr w:type="spellStart"/>
      <w:r w:rsidRPr="009558EF">
        <w:rPr>
          <w:rFonts w:ascii="Times New Roman" w:hAnsi="Times New Roman" w:cs="Times New Roman"/>
        </w:rPr>
        <w:t>Sakanphet</w:t>
      </w:r>
      <w:proofErr w:type="spellEnd"/>
      <w:r w:rsidRPr="009558EF">
        <w:rPr>
          <w:rFonts w:ascii="Times New Roman" w:hAnsi="Times New Roman" w:cs="Times New Roman"/>
        </w:rPr>
        <w:t>, S., Midgley, S., &amp; Dieters, M. (2019). Teak (Tectona grandis) silviculture and research: applications for smallholders in Lao PDR. </w:t>
      </w:r>
      <w:r w:rsidRPr="009558EF">
        <w:rPr>
          <w:rFonts w:ascii="Times New Roman" w:hAnsi="Times New Roman" w:cs="Times New Roman"/>
          <w:i/>
          <w:iCs/>
        </w:rPr>
        <w:t>Australian Forestry</w:t>
      </w:r>
      <w:r w:rsidRPr="009558EF">
        <w:rPr>
          <w:rFonts w:ascii="Times New Roman" w:hAnsi="Times New Roman" w:cs="Times New Roman"/>
        </w:rPr>
        <w:t>, </w:t>
      </w:r>
      <w:r w:rsidRPr="009558EF">
        <w:rPr>
          <w:rFonts w:ascii="Times New Roman" w:hAnsi="Times New Roman" w:cs="Times New Roman"/>
          <w:i/>
          <w:iCs/>
        </w:rPr>
        <w:t>82</w:t>
      </w:r>
      <w:r w:rsidRPr="009558EF">
        <w:rPr>
          <w:rFonts w:ascii="Times New Roman" w:hAnsi="Times New Roman" w:cs="Times New Roman"/>
        </w:rPr>
        <w:t xml:space="preserve">(sup1), 94–105. </w:t>
      </w:r>
    </w:p>
    <w:p w14:paraId="50964916" w14:textId="182AA7F2"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Pandey, K. K. (2004). A note on the influence of extractives on the photo-discoloration and photo-degradation of wood. </w:t>
      </w:r>
      <w:r w:rsidRPr="009558EF">
        <w:rPr>
          <w:rFonts w:ascii="Times New Roman" w:hAnsi="Times New Roman" w:cs="Times New Roman"/>
          <w:i/>
          <w:iCs/>
        </w:rPr>
        <w:t>Polymer Degradation and Stability</w:t>
      </w:r>
      <w:r w:rsidRPr="009558EF">
        <w:rPr>
          <w:rFonts w:ascii="Times New Roman" w:hAnsi="Times New Roman" w:cs="Times New Roman"/>
        </w:rPr>
        <w:t>, </w:t>
      </w:r>
      <w:r w:rsidRPr="009558EF">
        <w:rPr>
          <w:rFonts w:ascii="Times New Roman" w:hAnsi="Times New Roman" w:cs="Times New Roman"/>
          <w:i/>
          <w:iCs/>
        </w:rPr>
        <w:t>87</w:t>
      </w:r>
      <w:r w:rsidRPr="009558EF">
        <w:rPr>
          <w:rFonts w:ascii="Times New Roman" w:hAnsi="Times New Roman" w:cs="Times New Roman"/>
        </w:rPr>
        <w:t xml:space="preserve">(2), 375–379. </w:t>
      </w:r>
    </w:p>
    <w:p w14:paraId="307EA37D" w14:textId="3779B439"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 xml:space="preserve">Parde, S. R., Jayas, D. S., </w:t>
      </w:r>
      <w:proofErr w:type="spellStart"/>
      <w:r w:rsidRPr="009558EF">
        <w:rPr>
          <w:rFonts w:ascii="Times New Roman" w:hAnsi="Times New Roman" w:cs="Times New Roman"/>
        </w:rPr>
        <w:t>Kausal</w:t>
      </w:r>
      <w:proofErr w:type="spellEnd"/>
      <w:r w:rsidRPr="009558EF">
        <w:rPr>
          <w:rFonts w:ascii="Times New Roman" w:hAnsi="Times New Roman" w:cs="Times New Roman"/>
        </w:rPr>
        <w:t>, R. T., &amp; White, N. D. G. (2002). Mechanical damage to soybean seed during processing. </w:t>
      </w:r>
      <w:r w:rsidRPr="009558EF">
        <w:rPr>
          <w:rFonts w:ascii="Times New Roman" w:hAnsi="Times New Roman" w:cs="Times New Roman"/>
          <w:i/>
          <w:iCs/>
        </w:rPr>
        <w:t>Journal of Stored Products Research</w:t>
      </w:r>
      <w:r w:rsidRPr="009558EF">
        <w:rPr>
          <w:rFonts w:ascii="Times New Roman" w:hAnsi="Times New Roman" w:cs="Times New Roman"/>
        </w:rPr>
        <w:t>, </w:t>
      </w:r>
      <w:r w:rsidRPr="009558EF">
        <w:rPr>
          <w:rFonts w:ascii="Times New Roman" w:hAnsi="Times New Roman" w:cs="Times New Roman"/>
          <w:i/>
          <w:iCs/>
        </w:rPr>
        <w:t>38</w:t>
      </w:r>
      <w:r w:rsidRPr="009558EF">
        <w:rPr>
          <w:rFonts w:ascii="Times New Roman" w:hAnsi="Times New Roman" w:cs="Times New Roman"/>
        </w:rPr>
        <w:t xml:space="preserve">(4), 385–394. </w:t>
      </w:r>
    </w:p>
    <w:p w14:paraId="0552CBBB" w14:textId="5303C938"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 xml:space="preserve">Patera, A., </w:t>
      </w:r>
      <w:proofErr w:type="spellStart"/>
      <w:r w:rsidRPr="009558EF">
        <w:rPr>
          <w:rFonts w:ascii="Times New Roman" w:hAnsi="Times New Roman" w:cs="Times New Roman"/>
        </w:rPr>
        <w:t>Carmeliet</w:t>
      </w:r>
      <w:proofErr w:type="spellEnd"/>
      <w:r w:rsidRPr="009558EF">
        <w:rPr>
          <w:rFonts w:ascii="Times New Roman" w:hAnsi="Times New Roman" w:cs="Times New Roman"/>
        </w:rPr>
        <w:t xml:space="preserve">, J., Derome, D., &amp; </w:t>
      </w:r>
      <w:proofErr w:type="spellStart"/>
      <w:r w:rsidRPr="009558EF">
        <w:rPr>
          <w:rFonts w:ascii="Times New Roman" w:hAnsi="Times New Roman" w:cs="Times New Roman"/>
        </w:rPr>
        <w:t>Derluyn</w:t>
      </w:r>
      <w:proofErr w:type="spellEnd"/>
      <w:r w:rsidRPr="009558EF">
        <w:rPr>
          <w:rFonts w:ascii="Times New Roman" w:hAnsi="Times New Roman" w:cs="Times New Roman"/>
        </w:rPr>
        <w:t>, H. (2015). Influence of sorption hysteresis on moisture transport in wood. </w:t>
      </w:r>
      <w:r w:rsidRPr="009558EF">
        <w:rPr>
          <w:rFonts w:ascii="Times New Roman" w:hAnsi="Times New Roman" w:cs="Times New Roman"/>
          <w:i/>
          <w:iCs/>
        </w:rPr>
        <w:t>Wood Science and Technology</w:t>
      </w:r>
      <w:r w:rsidRPr="009558EF">
        <w:rPr>
          <w:rFonts w:ascii="Times New Roman" w:hAnsi="Times New Roman" w:cs="Times New Roman"/>
        </w:rPr>
        <w:t>, </w:t>
      </w:r>
      <w:r w:rsidRPr="009558EF">
        <w:rPr>
          <w:rFonts w:ascii="Times New Roman" w:hAnsi="Times New Roman" w:cs="Times New Roman"/>
          <w:i/>
          <w:iCs/>
        </w:rPr>
        <w:t>50</w:t>
      </w:r>
      <w:r w:rsidRPr="009558EF">
        <w:rPr>
          <w:rFonts w:ascii="Times New Roman" w:hAnsi="Times New Roman" w:cs="Times New Roman"/>
        </w:rPr>
        <w:t xml:space="preserve">(2), 259–283. </w:t>
      </w:r>
    </w:p>
    <w:p w14:paraId="545E65D4" w14:textId="0ACEDFB9"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 xml:space="preserve">Pérez, D., &amp; </w:t>
      </w:r>
      <w:proofErr w:type="spellStart"/>
      <w:r w:rsidRPr="009558EF">
        <w:rPr>
          <w:rFonts w:ascii="Times New Roman" w:hAnsi="Times New Roman" w:cs="Times New Roman"/>
        </w:rPr>
        <w:t>Kanninen</w:t>
      </w:r>
      <w:proofErr w:type="spellEnd"/>
      <w:r w:rsidRPr="009558EF">
        <w:rPr>
          <w:rFonts w:ascii="Times New Roman" w:hAnsi="Times New Roman" w:cs="Times New Roman"/>
        </w:rPr>
        <w:t>, M. (2005). Effect of thinning on stem form and wood characteristics of teak (Tectona grandis) in a humid tropical site in Costa Rica. </w:t>
      </w:r>
      <w:r w:rsidRPr="009558EF">
        <w:rPr>
          <w:rFonts w:ascii="Times New Roman" w:hAnsi="Times New Roman" w:cs="Times New Roman"/>
          <w:i/>
          <w:iCs/>
        </w:rPr>
        <w:t xml:space="preserve">Silva </w:t>
      </w:r>
      <w:proofErr w:type="spellStart"/>
      <w:r w:rsidRPr="009558EF">
        <w:rPr>
          <w:rFonts w:ascii="Times New Roman" w:hAnsi="Times New Roman" w:cs="Times New Roman"/>
          <w:i/>
          <w:iCs/>
        </w:rPr>
        <w:t>Fennica</w:t>
      </w:r>
      <w:proofErr w:type="spellEnd"/>
      <w:r w:rsidRPr="009558EF">
        <w:rPr>
          <w:rFonts w:ascii="Times New Roman" w:hAnsi="Times New Roman" w:cs="Times New Roman"/>
        </w:rPr>
        <w:t>, </w:t>
      </w:r>
      <w:r w:rsidRPr="009558EF">
        <w:rPr>
          <w:rFonts w:ascii="Times New Roman" w:hAnsi="Times New Roman" w:cs="Times New Roman"/>
          <w:i/>
          <w:iCs/>
        </w:rPr>
        <w:t>39</w:t>
      </w:r>
      <w:r w:rsidRPr="009558EF">
        <w:rPr>
          <w:rFonts w:ascii="Times New Roman" w:hAnsi="Times New Roman" w:cs="Times New Roman"/>
        </w:rPr>
        <w:t xml:space="preserve">(2). </w:t>
      </w:r>
    </w:p>
    <w:p w14:paraId="447545E4" w14:textId="3D6969FD" w:rsidR="009558EF" w:rsidRPr="009558EF" w:rsidRDefault="009558EF" w:rsidP="00CC6500">
      <w:pPr>
        <w:pStyle w:val="ListParagraph"/>
        <w:numPr>
          <w:ilvl w:val="0"/>
          <w:numId w:val="19"/>
        </w:numPr>
        <w:spacing w:after="0" w:line="240" w:lineRule="auto"/>
        <w:jc w:val="both"/>
        <w:rPr>
          <w:rFonts w:ascii="Times New Roman" w:eastAsia="Times New Roman" w:hAnsi="Times New Roman" w:cs="Times New Roman"/>
          <w:kern w:val="0"/>
          <w:lang w:eastAsia="en-IN"/>
          <w14:ligatures w14:val="none"/>
        </w:rPr>
      </w:pPr>
      <w:r w:rsidRPr="009558EF">
        <w:rPr>
          <w:rFonts w:ascii="Times New Roman" w:eastAsia="Times New Roman" w:hAnsi="Times New Roman" w:cs="Times New Roman"/>
          <w:kern w:val="0"/>
          <w:lang w:eastAsia="en-IN"/>
          <w14:ligatures w14:val="none"/>
        </w:rPr>
        <w:t>Petersen, A. K., &amp; Solberg, B. (2003). Environmental and economic impacts of substitution between wood products and alternative materials: a review of micro-level analyses from Norway and Sweden. </w:t>
      </w:r>
      <w:r w:rsidRPr="009558EF">
        <w:rPr>
          <w:rFonts w:ascii="Times New Roman" w:eastAsia="Times New Roman" w:hAnsi="Times New Roman" w:cs="Times New Roman"/>
          <w:i/>
          <w:iCs/>
          <w:kern w:val="0"/>
          <w:lang w:eastAsia="en-IN"/>
          <w14:ligatures w14:val="none"/>
        </w:rPr>
        <w:t>Forest Policy and Economics</w:t>
      </w:r>
      <w:r w:rsidRPr="009558EF">
        <w:rPr>
          <w:rFonts w:ascii="Times New Roman" w:eastAsia="Times New Roman" w:hAnsi="Times New Roman" w:cs="Times New Roman"/>
          <w:kern w:val="0"/>
          <w:lang w:eastAsia="en-IN"/>
          <w14:ligatures w14:val="none"/>
        </w:rPr>
        <w:t>, </w:t>
      </w:r>
      <w:r w:rsidRPr="009558EF">
        <w:rPr>
          <w:rFonts w:ascii="Times New Roman" w:eastAsia="Times New Roman" w:hAnsi="Times New Roman" w:cs="Times New Roman"/>
          <w:i/>
          <w:iCs/>
          <w:kern w:val="0"/>
          <w:lang w:eastAsia="en-IN"/>
          <w14:ligatures w14:val="none"/>
        </w:rPr>
        <w:t>7</w:t>
      </w:r>
      <w:r w:rsidRPr="009558EF">
        <w:rPr>
          <w:rFonts w:ascii="Times New Roman" w:eastAsia="Times New Roman" w:hAnsi="Times New Roman" w:cs="Times New Roman"/>
          <w:kern w:val="0"/>
          <w:lang w:eastAsia="en-IN"/>
          <w14:ligatures w14:val="none"/>
        </w:rPr>
        <w:t xml:space="preserve">(3), 249–259. </w:t>
      </w:r>
    </w:p>
    <w:p w14:paraId="6207076E" w14:textId="1013E814" w:rsidR="009558EF" w:rsidRPr="009558EF" w:rsidRDefault="009558EF" w:rsidP="00CC6500">
      <w:pPr>
        <w:pStyle w:val="ListParagraph"/>
        <w:numPr>
          <w:ilvl w:val="0"/>
          <w:numId w:val="19"/>
        </w:numPr>
        <w:spacing w:after="0" w:line="240" w:lineRule="auto"/>
        <w:jc w:val="both"/>
        <w:rPr>
          <w:rStyle w:val="Hyperlink"/>
          <w:rFonts w:ascii="Times New Roman" w:hAnsi="Times New Roman" w:cs="Times New Roman"/>
          <w:kern w:val="0"/>
          <w14:ligatures w14:val="none"/>
        </w:rPr>
      </w:pPr>
      <w:proofErr w:type="spellStart"/>
      <w:r w:rsidRPr="009558EF">
        <w:rPr>
          <w:rFonts w:ascii="Times New Roman" w:eastAsia="Times New Roman" w:hAnsi="Times New Roman" w:cs="Times New Roman"/>
          <w:kern w:val="0"/>
          <w:lang w:eastAsia="en-IN"/>
          <w14:ligatures w14:val="none"/>
        </w:rPr>
        <w:t>Prasetyo</w:t>
      </w:r>
      <w:proofErr w:type="spellEnd"/>
      <w:r w:rsidRPr="009558EF">
        <w:rPr>
          <w:rFonts w:ascii="Times New Roman" w:eastAsia="Times New Roman" w:hAnsi="Times New Roman" w:cs="Times New Roman"/>
          <w:kern w:val="0"/>
          <w:lang w:eastAsia="en-IN"/>
          <w14:ligatures w14:val="none"/>
        </w:rPr>
        <w:t xml:space="preserve">, E., Tsumura, Y., </w:t>
      </w:r>
      <w:proofErr w:type="spellStart"/>
      <w:r w:rsidRPr="009558EF">
        <w:rPr>
          <w:rFonts w:ascii="Times New Roman" w:eastAsia="Times New Roman" w:hAnsi="Times New Roman" w:cs="Times New Roman"/>
          <w:kern w:val="0"/>
          <w:lang w:eastAsia="en-IN"/>
          <w14:ligatures w14:val="none"/>
        </w:rPr>
        <w:t>Indrioko</w:t>
      </w:r>
      <w:proofErr w:type="spellEnd"/>
      <w:r w:rsidRPr="009558EF">
        <w:rPr>
          <w:rFonts w:ascii="Times New Roman" w:eastAsia="Times New Roman" w:hAnsi="Times New Roman" w:cs="Times New Roman"/>
          <w:kern w:val="0"/>
          <w:lang w:eastAsia="en-IN"/>
          <w14:ligatures w14:val="none"/>
        </w:rPr>
        <w:t xml:space="preserve">, S., Suyama, Y., Matsui, T., Matsuo, A., </w:t>
      </w:r>
      <w:proofErr w:type="spellStart"/>
      <w:r w:rsidRPr="009558EF">
        <w:rPr>
          <w:rFonts w:ascii="Times New Roman" w:eastAsia="Times New Roman" w:hAnsi="Times New Roman" w:cs="Times New Roman"/>
          <w:kern w:val="0"/>
          <w:lang w:eastAsia="en-IN"/>
          <w14:ligatures w14:val="none"/>
        </w:rPr>
        <w:t>Widiyatno</w:t>
      </w:r>
      <w:proofErr w:type="spellEnd"/>
      <w:r w:rsidRPr="009558EF">
        <w:rPr>
          <w:rFonts w:ascii="Times New Roman" w:eastAsia="Times New Roman" w:hAnsi="Times New Roman" w:cs="Times New Roman"/>
          <w:kern w:val="0"/>
          <w:lang w:eastAsia="en-IN"/>
          <w14:ligatures w14:val="none"/>
        </w:rPr>
        <w:t xml:space="preserve">, W., &amp; </w:t>
      </w:r>
      <w:proofErr w:type="spellStart"/>
      <w:r w:rsidRPr="009558EF">
        <w:rPr>
          <w:rFonts w:ascii="Times New Roman" w:eastAsia="Times New Roman" w:hAnsi="Times New Roman" w:cs="Times New Roman"/>
          <w:kern w:val="0"/>
          <w:lang w:eastAsia="en-IN"/>
          <w14:ligatures w14:val="none"/>
        </w:rPr>
        <w:t>Na’Iem</w:t>
      </w:r>
      <w:proofErr w:type="spellEnd"/>
      <w:r w:rsidRPr="009558EF">
        <w:rPr>
          <w:rFonts w:ascii="Times New Roman" w:eastAsia="Times New Roman" w:hAnsi="Times New Roman" w:cs="Times New Roman"/>
          <w:kern w:val="0"/>
          <w:lang w:eastAsia="en-IN"/>
          <w14:ligatures w14:val="none"/>
        </w:rPr>
        <w:t>, M. (2020). Genetic diversity and the origin of commercial plantation of Indonesian teak on Java Island. </w:t>
      </w:r>
      <w:r w:rsidRPr="009558EF">
        <w:rPr>
          <w:rFonts w:ascii="Times New Roman" w:eastAsia="Times New Roman" w:hAnsi="Times New Roman" w:cs="Times New Roman"/>
          <w:i/>
          <w:iCs/>
          <w:kern w:val="0"/>
          <w:lang w:eastAsia="en-IN"/>
          <w14:ligatures w14:val="none"/>
        </w:rPr>
        <w:t>Tree Genetics &amp; Genomes</w:t>
      </w:r>
      <w:r w:rsidRPr="009558EF">
        <w:rPr>
          <w:rFonts w:ascii="Times New Roman" w:eastAsia="Times New Roman" w:hAnsi="Times New Roman" w:cs="Times New Roman"/>
          <w:kern w:val="0"/>
          <w:lang w:eastAsia="en-IN"/>
          <w14:ligatures w14:val="none"/>
        </w:rPr>
        <w:t>, </w:t>
      </w:r>
      <w:r w:rsidRPr="009558EF">
        <w:rPr>
          <w:rFonts w:ascii="Times New Roman" w:eastAsia="Times New Roman" w:hAnsi="Times New Roman" w:cs="Times New Roman"/>
          <w:i/>
          <w:iCs/>
          <w:kern w:val="0"/>
          <w:lang w:eastAsia="en-IN"/>
          <w14:ligatures w14:val="none"/>
        </w:rPr>
        <w:t>16</w:t>
      </w:r>
      <w:r w:rsidRPr="009558EF">
        <w:rPr>
          <w:rFonts w:ascii="Times New Roman" w:eastAsia="Times New Roman" w:hAnsi="Times New Roman" w:cs="Times New Roman"/>
          <w:kern w:val="0"/>
          <w:lang w:eastAsia="en-IN"/>
          <w14:ligatures w14:val="none"/>
        </w:rPr>
        <w:t xml:space="preserve">(2). </w:t>
      </w:r>
    </w:p>
    <w:p w14:paraId="42B4EB5D" w14:textId="66CD998C"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 xml:space="preserve">Priya, P. B., &amp; Bhat, K. M. (1998). False ring formation in teak (Tectona grandis </w:t>
      </w:r>
      <w:proofErr w:type="spellStart"/>
      <w:r w:rsidRPr="009558EF">
        <w:rPr>
          <w:rFonts w:ascii="Times New Roman" w:hAnsi="Times New Roman" w:cs="Times New Roman"/>
        </w:rPr>
        <w:t>L.f.</w:t>
      </w:r>
      <w:proofErr w:type="spellEnd"/>
      <w:r w:rsidRPr="009558EF">
        <w:rPr>
          <w:rFonts w:ascii="Times New Roman" w:hAnsi="Times New Roman" w:cs="Times New Roman"/>
        </w:rPr>
        <w:t>) and the influence of environmental factors. </w:t>
      </w:r>
      <w:r w:rsidRPr="009558EF">
        <w:rPr>
          <w:rFonts w:ascii="Times New Roman" w:hAnsi="Times New Roman" w:cs="Times New Roman"/>
          <w:i/>
          <w:iCs/>
        </w:rPr>
        <w:t>Forest Ecology and Management</w:t>
      </w:r>
      <w:r w:rsidRPr="009558EF">
        <w:rPr>
          <w:rFonts w:ascii="Times New Roman" w:hAnsi="Times New Roman" w:cs="Times New Roman"/>
        </w:rPr>
        <w:t>, </w:t>
      </w:r>
      <w:r w:rsidRPr="009558EF">
        <w:rPr>
          <w:rFonts w:ascii="Times New Roman" w:hAnsi="Times New Roman" w:cs="Times New Roman"/>
          <w:i/>
          <w:iCs/>
        </w:rPr>
        <w:t>108</w:t>
      </w:r>
      <w:r w:rsidRPr="009558EF">
        <w:rPr>
          <w:rFonts w:ascii="Times New Roman" w:hAnsi="Times New Roman" w:cs="Times New Roman"/>
        </w:rPr>
        <w:t xml:space="preserve">(3), 215–222. </w:t>
      </w:r>
    </w:p>
    <w:p w14:paraId="31B637E9" w14:textId="788886EB"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Rajput, H., Rajan, P., Li, S., Stratton, G. W., Murray, G., &amp; He, Q. (Sophia). (2023). Development of wood preservatives to prevent biodeterioration. </w:t>
      </w:r>
      <w:r w:rsidRPr="009558EF">
        <w:rPr>
          <w:rFonts w:ascii="Times New Roman" w:hAnsi="Times New Roman" w:cs="Times New Roman"/>
          <w:i/>
          <w:iCs/>
        </w:rPr>
        <w:t>Journal of Wood Chemistry and Technology</w:t>
      </w:r>
      <w:r w:rsidRPr="009558EF">
        <w:rPr>
          <w:rFonts w:ascii="Times New Roman" w:hAnsi="Times New Roman" w:cs="Times New Roman"/>
        </w:rPr>
        <w:t>, </w:t>
      </w:r>
      <w:r w:rsidRPr="009558EF">
        <w:rPr>
          <w:rFonts w:ascii="Times New Roman" w:hAnsi="Times New Roman" w:cs="Times New Roman"/>
          <w:i/>
          <w:iCs/>
        </w:rPr>
        <w:t>ahead-of-print</w:t>
      </w:r>
      <w:r w:rsidRPr="009558EF">
        <w:rPr>
          <w:rFonts w:ascii="Times New Roman" w:hAnsi="Times New Roman" w:cs="Times New Roman"/>
        </w:rPr>
        <w:t xml:space="preserve">(ahead-of-print), 371–389. </w:t>
      </w:r>
    </w:p>
    <w:p w14:paraId="2954F432" w14:textId="28ACD744" w:rsidR="009558EF" w:rsidRPr="009558EF" w:rsidRDefault="009558EF" w:rsidP="00CC6500">
      <w:pPr>
        <w:pStyle w:val="ListParagraph"/>
        <w:numPr>
          <w:ilvl w:val="0"/>
          <w:numId w:val="19"/>
        </w:numPr>
        <w:spacing w:line="240" w:lineRule="auto"/>
        <w:jc w:val="both"/>
        <w:rPr>
          <w:rFonts w:ascii="Times New Roman" w:hAnsi="Times New Roman" w:cs="Times New Roman"/>
        </w:rPr>
      </w:pPr>
      <w:proofErr w:type="spellStart"/>
      <w:r w:rsidRPr="009558EF">
        <w:rPr>
          <w:rFonts w:ascii="Times New Roman" w:hAnsi="Times New Roman" w:cs="Times New Roman"/>
          <w:shd w:val="clear" w:color="auto" w:fill="FFFFFF"/>
        </w:rPr>
        <w:t>Ribolzi</w:t>
      </w:r>
      <w:proofErr w:type="spellEnd"/>
      <w:r w:rsidRPr="009558EF">
        <w:rPr>
          <w:rFonts w:ascii="Times New Roman" w:hAnsi="Times New Roman" w:cs="Times New Roman"/>
          <w:shd w:val="clear" w:color="auto" w:fill="FFFFFF"/>
        </w:rPr>
        <w:t xml:space="preserve">, O., </w:t>
      </w:r>
      <w:proofErr w:type="spellStart"/>
      <w:r w:rsidRPr="009558EF">
        <w:rPr>
          <w:rFonts w:ascii="Times New Roman" w:hAnsi="Times New Roman" w:cs="Times New Roman"/>
          <w:shd w:val="clear" w:color="auto" w:fill="FFFFFF"/>
        </w:rPr>
        <w:t>Sengtaheuanghoung</w:t>
      </w:r>
      <w:proofErr w:type="spellEnd"/>
      <w:r w:rsidRPr="009558EF">
        <w:rPr>
          <w:rFonts w:ascii="Times New Roman" w:hAnsi="Times New Roman" w:cs="Times New Roman"/>
          <w:shd w:val="clear" w:color="auto" w:fill="FFFFFF"/>
        </w:rPr>
        <w:t xml:space="preserve">, O., Lacombe, G., Silvera, N., Valentin, C., De Rouw, A., </w:t>
      </w:r>
      <w:proofErr w:type="spellStart"/>
      <w:r w:rsidRPr="009558EF">
        <w:rPr>
          <w:rFonts w:ascii="Times New Roman" w:hAnsi="Times New Roman" w:cs="Times New Roman"/>
          <w:shd w:val="clear" w:color="auto" w:fill="FFFFFF"/>
        </w:rPr>
        <w:t>Soulileuth</w:t>
      </w:r>
      <w:proofErr w:type="spellEnd"/>
      <w:r w:rsidRPr="009558EF">
        <w:rPr>
          <w:rFonts w:ascii="Times New Roman" w:hAnsi="Times New Roman" w:cs="Times New Roman"/>
          <w:shd w:val="clear" w:color="auto" w:fill="FFFFFF"/>
        </w:rPr>
        <w:t xml:space="preserve">, B., </w:t>
      </w:r>
      <w:proofErr w:type="spellStart"/>
      <w:r w:rsidRPr="009558EF">
        <w:rPr>
          <w:rFonts w:ascii="Times New Roman" w:hAnsi="Times New Roman" w:cs="Times New Roman"/>
          <w:shd w:val="clear" w:color="auto" w:fill="FFFFFF"/>
        </w:rPr>
        <w:t>Latsachack</w:t>
      </w:r>
      <w:proofErr w:type="spellEnd"/>
      <w:r w:rsidRPr="009558EF">
        <w:rPr>
          <w:rFonts w:ascii="Times New Roman" w:hAnsi="Times New Roman" w:cs="Times New Roman"/>
          <w:shd w:val="clear" w:color="auto" w:fill="FFFFFF"/>
        </w:rPr>
        <w:t>, K. O., Evrard, O., Pierret, A., Lefèvre, I., &amp; Huon, S. (2017). From shifting cultivation to teak plantation: effect on overland flow and sediment yield in a montane tropical catchment. </w:t>
      </w:r>
      <w:r w:rsidRPr="009558EF">
        <w:rPr>
          <w:rFonts w:ascii="Times New Roman" w:hAnsi="Times New Roman" w:cs="Times New Roman"/>
          <w:i/>
          <w:iCs/>
          <w:shd w:val="clear" w:color="auto" w:fill="FFFFFF"/>
        </w:rPr>
        <w:t>Scientific Reports</w:t>
      </w:r>
      <w:r w:rsidRPr="009558EF">
        <w:rPr>
          <w:rFonts w:ascii="Times New Roman" w:hAnsi="Times New Roman" w:cs="Times New Roman"/>
          <w:shd w:val="clear" w:color="auto" w:fill="FFFFFF"/>
        </w:rPr>
        <w:t>, </w:t>
      </w:r>
      <w:r w:rsidRPr="009558EF">
        <w:rPr>
          <w:rFonts w:ascii="Times New Roman" w:hAnsi="Times New Roman" w:cs="Times New Roman"/>
          <w:i/>
          <w:iCs/>
          <w:shd w:val="clear" w:color="auto" w:fill="FFFFFF"/>
        </w:rPr>
        <w:t>7</w:t>
      </w:r>
      <w:r w:rsidRPr="009558EF">
        <w:rPr>
          <w:rFonts w:ascii="Times New Roman" w:hAnsi="Times New Roman" w:cs="Times New Roman"/>
          <w:shd w:val="clear" w:color="auto" w:fill="FFFFFF"/>
        </w:rPr>
        <w:t xml:space="preserve">(1). </w:t>
      </w:r>
    </w:p>
    <w:p w14:paraId="065D4DA4" w14:textId="77777777" w:rsidR="00EC184C" w:rsidRDefault="009558EF" w:rsidP="00EC184C">
      <w:pPr>
        <w:pStyle w:val="ListParagraph"/>
        <w:numPr>
          <w:ilvl w:val="0"/>
          <w:numId w:val="19"/>
        </w:numPr>
        <w:spacing w:line="240" w:lineRule="auto"/>
        <w:jc w:val="both"/>
        <w:rPr>
          <w:rFonts w:ascii="Times New Roman" w:hAnsi="Times New Roman" w:cs="Times New Roman"/>
        </w:rPr>
      </w:pPr>
      <w:proofErr w:type="spellStart"/>
      <w:r w:rsidRPr="009558EF">
        <w:rPr>
          <w:rFonts w:ascii="Times New Roman" w:hAnsi="Times New Roman" w:cs="Times New Roman"/>
        </w:rPr>
        <w:t>Rigakis</w:t>
      </w:r>
      <w:proofErr w:type="spellEnd"/>
      <w:r w:rsidRPr="009558EF">
        <w:rPr>
          <w:rFonts w:ascii="Times New Roman" w:hAnsi="Times New Roman" w:cs="Times New Roman"/>
        </w:rPr>
        <w:t xml:space="preserve">, I., </w:t>
      </w:r>
      <w:proofErr w:type="spellStart"/>
      <w:r w:rsidRPr="009558EF">
        <w:rPr>
          <w:rFonts w:ascii="Times New Roman" w:hAnsi="Times New Roman" w:cs="Times New Roman"/>
        </w:rPr>
        <w:t>Potamitis</w:t>
      </w:r>
      <w:proofErr w:type="spellEnd"/>
      <w:r w:rsidRPr="009558EF">
        <w:rPr>
          <w:rFonts w:ascii="Times New Roman" w:hAnsi="Times New Roman" w:cs="Times New Roman"/>
        </w:rPr>
        <w:t xml:space="preserve">, I., </w:t>
      </w:r>
      <w:proofErr w:type="spellStart"/>
      <w:r w:rsidRPr="009558EF">
        <w:rPr>
          <w:rFonts w:ascii="Times New Roman" w:hAnsi="Times New Roman" w:cs="Times New Roman"/>
        </w:rPr>
        <w:t>Ntalampiras</w:t>
      </w:r>
      <w:proofErr w:type="spellEnd"/>
      <w:r w:rsidRPr="009558EF">
        <w:rPr>
          <w:rFonts w:ascii="Times New Roman" w:hAnsi="Times New Roman" w:cs="Times New Roman"/>
        </w:rPr>
        <w:t xml:space="preserve">, S., </w:t>
      </w:r>
      <w:proofErr w:type="spellStart"/>
      <w:r w:rsidRPr="009558EF">
        <w:rPr>
          <w:rFonts w:ascii="Times New Roman" w:hAnsi="Times New Roman" w:cs="Times New Roman"/>
        </w:rPr>
        <w:t>Potirakis</w:t>
      </w:r>
      <w:proofErr w:type="spellEnd"/>
      <w:r w:rsidRPr="009558EF">
        <w:rPr>
          <w:rFonts w:ascii="Times New Roman" w:hAnsi="Times New Roman" w:cs="Times New Roman"/>
        </w:rPr>
        <w:t xml:space="preserve">, S. M., &amp; </w:t>
      </w:r>
      <w:proofErr w:type="spellStart"/>
      <w:r w:rsidRPr="009558EF">
        <w:rPr>
          <w:rFonts w:ascii="Times New Roman" w:hAnsi="Times New Roman" w:cs="Times New Roman"/>
        </w:rPr>
        <w:t>Tatlas</w:t>
      </w:r>
      <w:proofErr w:type="spellEnd"/>
      <w:r w:rsidRPr="009558EF">
        <w:rPr>
          <w:rFonts w:ascii="Times New Roman" w:hAnsi="Times New Roman" w:cs="Times New Roman"/>
        </w:rPr>
        <w:t xml:space="preserve">, N.-A. (2021). </w:t>
      </w:r>
      <w:proofErr w:type="spellStart"/>
      <w:r w:rsidRPr="009558EF">
        <w:rPr>
          <w:rFonts w:ascii="Times New Roman" w:hAnsi="Times New Roman" w:cs="Times New Roman"/>
        </w:rPr>
        <w:t>TreeVibes</w:t>
      </w:r>
      <w:proofErr w:type="spellEnd"/>
      <w:r w:rsidRPr="009558EF">
        <w:rPr>
          <w:rFonts w:ascii="Times New Roman" w:hAnsi="Times New Roman" w:cs="Times New Roman"/>
        </w:rPr>
        <w:t>: Modern Tools for Global Monitoring of Trees for Borers. </w:t>
      </w:r>
      <w:r w:rsidRPr="009558EF">
        <w:rPr>
          <w:rFonts w:ascii="Times New Roman" w:hAnsi="Times New Roman" w:cs="Times New Roman"/>
          <w:i/>
          <w:iCs/>
        </w:rPr>
        <w:t>Smart Cities</w:t>
      </w:r>
      <w:r w:rsidRPr="009558EF">
        <w:rPr>
          <w:rFonts w:ascii="Times New Roman" w:hAnsi="Times New Roman" w:cs="Times New Roman"/>
        </w:rPr>
        <w:t>, </w:t>
      </w:r>
      <w:r w:rsidRPr="009558EF">
        <w:rPr>
          <w:rFonts w:ascii="Times New Roman" w:hAnsi="Times New Roman" w:cs="Times New Roman"/>
          <w:i/>
          <w:iCs/>
        </w:rPr>
        <w:t>4</w:t>
      </w:r>
      <w:r w:rsidRPr="009558EF">
        <w:rPr>
          <w:rFonts w:ascii="Times New Roman" w:hAnsi="Times New Roman" w:cs="Times New Roman"/>
        </w:rPr>
        <w:t xml:space="preserve">(1), 271–285. </w:t>
      </w:r>
    </w:p>
    <w:p w14:paraId="2C8F7899" w14:textId="57237571" w:rsidR="009558EF" w:rsidRPr="00EC184C" w:rsidRDefault="009558EF" w:rsidP="00EC184C">
      <w:pPr>
        <w:pStyle w:val="ListParagraph"/>
        <w:numPr>
          <w:ilvl w:val="0"/>
          <w:numId w:val="19"/>
        </w:numPr>
        <w:spacing w:line="240" w:lineRule="auto"/>
        <w:jc w:val="both"/>
        <w:rPr>
          <w:rFonts w:ascii="Times New Roman" w:hAnsi="Times New Roman" w:cs="Times New Roman"/>
        </w:rPr>
      </w:pPr>
      <w:r w:rsidRPr="007F21E1">
        <w:t xml:space="preserve">Riggio, M., </w:t>
      </w:r>
      <w:proofErr w:type="spellStart"/>
      <w:r w:rsidRPr="007F21E1">
        <w:t>Riminesi</w:t>
      </w:r>
      <w:proofErr w:type="spellEnd"/>
      <w:r w:rsidRPr="007F21E1">
        <w:t xml:space="preserve">, C., &amp; </w:t>
      </w:r>
      <w:proofErr w:type="spellStart"/>
      <w:r w:rsidRPr="007F21E1">
        <w:t>Macchioni</w:t>
      </w:r>
      <w:proofErr w:type="spellEnd"/>
      <w:r w:rsidRPr="007F21E1">
        <w:t>, N. (2016). Structural health assessment of historical timber structures combining non-destructive techniques: The roof of Giotto’s bell tower in Florence. </w:t>
      </w:r>
      <w:r w:rsidRPr="00EC184C">
        <w:rPr>
          <w:i/>
          <w:iCs/>
        </w:rPr>
        <w:t>Structural Control and Health Monitoring</w:t>
      </w:r>
      <w:r w:rsidRPr="007F21E1">
        <w:t>, </w:t>
      </w:r>
      <w:r w:rsidRPr="00EC184C">
        <w:rPr>
          <w:i/>
          <w:iCs/>
        </w:rPr>
        <w:t>24</w:t>
      </w:r>
      <w:r w:rsidRPr="007F21E1">
        <w:t xml:space="preserve">(7), e1935. </w:t>
      </w:r>
    </w:p>
    <w:p w14:paraId="1712620C" w14:textId="5B21B8BE" w:rsidR="009558EF" w:rsidRPr="009558EF" w:rsidRDefault="009558EF" w:rsidP="00CC6500">
      <w:pPr>
        <w:pStyle w:val="ListParagraph"/>
        <w:numPr>
          <w:ilvl w:val="0"/>
          <w:numId w:val="19"/>
        </w:numPr>
        <w:spacing w:line="240" w:lineRule="auto"/>
        <w:jc w:val="both"/>
        <w:rPr>
          <w:rFonts w:ascii="Times New Roman" w:hAnsi="Times New Roman" w:cs="Times New Roman"/>
          <w:shd w:val="clear" w:color="auto" w:fill="FFFFFF"/>
        </w:rPr>
      </w:pPr>
      <w:proofErr w:type="spellStart"/>
      <w:r w:rsidRPr="009558EF">
        <w:rPr>
          <w:rFonts w:ascii="Times New Roman" w:hAnsi="Times New Roman" w:cs="Times New Roman"/>
          <w:shd w:val="clear" w:color="auto" w:fill="FFFFFF"/>
        </w:rPr>
        <w:t>Rizanti</w:t>
      </w:r>
      <w:proofErr w:type="spellEnd"/>
      <w:r w:rsidRPr="009558EF">
        <w:rPr>
          <w:rFonts w:ascii="Times New Roman" w:hAnsi="Times New Roman" w:cs="Times New Roman"/>
          <w:shd w:val="clear" w:color="auto" w:fill="FFFFFF"/>
        </w:rPr>
        <w:t xml:space="preserve">, D. E., Kartika Sari, R., Merlin, A., </w:t>
      </w:r>
      <w:proofErr w:type="spellStart"/>
      <w:r w:rsidRPr="009558EF">
        <w:rPr>
          <w:rFonts w:ascii="Times New Roman" w:hAnsi="Times New Roman" w:cs="Times New Roman"/>
          <w:shd w:val="clear" w:color="auto" w:fill="FFFFFF"/>
        </w:rPr>
        <w:t>Syafii</w:t>
      </w:r>
      <w:proofErr w:type="spellEnd"/>
      <w:r w:rsidRPr="009558EF">
        <w:rPr>
          <w:rFonts w:ascii="Times New Roman" w:hAnsi="Times New Roman" w:cs="Times New Roman"/>
          <w:shd w:val="clear" w:color="auto" w:fill="FFFFFF"/>
        </w:rPr>
        <w:t xml:space="preserve">, W., </w:t>
      </w:r>
      <w:proofErr w:type="spellStart"/>
      <w:r w:rsidRPr="009558EF">
        <w:rPr>
          <w:rFonts w:ascii="Times New Roman" w:hAnsi="Times New Roman" w:cs="Times New Roman"/>
          <w:shd w:val="clear" w:color="auto" w:fill="FFFFFF"/>
        </w:rPr>
        <w:t>Gelhaye</w:t>
      </w:r>
      <w:proofErr w:type="spellEnd"/>
      <w:r w:rsidRPr="009558EF">
        <w:rPr>
          <w:rFonts w:ascii="Times New Roman" w:hAnsi="Times New Roman" w:cs="Times New Roman"/>
          <w:shd w:val="clear" w:color="auto" w:fill="FFFFFF"/>
        </w:rPr>
        <w:t xml:space="preserve">, E., </w:t>
      </w:r>
      <w:proofErr w:type="spellStart"/>
      <w:r w:rsidRPr="009558EF">
        <w:rPr>
          <w:rFonts w:ascii="Times New Roman" w:hAnsi="Times New Roman" w:cs="Times New Roman"/>
          <w:shd w:val="clear" w:color="auto" w:fill="FFFFFF"/>
        </w:rPr>
        <w:t>Gérardin</w:t>
      </w:r>
      <w:proofErr w:type="spellEnd"/>
      <w:r w:rsidRPr="009558EF">
        <w:rPr>
          <w:rFonts w:ascii="Times New Roman" w:hAnsi="Times New Roman" w:cs="Times New Roman"/>
          <w:shd w:val="clear" w:color="auto" w:fill="FFFFFF"/>
        </w:rPr>
        <w:t xml:space="preserve">, C., Chapuis, H., </w:t>
      </w:r>
      <w:proofErr w:type="spellStart"/>
      <w:r w:rsidRPr="009558EF">
        <w:rPr>
          <w:rFonts w:ascii="Times New Roman" w:hAnsi="Times New Roman" w:cs="Times New Roman"/>
          <w:shd w:val="clear" w:color="auto" w:fill="FFFFFF"/>
        </w:rPr>
        <w:t>Dumarcay</w:t>
      </w:r>
      <w:proofErr w:type="spellEnd"/>
      <w:r w:rsidRPr="009558EF">
        <w:rPr>
          <w:rFonts w:ascii="Times New Roman" w:hAnsi="Times New Roman" w:cs="Times New Roman"/>
          <w:shd w:val="clear" w:color="auto" w:fill="FFFFFF"/>
        </w:rPr>
        <w:t xml:space="preserve">, S., Darmawan, W., Mohamed, R., </w:t>
      </w:r>
      <w:proofErr w:type="spellStart"/>
      <w:r w:rsidRPr="009558EF">
        <w:rPr>
          <w:rFonts w:ascii="Times New Roman" w:hAnsi="Times New Roman" w:cs="Times New Roman"/>
          <w:shd w:val="clear" w:color="auto" w:fill="FFFFFF"/>
        </w:rPr>
        <w:t>Raharivelomanana</w:t>
      </w:r>
      <w:proofErr w:type="spellEnd"/>
      <w:r w:rsidRPr="009558EF">
        <w:rPr>
          <w:rFonts w:ascii="Times New Roman" w:hAnsi="Times New Roman" w:cs="Times New Roman"/>
          <w:shd w:val="clear" w:color="auto" w:fill="FFFFFF"/>
        </w:rPr>
        <w:t xml:space="preserve">, P., </w:t>
      </w:r>
      <w:proofErr w:type="spellStart"/>
      <w:r w:rsidRPr="009558EF">
        <w:rPr>
          <w:rFonts w:ascii="Times New Roman" w:hAnsi="Times New Roman" w:cs="Times New Roman"/>
          <w:shd w:val="clear" w:color="auto" w:fill="FFFFFF"/>
        </w:rPr>
        <w:t>Gerardin</w:t>
      </w:r>
      <w:proofErr w:type="spellEnd"/>
      <w:r w:rsidRPr="009558EF">
        <w:rPr>
          <w:rFonts w:ascii="Times New Roman" w:hAnsi="Times New Roman" w:cs="Times New Roman"/>
          <w:shd w:val="clear" w:color="auto" w:fill="FFFFFF"/>
        </w:rPr>
        <w:t xml:space="preserve">, P., &amp; </w:t>
      </w:r>
      <w:r w:rsidRPr="009558EF">
        <w:rPr>
          <w:rFonts w:ascii="Times New Roman" w:hAnsi="Times New Roman" w:cs="Times New Roman"/>
          <w:shd w:val="clear" w:color="auto" w:fill="FFFFFF"/>
        </w:rPr>
        <w:lastRenderedPageBreak/>
        <w:t>George, B. (2018). Comparison of teak wood properties according to forest management: short versus long rotation. </w:t>
      </w:r>
      <w:r w:rsidRPr="009558EF">
        <w:rPr>
          <w:rFonts w:ascii="Times New Roman" w:hAnsi="Times New Roman" w:cs="Times New Roman"/>
          <w:i/>
          <w:iCs/>
          <w:shd w:val="clear" w:color="auto" w:fill="FFFFFF"/>
        </w:rPr>
        <w:t>Annals of Forest Science</w:t>
      </w:r>
      <w:r w:rsidRPr="009558EF">
        <w:rPr>
          <w:rFonts w:ascii="Times New Roman" w:hAnsi="Times New Roman" w:cs="Times New Roman"/>
          <w:shd w:val="clear" w:color="auto" w:fill="FFFFFF"/>
        </w:rPr>
        <w:t>, </w:t>
      </w:r>
      <w:r w:rsidRPr="009558EF">
        <w:rPr>
          <w:rFonts w:ascii="Times New Roman" w:hAnsi="Times New Roman" w:cs="Times New Roman"/>
          <w:i/>
          <w:iCs/>
          <w:shd w:val="clear" w:color="auto" w:fill="FFFFFF"/>
        </w:rPr>
        <w:t>75</w:t>
      </w:r>
      <w:r w:rsidRPr="009558EF">
        <w:rPr>
          <w:rFonts w:ascii="Times New Roman" w:hAnsi="Times New Roman" w:cs="Times New Roman"/>
          <w:shd w:val="clear" w:color="auto" w:fill="FFFFFF"/>
        </w:rPr>
        <w:t xml:space="preserve">(2). </w:t>
      </w:r>
    </w:p>
    <w:p w14:paraId="37481F61" w14:textId="37B9313B"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Robey, N. M., Solo-Gabriele, H. M., Jones, A. S., Marini, J., &amp; Townsend, T. G. (2018). Metals content of recycled construction and demolition wood before and after implementation of best management practices. </w:t>
      </w:r>
      <w:r w:rsidRPr="009558EF">
        <w:rPr>
          <w:rFonts w:ascii="Times New Roman" w:hAnsi="Times New Roman" w:cs="Times New Roman"/>
          <w:i/>
          <w:iCs/>
        </w:rPr>
        <w:t>Environmental Pollution</w:t>
      </w:r>
      <w:r w:rsidRPr="009558EF">
        <w:rPr>
          <w:rFonts w:ascii="Times New Roman" w:hAnsi="Times New Roman" w:cs="Times New Roman"/>
        </w:rPr>
        <w:t>, </w:t>
      </w:r>
      <w:r w:rsidRPr="009558EF">
        <w:rPr>
          <w:rFonts w:ascii="Times New Roman" w:hAnsi="Times New Roman" w:cs="Times New Roman"/>
          <w:i/>
          <w:iCs/>
        </w:rPr>
        <w:t>242</w:t>
      </w:r>
      <w:r w:rsidRPr="009558EF">
        <w:rPr>
          <w:rFonts w:ascii="Times New Roman" w:hAnsi="Times New Roman" w:cs="Times New Roman"/>
        </w:rPr>
        <w:t xml:space="preserve">(Pt B), 1198–1205. </w:t>
      </w:r>
    </w:p>
    <w:p w14:paraId="64E8AED8" w14:textId="69FCBC34" w:rsidR="009558EF" w:rsidRPr="009558EF" w:rsidRDefault="009558EF" w:rsidP="00CC6500">
      <w:pPr>
        <w:pStyle w:val="ListParagraph"/>
        <w:numPr>
          <w:ilvl w:val="0"/>
          <w:numId w:val="19"/>
        </w:numPr>
        <w:spacing w:after="0" w:line="240" w:lineRule="auto"/>
        <w:jc w:val="both"/>
        <w:rPr>
          <w:rFonts w:ascii="Times New Roman" w:eastAsia="Times New Roman" w:hAnsi="Times New Roman" w:cs="Times New Roman"/>
          <w:kern w:val="0"/>
          <w:lang w:val="en-US"/>
          <w14:ligatures w14:val="none"/>
        </w:rPr>
      </w:pPr>
      <w:r w:rsidRPr="009558EF">
        <w:rPr>
          <w:rFonts w:ascii="Times New Roman" w:hAnsi="Times New Roman" w:cs="Times New Roman"/>
          <w:shd w:val="clear" w:color="auto" w:fill="FFFFFF"/>
        </w:rPr>
        <w:t>Rodríguez Anda, R., Richter, H.-G., Silva Guzmán, J. A., Satyanarayana, K. G., Koch, G., &amp; Fuentes Talavera, F. J. (2019). Formation of heartwood, chemical composition of extractives and natural durability of plantation-grown teak wood from Mexico. </w:t>
      </w:r>
      <w:proofErr w:type="spellStart"/>
      <w:r w:rsidRPr="009558EF">
        <w:rPr>
          <w:rFonts w:ascii="Times New Roman" w:hAnsi="Times New Roman" w:cs="Times New Roman"/>
          <w:i/>
          <w:iCs/>
          <w:shd w:val="clear" w:color="auto" w:fill="FFFFFF"/>
        </w:rPr>
        <w:t>Holzforschung</w:t>
      </w:r>
      <w:proofErr w:type="spellEnd"/>
      <w:r w:rsidRPr="009558EF">
        <w:rPr>
          <w:rFonts w:ascii="Times New Roman" w:hAnsi="Times New Roman" w:cs="Times New Roman"/>
          <w:shd w:val="clear" w:color="auto" w:fill="FFFFFF"/>
        </w:rPr>
        <w:t>, </w:t>
      </w:r>
      <w:r w:rsidRPr="009558EF">
        <w:rPr>
          <w:rFonts w:ascii="Times New Roman" w:hAnsi="Times New Roman" w:cs="Times New Roman"/>
          <w:i/>
          <w:iCs/>
          <w:shd w:val="clear" w:color="auto" w:fill="FFFFFF"/>
        </w:rPr>
        <w:t>73</w:t>
      </w:r>
      <w:r w:rsidRPr="009558EF">
        <w:rPr>
          <w:rFonts w:ascii="Times New Roman" w:hAnsi="Times New Roman" w:cs="Times New Roman"/>
          <w:shd w:val="clear" w:color="auto" w:fill="FFFFFF"/>
        </w:rPr>
        <w:t xml:space="preserve">(6), 547–557. </w:t>
      </w:r>
    </w:p>
    <w:p w14:paraId="4D886FCE" w14:textId="1FCD081C" w:rsidR="009558EF" w:rsidRPr="009558EF" w:rsidRDefault="009558EF" w:rsidP="00CC6500">
      <w:pPr>
        <w:pStyle w:val="ListParagraph"/>
        <w:numPr>
          <w:ilvl w:val="0"/>
          <w:numId w:val="19"/>
        </w:numPr>
        <w:spacing w:line="240" w:lineRule="auto"/>
        <w:jc w:val="both"/>
        <w:rPr>
          <w:rFonts w:ascii="Times New Roman" w:hAnsi="Times New Roman" w:cs="Times New Roman"/>
          <w:shd w:val="clear" w:color="auto" w:fill="FFFFFF"/>
        </w:rPr>
      </w:pPr>
      <w:r w:rsidRPr="009558EF">
        <w:rPr>
          <w:rFonts w:ascii="Times New Roman" w:hAnsi="Times New Roman" w:cs="Times New Roman"/>
          <w:shd w:val="clear" w:color="auto" w:fill="FFFFFF"/>
        </w:rPr>
        <w:t xml:space="preserve">Roshetko, J. M., </w:t>
      </w:r>
      <w:proofErr w:type="spellStart"/>
      <w:r w:rsidRPr="009558EF">
        <w:rPr>
          <w:rFonts w:ascii="Times New Roman" w:hAnsi="Times New Roman" w:cs="Times New Roman"/>
          <w:shd w:val="clear" w:color="auto" w:fill="FFFFFF"/>
        </w:rPr>
        <w:t>Rohadi</w:t>
      </w:r>
      <w:proofErr w:type="spellEnd"/>
      <w:r w:rsidRPr="009558EF">
        <w:rPr>
          <w:rFonts w:ascii="Times New Roman" w:hAnsi="Times New Roman" w:cs="Times New Roman"/>
          <w:shd w:val="clear" w:color="auto" w:fill="FFFFFF"/>
        </w:rPr>
        <w:t xml:space="preserve">, D., Perdana, A., Sabastian, G., </w:t>
      </w:r>
      <w:proofErr w:type="spellStart"/>
      <w:r w:rsidRPr="009558EF">
        <w:rPr>
          <w:rFonts w:ascii="Times New Roman" w:hAnsi="Times New Roman" w:cs="Times New Roman"/>
          <w:shd w:val="clear" w:color="auto" w:fill="FFFFFF"/>
        </w:rPr>
        <w:t>Nuryartono</w:t>
      </w:r>
      <w:proofErr w:type="spellEnd"/>
      <w:r w:rsidRPr="009558EF">
        <w:rPr>
          <w:rFonts w:ascii="Times New Roman" w:hAnsi="Times New Roman" w:cs="Times New Roman"/>
          <w:shd w:val="clear" w:color="auto" w:fill="FFFFFF"/>
        </w:rPr>
        <w:t xml:space="preserve">, N., </w:t>
      </w:r>
      <w:proofErr w:type="spellStart"/>
      <w:r w:rsidRPr="009558EF">
        <w:rPr>
          <w:rFonts w:ascii="Times New Roman" w:hAnsi="Times New Roman" w:cs="Times New Roman"/>
          <w:shd w:val="clear" w:color="auto" w:fill="FFFFFF"/>
        </w:rPr>
        <w:t>Pramono</w:t>
      </w:r>
      <w:proofErr w:type="spellEnd"/>
      <w:r w:rsidRPr="009558EF">
        <w:rPr>
          <w:rFonts w:ascii="Times New Roman" w:hAnsi="Times New Roman" w:cs="Times New Roman"/>
          <w:shd w:val="clear" w:color="auto" w:fill="FFFFFF"/>
        </w:rPr>
        <w:t xml:space="preserve">, A. A., </w:t>
      </w:r>
      <w:proofErr w:type="spellStart"/>
      <w:r w:rsidRPr="009558EF">
        <w:rPr>
          <w:rFonts w:ascii="Times New Roman" w:hAnsi="Times New Roman" w:cs="Times New Roman"/>
          <w:shd w:val="clear" w:color="auto" w:fill="FFFFFF"/>
        </w:rPr>
        <w:t>Widyani</w:t>
      </w:r>
      <w:proofErr w:type="spellEnd"/>
      <w:r w:rsidRPr="009558EF">
        <w:rPr>
          <w:rFonts w:ascii="Times New Roman" w:hAnsi="Times New Roman" w:cs="Times New Roman"/>
          <w:shd w:val="clear" w:color="auto" w:fill="FFFFFF"/>
        </w:rPr>
        <w:t xml:space="preserve">, N., </w:t>
      </w:r>
      <w:proofErr w:type="spellStart"/>
      <w:r w:rsidRPr="009558EF">
        <w:rPr>
          <w:rFonts w:ascii="Times New Roman" w:hAnsi="Times New Roman" w:cs="Times New Roman"/>
          <w:shd w:val="clear" w:color="auto" w:fill="FFFFFF"/>
        </w:rPr>
        <w:t>Manalu</w:t>
      </w:r>
      <w:proofErr w:type="spellEnd"/>
      <w:r w:rsidRPr="009558EF">
        <w:rPr>
          <w:rFonts w:ascii="Times New Roman" w:hAnsi="Times New Roman" w:cs="Times New Roman"/>
          <w:shd w:val="clear" w:color="auto" w:fill="FFFFFF"/>
        </w:rPr>
        <w:t xml:space="preserve">, P., Fauzi, M. A., </w:t>
      </w:r>
      <w:proofErr w:type="spellStart"/>
      <w:r w:rsidRPr="009558EF">
        <w:rPr>
          <w:rFonts w:ascii="Times New Roman" w:hAnsi="Times New Roman" w:cs="Times New Roman"/>
          <w:shd w:val="clear" w:color="auto" w:fill="FFFFFF"/>
        </w:rPr>
        <w:t>Sumardamto</w:t>
      </w:r>
      <w:proofErr w:type="spellEnd"/>
      <w:r w:rsidRPr="009558EF">
        <w:rPr>
          <w:rFonts w:ascii="Times New Roman" w:hAnsi="Times New Roman" w:cs="Times New Roman"/>
          <w:shd w:val="clear" w:color="auto" w:fill="FFFFFF"/>
        </w:rPr>
        <w:t xml:space="preserve">, P., &amp; </w:t>
      </w:r>
      <w:proofErr w:type="spellStart"/>
      <w:r w:rsidRPr="009558EF">
        <w:rPr>
          <w:rFonts w:ascii="Times New Roman" w:hAnsi="Times New Roman" w:cs="Times New Roman"/>
          <w:shd w:val="clear" w:color="auto" w:fill="FFFFFF"/>
        </w:rPr>
        <w:t>Kusumowardhani</w:t>
      </w:r>
      <w:proofErr w:type="spellEnd"/>
      <w:r w:rsidRPr="009558EF">
        <w:rPr>
          <w:rFonts w:ascii="Times New Roman" w:hAnsi="Times New Roman" w:cs="Times New Roman"/>
          <w:shd w:val="clear" w:color="auto" w:fill="FFFFFF"/>
        </w:rPr>
        <w:t>, N. (2013). Teak agroforestry systems for livelihood enhancement, industrial timber production, and environmental rehabilitation. </w:t>
      </w:r>
      <w:r w:rsidRPr="009558EF">
        <w:rPr>
          <w:rFonts w:ascii="Times New Roman" w:hAnsi="Times New Roman" w:cs="Times New Roman"/>
          <w:i/>
          <w:iCs/>
          <w:shd w:val="clear" w:color="auto" w:fill="FFFFFF"/>
        </w:rPr>
        <w:t>Forests, Trees and Livelihoods</w:t>
      </w:r>
      <w:r w:rsidRPr="009558EF">
        <w:rPr>
          <w:rFonts w:ascii="Times New Roman" w:hAnsi="Times New Roman" w:cs="Times New Roman"/>
          <w:shd w:val="clear" w:color="auto" w:fill="FFFFFF"/>
        </w:rPr>
        <w:t>, </w:t>
      </w:r>
      <w:r w:rsidRPr="009558EF">
        <w:rPr>
          <w:rFonts w:ascii="Times New Roman" w:hAnsi="Times New Roman" w:cs="Times New Roman"/>
          <w:i/>
          <w:iCs/>
          <w:shd w:val="clear" w:color="auto" w:fill="FFFFFF"/>
        </w:rPr>
        <w:t>22</w:t>
      </w:r>
      <w:r w:rsidRPr="009558EF">
        <w:rPr>
          <w:rFonts w:ascii="Times New Roman" w:hAnsi="Times New Roman" w:cs="Times New Roman"/>
          <w:shd w:val="clear" w:color="auto" w:fill="FFFFFF"/>
        </w:rPr>
        <w:t xml:space="preserve">(4), 241–256. </w:t>
      </w:r>
    </w:p>
    <w:p w14:paraId="06361BCA" w14:textId="17BCDF42"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 xml:space="preserve">Sardella, D., Muscat, A., Brincat, J.-P., </w:t>
      </w:r>
      <w:proofErr w:type="spellStart"/>
      <w:r w:rsidRPr="009558EF">
        <w:rPr>
          <w:rFonts w:ascii="Times New Roman" w:hAnsi="Times New Roman" w:cs="Times New Roman"/>
        </w:rPr>
        <w:t>Gatt</w:t>
      </w:r>
      <w:proofErr w:type="spellEnd"/>
      <w:r w:rsidRPr="009558EF">
        <w:rPr>
          <w:rFonts w:ascii="Times New Roman" w:hAnsi="Times New Roman" w:cs="Times New Roman"/>
        </w:rPr>
        <w:t xml:space="preserve">, R., Decelis, S., &amp; </w:t>
      </w:r>
      <w:proofErr w:type="spellStart"/>
      <w:r w:rsidRPr="009558EF">
        <w:rPr>
          <w:rFonts w:ascii="Times New Roman" w:hAnsi="Times New Roman" w:cs="Times New Roman"/>
        </w:rPr>
        <w:t>Valdramidis</w:t>
      </w:r>
      <w:proofErr w:type="spellEnd"/>
      <w:r w:rsidRPr="009558EF">
        <w:rPr>
          <w:rFonts w:ascii="Times New Roman" w:hAnsi="Times New Roman" w:cs="Times New Roman"/>
        </w:rPr>
        <w:t>, V. (2016). A Comprehensive Review of the Pear Fungal Diseases. </w:t>
      </w:r>
      <w:r w:rsidRPr="009558EF">
        <w:rPr>
          <w:rFonts w:ascii="Times New Roman" w:hAnsi="Times New Roman" w:cs="Times New Roman"/>
          <w:i/>
          <w:iCs/>
        </w:rPr>
        <w:t>International Journal of Fruit Science</w:t>
      </w:r>
      <w:r w:rsidRPr="009558EF">
        <w:rPr>
          <w:rFonts w:ascii="Times New Roman" w:hAnsi="Times New Roman" w:cs="Times New Roman"/>
        </w:rPr>
        <w:t>, </w:t>
      </w:r>
      <w:r w:rsidRPr="009558EF">
        <w:rPr>
          <w:rFonts w:ascii="Times New Roman" w:hAnsi="Times New Roman" w:cs="Times New Roman"/>
          <w:i/>
          <w:iCs/>
        </w:rPr>
        <w:t>16</w:t>
      </w:r>
      <w:r w:rsidRPr="009558EF">
        <w:rPr>
          <w:rFonts w:ascii="Times New Roman" w:hAnsi="Times New Roman" w:cs="Times New Roman"/>
        </w:rPr>
        <w:t xml:space="preserve">(4), 351–377. </w:t>
      </w:r>
    </w:p>
    <w:p w14:paraId="64D4C1B6" w14:textId="4462C684"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 xml:space="preserve">Singh, C. B., &amp; </w:t>
      </w:r>
      <w:proofErr w:type="spellStart"/>
      <w:r w:rsidRPr="009558EF">
        <w:rPr>
          <w:rFonts w:ascii="Times New Roman" w:hAnsi="Times New Roman" w:cs="Times New Roman"/>
        </w:rPr>
        <w:t>Fielke</w:t>
      </w:r>
      <w:proofErr w:type="spellEnd"/>
      <w:r w:rsidRPr="009558EF">
        <w:rPr>
          <w:rFonts w:ascii="Times New Roman" w:hAnsi="Times New Roman" w:cs="Times New Roman"/>
        </w:rPr>
        <w:t>, J. M. (2017). Recent developments in stored grain sensors, monitoring and management technology. </w:t>
      </w:r>
      <w:r w:rsidRPr="009558EF">
        <w:rPr>
          <w:rFonts w:ascii="Times New Roman" w:hAnsi="Times New Roman" w:cs="Times New Roman"/>
          <w:i/>
          <w:iCs/>
        </w:rPr>
        <w:t>IEEE Instrumentation &amp; Measurement Magazine</w:t>
      </w:r>
      <w:r w:rsidRPr="009558EF">
        <w:rPr>
          <w:rFonts w:ascii="Times New Roman" w:hAnsi="Times New Roman" w:cs="Times New Roman"/>
        </w:rPr>
        <w:t>, </w:t>
      </w:r>
      <w:r w:rsidRPr="009558EF">
        <w:rPr>
          <w:rFonts w:ascii="Times New Roman" w:hAnsi="Times New Roman" w:cs="Times New Roman"/>
          <w:i/>
          <w:iCs/>
        </w:rPr>
        <w:t>20</w:t>
      </w:r>
      <w:r w:rsidRPr="009558EF">
        <w:rPr>
          <w:rFonts w:ascii="Times New Roman" w:hAnsi="Times New Roman" w:cs="Times New Roman"/>
        </w:rPr>
        <w:t>(3), 32–55.</w:t>
      </w:r>
      <w:r w:rsidR="00E87620" w:rsidRPr="009558EF">
        <w:rPr>
          <w:rFonts w:ascii="Times New Roman" w:hAnsi="Times New Roman" w:cs="Times New Roman"/>
        </w:rPr>
        <w:t xml:space="preserve"> </w:t>
      </w:r>
    </w:p>
    <w:p w14:paraId="51185F33" w14:textId="1C668F7F"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Smith, H. F., Ling, S., &amp; Boer, K. (2017). Teak plantation smallholders in Lao PDR: what influences compliance with plantation regulations? </w:t>
      </w:r>
      <w:r w:rsidRPr="009558EF">
        <w:rPr>
          <w:rFonts w:ascii="Times New Roman" w:hAnsi="Times New Roman" w:cs="Times New Roman"/>
          <w:i/>
          <w:iCs/>
        </w:rPr>
        <w:t>Australian Forestry</w:t>
      </w:r>
      <w:r w:rsidRPr="009558EF">
        <w:rPr>
          <w:rFonts w:ascii="Times New Roman" w:hAnsi="Times New Roman" w:cs="Times New Roman"/>
        </w:rPr>
        <w:t>, </w:t>
      </w:r>
      <w:r w:rsidRPr="009558EF">
        <w:rPr>
          <w:rFonts w:ascii="Times New Roman" w:hAnsi="Times New Roman" w:cs="Times New Roman"/>
          <w:i/>
          <w:iCs/>
        </w:rPr>
        <w:t>80</w:t>
      </w:r>
      <w:r w:rsidRPr="009558EF">
        <w:rPr>
          <w:rFonts w:ascii="Times New Roman" w:hAnsi="Times New Roman" w:cs="Times New Roman"/>
        </w:rPr>
        <w:t xml:space="preserve">(3), 178–187. </w:t>
      </w:r>
    </w:p>
    <w:p w14:paraId="2F08F993" w14:textId="259BB0F0" w:rsidR="009558EF" w:rsidRPr="009558EF" w:rsidRDefault="009558EF" w:rsidP="00CC6500">
      <w:pPr>
        <w:pStyle w:val="ListParagraph"/>
        <w:numPr>
          <w:ilvl w:val="0"/>
          <w:numId w:val="19"/>
        </w:numPr>
        <w:spacing w:line="240" w:lineRule="auto"/>
        <w:jc w:val="both"/>
        <w:rPr>
          <w:rFonts w:ascii="Times New Roman" w:hAnsi="Times New Roman" w:cs="Times New Roman"/>
          <w:bCs/>
        </w:rPr>
      </w:pPr>
      <w:r w:rsidRPr="009558EF">
        <w:rPr>
          <w:rFonts w:ascii="Times New Roman" w:hAnsi="Times New Roman" w:cs="Times New Roman"/>
          <w:bCs/>
        </w:rPr>
        <w:t>Solomon, S. (2009). Post-harvest deterioration of sugarcane. </w:t>
      </w:r>
      <w:r w:rsidRPr="009558EF">
        <w:rPr>
          <w:rFonts w:ascii="Times New Roman" w:hAnsi="Times New Roman" w:cs="Times New Roman"/>
          <w:bCs/>
          <w:i/>
          <w:iCs/>
        </w:rPr>
        <w:t>Sugar Tech</w:t>
      </w:r>
      <w:r w:rsidRPr="009558EF">
        <w:rPr>
          <w:rFonts w:ascii="Times New Roman" w:hAnsi="Times New Roman" w:cs="Times New Roman"/>
          <w:bCs/>
        </w:rPr>
        <w:t>, </w:t>
      </w:r>
      <w:r w:rsidRPr="009558EF">
        <w:rPr>
          <w:rFonts w:ascii="Times New Roman" w:hAnsi="Times New Roman" w:cs="Times New Roman"/>
          <w:bCs/>
          <w:i/>
          <w:iCs/>
        </w:rPr>
        <w:t>11</w:t>
      </w:r>
      <w:r w:rsidRPr="009558EF">
        <w:rPr>
          <w:rFonts w:ascii="Times New Roman" w:hAnsi="Times New Roman" w:cs="Times New Roman"/>
          <w:bCs/>
        </w:rPr>
        <w:t xml:space="preserve">(2), 109–123. </w:t>
      </w:r>
    </w:p>
    <w:p w14:paraId="065B5246" w14:textId="60DFAAB2" w:rsidR="009558EF" w:rsidRPr="009558EF" w:rsidRDefault="009558EF" w:rsidP="00CC6500">
      <w:pPr>
        <w:pStyle w:val="ListParagraph"/>
        <w:numPr>
          <w:ilvl w:val="0"/>
          <w:numId w:val="19"/>
        </w:numPr>
        <w:spacing w:line="240" w:lineRule="auto"/>
        <w:jc w:val="both"/>
        <w:rPr>
          <w:rFonts w:ascii="Times New Roman" w:hAnsi="Times New Roman" w:cs="Times New Roman"/>
        </w:rPr>
      </w:pPr>
      <w:proofErr w:type="spellStart"/>
      <w:r w:rsidRPr="009558EF">
        <w:rPr>
          <w:rFonts w:ascii="Times New Roman" w:hAnsi="Times New Roman" w:cs="Times New Roman"/>
        </w:rPr>
        <w:t>Sommerauer</w:t>
      </w:r>
      <w:proofErr w:type="spellEnd"/>
      <w:r w:rsidRPr="009558EF">
        <w:rPr>
          <w:rFonts w:ascii="Times New Roman" w:hAnsi="Times New Roman" w:cs="Times New Roman"/>
        </w:rPr>
        <w:t xml:space="preserve">, L., Tondi, G., </w:t>
      </w:r>
      <w:proofErr w:type="spellStart"/>
      <w:r w:rsidRPr="009558EF">
        <w:rPr>
          <w:rFonts w:ascii="Times New Roman" w:hAnsi="Times New Roman" w:cs="Times New Roman"/>
        </w:rPr>
        <w:t>Thevenon</w:t>
      </w:r>
      <w:proofErr w:type="spellEnd"/>
      <w:r w:rsidRPr="009558EF">
        <w:rPr>
          <w:rFonts w:ascii="Times New Roman" w:hAnsi="Times New Roman" w:cs="Times New Roman"/>
        </w:rPr>
        <w:t xml:space="preserve">, M.-F., &amp; </w:t>
      </w:r>
      <w:proofErr w:type="spellStart"/>
      <w:r w:rsidRPr="009558EF">
        <w:rPr>
          <w:rFonts w:ascii="Times New Roman" w:hAnsi="Times New Roman" w:cs="Times New Roman"/>
        </w:rPr>
        <w:t>Petutschnigg</w:t>
      </w:r>
      <w:proofErr w:type="spellEnd"/>
      <w:r w:rsidRPr="009558EF">
        <w:rPr>
          <w:rFonts w:ascii="Times New Roman" w:hAnsi="Times New Roman" w:cs="Times New Roman"/>
        </w:rPr>
        <w:t>, A. (2019). Effect of hardening parameters of wood preservatives based on tannin copolymers. </w:t>
      </w:r>
      <w:proofErr w:type="spellStart"/>
      <w:r w:rsidRPr="009558EF">
        <w:rPr>
          <w:rFonts w:ascii="Times New Roman" w:hAnsi="Times New Roman" w:cs="Times New Roman"/>
          <w:i/>
          <w:iCs/>
        </w:rPr>
        <w:t>Holzforschung</w:t>
      </w:r>
      <w:proofErr w:type="spellEnd"/>
      <w:r w:rsidRPr="009558EF">
        <w:rPr>
          <w:rFonts w:ascii="Times New Roman" w:hAnsi="Times New Roman" w:cs="Times New Roman"/>
        </w:rPr>
        <w:t>, </w:t>
      </w:r>
      <w:r w:rsidRPr="009558EF">
        <w:rPr>
          <w:rFonts w:ascii="Times New Roman" w:hAnsi="Times New Roman" w:cs="Times New Roman"/>
          <w:i/>
          <w:iCs/>
        </w:rPr>
        <w:t>73</w:t>
      </w:r>
      <w:r w:rsidRPr="009558EF">
        <w:rPr>
          <w:rFonts w:ascii="Times New Roman" w:hAnsi="Times New Roman" w:cs="Times New Roman"/>
        </w:rPr>
        <w:t xml:space="preserve">(5), 457–467. </w:t>
      </w:r>
    </w:p>
    <w:p w14:paraId="7870010C" w14:textId="52D2E252"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shd w:val="clear" w:color="auto" w:fill="FFFFFF"/>
        </w:rPr>
        <w:t xml:space="preserve">Souza, A. M., Almeida, T. H., Lopes Silva, D. A., Lahr, F. A. R., Nascimento, M. F., Christoforo, A. L., &amp; Almeida, D. H. (2018). Wood-based composite made of wood waste and </w:t>
      </w:r>
      <w:r w:rsidR="00E87620" w:rsidRPr="009558EF">
        <w:rPr>
          <w:rFonts w:ascii="Times New Roman" w:hAnsi="Times New Roman" w:cs="Times New Roman"/>
          <w:shd w:val="clear" w:color="auto" w:fill="FFFFFF"/>
        </w:rPr>
        <w:t>epoxy-based</w:t>
      </w:r>
      <w:r w:rsidRPr="009558EF">
        <w:rPr>
          <w:rFonts w:ascii="Times New Roman" w:hAnsi="Times New Roman" w:cs="Times New Roman"/>
          <w:shd w:val="clear" w:color="auto" w:fill="FFFFFF"/>
        </w:rPr>
        <w:t xml:space="preserve"> ink-waste as adhesive: A cleaner production alternative. </w:t>
      </w:r>
      <w:r w:rsidRPr="009558EF">
        <w:rPr>
          <w:rFonts w:ascii="Times New Roman" w:hAnsi="Times New Roman" w:cs="Times New Roman"/>
          <w:i/>
          <w:iCs/>
          <w:shd w:val="clear" w:color="auto" w:fill="FFFFFF"/>
        </w:rPr>
        <w:t>Journal of Cleaner Production</w:t>
      </w:r>
      <w:r w:rsidRPr="009558EF">
        <w:rPr>
          <w:rFonts w:ascii="Times New Roman" w:hAnsi="Times New Roman" w:cs="Times New Roman"/>
          <w:shd w:val="clear" w:color="auto" w:fill="FFFFFF"/>
        </w:rPr>
        <w:t>, </w:t>
      </w:r>
      <w:r w:rsidRPr="009558EF">
        <w:rPr>
          <w:rFonts w:ascii="Times New Roman" w:hAnsi="Times New Roman" w:cs="Times New Roman"/>
          <w:i/>
          <w:iCs/>
          <w:shd w:val="clear" w:color="auto" w:fill="FFFFFF"/>
        </w:rPr>
        <w:t>193</w:t>
      </w:r>
      <w:r w:rsidRPr="009558EF">
        <w:rPr>
          <w:rFonts w:ascii="Times New Roman" w:hAnsi="Times New Roman" w:cs="Times New Roman"/>
          <w:shd w:val="clear" w:color="auto" w:fill="FFFFFF"/>
        </w:rPr>
        <w:t xml:space="preserve">, 549–562. </w:t>
      </w:r>
    </w:p>
    <w:p w14:paraId="7BE51D58" w14:textId="7F415441"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 xml:space="preserve">Stook, K., Solo-Gabriele, H., Townsend, T., Ward, M., Dubey, B., Bitton, G., &amp; </w:t>
      </w:r>
      <w:proofErr w:type="spellStart"/>
      <w:r w:rsidRPr="009558EF">
        <w:rPr>
          <w:rFonts w:ascii="Times New Roman" w:hAnsi="Times New Roman" w:cs="Times New Roman"/>
        </w:rPr>
        <w:t>Tolaymat</w:t>
      </w:r>
      <w:proofErr w:type="spellEnd"/>
      <w:r w:rsidRPr="009558EF">
        <w:rPr>
          <w:rFonts w:ascii="Times New Roman" w:hAnsi="Times New Roman" w:cs="Times New Roman"/>
        </w:rPr>
        <w:t>, T. (2004). Relative Leaching and Aquatic Toxicity of Pressure-Treated Wood Products Using Batch Leaching Tests. </w:t>
      </w:r>
      <w:r w:rsidRPr="009558EF">
        <w:rPr>
          <w:rFonts w:ascii="Times New Roman" w:hAnsi="Times New Roman" w:cs="Times New Roman"/>
          <w:i/>
          <w:iCs/>
        </w:rPr>
        <w:t>Environmental Science &amp; Technology</w:t>
      </w:r>
      <w:r w:rsidRPr="009558EF">
        <w:rPr>
          <w:rFonts w:ascii="Times New Roman" w:hAnsi="Times New Roman" w:cs="Times New Roman"/>
        </w:rPr>
        <w:t>, </w:t>
      </w:r>
      <w:r w:rsidRPr="009558EF">
        <w:rPr>
          <w:rFonts w:ascii="Times New Roman" w:hAnsi="Times New Roman" w:cs="Times New Roman"/>
          <w:i/>
          <w:iCs/>
        </w:rPr>
        <w:t>39</w:t>
      </w:r>
      <w:r w:rsidRPr="009558EF">
        <w:rPr>
          <w:rFonts w:ascii="Times New Roman" w:hAnsi="Times New Roman" w:cs="Times New Roman"/>
        </w:rPr>
        <w:t xml:space="preserve">(1), 155–163. </w:t>
      </w:r>
    </w:p>
    <w:p w14:paraId="1FA3C011" w14:textId="084A341C"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 xml:space="preserve">Teng, T.-J., Lee, H.-L., Sudesh, K., Ng, E.-P., Mat </w:t>
      </w:r>
      <w:proofErr w:type="spellStart"/>
      <w:r w:rsidRPr="009558EF">
        <w:rPr>
          <w:rFonts w:ascii="Times New Roman" w:hAnsi="Times New Roman" w:cs="Times New Roman"/>
        </w:rPr>
        <w:t>Arip</w:t>
      </w:r>
      <w:proofErr w:type="spellEnd"/>
      <w:r w:rsidRPr="009558EF">
        <w:rPr>
          <w:rFonts w:ascii="Times New Roman" w:hAnsi="Times New Roman" w:cs="Times New Roman"/>
        </w:rPr>
        <w:t xml:space="preserve">, M. N., </w:t>
      </w:r>
      <w:proofErr w:type="spellStart"/>
      <w:r w:rsidRPr="009558EF">
        <w:rPr>
          <w:rFonts w:ascii="Times New Roman" w:hAnsi="Times New Roman" w:cs="Times New Roman"/>
        </w:rPr>
        <w:t>Nemoikina</w:t>
      </w:r>
      <w:proofErr w:type="spellEnd"/>
      <w:r w:rsidRPr="009558EF">
        <w:rPr>
          <w:rFonts w:ascii="Times New Roman" w:hAnsi="Times New Roman" w:cs="Times New Roman"/>
        </w:rPr>
        <w:t>, A., &amp; Jalaludin, Z. (2018). Conventional Technology and Nanotechnology in Wood Preservation: A Review. </w:t>
      </w:r>
      <w:proofErr w:type="spellStart"/>
      <w:r w:rsidRPr="009558EF">
        <w:rPr>
          <w:rFonts w:ascii="Times New Roman" w:hAnsi="Times New Roman" w:cs="Times New Roman"/>
          <w:i/>
          <w:iCs/>
        </w:rPr>
        <w:t>BioResources</w:t>
      </w:r>
      <w:proofErr w:type="spellEnd"/>
      <w:r w:rsidRPr="009558EF">
        <w:rPr>
          <w:rFonts w:ascii="Times New Roman" w:hAnsi="Times New Roman" w:cs="Times New Roman"/>
        </w:rPr>
        <w:t>, </w:t>
      </w:r>
      <w:r w:rsidRPr="009558EF">
        <w:rPr>
          <w:rFonts w:ascii="Times New Roman" w:hAnsi="Times New Roman" w:cs="Times New Roman"/>
          <w:i/>
          <w:iCs/>
        </w:rPr>
        <w:t>13</w:t>
      </w:r>
      <w:r w:rsidRPr="009558EF">
        <w:rPr>
          <w:rFonts w:ascii="Times New Roman" w:hAnsi="Times New Roman" w:cs="Times New Roman"/>
        </w:rPr>
        <w:t xml:space="preserve">(4). </w:t>
      </w:r>
    </w:p>
    <w:p w14:paraId="680C12D5" w14:textId="0652D4FC"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 xml:space="preserve">Teng, T.-J., Lee, H.-L., Sudesh, K., Ng, E.-P., Mat </w:t>
      </w:r>
      <w:proofErr w:type="spellStart"/>
      <w:r w:rsidRPr="009558EF">
        <w:rPr>
          <w:rFonts w:ascii="Times New Roman" w:hAnsi="Times New Roman" w:cs="Times New Roman"/>
        </w:rPr>
        <w:t>Arip</w:t>
      </w:r>
      <w:proofErr w:type="spellEnd"/>
      <w:r w:rsidRPr="009558EF">
        <w:rPr>
          <w:rFonts w:ascii="Times New Roman" w:hAnsi="Times New Roman" w:cs="Times New Roman"/>
        </w:rPr>
        <w:t xml:space="preserve">, M. N., </w:t>
      </w:r>
      <w:proofErr w:type="spellStart"/>
      <w:r w:rsidRPr="009558EF">
        <w:rPr>
          <w:rFonts w:ascii="Times New Roman" w:hAnsi="Times New Roman" w:cs="Times New Roman"/>
        </w:rPr>
        <w:t>Nemoikina</w:t>
      </w:r>
      <w:proofErr w:type="spellEnd"/>
      <w:r w:rsidRPr="009558EF">
        <w:rPr>
          <w:rFonts w:ascii="Times New Roman" w:hAnsi="Times New Roman" w:cs="Times New Roman"/>
        </w:rPr>
        <w:t>, A., &amp; Jalaludin, Z. (2018). Conventional Technology and Nanotechnology in Wood Preservation: A Review. </w:t>
      </w:r>
      <w:proofErr w:type="spellStart"/>
      <w:r w:rsidRPr="009558EF">
        <w:rPr>
          <w:rFonts w:ascii="Times New Roman" w:hAnsi="Times New Roman" w:cs="Times New Roman"/>
          <w:i/>
          <w:iCs/>
        </w:rPr>
        <w:t>BioResources</w:t>
      </w:r>
      <w:proofErr w:type="spellEnd"/>
      <w:r w:rsidRPr="009558EF">
        <w:rPr>
          <w:rFonts w:ascii="Times New Roman" w:hAnsi="Times New Roman" w:cs="Times New Roman"/>
        </w:rPr>
        <w:t>, </w:t>
      </w:r>
      <w:r w:rsidRPr="009558EF">
        <w:rPr>
          <w:rFonts w:ascii="Times New Roman" w:hAnsi="Times New Roman" w:cs="Times New Roman"/>
          <w:i/>
          <w:iCs/>
        </w:rPr>
        <w:t>13</w:t>
      </w:r>
      <w:r w:rsidRPr="009558EF">
        <w:rPr>
          <w:rFonts w:ascii="Times New Roman" w:hAnsi="Times New Roman" w:cs="Times New Roman"/>
        </w:rPr>
        <w:t>(4).</w:t>
      </w:r>
      <w:r w:rsidR="00E87620" w:rsidRPr="009558EF">
        <w:rPr>
          <w:rFonts w:ascii="Times New Roman" w:hAnsi="Times New Roman" w:cs="Times New Roman"/>
        </w:rPr>
        <w:t xml:space="preserve"> </w:t>
      </w:r>
    </w:p>
    <w:p w14:paraId="323B5A3C" w14:textId="32C17794" w:rsidR="009558EF" w:rsidRPr="009558EF" w:rsidRDefault="009558EF" w:rsidP="00CC6500">
      <w:pPr>
        <w:pStyle w:val="ListParagraph"/>
        <w:numPr>
          <w:ilvl w:val="0"/>
          <w:numId w:val="19"/>
        </w:numPr>
        <w:spacing w:line="240" w:lineRule="auto"/>
        <w:jc w:val="both"/>
        <w:rPr>
          <w:rFonts w:ascii="Times New Roman" w:hAnsi="Times New Roman" w:cs="Times New Roman"/>
          <w:b/>
          <w:bCs/>
        </w:rPr>
      </w:pPr>
      <w:r w:rsidRPr="009558EF">
        <w:rPr>
          <w:rFonts w:ascii="Times New Roman" w:hAnsi="Times New Roman" w:cs="Times New Roman"/>
          <w:shd w:val="clear" w:color="auto" w:fill="FFFFFF"/>
        </w:rPr>
        <w:t>Thulasidas, P. K., &amp; Bhat, K. M. (2006). Chemical extractive compounds determining the brown-rot decay resistance of teak wood. </w:t>
      </w:r>
      <w:r w:rsidRPr="009558EF">
        <w:rPr>
          <w:rFonts w:ascii="Times New Roman" w:hAnsi="Times New Roman" w:cs="Times New Roman"/>
          <w:i/>
          <w:iCs/>
          <w:shd w:val="clear" w:color="auto" w:fill="FFFFFF"/>
        </w:rPr>
        <w:t xml:space="preserve">Holz Als Roh- Und </w:t>
      </w:r>
      <w:proofErr w:type="spellStart"/>
      <w:r w:rsidRPr="009558EF">
        <w:rPr>
          <w:rFonts w:ascii="Times New Roman" w:hAnsi="Times New Roman" w:cs="Times New Roman"/>
          <w:i/>
          <w:iCs/>
          <w:shd w:val="clear" w:color="auto" w:fill="FFFFFF"/>
        </w:rPr>
        <w:t>Werkstoff</w:t>
      </w:r>
      <w:proofErr w:type="spellEnd"/>
      <w:r w:rsidRPr="009558EF">
        <w:rPr>
          <w:rFonts w:ascii="Times New Roman" w:hAnsi="Times New Roman" w:cs="Times New Roman"/>
          <w:shd w:val="clear" w:color="auto" w:fill="FFFFFF"/>
        </w:rPr>
        <w:t>, </w:t>
      </w:r>
      <w:r w:rsidRPr="009558EF">
        <w:rPr>
          <w:rFonts w:ascii="Times New Roman" w:hAnsi="Times New Roman" w:cs="Times New Roman"/>
          <w:i/>
          <w:iCs/>
          <w:shd w:val="clear" w:color="auto" w:fill="FFFFFF"/>
        </w:rPr>
        <w:t>65</w:t>
      </w:r>
      <w:r w:rsidRPr="009558EF">
        <w:rPr>
          <w:rFonts w:ascii="Times New Roman" w:hAnsi="Times New Roman" w:cs="Times New Roman"/>
          <w:shd w:val="clear" w:color="auto" w:fill="FFFFFF"/>
        </w:rPr>
        <w:t xml:space="preserve">(2), 121–124. </w:t>
      </w:r>
    </w:p>
    <w:p w14:paraId="2A017602" w14:textId="12873BDE"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Toivonen, P. M. A., &amp; Brummell, D. A. (2007). Biochemical bases of appearance and texture changes in fresh-cut fruit and vegetables. </w:t>
      </w:r>
      <w:r w:rsidRPr="009558EF">
        <w:rPr>
          <w:rFonts w:ascii="Times New Roman" w:hAnsi="Times New Roman" w:cs="Times New Roman"/>
          <w:i/>
          <w:iCs/>
        </w:rPr>
        <w:t>Postharvest Biology and Technology</w:t>
      </w:r>
      <w:r w:rsidRPr="009558EF">
        <w:rPr>
          <w:rFonts w:ascii="Times New Roman" w:hAnsi="Times New Roman" w:cs="Times New Roman"/>
        </w:rPr>
        <w:t>, </w:t>
      </w:r>
      <w:r w:rsidRPr="009558EF">
        <w:rPr>
          <w:rFonts w:ascii="Times New Roman" w:hAnsi="Times New Roman" w:cs="Times New Roman"/>
          <w:i/>
          <w:iCs/>
        </w:rPr>
        <w:t>48</w:t>
      </w:r>
      <w:r w:rsidRPr="009558EF">
        <w:rPr>
          <w:rFonts w:ascii="Times New Roman" w:hAnsi="Times New Roman" w:cs="Times New Roman"/>
        </w:rPr>
        <w:t xml:space="preserve">(1), 1–14. </w:t>
      </w:r>
    </w:p>
    <w:p w14:paraId="1518E5C6" w14:textId="691064B9"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Tomao, A., Antonio Bonet, J., Castaño, C., &amp; De-Miguel, S. (2019). How does forest management affect fungal diversity and community composition? Current knowledge and future perspectives for the conservation of forest fungi. </w:t>
      </w:r>
      <w:r w:rsidRPr="009558EF">
        <w:rPr>
          <w:rFonts w:ascii="Times New Roman" w:hAnsi="Times New Roman" w:cs="Times New Roman"/>
          <w:i/>
          <w:iCs/>
        </w:rPr>
        <w:t>Forest Ecology and Management</w:t>
      </w:r>
      <w:r w:rsidRPr="009558EF">
        <w:rPr>
          <w:rFonts w:ascii="Times New Roman" w:hAnsi="Times New Roman" w:cs="Times New Roman"/>
        </w:rPr>
        <w:t>, </w:t>
      </w:r>
      <w:r w:rsidRPr="009558EF">
        <w:rPr>
          <w:rFonts w:ascii="Times New Roman" w:hAnsi="Times New Roman" w:cs="Times New Roman"/>
          <w:i/>
          <w:iCs/>
        </w:rPr>
        <w:t>457</w:t>
      </w:r>
      <w:r w:rsidRPr="009558EF">
        <w:rPr>
          <w:rFonts w:ascii="Times New Roman" w:hAnsi="Times New Roman" w:cs="Times New Roman"/>
        </w:rPr>
        <w:t xml:space="preserve">, 117678. </w:t>
      </w:r>
    </w:p>
    <w:p w14:paraId="7733957F" w14:textId="34F50C70"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 xml:space="preserve">Treu, A., Nunes, L., &amp; </w:t>
      </w:r>
      <w:proofErr w:type="spellStart"/>
      <w:r w:rsidRPr="009558EF">
        <w:rPr>
          <w:rFonts w:ascii="Times New Roman" w:hAnsi="Times New Roman" w:cs="Times New Roman"/>
        </w:rPr>
        <w:t>Larnøy</w:t>
      </w:r>
      <w:proofErr w:type="spellEnd"/>
      <w:r w:rsidRPr="009558EF">
        <w:rPr>
          <w:rFonts w:ascii="Times New Roman" w:hAnsi="Times New Roman" w:cs="Times New Roman"/>
        </w:rPr>
        <w:t xml:space="preserve">, E. (2020). </w:t>
      </w:r>
      <w:proofErr w:type="spellStart"/>
      <w:r w:rsidRPr="009558EF">
        <w:rPr>
          <w:rFonts w:ascii="Times New Roman" w:hAnsi="Times New Roman" w:cs="Times New Roman"/>
        </w:rPr>
        <w:t>Macrobiological</w:t>
      </w:r>
      <w:proofErr w:type="spellEnd"/>
      <w:r w:rsidRPr="009558EF">
        <w:rPr>
          <w:rFonts w:ascii="Times New Roman" w:hAnsi="Times New Roman" w:cs="Times New Roman"/>
        </w:rPr>
        <w:t xml:space="preserve"> Degradation of Esterified Wood with Sorbitol and Citric Acid. </w:t>
      </w:r>
      <w:r w:rsidRPr="009558EF">
        <w:rPr>
          <w:rFonts w:ascii="Times New Roman" w:hAnsi="Times New Roman" w:cs="Times New Roman"/>
          <w:i/>
          <w:iCs/>
        </w:rPr>
        <w:t>Forests</w:t>
      </w:r>
      <w:r w:rsidRPr="009558EF">
        <w:rPr>
          <w:rFonts w:ascii="Times New Roman" w:hAnsi="Times New Roman" w:cs="Times New Roman"/>
        </w:rPr>
        <w:t>, </w:t>
      </w:r>
      <w:r w:rsidRPr="009558EF">
        <w:rPr>
          <w:rFonts w:ascii="Times New Roman" w:hAnsi="Times New Roman" w:cs="Times New Roman"/>
          <w:i/>
          <w:iCs/>
        </w:rPr>
        <w:t>11</w:t>
      </w:r>
      <w:r w:rsidRPr="009558EF">
        <w:rPr>
          <w:rFonts w:ascii="Times New Roman" w:hAnsi="Times New Roman" w:cs="Times New Roman"/>
        </w:rPr>
        <w:t xml:space="preserve">(7), 776. </w:t>
      </w:r>
    </w:p>
    <w:p w14:paraId="10FB2EAA" w14:textId="37EAE880" w:rsidR="009558EF" w:rsidRPr="009558EF" w:rsidRDefault="009558EF" w:rsidP="00CC6500">
      <w:pPr>
        <w:pStyle w:val="ListParagraph"/>
        <w:numPr>
          <w:ilvl w:val="0"/>
          <w:numId w:val="19"/>
        </w:numPr>
        <w:spacing w:line="240" w:lineRule="auto"/>
        <w:jc w:val="both"/>
        <w:rPr>
          <w:rFonts w:ascii="Times New Roman" w:hAnsi="Times New Roman" w:cs="Times New Roman"/>
        </w:rPr>
      </w:pPr>
      <w:proofErr w:type="spellStart"/>
      <w:r w:rsidRPr="009558EF">
        <w:rPr>
          <w:rFonts w:ascii="Times New Roman" w:hAnsi="Times New Roman" w:cs="Times New Roman"/>
        </w:rPr>
        <w:lastRenderedPageBreak/>
        <w:t>Valduga</w:t>
      </w:r>
      <w:proofErr w:type="spellEnd"/>
      <w:r w:rsidRPr="009558EF">
        <w:rPr>
          <w:rFonts w:ascii="Times New Roman" w:hAnsi="Times New Roman" w:cs="Times New Roman"/>
        </w:rPr>
        <w:t xml:space="preserve">, M. O., </w:t>
      </w:r>
      <w:proofErr w:type="spellStart"/>
      <w:r w:rsidRPr="009558EF">
        <w:rPr>
          <w:rFonts w:ascii="Times New Roman" w:hAnsi="Times New Roman" w:cs="Times New Roman"/>
        </w:rPr>
        <w:t>Vitule</w:t>
      </w:r>
      <w:proofErr w:type="spellEnd"/>
      <w:r w:rsidRPr="009558EF">
        <w:rPr>
          <w:rFonts w:ascii="Times New Roman" w:hAnsi="Times New Roman" w:cs="Times New Roman"/>
        </w:rPr>
        <w:t xml:space="preserve">, J. R. S., &amp; Zenni, R. D. (2016). Ecological impacts of non-native tree species plantations are broad and heterogeneous: a review of Brazilian research. Anais Da Academia Brasileira de </w:t>
      </w:r>
      <w:proofErr w:type="spellStart"/>
      <w:r w:rsidRPr="009558EF">
        <w:rPr>
          <w:rFonts w:ascii="Times New Roman" w:hAnsi="Times New Roman" w:cs="Times New Roman"/>
        </w:rPr>
        <w:t>Ciências</w:t>
      </w:r>
      <w:proofErr w:type="spellEnd"/>
      <w:r w:rsidRPr="009558EF">
        <w:rPr>
          <w:rFonts w:ascii="Times New Roman" w:hAnsi="Times New Roman" w:cs="Times New Roman"/>
        </w:rPr>
        <w:t>, 88(</w:t>
      </w:r>
      <w:proofErr w:type="spellStart"/>
      <w:r w:rsidRPr="009558EF">
        <w:rPr>
          <w:rFonts w:ascii="Times New Roman" w:hAnsi="Times New Roman" w:cs="Times New Roman"/>
        </w:rPr>
        <w:t>Suppl</w:t>
      </w:r>
      <w:proofErr w:type="spellEnd"/>
      <w:r w:rsidRPr="009558EF">
        <w:rPr>
          <w:rFonts w:ascii="Times New Roman" w:hAnsi="Times New Roman" w:cs="Times New Roman"/>
        </w:rPr>
        <w:t xml:space="preserve"> 3), 1675–1688. </w:t>
      </w:r>
    </w:p>
    <w:p w14:paraId="0F39D740" w14:textId="49E638BD" w:rsidR="009558EF" w:rsidRPr="009558EF" w:rsidRDefault="009558EF" w:rsidP="00CC6500">
      <w:pPr>
        <w:pStyle w:val="ListParagraph"/>
        <w:numPr>
          <w:ilvl w:val="0"/>
          <w:numId w:val="19"/>
        </w:numPr>
        <w:spacing w:line="240" w:lineRule="auto"/>
        <w:jc w:val="both"/>
        <w:rPr>
          <w:rFonts w:ascii="Times New Roman" w:hAnsi="Times New Roman" w:cs="Times New Roman"/>
          <w:b/>
          <w:bCs/>
        </w:rPr>
      </w:pPr>
      <w:r w:rsidRPr="009558EF">
        <w:rPr>
          <w:rFonts w:ascii="Times New Roman" w:hAnsi="Times New Roman" w:cs="Times New Roman"/>
          <w:shd w:val="clear" w:color="auto" w:fill="FFFFFF"/>
        </w:rPr>
        <w:t>Vyas, P., Yadav, D. K., &amp; Khandelwal, P. (2018). Tectona grandis (teak) – A review on its phytochemical and therapeutic potential. </w:t>
      </w:r>
      <w:r w:rsidRPr="009558EF">
        <w:rPr>
          <w:rFonts w:ascii="Times New Roman" w:hAnsi="Times New Roman" w:cs="Times New Roman"/>
          <w:i/>
          <w:iCs/>
          <w:shd w:val="clear" w:color="auto" w:fill="FFFFFF"/>
        </w:rPr>
        <w:t>Natural Product Research</w:t>
      </w:r>
      <w:r w:rsidRPr="009558EF">
        <w:rPr>
          <w:rFonts w:ascii="Times New Roman" w:hAnsi="Times New Roman" w:cs="Times New Roman"/>
          <w:shd w:val="clear" w:color="auto" w:fill="FFFFFF"/>
        </w:rPr>
        <w:t>, </w:t>
      </w:r>
      <w:r w:rsidRPr="009558EF">
        <w:rPr>
          <w:rFonts w:ascii="Times New Roman" w:hAnsi="Times New Roman" w:cs="Times New Roman"/>
          <w:i/>
          <w:iCs/>
          <w:shd w:val="clear" w:color="auto" w:fill="FFFFFF"/>
        </w:rPr>
        <w:t>33</w:t>
      </w:r>
      <w:r w:rsidRPr="009558EF">
        <w:rPr>
          <w:rFonts w:ascii="Times New Roman" w:hAnsi="Times New Roman" w:cs="Times New Roman"/>
          <w:shd w:val="clear" w:color="auto" w:fill="FFFFFF"/>
        </w:rPr>
        <w:t xml:space="preserve">(16), 2338–2354. </w:t>
      </w:r>
    </w:p>
    <w:p w14:paraId="097167AA" w14:textId="77777777" w:rsidR="00EC184C" w:rsidRDefault="009558EF" w:rsidP="00EC184C">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Weng, X., Jiang, J., Fu, Z., Zhou, F., Gao, X., &amp; Zhou, Y. (2021). Effects of microwave pretreatment on drying of 50\xa0mm-thickness Chinese fir lumber. </w:t>
      </w:r>
      <w:r w:rsidRPr="009558EF">
        <w:rPr>
          <w:rFonts w:ascii="Times New Roman" w:hAnsi="Times New Roman" w:cs="Times New Roman"/>
          <w:i/>
          <w:iCs/>
        </w:rPr>
        <w:t>Journal of Wood Science</w:t>
      </w:r>
      <w:r w:rsidRPr="009558EF">
        <w:rPr>
          <w:rFonts w:ascii="Times New Roman" w:hAnsi="Times New Roman" w:cs="Times New Roman"/>
        </w:rPr>
        <w:t>, </w:t>
      </w:r>
      <w:r w:rsidRPr="009558EF">
        <w:rPr>
          <w:rFonts w:ascii="Times New Roman" w:hAnsi="Times New Roman" w:cs="Times New Roman"/>
          <w:i/>
          <w:iCs/>
        </w:rPr>
        <w:t>67</w:t>
      </w:r>
      <w:r w:rsidRPr="009558EF">
        <w:rPr>
          <w:rFonts w:ascii="Times New Roman" w:hAnsi="Times New Roman" w:cs="Times New Roman"/>
        </w:rPr>
        <w:t>(1).</w:t>
      </w:r>
      <w:r w:rsidR="00E87620" w:rsidRPr="009558EF">
        <w:rPr>
          <w:rFonts w:ascii="Times New Roman" w:hAnsi="Times New Roman" w:cs="Times New Roman"/>
        </w:rPr>
        <w:t xml:space="preserve"> </w:t>
      </w:r>
    </w:p>
    <w:p w14:paraId="50CD147A" w14:textId="0A44B8C7" w:rsidR="009558EF" w:rsidRPr="00EC184C" w:rsidRDefault="009558EF" w:rsidP="00EC184C">
      <w:pPr>
        <w:pStyle w:val="ListParagraph"/>
        <w:numPr>
          <w:ilvl w:val="0"/>
          <w:numId w:val="19"/>
        </w:numPr>
        <w:spacing w:line="240" w:lineRule="auto"/>
        <w:jc w:val="both"/>
        <w:rPr>
          <w:rFonts w:ascii="Times New Roman" w:hAnsi="Times New Roman" w:cs="Times New Roman"/>
        </w:rPr>
      </w:pPr>
      <w:proofErr w:type="spellStart"/>
      <w:r w:rsidRPr="007F21E1">
        <w:t>Wiensczyk</w:t>
      </w:r>
      <w:proofErr w:type="spellEnd"/>
      <w:r w:rsidRPr="007F21E1">
        <w:t>, A., Thiffault, N., Swift, K., Szuba, K., Morneault, A., &amp; Bell, F. W. (2011). An Overview of The Efficacy of Vegetation Management Alternatives for Conifer Regeneration in Boreal Forests. </w:t>
      </w:r>
      <w:r w:rsidRPr="00EC184C">
        <w:rPr>
          <w:i/>
          <w:iCs/>
        </w:rPr>
        <w:t>The Forestry Chronicle</w:t>
      </w:r>
      <w:r w:rsidRPr="007F21E1">
        <w:t>, </w:t>
      </w:r>
      <w:r w:rsidRPr="00EC184C">
        <w:rPr>
          <w:i/>
          <w:iCs/>
        </w:rPr>
        <w:t>87</w:t>
      </w:r>
      <w:r w:rsidRPr="007F21E1">
        <w:t xml:space="preserve">(02), 175–200. </w:t>
      </w:r>
    </w:p>
    <w:p w14:paraId="66976B54" w14:textId="65BBD5CB" w:rsidR="009558EF" w:rsidRPr="009558EF" w:rsidRDefault="009558EF" w:rsidP="00CC6500">
      <w:pPr>
        <w:pStyle w:val="ListParagraph"/>
        <w:numPr>
          <w:ilvl w:val="0"/>
          <w:numId w:val="19"/>
        </w:numPr>
        <w:spacing w:line="240" w:lineRule="auto"/>
        <w:jc w:val="both"/>
        <w:rPr>
          <w:rFonts w:ascii="Times New Roman" w:hAnsi="Times New Roman" w:cs="Times New Roman"/>
        </w:rPr>
      </w:pPr>
      <w:proofErr w:type="spellStart"/>
      <w:r w:rsidRPr="009558EF">
        <w:rPr>
          <w:rFonts w:ascii="Times New Roman" w:hAnsi="Times New Roman" w:cs="Times New Roman"/>
          <w:shd w:val="clear" w:color="auto" w:fill="FFFFFF"/>
        </w:rPr>
        <w:t>Wieruszewski</w:t>
      </w:r>
      <w:proofErr w:type="spellEnd"/>
      <w:r w:rsidRPr="009558EF">
        <w:rPr>
          <w:rFonts w:ascii="Times New Roman" w:hAnsi="Times New Roman" w:cs="Times New Roman"/>
          <w:shd w:val="clear" w:color="auto" w:fill="FFFFFF"/>
        </w:rPr>
        <w:t xml:space="preserve">, M., </w:t>
      </w:r>
      <w:proofErr w:type="spellStart"/>
      <w:r w:rsidRPr="009558EF">
        <w:rPr>
          <w:rFonts w:ascii="Times New Roman" w:hAnsi="Times New Roman" w:cs="Times New Roman"/>
          <w:shd w:val="clear" w:color="auto" w:fill="FFFFFF"/>
        </w:rPr>
        <w:t>Turbański</w:t>
      </w:r>
      <w:proofErr w:type="spellEnd"/>
      <w:r w:rsidRPr="009558EF">
        <w:rPr>
          <w:rFonts w:ascii="Times New Roman" w:hAnsi="Times New Roman" w:cs="Times New Roman"/>
          <w:shd w:val="clear" w:color="auto" w:fill="FFFFFF"/>
        </w:rPr>
        <w:t xml:space="preserve">, W., </w:t>
      </w:r>
      <w:proofErr w:type="spellStart"/>
      <w:r w:rsidRPr="009558EF">
        <w:rPr>
          <w:rFonts w:ascii="Times New Roman" w:hAnsi="Times New Roman" w:cs="Times New Roman"/>
          <w:shd w:val="clear" w:color="auto" w:fill="FFFFFF"/>
        </w:rPr>
        <w:t>Mydlarz</w:t>
      </w:r>
      <w:proofErr w:type="spellEnd"/>
      <w:r w:rsidRPr="009558EF">
        <w:rPr>
          <w:rFonts w:ascii="Times New Roman" w:hAnsi="Times New Roman" w:cs="Times New Roman"/>
          <w:shd w:val="clear" w:color="auto" w:fill="FFFFFF"/>
        </w:rPr>
        <w:t>, K., &amp; Sydor, M. (2023). Economic Efficiency of Pine Wood Processing in Furniture Production. </w:t>
      </w:r>
      <w:r w:rsidRPr="009558EF">
        <w:rPr>
          <w:rFonts w:ascii="Times New Roman" w:hAnsi="Times New Roman" w:cs="Times New Roman"/>
          <w:i/>
          <w:iCs/>
          <w:shd w:val="clear" w:color="auto" w:fill="FFFFFF"/>
        </w:rPr>
        <w:t>Forests</w:t>
      </w:r>
      <w:r w:rsidRPr="009558EF">
        <w:rPr>
          <w:rFonts w:ascii="Times New Roman" w:hAnsi="Times New Roman" w:cs="Times New Roman"/>
          <w:shd w:val="clear" w:color="auto" w:fill="FFFFFF"/>
        </w:rPr>
        <w:t>, </w:t>
      </w:r>
      <w:r w:rsidRPr="009558EF">
        <w:rPr>
          <w:rFonts w:ascii="Times New Roman" w:hAnsi="Times New Roman" w:cs="Times New Roman"/>
          <w:i/>
          <w:iCs/>
          <w:shd w:val="clear" w:color="auto" w:fill="FFFFFF"/>
        </w:rPr>
        <w:t>14</w:t>
      </w:r>
      <w:r w:rsidRPr="009558EF">
        <w:rPr>
          <w:rFonts w:ascii="Times New Roman" w:hAnsi="Times New Roman" w:cs="Times New Roman"/>
          <w:shd w:val="clear" w:color="auto" w:fill="FFFFFF"/>
        </w:rPr>
        <w:t xml:space="preserve">(4), 688. </w:t>
      </w:r>
    </w:p>
    <w:p w14:paraId="59FD5BA4" w14:textId="6620EC34"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Yang, G., Liang, K., Zhou, Z., Huang, G., &amp; Wang, X. (2020). UPLC-ESI-MS/MS-Based Widely Targeted Metabolomics Analysis of Wood Metabolites in Teak (Tectona grandis). </w:t>
      </w:r>
      <w:r w:rsidRPr="009558EF">
        <w:rPr>
          <w:rFonts w:ascii="Times New Roman" w:hAnsi="Times New Roman" w:cs="Times New Roman"/>
          <w:i/>
          <w:iCs/>
        </w:rPr>
        <w:t>Molecules</w:t>
      </w:r>
      <w:r w:rsidRPr="009558EF">
        <w:rPr>
          <w:rFonts w:ascii="Times New Roman" w:hAnsi="Times New Roman" w:cs="Times New Roman"/>
        </w:rPr>
        <w:t>, </w:t>
      </w:r>
      <w:r w:rsidRPr="009558EF">
        <w:rPr>
          <w:rFonts w:ascii="Times New Roman" w:hAnsi="Times New Roman" w:cs="Times New Roman"/>
          <w:i/>
          <w:iCs/>
        </w:rPr>
        <w:t>25</w:t>
      </w:r>
      <w:r w:rsidRPr="009558EF">
        <w:rPr>
          <w:rFonts w:ascii="Times New Roman" w:hAnsi="Times New Roman" w:cs="Times New Roman"/>
        </w:rPr>
        <w:t xml:space="preserve">(9), 2189. </w:t>
      </w:r>
    </w:p>
    <w:p w14:paraId="67B19285" w14:textId="62F69100"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rPr>
        <w:t xml:space="preserve">Yang, L., &amp; Liu, H. (2018). A Review of Eucalyptus Wood Collapse and its Control during Drying. </w:t>
      </w:r>
      <w:proofErr w:type="spellStart"/>
      <w:r w:rsidRPr="009558EF">
        <w:rPr>
          <w:rFonts w:ascii="Times New Roman" w:hAnsi="Times New Roman" w:cs="Times New Roman"/>
        </w:rPr>
        <w:t>BioResources</w:t>
      </w:r>
      <w:proofErr w:type="spellEnd"/>
      <w:r w:rsidRPr="009558EF">
        <w:rPr>
          <w:rFonts w:ascii="Times New Roman" w:hAnsi="Times New Roman" w:cs="Times New Roman"/>
        </w:rPr>
        <w:t xml:space="preserve">, 13(1). </w:t>
      </w:r>
    </w:p>
    <w:p w14:paraId="224EE065" w14:textId="2825AA35" w:rsidR="009558EF" w:rsidRPr="009558EF" w:rsidRDefault="009558EF" w:rsidP="00CC6500">
      <w:pPr>
        <w:pStyle w:val="ListParagraph"/>
        <w:numPr>
          <w:ilvl w:val="0"/>
          <w:numId w:val="19"/>
        </w:numPr>
        <w:spacing w:line="240" w:lineRule="auto"/>
        <w:jc w:val="both"/>
        <w:rPr>
          <w:rFonts w:ascii="Times New Roman" w:hAnsi="Times New Roman" w:cs="Times New Roman"/>
        </w:rPr>
      </w:pPr>
      <w:r w:rsidRPr="009558EF">
        <w:rPr>
          <w:rFonts w:ascii="Times New Roman" w:hAnsi="Times New Roman" w:cs="Times New Roman"/>
          <w:shd w:val="clear" w:color="auto" w:fill="FFFFFF"/>
        </w:rPr>
        <w:t>Zhou, X., Li, X., Cui, Z., Wu, L., Zhou, H., &amp; Lu, X. (2022). Combustible wood dust explosions and impacts on environments and health - A review. </w:t>
      </w:r>
      <w:r w:rsidRPr="009558EF">
        <w:rPr>
          <w:rFonts w:ascii="Times New Roman" w:hAnsi="Times New Roman" w:cs="Times New Roman"/>
          <w:i/>
          <w:iCs/>
          <w:shd w:val="clear" w:color="auto" w:fill="FFFFFF"/>
        </w:rPr>
        <w:t>Environmental Research</w:t>
      </w:r>
      <w:r w:rsidRPr="009558EF">
        <w:rPr>
          <w:rFonts w:ascii="Times New Roman" w:hAnsi="Times New Roman" w:cs="Times New Roman"/>
          <w:shd w:val="clear" w:color="auto" w:fill="FFFFFF"/>
        </w:rPr>
        <w:t>, </w:t>
      </w:r>
      <w:r w:rsidRPr="009558EF">
        <w:rPr>
          <w:rFonts w:ascii="Times New Roman" w:hAnsi="Times New Roman" w:cs="Times New Roman"/>
          <w:i/>
          <w:iCs/>
          <w:shd w:val="clear" w:color="auto" w:fill="FFFFFF"/>
        </w:rPr>
        <w:t>216</w:t>
      </w:r>
      <w:r w:rsidRPr="009558EF">
        <w:rPr>
          <w:rFonts w:ascii="Times New Roman" w:hAnsi="Times New Roman" w:cs="Times New Roman"/>
          <w:shd w:val="clear" w:color="auto" w:fill="FFFFFF"/>
        </w:rPr>
        <w:t>(Pt 3), 114658</w:t>
      </w:r>
    </w:p>
    <w:p w14:paraId="79C128A3" w14:textId="77777777" w:rsidR="00D44123" w:rsidRPr="007F21E1" w:rsidRDefault="00D44123" w:rsidP="009558EF">
      <w:pPr>
        <w:pStyle w:val="ListParagraph"/>
        <w:spacing w:line="240" w:lineRule="auto"/>
        <w:ind w:left="-180"/>
        <w:jc w:val="both"/>
        <w:rPr>
          <w:rFonts w:ascii="Times New Roman" w:hAnsi="Times New Roman" w:cs="Times New Roman"/>
          <w:b/>
          <w:bCs/>
        </w:rPr>
      </w:pPr>
    </w:p>
    <w:p w14:paraId="23770742" w14:textId="77777777" w:rsidR="00DD6AC7" w:rsidRPr="007F21E1" w:rsidRDefault="00DD6AC7" w:rsidP="009558EF">
      <w:pPr>
        <w:pStyle w:val="ListParagraph"/>
        <w:spacing w:line="240" w:lineRule="auto"/>
        <w:ind w:left="-180"/>
        <w:jc w:val="both"/>
        <w:rPr>
          <w:rFonts w:ascii="Times New Roman" w:hAnsi="Times New Roman" w:cs="Times New Roman"/>
          <w:b/>
          <w:bCs/>
        </w:rPr>
      </w:pPr>
    </w:p>
    <w:p w14:paraId="69CB4134" w14:textId="77777777" w:rsidR="00DD6AC7" w:rsidRPr="007F21E1" w:rsidRDefault="00DD6AC7" w:rsidP="009558EF">
      <w:pPr>
        <w:spacing w:line="240" w:lineRule="auto"/>
        <w:ind w:left="-180"/>
        <w:jc w:val="both"/>
        <w:rPr>
          <w:rFonts w:ascii="Times New Roman" w:hAnsi="Times New Roman" w:cs="Times New Roman"/>
        </w:rPr>
      </w:pPr>
    </w:p>
    <w:sectPr w:rsidR="00DD6AC7" w:rsidRPr="007F21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14C50"/>
    <w:multiLevelType w:val="hybridMultilevel"/>
    <w:tmpl w:val="FB9650C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8945601"/>
    <w:multiLevelType w:val="hybridMultilevel"/>
    <w:tmpl w:val="FCDC499C"/>
    <w:lvl w:ilvl="0" w:tplc="4009000F">
      <w:start w:val="1"/>
      <w:numFmt w:val="decimal"/>
      <w:lvlText w:val="%1."/>
      <w:lvlJc w:val="left"/>
      <w:pPr>
        <w:ind w:left="360" w:hanging="360"/>
      </w:pPr>
    </w:lvl>
    <w:lvl w:ilvl="1" w:tplc="40090019" w:tentative="1">
      <w:start w:val="1"/>
      <w:numFmt w:val="lowerLetter"/>
      <w:lvlText w:val="%2."/>
      <w:lvlJc w:val="left"/>
      <w:pPr>
        <w:ind w:left="1298" w:hanging="360"/>
      </w:pPr>
    </w:lvl>
    <w:lvl w:ilvl="2" w:tplc="4009001B" w:tentative="1">
      <w:start w:val="1"/>
      <w:numFmt w:val="lowerRoman"/>
      <w:lvlText w:val="%3."/>
      <w:lvlJc w:val="right"/>
      <w:pPr>
        <w:ind w:left="2018" w:hanging="180"/>
      </w:pPr>
    </w:lvl>
    <w:lvl w:ilvl="3" w:tplc="4009000F" w:tentative="1">
      <w:start w:val="1"/>
      <w:numFmt w:val="decimal"/>
      <w:lvlText w:val="%4."/>
      <w:lvlJc w:val="left"/>
      <w:pPr>
        <w:ind w:left="2738" w:hanging="360"/>
      </w:pPr>
    </w:lvl>
    <w:lvl w:ilvl="4" w:tplc="40090019" w:tentative="1">
      <w:start w:val="1"/>
      <w:numFmt w:val="lowerLetter"/>
      <w:lvlText w:val="%5."/>
      <w:lvlJc w:val="left"/>
      <w:pPr>
        <w:ind w:left="3458" w:hanging="360"/>
      </w:pPr>
    </w:lvl>
    <w:lvl w:ilvl="5" w:tplc="4009001B" w:tentative="1">
      <w:start w:val="1"/>
      <w:numFmt w:val="lowerRoman"/>
      <w:lvlText w:val="%6."/>
      <w:lvlJc w:val="right"/>
      <w:pPr>
        <w:ind w:left="4178" w:hanging="180"/>
      </w:pPr>
    </w:lvl>
    <w:lvl w:ilvl="6" w:tplc="4009000F" w:tentative="1">
      <w:start w:val="1"/>
      <w:numFmt w:val="decimal"/>
      <w:lvlText w:val="%7."/>
      <w:lvlJc w:val="left"/>
      <w:pPr>
        <w:ind w:left="4898" w:hanging="360"/>
      </w:pPr>
    </w:lvl>
    <w:lvl w:ilvl="7" w:tplc="40090019" w:tentative="1">
      <w:start w:val="1"/>
      <w:numFmt w:val="lowerLetter"/>
      <w:lvlText w:val="%8."/>
      <w:lvlJc w:val="left"/>
      <w:pPr>
        <w:ind w:left="5618" w:hanging="360"/>
      </w:pPr>
    </w:lvl>
    <w:lvl w:ilvl="8" w:tplc="4009001B" w:tentative="1">
      <w:start w:val="1"/>
      <w:numFmt w:val="lowerRoman"/>
      <w:lvlText w:val="%9."/>
      <w:lvlJc w:val="right"/>
      <w:pPr>
        <w:ind w:left="6338" w:hanging="180"/>
      </w:pPr>
    </w:lvl>
  </w:abstractNum>
  <w:abstractNum w:abstractNumId="2" w15:restartNumberingAfterBreak="0">
    <w:nsid w:val="0B043B1D"/>
    <w:multiLevelType w:val="hybridMultilevel"/>
    <w:tmpl w:val="E24AD5EA"/>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872" w:hanging="360"/>
      </w:pPr>
    </w:lvl>
    <w:lvl w:ilvl="2" w:tplc="4009001B" w:tentative="1">
      <w:start w:val="1"/>
      <w:numFmt w:val="lowerRoman"/>
      <w:lvlText w:val="%3."/>
      <w:lvlJc w:val="right"/>
      <w:pPr>
        <w:ind w:left="1592" w:hanging="180"/>
      </w:pPr>
    </w:lvl>
    <w:lvl w:ilvl="3" w:tplc="4009000F" w:tentative="1">
      <w:start w:val="1"/>
      <w:numFmt w:val="decimal"/>
      <w:lvlText w:val="%4."/>
      <w:lvlJc w:val="left"/>
      <w:pPr>
        <w:ind w:left="2312" w:hanging="360"/>
      </w:pPr>
    </w:lvl>
    <w:lvl w:ilvl="4" w:tplc="40090019" w:tentative="1">
      <w:start w:val="1"/>
      <w:numFmt w:val="lowerLetter"/>
      <w:lvlText w:val="%5."/>
      <w:lvlJc w:val="left"/>
      <w:pPr>
        <w:ind w:left="3032" w:hanging="360"/>
      </w:pPr>
    </w:lvl>
    <w:lvl w:ilvl="5" w:tplc="4009001B" w:tentative="1">
      <w:start w:val="1"/>
      <w:numFmt w:val="lowerRoman"/>
      <w:lvlText w:val="%6."/>
      <w:lvlJc w:val="right"/>
      <w:pPr>
        <w:ind w:left="3752" w:hanging="180"/>
      </w:pPr>
    </w:lvl>
    <w:lvl w:ilvl="6" w:tplc="4009000F" w:tentative="1">
      <w:start w:val="1"/>
      <w:numFmt w:val="decimal"/>
      <w:lvlText w:val="%7."/>
      <w:lvlJc w:val="left"/>
      <w:pPr>
        <w:ind w:left="4472" w:hanging="360"/>
      </w:pPr>
    </w:lvl>
    <w:lvl w:ilvl="7" w:tplc="40090019" w:tentative="1">
      <w:start w:val="1"/>
      <w:numFmt w:val="lowerLetter"/>
      <w:lvlText w:val="%8."/>
      <w:lvlJc w:val="left"/>
      <w:pPr>
        <w:ind w:left="5192" w:hanging="360"/>
      </w:pPr>
    </w:lvl>
    <w:lvl w:ilvl="8" w:tplc="4009001B" w:tentative="1">
      <w:start w:val="1"/>
      <w:numFmt w:val="lowerRoman"/>
      <w:lvlText w:val="%9."/>
      <w:lvlJc w:val="right"/>
      <w:pPr>
        <w:ind w:left="5912" w:hanging="180"/>
      </w:pPr>
    </w:lvl>
  </w:abstractNum>
  <w:abstractNum w:abstractNumId="3" w15:restartNumberingAfterBreak="0">
    <w:nsid w:val="11BE5C0F"/>
    <w:multiLevelType w:val="multilevel"/>
    <w:tmpl w:val="C804E9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671EFC"/>
    <w:multiLevelType w:val="hybridMultilevel"/>
    <w:tmpl w:val="FDDC95D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1EDB0085"/>
    <w:multiLevelType w:val="hybridMultilevel"/>
    <w:tmpl w:val="38A8F0D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24E04BF4"/>
    <w:multiLevelType w:val="hybridMultilevel"/>
    <w:tmpl w:val="C792E6CA"/>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7" w15:restartNumberingAfterBreak="0">
    <w:nsid w:val="2EB91C85"/>
    <w:multiLevelType w:val="hybridMultilevel"/>
    <w:tmpl w:val="8C46DF5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40000E57"/>
    <w:multiLevelType w:val="multilevel"/>
    <w:tmpl w:val="C7743F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5B9082E"/>
    <w:multiLevelType w:val="hybridMultilevel"/>
    <w:tmpl w:val="E014E9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7F46B9"/>
    <w:multiLevelType w:val="hybridMultilevel"/>
    <w:tmpl w:val="49E8BF94"/>
    <w:lvl w:ilvl="0" w:tplc="B42C78EA">
      <w:start w:val="1"/>
      <w:numFmt w:val="decimal"/>
      <w:lvlText w:val="%1."/>
      <w:lvlJc w:val="left"/>
      <w:pPr>
        <w:ind w:left="578" w:hanging="360"/>
      </w:pPr>
    </w:lvl>
    <w:lvl w:ilvl="1" w:tplc="40090019" w:tentative="1">
      <w:start w:val="1"/>
      <w:numFmt w:val="lowerLetter"/>
      <w:lvlText w:val="%2."/>
      <w:lvlJc w:val="left"/>
      <w:pPr>
        <w:ind w:left="1298" w:hanging="360"/>
      </w:pPr>
    </w:lvl>
    <w:lvl w:ilvl="2" w:tplc="4009001B" w:tentative="1">
      <w:start w:val="1"/>
      <w:numFmt w:val="lowerRoman"/>
      <w:lvlText w:val="%3."/>
      <w:lvlJc w:val="right"/>
      <w:pPr>
        <w:ind w:left="2018" w:hanging="180"/>
      </w:pPr>
    </w:lvl>
    <w:lvl w:ilvl="3" w:tplc="4009000F" w:tentative="1">
      <w:start w:val="1"/>
      <w:numFmt w:val="decimal"/>
      <w:lvlText w:val="%4."/>
      <w:lvlJc w:val="left"/>
      <w:pPr>
        <w:ind w:left="2738" w:hanging="360"/>
      </w:pPr>
    </w:lvl>
    <w:lvl w:ilvl="4" w:tplc="40090019" w:tentative="1">
      <w:start w:val="1"/>
      <w:numFmt w:val="lowerLetter"/>
      <w:lvlText w:val="%5."/>
      <w:lvlJc w:val="left"/>
      <w:pPr>
        <w:ind w:left="3458" w:hanging="360"/>
      </w:pPr>
    </w:lvl>
    <w:lvl w:ilvl="5" w:tplc="4009001B" w:tentative="1">
      <w:start w:val="1"/>
      <w:numFmt w:val="lowerRoman"/>
      <w:lvlText w:val="%6."/>
      <w:lvlJc w:val="right"/>
      <w:pPr>
        <w:ind w:left="4178" w:hanging="180"/>
      </w:pPr>
    </w:lvl>
    <w:lvl w:ilvl="6" w:tplc="4009000F" w:tentative="1">
      <w:start w:val="1"/>
      <w:numFmt w:val="decimal"/>
      <w:lvlText w:val="%7."/>
      <w:lvlJc w:val="left"/>
      <w:pPr>
        <w:ind w:left="4898" w:hanging="360"/>
      </w:pPr>
    </w:lvl>
    <w:lvl w:ilvl="7" w:tplc="40090019" w:tentative="1">
      <w:start w:val="1"/>
      <w:numFmt w:val="lowerLetter"/>
      <w:lvlText w:val="%8."/>
      <w:lvlJc w:val="left"/>
      <w:pPr>
        <w:ind w:left="5618" w:hanging="360"/>
      </w:pPr>
    </w:lvl>
    <w:lvl w:ilvl="8" w:tplc="4009001B" w:tentative="1">
      <w:start w:val="1"/>
      <w:numFmt w:val="lowerRoman"/>
      <w:lvlText w:val="%9."/>
      <w:lvlJc w:val="right"/>
      <w:pPr>
        <w:ind w:left="6338" w:hanging="180"/>
      </w:pPr>
    </w:lvl>
  </w:abstractNum>
  <w:abstractNum w:abstractNumId="11" w15:restartNumberingAfterBreak="0">
    <w:nsid w:val="593E5B43"/>
    <w:multiLevelType w:val="hybridMultilevel"/>
    <w:tmpl w:val="03F4F72A"/>
    <w:lvl w:ilvl="0" w:tplc="4009000F">
      <w:start w:val="1"/>
      <w:numFmt w:val="decimal"/>
      <w:lvlText w:val="%1."/>
      <w:lvlJc w:val="left"/>
      <w:pPr>
        <w:ind w:left="502"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5A4A0B8E"/>
    <w:multiLevelType w:val="hybridMultilevel"/>
    <w:tmpl w:val="D8966AC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5C7A7ED4"/>
    <w:multiLevelType w:val="hybridMultilevel"/>
    <w:tmpl w:val="FCDC499C"/>
    <w:lvl w:ilvl="0" w:tplc="4009000F">
      <w:start w:val="1"/>
      <w:numFmt w:val="decimal"/>
      <w:lvlText w:val="%1."/>
      <w:lvlJc w:val="left"/>
      <w:pPr>
        <w:ind w:left="578" w:hanging="360"/>
      </w:pPr>
    </w:lvl>
    <w:lvl w:ilvl="1" w:tplc="40090019" w:tentative="1">
      <w:start w:val="1"/>
      <w:numFmt w:val="lowerLetter"/>
      <w:lvlText w:val="%2."/>
      <w:lvlJc w:val="left"/>
      <w:pPr>
        <w:ind w:left="1298" w:hanging="360"/>
      </w:pPr>
    </w:lvl>
    <w:lvl w:ilvl="2" w:tplc="4009001B" w:tentative="1">
      <w:start w:val="1"/>
      <w:numFmt w:val="lowerRoman"/>
      <w:lvlText w:val="%3."/>
      <w:lvlJc w:val="right"/>
      <w:pPr>
        <w:ind w:left="2018" w:hanging="180"/>
      </w:pPr>
    </w:lvl>
    <w:lvl w:ilvl="3" w:tplc="4009000F" w:tentative="1">
      <w:start w:val="1"/>
      <w:numFmt w:val="decimal"/>
      <w:lvlText w:val="%4."/>
      <w:lvlJc w:val="left"/>
      <w:pPr>
        <w:ind w:left="2738" w:hanging="360"/>
      </w:pPr>
    </w:lvl>
    <w:lvl w:ilvl="4" w:tplc="40090019" w:tentative="1">
      <w:start w:val="1"/>
      <w:numFmt w:val="lowerLetter"/>
      <w:lvlText w:val="%5."/>
      <w:lvlJc w:val="left"/>
      <w:pPr>
        <w:ind w:left="3458" w:hanging="360"/>
      </w:pPr>
    </w:lvl>
    <w:lvl w:ilvl="5" w:tplc="4009001B" w:tentative="1">
      <w:start w:val="1"/>
      <w:numFmt w:val="lowerRoman"/>
      <w:lvlText w:val="%6."/>
      <w:lvlJc w:val="right"/>
      <w:pPr>
        <w:ind w:left="4178" w:hanging="180"/>
      </w:pPr>
    </w:lvl>
    <w:lvl w:ilvl="6" w:tplc="4009000F" w:tentative="1">
      <w:start w:val="1"/>
      <w:numFmt w:val="decimal"/>
      <w:lvlText w:val="%7."/>
      <w:lvlJc w:val="left"/>
      <w:pPr>
        <w:ind w:left="4898" w:hanging="360"/>
      </w:pPr>
    </w:lvl>
    <w:lvl w:ilvl="7" w:tplc="40090019" w:tentative="1">
      <w:start w:val="1"/>
      <w:numFmt w:val="lowerLetter"/>
      <w:lvlText w:val="%8."/>
      <w:lvlJc w:val="left"/>
      <w:pPr>
        <w:ind w:left="5618" w:hanging="360"/>
      </w:pPr>
    </w:lvl>
    <w:lvl w:ilvl="8" w:tplc="4009001B" w:tentative="1">
      <w:start w:val="1"/>
      <w:numFmt w:val="lowerRoman"/>
      <w:lvlText w:val="%9."/>
      <w:lvlJc w:val="right"/>
      <w:pPr>
        <w:ind w:left="6338" w:hanging="180"/>
      </w:pPr>
    </w:lvl>
  </w:abstractNum>
  <w:abstractNum w:abstractNumId="14" w15:restartNumberingAfterBreak="0">
    <w:nsid w:val="66DD6745"/>
    <w:multiLevelType w:val="hybridMultilevel"/>
    <w:tmpl w:val="052A669E"/>
    <w:lvl w:ilvl="0" w:tplc="2CF63750">
      <w:start w:val="1"/>
      <w:numFmt w:val="decimal"/>
      <w:lvlText w:val="%1."/>
      <w:lvlJc w:val="left"/>
      <w:pPr>
        <w:ind w:left="360" w:hanging="360"/>
      </w:pPr>
      <w:rPr>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BB13792"/>
    <w:multiLevelType w:val="hybridMultilevel"/>
    <w:tmpl w:val="9E82721E"/>
    <w:lvl w:ilvl="0" w:tplc="EFDA412C">
      <w:start w:val="1"/>
      <w:numFmt w:val="upperRoman"/>
      <w:lvlText w:val="%1."/>
      <w:lvlJc w:val="left"/>
      <w:pPr>
        <w:ind w:left="578" w:hanging="720"/>
      </w:pPr>
      <w:rPr>
        <w:rFonts w:hint="default"/>
      </w:rPr>
    </w:lvl>
    <w:lvl w:ilvl="1" w:tplc="40090019" w:tentative="1">
      <w:start w:val="1"/>
      <w:numFmt w:val="lowerLetter"/>
      <w:lvlText w:val="%2."/>
      <w:lvlJc w:val="left"/>
      <w:pPr>
        <w:ind w:left="938" w:hanging="360"/>
      </w:pPr>
    </w:lvl>
    <w:lvl w:ilvl="2" w:tplc="4009001B" w:tentative="1">
      <w:start w:val="1"/>
      <w:numFmt w:val="lowerRoman"/>
      <w:lvlText w:val="%3."/>
      <w:lvlJc w:val="right"/>
      <w:pPr>
        <w:ind w:left="1658" w:hanging="180"/>
      </w:pPr>
    </w:lvl>
    <w:lvl w:ilvl="3" w:tplc="4009000F" w:tentative="1">
      <w:start w:val="1"/>
      <w:numFmt w:val="decimal"/>
      <w:lvlText w:val="%4."/>
      <w:lvlJc w:val="left"/>
      <w:pPr>
        <w:ind w:left="2378" w:hanging="360"/>
      </w:pPr>
    </w:lvl>
    <w:lvl w:ilvl="4" w:tplc="40090019" w:tentative="1">
      <w:start w:val="1"/>
      <w:numFmt w:val="lowerLetter"/>
      <w:lvlText w:val="%5."/>
      <w:lvlJc w:val="left"/>
      <w:pPr>
        <w:ind w:left="3098" w:hanging="360"/>
      </w:pPr>
    </w:lvl>
    <w:lvl w:ilvl="5" w:tplc="4009001B" w:tentative="1">
      <w:start w:val="1"/>
      <w:numFmt w:val="lowerRoman"/>
      <w:lvlText w:val="%6."/>
      <w:lvlJc w:val="right"/>
      <w:pPr>
        <w:ind w:left="3818" w:hanging="180"/>
      </w:pPr>
    </w:lvl>
    <w:lvl w:ilvl="6" w:tplc="4009000F" w:tentative="1">
      <w:start w:val="1"/>
      <w:numFmt w:val="decimal"/>
      <w:lvlText w:val="%7."/>
      <w:lvlJc w:val="left"/>
      <w:pPr>
        <w:ind w:left="4538" w:hanging="360"/>
      </w:pPr>
    </w:lvl>
    <w:lvl w:ilvl="7" w:tplc="40090019" w:tentative="1">
      <w:start w:val="1"/>
      <w:numFmt w:val="lowerLetter"/>
      <w:lvlText w:val="%8."/>
      <w:lvlJc w:val="left"/>
      <w:pPr>
        <w:ind w:left="5258" w:hanging="360"/>
      </w:pPr>
    </w:lvl>
    <w:lvl w:ilvl="8" w:tplc="4009001B" w:tentative="1">
      <w:start w:val="1"/>
      <w:numFmt w:val="lowerRoman"/>
      <w:lvlText w:val="%9."/>
      <w:lvlJc w:val="right"/>
      <w:pPr>
        <w:ind w:left="5978" w:hanging="180"/>
      </w:pPr>
    </w:lvl>
  </w:abstractNum>
  <w:abstractNum w:abstractNumId="16" w15:restartNumberingAfterBreak="0">
    <w:nsid w:val="6CE85DDE"/>
    <w:multiLevelType w:val="hybridMultilevel"/>
    <w:tmpl w:val="D34CCBC6"/>
    <w:lvl w:ilvl="0" w:tplc="0409000F">
      <w:start w:val="1"/>
      <w:numFmt w:val="decimal"/>
      <w:lvlText w:val="%1."/>
      <w:lvlJc w:val="left"/>
      <w:pPr>
        <w:ind w:left="578" w:hanging="360"/>
      </w:p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17" w15:restartNumberingAfterBreak="0">
    <w:nsid w:val="76782B42"/>
    <w:multiLevelType w:val="hybridMultilevel"/>
    <w:tmpl w:val="35706AB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78273346"/>
    <w:multiLevelType w:val="hybridMultilevel"/>
    <w:tmpl w:val="38A8F0D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850369312">
    <w:abstractNumId w:val="3"/>
  </w:num>
  <w:num w:numId="2" w16cid:durableId="343633195">
    <w:abstractNumId w:val="4"/>
  </w:num>
  <w:num w:numId="3" w16cid:durableId="685866689">
    <w:abstractNumId w:val="2"/>
  </w:num>
  <w:num w:numId="4" w16cid:durableId="845360264">
    <w:abstractNumId w:val="6"/>
  </w:num>
  <w:num w:numId="5" w16cid:durableId="794907485">
    <w:abstractNumId w:val="1"/>
  </w:num>
  <w:num w:numId="6" w16cid:durableId="697925568">
    <w:abstractNumId w:val="10"/>
  </w:num>
  <w:num w:numId="7" w16cid:durableId="496729660">
    <w:abstractNumId w:val="15"/>
  </w:num>
  <w:num w:numId="8" w16cid:durableId="1209413880">
    <w:abstractNumId w:val="13"/>
  </w:num>
  <w:num w:numId="9" w16cid:durableId="2081706566">
    <w:abstractNumId w:val="11"/>
  </w:num>
  <w:num w:numId="10" w16cid:durableId="1908102983">
    <w:abstractNumId w:val="16"/>
  </w:num>
  <w:num w:numId="11" w16cid:durableId="383718120">
    <w:abstractNumId w:val="9"/>
  </w:num>
  <w:num w:numId="12" w16cid:durableId="829754048">
    <w:abstractNumId w:val="18"/>
  </w:num>
  <w:num w:numId="13" w16cid:durableId="765687972">
    <w:abstractNumId w:val="5"/>
  </w:num>
  <w:num w:numId="14" w16cid:durableId="173880828">
    <w:abstractNumId w:val="7"/>
  </w:num>
  <w:num w:numId="15" w16cid:durableId="772285481">
    <w:abstractNumId w:val="0"/>
  </w:num>
  <w:num w:numId="16" w16cid:durableId="2127693465">
    <w:abstractNumId w:val="17"/>
  </w:num>
  <w:num w:numId="17" w16cid:durableId="337318773">
    <w:abstractNumId w:val="8"/>
  </w:num>
  <w:num w:numId="18" w16cid:durableId="1751803382">
    <w:abstractNumId w:val="12"/>
  </w:num>
  <w:num w:numId="19" w16cid:durableId="32289705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CB2"/>
    <w:rsid w:val="000029D7"/>
    <w:rsid w:val="000433E4"/>
    <w:rsid w:val="000573AF"/>
    <w:rsid w:val="00061CB4"/>
    <w:rsid w:val="000704B8"/>
    <w:rsid w:val="00085034"/>
    <w:rsid w:val="00096475"/>
    <w:rsid w:val="000A0980"/>
    <w:rsid w:val="000C00A6"/>
    <w:rsid w:val="000C025A"/>
    <w:rsid w:val="000C202F"/>
    <w:rsid w:val="000D35DF"/>
    <w:rsid w:val="000E0BCE"/>
    <w:rsid w:val="00115D8A"/>
    <w:rsid w:val="0015331B"/>
    <w:rsid w:val="00165CF0"/>
    <w:rsid w:val="0017228D"/>
    <w:rsid w:val="001928ED"/>
    <w:rsid w:val="001A1847"/>
    <w:rsid w:val="001B131B"/>
    <w:rsid w:val="001E582B"/>
    <w:rsid w:val="002045FB"/>
    <w:rsid w:val="00224FB0"/>
    <w:rsid w:val="00251F66"/>
    <w:rsid w:val="00283646"/>
    <w:rsid w:val="0034631A"/>
    <w:rsid w:val="00373D90"/>
    <w:rsid w:val="00387EF6"/>
    <w:rsid w:val="00387F79"/>
    <w:rsid w:val="003955ED"/>
    <w:rsid w:val="003A1575"/>
    <w:rsid w:val="003A454C"/>
    <w:rsid w:val="003C61AE"/>
    <w:rsid w:val="003D73C4"/>
    <w:rsid w:val="003E18B2"/>
    <w:rsid w:val="003F6D4D"/>
    <w:rsid w:val="004258D2"/>
    <w:rsid w:val="004537FB"/>
    <w:rsid w:val="00463DCD"/>
    <w:rsid w:val="004656F3"/>
    <w:rsid w:val="0046793A"/>
    <w:rsid w:val="004A17B1"/>
    <w:rsid w:val="004F1560"/>
    <w:rsid w:val="00525B82"/>
    <w:rsid w:val="00532C94"/>
    <w:rsid w:val="0055593D"/>
    <w:rsid w:val="005846BF"/>
    <w:rsid w:val="00586471"/>
    <w:rsid w:val="005C2D82"/>
    <w:rsid w:val="005D42CD"/>
    <w:rsid w:val="005E097B"/>
    <w:rsid w:val="005E1F67"/>
    <w:rsid w:val="005F75FD"/>
    <w:rsid w:val="0061033D"/>
    <w:rsid w:val="0061633B"/>
    <w:rsid w:val="00622DDA"/>
    <w:rsid w:val="00663B41"/>
    <w:rsid w:val="00697517"/>
    <w:rsid w:val="006B34DC"/>
    <w:rsid w:val="006D592C"/>
    <w:rsid w:val="00710E92"/>
    <w:rsid w:val="00722E96"/>
    <w:rsid w:val="00727637"/>
    <w:rsid w:val="007276AD"/>
    <w:rsid w:val="0073365A"/>
    <w:rsid w:val="00735C91"/>
    <w:rsid w:val="00753384"/>
    <w:rsid w:val="00762D63"/>
    <w:rsid w:val="007A02D5"/>
    <w:rsid w:val="007D2653"/>
    <w:rsid w:val="007D28EC"/>
    <w:rsid w:val="007F21E1"/>
    <w:rsid w:val="0081149E"/>
    <w:rsid w:val="00815C7D"/>
    <w:rsid w:val="008600F0"/>
    <w:rsid w:val="00874656"/>
    <w:rsid w:val="00886B39"/>
    <w:rsid w:val="009558EF"/>
    <w:rsid w:val="00981F9C"/>
    <w:rsid w:val="009C4151"/>
    <w:rsid w:val="00A65872"/>
    <w:rsid w:val="00A65CCA"/>
    <w:rsid w:val="00A7510D"/>
    <w:rsid w:val="00A8755C"/>
    <w:rsid w:val="00A92296"/>
    <w:rsid w:val="00AA6C8D"/>
    <w:rsid w:val="00AD3211"/>
    <w:rsid w:val="00B17851"/>
    <w:rsid w:val="00B33B9B"/>
    <w:rsid w:val="00BA4A11"/>
    <w:rsid w:val="00C243FC"/>
    <w:rsid w:val="00C26CBC"/>
    <w:rsid w:val="00C310DE"/>
    <w:rsid w:val="00C70565"/>
    <w:rsid w:val="00C71FC2"/>
    <w:rsid w:val="00C805A5"/>
    <w:rsid w:val="00CC6500"/>
    <w:rsid w:val="00CE6C65"/>
    <w:rsid w:val="00D112AA"/>
    <w:rsid w:val="00D44123"/>
    <w:rsid w:val="00D75CB2"/>
    <w:rsid w:val="00D809A1"/>
    <w:rsid w:val="00D87B47"/>
    <w:rsid w:val="00DA689D"/>
    <w:rsid w:val="00DB0FEF"/>
    <w:rsid w:val="00DC6FB8"/>
    <w:rsid w:val="00DD62E1"/>
    <w:rsid w:val="00DD6AC7"/>
    <w:rsid w:val="00E0360F"/>
    <w:rsid w:val="00E30305"/>
    <w:rsid w:val="00E40127"/>
    <w:rsid w:val="00E44D72"/>
    <w:rsid w:val="00E77F2C"/>
    <w:rsid w:val="00E87620"/>
    <w:rsid w:val="00EC184C"/>
    <w:rsid w:val="00EE598E"/>
    <w:rsid w:val="00F429A2"/>
    <w:rsid w:val="00F43601"/>
    <w:rsid w:val="00F829C2"/>
    <w:rsid w:val="00FB634B"/>
    <w:rsid w:val="00FE0269"/>
    <w:rsid w:val="00FE65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7D1D0"/>
  <w15:docId w15:val="{7502CF8F-1998-48EA-BBA8-DF17C9FEF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2D82"/>
    <w:pPr>
      <w:spacing w:after="160" w:line="278" w:lineRule="auto"/>
    </w:pPr>
    <w:rPr>
      <w:kern w:val="2"/>
      <w:sz w:val="24"/>
      <w:szCs w:val="24"/>
      <w14:ligatures w14:val="standardContextual"/>
    </w:rPr>
  </w:style>
  <w:style w:type="paragraph" w:styleId="Heading1">
    <w:name w:val="heading 1"/>
    <w:basedOn w:val="Normal"/>
    <w:next w:val="Normal"/>
    <w:link w:val="Heading1Char"/>
    <w:uiPriority w:val="9"/>
    <w:qFormat/>
    <w:rsid w:val="00DD6AC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5C2D82"/>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IN"/>
      <w14:ligatures w14:val="none"/>
    </w:rPr>
  </w:style>
  <w:style w:type="paragraph" w:styleId="Heading4">
    <w:name w:val="heading 4"/>
    <w:basedOn w:val="Normal"/>
    <w:next w:val="Normal"/>
    <w:link w:val="Heading4Char"/>
    <w:uiPriority w:val="9"/>
    <w:semiHidden/>
    <w:unhideWhenUsed/>
    <w:qFormat/>
    <w:rsid w:val="005C2D82"/>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BA4A11"/>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BA4A11"/>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2D82"/>
    <w:pPr>
      <w:ind w:left="720"/>
      <w:contextualSpacing/>
    </w:pPr>
  </w:style>
  <w:style w:type="character" w:customStyle="1" w:styleId="Heading3Char">
    <w:name w:val="Heading 3 Char"/>
    <w:basedOn w:val="DefaultParagraphFont"/>
    <w:link w:val="Heading3"/>
    <w:uiPriority w:val="9"/>
    <w:rsid w:val="005C2D82"/>
    <w:rPr>
      <w:rFonts w:ascii="Times New Roman" w:eastAsia="Times New Roman" w:hAnsi="Times New Roman" w:cs="Times New Roman"/>
      <w:b/>
      <w:bCs/>
      <w:sz w:val="27"/>
      <w:szCs w:val="27"/>
      <w:lang w:eastAsia="en-IN"/>
    </w:rPr>
  </w:style>
  <w:style w:type="paragraph" w:styleId="NormalWeb">
    <w:name w:val="Normal (Web)"/>
    <w:basedOn w:val="Normal"/>
    <w:uiPriority w:val="99"/>
    <w:unhideWhenUsed/>
    <w:rsid w:val="005C2D82"/>
    <w:pPr>
      <w:spacing w:before="100" w:beforeAutospacing="1" w:after="100" w:afterAutospacing="1" w:line="240" w:lineRule="auto"/>
    </w:pPr>
    <w:rPr>
      <w:rFonts w:ascii="Times New Roman" w:eastAsia="Times New Roman" w:hAnsi="Times New Roman" w:cs="Times New Roman"/>
      <w:kern w:val="0"/>
      <w:lang w:eastAsia="en-IN"/>
      <w14:ligatures w14:val="none"/>
    </w:rPr>
  </w:style>
  <w:style w:type="character" w:styleId="Strong">
    <w:name w:val="Strong"/>
    <w:basedOn w:val="DefaultParagraphFont"/>
    <w:uiPriority w:val="22"/>
    <w:qFormat/>
    <w:rsid w:val="005C2D82"/>
    <w:rPr>
      <w:b/>
      <w:bCs/>
    </w:rPr>
  </w:style>
  <w:style w:type="character" w:styleId="Emphasis">
    <w:name w:val="Emphasis"/>
    <w:basedOn w:val="DefaultParagraphFont"/>
    <w:uiPriority w:val="20"/>
    <w:qFormat/>
    <w:rsid w:val="005C2D82"/>
    <w:rPr>
      <w:i/>
      <w:iCs/>
    </w:rPr>
  </w:style>
  <w:style w:type="character" w:customStyle="1" w:styleId="Heading4Char">
    <w:name w:val="Heading 4 Char"/>
    <w:basedOn w:val="DefaultParagraphFont"/>
    <w:link w:val="Heading4"/>
    <w:uiPriority w:val="9"/>
    <w:semiHidden/>
    <w:rsid w:val="005C2D82"/>
    <w:rPr>
      <w:rFonts w:asciiTheme="majorHAnsi" w:eastAsiaTheme="majorEastAsia" w:hAnsiTheme="majorHAnsi" w:cstheme="majorBidi"/>
      <w:b/>
      <w:bCs/>
      <w:i/>
      <w:iCs/>
      <w:color w:val="4F81BD" w:themeColor="accent1"/>
      <w:kern w:val="2"/>
      <w:sz w:val="24"/>
      <w:szCs w:val="24"/>
      <w14:ligatures w14:val="standardContextual"/>
    </w:rPr>
  </w:style>
  <w:style w:type="character" w:styleId="Hyperlink">
    <w:name w:val="Hyperlink"/>
    <w:basedOn w:val="DefaultParagraphFont"/>
    <w:uiPriority w:val="99"/>
    <w:unhideWhenUsed/>
    <w:rsid w:val="00D44123"/>
    <w:rPr>
      <w:color w:val="0000FF" w:themeColor="hyperlink"/>
      <w:u w:val="single"/>
    </w:rPr>
  </w:style>
  <w:style w:type="paragraph" w:customStyle="1" w:styleId="c-bdnkfx">
    <w:name w:val="c-bdnkfx"/>
    <w:basedOn w:val="Normal"/>
    <w:rsid w:val="00D44123"/>
    <w:pPr>
      <w:spacing w:before="100" w:beforeAutospacing="1" w:after="100" w:afterAutospacing="1" w:line="240" w:lineRule="auto"/>
    </w:pPr>
    <w:rPr>
      <w:rFonts w:ascii="Times New Roman" w:eastAsia="Times New Roman" w:hAnsi="Times New Roman" w:cs="Times New Roman"/>
      <w:kern w:val="0"/>
      <w:lang w:eastAsia="en-IN"/>
      <w14:ligatures w14:val="none"/>
    </w:rPr>
  </w:style>
  <w:style w:type="character" w:customStyle="1" w:styleId="highlight">
    <w:name w:val="highlight"/>
    <w:basedOn w:val="DefaultParagraphFont"/>
    <w:rsid w:val="00D87B47"/>
  </w:style>
  <w:style w:type="character" w:customStyle="1" w:styleId="Heading1Char">
    <w:name w:val="Heading 1 Char"/>
    <w:basedOn w:val="DefaultParagraphFont"/>
    <w:link w:val="Heading1"/>
    <w:uiPriority w:val="9"/>
    <w:rsid w:val="00DD6AC7"/>
    <w:rPr>
      <w:rFonts w:asciiTheme="majorHAnsi" w:eastAsiaTheme="majorEastAsia" w:hAnsiTheme="majorHAnsi" w:cstheme="majorBidi"/>
      <w:b/>
      <w:bCs/>
      <w:color w:val="365F91" w:themeColor="accent1" w:themeShade="BF"/>
      <w:kern w:val="2"/>
      <w:sz w:val="28"/>
      <w:szCs w:val="28"/>
      <w14:ligatures w14:val="standardContextual"/>
    </w:rPr>
  </w:style>
  <w:style w:type="character" w:customStyle="1" w:styleId="Heading5Char">
    <w:name w:val="Heading 5 Char"/>
    <w:basedOn w:val="DefaultParagraphFont"/>
    <w:link w:val="Heading5"/>
    <w:uiPriority w:val="9"/>
    <w:semiHidden/>
    <w:rsid w:val="00BA4A11"/>
    <w:rPr>
      <w:rFonts w:asciiTheme="majorHAnsi" w:eastAsiaTheme="majorEastAsia" w:hAnsiTheme="majorHAnsi" w:cstheme="majorBidi"/>
      <w:color w:val="243F60" w:themeColor="accent1" w:themeShade="7F"/>
      <w:kern w:val="2"/>
      <w:sz w:val="24"/>
      <w:szCs w:val="24"/>
      <w14:ligatures w14:val="standardContextual"/>
    </w:rPr>
  </w:style>
  <w:style w:type="character" w:customStyle="1" w:styleId="Heading6Char">
    <w:name w:val="Heading 6 Char"/>
    <w:basedOn w:val="DefaultParagraphFont"/>
    <w:link w:val="Heading6"/>
    <w:uiPriority w:val="9"/>
    <w:semiHidden/>
    <w:rsid w:val="00BA4A11"/>
    <w:rPr>
      <w:rFonts w:asciiTheme="majorHAnsi" w:eastAsiaTheme="majorEastAsia" w:hAnsiTheme="majorHAnsi" w:cstheme="majorBidi"/>
      <w:i/>
      <w:iCs/>
      <w:color w:val="243F60" w:themeColor="accent1" w:themeShade="7F"/>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244706">
      <w:bodyDiv w:val="1"/>
      <w:marLeft w:val="0"/>
      <w:marRight w:val="0"/>
      <w:marTop w:val="0"/>
      <w:marBottom w:val="0"/>
      <w:divBdr>
        <w:top w:val="none" w:sz="0" w:space="0" w:color="auto"/>
        <w:left w:val="none" w:sz="0" w:space="0" w:color="auto"/>
        <w:bottom w:val="none" w:sz="0" w:space="0" w:color="auto"/>
        <w:right w:val="none" w:sz="0" w:space="0" w:color="auto"/>
      </w:divBdr>
    </w:div>
    <w:div w:id="191379819">
      <w:bodyDiv w:val="1"/>
      <w:marLeft w:val="0"/>
      <w:marRight w:val="0"/>
      <w:marTop w:val="0"/>
      <w:marBottom w:val="0"/>
      <w:divBdr>
        <w:top w:val="none" w:sz="0" w:space="0" w:color="auto"/>
        <w:left w:val="none" w:sz="0" w:space="0" w:color="auto"/>
        <w:bottom w:val="none" w:sz="0" w:space="0" w:color="auto"/>
        <w:right w:val="none" w:sz="0" w:space="0" w:color="auto"/>
      </w:divBdr>
    </w:div>
    <w:div w:id="254559683">
      <w:bodyDiv w:val="1"/>
      <w:marLeft w:val="0"/>
      <w:marRight w:val="0"/>
      <w:marTop w:val="0"/>
      <w:marBottom w:val="0"/>
      <w:divBdr>
        <w:top w:val="none" w:sz="0" w:space="0" w:color="auto"/>
        <w:left w:val="none" w:sz="0" w:space="0" w:color="auto"/>
        <w:bottom w:val="none" w:sz="0" w:space="0" w:color="auto"/>
        <w:right w:val="none" w:sz="0" w:space="0" w:color="auto"/>
      </w:divBdr>
    </w:div>
    <w:div w:id="435177084">
      <w:bodyDiv w:val="1"/>
      <w:marLeft w:val="0"/>
      <w:marRight w:val="0"/>
      <w:marTop w:val="0"/>
      <w:marBottom w:val="0"/>
      <w:divBdr>
        <w:top w:val="none" w:sz="0" w:space="0" w:color="auto"/>
        <w:left w:val="none" w:sz="0" w:space="0" w:color="auto"/>
        <w:bottom w:val="none" w:sz="0" w:space="0" w:color="auto"/>
        <w:right w:val="none" w:sz="0" w:space="0" w:color="auto"/>
      </w:divBdr>
    </w:div>
    <w:div w:id="536360727">
      <w:bodyDiv w:val="1"/>
      <w:marLeft w:val="0"/>
      <w:marRight w:val="0"/>
      <w:marTop w:val="0"/>
      <w:marBottom w:val="0"/>
      <w:divBdr>
        <w:top w:val="none" w:sz="0" w:space="0" w:color="auto"/>
        <w:left w:val="none" w:sz="0" w:space="0" w:color="auto"/>
        <w:bottom w:val="none" w:sz="0" w:space="0" w:color="auto"/>
        <w:right w:val="none" w:sz="0" w:space="0" w:color="auto"/>
      </w:divBdr>
    </w:div>
    <w:div w:id="616761091">
      <w:bodyDiv w:val="1"/>
      <w:marLeft w:val="0"/>
      <w:marRight w:val="0"/>
      <w:marTop w:val="0"/>
      <w:marBottom w:val="0"/>
      <w:divBdr>
        <w:top w:val="none" w:sz="0" w:space="0" w:color="auto"/>
        <w:left w:val="none" w:sz="0" w:space="0" w:color="auto"/>
        <w:bottom w:val="none" w:sz="0" w:space="0" w:color="auto"/>
        <w:right w:val="none" w:sz="0" w:space="0" w:color="auto"/>
      </w:divBdr>
    </w:div>
    <w:div w:id="644548113">
      <w:bodyDiv w:val="1"/>
      <w:marLeft w:val="0"/>
      <w:marRight w:val="0"/>
      <w:marTop w:val="0"/>
      <w:marBottom w:val="0"/>
      <w:divBdr>
        <w:top w:val="none" w:sz="0" w:space="0" w:color="auto"/>
        <w:left w:val="none" w:sz="0" w:space="0" w:color="auto"/>
        <w:bottom w:val="none" w:sz="0" w:space="0" w:color="auto"/>
        <w:right w:val="none" w:sz="0" w:space="0" w:color="auto"/>
      </w:divBdr>
    </w:div>
    <w:div w:id="719549647">
      <w:bodyDiv w:val="1"/>
      <w:marLeft w:val="0"/>
      <w:marRight w:val="0"/>
      <w:marTop w:val="0"/>
      <w:marBottom w:val="0"/>
      <w:divBdr>
        <w:top w:val="none" w:sz="0" w:space="0" w:color="auto"/>
        <w:left w:val="none" w:sz="0" w:space="0" w:color="auto"/>
        <w:bottom w:val="none" w:sz="0" w:space="0" w:color="auto"/>
        <w:right w:val="none" w:sz="0" w:space="0" w:color="auto"/>
      </w:divBdr>
    </w:div>
    <w:div w:id="805051420">
      <w:bodyDiv w:val="1"/>
      <w:marLeft w:val="0"/>
      <w:marRight w:val="0"/>
      <w:marTop w:val="0"/>
      <w:marBottom w:val="0"/>
      <w:divBdr>
        <w:top w:val="none" w:sz="0" w:space="0" w:color="auto"/>
        <w:left w:val="none" w:sz="0" w:space="0" w:color="auto"/>
        <w:bottom w:val="none" w:sz="0" w:space="0" w:color="auto"/>
        <w:right w:val="none" w:sz="0" w:space="0" w:color="auto"/>
      </w:divBdr>
    </w:div>
    <w:div w:id="816071740">
      <w:bodyDiv w:val="1"/>
      <w:marLeft w:val="0"/>
      <w:marRight w:val="0"/>
      <w:marTop w:val="0"/>
      <w:marBottom w:val="0"/>
      <w:divBdr>
        <w:top w:val="none" w:sz="0" w:space="0" w:color="auto"/>
        <w:left w:val="none" w:sz="0" w:space="0" w:color="auto"/>
        <w:bottom w:val="none" w:sz="0" w:space="0" w:color="auto"/>
        <w:right w:val="none" w:sz="0" w:space="0" w:color="auto"/>
      </w:divBdr>
    </w:div>
    <w:div w:id="821507530">
      <w:bodyDiv w:val="1"/>
      <w:marLeft w:val="0"/>
      <w:marRight w:val="0"/>
      <w:marTop w:val="0"/>
      <w:marBottom w:val="0"/>
      <w:divBdr>
        <w:top w:val="none" w:sz="0" w:space="0" w:color="auto"/>
        <w:left w:val="none" w:sz="0" w:space="0" w:color="auto"/>
        <w:bottom w:val="none" w:sz="0" w:space="0" w:color="auto"/>
        <w:right w:val="none" w:sz="0" w:space="0" w:color="auto"/>
      </w:divBdr>
    </w:div>
    <w:div w:id="895513873">
      <w:bodyDiv w:val="1"/>
      <w:marLeft w:val="0"/>
      <w:marRight w:val="0"/>
      <w:marTop w:val="0"/>
      <w:marBottom w:val="0"/>
      <w:divBdr>
        <w:top w:val="none" w:sz="0" w:space="0" w:color="auto"/>
        <w:left w:val="none" w:sz="0" w:space="0" w:color="auto"/>
        <w:bottom w:val="none" w:sz="0" w:space="0" w:color="auto"/>
        <w:right w:val="none" w:sz="0" w:space="0" w:color="auto"/>
      </w:divBdr>
    </w:div>
    <w:div w:id="1157724349">
      <w:bodyDiv w:val="1"/>
      <w:marLeft w:val="0"/>
      <w:marRight w:val="0"/>
      <w:marTop w:val="0"/>
      <w:marBottom w:val="0"/>
      <w:divBdr>
        <w:top w:val="none" w:sz="0" w:space="0" w:color="auto"/>
        <w:left w:val="none" w:sz="0" w:space="0" w:color="auto"/>
        <w:bottom w:val="none" w:sz="0" w:space="0" w:color="auto"/>
        <w:right w:val="none" w:sz="0" w:space="0" w:color="auto"/>
      </w:divBdr>
    </w:div>
    <w:div w:id="1507985123">
      <w:bodyDiv w:val="1"/>
      <w:marLeft w:val="0"/>
      <w:marRight w:val="0"/>
      <w:marTop w:val="0"/>
      <w:marBottom w:val="0"/>
      <w:divBdr>
        <w:top w:val="none" w:sz="0" w:space="0" w:color="auto"/>
        <w:left w:val="none" w:sz="0" w:space="0" w:color="auto"/>
        <w:bottom w:val="none" w:sz="0" w:space="0" w:color="auto"/>
        <w:right w:val="none" w:sz="0" w:space="0" w:color="auto"/>
      </w:divBdr>
    </w:div>
    <w:div w:id="1591112088">
      <w:bodyDiv w:val="1"/>
      <w:marLeft w:val="0"/>
      <w:marRight w:val="0"/>
      <w:marTop w:val="0"/>
      <w:marBottom w:val="0"/>
      <w:divBdr>
        <w:top w:val="none" w:sz="0" w:space="0" w:color="auto"/>
        <w:left w:val="none" w:sz="0" w:space="0" w:color="auto"/>
        <w:bottom w:val="none" w:sz="0" w:space="0" w:color="auto"/>
        <w:right w:val="none" w:sz="0" w:space="0" w:color="auto"/>
      </w:divBdr>
    </w:div>
    <w:div w:id="1621953064">
      <w:bodyDiv w:val="1"/>
      <w:marLeft w:val="0"/>
      <w:marRight w:val="0"/>
      <w:marTop w:val="0"/>
      <w:marBottom w:val="0"/>
      <w:divBdr>
        <w:top w:val="none" w:sz="0" w:space="0" w:color="auto"/>
        <w:left w:val="none" w:sz="0" w:space="0" w:color="auto"/>
        <w:bottom w:val="none" w:sz="0" w:space="0" w:color="auto"/>
        <w:right w:val="none" w:sz="0" w:space="0" w:color="auto"/>
      </w:divBdr>
    </w:div>
    <w:div w:id="1680697658">
      <w:bodyDiv w:val="1"/>
      <w:marLeft w:val="0"/>
      <w:marRight w:val="0"/>
      <w:marTop w:val="0"/>
      <w:marBottom w:val="0"/>
      <w:divBdr>
        <w:top w:val="none" w:sz="0" w:space="0" w:color="auto"/>
        <w:left w:val="none" w:sz="0" w:space="0" w:color="auto"/>
        <w:bottom w:val="none" w:sz="0" w:space="0" w:color="auto"/>
        <w:right w:val="none" w:sz="0" w:space="0" w:color="auto"/>
      </w:divBdr>
    </w:div>
    <w:div w:id="1688557969">
      <w:bodyDiv w:val="1"/>
      <w:marLeft w:val="0"/>
      <w:marRight w:val="0"/>
      <w:marTop w:val="0"/>
      <w:marBottom w:val="0"/>
      <w:divBdr>
        <w:top w:val="none" w:sz="0" w:space="0" w:color="auto"/>
        <w:left w:val="none" w:sz="0" w:space="0" w:color="auto"/>
        <w:bottom w:val="none" w:sz="0" w:space="0" w:color="auto"/>
        <w:right w:val="none" w:sz="0" w:space="0" w:color="auto"/>
      </w:divBdr>
    </w:div>
    <w:div w:id="1848791140">
      <w:bodyDiv w:val="1"/>
      <w:marLeft w:val="0"/>
      <w:marRight w:val="0"/>
      <w:marTop w:val="0"/>
      <w:marBottom w:val="0"/>
      <w:divBdr>
        <w:top w:val="none" w:sz="0" w:space="0" w:color="auto"/>
        <w:left w:val="none" w:sz="0" w:space="0" w:color="auto"/>
        <w:bottom w:val="none" w:sz="0" w:space="0" w:color="auto"/>
        <w:right w:val="none" w:sz="0" w:space="0" w:color="auto"/>
      </w:divBdr>
    </w:div>
    <w:div w:id="1958443677">
      <w:bodyDiv w:val="1"/>
      <w:marLeft w:val="0"/>
      <w:marRight w:val="0"/>
      <w:marTop w:val="0"/>
      <w:marBottom w:val="0"/>
      <w:divBdr>
        <w:top w:val="none" w:sz="0" w:space="0" w:color="auto"/>
        <w:left w:val="none" w:sz="0" w:space="0" w:color="auto"/>
        <w:bottom w:val="none" w:sz="0" w:space="0" w:color="auto"/>
        <w:right w:val="none" w:sz="0" w:space="0" w:color="auto"/>
      </w:divBdr>
      <w:divsChild>
        <w:div w:id="199243912">
          <w:marLeft w:val="0"/>
          <w:marRight w:val="0"/>
          <w:marTop w:val="0"/>
          <w:marBottom w:val="0"/>
          <w:divBdr>
            <w:top w:val="none" w:sz="0" w:space="0" w:color="auto"/>
            <w:left w:val="none" w:sz="0" w:space="0" w:color="auto"/>
            <w:bottom w:val="none" w:sz="0" w:space="0" w:color="auto"/>
            <w:right w:val="none" w:sz="0" w:space="0" w:color="auto"/>
          </w:divBdr>
          <w:divsChild>
            <w:div w:id="392389993">
              <w:marLeft w:val="0"/>
              <w:marRight w:val="0"/>
              <w:marTop w:val="0"/>
              <w:marBottom w:val="0"/>
              <w:divBdr>
                <w:top w:val="none" w:sz="0" w:space="0" w:color="auto"/>
                <w:left w:val="none" w:sz="0" w:space="0" w:color="auto"/>
                <w:bottom w:val="none" w:sz="0" w:space="0" w:color="auto"/>
                <w:right w:val="none" w:sz="0" w:space="0" w:color="auto"/>
              </w:divBdr>
              <w:divsChild>
                <w:div w:id="787546786">
                  <w:marLeft w:val="0"/>
                  <w:marRight w:val="0"/>
                  <w:marTop w:val="0"/>
                  <w:marBottom w:val="0"/>
                  <w:divBdr>
                    <w:top w:val="none" w:sz="0" w:space="0" w:color="auto"/>
                    <w:left w:val="none" w:sz="0" w:space="0" w:color="auto"/>
                    <w:bottom w:val="none" w:sz="0" w:space="0" w:color="auto"/>
                    <w:right w:val="none" w:sz="0" w:space="0" w:color="auto"/>
                  </w:divBdr>
                  <w:divsChild>
                    <w:div w:id="1357853824">
                      <w:marLeft w:val="0"/>
                      <w:marRight w:val="0"/>
                      <w:marTop w:val="0"/>
                      <w:marBottom w:val="0"/>
                      <w:divBdr>
                        <w:top w:val="none" w:sz="0" w:space="0" w:color="auto"/>
                        <w:left w:val="none" w:sz="0" w:space="0" w:color="auto"/>
                        <w:bottom w:val="none" w:sz="0" w:space="0" w:color="auto"/>
                        <w:right w:val="none" w:sz="0" w:space="0" w:color="auto"/>
                      </w:divBdr>
                      <w:divsChild>
                        <w:div w:id="1104955833">
                          <w:marLeft w:val="0"/>
                          <w:marRight w:val="0"/>
                          <w:marTop w:val="0"/>
                          <w:marBottom w:val="0"/>
                          <w:divBdr>
                            <w:top w:val="none" w:sz="0" w:space="0" w:color="auto"/>
                            <w:left w:val="none" w:sz="0" w:space="0" w:color="auto"/>
                            <w:bottom w:val="none" w:sz="0" w:space="0" w:color="auto"/>
                            <w:right w:val="none" w:sz="0" w:space="0" w:color="auto"/>
                          </w:divBdr>
                          <w:divsChild>
                            <w:div w:id="681975208">
                              <w:marLeft w:val="0"/>
                              <w:marRight w:val="0"/>
                              <w:marTop w:val="0"/>
                              <w:marBottom w:val="0"/>
                              <w:divBdr>
                                <w:top w:val="none" w:sz="0" w:space="0" w:color="auto"/>
                                <w:left w:val="none" w:sz="0" w:space="0" w:color="auto"/>
                                <w:bottom w:val="none" w:sz="0" w:space="0" w:color="auto"/>
                                <w:right w:val="none" w:sz="0" w:space="0" w:color="auto"/>
                              </w:divBdr>
                              <w:divsChild>
                                <w:div w:id="810709701">
                                  <w:marLeft w:val="0"/>
                                  <w:marRight w:val="0"/>
                                  <w:marTop w:val="0"/>
                                  <w:marBottom w:val="0"/>
                                  <w:divBdr>
                                    <w:top w:val="none" w:sz="0" w:space="0" w:color="auto"/>
                                    <w:left w:val="none" w:sz="0" w:space="0" w:color="auto"/>
                                    <w:bottom w:val="none" w:sz="0" w:space="0" w:color="auto"/>
                                    <w:right w:val="none" w:sz="0" w:space="0" w:color="auto"/>
                                  </w:divBdr>
                                  <w:divsChild>
                                    <w:div w:id="295843134">
                                      <w:marLeft w:val="0"/>
                                      <w:marRight w:val="0"/>
                                      <w:marTop w:val="0"/>
                                      <w:marBottom w:val="0"/>
                                      <w:divBdr>
                                        <w:top w:val="none" w:sz="0" w:space="0" w:color="auto"/>
                                        <w:left w:val="none" w:sz="0" w:space="0" w:color="auto"/>
                                        <w:bottom w:val="none" w:sz="0" w:space="0" w:color="auto"/>
                                        <w:right w:val="none" w:sz="0" w:space="0" w:color="auto"/>
                                      </w:divBdr>
                                      <w:divsChild>
                                        <w:div w:id="807360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2137447">
          <w:marLeft w:val="0"/>
          <w:marRight w:val="0"/>
          <w:marTop w:val="0"/>
          <w:marBottom w:val="0"/>
          <w:divBdr>
            <w:top w:val="none" w:sz="0" w:space="0" w:color="auto"/>
            <w:left w:val="none" w:sz="0" w:space="0" w:color="auto"/>
            <w:bottom w:val="none" w:sz="0" w:space="0" w:color="auto"/>
            <w:right w:val="none" w:sz="0" w:space="0" w:color="auto"/>
          </w:divBdr>
          <w:divsChild>
            <w:div w:id="1684354783">
              <w:marLeft w:val="0"/>
              <w:marRight w:val="0"/>
              <w:marTop w:val="0"/>
              <w:marBottom w:val="0"/>
              <w:divBdr>
                <w:top w:val="none" w:sz="0" w:space="0" w:color="auto"/>
                <w:left w:val="none" w:sz="0" w:space="0" w:color="auto"/>
                <w:bottom w:val="none" w:sz="0" w:space="0" w:color="auto"/>
                <w:right w:val="none" w:sz="0" w:space="0" w:color="auto"/>
              </w:divBdr>
              <w:divsChild>
                <w:div w:id="956913606">
                  <w:marLeft w:val="0"/>
                  <w:marRight w:val="0"/>
                  <w:marTop w:val="0"/>
                  <w:marBottom w:val="0"/>
                  <w:divBdr>
                    <w:top w:val="none" w:sz="0" w:space="0" w:color="auto"/>
                    <w:left w:val="none" w:sz="0" w:space="0" w:color="auto"/>
                    <w:bottom w:val="none" w:sz="0" w:space="0" w:color="auto"/>
                    <w:right w:val="none" w:sz="0" w:space="0" w:color="auto"/>
                  </w:divBdr>
                  <w:divsChild>
                    <w:div w:id="993292804">
                      <w:marLeft w:val="0"/>
                      <w:marRight w:val="0"/>
                      <w:marTop w:val="0"/>
                      <w:marBottom w:val="0"/>
                      <w:divBdr>
                        <w:top w:val="none" w:sz="0" w:space="0" w:color="auto"/>
                        <w:left w:val="none" w:sz="0" w:space="0" w:color="auto"/>
                        <w:bottom w:val="none" w:sz="0" w:space="0" w:color="auto"/>
                        <w:right w:val="none" w:sz="0" w:space="0" w:color="auto"/>
                      </w:divBdr>
                      <w:divsChild>
                        <w:div w:id="617951930">
                          <w:marLeft w:val="0"/>
                          <w:marRight w:val="0"/>
                          <w:marTop w:val="0"/>
                          <w:marBottom w:val="0"/>
                          <w:divBdr>
                            <w:top w:val="none" w:sz="0" w:space="0" w:color="auto"/>
                            <w:left w:val="none" w:sz="0" w:space="0" w:color="auto"/>
                            <w:bottom w:val="none" w:sz="0" w:space="0" w:color="auto"/>
                            <w:right w:val="none" w:sz="0" w:space="0" w:color="auto"/>
                          </w:divBdr>
                          <w:divsChild>
                            <w:div w:id="894512682">
                              <w:marLeft w:val="0"/>
                              <w:marRight w:val="0"/>
                              <w:marTop w:val="0"/>
                              <w:marBottom w:val="0"/>
                              <w:divBdr>
                                <w:top w:val="none" w:sz="0" w:space="0" w:color="auto"/>
                                <w:left w:val="none" w:sz="0" w:space="0" w:color="auto"/>
                                <w:bottom w:val="none" w:sz="0" w:space="0" w:color="auto"/>
                                <w:right w:val="none" w:sz="0" w:space="0" w:color="auto"/>
                              </w:divBdr>
                              <w:divsChild>
                                <w:div w:id="192308286">
                                  <w:marLeft w:val="0"/>
                                  <w:marRight w:val="0"/>
                                  <w:marTop w:val="0"/>
                                  <w:marBottom w:val="0"/>
                                  <w:divBdr>
                                    <w:top w:val="none" w:sz="0" w:space="0" w:color="auto"/>
                                    <w:left w:val="none" w:sz="0" w:space="0" w:color="auto"/>
                                    <w:bottom w:val="none" w:sz="0" w:space="0" w:color="auto"/>
                                    <w:right w:val="none" w:sz="0" w:space="0" w:color="auto"/>
                                  </w:divBdr>
                                  <w:divsChild>
                                    <w:div w:id="1343319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948385">
                          <w:marLeft w:val="0"/>
                          <w:marRight w:val="0"/>
                          <w:marTop w:val="0"/>
                          <w:marBottom w:val="0"/>
                          <w:divBdr>
                            <w:top w:val="none" w:sz="0" w:space="0" w:color="auto"/>
                            <w:left w:val="none" w:sz="0" w:space="0" w:color="auto"/>
                            <w:bottom w:val="none" w:sz="0" w:space="0" w:color="auto"/>
                            <w:right w:val="none" w:sz="0" w:space="0" w:color="auto"/>
                          </w:divBdr>
                          <w:divsChild>
                            <w:div w:id="955137360">
                              <w:marLeft w:val="0"/>
                              <w:marRight w:val="0"/>
                              <w:marTop w:val="0"/>
                              <w:marBottom w:val="0"/>
                              <w:divBdr>
                                <w:top w:val="none" w:sz="0" w:space="0" w:color="auto"/>
                                <w:left w:val="none" w:sz="0" w:space="0" w:color="auto"/>
                                <w:bottom w:val="none" w:sz="0" w:space="0" w:color="auto"/>
                                <w:right w:val="none" w:sz="0" w:space="0" w:color="auto"/>
                              </w:divBdr>
                              <w:divsChild>
                                <w:div w:id="2115516535">
                                  <w:marLeft w:val="0"/>
                                  <w:marRight w:val="0"/>
                                  <w:marTop w:val="0"/>
                                  <w:marBottom w:val="0"/>
                                  <w:divBdr>
                                    <w:top w:val="none" w:sz="0" w:space="0" w:color="auto"/>
                                    <w:left w:val="none" w:sz="0" w:space="0" w:color="auto"/>
                                    <w:bottom w:val="none" w:sz="0" w:space="0" w:color="auto"/>
                                    <w:right w:val="none" w:sz="0" w:space="0" w:color="auto"/>
                                  </w:divBdr>
                                  <w:divsChild>
                                    <w:div w:id="307369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7124944">
          <w:marLeft w:val="0"/>
          <w:marRight w:val="0"/>
          <w:marTop w:val="0"/>
          <w:marBottom w:val="0"/>
          <w:divBdr>
            <w:top w:val="none" w:sz="0" w:space="0" w:color="auto"/>
            <w:left w:val="none" w:sz="0" w:space="0" w:color="auto"/>
            <w:bottom w:val="none" w:sz="0" w:space="0" w:color="auto"/>
            <w:right w:val="none" w:sz="0" w:space="0" w:color="auto"/>
          </w:divBdr>
          <w:divsChild>
            <w:div w:id="1133794614">
              <w:marLeft w:val="0"/>
              <w:marRight w:val="0"/>
              <w:marTop w:val="0"/>
              <w:marBottom w:val="0"/>
              <w:divBdr>
                <w:top w:val="none" w:sz="0" w:space="0" w:color="auto"/>
                <w:left w:val="none" w:sz="0" w:space="0" w:color="auto"/>
                <w:bottom w:val="none" w:sz="0" w:space="0" w:color="auto"/>
                <w:right w:val="none" w:sz="0" w:space="0" w:color="auto"/>
              </w:divBdr>
              <w:divsChild>
                <w:div w:id="2014256659">
                  <w:marLeft w:val="0"/>
                  <w:marRight w:val="0"/>
                  <w:marTop w:val="0"/>
                  <w:marBottom w:val="0"/>
                  <w:divBdr>
                    <w:top w:val="none" w:sz="0" w:space="0" w:color="auto"/>
                    <w:left w:val="none" w:sz="0" w:space="0" w:color="auto"/>
                    <w:bottom w:val="none" w:sz="0" w:space="0" w:color="auto"/>
                    <w:right w:val="none" w:sz="0" w:space="0" w:color="auto"/>
                  </w:divBdr>
                  <w:divsChild>
                    <w:div w:id="17782796">
                      <w:marLeft w:val="0"/>
                      <w:marRight w:val="0"/>
                      <w:marTop w:val="0"/>
                      <w:marBottom w:val="0"/>
                      <w:divBdr>
                        <w:top w:val="none" w:sz="0" w:space="0" w:color="auto"/>
                        <w:left w:val="none" w:sz="0" w:space="0" w:color="auto"/>
                        <w:bottom w:val="none" w:sz="0" w:space="0" w:color="auto"/>
                        <w:right w:val="none" w:sz="0" w:space="0" w:color="auto"/>
                      </w:divBdr>
                      <w:divsChild>
                        <w:div w:id="1346319991">
                          <w:marLeft w:val="0"/>
                          <w:marRight w:val="0"/>
                          <w:marTop w:val="0"/>
                          <w:marBottom w:val="0"/>
                          <w:divBdr>
                            <w:top w:val="none" w:sz="0" w:space="0" w:color="auto"/>
                            <w:left w:val="none" w:sz="0" w:space="0" w:color="auto"/>
                            <w:bottom w:val="none" w:sz="0" w:space="0" w:color="auto"/>
                            <w:right w:val="none" w:sz="0" w:space="0" w:color="auto"/>
                          </w:divBdr>
                          <w:divsChild>
                            <w:div w:id="1723404608">
                              <w:marLeft w:val="0"/>
                              <w:marRight w:val="0"/>
                              <w:marTop w:val="0"/>
                              <w:marBottom w:val="0"/>
                              <w:divBdr>
                                <w:top w:val="none" w:sz="0" w:space="0" w:color="auto"/>
                                <w:left w:val="none" w:sz="0" w:space="0" w:color="auto"/>
                                <w:bottom w:val="none" w:sz="0" w:space="0" w:color="auto"/>
                                <w:right w:val="none" w:sz="0" w:space="0" w:color="auto"/>
                              </w:divBdr>
                              <w:divsChild>
                                <w:div w:id="1859349067">
                                  <w:marLeft w:val="0"/>
                                  <w:marRight w:val="0"/>
                                  <w:marTop w:val="0"/>
                                  <w:marBottom w:val="0"/>
                                  <w:divBdr>
                                    <w:top w:val="none" w:sz="0" w:space="0" w:color="auto"/>
                                    <w:left w:val="none" w:sz="0" w:space="0" w:color="auto"/>
                                    <w:bottom w:val="none" w:sz="0" w:space="0" w:color="auto"/>
                                    <w:right w:val="none" w:sz="0" w:space="0" w:color="auto"/>
                                  </w:divBdr>
                                  <w:divsChild>
                                    <w:div w:id="1509102463">
                                      <w:marLeft w:val="0"/>
                                      <w:marRight w:val="0"/>
                                      <w:marTop w:val="0"/>
                                      <w:marBottom w:val="0"/>
                                      <w:divBdr>
                                        <w:top w:val="none" w:sz="0" w:space="0" w:color="auto"/>
                                        <w:left w:val="none" w:sz="0" w:space="0" w:color="auto"/>
                                        <w:bottom w:val="none" w:sz="0" w:space="0" w:color="auto"/>
                                        <w:right w:val="none" w:sz="0" w:space="0" w:color="auto"/>
                                      </w:divBdr>
                                      <w:divsChild>
                                        <w:div w:id="40054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25814459">
      <w:bodyDiv w:val="1"/>
      <w:marLeft w:val="0"/>
      <w:marRight w:val="0"/>
      <w:marTop w:val="0"/>
      <w:marBottom w:val="0"/>
      <w:divBdr>
        <w:top w:val="none" w:sz="0" w:space="0" w:color="auto"/>
        <w:left w:val="none" w:sz="0" w:space="0" w:color="auto"/>
        <w:bottom w:val="none" w:sz="0" w:space="0" w:color="auto"/>
        <w:right w:val="none" w:sz="0" w:space="0" w:color="auto"/>
      </w:divBdr>
    </w:div>
    <w:div w:id="2027752082">
      <w:bodyDiv w:val="1"/>
      <w:marLeft w:val="0"/>
      <w:marRight w:val="0"/>
      <w:marTop w:val="0"/>
      <w:marBottom w:val="0"/>
      <w:divBdr>
        <w:top w:val="none" w:sz="0" w:space="0" w:color="auto"/>
        <w:left w:val="none" w:sz="0" w:space="0" w:color="auto"/>
        <w:bottom w:val="none" w:sz="0" w:space="0" w:color="auto"/>
        <w:right w:val="none" w:sz="0" w:space="0" w:color="auto"/>
      </w:divBdr>
    </w:div>
    <w:div w:id="2134210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074C95-85F2-4E01-B51D-E103FEE5F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20</Pages>
  <Words>10706</Words>
  <Characters>61026</Characters>
  <Application>Microsoft Office Word</Application>
  <DocSecurity>0</DocSecurity>
  <Lines>508</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iwst2025@outlook.com</cp:lastModifiedBy>
  <cp:revision>5</cp:revision>
  <dcterms:created xsi:type="dcterms:W3CDTF">2025-03-05T17:03:00Z</dcterms:created>
  <dcterms:modified xsi:type="dcterms:W3CDTF">2025-03-12T07:04:00Z</dcterms:modified>
</cp:coreProperties>
</file>