
<file path=[Content_Types].xml><?xml version="1.0" encoding="utf-8"?>
<Types xmlns="http://schemas.openxmlformats.org/package/2006/content-types">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spacing w:after="120" w:before="120" w:line="336" w:lineRule="auto"/>
        <w:ind w:firstLine="0" w:start="0"/>
        <w:jc w:val="start"/>
      </w:pPr>
      <w:r>
        <w:rPr>
          <w:rFonts w:ascii="Canva Sans Bold" w:hAnsi="Canva Sans Bold" w:cs="Canva Sans Bold" w:eastAsia="Canva Sans Bold"/>
          <w:b/>
          <w:bCs/>
          <w:color w:val="000000"/>
          <w:sz w:val="48"/>
          <w:szCs w:val="48"/>
        </w:rPr>
        <w:t xml:space="preserve">… I’m Fine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A Young Adult’s Ironic Playbook for Navigating Stress, Chaos, and Adulting in the Modern World </w:t>
      </w:r>
      <w:r>
        <w:rPr>
          <w:rFonts w:ascii="Canva Sans Bold Italics" w:hAnsi="Canva Sans Bold Italics" w:cs="Canva Sans Bold Italics" w:eastAsia="Canva Sans Bold Italics"/>
          <w:b/>
          <w:bCs/>
          <w:i/>
          <w:iCs/>
          <w:color w:val="000000"/>
          <w:sz w:val="24"/>
          <w:szCs w:val="24"/>
        </w:rPr>
        <w:t>Tagline: Because “I’m fine” is just the starting point—time to thrive!</w:t>
      </w:r>
      <w:r>
        <w:rPr>
          <w:rFonts w:ascii="Canva Sans Bold" w:hAnsi="Canva Sans Bold" w:cs="Canva Sans Bold" w:eastAsia="Canva Sans Bold"/>
          <w:b/>
          <w:bCs/>
          <w:color w:val="000000"/>
          <w:sz w:val="24"/>
          <w:szCs w:val="24"/>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Table of Contents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Introduction: The Realities Behind “I’m Fine”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Chapter 1: Transitioning to Adulthood &amp; The Unspoken Stresses of Independence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Chapter 2: Neurodiversity &amp; Everyday Executive Function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Chapter 3: Trauma, Cortisol, and the Fight-or-Flight Mechanism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Chapter 4: Conscious Control vs. Automatic Body Reactions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Chapter 5: Recognizing Toxic Relationships &amp; Listening to Your Body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Chapter 6: Crafting Your Personalized Stress Management Plan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Chapter 7: Nutritional Strategies to Optimize Stress Management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Chapter 8: Leveraging Research &amp; Awareness to Build a Resilient Community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Chapter 9: Uniting for a Resilient Future – A Collective Vision on Stress Awareness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Conclusion: A Better Tomorrow Starts with Awareness Today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References &amp; Resources
</w:t>
      </w:r>
    </w:p>
    <w:p>
      <w:pPr>
        <w:numPr>
          <w:ilvl w:val="0"/>
          <w:numId w:val="1"/>
        </w:numPr>
        <w:spacing w:after="0" w:before="0" w:line="336" w:lineRule="auto"/>
        <w:jc w:val="start"/>
      </w:pPr>
      <w:r>
        <w:rPr>
          <w:rFonts w:ascii="Canva Sans Bold" w:hAnsi="Canva Sans Bold" w:cs="Canva Sans Bold" w:eastAsia="Canva Sans Bold"/>
          <w:b/>
          <w:bCs/>
          <w:color w:val="000000"/>
          <w:sz w:val="24"/>
          <w:szCs w:val="24"/>
        </w:rPr>
        <w:t xml:space="preserve">Appendices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Introduction: The Realities Behind “I’m Fine”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It’s a phrase we’ve all uttered countless times without a second thought—“I’m fine.” Yet behind this ubiquitous response lies a world of hidden challenges, unspoken struggles, and the day‑by‑day chaos of modern adulting. </w:t>
      </w:r>
      <w:r>
        <w:rPr>
          <w:rFonts w:ascii="Canva Sans Bold Italics" w:hAnsi="Canva Sans Bold Italics" w:cs="Canva Sans Bold Italics" w:eastAsia="Canva Sans Bold Italics"/>
          <w:b/>
          <w:bCs/>
          <w:i/>
          <w:iCs/>
          <w:color w:val="000000"/>
          <w:sz w:val="24"/>
          <w:szCs w:val="24"/>
        </w:rPr>
        <w:t>…i’m FINE</w:t>
      </w:r>
      <w:r>
        <w:rPr>
          <w:rFonts w:ascii="Canva Sans Bold" w:hAnsi="Canva Sans Bold" w:cs="Canva Sans Bold" w:eastAsia="Canva Sans Bold"/>
          <w:b/>
          <w:bCs/>
          <w:color w:val="000000"/>
          <w:sz w:val="24"/>
          <w:szCs w:val="24"/>
        </w:rPr>
        <w:t xml:space="preserve"> is not just a witty title; it’s a declaration, a rallying cry for young adults who know that “feeling fine” is often just a mask for deeper battles.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In this book, we peel back the layers of that simple phrase. Using a blend of hard‑hitting research, real‑life narratives, and actionable strategies, we unveil the reality of stress as experienced by today’s 18‑to‑30‑year‑olds. We explore how financial instability, relationship dilemmas, career uncertainties, and the challenges of self‑identity converge with biology—through neurodiversity, trauma responses, and even the food we eat—to shape our mental and physical well‑being.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From personal stories like Emily’s leap of faith and Mark’s balancing act to research-based insights from Arnett (2000), Barkley (2018), Jacka et al. (2017), and van der Kolk (2014), this playbook is both an empathetic guide and a call for community action. Whether you’re managing ADHD, healing from trauma, or simply trying to make sense of a world that often feels overwhelming, this book stands as proof that “I’m fine” can be transformed into a powerful declaration of resilience and self‑empowerment.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Let’s embark on this journey together. It’s time to unpack the chaos, reclaim our well‑being, and, most importantly, learn how to truly thrive.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Chapter 1: Transitioning to Adulthood &amp; The Unspoken Stresses of Independence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Word Count Target: ≈ 3,000–5,000 words</w:t>
      </w:r>
      <w:r>
        <w:rPr>
          <w:rFonts w:ascii="Canva Sans Bold" w:hAnsi="Canva Sans Bold" w:cs="Canva Sans Bold" w:eastAsia="Canva Sans Bold"/>
          <w:b/>
          <w:bCs/>
          <w:color w:val="000000"/>
          <w:sz w:val="24"/>
          <w:szCs w:val="24"/>
        </w:rPr>
        <w:t xml:space="preserv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1.1 The New World of Independence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Stepping out from under the wing of childhood is both exhilarating and daunting. This chapter opens with an introspective look into the world of emerging adulthood. We explore the bittersweet liberation that comes with independence—the excitement of new possibilities juxtaposed with the weight of financial, emotional, and logistical responsibility.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Narrative &amp; Analysis: Imagine leaving the familiar comfort of home only to suddenly face a maze of unseen challenges: paying your own rent, budgeting every dollar, and learning to navigate an urban jungle that feels completely alien. Emily’s story—of a brave 19‑year‑old venturing from her small hometown to begin college and an intern‑ship in a big city—captures this moment of awakening. Her early experiences of missed bill payments, lonely evenings, and the pressure to “make it on your own” resonated with countless young adults. Yet, as she embraced budgeting tools and community support groups, Emily transformed her anxiety into a growth opportunity.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We draw on Arnett’s (2000) theory of emerging adulthood, which posits that this phase is naturally filled with instability and experimentation. While it can be disorienting, this period also serves as fertile ground for self‑discovery and lasting personal development.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Case Study: Emily’s Leap of Faith At 19, Emily left everything familiar behind. Initially overwhelmed, she began tracking her spending with a budgeting app, attended finance workshops, and joined local meet‑ups for young professionals. Over time, her built‑up confidence not only stabilized her financial life but also helped her build a core network of friends who were all navigating the same choppy waters. Her journey embodies the unavoidable struggle—and eventual triumph—of emerging adulthood.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1.2 The Cost of Living in the 21st Century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The modern cost of living is staggering. Rising rents, student debt, and precarious employment are daily realities. This section examines these financial pressures and provides practical advice on managing money amid uncertainties.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Discussion &amp; Research: Drawing from personal finance blogs and forums (like those on The Financial Diet and Reddit’s r/personalfinance), we identify common patterns and solutions. The narrative of Mark—a 23‑year‑old juggling multiple part‑time jobs while fighting student debt—illustrates these challenges. His story serves as a poignant reminder that financial literacy is not optional; rather, it is an indispensable tool for survival in today’s economy.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Actionable Strategies:
</w:t>
      </w:r>
    </w:p>
    <w:p>
      <w:pPr>
        <w:numPr>
          <w:ilvl w:val="0"/>
          <w:numId w:val="2"/>
        </w:numPr>
        <w:spacing w:after="0" w:before="0" w:line="336" w:lineRule="auto"/>
        <w:jc w:val="start"/>
      </w:pPr>
      <w:r>
        <w:rPr>
          <w:rFonts w:ascii="Canva Sans Bold" w:hAnsi="Canva Sans Bold" w:cs="Canva Sans Bold" w:eastAsia="Canva Sans Bold"/>
          <w:b/>
          <w:bCs/>
          <w:color w:val="000000"/>
          <w:sz w:val="24"/>
          <w:szCs w:val="24"/>
        </w:rPr>
        <w:t xml:space="preserve">Budgeting Tools: Detailed guidance on the best apps and techniques to track spending.
</w:t>
      </w:r>
    </w:p>
    <w:p>
      <w:pPr>
        <w:numPr>
          <w:ilvl w:val="0"/>
          <w:numId w:val="2"/>
        </w:numPr>
        <w:spacing w:after="0" w:before="0" w:line="336" w:lineRule="auto"/>
        <w:jc w:val="start"/>
      </w:pPr>
      <w:r>
        <w:rPr>
          <w:rFonts w:ascii="Canva Sans Bold" w:hAnsi="Canva Sans Bold" w:cs="Canva Sans Bold" w:eastAsia="Canva Sans Bold"/>
          <w:b/>
          <w:bCs/>
          <w:color w:val="000000"/>
          <w:sz w:val="24"/>
          <w:szCs w:val="24"/>
        </w:rPr>
        <w:t xml:space="preserve">Financial Literacy Workshops: How to find and benefit from community classes and online resources.
</w:t>
      </w:r>
    </w:p>
    <w:p>
      <w:pPr>
        <w:numPr>
          <w:ilvl w:val="0"/>
          <w:numId w:val="2"/>
        </w:numPr>
        <w:spacing w:after="0" w:before="0" w:line="336" w:lineRule="auto"/>
        <w:jc w:val="start"/>
      </w:pPr>
      <w:r>
        <w:rPr>
          <w:rFonts w:ascii="Canva Sans Bold" w:hAnsi="Canva Sans Bold" w:cs="Canva Sans Bold" w:eastAsia="Canva Sans Bold"/>
          <w:b/>
          <w:bCs/>
          <w:color w:val="000000"/>
          <w:sz w:val="24"/>
          <w:szCs w:val="24"/>
        </w:rPr>
        <w:t xml:space="preserve">Peer Learning: Building a network of financially savvy friends to share tips and support.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1.3 The Digital Boom &amp; Maintaining Real Relationships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Today’s youth are more connected than ever—but often, digital connections feel shallow. This section explores the impact of constant online engagement on real-life relationships and mental health.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Narrative &amp; Analysis: Sophia’s experience illustrates the paradox of our digital era. Exhausted by endless notifications and virtual interactions, she found that her online life was eroding her ability to form deep, meaningful relationships. Through enforced digital detoxes, scheduled face‑to‑face meetups, and deliberate efforts to cut down screen time, Sophia rediscovered the value of genuine human connection. We discuss techniques for achieving balance and building offline communities in a hyper‑digital age.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Visual Aids: A flowchart titled “Digital Life vs. Real Connections” visually maps out strategies for maintaining balance, underscoring the importance of intentional social interactions.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1.4 Rethinking University: Is It Necessary?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Reevaluating the notion of traditional higher education, this section challenges readers to consider alternative pathways to success. With rising tuition costs and a volatile job market, the decision to pursue a conventional university degree is no longer a given.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Narrative &amp; Analysis: Jacob’s journey—opting for vocational training combined with online certifications—inspires readers to think critically about what education means. While a university experience can be valuable, it is not the only route to personal and professional fulfillment. We present data, expert opinions, and firsthand narratives to encourage informed decision‑making.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Conclusion of Chapter 1: By the end of this chapter, readers come away with a realistic understanding of the multifaceted challenges of transitioning into adulthood. They also gain practical strategies and inspiration, transforming feelings of isolation and overwhelm into a roadmap for proactive, empowered living.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Chapter 2: Neurodiversity &amp; Everyday Executive Function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Word Count Target: ≈ 3,000–5,000 words</w:t>
      </w:r>
      <w:r>
        <w:rPr>
          <w:rFonts w:ascii="Canva Sans Bold" w:hAnsi="Canva Sans Bold" w:cs="Canva Sans Bold" w:eastAsia="Canva Sans Bold"/>
          <w:b/>
          <w:bCs/>
          <w:color w:val="000000"/>
          <w:sz w:val="24"/>
          <w:szCs w:val="24"/>
        </w:rPr>
        <w:t xml:space="preserv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2.1 Understanding ADHD &amp; Autism in Young Adults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Neurodiversity is a growing conversation in today’s world, especially among young adults. This chapter opens by explaining common neurodivergent conditions such as ADHD and Autism, focusing on how they can influence everyday executive functions like planning, focus, and time‑management.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Narrative &amp; Research: Drawing from Barkley’s authoritative research (2018), we explain the science behind executive dysfunction. Through accessible language and analogies, we demystify the neurological differences that can impact study habits, work efficiency, and even social interactions.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Case Study: Alex’s Journey with ADHD Alex’s daily struggle with organization and time management resonates with many young adults living with ADHD. His adoption of digital organizers, time‑blocking techniques, and mindfulness practices (all endorsed by research studies referenced in Barkley’s work) illustrates a practical path to mirroring structure in chaos.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2.2 Impact on Daily Functioning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For those with neurodivergent challenges, daily tasks can become an uphill struggle. The resulting stress from missed deadlines, forgotten appointments, and disorganized routines has ripple effects on emotional health and interpersonal relationships.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Case Study: Lena’s Adaptive Strategies Lena, who is on the autism spectrum, turned a seemingly insurmountable challenge into a breakthrough. By crafting a sensory‑friendly routine—tailored to her specific needs—she managed to reduce overstimulation and increase productivity. Her solution, supported by both personal trial and research insights, offers hope and a customizable approach for others facing similar challenges.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2.3 Tips, Tricks, and Tools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This section is a practical “toolbox” for readers:
</w:t>
      </w:r>
    </w:p>
    <w:p>
      <w:pPr>
        <w:numPr>
          <w:ilvl w:val="0"/>
          <w:numId w:val="3"/>
        </w:numPr>
        <w:spacing w:after="0" w:before="0" w:line="336" w:lineRule="auto"/>
        <w:jc w:val="start"/>
      </w:pPr>
      <w:r>
        <w:rPr>
          <w:rFonts w:ascii="Canva Sans Bold" w:hAnsi="Canva Sans Bold" w:cs="Canva Sans Bold" w:eastAsia="Canva Sans Bold"/>
          <w:b/>
          <w:bCs/>
          <w:color w:val="000000"/>
          <w:sz w:val="24"/>
          <w:szCs w:val="24"/>
        </w:rPr>
        <w:t xml:space="preserve">Digital and Physical Organizers: Reviews of the best applications and traditional planners.
</w:t>
      </w:r>
    </w:p>
    <w:p>
      <w:pPr>
        <w:numPr>
          <w:ilvl w:val="0"/>
          <w:numId w:val="3"/>
        </w:numPr>
        <w:spacing w:after="0" w:before="0" w:line="336" w:lineRule="auto"/>
        <w:jc w:val="start"/>
      </w:pPr>
      <w:r>
        <w:rPr>
          <w:rFonts w:ascii="Canva Sans Bold" w:hAnsi="Canva Sans Bold" w:cs="Canva Sans Bold" w:eastAsia="Canva Sans Bold"/>
          <w:b/>
          <w:bCs/>
          <w:color w:val="000000"/>
          <w:sz w:val="24"/>
          <w:szCs w:val="24"/>
        </w:rPr>
        <w:t xml:space="preserve">Mindfulness and Meditation: Step‑by‑step guidance on techniques proven to enhance focus.
</w:t>
      </w:r>
    </w:p>
    <w:p>
      <w:pPr>
        <w:numPr>
          <w:ilvl w:val="0"/>
          <w:numId w:val="3"/>
        </w:numPr>
        <w:spacing w:after="0" w:before="0" w:line="336" w:lineRule="auto"/>
        <w:jc w:val="start"/>
      </w:pPr>
      <w:r>
        <w:rPr>
          <w:rFonts w:ascii="Canva Sans Bold" w:hAnsi="Canva Sans Bold" w:cs="Canva Sans Bold" w:eastAsia="Canva Sans Bold"/>
          <w:b/>
          <w:bCs/>
          <w:color w:val="000000"/>
          <w:sz w:val="24"/>
          <w:szCs w:val="24"/>
        </w:rPr>
        <w:t xml:space="preserve">Community Resources: Where to find support networks, mentorship programs, and accessible therapy options.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Interactive Elements: Throughout the chapter, checklists and self‑assessment quizzes are included to help readers identify their strengths and pinpoint where tailored strategies might be most beneficial.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Conclusion of Chapter 2: Neurodiversity is not a flaw—it’s a different way of processing the world. Understanding and embracing the differences in how our brains work empowers us to adopt strategies that not only alleviate stress but also unlock unique talents and perspectives.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Chapter 3: Trauma, Cortisol, and the Fight‑or‑Flight Mechanism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Word Count Target: ≈ 3,000–5,000 words</w:t>
      </w:r>
      <w:r>
        <w:rPr>
          <w:rFonts w:ascii="Canva Sans Bold" w:hAnsi="Canva Sans Bold" w:cs="Canva Sans Bold" w:eastAsia="Canva Sans Bold"/>
          <w:b/>
          <w:bCs/>
          <w:color w:val="000000"/>
          <w:sz w:val="24"/>
          <w:szCs w:val="24"/>
        </w:rPr>
        <w:t xml:space="preserv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3.1 Unpacking Trauma and Its Effects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Traumatic experiences leave indelible marks on both mind and body. In this chapter, we delve into the multifaceted impact of trauma on young adults—exploring emotional wounds, cognitive shifts, and the persistent physical symptoms that often accompany unresolved stress.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Narrative &amp; Research: Drawing on van der Kolk’s pioneering work (2014), we explain how trauma affects the body’s nervous system and disrupts the natural balance of hormones. Using accessible analogies and vivid personal narratives, this section transforms scientific jargon into relatable insights.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Case Study: Nina’s Recovery Journey Nina’s story is a testament to the resilience of the human spirit. After enduring a deeply distressing relationship, she experienced chronic anxiety, insomnia, and bodily aches. Through trauma‑focused therapy, mindfulness practices, and community support, Nina gradually reclaimed her sense of self and wellbeing. Her journey underscores that healing is a gradual process—one that requires self‑compassion, professional help, and sometimes, a complete lifestyle change.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3.2 The Science of Cortisol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Cortisol, our body’s primary stress hormone, is indispensable in managing immediate crisis—but when elevated chronically, it wreaks havoc on our health. Here, we detail the inner workings of the hypothalamic‑pituitary‑adrenal (HPA) axis and explain the nuanced roles of cortisol in both adaptive and maladaptive stress responses.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Diagrams &amp; Visualizations: A detailed flowchart illustrates the cascade: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[Stress Trigger]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       │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       ▼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[Hypothalamus: Releases CRH]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       │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       ▼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[Pituitary: Releases ACTH]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       │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       ▼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[Adrenal Glands: Produce Cortisol]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Coupled with tables comparing the benefits of acute stress responses versus the dangers of chronic cortisol elevation, these visuals help demystify complex physiological processes.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Case Study: Ethan’s Chronic Stress Ethan’s prolonged exposure to workplace pressure resulted in persistently high cortisol levels—leading to health issues such as high blood pressure and sleep disturbances. His story is a cautionary tale of how the very system designed to protect us becomes counterproductive when stress is unrelenting.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3.3 Visualizing the Stress Response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To aid comprehension, we incorporate multiple visual aids including annotated diagrams, charts, and infographics. These tools not only clarify the science behind our bodies’ responses but also empower readers to recognize their own stress signals in everyday life.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Conclusion of Chapter 3: Trauma and chronic stress may seem overwhelming, yet understanding the underlying biology provides hope. Knowledge of how cortisol and the HPA axis work enables us to pursue targeted strategies—whether through therapy, lifestyle changes, or both—to reclaim a balanced, healthy life.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Chapter 4: Conscious Control vs. Automatic Body Reactions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Word Count Target: ≈ 3,000–5,000 words</w:t>
      </w:r>
      <w:r>
        <w:rPr>
          <w:rFonts w:ascii="Canva Sans Bold" w:hAnsi="Canva Sans Bold" w:cs="Canva Sans Bold" w:eastAsia="Canva Sans Bold"/>
          <w:b/>
          <w:bCs/>
          <w:color w:val="000000"/>
          <w:sz w:val="24"/>
          <w:szCs w:val="24"/>
        </w:rPr>
        <w:t xml:space="preserv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4.1 The Biology of Knee‑Jerk Reactions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Our bodies are hardwired for survival. Automatic “fight‑or‑flight” responses—while vital in moments of danger—can become maladaptive when triggered by everyday stressors. In this chapter, we examine the involuntary processes that govern our responses and how we might learn to reclaim conscious control.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Understanding the Autonomic System: Detailed explanations and diagrams illustrate the difference between the conscious mind and the autonomic nervous system. We break down how rapid hormonal responses can trigger physical symptoms such as rapid heartbeat, shortness of breath, and anxiety.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Case Study: Jordan’s Reactive Patterns Jordan, a 20‑year‑old college student, noticed that social encounters would send him spiraling into anxiety. After learning mindfulness techniques and practicing controlled breathing exercises, he gradually learned to pause his involuntary responses. His story conveys that while biology sets the stage, practice and awareness write the script of our reactions.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4.2 Lifestyle Changes to Take the Wheel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While our bodies may react reflexively, we can introduce lifestyle changes that give us a measure of control. In this section, we detail the power of routine, exercise, quality sleep, and mindfulness. We offer actionable daily strategies and proven techniques to help mitigate stress responses.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Case Study: Maya’s Transformation Maya, at 26, transformed her daily life by establishing a regular exercise routine combined with daily meditation. Over several months, her stress levels dropped dramatically. Her journey illustrates that small, sustained changes can accumulate into significant improvements in overall well‑being.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4.3 Habit Formation &amp; Success Stories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Building intentional habits is at the heart of reclaiming control over our automatic reactions. We outline practical steps:
</w:t>
      </w:r>
    </w:p>
    <w:p>
      <w:pPr>
        <w:numPr>
          <w:ilvl w:val="0"/>
          <w:numId w:val="4"/>
        </w:numPr>
        <w:spacing w:after="0" w:before="0" w:line="336" w:lineRule="auto"/>
        <w:jc w:val="start"/>
      </w:pPr>
      <w:r>
        <w:rPr>
          <w:rFonts w:ascii="Canva Sans Bold" w:hAnsi="Canva Sans Bold" w:cs="Canva Sans Bold" w:eastAsia="Canva Sans Bold"/>
          <w:b/>
          <w:bCs/>
          <w:color w:val="000000"/>
          <w:sz w:val="24"/>
          <w:szCs w:val="24"/>
        </w:rPr>
        <w:t xml:space="preserve">Daily Planners and Habit Trackers: Provide templates for organizing your day.
</w:t>
      </w:r>
    </w:p>
    <w:p>
      <w:pPr>
        <w:numPr>
          <w:ilvl w:val="0"/>
          <w:numId w:val="4"/>
        </w:numPr>
        <w:spacing w:after="0" w:before="0" w:line="336" w:lineRule="auto"/>
        <w:jc w:val="start"/>
      </w:pPr>
      <w:r>
        <w:rPr>
          <w:rFonts w:ascii="Canva Sans Bold" w:hAnsi="Canva Sans Bold" w:cs="Canva Sans Bold" w:eastAsia="Canva Sans Bold"/>
          <w:b/>
          <w:bCs/>
          <w:color w:val="000000"/>
          <w:sz w:val="24"/>
          <w:szCs w:val="24"/>
        </w:rPr>
        <w:t xml:space="preserve">Mindfulness Exercises: Describe practices backed by research that help train the brain.
</w:t>
      </w:r>
    </w:p>
    <w:p>
      <w:pPr>
        <w:numPr>
          <w:ilvl w:val="0"/>
          <w:numId w:val="4"/>
        </w:numPr>
        <w:spacing w:after="0" w:before="0" w:line="336" w:lineRule="auto"/>
        <w:jc w:val="start"/>
      </w:pPr>
      <w:r>
        <w:rPr>
          <w:rFonts w:ascii="Canva Sans Bold" w:hAnsi="Canva Sans Bold" w:cs="Canva Sans Bold" w:eastAsia="Canva Sans Bold"/>
          <w:b/>
          <w:bCs/>
          <w:color w:val="000000"/>
          <w:sz w:val="24"/>
          <w:szCs w:val="24"/>
        </w:rPr>
        <w:t xml:space="preserve">Peer Accountability: Tips for building a support system that reinforces positive habits.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Conclusion of Chapter 4: Conscious control over stress is achievable. By merging the knowledge of our automatic bodily responses with intentional, mindful action, we lay the groundwork for a balanced response to life’s challenges.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Chapter 5: Recognizing Toxic Relationships &amp; Listening to Your Body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Word Count Target: ≈ 3,000–5,000 words</w:t>
      </w:r>
      <w:r>
        <w:rPr>
          <w:rFonts w:ascii="Canva Sans Bold" w:hAnsi="Canva Sans Bold" w:cs="Canva Sans Bold" w:eastAsia="Canva Sans Bold"/>
          <w:b/>
          <w:bCs/>
          <w:color w:val="000000"/>
          <w:sz w:val="24"/>
          <w:szCs w:val="24"/>
        </w:rPr>
        <w:t xml:space="preserv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5.1 The Body’s Warning System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Our bodies often send us explicit signals when something isn’t right. This chapter explores the physical symptoms that indicate we’re caught in toxic environments—ranging from headaches and sleep disruptions to gastrointestinal issues.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Case Study: Liam’s Wake-Up Call Liam, 27, began experiencing chronic tension headaches and inexplicable fatigue. After reflecting on his life, he realized these symptoms coincided with a particularly controlling relationship. His story underscores the importance of listening to one’s body and taking decisive action when warning signs surface.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5.2 Narcissistic Dynamics and Stress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Toxic relationships, especially those with narcissistic dynamics, impose a hidden yet heavy tax on our emotional and physical health. We present a detailed analysis of how such dynamics operate and the subtle signs that they are impacting our stress levels.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Case Study: Ria’s Road to Recovery Ria, 24, endured a long‑term relationship marked by manipulation and emotional volatility. Through therapy and the gradual development of personal boundaries, she learned to extricate herself from the relationship. Her journey illustrates that recognizing toxicity—and having the courage to act—can be lifesaving.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5.3 Strategies for Exiting Toxicity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Not every toxic relationship ends overnight. This section provides a roadmap for safely withdrawing from harmful environments. We offer guidance on:
</w:t>
      </w:r>
    </w:p>
    <w:p>
      <w:pPr>
        <w:numPr>
          <w:ilvl w:val="0"/>
          <w:numId w:val="5"/>
        </w:numPr>
        <w:spacing w:after="0" w:before="0" w:line="336" w:lineRule="auto"/>
        <w:jc w:val="start"/>
      </w:pPr>
      <w:r>
        <w:rPr>
          <w:rFonts w:ascii="Canva Sans Bold" w:hAnsi="Canva Sans Bold" w:cs="Canva Sans Bold" w:eastAsia="Canva Sans Bold"/>
          <w:b/>
          <w:bCs/>
          <w:color w:val="000000"/>
          <w:sz w:val="24"/>
          <w:szCs w:val="24"/>
        </w:rPr>
        <w:t xml:space="preserve">Setting Boundaries: Clear, effective communication strategies.
</w:t>
      </w:r>
    </w:p>
    <w:p>
      <w:pPr>
        <w:numPr>
          <w:ilvl w:val="0"/>
          <w:numId w:val="5"/>
        </w:numPr>
        <w:spacing w:after="0" w:before="0" w:line="336" w:lineRule="auto"/>
        <w:jc w:val="start"/>
      </w:pPr>
      <w:r>
        <w:rPr>
          <w:rFonts w:ascii="Canva Sans Bold" w:hAnsi="Canva Sans Bold" w:cs="Canva Sans Bold" w:eastAsia="Canva Sans Bold"/>
          <w:b/>
          <w:bCs/>
          <w:color w:val="000000"/>
          <w:sz w:val="24"/>
          <w:szCs w:val="24"/>
        </w:rPr>
        <w:t xml:space="preserve">Seeking Support: The importance of counseling, friend circles, or professional networks.
</w:t>
      </w:r>
    </w:p>
    <w:p>
      <w:pPr>
        <w:numPr>
          <w:ilvl w:val="0"/>
          <w:numId w:val="5"/>
        </w:numPr>
        <w:spacing w:after="0" w:before="0" w:line="336" w:lineRule="auto"/>
        <w:jc w:val="start"/>
      </w:pPr>
      <w:r>
        <w:rPr>
          <w:rFonts w:ascii="Canva Sans Bold" w:hAnsi="Canva Sans Bold" w:cs="Canva Sans Bold" w:eastAsia="Canva Sans Bold"/>
          <w:b/>
          <w:bCs/>
          <w:color w:val="000000"/>
          <w:sz w:val="24"/>
          <w:szCs w:val="24"/>
        </w:rPr>
        <w:t xml:space="preserve">Self‑Care Routines: Practical steps for rebuilding emotional resilience once you’ve walked away from toxicity.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Conclusion of Chapter 5: Recognizing and acting on your body’s signals is key to preserving your mental and physical health. With the right knowledge and tools, you can identify when a relationship is causing harm and take proactive steps towards a healthier, stress‑free life.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Chapter 6: Crafting Your Personalized Stress Management Plan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Word Count Target: ≈ 3,000–5,000 words</w:t>
      </w:r>
      <w:r>
        <w:rPr>
          <w:rFonts w:ascii="Canva Sans Bold" w:hAnsi="Canva Sans Bold" w:cs="Canva Sans Bold" w:eastAsia="Canva Sans Bold"/>
          <w:b/>
          <w:bCs/>
          <w:color w:val="000000"/>
          <w:sz w:val="24"/>
          <w:szCs w:val="24"/>
        </w:rPr>
        <w:t xml:space="preserv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6.1 What You Can Control vs. What You Can’t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A vital part of stress management lies in focusing on what can be changed. This section introduces a framework for assessing life’s challenges and distinguishing between controllable stressors and those beyond our influence.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Case Study: Carlos’ Clear View Carlos, 28, discovered that compartmentalizing his problems allowed him to focus on actionable changes. By drawing a simple matrix (Control vs. Concern), he could prioritize tasks and let go of what he couldn’t change.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6.2 Building Your Toolkit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Your personalized stress management toolkit might include mindfulness exercises, physical activities, digital organization tools, and support from professionals. We offer detailed guidance on assembling and customizing your toolkit.
</w:t>
      </w:r>
    </w:p>
    <w:p>
      <w:pPr>
        <w:numPr>
          <w:ilvl w:val="0"/>
          <w:numId w:val="6"/>
        </w:numPr>
        <w:spacing w:after="0" w:before="0" w:line="336" w:lineRule="auto"/>
        <w:jc w:val="start"/>
      </w:pPr>
      <w:r>
        <w:rPr>
          <w:rFonts w:ascii="Canva Sans Bold" w:hAnsi="Canva Sans Bold" w:cs="Canva Sans Bold" w:eastAsia="Canva Sans Bold"/>
          <w:b/>
          <w:bCs/>
          <w:color w:val="000000"/>
          <w:sz w:val="24"/>
          <w:szCs w:val="24"/>
        </w:rPr>
        <w:t xml:space="preserve">Mindfulness Practices: Step‑by‑step instructions for daily meditation sessions.
</w:t>
      </w:r>
    </w:p>
    <w:p>
      <w:pPr>
        <w:numPr>
          <w:ilvl w:val="0"/>
          <w:numId w:val="6"/>
        </w:numPr>
        <w:spacing w:after="0" w:before="0" w:line="336" w:lineRule="auto"/>
        <w:jc w:val="start"/>
      </w:pPr>
      <w:r>
        <w:rPr>
          <w:rFonts w:ascii="Canva Sans Bold" w:hAnsi="Canva Sans Bold" w:cs="Canva Sans Bold" w:eastAsia="Canva Sans Bold"/>
          <w:b/>
          <w:bCs/>
          <w:color w:val="000000"/>
          <w:sz w:val="24"/>
          <w:szCs w:val="24"/>
        </w:rPr>
        <w:t xml:space="preserve">Physical Health Routines: Suggestions for exercises that naturally reduce cortisol.
</w:t>
      </w:r>
    </w:p>
    <w:p>
      <w:pPr>
        <w:numPr>
          <w:ilvl w:val="0"/>
          <w:numId w:val="6"/>
        </w:numPr>
        <w:spacing w:after="0" w:before="0" w:line="336" w:lineRule="auto"/>
        <w:jc w:val="start"/>
      </w:pPr>
      <w:r>
        <w:rPr>
          <w:rFonts w:ascii="Canva Sans Bold" w:hAnsi="Canva Sans Bold" w:cs="Canva Sans Bold" w:eastAsia="Canva Sans Bold"/>
          <w:b/>
          <w:bCs/>
          <w:color w:val="000000"/>
          <w:sz w:val="24"/>
          <w:szCs w:val="24"/>
        </w:rPr>
        <w:t xml:space="preserve">Digital Planners &amp; Habit Trackers: Recommendations on apps and templates to organize your life.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6.3 Setting Goals and Adapting Over Time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Change is not static. We provide goal‑setting worksheets and reflective exercises to help you build long‑term strategies. Interactive templates encourage you to set small, measurable goals that evolve with your progress.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Conclusion of Chapter 6: By understanding which areas of stress you can influence and developing a toolkit that fits your unique needs, you set the stage for lasting change. Your personalized plan becomes a living document—one that grows with you.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Chapter 7: Nutritional Strategies to Optimize Stress Management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Word Count Target: ≈ 3,000–5,000 words</w:t>
      </w:r>
      <w:r>
        <w:rPr>
          <w:rFonts w:ascii="Canva Sans Bold" w:hAnsi="Canva Sans Bold" w:cs="Canva Sans Bold" w:eastAsia="Canva Sans Bold"/>
          <w:b/>
          <w:bCs/>
          <w:color w:val="000000"/>
          <w:sz w:val="24"/>
          <w:szCs w:val="24"/>
        </w:rPr>
        <w:t xml:space="preserv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7.1 Food, Mood &amp; Cortisol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What you put on your plate has a profound impact on your mood and stress levels. This chapter explains how nutrients regulate brain chemistry and, in turn, influence cortisol production.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Case Study: Tara’s Nutritional Reboot At 23, Tara struggled with constant fatigue and mood swings. After embracing a whole‑food, plant-based diet, her energy levels rebounded and her stress became more manageable. Her transformation is supported by research from Jacka et al. (2017) and insights from Simon Hill’s PLANTPROOF.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7.2 Understanding Nutritional Needs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We break down the essentials: macronutrients, micronutrients, and the “Food-to‑Mind Connection”. This section includes tables and infographics that illustrate daily nutritional requirements and suggest balanced meal choices.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7.3 Whole Foods, Plant-Based Eating &amp; Navigating the Food Industry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A critical look is taken at how processed foods and industry marketing can undermine health. We then outline the advantages of a whole‑food, plant‑based diet, offering practical meal planning tips and label‑reading guides.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Conclusion of Chapter 7: Making informed nutritional choices is a powerful tool against stress. Whether through home‑cooked meals, mindful eating practices, or simply being educated about what you consume, you can significantly optimize your mental and physical health.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Chapter 8: Leveraging Research &amp; Awareness to Build a Resilient Community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Word Count Target: ≈ 3,000–5,000 words</w:t>
      </w:r>
      <w:r>
        <w:rPr>
          <w:rFonts w:ascii="Canva Sans Bold" w:hAnsi="Canva Sans Bold" w:cs="Canva Sans Bold" w:eastAsia="Canva Sans Bold"/>
          <w:b/>
          <w:bCs/>
          <w:color w:val="000000"/>
          <w:sz w:val="24"/>
          <w:szCs w:val="24"/>
        </w:rPr>
        <w:t xml:space="preserv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8.1 Insights from Leading Research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This chapter synthesizes essential research:
</w:t>
      </w:r>
    </w:p>
    <w:p>
      <w:pPr>
        <w:numPr>
          <w:ilvl w:val="0"/>
          <w:numId w:val="7"/>
        </w:numPr>
        <w:spacing w:after="0" w:before="0" w:line="336" w:lineRule="auto"/>
        <w:jc w:val="start"/>
      </w:pPr>
      <w:r>
        <w:rPr>
          <w:rFonts w:ascii="Canva Sans Bold" w:hAnsi="Canva Sans Bold" w:cs="Canva Sans Bold" w:eastAsia="Canva Sans Bold"/>
          <w:b/>
          <w:bCs/>
          <w:color w:val="000000"/>
          <w:sz w:val="24"/>
          <w:szCs w:val="24"/>
        </w:rPr>
        <w:t xml:space="preserve">Arnett (2000) on emerging adulthood,
</w:t>
      </w:r>
    </w:p>
    <w:p>
      <w:pPr>
        <w:numPr>
          <w:ilvl w:val="0"/>
          <w:numId w:val="7"/>
        </w:numPr>
        <w:spacing w:after="0" w:before="0" w:line="336" w:lineRule="auto"/>
        <w:jc w:val="start"/>
      </w:pPr>
      <w:r>
        <w:rPr>
          <w:rFonts w:ascii="Canva Sans Bold" w:hAnsi="Canva Sans Bold" w:cs="Canva Sans Bold" w:eastAsia="Canva Sans Bold"/>
          <w:b/>
          <w:bCs/>
          <w:color w:val="000000"/>
          <w:sz w:val="24"/>
          <w:szCs w:val="24"/>
        </w:rPr>
        <w:t xml:space="preserve">Barkley (2018) on ADHD and executive function,
</w:t>
      </w:r>
    </w:p>
    <w:p>
      <w:pPr>
        <w:numPr>
          <w:ilvl w:val="0"/>
          <w:numId w:val="7"/>
        </w:numPr>
        <w:spacing w:after="0" w:before="0" w:line="336" w:lineRule="auto"/>
        <w:jc w:val="start"/>
      </w:pPr>
      <w:r>
        <w:rPr>
          <w:rFonts w:ascii="Canva Sans Bold" w:hAnsi="Canva Sans Bold" w:cs="Canva Sans Bold" w:eastAsia="Canva Sans Bold"/>
          <w:b/>
          <w:bCs/>
          <w:color w:val="000000"/>
          <w:sz w:val="24"/>
          <w:szCs w:val="24"/>
        </w:rPr>
        <w:t xml:space="preserve">Jacka et al. (2017) on nutritional psychiatry, and
</w:t>
      </w:r>
    </w:p>
    <w:p>
      <w:pPr>
        <w:numPr>
          <w:ilvl w:val="0"/>
          <w:numId w:val="7"/>
        </w:numPr>
        <w:spacing w:after="0" w:before="0" w:line="336" w:lineRule="auto"/>
        <w:jc w:val="start"/>
      </w:pPr>
      <w:r>
        <w:rPr>
          <w:rFonts w:ascii="Canva Sans Bold" w:hAnsi="Canva Sans Bold" w:cs="Canva Sans Bold" w:eastAsia="Canva Sans Bold"/>
          <w:b/>
          <w:bCs/>
          <w:color w:val="000000"/>
          <w:sz w:val="24"/>
          <w:szCs w:val="24"/>
        </w:rPr>
        <w:t xml:space="preserve">van der Kolk (2014) on trauma.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By translating scholarly work into everyday language, we empower readers to understand their own experiences in context.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8.2 Community Workshops, Digital Platforms, and Support Networks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Real change happens when informed individuals come together. We spotlight successful community initiatives—online forums, local workshops, and peer support groups—that have helped build resilient networks.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8.3 The Power of Advocacy and Shared Knowledge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Awareness is contagious. Interactive exercises encourage readers to share their journeys and the research-backed insights they’ve learned. By engaging in social media challenges, community events, or local advocacy, each of us can foster broad‑scale change.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Conclusion of Chapter 8: By leveraging the work of leading experts and by coming together as a community, young adults can dismantle the stigma of stress and create supportive environments that nurture growth and resilience.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Chapter 9: Uniting for a Resilient Future – A Collective Vision on Stress Awareness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Word Count Target: ≈ 3,000–5,000 words</w:t>
      </w:r>
      <w:r>
        <w:rPr>
          <w:rFonts w:ascii="Canva Sans Bold" w:hAnsi="Canva Sans Bold" w:cs="Canva Sans Bold" w:eastAsia="Canva Sans Bold"/>
          <w:b/>
          <w:bCs/>
          <w:color w:val="000000"/>
          <w:sz w:val="24"/>
          <w:szCs w:val="24"/>
        </w:rPr>
        <w:t xml:space="preserve">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9.1 Recap of Key Points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This final chapter revisits the major themes of the book—transitioning into adulthood, embracing neurodiversity, navigating trauma, reclaiming control, recognizing toxic influences, and nourishing our bodies. It reminds us that each of these challenges is interconnected, and that our strength lies in understanding and action.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9.2 Our Shared Role in Education &amp; Advocacy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We emphasize that awareness and self‑education are catalysts for change. When young adults unite to discuss stress openly, they not only empower themselves but also pave the way for systemic improvements in mental health and well‑being.
</w:t>
      </w:r>
    </w:p>
    <w:p>
      <w:pPr>
        <w:spacing w:after="120" w:before="120" w:line="336" w:lineRule="auto"/>
        <w:ind w:firstLine="0" w:start="0"/>
        <w:jc w:val="start"/>
      </w:pPr>
      <w:r>
        <w:rPr>
          <w:rFonts w:ascii="Canva Sans Bold" w:hAnsi="Canva Sans Bold" w:cs="Canva Sans Bold" w:eastAsia="Canva Sans Bold"/>
          <w:b/>
          <w:bCs/>
          <w:color w:val="000000"/>
          <w:sz w:val="28"/>
          <w:szCs w:val="28"/>
        </w:rPr>
        <w:t xml:space="preserve">9.3 Interactive Call to Action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Readers are invited to join an ongoing conversation:
</w:t>
      </w:r>
    </w:p>
    <w:p>
      <w:pPr>
        <w:numPr>
          <w:ilvl w:val="0"/>
          <w:numId w:val="8"/>
        </w:numPr>
        <w:spacing w:after="0" w:before="0" w:line="336" w:lineRule="auto"/>
        <w:jc w:val="start"/>
      </w:pPr>
      <w:r>
        <w:rPr>
          <w:rFonts w:ascii="Canva Sans Bold" w:hAnsi="Canva Sans Bold" w:cs="Canva Sans Bold" w:eastAsia="Canva Sans Bold"/>
          <w:b/>
          <w:bCs/>
          <w:color w:val="000000"/>
          <w:sz w:val="24"/>
          <w:szCs w:val="24"/>
        </w:rPr>
        <w:t xml:space="preserve">Social Media Challenges: Share your story using our dedicated hashtags.
</w:t>
      </w:r>
    </w:p>
    <w:p>
      <w:pPr>
        <w:numPr>
          <w:ilvl w:val="0"/>
          <w:numId w:val="8"/>
        </w:numPr>
        <w:spacing w:after="0" w:before="0" w:line="336" w:lineRule="auto"/>
        <w:jc w:val="start"/>
      </w:pPr>
      <w:r>
        <w:rPr>
          <w:rFonts w:ascii="Canva Sans Bold" w:hAnsi="Canva Sans Bold" w:cs="Canva Sans Bold" w:eastAsia="Canva Sans Bold"/>
          <w:b/>
          <w:bCs/>
          <w:color w:val="000000"/>
          <w:sz w:val="24"/>
          <w:szCs w:val="24"/>
        </w:rPr>
        <w:t xml:space="preserve">Local Support Networks: Engage with community groups, attend workshops, and advocate for better mental health resources.
</w:t>
      </w:r>
    </w:p>
    <w:p>
      <w:pPr>
        <w:numPr>
          <w:ilvl w:val="0"/>
          <w:numId w:val="8"/>
        </w:numPr>
        <w:spacing w:after="0" w:before="0" w:line="336" w:lineRule="auto"/>
        <w:jc w:val="start"/>
      </w:pPr>
      <w:r>
        <w:rPr>
          <w:rFonts w:ascii="Canva Sans Bold" w:hAnsi="Canva Sans Bold" w:cs="Canva Sans Bold" w:eastAsia="Canva Sans Bold"/>
          <w:b/>
          <w:bCs/>
          <w:color w:val="000000"/>
          <w:sz w:val="24"/>
          <w:szCs w:val="24"/>
        </w:rPr>
        <w:t xml:space="preserve">Collaboration: By contributing to digital resource hubs and participating in outreach programs, you help create a collective resilience that extends far beyond individual struggles.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Conclusion of Chapter 9: Our shared future depends on collective action. Embrace the knowledge shared in this book, leverage your personal experiences, and join a supportive community committed to change. Together, we can turn “I’m fine” into a declaration of empowerment and resilience.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Conclusion: A Better Tomorrow Starts with Awareness Today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…i’m FINE</w:t>
      </w:r>
      <w:r>
        <w:rPr>
          <w:rFonts w:ascii="Canva Sans Bold" w:hAnsi="Canva Sans Bold" w:cs="Canva Sans Bold" w:eastAsia="Canva Sans Bold"/>
          <w:b/>
          <w:bCs/>
          <w:color w:val="000000"/>
          <w:sz w:val="24"/>
          <w:szCs w:val="24"/>
        </w:rPr>
        <w:t xml:space="preserve"> is more than an ironic refrain—it’s a bold challenge to the status quo. In these pages, you have encountered research‑backed insights, moving real‑life narratives, and practical strategies that illuminate the often invisible struggles of modern young adulthood. Whether you are managing financial pressures, grappling with neurodiversity, overcoming trauma, or simply trying to eat better, know that every step you take is a triumph.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By embracing a mindset of continuous learning, sharing your story, and tapping into the strengths of your community, you transform stress from an insurmountable burden into a catalyst for growth. Remember: even if you often say “I’m fine,” let this book be a reminder that you have the power—and the support—to thrive in the chaos of today.
</w:t>
      </w:r>
    </w:p>
    <w:p>
      <w:pPr>
        <w:spacing w:after="120" w:before="120" w:line="336" w:lineRule="auto"/>
        <w:ind w:firstLine="0" w:start="0"/>
        <w:jc w:val="start"/>
      </w:pPr>
      <w:r>
        <w:rPr>
          <w:rFonts w:ascii="Canva Sans Bold" w:hAnsi="Canva Sans Bold" w:cs="Canva Sans Bold" w:eastAsia="Canva Sans Bold"/>
          <w:b/>
          <w:bCs/>
          <w:color w:val="000000"/>
          <w:sz w:val="24"/>
          <w:szCs w:val="24"/>
        </w:rPr>
        <w:t xml:space="preserve">Take this playbook, put it into action, and help spread awareness. Your journey toward lasting resilience starts now.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References &amp; Resources
</w:t>
      </w:r>
    </w:p>
    <w:p>
      <w:pPr>
        <w:numPr>
          <w:ilvl w:val="0"/>
          <w:numId w:val="9"/>
        </w:numPr>
        <w:spacing w:after="0" w:before="0" w:line="336" w:lineRule="auto"/>
        <w:jc w:val="start"/>
      </w:pPr>
      <w:r>
        <w:rPr>
          <w:rFonts w:ascii="Canva Sans Bold" w:hAnsi="Canva Sans Bold" w:cs="Canva Sans Bold" w:eastAsia="Canva Sans Bold"/>
          <w:b/>
          <w:bCs/>
          <w:color w:val="000000"/>
          <w:sz w:val="24"/>
          <w:szCs w:val="24"/>
        </w:rPr>
        <w:t xml:space="preserve">Arnett, J. J. (2000). Emerging adulthood: A theory of development from the late teens through the twenties. </w:t>
      </w:r>
      <w:r>
        <w:rPr>
          <w:rFonts w:ascii="Canva Sans Bold Italics" w:hAnsi="Canva Sans Bold Italics" w:cs="Canva Sans Bold Italics" w:eastAsia="Canva Sans Bold Italics"/>
          <w:b/>
          <w:bCs/>
          <w:i/>
          <w:iCs/>
          <w:color w:val="000000"/>
          <w:sz w:val="24"/>
          <w:szCs w:val="24"/>
        </w:rPr>
        <w:t>American Psychologist, 55</w:t>
      </w:r>
      <w:r>
        <w:rPr>
          <w:rFonts w:ascii="Canva Sans Bold" w:hAnsi="Canva Sans Bold" w:cs="Canva Sans Bold" w:eastAsia="Canva Sans Bold"/>
          <w:b/>
          <w:bCs/>
          <w:color w:val="000000"/>
          <w:sz w:val="24"/>
          <w:szCs w:val="24"/>
        </w:rPr>
        <w:t xml:space="preserve">(5), 469–480.
</w:t>
      </w:r>
    </w:p>
    <w:p>
      <w:pPr>
        <w:numPr>
          <w:ilvl w:val="0"/>
          <w:numId w:val="9"/>
        </w:numPr>
        <w:spacing w:after="0" w:before="0" w:line="336" w:lineRule="auto"/>
        <w:jc w:val="start"/>
      </w:pPr>
      <w:r>
        <w:rPr>
          <w:rFonts w:ascii="Canva Sans Bold" w:hAnsi="Canva Sans Bold" w:cs="Canva Sans Bold" w:eastAsia="Canva Sans Bold"/>
          <w:b/>
          <w:bCs/>
          <w:color w:val="000000"/>
          <w:sz w:val="24"/>
          <w:szCs w:val="24"/>
        </w:rPr>
        <w:t xml:space="preserve">Barkley, R. A. (2018). </w:t>
      </w:r>
      <w:r>
        <w:rPr>
          <w:rFonts w:ascii="Canva Sans Bold Italics" w:hAnsi="Canva Sans Bold Italics" w:cs="Canva Sans Bold Italics" w:eastAsia="Canva Sans Bold Italics"/>
          <w:b/>
          <w:bCs/>
          <w:i/>
          <w:iCs/>
          <w:color w:val="000000"/>
          <w:sz w:val="24"/>
          <w:szCs w:val="24"/>
        </w:rPr>
        <w:t>Attention‑deficit hyperactivity disorder: A handbook for diagnosis and treatment</w:t>
      </w:r>
      <w:r>
        <w:rPr>
          <w:rFonts w:ascii="Canva Sans Bold" w:hAnsi="Canva Sans Bold" w:cs="Canva Sans Bold" w:eastAsia="Canva Sans Bold"/>
          <w:b/>
          <w:bCs/>
          <w:color w:val="000000"/>
          <w:sz w:val="24"/>
          <w:szCs w:val="24"/>
        </w:rPr>
        <w:t xml:space="preserve"> (4th ed.). Guilford Publications.
</w:t>
      </w:r>
    </w:p>
    <w:p>
      <w:pPr>
        <w:numPr>
          <w:ilvl w:val="0"/>
          <w:numId w:val="9"/>
        </w:numPr>
        <w:spacing w:after="0" w:before="0" w:line="336" w:lineRule="auto"/>
        <w:jc w:val="start"/>
      </w:pPr>
      <w:r>
        <w:rPr>
          <w:rFonts w:ascii="Canva Sans Bold" w:hAnsi="Canva Sans Bold" w:cs="Canva Sans Bold" w:eastAsia="Canva Sans Bold"/>
          <w:b/>
          <w:bCs/>
          <w:color w:val="000000"/>
          <w:sz w:val="24"/>
          <w:szCs w:val="24"/>
        </w:rPr>
        <w:t xml:space="preserve">Jacka, F. N., et al. (2017). Nutritional psychiatry: The present state of the evidence. </w:t>
      </w:r>
      <w:r>
        <w:rPr>
          <w:rFonts w:ascii="Canva Sans Bold Italics" w:hAnsi="Canva Sans Bold Italics" w:cs="Canva Sans Bold Italics" w:eastAsia="Canva Sans Bold Italics"/>
          <w:b/>
          <w:bCs/>
          <w:i/>
          <w:iCs/>
          <w:color w:val="000000"/>
          <w:sz w:val="24"/>
          <w:szCs w:val="24"/>
        </w:rPr>
        <w:t>Proceedings of the Nutrition Society, 76</w:t>
      </w:r>
      <w:r>
        <w:rPr>
          <w:rFonts w:ascii="Canva Sans Bold" w:hAnsi="Canva Sans Bold" w:cs="Canva Sans Bold" w:eastAsia="Canva Sans Bold"/>
          <w:b/>
          <w:bCs/>
          <w:color w:val="000000"/>
          <w:sz w:val="24"/>
          <w:szCs w:val="24"/>
        </w:rPr>
        <w:t xml:space="preserve">(4), 427–436.
</w:t>
      </w:r>
    </w:p>
    <w:p>
      <w:pPr>
        <w:numPr>
          <w:ilvl w:val="0"/>
          <w:numId w:val="9"/>
        </w:numPr>
        <w:spacing w:after="0" w:before="0" w:line="336" w:lineRule="auto"/>
        <w:jc w:val="start"/>
      </w:pPr>
      <w:r>
        <w:rPr>
          <w:rFonts w:ascii="Canva Sans Bold" w:hAnsi="Canva Sans Bold" w:cs="Canva Sans Bold" w:eastAsia="Canva Sans Bold"/>
          <w:b/>
          <w:bCs/>
          <w:color w:val="000000"/>
          <w:sz w:val="24"/>
          <w:szCs w:val="24"/>
        </w:rPr>
        <w:t xml:space="preserve">van der Kolk, B. (2014). </w:t>
      </w:r>
      <w:r>
        <w:rPr>
          <w:rFonts w:ascii="Canva Sans Bold Italics" w:hAnsi="Canva Sans Bold Italics" w:cs="Canva Sans Bold Italics" w:eastAsia="Canva Sans Bold Italics"/>
          <w:b/>
          <w:bCs/>
          <w:i/>
          <w:iCs/>
          <w:color w:val="000000"/>
          <w:sz w:val="24"/>
          <w:szCs w:val="24"/>
        </w:rPr>
        <w:t>The body keeps the score: Brain, mind, and body in the healing of trauma</w:t>
      </w:r>
      <w:r>
        <w:rPr>
          <w:rFonts w:ascii="Canva Sans Bold" w:hAnsi="Canva Sans Bold" w:cs="Canva Sans Bold" w:eastAsia="Canva Sans Bold"/>
          <w:b/>
          <w:bCs/>
          <w:color w:val="000000"/>
          <w:sz w:val="24"/>
          <w:szCs w:val="24"/>
        </w:rPr>
        <w:t xml:space="preserve">. Viking.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Appendices
</w:t>
      </w:r>
    </w:p>
    <w:p>
      <w:pPr>
        <w:numPr>
          <w:ilvl w:val="0"/>
          <w:numId w:val="10"/>
        </w:numPr>
        <w:spacing w:after="0" w:before="0" w:line="336" w:lineRule="auto"/>
        <w:jc w:val="start"/>
      </w:pPr>
      <w:r>
        <w:rPr>
          <w:rFonts w:ascii="Canva Sans Bold" w:hAnsi="Canva Sans Bold" w:cs="Canva Sans Bold" w:eastAsia="Canva Sans Bold"/>
          <w:b/>
          <w:bCs/>
          <w:color w:val="000000"/>
          <w:sz w:val="24"/>
          <w:szCs w:val="24"/>
        </w:rPr>
        <w:t xml:space="preserve">Glossary: Detailed definitions of key terms (HPA axis, cortisol, executive function, neurodiversity, etc.).
</w:t>
      </w:r>
    </w:p>
    <w:p>
      <w:pPr>
        <w:numPr>
          <w:ilvl w:val="0"/>
          <w:numId w:val="10"/>
        </w:numPr>
        <w:spacing w:after="0" w:before="0" w:line="336" w:lineRule="auto"/>
        <w:jc w:val="start"/>
      </w:pPr>
      <w:r>
        <w:rPr>
          <w:rFonts w:ascii="Canva Sans Bold" w:hAnsi="Canva Sans Bold" w:cs="Canva Sans Bold" w:eastAsia="Canva Sans Bold"/>
          <w:b/>
          <w:bCs/>
          <w:color w:val="000000"/>
          <w:sz w:val="24"/>
          <w:szCs w:val="24"/>
        </w:rPr>
        <w:t xml:space="preserve">Visual Aids Repository: Printable infographics, flowcharts, and diagrams from relevant chapters.
</w:t>
      </w:r>
    </w:p>
    <w:p>
      <w:pPr>
        <w:numPr>
          <w:ilvl w:val="0"/>
          <w:numId w:val="10"/>
        </w:numPr>
        <w:spacing w:after="0" w:before="0" w:line="336" w:lineRule="auto"/>
        <w:jc w:val="start"/>
      </w:pPr>
      <w:r>
        <w:rPr>
          <w:rFonts w:ascii="Canva Sans Bold" w:hAnsi="Canva Sans Bold" w:cs="Canva Sans Bold" w:eastAsia="Canva Sans Bold"/>
          <w:b/>
          <w:bCs/>
          <w:color w:val="000000"/>
          <w:sz w:val="24"/>
          <w:szCs w:val="24"/>
        </w:rPr>
        <w:t xml:space="preserve">Worksheets &amp; Templates: Journaling prompts, habit trackers, goal‑setting worksheets, and community resource lists.
</w:t>
      </w:r>
    </w:p>
    <w:p>
      <w:pPr>
        <w:numPr>
          <w:ilvl w:val="0"/>
          <w:numId w:val="10"/>
        </w:numPr>
        <w:spacing w:after="0" w:before="0" w:line="336" w:lineRule="auto"/>
        <w:jc w:val="start"/>
      </w:pPr>
      <w:r>
        <w:rPr>
          <w:rFonts w:ascii="Canva Sans Bold" w:hAnsi="Canva Sans Bold" w:cs="Canva Sans Bold" w:eastAsia="Canva Sans Bold"/>
          <w:b/>
          <w:bCs/>
          <w:color w:val="000000"/>
          <w:sz w:val="24"/>
          <w:szCs w:val="24"/>
        </w:rPr>
        <w:t xml:space="preserve">Further Reading &amp; Podcasts: Recommended resources including Simon Hill’s PLANTPROOF podcast and related literature on emerging adulthood, ADHD, trauma, and nutritional psychiatry.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…i’m FINE</w:t>
      </w:r>
      <w:r>
        <w:rPr>
          <w:rFonts w:ascii="Canva Sans Bold" w:hAnsi="Canva Sans Bold" w:cs="Canva Sans Bold" w:eastAsia="Canva Sans Bold"/>
          <w:b/>
          <w:bCs/>
          <w:color w:val="000000"/>
          <w:sz w:val="24"/>
          <w:szCs w:val="24"/>
        </w:rPr>
        <w:t xml:space="preserve"> </w:t>
      </w:r>
      <w:r>
        <w:rPr>
          <w:rFonts w:ascii="Canva Sans" w:hAnsi="Canva Sans" w:cs="Canva Sans" w:eastAsia="Canva Sans"/>
          <w:color w:val="000000"/>
          <w:sz w:val="24"/>
          <w:szCs w:val="24"/>
        </w:rPr>
        <w:t xml:space="preserve">is your invitation to laugh, learn, and lead—even if the world seems chaotic. This manuscript is designed to empower you with research, relatable stories, and practical advice, ensuring that behind every “I’m fine” lies a roadmap to thriving. Now, take these insights and step confidently into a future where stress is not a silent burden, but a challenge you’ve learned to overcome, one day at a time.
</w:t>
      </w:r>
    </w:p>
    <w:p>
      <w:pPr>
        <w:spacing w:after="120" w:before="120" w:line="336" w:lineRule="auto"/>
        <w:ind w:firstLine="0" w:start="0"/>
        <w:jc w:val="start"/>
      </w:pPr>
      <w:r>
        <w:rPr>
          <w:rFonts w:ascii="Canva Sans Bold Italics" w:hAnsi="Canva Sans Bold Italics" w:cs="Canva Sans Bold Italics" w:eastAsia="Canva Sans Bold Italics"/>
          <w:b/>
          <w:bCs/>
          <w:i/>
          <w:iCs/>
          <w:color w:val="000000"/>
          <w:sz w:val="24"/>
          <w:szCs w:val="24"/>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Bold Italics">
    <w:panose1 w:val="020B0704020202090204"/>
    <w:charset w:characterSet="1"/>
    <w:embedBoldItalic r:id="rId1"/>
  </w:font>
  <w:font w:name="Arimo Italics">
    <w:panose1 w:val="020B0604020202090204"/>
    <w:charset w:characterSet="1"/>
    <w:embedItalic r:id="rId2"/>
  </w:font>
  <w:font w:name="Arimo">
    <w:panose1 w:val="020B0604020202020204"/>
    <w:charset w:characterSet="1"/>
    <w:embedRegular r:id="rId3"/>
  </w:font>
  <w:font w:name="Arimo Bold">
    <w:panose1 w:val="020B0704020202020204"/>
    <w:charset w:characterSet="1"/>
    <w:embedBold r:id="rId4"/>
  </w:font>
  <w:font w:name="Canva Sans Medium Italics">
    <w:panose1 w:val="020B0603030501040103"/>
    <w:charset w:characterSet="1"/>
    <w:embedBoldItalic r:id="rId5"/>
  </w:font>
  <w:font w:name="Canva Sans Bold Italics">
    <w:panose1 w:val="020B0803030501040103"/>
    <w:charset w:characterSet="1"/>
    <w:embedBoldItalic r:id="rId6"/>
  </w:font>
  <w:font w:name="Canva Sans Italics">
    <w:panose1 w:val="020B0503030501040103"/>
    <w:charset w:characterSet="1"/>
    <w:embedItalic r:id="rId7"/>
  </w:font>
  <w:font w:name="Canva Sans">
    <w:panose1 w:val="020B0503030501040103"/>
    <w:charset w:characterSet="1"/>
    <w:embedRegular r:id="rId8"/>
  </w:font>
  <w:font w:name="Canva Sans Medium">
    <w:panose1 w:val="020B0603030501040103"/>
    <w:charset w:characterSet="1"/>
    <w:embedBold r:id="rId9"/>
  </w:font>
  <w:font w:name="Canva Sans Bold">
    <w:panose1 w:val="020B0803030501040103"/>
    <w:charset w:characterSet="1"/>
    <w:embedBold r:id="rId10"/>
  </w:font>
</w:fonts>
</file>

<file path=word/numbering.xml><?xml version="1.0" encoding="utf-8"?>
<w:numbering xmlns:w="http://schemas.openxmlformats.org/wordprocessingml/2006/main">
  <w:abstractNum w:abstractNumId="1">
    <w:multiLevelType w:val="hybridMultilevel"/>
    <w:lvl w:ilvl="0">
      <w:start w:val="1"/>
      <w:numFmt w:val="decimal"/>
      <w:lvlText w:val="%1."/>
      <w:lvlJc w:val="left"/>
      <w:pPr>
        <w:ind w:left="400" w:hanging="360"/>
      </w:pPr>
    </w:lvl>
    <w:lvl w:ilvl="1">
      <w:start w:val="1"/>
      <w:numFmt w:val="lowerLetter"/>
      <w:lvlText w:val="%2."/>
      <w:lvlJc w:val="left"/>
      <w:pPr>
        <w:ind w:left="800" w:hanging="360"/>
      </w:pPr>
    </w:lvl>
    <w:lvl w:ilvl="2">
      <w:start w:val="1"/>
      <w:numFmt w:val="lowerRoman"/>
      <w:lvlText w:val="%3."/>
      <w:lvlJc w:val="right"/>
      <w:pPr>
        <w:ind w:left="1200" w:hanging="180"/>
      </w:pPr>
    </w:lvl>
    <w:lvl w:ilvl="3">
      <w:start w:val="1"/>
      <w:numFmt w:val="decimal"/>
      <w:lvlText w:val="%4."/>
      <w:lvlJc w:val="left"/>
      <w:pPr>
        <w:ind w:left="1600" w:hanging="360"/>
      </w:pPr>
    </w:lvl>
    <w:lvl w:ilvl="4">
      <w:start w:val="1"/>
      <w:numFmt w:val="lowerLetter"/>
      <w:lvlText w:val="%5."/>
      <w:lvlJc w:val="left"/>
      <w:pPr>
        <w:ind w:left="2000" w:hanging="360"/>
      </w:pPr>
    </w:lvl>
    <w:lvl w:ilvl="5">
      <w:start w:val="1"/>
      <w:numFmt w:val="lowerRoman"/>
      <w:lvlText w:val="%6."/>
      <w:lvlJc w:val="right"/>
      <w:pPr>
        <w:ind w:left="2400" w:hanging="180"/>
      </w:pPr>
    </w:lvl>
    <w:lvl w:ilvl="6">
      <w:start w:val="1"/>
      <w:numFmt w:val="decimal"/>
      <w:lvlText w:val="%7."/>
      <w:lvlJc w:val="left"/>
      <w:pPr>
        <w:ind w:left="2800" w:hanging="360"/>
      </w:pPr>
    </w:lvl>
    <w:lvl w:ilvl="7">
      <w:start w:val="1"/>
      <w:numFmt w:val="lowerLetter"/>
      <w:lvlText w:val="%8."/>
      <w:lvlJc w:val="left"/>
      <w:pPr>
        <w:ind w:left="3200" w:hanging="360"/>
      </w:pPr>
    </w:lvl>
  </w:abstractNum>
  <w:abstractNum w:abstractNumId="2">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3">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4">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5">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6">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7">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8">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9">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abstractNum w:abstractNumId="10">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numbering.xml" Type="http://schemas.openxmlformats.org/officeDocument/2006/relationships/numbering"/></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0" Target="fonts/font10.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2025-03-14T03:30:34Z</dcterms:created>
  <dc:creator>Apache POI</dc:creator>
</cp:coreProperties>
</file>